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C7BC0" w14:textId="77777777" w:rsidR="00CD66E3" w:rsidRDefault="00CD66E3" w:rsidP="00B90E97">
      <w:pPr>
        <w:pStyle w:val="Titre"/>
        <w:spacing w:before="360" w:line="480" w:lineRule="auto"/>
        <w:rPr>
          <w:rFonts w:cs="Times New Roman"/>
          <w:bCs w:val="0"/>
          <w:sz w:val="24"/>
          <w:szCs w:val="24"/>
          <w:lang w:val="en-US"/>
        </w:rPr>
      </w:pPr>
      <w:r w:rsidRPr="00CD66E3">
        <w:rPr>
          <w:rFonts w:cs="Times New Roman"/>
          <w:bCs w:val="0"/>
          <w:sz w:val="24"/>
          <w:szCs w:val="24"/>
          <w:lang w:val="en-US"/>
        </w:rPr>
        <w:t xml:space="preserve">Eye movements reveal that young school </w:t>
      </w:r>
      <w:r w:rsidRPr="00685A47">
        <w:rPr>
          <w:rFonts w:cs="Times New Roman"/>
          <w:bCs w:val="0"/>
          <w:sz w:val="24"/>
          <w:szCs w:val="24"/>
          <w:lang w:val="en-US"/>
        </w:rPr>
        <w:t>children shift attention when solving additions and subtractions</w:t>
      </w:r>
    </w:p>
    <w:p w14:paraId="7EC65EAD" w14:textId="7915AF21" w:rsidR="006F40BB" w:rsidRPr="00CB1BA0" w:rsidRDefault="00CD66E3" w:rsidP="00B90E97">
      <w:pPr>
        <w:pStyle w:val="Titre"/>
        <w:spacing w:before="360" w:line="480" w:lineRule="auto"/>
        <w:rPr>
          <w:rFonts w:cs="Times New Roman"/>
          <w:b w:val="0"/>
          <w:bCs w:val="0"/>
          <w:sz w:val="24"/>
          <w:szCs w:val="24"/>
          <w:vertAlign w:val="superscript"/>
          <w:lang w:val="en-US"/>
        </w:rPr>
      </w:pPr>
      <w:r w:rsidRPr="00CD66E3">
        <w:rPr>
          <w:rFonts w:cs="Times New Roman"/>
          <w:bCs w:val="0"/>
          <w:sz w:val="24"/>
          <w:szCs w:val="24"/>
          <w:lang w:val="en-US"/>
        </w:rPr>
        <w:t xml:space="preserve"> </w:t>
      </w:r>
      <w:r w:rsidR="006F40BB" w:rsidRPr="00CB1BA0">
        <w:rPr>
          <w:rFonts w:cs="Times New Roman"/>
          <w:b w:val="0"/>
          <w:bCs w:val="0"/>
          <w:sz w:val="24"/>
          <w:szCs w:val="24"/>
          <w:lang w:val="en-US"/>
        </w:rPr>
        <w:t>Nicolas MASSON</w:t>
      </w:r>
      <w:r w:rsidR="002070CD" w:rsidRPr="00CB1BA0">
        <w:rPr>
          <w:rFonts w:cs="Times New Roman"/>
          <w:b w:val="0"/>
          <w:bCs w:val="0"/>
          <w:sz w:val="24"/>
          <w:szCs w:val="24"/>
          <w:lang w:val="en-US"/>
        </w:rPr>
        <w:t xml:space="preserve"> </w:t>
      </w:r>
      <w:r w:rsidR="006F40BB" w:rsidRPr="00CB1BA0">
        <w:rPr>
          <w:rFonts w:cs="Times New Roman"/>
          <w:b w:val="0"/>
          <w:bCs w:val="0"/>
          <w:sz w:val="24"/>
          <w:szCs w:val="24"/>
          <w:vertAlign w:val="superscript"/>
          <w:lang w:val="en-US"/>
        </w:rPr>
        <w:t>1</w:t>
      </w:r>
      <w:r w:rsidR="00205506" w:rsidRPr="00CB1BA0">
        <w:rPr>
          <w:rFonts w:cs="Times New Roman"/>
          <w:b w:val="0"/>
          <w:bCs w:val="0"/>
          <w:sz w:val="24"/>
          <w:szCs w:val="24"/>
          <w:vertAlign w:val="superscript"/>
          <w:lang w:val="en-US"/>
        </w:rPr>
        <w:t>,2</w:t>
      </w:r>
      <w:r w:rsidR="00484D04" w:rsidRPr="00CB1BA0">
        <w:rPr>
          <w:rFonts w:cs="Times New Roman"/>
          <w:b w:val="0"/>
          <w:bCs w:val="0"/>
          <w:sz w:val="24"/>
          <w:szCs w:val="24"/>
          <w:lang w:val="en-US"/>
        </w:rPr>
        <w:t xml:space="preserve">, Valérie </w:t>
      </w:r>
      <w:r w:rsidR="0096203E" w:rsidRPr="00CB1BA0">
        <w:rPr>
          <w:rFonts w:cs="Times New Roman"/>
          <w:b w:val="0"/>
          <w:bCs w:val="0"/>
          <w:sz w:val="24"/>
          <w:szCs w:val="24"/>
          <w:lang w:val="en-US"/>
        </w:rPr>
        <w:t>DORMAL</w:t>
      </w:r>
      <w:r w:rsidR="00484D04" w:rsidRPr="00CB1BA0">
        <w:rPr>
          <w:rFonts w:cs="Times New Roman"/>
          <w:b w:val="0"/>
          <w:bCs w:val="0"/>
          <w:sz w:val="24"/>
          <w:szCs w:val="24"/>
          <w:lang w:val="en-US"/>
        </w:rPr>
        <w:t xml:space="preserve"> </w:t>
      </w:r>
      <w:r w:rsidR="00484D04" w:rsidRPr="00CB1BA0">
        <w:rPr>
          <w:rFonts w:cs="Times New Roman"/>
          <w:b w:val="0"/>
          <w:bCs w:val="0"/>
          <w:sz w:val="24"/>
          <w:szCs w:val="24"/>
          <w:vertAlign w:val="superscript"/>
          <w:lang w:val="en-US"/>
        </w:rPr>
        <w:t>2</w:t>
      </w:r>
      <w:r w:rsidR="00484D04" w:rsidRPr="00CB1BA0">
        <w:rPr>
          <w:rFonts w:cs="Times New Roman"/>
          <w:b w:val="0"/>
          <w:bCs w:val="0"/>
          <w:sz w:val="24"/>
          <w:szCs w:val="24"/>
          <w:lang w:val="en-US"/>
        </w:rPr>
        <w:t>,</w:t>
      </w:r>
      <w:r w:rsidR="00E653DC" w:rsidRPr="00E653DC">
        <w:rPr>
          <w:rFonts w:cs="Times New Roman"/>
          <w:b w:val="0"/>
          <w:bCs w:val="0"/>
          <w:sz w:val="24"/>
          <w:szCs w:val="24"/>
          <w:lang w:val="en-US"/>
        </w:rPr>
        <w:t xml:space="preserve"> </w:t>
      </w:r>
      <w:r w:rsidR="00E653DC" w:rsidRPr="00CB1BA0">
        <w:rPr>
          <w:rFonts w:cs="Times New Roman"/>
          <w:b w:val="0"/>
          <w:bCs w:val="0"/>
          <w:sz w:val="24"/>
          <w:szCs w:val="24"/>
          <w:lang w:val="en-US"/>
        </w:rPr>
        <w:t xml:space="preserve">Martine STEPHANY </w:t>
      </w:r>
      <w:r w:rsidR="00E653DC" w:rsidRPr="00CB1BA0">
        <w:rPr>
          <w:rFonts w:cs="Times New Roman"/>
          <w:b w:val="0"/>
          <w:bCs w:val="0"/>
          <w:sz w:val="24"/>
          <w:szCs w:val="24"/>
          <w:vertAlign w:val="superscript"/>
          <w:lang w:val="en-US"/>
        </w:rPr>
        <w:t>1</w:t>
      </w:r>
      <w:r w:rsidR="00484D04" w:rsidRPr="00CB1BA0">
        <w:rPr>
          <w:rFonts w:cs="Times New Roman"/>
          <w:b w:val="0"/>
          <w:bCs w:val="0"/>
          <w:sz w:val="24"/>
          <w:szCs w:val="24"/>
          <w:lang w:val="en-US"/>
        </w:rPr>
        <w:t xml:space="preserve"> </w:t>
      </w:r>
      <w:r w:rsidR="006F40BB" w:rsidRPr="00CB1BA0">
        <w:rPr>
          <w:rFonts w:cs="Times New Roman"/>
          <w:b w:val="0"/>
          <w:bCs w:val="0"/>
          <w:sz w:val="24"/>
          <w:szCs w:val="24"/>
          <w:lang w:val="en-US"/>
        </w:rPr>
        <w:t xml:space="preserve">&amp; </w:t>
      </w:r>
      <w:r w:rsidR="00484D04" w:rsidRPr="00CB1BA0">
        <w:rPr>
          <w:rFonts w:cs="Times New Roman"/>
          <w:b w:val="0"/>
          <w:bCs w:val="0"/>
          <w:sz w:val="24"/>
          <w:szCs w:val="24"/>
          <w:lang w:val="en-US"/>
        </w:rPr>
        <w:t>Christine SCHILTZ</w:t>
      </w:r>
      <w:r w:rsidR="006F40BB" w:rsidRPr="00CB1BA0">
        <w:rPr>
          <w:rFonts w:cs="Times New Roman"/>
          <w:b w:val="0"/>
          <w:bCs w:val="0"/>
          <w:sz w:val="24"/>
          <w:szCs w:val="24"/>
          <w:lang w:val="en-US"/>
        </w:rPr>
        <w:t xml:space="preserve"> </w:t>
      </w:r>
      <w:r w:rsidR="006F40BB" w:rsidRPr="00CB1BA0">
        <w:rPr>
          <w:rFonts w:cs="Times New Roman"/>
          <w:b w:val="0"/>
          <w:bCs w:val="0"/>
          <w:sz w:val="24"/>
          <w:szCs w:val="24"/>
          <w:vertAlign w:val="superscript"/>
          <w:lang w:val="en-US"/>
        </w:rPr>
        <w:t>1</w:t>
      </w:r>
    </w:p>
    <w:p w14:paraId="3E55EB15" w14:textId="7F8F8C51" w:rsidR="00484D04" w:rsidRPr="00CB1BA0" w:rsidRDefault="00484D04" w:rsidP="00B90E97">
      <w:pPr>
        <w:spacing w:line="480" w:lineRule="auto"/>
        <w:jc w:val="center"/>
        <w:rPr>
          <w:rFonts w:ascii="Times New Roman" w:hAnsi="Times New Roman" w:cs="Times New Roman"/>
          <w:sz w:val="24"/>
          <w:szCs w:val="24"/>
        </w:rPr>
      </w:pPr>
      <w:r w:rsidRPr="00CB1BA0">
        <w:rPr>
          <w:rFonts w:ascii="Times New Roman" w:hAnsi="Times New Roman" w:cs="Times New Roman"/>
          <w:sz w:val="24"/>
          <w:szCs w:val="24"/>
          <w:vertAlign w:val="superscript"/>
        </w:rPr>
        <w:t xml:space="preserve">1 </w:t>
      </w:r>
      <w:r w:rsidRPr="00CB1BA0">
        <w:rPr>
          <w:rFonts w:ascii="Times New Roman" w:hAnsi="Times New Roman" w:cs="Times New Roman"/>
          <w:sz w:val="24"/>
          <w:szCs w:val="24"/>
          <w:lang w:val="en-US"/>
        </w:rPr>
        <w:t>Institute of Cognitive Science and Assessment (COSA), Department of Behavioural and Cognitive Sciences (DBCS), Faculty of Humanities, Education and Social Sciences (FHSE), University of Luxembourg, Luxembourg</w:t>
      </w:r>
    </w:p>
    <w:p w14:paraId="1B2B1E97" w14:textId="202A1FA5" w:rsidR="006F40BB" w:rsidRPr="00B36F5F" w:rsidRDefault="00484D04" w:rsidP="00B90E97">
      <w:pPr>
        <w:spacing w:after="0" w:line="480" w:lineRule="auto"/>
        <w:jc w:val="center"/>
        <w:rPr>
          <w:rFonts w:ascii="Times New Roman" w:hAnsi="Times New Roman" w:cs="Times New Roman"/>
          <w:sz w:val="24"/>
          <w:szCs w:val="24"/>
          <w:lang w:val="fr-BE"/>
        </w:rPr>
      </w:pPr>
      <w:r w:rsidRPr="00B36F5F">
        <w:rPr>
          <w:rFonts w:ascii="Times New Roman" w:hAnsi="Times New Roman" w:cs="Times New Roman"/>
          <w:sz w:val="24"/>
          <w:szCs w:val="24"/>
          <w:vertAlign w:val="superscript"/>
          <w:lang w:val="fr-BE"/>
        </w:rPr>
        <w:t>2</w:t>
      </w:r>
      <w:r w:rsidR="006F40BB" w:rsidRPr="00B36F5F">
        <w:rPr>
          <w:rFonts w:ascii="Times New Roman" w:hAnsi="Times New Roman" w:cs="Times New Roman"/>
          <w:sz w:val="24"/>
          <w:szCs w:val="24"/>
          <w:vertAlign w:val="superscript"/>
          <w:lang w:val="fr-BE"/>
        </w:rPr>
        <w:t xml:space="preserve"> </w:t>
      </w:r>
      <w:r w:rsidR="006F40BB" w:rsidRPr="00B36F5F">
        <w:rPr>
          <w:rFonts w:ascii="Times New Roman" w:hAnsi="Times New Roman" w:cs="Times New Roman"/>
          <w:sz w:val="24"/>
          <w:szCs w:val="24"/>
          <w:lang w:val="fr-BE"/>
        </w:rPr>
        <w:t>Psychological Sciences Research Institute,</w:t>
      </w:r>
    </w:p>
    <w:p w14:paraId="6041578D" w14:textId="2CF0B6FD" w:rsidR="006F40BB" w:rsidRPr="00B36F5F" w:rsidRDefault="006F40BB" w:rsidP="00B90E97">
      <w:pPr>
        <w:spacing w:line="480" w:lineRule="auto"/>
        <w:jc w:val="center"/>
        <w:rPr>
          <w:rFonts w:ascii="Times New Roman" w:hAnsi="Times New Roman" w:cs="Times New Roman"/>
          <w:sz w:val="24"/>
          <w:szCs w:val="24"/>
          <w:lang w:val="fr-BE"/>
        </w:rPr>
      </w:pPr>
      <w:r w:rsidRPr="00B36F5F">
        <w:rPr>
          <w:rFonts w:ascii="Times New Roman" w:hAnsi="Times New Roman" w:cs="Times New Roman"/>
          <w:sz w:val="24"/>
          <w:szCs w:val="24"/>
          <w:lang w:val="fr-BE"/>
        </w:rPr>
        <w:t>Université catholique de Louvain, Belgium</w:t>
      </w:r>
    </w:p>
    <w:p w14:paraId="4356F657" w14:textId="11B3AADB" w:rsidR="006F40BB" w:rsidRPr="00CB1BA0" w:rsidRDefault="006F40BB" w:rsidP="00B90E97">
      <w:pPr>
        <w:spacing w:after="120" w:line="480" w:lineRule="auto"/>
        <w:jc w:val="both"/>
        <w:rPr>
          <w:rFonts w:ascii="Times New Roman" w:hAnsi="Times New Roman" w:cs="Times New Roman"/>
          <w:i/>
          <w:sz w:val="24"/>
          <w:szCs w:val="24"/>
        </w:rPr>
      </w:pPr>
      <w:r w:rsidRPr="00CB1BA0">
        <w:rPr>
          <w:rFonts w:ascii="Times New Roman" w:hAnsi="Times New Roman" w:cs="Times New Roman"/>
          <w:i/>
          <w:sz w:val="24"/>
          <w:szCs w:val="24"/>
        </w:rPr>
        <w:t xml:space="preserve">Submitted as a </w:t>
      </w:r>
      <w:r w:rsidR="00EC2B1F">
        <w:rPr>
          <w:rFonts w:ascii="Times New Roman" w:hAnsi="Times New Roman" w:cs="Times New Roman"/>
          <w:b/>
          <w:i/>
          <w:sz w:val="24"/>
          <w:szCs w:val="24"/>
        </w:rPr>
        <w:t>Research</w:t>
      </w:r>
      <w:r w:rsidRPr="00CB1BA0">
        <w:rPr>
          <w:rFonts w:ascii="Times New Roman" w:hAnsi="Times New Roman" w:cs="Times New Roman"/>
          <w:b/>
          <w:i/>
          <w:sz w:val="24"/>
          <w:szCs w:val="24"/>
        </w:rPr>
        <w:t xml:space="preserve"> article</w:t>
      </w:r>
    </w:p>
    <w:p w14:paraId="07958C88" w14:textId="25DC48CF" w:rsidR="00EC2B1F" w:rsidRPr="00CB1BA0" w:rsidRDefault="00EC2B1F" w:rsidP="00EC2B1F">
      <w:pPr>
        <w:spacing w:after="0" w:line="480" w:lineRule="auto"/>
        <w:ind w:right="4"/>
        <w:jc w:val="both"/>
        <w:rPr>
          <w:rFonts w:ascii="Times New Roman" w:hAnsi="Times New Roman" w:cs="Times New Roman"/>
          <w:sz w:val="24"/>
          <w:szCs w:val="24"/>
        </w:rPr>
      </w:pPr>
      <w:r w:rsidRPr="00EC2B1F">
        <w:rPr>
          <w:rFonts w:ascii="Times New Roman" w:hAnsi="Times New Roman" w:cs="Times New Roman"/>
          <w:b/>
          <w:bCs/>
          <w:sz w:val="24"/>
          <w:szCs w:val="24"/>
        </w:rPr>
        <w:t>Data availability statement:</w:t>
      </w:r>
      <w:r>
        <w:rPr>
          <w:rFonts w:ascii="Times New Roman" w:hAnsi="Times New Roman" w:cs="Times New Roman"/>
          <w:sz w:val="24"/>
          <w:szCs w:val="24"/>
        </w:rPr>
        <w:t xml:space="preserve"> </w:t>
      </w:r>
      <w:r w:rsidRPr="00CB1BA0">
        <w:rPr>
          <w:rFonts w:ascii="Times New Roman" w:hAnsi="Times New Roman" w:cs="Times New Roman"/>
          <w:sz w:val="24"/>
          <w:szCs w:val="24"/>
        </w:rPr>
        <w:t xml:space="preserve">The study and analyses presented here were not preregistered. The experimental scripts, datasets generated during and/or analysed during the current study, as well as the scripts to analyse the data are </w:t>
      </w:r>
      <w:r>
        <w:rPr>
          <w:rFonts w:ascii="Times New Roman" w:hAnsi="Times New Roman" w:cs="Times New Roman"/>
          <w:sz w:val="24"/>
          <w:szCs w:val="24"/>
        </w:rPr>
        <w:t>accessible</w:t>
      </w:r>
      <w:r w:rsidRPr="00CB1BA0">
        <w:rPr>
          <w:rFonts w:ascii="Times New Roman" w:hAnsi="Times New Roman" w:cs="Times New Roman"/>
          <w:sz w:val="24"/>
          <w:szCs w:val="24"/>
        </w:rPr>
        <w:t xml:space="preserve"> on OSF following this link: </w:t>
      </w:r>
      <w:r w:rsidR="007D5AD5" w:rsidRPr="00B2320F">
        <w:rPr>
          <w:rFonts w:ascii="Times New Roman" w:hAnsi="Times New Roman" w:cs="Times New Roman"/>
          <w:sz w:val="24"/>
          <w:szCs w:val="24"/>
        </w:rPr>
        <w:t>https://osf.io/v8u9t/</w:t>
      </w:r>
    </w:p>
    <w:p w14:paraId="0828B476" w14:textId="076B6B84" w:rsidR="00B36F5F" w:rsidRDefault="006E5584" w:rsidP="002717E9">
      <w:pPr>
        <w:spacing w:after="0" w:line="480" w:lineRule="auto"/>
        <w:ind w:right="4"/>
        <w:jc w:val="both"/>
        <w:rPr>
          <w:rFonts w:ascii="Times New Roman" w:hAnsi="Times New Roman" w:cs="Times New Roman"/>
          <w:sz w:val="24"/>
          <w:szCs w:val="24"/>
        </w:rPr>
      </w:pPr>
      <w:r w:rsidRPr="00907F18">
        <w:rPr>
          <w:rFonts w:ascii="Times New Roman" w:hAnsi="Times New Roman" w:cs="Times New Roman"/>
          <w:b/>
          <w:bCs/>
          <w:sz w:val="24"/>
          <w:szCs w:val="24"/>
        </w:rPr>
        <w:t>Funding</w:t>
      </w:r>
      <w:r>
        <w:rPr>
          <w:rFonts w:ascii="Times New Roman" w:hAnsi="Times New Roman" w:cs="Times New Roman"/>
          <w:sz w:val="24"/>
          <w:szCs w:val="24"/>
        </w:rPr>
        <w:t>:</w:t>
      </w:r>
      <w:r w:rsidRPr="006E5584">
        <w:t xml:space="preserve"> </w:t>
      </w:r>
      <w:r>
        <w:rPr>
          <w:rFonts w:ascii="Times New Roman" w:hAnsi="Times New Roman" w:cs="Times New Roman"/>
          <w:sz w:val="24"/>
          <w:szCs w:val="24"/>
        </w:rPr>
        <w:t xml:space="preserve">This </w:t>
      </w:r>
      <w:r w:rsidR="00F01E04">
        <w:rPr>
          <w:rFonts w:ascii="Times New Roman" w:hAnsi="Times New Roman" w:cs="Times New Roman"/>
          <w:sz w:val="24"/>
          <w:szCs w:val="24"/>
        </w:rPr>
        <w:t>research</w:t>
      </w:r>
      <w:r w:rsidRPr="006E5584">
        <w:rPr>
          <w:rFonts w:ascii="Times New Roman" w:hAnsi="Times New Roman" w:cs="Times New Roman"/>
          <w:sz w:val="24"/>
          <w:szCs w:val="24"/>
        </w:rPr>
        <w:t xml:space="preserve"> is supported by grant</w:t>
      </w:r>
      <w:r w:rsidR="002717E9">
        <w:rPr>
          <w:rFonts w:ascii="Times New Roman" w:hAnsi="Times New Roman" w:cs="Times New Roman"/>
          <w:sz w:val="24"/>
          <w:szCs w:val="24"/>
        </w:rPr>
        <w:t>s</w:t>
      </w:r>
      <w:r w:rsidRPr="006E5584">
        <w:rPr>
          <w:rFonts w:ascii="Times New Roman" w:hAnsi="Times New Roman" w:cs="Times New Roman"/>
          <w:sz w:val="24"/>
          <w:szCs w:val="24"/>
        </w:rPr>
        <w:t xml:space="preserve"> PDR-T.0047.18</w:t>
      </w:r>
      <w:r w:rsidR="002717E9">
        <w:rPr>
          <w:rFonts w:ascii="Times New Roman" w:hAnsi="Times New Roman" w:cs="Times New Roman"/>
          <w:sz w:val="24"/>
          <w:szCs w:val="24"/>
        </w:rPr>
        <w:t xml:space="preserve"> and </w:t>
      </w:r>
      <w:r w:rsidR="002717E9" w:rsidRPr="002717E9">
        <w:rPr>
          <w:rFonts w:ascii="Times New Roman" w:hAnsi="Times New Roman" w:cs="Times New Roman"/>
          <w:sz w:val="24"/>
          <w:szCs w:val="24"/>
        </w:rPr>
        <w:t>FNRS 1.B303.21</w:t>
      </w:r>
      <w:r w:rsidRPr="006E5584">
        <w:rPr>
          <w:rFonts w:ascii="Times New Roman" w:hAnsi="Times New Roman" w:cs="Times New Roman"/>
          <w:sz w:val="24"/>
          <w:szCs w:val="24"/>
        </w:rPr>
        <w:t xml:space="preserve"> from the Fonds National de la Recherche Scientifique (FRS-FNRS, Belgium) and grant FNR-INTER/FNRS/17/1178524</w:t>
      </w:r>
      <w:r w:rsidR="00D517CC">
        <w:rPr>
          <w:rFonts w:ascii="Times New Roman" w:hAnsi="Times New Roman" w:cs="Times New Roman"/>
          <w:sz w:val="24"/>
          <w:szCs w:val="24"/>
        </w:rPr>
        <w:t>/SNAMATH</w:t>
      </w:r>
      <w:r w:rsidRPr="006E5584">
        <w:rPr>
          <w:rFonts w:ascii="Times New Roman" w:hAnsi="Times New Roman" w:cs="Times New Roman"/>
          <w:sz w:val="24"/>
          <w:szCs w:val="24"/>
        </w:rPr>
        <w:t xml:space="preserve"> from the National Research Fund of Luxembourg (FNR, Luxembourg)</w:t>
      </w:r>
      <w:r w:rsidR="005861BC">
        <w:rPr>
          <w:rFonts w:ascii="Times New Roman" w:hAnsi="Times New Roman" w:cs="Times New Roman"/>
          <w:sz w:val="24"/>
          <w:szCs w:val="24"/>
        </w:rPr>
        <w:t>.</w:t>
      </w:r>
    </w:p>
    <w:p w14:paraId="5CE7C71C" w14:textId="77777777" w:rsidR="00E71595" w:rsidRPr="00CB1BA0" w:rsidRDefault="00E71595" w:rsidP="00E71595">
      <w:pPr>
        <w:spacing w:line="480" w:lineRule="auto"/>
        <w:rPr>
          <w:rFonts w:ascii="Times New Roman" w:hAnsi="Times New Roman" w:cs="Times New Roman"/>
          <w:b/>
          <w:bCs/>
          <w:sz w:val="24"/>
          <w:szCs w:val="24"/>
        </w:rPr>
      </w:pPr>
      <w:r w:rsidRPr="00CB1BA0">
        <w:rPr>
          <w:rFonts w:ascii="Times New Roman" w:hAnsi="Times New Roman" w:cs="Times New Roman"/>
          <w:b/>
          <w:bCs/>
          <w:sz w:val="24"/>
          <w:szCs w:val="24"/>
          <w:lang w:val="en-US"/>
        </w:rPr>
        <w:t>Declarations of interest:</w:t>
      </w:r>
      <w:r w:rsidRPr="00CB1BA0">
        <w:rPr>
          <w:rFonts w:ascii="Times New Roman" w:hAnsi="Times New Roman" w:cs="Times New Roman"/>
          <w:sz w:val="24"/>
          <w:szCs w:val="24"/>
          <w:lang w:val="en-US"/>
        </w:rPr>
        <w:t xml:space="preserve"> The authors report no conflict of interest.</w:t>
      </w:r>
    </w:p>
    <w:p w14:paraId="5792E7FB" w14:textId="5302A316" w:rsidR="00DE0FC6" w:rsidRPr="00DE0FC6" w:rsidRDefault="005B23EB" w:rsidP="00DE0FC6">
      <w:pPr>
        <w:spacing w:after="0" w:line="480" w:lineRule="auto"/>
        <w:ind w:right="4"/>
        <w:jc w:val="both"/>
        <w:rPr>
          <w:rFonts w:ascii="Times New Roman" w:hAnsi="Times New Roman" w:cs="Times New Roman"/>
          <w:sz w:val="24"/>
          <w:szCs w:val="24"/>
          <w:lang w:val="en-US"/>
        </w:rPr>
      </w:pPr>
      <w:r w:rsidRPr="005B23EB">
        <w:rPr>
          <w:rFonts w:ascii="Times New Roman" w:hAnsi="Times New Roman" w:cs="Times New Roman"/>
          <w:b/>
          <w:bCs/>
          <w:sz w:val="24"/>
          <w:szCs w:val="24"/>
        </w:rPr>
        <w:t>Corresponding author</w:t>
      </w:r>
      <w:r w:rsidR="006F40BB" w:rsidRPr="00CB1BA0">
        <w:rPr>
          <w:rFonts w:ascii="Times New Roman" w:hAnsi="Times New Roman" w:cs="Times New Roman"/>
          <w:sz w:val="24"/>
          <w:szCs w:val="24"/>
        </w:rPr>
        <w:t>:</w:t>
      </w:r>
      <w:r w:rsidR="00CB1BA0">
        <w:rPr>
          <w:rFonts w:ascii="Times New Roman" w:hAnsi="Times New Roman" w:cs="Times New Roman"/>
          <w:sz w:val="24"/>
          <w:szCs w:val="24"/>
        </w:rPr>
        <w:t xml:space="preserve"> </w:t>
      </w:r>
      <w:r w:rsidR="006F40BB" w:rsidRPr="00CB1BA0">
        <w:rPr>
          <w:rFonts w:ascii="Times New Roman" w:hAnsi="Times New Roman" w:cs="Times New Roman"/>
          <w:sz w:val="24"/>
          <w:szCs w:val="24"/>
          <w:lang w:val="en-US"/>
        </w:rPr>
        <w:t>Nicolas Masson</w:t>
      </w:r>
      <w:r w:rsidR="00EC2B1F">
        <w:rPr>
          <w:rFonts w:ascii="Times New Roman" w:hAnsi="Times New Roman" w:cs="Times New Roman"/>
          <w:sz w:val="24"/>
          <w:szCs w:val="24"/>
          <w:lang w:val="en-US"/>
        </w:rPr>
        <w:t xml:space="preserve"> (</w:t>
      </w:r>
      <w:hyperlink r:id="rId7" w:history="1">
        <w:r w:rsidR="00392E90" w:rsidRPr="007A1161">
          <w:rPr>
            <w:rStyle w:val="Lienhypertexte"/>
            <w:rFonts w:ascii="Times New Roman" w:hAnsi="Times New Roman" w:cs="Times New Roman"/>
            <w:sz w:val="24"/>
            <w:szCs w:val="24"/>
            <w:lang w:val="en-US"/>
          </w:rPr>
          <w:t>Nicolas.masson@uclouvain.be</w:t>
        </w:r>
      </w:hyperlink>
      <w:r w:rsidR="00392E90">
        <w:rPr>
          <w:rFonts w:ascii="Times New Roman" w:hAnsi="Times New Roman" w:cs="Times New Roman"/>
          <w:sz w:val="24"/>
          <w:szCs w:val="24"/>
          <w:lang w:val="en-US"/>
        </w:rPr>
        <w:t xml:space="preserve">; ORCID: </w:t>
      </w:r>
      <w:hyperlink r:id="rId8" w:history="1">
        <w:r w:rsidR="002E6549" w:rsidRPr="00924E1E">
          <w:rPr>
            <w:rStyle w:val="Lienhypertexte"/>
            <w:rFonts w:ascii="Times New Roman" w:hAnsi="Times New Roman" w:cs="Times New Roman"/>
            <w:sz w:val="24"/>
            <w:szCs w:val="24"/>
            <w:lang w:val="en-US"/>
          </w:rPr>
          <w:t>http://orcid.org/0000-0002-6989-3375</w:t>
        </w:r>
      </w:hyperlink>
      <w:r w:rsidR="00392E90">
        <w:rPr>
          <w:rFonts w:ascii="Times New Roman" w:hAnsi="Times New Roman" w:cs="Times New Roman"/>
          <w:sz w:val="24"/>
          <w:szCs w:val="24"/>
          <w:lang w:val="en-US"/>
        </w:rPr>
        <w:t>)</w:t>
      </w:r>
      <w:r w:rsidR="002E6549">
        <w:rPr>
          <w:rFonts w:ascii="Times New Roman" w:hAnsi="Times New Roman" w:cs="Times New Roman"/>
          <w:sz w:val="24"/>
          <w:szCs w:val="24"/>
          <w:lang w:val="en-US"/>
        </w:rPr>
        <w:t xml:space="preserve"> </w:t>
      </w:r>
      <w:r w:rsidR="002C26E8" w:rsidRPr="00CB1BA0">
        <w:rPr>
          <w:rFonts w:ascii="Times New Roman" w:hAnsi="Times New Roman" w:cs="Times New Roman"/>
          <w:sz w:val="24"/>
          <w:szCs w:val="24"/>
          <w:lang w:val="en-US"/>
        </w:rPr>
        <w:t>UNIVERSITY OF LUXEMBOURG</w:t>
      </w:r>
      <w:r>
        <w:rPr>
          <w:rFonts w:ascii="Times New Roman" w:hAnsi="Times New Roman" w:cs="Times New Roman"/>
          <w:sz w:val="24"/>
          <w:szCs w:val="24"/>
          <w:lang w:val="en-US"/>
        </w:rPr>
        <w:t xml:space="preserve">, </w:t>
      </w:r>
      <w:r w:rsidR="002C26E8" w:rsidRPr="00CB1BA0">
        <w:rPr>
          <w:rFonts w:ascii="Times New Roman" w:hAnsi="Times New Roman" w:cs="Times New Roman"/>
          <w:sz w:val="24"/>
          <w:szCs w:val="24"/>
          <w:lang w:val="en-US"/>
        </w:rPr>
        <w:t>Faculty of Humanities, Social and Educational Sciences</w:t>
      </w:r>
      <w:r w:rsidR="00EC2B1F">
        <w:rPr>
          <w:rFonts w:ascii="Times New Roman" w:hAnsi="Times New Roman" w:cs="Times New Roman"/>
          <w:sz w:val="24"/>
          <w:szCs w:val="24"/>
          <w:lang w:val="en-US"/>
        </w:rPr>
        <w:t xml:space="preserve">, </w:t>
      </w:r>
      <w:r w:rsidR="002C26E8" w:rsidRPr="00CB1BA0">
        <w:rPr>
          <w:rFonts w:ascii="Times New Roman" w:hAnsi="Times New Roman" w:cs="Times New Roman"/>
          <w:sz w:val="24"/>
          <w:szCs w:val="24"/>
          <w:lang w:val="en-US"/>
        </w:rPr>
        <w:t>Department of Behavioral and Cognitive Sciences</w:t>
      </w:r>
      <w:r w:rsidR="00EC2B1F">
        <w:rPr>
          <w:rFonts w:ascii="Times New Roman" w:hAnsi="Times New Roman" w:cs="Times New Roman"/>
          <w:sz w:val="24"/>
          <w:szCs w:val="24"/>
          <w:lang w:val="en-US"/>
        </w:rPr>
        <w:t xml:space="preserve">, </w:t>
      </w:r>
      <w:r w:rsidR="002C26E8" w:rsidRPr="00CB1BA0">
        <w:rPr>
          <w:rFonts w:ascii="Times New Roman" w:hAnsi="Times New Roman" w:cs="Times New Roman"/>
          <w:sz w:val="24"/>
          <w:szCs w:val="24"/>
          <w:lang w:val="en-US"/>
        </w:rPr>
        <w:t>Institute of Cognitive Science and Assessment</w:t>
      </w:r>
      <w:r w:rsidR="00EC2B1F">
        <w:rPr>
          <w:rFonts w:ascii="Times New Roman" w:hAnsi="Times New Roman" w:cs="Times New Roman"/>
          <w:sz w:val="24"/>
          <w:szCs w:val="24"/>
          <w:lang w:val="en-US"/>
        </w:rPr>
        <w:t xml:space="preserve">, </w:t>
      </w:r>
      <w:r w:rsidR="002C26E8" w:rsidRPr="00EC2B1F">
        <w:rPr>
          <w:rFonts w:ascii="Times New Roman" w:hAnsi="Times New Roman" w:cs="Times New Roman"/>
          <w:sz w:val="24"/>
          <w:szCs w:val="24"/>
          <w:lang w:val="en-US"/>
        </w:rPr>
        <w:t>Maison des Sciences Humaines</w:t>
      </w:r>
      <w:r w:rsidR="00E71595">
        <w:rPr>
          <w:rFonts w:ascii="Times New Roman" w:hAnsi="Times New Roman" w:cs="Times New Roman"/>
          <w:sz w:val="24"/>
          <w:szCs w:val="24"/>
          <w:lang w:val="en-US"/>
        </w:rPr>
        <w:t xml:space="preserve">, </w:t>
      </w:r>
      <w:r w:rsidR="002C26E8" w:rsidRPr="00E71595">
        <w:rPr>
          <w:rFonts w:ascii="Times New Roman" w:hAnsi="Times New Roman" w:cs="Times New Roman"/>
          <w:sz w:val="24"/>
          <w:szCs w:val="24"/>
          <w:lang w:val="en-US"/>
        </w:rPr>
        <w:t>11, Porte des Sciences</w:t>
      </w:r>
      <w:r w:rsidR="00B90E97" w:rsidRPr="00E71595">
        <w:rPr>
          <w:rFonts w:ascii="Times New Roman" w:hAnsi="Times New Roman" w:cs="Times New Roman"/>
          <w:sz w:val="24"/>
          <w:szCs w:val="24"/>
          <w:lang w:val="en-US"/>
        </w:rPr>
        <w:t xml:space="preserve">, </w:t>
      </w:r>
      <w:r w:rsidR="002C26E8" w:rsidRPr="00E71595">
        <w:rPr>
          <w:rFonts w:ascii="Times New Roman" w:hAnsi="Times New Roman" w:cs="Times New Roman"/>
          <w:sz w:val="24"/>
          <w:szCs w:val="24"/>
          <w:lang w:val="en-US"/>
        </w:rPr>
        <w:t>L-4366 Esch-sur-Alzette</w:t>
      </w:r>
      <w:r w:rsidR="00B90E97" w:rsidRPr="00E71595">
        <w:rPr>
          <w:rFonts w:ascii="Times New Roman" w:hAnsi="Times New Roman" w:cs="Times New Roman"/>
          <w:sz w:val="24"/>
          <w:szCs w:val="24"/>
          <w:lang w:val="en-US"/>
        </w:rPr>
        <w:t>,</w:t>
      </w:r>
      <w:r w:rsidR="00080ECF">
        <w:rPr>
          <w:rFonts w:ascii="Times New Roman" w:hAnsi="Times New Roman" w:cs="Times New Roman"/>
          <w:sz w:val="24"/>
          <w:szCs w:val="24"/>
          <w:lang w:val="en-US"/>
        </w:rPr>
        <w:t xml:space="preserve"> </w:t>
      </w:r>
      <w:r w:rsidR="002C26E8" w:rsidRPr="00E71595">
        <w:rPr>
          <w:rFonts w:ascii="Times New Roman" w:hAnsi="Times New Roman" w:cs="Times New Roman"/>
          <w:sz w:val="24"/>
          <w:szCs w:val="24"/>
          <w:lang w:val="en-US"/>
        </w:rPr>
        <w:t>Luxembourg</w:t>
      </w:r>
      <w:r w:rsidR="00080ECF">
        <w:rPr>
          <w:rFonts w:ascii="Times New Roman" w:hAnsi="Times New Roman" w:cs="Times New Roman"/>
          <w:sz w:val="24"/>
          <w:szCs w:val="24"/>
          <w:lang w:val="en-US"/>
        </w:rPr>
        <w:t>.</w:t>
      </w:r>
    </w:p>
    <w:p w14:paraId="07B9F70D" w14:textId="77777777" w:rsidR="00D176E0" w:rsidRDefault="00D176E0" w:rsidP="00D176E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Research highlights</w:t>
      </w:r>
    </w:p>
    <w:p w14:paraId="69BD2886" w14:textId="77777777" w:rsidR="00CD66E3" w:rsidRDefault="00CD66E3" w:rsidP="00CD66E3">
      <w:pPr>
        <w:spacing w:line="480" w:lineRule="auto"/>
        <w:jc w:val="both"/>
        <w:rPr>
          <w:rFonts w:ascii="Times New Roman" w:hAnsi="Times New Roman" w:cs="Times New Roman"/>
          <w:sz w:val="24"/>
          <w:szCs w:val="24"/>
        </w:rPr>
      </w:pPr>
      <w:r w:rsidRPr="00D176E0">
        <w:rPr>
          <w:rFonts w:ascii="Times New Roman" w:hAnsi="Times New Roman" w:cs="Times New Roman"/>
          <w:sz w:val="24"/>
          <w:szCs w:val="24"/>
        </w:rPr>
        <w:t>Additions and subtractions are associated to right and left attentional shifts in adults,</w:t>
      </w:r>
      <w:r>
        <w:rPr>
          <w:rFonts w:ascii="Times New Roman" w:hAnsi="Times New Roman" w:cs="Times New Roman"/>
          <w:sz w:val="24"/>
          <w:szCs w:val="24"/>
        </w:rPr>
        <w:t xml:space="preserve"> but it is unknown when these mechanisms arise in childhood.</w:t>
      </w:r>
    </w:p>
    <w:p w14:paraId="18C8897A" w14:textId="77777777" w:rsidR="00CD66E3" w:rsidRDefault="00CD66E3" w:rsidP="00CD66E3">
      <w:pPr>
        <w:spacing w:line="480" w:lineRule="auto"/>
        <w:jc w:val="both"/>
        <w:rPr>
          <w:rFonts w:ascii="Times New Roman" w:hAnsi="Times New Roman" w:cs="Times New Roman"/>
          <w:sz w:val="24"/>
          <w:szCs w:val="24"/>
        </w:rPr>
      </w:pPr>
      <w:r>
        <w:rPr>
          <w:rFonts w:ascii="Times New Roman" w:hAnsi="Times New Roman" w:cs="Times New Roman"/>
          <w:sz w:val="24"/>
          <w:szCs w:val="24"/>
        </w:rPr>
        <w:t>Children of 8 to 10 years old solved single-digit additions and subtractions while looking at a blank screen.</w:t>
      </w:r>
    </w:p>
    <w:p w14:paraId="604EDD44" w14:textId="77777777" w:rsidR="00CD66E3" w:rsidRDefault="00CD66E3" w:rsidP="00CD66E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Eye movements showed that </w:t>
      </w:r>
      <w:r w:rsidRPr="0043587B">
        <w:rPr>
          <w:rFonts w:ascii="Times New Roman" w:hAnsi="Times New Roman" w:cs="Times New Roman"/>
          <w:sz w:val="24"/>
          <w:szCs w:val="24"/>
        </w:rPr>
        <w:t>children of 8 years old already show spatial bias possibly to represent the response when knowing both operands.</w:t>
      </w:r>
    </w:p>
    <w:p w14:paraId="4C8B72A3" w14:textId="77777777" w:rsidR="00CD66E3" w:rsidRDefault="00CD66E3" w:rsidP="00CD66E3">
      <w:pPr>
        <w:spacing w:line="480" w:lineRule="auto"/>
        <w:jc w:val="both"/>
        <w:rPr>
          <w:rFonts w:ascii="Times New Roman" w:hAnsi="Times New Roman" w:cs="Times New Roman"/>
          <w:sz w:val="24"/>
          <w:szCs w:val="24"/>
        </w:rPr>
      </w:pPr>
      <w:r w:rsidRPr="00D176E0">
        <w:rPr>
          <w:rFonts w:ascii="Times New Roman" w:hAnsi="Times New Roman" w:cs="Times New Roman"/>
          <w:sz w:val="24"/>
          <w:szCs w:val="24"/>
        </w:rPr>
        <w:t xml:space="preserve">Children of 10 years old shift attention before knowing the second operand to anticipatively guide the search for </w:t>
      </w:r>
      <w:r>
        <w:rPr>
          <w:rFonts w:ascii="Times New Roman" w:hAnsi="Times New Roman" w:cs="Times New Roman"/>
          <w:sz w:val="24"/>
          <w:szCs w:val="24"/>
        </w:rPr>
        <w:t>plausible</w:t>
      </w:r>
      <w:r w:rsidRPr="00D176E0">
        <w:rPr>
          <w:rFonts w:ascii="Times New Roman" w:hAnsi="Times New Roman" w:cs="Times New Roman"/>
          <w:sz w:val="24"/>
          <w:szCs w:val="24"/>
        </w:rPr>
        <w:t xml:space="preserve"> answer</w:t>
      </w:r>
      <w:r>
        <w:rPr>
          <w:rFonts w:ascii="Times New Roman" w:hAnsi="Times New Roman" w:cs="Times New Roman"/>
          <w:sz w:val="24"/>
          <w:szCs w:val="24"/>
        </w:rPr>
        <w:t>s</w:t>
      </w:r>
      <w:r w:rsidRPr="00D176E0">
        <w:rPr>
          <w:rFonts w:ascii="Times New Roman" w:hAnsi="Times New Roman" w:cs="Times New Roman"/>
          <w:sz w:val="24"/>
          <w:szCs w:val="24"/>
        </w:rPr>
        <w:t>.</w:t>
      </w:r>
    </w:p>
    <w:p w14:paraId="7E6FA8F6" w14:textId="77777777" w:rsidR="00D176E0" w:rsidRDefault="00D176E0">
      <w:pPr>
        <w:rPr>
          <w:rFonts w:ascii="Times New Roman" w:hAnsi="Times New Roman" w:cs="Times New Roman"/>
          <w:sz w:val="24"/>
          <w:szCs w:val="24"/>
        </w:rPr>
      </w:pPr>
      <w:r>
        <w:rPr>
          <w:rFonts w:ascii="Times New Roman" w:hAnsi="Times New Roman" w:cs="Times New Roman"/>
          <w:sz w:val="24"/>
          <w:szCs w:val="24"/>
        </w:rPr>
        <w:br w:type="page"/>
      </w:r>
    </w:p>
    <w:p w14:paraId="7FBA73CD" w14:textId="77777777" w:rsidR="002E6FC8" w:rsidRPr="009F2ACB" w:rsidRDefault="002E6FC8" w:rsidP="002E6FC8">
      <w:pPr>
        <w:spacing w:line="480" w:lineRule="auto"/>
        <w:jc w:val="both"/>
        <w:rPr>
          <w:rFonts w:ascii="Times New Roman" w:hAnsi="Times New Roman" w:cs="Times New Roman"/>
          <w:b/>
          <w:sz w:val="24"/>
          <w:szCs w:val="24"/>
        </w:rPr>
      </w:pPr>
      <w:r w:rsidRPr="009F2ACB">
        <w:rPr>
          <w:rFonts w:ascii="Times New Roman" w:hAnsi="Times New Roman" w:cs="Times New Roman"/>
          <w:b/>
          <w:sz w:val="24"/>
          <w:szCs w:val="24"/>
        </w:rPr>
        <w:lastRenderedPageBreak/>
        <w:t>Abstract</w:t>
      </w:r>
    </w:p>
    <w:p w14:paraId="2EF973FD" w14:textId="194DE791" w:rsidR="002E6FC8" w:rsidRPr="009F2ACB" w:rsidRDefault="002E6FC8" w:rsidP="002E6FC8">
      <w:pPr>
        <w:spacing w:line="480" w:lineRule="auto"/>
        <w:jc w:val="both"/>
        <w:rPr>
          <w:rFonts w:ascii="Times New Roman" w:hAnsi="Times New Roman" w:cs="Times New Roman"/>
          <w:sz w:val="24"/>
          <w:szCs w:val="24"/>
        </w:rPr>
      </w:pPr>
      <w:r w:rsidRPr="009F2ACB">
        <w:rPr>
          <w:rFonts w:ascii="Times New Roman" w:hAnsi="Times New Roman" w:cs="Times New Roman"/>
          <w:sz w:val="24"/>
          <w:szCs w:val="24"/>
        </w:rPr>
        <w:t xml:space="preserve">Adults shift their attention to the right or to the left along a spatial continuum when solving additions and </w:t>
      </w:r>
      <w:r w:rsidRPr="00B2320F">
        <w:rPr>
          <w:rFonts w:ascii="Times New Roman" w:hAnsi="Times New Roman" w:cs="Times New Roman"/>
          <w:sz w:val="24"/>
          <w:szCs w:val="24"/>
        </w:rPr>
        <w:t xml:space="preserve">subtractions, respectively. </w:t>
      </w:r>
      <w:r w:rsidR="0022585F" w:rsidRPr="00B2320F">
        <w:rPr>
          <w:rFonts w:ascii="Times New Roman" w:hAnsi="Times New Roman" w:cs="Times New Roman"/>
          <w:sz w:val="24"/>
          <w:szCs w:val="24"/>
        </w:rPr>
        <w:t>Studies suggest that these</w:t>
      </w:r>
      <w:r w:rsidRPr="00B2320F">
        <w:rPr>
          <w:rFonts w:ascii="Times New Roman" w:hAnsi="Times New Roman" w:cs="Times New Roman"/>
          <w:sz w:val="24"/>
          <w:szCs w:val="24"/>
        </w:rPr>
        <w:t xml:space="preserve"> shifts not only support the exact computation of the results but also anticipatively narrow down the range of plausible answers when processing the operands. However, little is known on when and how these attentional shifts arise in childhood during the acquisition</w:t>
      </w:r>
      <w:r w:rsidRPr="009F2ACB">
        <w:rPr>
          <w:rFonts w:ascii="Times New Roman" w:hAnsi="Times New Roman" w:cs="Times New Roman"/>
          <w:sz w:val="24"/>
          <w:szCs w:val="24"/>
        </w:rPr>
        <w:t xml:space="preserve"> of arithmetic. Here, an eye-tracker with high spatio-temporal resolution was used to measure spontaneous eye movements, used as a proxy for attentional shifts, while children of 2nd (8 y-o; N=50) and 4th (10 y-o; N=48) Grade solved simple additions (e.g., 4+3) and subtractions (e.g., 3-2). Gaze patterns revealed horizontal and vertical attentional shifts in both groups. Critically, horizontal eye movements were observed in 4th Graders as soon as the first operand and the operator were presented and thus before the beginning of the exact computation. In 2nd Graders attentional shifts were only observed after the presentation of the second operand just before the response was made. This demonstrates that spatial attention is recruited when children solve arithmetic problems, even in early stages of learning mathematics. The time course of these attentional shifts suggests that with practice in arithmetic children start to use spatial attention to anticipatively guide the search for the answer and facilitate the implementation of solving procedures.</w:t>
      </w:r>
    </w:p>
    <w:p w14:paraId="32E375C5" w14:textId="77777777" w:rsidR="002E6FC8" w:rsidRPr="009F2ACB" w:rsidRDefault="002E6FC8" w:rsidP="002E6FC8">
      <w:pPr>
        <w:spacing w:line="480" w:lineRule="auto"/>
        <w:jc w:val="both"/>
        <w:rPr>
          <w:rFonts w:ascii="Times New Roman" w:hAnsi="Times New Roman" w:cs="Times New Roman"/>
          <w:sz w:val="24"/>
          <w:szCs w:val="24"/>
        </w:rPr>
      </w:pPr>
      <w:r w:rsidRPr="009F2ACB">
        <w:rPr>
          <w:rFonts w:ascii="Times New Roman" w:hAnsi="Times New Roman" w:cs="Times New Roman"/>
          <w:sz w:val="24"/>
          <w:szCs w:val="24"/>
        </w:rPr>
        <w:t>Keywords: Space-number associations; Mental arithmetic; Spatial attention; Development; Eye-tracker; Cognitive strategies</w:t>
      </w:r>
    </w:p>
    <w:p w14:paraId="5B29DDA2" w14:textId="77777777" w:rsidR="002E6FC8" w:rsidRPr="00CB1BA0" w:rsidRDefault="002E6FC8" w:rsidP="002E6FC8">
      <w:pPr>
        <w:spacing w:line="480" w:lineRule="auto"/>
        <w:rPr>
          <w:rFonts w:ascii="Times New Roman" w:hAnsi="Times New Roman" w:cs="Times New Roman"/>
          <w:b/>
          <w:sz w:val="24"/>
          <w:szCs w:val="24"/>
        </w:rPr>
      </w:pPr>
      <w:r w:rsidRPr="00CB1BA0">
        <w:rPr>
          <w:rFonts w:ascii="Times New Roman" w:hAnsi="Times New Roman" w:cs="Times New Roman"/>
          <w:b/>
          <w:sz w:val="24"/>
          <w:szCs w:val="24"/>
        </w:rPr>
        <w:br w:type="page"/>
      </w:r>
    </w:p>
    <w:p w14:paraId="70286C3C"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lastRenderedPageBreak/>
        <w:t xml:space="preserve">Mathematics, including mental arithmetic, is difficult to acquire for children and often remains a challenge for adults. The cognitive mechanisms responsible of mathematical abilities are still a matter of debate despite being the object of intensive research. It was suggested that humans rely on space to cope with this highly demanding cognitive task. Indeed, numerous studies showed spatial-numerical associations (hereafter SNAs) indicating that numerical magnitude is represented spatially from left to right in an ascending order (for recent reviews see Hawes &amp; Ansari, 2020 or Toomarian &amp; Hubbard, 2018). The hallmark of SNAs is the SNARC effect (Spatial-Numerical Association of Response Codes; Dehaene </w:t>
      </w:r>
      <w:r>
        <w:rPr>
          <w:rFonts w:ascii="Times New Roman" w:hAnsi="Times New Roman" w:cs="Times New Roman"/>
          <w:sz w:val="24"/>
          <w:szCs w:val="24"/>
        </w:rPr>
        <w:t>et al.,</w:t>
      </w:r>
      <w:r w:rsidRPr="00CB1BA0">
        <w:rPr>
          <w:rFonts w:ascii="Times New Roman" w:hAnsi="Times New Roman" w:cs="Times New Roman"/>
          <w:sz w:val="24"/>
          <w:szCs w:val="24"/>
        </w:rPr>
        <w:t xml:space="preserve"> 1993): in binary classification tasks (i.e., parity or magnitude judgement), Western participants respond faster to small magnitude numbers with their left hand, and to large magnitude numbers with their right hand. Aside to the SNARC effect, other studies demonstrated that small and large numbers elicit spatial attentional shifts to the left or the right, respectively (e.g., Salvaggio</w:t>
      </w:r>
      <w:r>
        <w:rPr>
          <w:rFonts w:ascii="Times New Roman" w:hAnsi="Times New Roman" w:cs="Times New Roman"/>
          <w:sz w:val="24"/>
          <w:szCs w:val="24"/>
        </w:rPr>
        <w:t xml:space="preserve">, </w:t>
      </w:r>
      <w:r w:rsidRPr="00CB1BA0">
        <w:rPr>
          <w:rFonts w:ascii="Times New Roman" w:hAnsi="Times New Roman" w:cs="Times New Roman"/>
          <w:sz w:val="24"/>
          <w:szCs w:val="24"/>
        </w:rPr>
        <w:t>Andres</w:t>
      </w:r>
      <w:r>
        <w:rPr>
          <w:rFonts w:ascii="Times New Roman" w:hAnsi="Times New Roman" w:cs="Times New Roman"/>
          <w:sz w:val="24"/>
          <w:szCs w:val="24"/>
        </w:rPr>
        <w:t xml:space="preserve"> et al.,</w:t>
      </w:r>
      <w:r w:rsidRPr="00CB1BA0">
        <w:rPr>
          <w:rFonts w:ascii="Times New Roman" w:hAnsi="Times New Roman" w:cs="Times New Roman"/>
          <w:sz w:val="24"/>
          <w:szCs w:val="24"/>
        </w:rPr>
        <w:t xml:space="preserve"> 2022; Stoianov </w:t>
      </w:r>
      <w:r>
        <w:rPr>
          <w:rFonts w:ascii="Times New Roman" w:hAnsi="Times New Roman" w:cs="Times New Roman"/>
          <w:sz w:val="24"/>
          <w:szCs w:val="24"/>
        </w:rPr>
        <w:t xml:space="preserve">et al., </w:t>
      </w:r>
      <w:r w:rsidRPr="00CB1BA0">
        <w:rPr>
          <w:rFonts w:ascii="Times New Roman" w:hAnsi="Times New Roman" w:cs="Times New Roman"/>
          <w:sz w:val="24"/>
          <w:szCs w:val="24"/>
        </w:rPr>
        <w:t>2008). It was also reported that processing small numbers spontaneously deviate the gaze to the right while large numbers deviate the gaze to the left (Bulf</w:t>
      </w:r>
      <w:r>
        <w:rPr>
          <w:rFonts w:ascii="Times New Roman" w:hAnsi="Times New Roman" w:cs="Times New Roman"/>
          <w:sz w:val="24"/>
          <w:szCs w:val="24"/>
        </w:rPr>
        <w:t xml:space="preserve"> et al., </w:t>
      </w:r>
      <w:r w:rsidRPr="00CB1BA0">
        <w:rPr>
          <w:rFonts w:ascii="Times New Roman" w:hAnsi="Times New Roman" w:cs="Times New Roman"/>
          <w:sz w:val="24"/>
          <w:szCs w:val="24"/>
        </w:rPr>
        <w:t>2016; Loetscher</w:t>
      </w:r>
      <w:r>
        <w:rPr>
          <w:rFonts w:ascii="Times New Roman" w:hAnsi="Times New Roman" w:cs="Times New Roman"/>
          <w:sz w:val="24"/>
          <w:szCs w:val="24"/>
        </w:rPr>
        <w:t xml:space="preserve"> et al.</w:t>
      </w:r>
      <w:r w:rsidRPr="00CB1BA0">
        <w:rPr>
          <w:rFonts w:ascii="Times New Roman" w:hAnsi="Times New Roman" w:cs="Times New Roman"/>
          <w:sz w:val="24"/>
          <w:szCs w:val="24"/>
        </w:rPr>
        <w:t xml:space="preserve">, 2010; Myachykov </w:t>
      </w:r>
      <w:r>
        <w:rPr>
          <w:rFonts w:ascii="Times New Roman" w:hAnsi="Times New Roman" w:cs="Times New Roman"/>
          <w:sz w:val="24"/>
          <w:szCs w:val="24"/>
        </w:rPr>
        <w:t>et al.,</w:t>
      </w:r>
      <w:r w:rsidRPr="00CB1BA0">
        <w:rPr>
          <w:rFonts w:ascii="Times New Roman" w:hAnsi="Times New Roman" w:cs="Times New Roman"/>
          <w:sz w:val="24"/>
          <w:szCs w:val="24"/>
        </w:rPr>
        <w:t xml:space="preserve"> 2015; Salvaggio</w:t>
      </w:r>
      <w:r>
        <w:rPr>
          <w:rFonts w:ascii="Times New Roman" w:hAnsi="Times New Roman" w:cs="Times New Roman"/>
          <w:sz w:val="24"/>
          <w:szCs w:val="24"/>
        </w:rPr>
        <w:t xml:space="preserve"> et al., </w:t>
      </w:r>
      <w:r w:rsidRPr="00CB1BA0">
        <w:rPr>
          <w:rFonts w:ascii="Times New Roman" w:hAnsi="Times New Roman" w:cs="Times New Roman"/>
          <w:sz w:val="24"/>
          <w:szCs w:val="24"/>
        </w:rPr>
        <w:t>2018). As such, gaze position is now considered as a reliable and sensitive measure to reveal online mental representations and processing of numerical magnitude, illustrating the old proverb referring to the eye as a window to the mind.</w:t>
      </w:r>
    </w:p>
    <w:p w14:paraId="59CD3893" w14:textId="26E31100" w:rsidR="002E6FC8" w:rsidRPr="00B2320F"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Interestingly, various behavioural experimental paradigms recently revealed that arithmetic processing in adults elicits SNAs with subtractions being associated to the left and additions to the right (e.g., Glaser &amp; Knops, 2020; Knops et al., 2009; Marghetis et al., 2014; Masson &amp; Pesenti, 2016; 2022; Pinhas &amp; Fischer, 2008). For instance, the detection of leftward or rightward targets was accelerated during subtractions and additions, respectively, suggesting that attention is shifted from the first operand towards the position of the response while searching for the answer (Liu</w:t>
      </w:r>
      <w:r>
        <w:rPr>
          <w:rFonts w:ascii="Times New Roman" w:hAnsi="Times New Roman" w:cs="Times New Roman"/>
          <w:sz w:val="24"/>
          <w:szCs w:val="24"/>
        </w:rPr>
        <w:t xml:space="preserve"> et al., </w:t>
      </w:r>
      <w:r w:rsidRPr="00CB1BA0">
        <w:rPr>
          <w:rFonts w:ascii="Times New Roman" w:hAnsi="Times New Roman" w:cs="Times New Roman"/>
          <w:sz w:val="24"/>
          <w:szCs w:val="24"/>
        </w:rPr>
        <w:t xml:space="preserve">2017; Masson &amp; Pesenti, 2014). It was also shown that for </w:t>
      </w:r>
      <w:r w:rsidRPr="00CB1BA0">
        <w:rPr>
          <w:rFonts w:ascii="Times New Roman" w:hAnsi="Times New Roman" w:cs="Times New Roman"/>
          <w:sz w:val="24"/>
          <w:szCs w:val="24"/>
        </w:rPr>
        <w:lastRenderedPageBreak/>
        <w:t>single-digit arithmetic problems, presenting the second operand (hereafter O2) on the right or left accelerated response times for additions and for subtractions, respectively (Mathieu</w:t>
      </w:r>
      <w:r>
        <w:rPr>
          <w:rFonts w:ascii="Times New Roman" w:hAnsi="Times New Roman" w:cs="Times New Roman"/>
          <w:sz w:val="24"/>
          <w:szCs w:val="24"/>
        </w:rPr>
        <w:t xml:space="preserve"> et al., </w:t>
      </w:r>
      <w:r w:rsidRPr="00CB1BA0">
        <w:rPr>
          <w:rFonts w:ascii="Times New Roman" w:hAnsi="Times New Roman" w:cs="Times New Roman"/>
          <w:sz w:val="24"/>
          <w:szCs w:val="24"/>
        </w:rPr>
        <w:t xml:space="preserve">2016). The interpretation of that effect was that the lateralized O2 attracted the attention into one hemifield and that this bottom-up shift of attention, when made in the congruent direction, facilitates the solving procedure by accelerating the exact computation of the problem that is akin to a rapid and internal shift along a mental number line. Neuropsychological studies further revealed that the </w:t>
      </w:r>
      <w:r w:rsidRPr="00B2320F">
        <w:rPr>
          <w:rFonts w:ascii="Times New Roman" w:hAnsi="Times New Roman" w:cs="Times New Roman"/>
          <w:sz w:val="24"/>
          <w:szCs w:val="24"/>
        </w:rPr>
        <w:t xml:space="preserve">acquired inability to orient attention to the left (i.e., left neglect) is associated with impairment for solving </w:t>
      </w:r>
      <w:r w:rsidR="00E1033D" w:rsidRPr="00B2320F">
        <w:rPr>
          <w:rFonts w:ascii="Times New Roman" w:hAnsi="Times New Roman" w:cs="Times New Roman"/>
          <w:sz w:val="24"/>
          <w:szCs w:val="24"/>
        </w:rPr>
        <w:t xml:space="preserve">multi-digit </w:t>
      </w:r>
      <w:r w:rsidRPr="00B2320F">
        <w:rPr>
          <w:rFonts w:ascii="Times New Roman" w:hAnsi="Times New Roman" w:cs="Times New Roman"/>
          <w:sz w:val="24"/>
          <w:szCs w:val="24"/>
        </w:rPr>
        <w:t xml:space="preserve">subtractions (Dormal et al., 2014) while the inability to orient attention to the right (i.e., right neglect) is associated to impairment for solving </w:t>
      </w:r>
      <w:r w:rsidR="00E1033D" w:rsidRPr="00B2320F">
        <w:rPr>
          <w:rFonts w:ascii="Times New Roman" w:hAnsi="Times New Roman" w:cs="Times New Roman"/>
          <w:sz w:val="24"/>
          <w:szCs w:val="24"/>
        </w:rPr>
        <w:t xml:space="preserve">multi-digit </w:t>
      </w:r>
      <w:r w:rsidRPr="00B2320F">
        <w:rPr>
          <w:rFonts w:ascii="Times New Roman" w:hAnsi="Times New Roman" w:cs="Times New Roman"/>
          <w:sz w:val="24"/>
          <w:szCs w:val="24"/>
        </w:rPr>
        <w:t>additions (Masson, Pesenti, Coyette et al., 2017). Classical models proposed that calculation of additions and subtractions</w:t>
      </w:r>
      <w:r w:rsidRPr="0022585F">
        <w:rPr>
          <w:rFonts w:ascii="Times New Roman" w:hAnsi="Times New Roman" w:cs="Times New Roman"/>
          <w:sz w:val="24"/>
          <w:szCs w:val="24"/>
        </w:rPr>
        <w:t xml:space="preserve"> involves mental manipulation of number magnitude representations that were conceived as abstract (McCloskey et al., 1985) or analogical (Dehaene, 1992), taking the form of a spatial continuum where numbers are aligned in ascending order (Hubbard et al., 2005). However, in these models, no distinction was made between the procedures and representations underlying the solving of addition versus subtraction problems.</w:t>
      </w:r>
      <w:r w:rsidRPr="0022585F">
        <w:t xml:space="preserve"> </w:t>
      </w:r>
      <w:r w:rsidRPr="0022585F">
        <w:rPr>
          <w:rFonts w:ascii="Times New Roman" w:hAnsi="Times New Roman" w:cs="Times New Roman"/>
          <w:sz w:val="24"/>
          <w:szCs w:val="24"/>
        </w:rPr>
        <w:t xml:space="preserve">Arithmetic impairments being associated with specific neglect orientations , this suggests that addition and subtraction rely on distinct components to shift attention. In other words, the double dissociation between additions and subtractions and SNA direction results from distinct mechanisms which underlie leftward and rightward attention shifts along a (similar) spatial-numerical continuum. Accordingly, manipulating the locus of attention while participants are </w:t>
      </w:r>
      <w:r w:rsidRPr="00B2320F">
        <w:rPr>
          <w:rFonts w:ascii="Times New Roman" w:hAnsi="Times New Roman" w:cs="Times New Roman"/>
          <w:sz w:val="24"/>
          <w:szCs w:val="24"/>
        </w:rPr>
        <w:t>calculating showed that orienting attention in the incongruent direction impairs arithmetic problem solving in healthy adults (Masson, Pesenti, &amp; Dormal, 2017; Masson &amp; Pesenti, 2022; Wiemers et al., 2014).</w:t>
      </w:r>
      <w:r w:rsidR="00F829CA" w:rsidRPr="00B2320F">
        <w:rPr>
          <w:rFonts w:ascii="Times New Roman" w:hAnsi="Times New Roman" w:cs="Times New Roman"/>
          <w:sz w:val="24"/>
          <w:szCs w:val="24"/>
        </w:rPr>
        <w:t xml:space="preserve"> While these neuropsychological and interfering studies support a functional role of spatial attention for multi-digit arithmetic, this remains debated for single digit problems. Indeed, retrieval account</w:t>
      </w:r>
      <w:r w:rsidR="009F2ACB" w:rsidRPr="00B2320F">
        <w:rPr>
          <w:rFonts w:ascii="Times New Roman" w:hAnsi="Times New Roman" w:cs="Times New Roman"/>
          <w:sz w:val="24"/>
          <w:szCs w:val="24"/>
        </w:rPr>
        <w:t>s</w:t>
      </w:r>
      <w:r w:rsidR="00F829CA" w:rsidRPr="00B2320F">
        <w:rPr>
          <w:rFonts w:ascii="Times New Roman" w:hAnsi="Times New Roman" w:cs="Times New Roman"/>
          <w:sz w:val="24"/>
          <w:szCs w:val="24"/>
        </w:rPr>
        <w:t xml:space="preserve"> suggest that adults solve </w:t>
      </w:r>
      <w:r w:rsidR="00F829CA" w:rsidRPr="00B2320F">
        <w:rPr>
          <w:rFonts w:ascii="Times New Roman" w:hAnsi="Times New Roman" w:cs="Times New Roman"/>
          <w:sz w:val="24"/>
          <w:szCs w:val="24"/>
        </w:rPr>
        <w:lastRenderedPageBreak/>
        <w:t>small single-digit additions by directly retrieving their answer from long-term memory (e.g., Ashcraft, 1992; Campbell</w:t>
      </w:r>
      <w:r w:rsidR="000B1CC3" w:rsidRPr="00B2320F">
        <w:rPr>
          <w:rFonts w:ascii="Times New Roman" w:hAnsi="Times New Roman" w:cs="Times New Roman"/>
          <w:sz w:val="24"/>
          <w:szCs w:val="24"/>
        </w:rPr>
        <w:t xml:space="preserve"> &amp; Xue</w:t>
      </w:r>
      <w:r w:rsidR="00F829CA" w:rsidRPr="00B2320F">
        <w:rPr>
          <w:rFonts w:ascii="Times New Roman" w:hAnsi="Times New Roman" w:cs="Times New Roman"/>
          <w:sz w:val="24"/>
          <w:szCs w:val="24"/>
        </w:rPr>
        <w:t xml:space="preserve">, </w:t>
      </w:r>
      <w:r w:rsidR="000B1CC3" w:rsidRPr="00B2320F">
        <w:rPr>
          <w:rFonts w:ascii="Times New Roman" w:hAnsi="Times New Roman" w:cs="Times New Roman"/>
          <w:sz w:val="24"/>
          <w:szCs w:val="24"/>
        </w:rPr>
        <w:t>2001</w:t>
      </w:r>
      <w:r w:rsidR="00F829CA" w:rsidRPr="00B2320F">
        <w:rPr>
          <w:rFonts w:ascii="Times New Roman" w:hAnsi="Times New Roman" w:cs="Times New Roman"/>
          <w:sz w:val="24"/>
          <w:szCs w:val="24"/>
        </w:rPr>
        <w:t>).</w:t>
      </w:r>
      <w:r w:rsidR="007D69D6" w:rsidRPr="00B2320F">
        <w:rPr>
          <w:rFonts w:ascii="Times New Roman" w:hAnsi="Times New Roman" w:cs="Times New Roman"/>
          <w:sz w:val="24"/>
          <w:szCs w:val="24"/>
        </w:rPr>
        <w:t xml:space="preserve"> T</w:t>
      </w:r>
      <w:r w:rsidR="00F829CA" w:rsidRPr="00B2320F">
        <w:rPr>
          <w:rFonts w:ascii="Times New Roman" w:hAnsi="Times New Roman" w:cs="Times New Roman"/>
          <w:sz w:val="24"/>
          <w:szCs w:val="24"/>
        </w:rPr>
        <w:t>his has recently been challenged by behavioural studies suggesting that adults solve small additions through automated counting procedures</w:t>
      </w:r>
      <w:r w:rsidR="00707970" w:rsidRPr="00B2320F">
        <w:rPr>
          <w:rFonts w:ascii="Times New Roman" w:hAnsi="Times New Roman" w:cs="Times New Roman"/>
          <w:sz w:val="24"/>
          <w:szCs w:val="24"/>
        </w:rPr>
        <w:t>, akin to movements along a mental continuum,</w:t>
      </w:r>
      <w:r w:rsidR="00F829CA" w:rsidRPr="00B2320F">
        <w:rPr>
          <w:rFonts w:ascii="Times New Roman" w:hAnsi="Times New Roman" w:cs="Times New Roman"/>
          <w:sz w:val="24"/>
          <w:szCs w:val="24"/>
        </w:rPr>
        <w:t xml:space="preserve"> that </w:t>
      </w:r>
      <w:r w:rsidR="00707970" w:rsidRPr="00B2320F">
        <w:rPr>
          <w:rFonts w:ascii="Times New Roman" w:hAnsi="Times New Roman" w:cs="Times New Roman"/>
          <w:sz w:val="24"/>
          <w:szCs w:val="24"/>
        </w:rPr>
        <w:t>are</w:t>
      </w:r>
      <w:r w:rsidR="00F829CA" w:rsidRPr="00B2320F">
        <w:rPr>
          <w:rFonts w:ascii="Times New Roman" w:hAnsi="Times New Roman" w:cs="Times New Roman"/>
          <w:sz w:val="24"/>
          <w:szCs w:val="24"/>
        </w:rPr>
        <w:t xml:space="preserve"> so fast that they are unconscious and mistaken for retrieval </w:t>
      </w:r>
      <w:r w:rsidR="00A104B6" w:rsidRPr="00B2320F">
        <w:rPr>
          <w:rFonts w:ascii="Times New Roman" w:hAnsi="Times New Roman" w:cs="Times New Roman"/>
          <w:sz w:val="24"/>
          <w:szCs w:val="24"/>
        </w:rPr>
        <w:t>(e.g., Mathieu et al., 2016; Uittenhove et al., 2016).</w:t>
      </w:r>
    </w:p>
    <w:p w14:paraId="31004621"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B2320F">
        <w:rPr>
          <w:rFonts w:ascii="Times New Roman" w:hAnsi="Times New Roman" w:cs="Times New Roman"/>
          <w:sz w:val="24"/>
          <w:szCs w:val="24"/>
        </w:rPr>
        <w:t>Several studies also reported spatial biases in the vertical plane, with additions and subtractions being associated to upward or downward spatial biases, respectively (Blini et al., 2019; Wiemers et al., 2014). It is, however, still under debate whether</w:t>
      </w:r>
      <w:r w:rsidRPr="00CB1BA0">
        <w:rPr>
          <w:rFonts w:ascii="Times New Roman" w:hAnsi="Times New Roman" w:cs="Times New Roman"/>
          <w:sz w:val="24"/>
          <w:szCs w:val="24"/>
        </w:rPr>
        <w:t xml:space="preserve"> SNAs in different planes attest an active adaptation to the task demands (Bächtold</w:t>
      </w:r>
      <w:r>
        <w:rPr>
          <w:rFonts w:ascii="Times New Roman" w:hAnsi="Times New Roman" w:cs="Times New Roman"/>
          <w:sz w:val="24"/>
          <w:szCs w:val="24"/>
        </w:rPr>
        <w:t xml:space="preserve"> et al.,</w:t>
      </w:r>
      <w:r w:rsidRPr="00CB1BA0">
        <w:rPr>
          <w:rFonts w:ascii="Times New Roman" w:hAnsi="Times New Roman" w:cs="Times New Roman"/>
          <w:sz w:val="24"/>
          <w:szCs w:val="24"/>
        </w:rPr>
        <w:t>1998), distinct mental representations (Aleotti</w:t>
      </w:r>
      <w:r>
        <w:rPr>
          <w:rFonts w:ascii="Times New Roman" w:hAnsi="Times New Roman" w:cs="Times New Roman"/>
          <w:sz w:val="24"/>
          <w:szCs w:val="24"/>
        </w:rPr>
        <w:t xml:space="preserve"> et al.</w:t>
      </w:r>
      <w:r w:rsidRPr="00CB1BA0">
        <w:rPr>
          <w:rFonts w:ascii="Times New Roman" w:hAnsi="Times New Roman" w:cs="Times New Roman"/>
          <w:sz w:val="24"/>
          <w:szCs w:val="24"/>
        </w:rPr>
        <w:t>, 2020) or distinct roles in the solving procedure (Salvaggio, Masson</w:t>
      </w:r>
      <w:r>
        <w:rPr>
          <w:rFonts w:ascii="Times New Roman" w:hAnsi="Times New Roman" w:cs="Times New Roman"/>
          <w:sz w:val="24"/>
          <w:szCs w:val="24"/>
        </w:rPr>
        <w:t xml:space="preserve"> et al.</w:t>
      </w:r>
      <w:r w:rsidRPr="00CB1BA0">
        <w:rPr>
          <w:rFonts w:ascii="Times New Roman" w:hAnsi="Times New Roman" w:cs="Times New Roman"/>
          <w:sz w:val="24"/>
          <w:szCs w:val="24"/>
        </w:rPr>
        <w:t>, 2022). To fully understand how space is used to solve mental arithmetic it will consequently be necessary to investigate SNAs in the horizontal and vertical plane simultaneously.</w:t>
      </w:r>
    </w:p>
    <w:p w14:paraId="728F3AF3"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Beyond the orientation of the spatial biases, it is crucial to decipher the exact role attention plays when solving arithmetic problems. Most theoretical propositions suggest that the attentional shifts reflect the computing procedures when participants are searching for the answer by combining the two known operands (e.g., Knops et al., 2009; Mathieu et al., 2016; McCrink et al., 2007). In this view, attentional shifts can only occur within the period between the moment when participants know all the elements of the problem (i.e., both operands and the operator) and the onset of their answer. However, recent empirical data are not fully compatible with this view as it was shown that attention is also deployed earlier, when participants are only aware of the first operand and the operator (i.e., before knowing the number to add or subtract; Hartmann</w:t>
      </w:r>
      <w:r>
        <w:rPr>
          <w:rFonts w:ascii="Times New Roman" w:hAnsi="Times New Roman" w:cs="Times New Roman"/>
          <w:sz w:val="24"/>
          <w:szCs w:val="24"/>
        </w:rPr>
        <w:t xml:space="preserve"> et al., </w:t>
      </w:r>
      <w:r w:rsidRPr="00CB1BA0">
        <w:rPr>
          <w:rFonts w:ascii="Times New Roman" w:hAnsi="Times New Roman" w:cs="Times New Roman"/>
          <w:sz w:val="24"/>
          <w:szCs w:val="24"/>
        </w:rPr>
        <w:t xml:space="preserve">2015; Liu et al., 2017; Salvaggio, Masson et al., 2022). This implies that attentional shifts, depending on when they occur, reflect distinct functional mechanisms: the early shift serves at converting the arithmetic problem into a spatial </w:t>
      </w:r>
      <w:r w:rsidRPr="00CB1BA0">
        <w:rPr>
          <w:rFonts w:ascii="Times New Roman" w:hAnsi="Times New Roman" w:cs="Times New Roman"/>
          <w:sz w:val="24"/>
          <w:szCs w:val="24"/>
        </w:rPr>
        <w:lastRenderedPageBreak/>
        <w:t>frame to reduce the cognitive load of the problem by representing the plausible answers on the right or left from the first operand (Salvaggio, Masson et al., 2022). The first anticipatory shift would thus prepare for an efficient processing and use of the second operand which triggers a second shift during the exact computation occurring before the production of the answer (Liu et al., 2017; Salvaggio, Masson et al., 2022).</w:t>
      </w:r>
    </w:p>
    <w:p w14:paraId="7BD569BF" w14:textId="77777777" w:rsidR="002E6FC8" w:rsidRPr="00CB1BA0" w:rsidRDefault="002E6FC8" w:rsidP="002E6FC8">
      <w:pPr>
        <w:spacing w:line="480" w:lineRule="auto"/>
        <w:ind w:firstLine="720"/>
        <w:jc w:val="both"/>
        <w:rPr>
          <w:rFonts w:ascii="Times New Roman" w:hAnsi="Times New Roman" w:cs="Times New Roman"/>
          <w:sz w:val="24"/>
          <w:szCs w:val="24"/>
          <w:lang w:val="en-US"/>
        </w:rPr>
      </w:pPr>
      <w:r w:rsidRPr="00CB1BA0">
        <w:rPr>
          <w:rFonts w:ascii="Times New Roman" w:hAnsi="Times New Roman" w:cs="Times New Roman"/>
          <w:sz w:val="24"/>
          <w:szCs w:val="24"/>
          <w:lang w:val="en-US"/>
        </w:rPr>
        <w:t xml:space="preserve">Critically, the origin and the developmental trajectory of these SNAs in arithmetic remain unknown and poorly investigated because it is assumed that they follow the same developmental trajectory than SNAs for processing single numerical magnitudes. Indeed, SNAs for a single numerical magnitude (e.g., SNARC-effect) are first biologically oriented from left-to-right as </w:t>
      </w:r>
      <w:r w:rsidRPr="0022585F">
        <w:rPr>
          <w:rFonts w:ascii="Times New Roman" w:hAnsi="Times New Roman" w:cs="Times New Roman"/>
          <w:sz w:val="24"/>
          <w:szCs w:val="24"/>
          <w:lang w:val="en-US"/>
        </w:rPr>
        <w:t>revealed by studies on non-human species and preliterate children (e.g., Bulf et al., 2016; Rugani &amp; de Hevia, 2017; Rugani et al., 2015). Progressively, through the observation of cultural directional habits of</w:t>
      </w:r>
      <w:r w:rsidRPr="00CB1BA0">
        <w:rPr>
          <w:rFonts w:ascii="Times New Roman" w:hAnsi="Times New Roman" w:cs="Times New Roman"/>
          <w:sz w:val="24"/>
          <w:szCs w:val="24"/>
          <w:lang w:val="en-US"/>
        </w:rPr>
        <w:t xml:space="preserve"> the caregivers and by the acquisition of reading, the orientation of the SNARC effect follows the orientation of cultural reading habits (e.g., McCrink &amp; Opfer, 2014; Patro</w:t>
      </w:r>
      <w:r>
        <w:rPr>
          <w:rFonts w:ascii="Times New Roman" w:hAnsi="Times New Roman" w:cs="Times New Roman"/>
          <w:sz w:val="24"/>
          <w:szCs w:val="24"/>
          <w:lang w:val="en-US"/>
        </w:rPr>
        <w:t xml:space="preserve"> et al., </w:t>
      </w:r>
      <w:r w:rsidRPr="00CB1BA0">
        <w:rPr>
          <w:rFonts w:ascii="Times New Roman" w:hAnsi="Times New Roman" w:cs="Times New Roman"/>
          <w:sz w:val="24"/>
          <w:szCs w:val="24"/>
          <w:lang w:val="en-US"/>
        </w:rPr>
        <w:t>2016; Shaki</w:t>
      </w:r>
      <w:r>
        <w:rPr>
          <w:rFonts w:ascii="Times New Roman" w:hAnsi="Times New Roman" w:cs="Times New Roman"/>
          <w:sz w:val="24"/>
          <w:szCs w:val="24"/>
          <w:lang w:val="en-US"/>
        </w:rPr>
        <w:t xml:space="preserve"> et al.</w:t>
      </w:r>
      <w:r w:rsidRPr="00CB1BA0">
        <w:rPr>
          <w:rFonts w:ascii="Times New Roman" w:hAnsi="Times New Roman" w:cs="Times New Roman"/>
          <w:sz w:val="24"/>
          <w:szCs w:val="24"/>
          <w:lang w:val="en-US"/>
        </w:rPr>
        <w:t xml:space="preserve">, 2009). However, unlike SNAs in single numbers, SNAs in arithmetic </w:t>
      </w:r>
      <w:bookmarkStart w:id="0" w:name="_Hlk138427325"/>
      <w:r w:rsidRPr="00CB1BA0">
        <w:rPr>
          <w:rFonts w:ascii="Times New Roman" w:hAnsi="Times New Roman" w:cs="Times New Roman"/>
          <w:sz w:val="24"/>
          <w:szCs w:val="24"/>
          <w:lang w:val="en-US"/>
        </w:rPr>
        <w:t>were recently shown to be independent from the orientation of reading and writing direction as monolingual adults of opposite reading directions (i.e., Arabic and French-speaking participants) showed identical rightward spatial bias for additions and leftward bias for subtraction (Masson</w:t>
      </w:r>
      <w:r>
        <w:rPr>
          <w:rFonts w:ascii="Times New Roman" w:hAnsi="Times New Roman" w:cs="Times New Roman"/>
          <w:sz w:val="24"/>
          <w:szCs w:val="24"/>
          <w:lang w:val="en-US"/>
        </w:rPr>
        <w:t xml:space="preserve"> et al.</w:t>
      </w:r>
      <w:r w:rsidRPr="00CB1BA0">
        <w:rPr>
          <w:rFonts w:ascii="Times New Roman" w:hAnsi="Times New Roman" w:cs="Times New Roman"/>
          <w:sz w:val="24"/>
          <w:szCs w:val="24"/>
          <w:lang w:val="en-US"/>
        </w:rPr>
        <w:t>, 2020).</w:t>
      </w:r>
      <w:bookmarkEnd w:id="0"/>
      <w:r w:rsidRPr="00CB1BA0">
        <w:rPr>
          <w:rFonts w:ascii="Times New Roman" w:hAnsi="Times New Roman" w:cs="Times New Roman"/>
          <w:sz w:val="24"/>
          <w:szCs w:val="24"/>
        </w:rPr>
        <w:t xml:space="preserve"> </w:t>
      </w:r>
      <w:r w:rsidRPr="00CB1BA0">
        <w:rPr>
          <w:rFonts w:ascii="Times New Roman" w:hAnsi="Times New Roman" w:cs="Times New Roman"/>
          <w:sz w:val="24"/>
          <w:szCs w:val="24"/>
          <w:lang w:val="en-US"/>
        </w:rPr>
        <w:t>These different underlying roots for single numbers and arithmetic SNAs are in line with recent theoretical proposals suggesting that SNAs, despite their behavioral resemblance, could tap into distinct and independent cognitive mechanisms (Cipora et al., 2018). It is thus essential to define (1) at what age SNAs for arithmetic can first be observed and (2) how space is used for mental arithmetic at different developmental stages.</w:t>
      </w:r>
    </w:p>
    <w:p w14:paraId="4546ACC3"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 xml:space="preserve">Surprisingly, up to date SNAs in arithmetic were almost exclusively investigated in adults. It is thus not known when these biases appear during development and whether they are useful in the acquisition of mathematical skills. Currently, the only developmental study that </w:t>
      </w:r>
      <w:r w:rsidRPr="00CB1BA0">
        <w:rPr>
          <w:rFonts w:ascii="Times New Roman" w:hAnsi="Times New Roman" w:cs="Times New Roman"/>
          <w:sz w:val="24"/>
          <w:szCs w:val="24"/>
        </w:rPr>
        <w:lastRenderedPageBreak/>
        <w:t>directly manipulated SNAs in arithmetic suggests that children do not exhibit spatial biases for additions and subtractions until Grade 4. The authors used a paradigm developed by Mathieu and colleague’s (2016), consisting in a task in which children had to solve simple arithmetical problems with the second operand presented to the right or to the left 300 ms after the presentation of the operator (Diaz-Barriga Yanez et al., 2020). In their first experiment, the authors showed that presenting the second operand on the left facilitated subtraction in 5</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but not in 3</w:t>
      </w:r>
      <w:r w:rsidRPr="00CB1BA0">
        <w:rPr>
          <w:rFonts w:ascii="Times New Roman" w:hAnsi="Times New Roman" w:cs="Times New Roman"/>
          <w:sz w:val="24"/>
          <w:szCs w:val="24"/>
          <w:vertAlign w:val="superscript"/>
        </w:rPr>
        <w:t>rd</w:t>
      </w:r>
      <w:r w:rsidRPr="00CB1BA0">
        <w:rPr>
          <w:rFonts w:ascii="Times New Roman" w:hAnsi="Times New Roman" w:cs="Times New Roman"/>
          <w:sz w:val="24"/>
          <w:szCs w:val="24"/>
        </w:rPr>
        <w:t xml:space="preserve"> and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A second experiment revealed that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and 5</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responded faster for additions when the second operand was displayed on the right. However, this effect for additions was totally absent in Experiment 1 in a sample of similar age, questioning the sensitivity and reliability of this behavioural method to detect subtle and time-sensitive effects (see Campbell</w:t>
      </w:r>
      <w:r>
        <w:rPr>
          <w:rFonts w:ascii="Times New Roman" w:hAnsi="Times New Roman" w:cs="Times New Roman"/>
          <w:sz w:val="24"/>
          <w:szCs w:val="24"/>
        </w:rPr>
        <w:t xml:space="preserve"> et al., </w:t>
      </w:r>
      <w:r w:rsidRPr="00CB1BA0">
        <w:rPr>
          <w:rFonts w:ascii="Times New Roman" w:hAnsi="Times New Roman" w:cs="Times New Roman"/>
          <w:sz w:val="24"/>
          <w:szCs w:val="24"/>
        </w:rPr>
        <w:t>2021). Behavioural paradigms in which attention shifts are temporally bound to the apparition of a visual stimuli that participants need to process might miss the period during which the attentional shift is made. Diaz-Barriga Yanez and colleagues (2020) thus used a task developed for adult participants showing that spatial biases peak at 300 ms after the presentation of the operator. The authors assumed that the timing of the deployment of attention in adults and children would be equivalent and did not consider that adults might shift their attention earlier or later than children. If so, attentional shifts would consequently remain undetected in children with the original paradigm and might already exist before the 3</w:t>
      </w:r>
      <w:r w:rsidRPr="00CB1BA0">
        <w:rPr>
          <w:rFonts w:ascii="Times New Roman" w:hAnsi="Times New Roman" w:cs="Times New Roman"/>
          <w:sz w:val="24"/>
          <w:szCs w:val="24"/>
          <w:vertAlign w:val="superscript"/>
        </w:rPr>
        <w:t>rd</w:t>
      </w:r>
      <w:r w:rsidRPr="00CB1BA0">
        <w:rPr>
          <w:rFonts w:ascii="Times New Roman" w:hAnsi="Times New Roman" w:cs="Times New Roman"/>
          <w:sz w:val="24"/>
          <w:szCs w:val="24"/>
        </w:rPr>
        <w:t xml:space="preserve"> Grade. Such putative shifts could, however, be detected with an eye-tracker as is allows following the attentional locus all along a trial without temporal constraint (Hartmann et al., 2015; Masson et al., 2018; Salvaggio, Masson et al., 2022).</w:t>
      </w:r>
    </w:p>
    <w:p w14:paraId="435E8FBA"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 xml:space="preserve">Our study aims to highlight attentional biases elicited by mental arithmetic in children. We will describe </w:t>
      </w:r>
      <w:r>
        <w:rPr>
          <w:rFonts w:ascii="Times New Roman" w:hAnsi="Times New Roman" w:cs="Times New Roman"/>
          <w:sz w:val="24"/>
          <w:szCs w:val="24"/>
        </w:rPr>
        <w:t>gaze movements as a proxy of spatial attention during an arithmetic task</w:t>
      </w:r>
      <w:r w:rsidRPr="00CB1BA0">
        <w:rPr>
          <w:rFonts w:ascii="Times New Roman" w:hAnsi="Times New Roman" w:cs="Times New Roman"/>
          <w:sz w:val="24"/>
          <w:szCs w:val="24"/>
        </w:rPr>
        <w:t xml:space="preserve"> in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(Experiment 1) and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graders (Experiment 2) to uncover at what age attentional biases emerge and what cognitive mechanisms they support. Using an eye-tracker with a high temporal </w:t>
      </w:r>
      <w:r w:rsidRPr="00CB1BA0">
        <w:rPr>
          <w:rFonts w:ascii="Times New Roman" w:hAnsi="Times New Roman" w:cs="Times New Roman"/>
          <w:sz w:val="24"/>
          <w:szCs w:val="24"/>
        </w:rPr>
        <w:lastRenderedPageBreak/>
        <w:t>resolution will allow a detailed assessment of both the spatial and temporal dynamics of attentional shifts. Since adults display attentional effects in both orientations (Blini et al., 2019; Hartmann et al., 201</w:t>
      </w:r>
      <w:r>
        <w:rPr>
          <w:rFonts w:ascii="Times New Roman" w:hAnsi="Times New Roman" w:cs="Times New Roman"/>
          <w:sz w:val="24"/>
          <w:szCs w:val="24"/>
        </w:rPr>
        <w:t>5</w:t>
      </w:r>
      <w:r w:rsidRPr="00CB1BA0">
        <w:rPr>
          <w:rFonts w:ascii="Times New Roman" w:hAnsi="Times New Roman" w:cs="Times New Roman"/>
          <w:sz w:val="24"/>
          <w:szCs w:val="24"/>
        </w:rPr>
        <w:t>; Salvaggio, Masson et al., 2022; Wiemers, et al., 2014), we will thus investigate both horizontal and vertical shifts. Moreover, we will also test whether children of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and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 display the two types of attentional shifts previously observed in adults during the problem presentation and the exact computation phases respectively.</w:t>
      </w:r>
    </w:p>
    <w:p w14:paraId="1DBCB913" w14:textId="77777777" w:rsidR="002E6FC8" w:rsidRPr="00CB1BA0" w:rsidRDefault="002E6FC8" w:rsidP="002E6FC8">
      <w:pPr>
        <w:spacing w:line="480" w:lineRule="auto"/>
        <w:jc w:val="both"/>
        <w:rPr>
          <w:rFonts w:ascii="Times New Roman" w:hAnsi="Times New Roman" w:cs="Times New Roman"/>
          <w:b/>
          <w:sz w:val="24"/>
          <w:szCs w:val="24"/>
        </w:rPr>
      </w:pPr>
      <w:r w:rsidRPr="00CB1BA0">
        <w:rPr>
          <w:rFonts w:ascii="Times New Roman" w:hAnsi="Times New Roman" w:cs="Times New Roman"/>
          <w:b/>
          <w:sz w:val="24"/>
          <w:szCs w:val="24"/>
        </w:rPr>
        <w:t>Experiment 1: 4</w:t>
      </w:r>
      <w:r w:rsidRPr="00CB1BA0">
        <w:rPr>
          <w:rFonts w:ascii="Times New Roman" w:hAnsi="Times New Roman" w:cs="Times New Roman"/>
          <w:b/>
          <w:sz w:val="24"/>
          <w:szCs w:val="24"/>
          <w:vertAlign w:val="superscript"/>
        </w:rPr>
        <w:t>th</w:t>
      </w:r>
      <w:r w:rsidRPr="00CB1BA0">
        <w:rPr>
          <w:rFonts w:ascii="Times New Roman" w:hAnsi="Times New Roman" w:cs="Times New Roman"/>
          <w:b/>
          <w:sz w:val="24"/>
          <w:szCs w:val="24"/>
        </w:rPr>
        <w:t xml:space="preserve"> Graders</w:t>
      </w:r>
    </w:p>
    <w:p w14:paraId="6C14D3F5" w14:textId="77777777" w:rsidR="002E6FC8" w:rsidRPr="001A4D51" w:rsidRDefault="002E6FC8" w:rsidP="002E6FC8">
      <w:pPr>
        <w:spacing w:line="480" w:lineRule="auto"/>
        <w:jc w:val="both"/>
        <w:rPr>
          <w:rFonts w:ascii="Times New Roman" w:hAnsi="Times New Roman" w:cs="Times New Roman"/>
          <w:b/>
          <w:i/>
          <w:iCs/>
          <w:sz w:val="24"/>
          <w:szCs w:val="24"/>
        </w:rPr>
      </w:pPr>
      <w:r w:rsidRPr="001A4D51">
        <w:rPr>
          <w:rFonts w:ascii="Times New Roman" w:hAnsi="Times New Roman" w:cs="Times New Roman"/>
          <w:b/>
          <w:i/>
          <w:iCs/>
          <w:sz w:val="24"/>
          <w:szCs w:val="24"/>
        </w:rPr>
        <w:t>Methods</w:t>
      </w:r>
    </w:p>
    <w:p w14:paraId="761457D6"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1A4D51">
        <w:rPr>
          <w:rFonts w:ascii="Times New Roman" w:hAnsi="Times New Roman" w:cs="Times New Roman"/>
          <w:b/>
          <w:i/>
          <w:iCs/>
          <w:sz w:val="24"/>
          <w:szCs w:val="24"/>
        </w:rPr>
        <w:t>Participants</w:t>
      </w:r>
      <w:r>
        <w:rPr>
          <w:rFonts w:ascii="Times New Roman" w:hAnsi="Times New Roman" w:cs="Times New Roman"/>
          <w:b/>
          <w:i/>
          <w:iCs/>
          <w:sz w:val="24"/>
          <w:szCs w:val="24"/>
        </w:rPr>
        <w:t xml:space="preserve">. </w:t>
      </w:r>
      <w:r w:rsidRPr="00CB1BA0">
        <w:rPr>
          <w:rFonts w:ascii="Times New Roman" w:hAnsi="Times New Roman" w:cs="Times New Roman"/>
          <w:sz w:val="24"/>
          <w:szCs w:val="24"/>
        </w:rPr>
        <w:t>The only previous study investigating spatial-attentional shifts in arithmetic among children revealed an effect size of d=.51 (Diaz-Barriga Yanez et al., 2020). We calculated that a sample size of 44 achieves a 95% power to detect an effect of that size with α = 0.05. In order to anticipate data loss due to technical issues with the eye-tracker and exclusion of participants because of low accuracy, we tested 55 participants (mean age 10 ± 0.8 years old; 24 females, 31 males; 45 right-</w:t>
      </w:r>
      <w:r w:rsidRPr="00B0210E">
        <w:rPr>
          <w:rFonts w:ascii="Times New Roman" w:hAnsi="Times New Roman" w:cs="Times New Roman"/>
          <w:sz w:val="24"/>
          <w:szCs w:val="24"/>
        </w:rPr>
        <w:t xml:space="preserve">handed). </w:t>
      </w:r>
      <w:bookmarkStart w:id="1" w:name="_Hlk119334684"/>
      <w:r w:rsidRPr="00B0210E">
        <w:rPr>
          <w:rFonts w:ascii="Times New Roman" w:hAnsi="Times New Roman" w:cs="Times New Roman"/>
          <w:sz w:val="24"/>
          <w:szCs w:val="24"/>
        </w:rPr>
        <w:t xml:space="preserve">Due to ethical rules and data protection rules, race of participants </w:t>
      </w:r>
      <w:r>
        <w:rPr>
          <w:rFonts w:ascii="Times New Roman" w:hAnsi="Times New Roman" w:cs="Times New Roman"/>
          <w:sz w:val="24"/>
          <w:szCs w:val="24"/>
        </w:rPr>
        <w:t xml:space="preserve">and their socio-economic status </w:t>
      </w:r>
      <w:r w:rsidRPr="00B0210E">
        <w:rPr>
          <w:rFonts w:ascii="Times New Roman" w:hAnsi="Times New Roman" w:cs="Times New Roman"/>
          <w:sz w:val="24"/>
          <w:szCs w:val="24"/>
        </w:rPr>
        <w:t xml:space="preserve">could not be collected in this study. </w:t>
      </w:r>
      <w:bookmarkEnd w:id="1"/>
      <w:r w:rsidRPr="00B0210E">
        <w:rPr>
          <w:rFonts w:ascii="Times New Roman" w:hAnsi="Times New Roman" w:cs="Times New Roman"/>
          <w:sz w:val="24"/>
          <w:szCs w:val="24"/>
        </w:rPr>
        <w:t>Children were recruited from 4</w:t>
      </w:r>
      <w:r w:rsidRPr="00B0210E">
        <w:rPr>
          <w:rFonts w:ascii="Times New Roman" w:hAnsi="Times New Roman" w:cs="Times New Roman"/>
          <w:sz w:val="24"/>
          <w:szCs w:val="24"/>
          <w:vertAlign w:val="superscript"/>
        </w:rPr>
        <w:t>th</w:t>
      </w:r>
      <w:r w:rsidRPr="00B0210E">
        <w:rPr>
          <w:rFonts w:ascii="Times New Roman" w:hAnsi="Times New Roman" w:cs="Times New Roman"/>
          <w:sz w:val="24"/>
          <w:szCs w:val="24"/>
        </w:rPr>
        <w:t xml:space="preserve"> grade classes within two schools, one in the French part of Belgium (n=29), and another one in Luxemburg (n=26)</w:t>
      </w:r>
      <w:r>
        <w:rPr>
          <w:rFonts w:ascii="Times New Roman" w:hAnsi="Times New Roman" w:cs="Times New Roman"/>
          <w:sz w:val="24"/>
          <w:szCs w:val="24"/>
        </w:rPr>
        <w:t xml:space="preserve">. Written informed consent was obtained from the children and their parents. </w:t>
      </w:r>
      <w:r w:rsidRPr="00B0210E">
        <w:rPr>
          <w:rFonts w:ascii="Times New Roman" w:hAnsi="Times New Roman" w:cs="Times New Roman"/>
          <w:sz w:val="24"/>
          <w:szCs w:val="24"/>
        </w:rPr>
        <w:t>Six participants were removed from the sample</w:t>
      </w:r>
      <w:r w:rsidRPr="00CB1BA0">
        <w:rPr>
          <w:rFonts w:ascii="Times New Roman" w:hAnsi="Times New Roman" w:cs="Times New Roman"/>
          <w:sz w:val="24"/>
          <w:szCs w:val="24"/>
        </w:rPr>
        <w:t xml:space="preserve"> because we had to remove more than 40% of their trials from the analysis (see Data Analysis below). After exclusion, the sample was constituted by 48 children. All participants had normal vision. No participant was diagnosed with mathematical learning difficulties. The procedures were in accordance with the ethical standards established by the Declaration of Helsinki, and the experiment was approved by the </w:t>
      </w:r>
      <w:r>
        <w:rPr>
          <w:rFonts w:ascii="Times New Roman" w:hAnsi="Times New Roman" w:cs="Times New Roman"/>
          <w:sz w:val="24"/>
          <w:szCs w:val="24"/>
        </w:rPr>
        <w:t>local ethical Committees.</w:t>
      </w:r>
    </w:p>
    <w:p w14:paraId="057A9412"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1A4D51">
        <w:rPr>
          <w:rFonts w:ascii="Times New Roman" w:hAnsi="Times New Roman" w:cs="Times New Roman"/>
          <w:b/>
          <w:i/>
          <w:iCs/>
          <w:sz w:val="24"/>
          <w:szCs w:val="24"/>
        </w:rPr>
        <w:lastRenderedPageBreak/>
        <w:t>Apparatus</w:t>
      </w:r>
      <w:r>
        <w:rPr>
          <w:rFonts w:ascii="Times New Roman" w:hAnsi="Times New Roman" w:cs="Times New Roman"/>
          <w:b/>
          <w:sz w:val="24"/>
          <w:szCs w:val="24"/>
        </w:rPr>
        <w:t xml:space="preserve">. </w:t>
      </w:r>
      <w:r w:rsidRPr="00CB1BA0">
        <w:rPr>
          <w:rFonts w:ascii="Times New Roman" w:hAnsi="Times New Roman" w:cs="Times New Roman"/>
          <w:sz w:val="24"/>
          <w:szCs w:val="24"/>
        </w:rPr>
        <w:t>Stimulus presentation and data collection were monitored on an Asus Display Laptop PC using Opensesame (Mathôt</w:t>
      </w:r>
      <w:r>
        <w:rPr>
          <w:rFonts w:ascii="Times New Roman" w:hAnsi="Times New Roman" w:cs="Times New Roman"/>
          <w:sz w:val="24"/>
          <w:szCs w:val="24"/>
        </w:rPr>
        <w:t xml:space="preserve"> et al.</w:t>
      </w:r>
      <w:r w:rsidRPr="00CB1BA0">
        <w:rPr>
          <w:rFonts w:ascii="Times New Roman" w:hAnsi="Times New Roman" w:cs="Times New Roman"/>
          <w:sz w:val="24"/>
          <w:szCs w:val="24"/>
        </w:rPr>
        <w:t>, 2012). All the stimuli were presented on a 19-inch monitor (LCD; 1280 x 1024 resolution; refresh rate 60 Hz). The participant was positioned at a viewing distance of approximatively 57cm from the centre of the screen at eye level. The participant wore Logitech USB headphones equipped with a microphone. A portable Eyelink 1000+ desktop-mounted camera was used with a head-free mode to track eye movements (SR Resarch, Mississauga, Canada; sampling rate: 500Hz; average accuracy range: 0.25° angle to 0.5° angle; gaze tracking range of 32° angle horizontally and 25° angle vertically). Prior to each experimental block, the eye-tracker was calibrated to the screen using a built-in 9-point protocol.</w:t>
      </w:r>
    </w:p>
    <w:p w14:paraId="4A8F3C99" w14:textId="7B31CC90" w:rsidR="002E6FC8" w:rsidRPr="00B2320F" w:rsidRDefault="002E6FC8" w:rsidP="002E6FC8">
      <w:pPr>
        <w:spacing w:line="480" w:lineRule="auto"/>
        <w:ind w:firstLine="720"/>
        <w:jc w:val="both"/>
        <w:rPr>
          <w:rFonts w:ascii="Times New Roman" w:hAnsi="Times New Roman" w:cs="Times New Roman"/>
          <w:sz w:val="24"/>
          <w:szCs w:val="24"/>
        </w:rPr>
      </w:pPr>
      <w:r w:rsidRPr="001A4D51">
        <w:rPr>
          <w:rFonts w:ascii="Times New Roman" w:hAnsi="Times New Roman" w:cs="Times New Roman"/>
          <w:b/>
          <w:i/>
          <w:iCs/>
          <w:sz w:val="24"/>
          <w:szCs w:val="24"/>
        </w:rPr>
        <w:t>Stimulus material.</w:t>
      </w:r>
      <w:r>
        <w:rPr>
          <w:rFonts w:ascii="Times New Roman" w:hAnsi="Times New Roman" w:cs="Times New Roman"/>
          <w:b/>
          <w:sz w:val="24"/>
          <w:szCs w:val="24"/>
        </w:rPr>
        <w:t xml:space="preserve"> </w:t>
      </w:r>
      <w:r w:rsidRPr="00CB1BA0">
        <w:rPr>
          <w:rFonts w:ascii="Times New Roman" w:hAnsi="Times New Roman" w:cs="Times New Roman"/>
          <w:sz w:val="24"/>
          <w:szCs w:val="24"/>
        </w:rPr>
        <w:t xml:space="preserve">The auditory stimuli consisted of number words for single digit numbers and operators (plus and minus) presented in French or German, depending on the school. The number words were recorded in a stereo audio file whose duration was adjusted to 500 ms. Arithmetic problems were the same as Experiment 1 of Diaz-Barriga Yanez and colleagues (2020). They were made of nonidentical pairs of numbers so that there were 20 different additions and 20 different subtractions. Ten small problems per operation were built with numbers ranging from 1 to 5 and ten large problems per operation with numbers ranging from 5 to 9. For both additions </w:t>
      </w:r>
      <w:r w:rsidRPr="00B2320F">
        <w:rPr>
          <w:rFonts w:ascii="Times New Roman" w:hAnsi="Times New Roman" w:cs="Times New Roman"/>
          <w:sz w:val="24"/>
          <w:szCs w:val="24"/>
        </w:rPr>
        <w:t>and subtractions, the first operand was always the larger number so that the result of subtractions was always a positive number and that it could not be possible for the participants to predict the sign of the operation when hearing the first operand.</w:t>
      </w:r>
      <w:r w:rsidR="00C3021B" w:rsidRPr="00B2320F">
        <w:rPr>
          <w:rFonts w:ascii="Times New Roman" w:hAnsi="Times New Roman" w:cs="Times New Roman"/>
          <w:sz w:val="24"/>
          <w:szCs w:val="24"/>
        </w:rPr>
        <w:t xml:space="preserve"> Of note, the list of problems comprised only single-digit operands. German and French number words systems are equivalent for this range of problems.</w:t>
      </w:r>
    </w:p>
    <w:p w14:paraId="74148D0D"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B2320F">
        <w:rPr>
          <w:rFonts w:ascii="Times New Roman" w:hAnsi="Times New Roman" w:cs="Times New Roman"/>
          <w:b/>
          <w:i/>
          <w:iCs/>
          <w:sz w:val="24"/>
          <w:szCs w:val="24"/>
        </w:rPr>
        <w:t>Task and Procedure.</w:t>
      </w:r>
      <w:r w:rsidRPr="00B2320F">
        <w:rPr>
          <w:rFonts w:ascii="Times New Roman" w:hAnsi="Times New Roman" w:cs="Times New Roman"/>
          <w:b/>
          <w:sz w:val="24"/>
          <w:szCs w:val="24"/>
        </w:rPr>
        <w:t xml:space="preserve"> </w:t>
      </w:r>
      <w:r w:rsidRPr="00B2320F">
        <w:rPr>
          <w:rFonts w:ascii="Times New Roman" w:hAnsi="Times New Roman" w:cs="Times New Roman"/>
          <w:sz w:val="24"/>
          <w:szCs w:val="24"/>
        </w:rPr>
        <w:t>Children were tested</w:t>
      </w:r>
      <w:r w:rsidRPr="00CB1BA0">
        <w:rPr>
          <w:rFonts w:ascii="Times New Roman" w:hAnsi="Times New Roman" w:cs="Times New Roman"/>
          <w:sz w:val="24"/>
          <w:szCs w:val="24"/>
        </w:rPr>
        <w:t xml:space="preserve"> individually in a quiet room within their school. Participants were asked to respond orally as fast and as accurately as possible to arithmetic problems presented auditorily. Each trial was preceded by a 1-point eye-tracker </w:t>
      </w:r>
      <w:r w:rsidRPr="00CB1BA0">
        <w:rPr>
          <w:rFonts w:ascii="Times New Roman" w:hAnsi="Times New Roman" w:cs="Times New Roman"/>
          <w:sz w:val="24"/>
          <w:szCs w:val="24"/>
        </w:rPr>
        <w:lastRenderedPageBreak/>
        <w:t xml:space="preserve">recalibration, used for drift correction, consisting in a central dot on a black background that the participant was asked to fixate. Then, a small picture of a rabbit head (0.5° x 0.5°) was displayed on the screen until the end of the trial at a position that was updated every 2 ms with a gaze contingency procedure so that the position of the rabbit head fitted with the position of participants’ gaze. Children were asked to make sure that the rabbit head remained on the screen. This allowed the experimenter to verify online that the children were looking at the screen during the whole </w:t>
      </w:r>
      <w:r w:rsidRPr="0022585F">
        <w:rPr>
          <w:rFonts w:ascii="Times New Roman" w:hAnsi="Times New Roman" w:cs="Times New Roman"/>
          <w:sz w:val="24"/>
          <w:szCs w:val="24"/>
        </w:rPr>
        <w:t xml:space="preserve">experiment and ensured that gaze was recorded properly. As soon as the rabbit was displayed, the presentation of the problem started. </w:t>
      </w:r>
      <w:bookmarkStart w:id="2" w:name="_Hlk134021944"/>
      <w:r w:rsidRPr="0022585F">
        <w:rPr>
          <w:rFonts w:ascii="Times New Roman" w:hAnsi="Times New Roman" w:cs="Times New Roman"/>
          <w:sz w:val="24"/>
          <w:szCs w:val="24"/>
        </w:rPr>
        <w:t xml:space="preserve">A trial lasted 8600 ms and started at the onset of O1. Each element of the problem was presented auditorily (500 ms each) spaced by pauses of 1000 ms. Operator and O2 were thus presented 1500 ms and 3000 ms after O1 onset, respectively. Problem presentation ended 3500 ms after the onset of O1 and there was an additional 5100 ms period during which children could provide their answer to the problem. </w:t>
      </w:r>
      <w:bookmarkEnd w:id="2"/>
      <w:r w:rsidRPr="0022585F">
        <w:rPr>
          <w:rFonts w:ascii="Times New Roman" w:hAnsi="Times New Roman" w:cs="Times New Roman"/>
          <w:sz w:val="24"/>
          <w:szCs w:val="24"/>
        </w:rPr>
        <w:t>Between each trial, a warning signal (i.e., “Warning! Next problem is coming”, in German or French) was displayed for 1000 ms in the center of the screen so the child could prepare for the next problem. Gaze position was recorded during the whole trial, from the onset of the first operand to the onset of the next warning signal. Response latencies were measured with a voice key from the onset of the first operand; a</w:t>
      </w:r>
      <w:r w:rsidRPr="00CB1BA0">
        <w:rPr>
          <w:rFonts w:ascii="Times New Roman" w:hAnsi="Times New Roman" w:cs="Times New Roman"/>
          <w:sz w:val="24"/>
          <w:szCs w:val="24"/>
        </w:rPr>
        <w:t xml:space="preserve"> microphone was used to record the participant's answers to the problem; answers were also written down by the experimenter and accuracy was determined offline. The session lasted about 50 minutes and comprised one training block of 6 trials and 6 experimental blocks of 20 trials. </w:t>
      </w:r>
    </w:p>
    <w:p w14:paraId="537412E6"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1A4D51">
        <w:rPr>
          <w:rFonts w:ascii="Times New Roman" w:hAnsi="Times New Roman" w:cs="Times New Roman"/>
          <w:b/>
          <w:i/>
          <w:iCs/>
          <w:sz w:val="24"/>
          <w:szCs w:val="24"/>
        </w:rPr>
        <w:t>Data analysis.</w:t>
      </w:r>
      <w:r>
        <w:rPr>
          <w:rFonts w:ascii="Times New Roman" w:hAnsi="Times New Roman" w:cs="Times New Roman"/>
          <w:b/>
          <w:sz w:val="24"/>
          <w:szCs w:val="24"/>
        </w:rPr>
        <w:t xml:space="preserve"> </w:t>
      </w:r>
      <w:r w:rsidRPr="00CB1BA0">
        <w:rPr>
          <w:rFonts w:ascii="Times New Roman" w:hAnsi="Times New Roman" w:cs="Times New Roman"/>
          <w:sz w:val="24"/>
          <w:szCs w:val="24"/>
        </w:rPr>
        <w:t xml:space="preserve">Erroneous trials or trials without answer were excluded from further analyses (6.9% of dataset). The spatial and temporal parameters of the eye movements and the pupil diameter were extracted using Eyelink® Data Viewer (SR Research Ltd., Mississauga, Ontario, Canada). Missing data resulting from eye blinks were linearly interpolated if they were shorter than 500ms. Moreover, if signal losses cumulated beyond the limit of 2000 ms within a </w:t>
      </w:r>
      <w:r w:rsidRPr="00CB1BA0">
        <w:rPr>
          <w:rFonts w:ascii="Times New Roman" w:hAnsi="Times New Roman" w:cs="Times New Roman"/>
          <w:sz w:val="24"/>
          <w:szCs w:val="24"/>
        </w:rPr>
        <w:lastRenderedPageBreak/>
        <w:t>single trial, we removed the trial from the dataset. In the remaining data (86.56%), the vertical and horizontal coordinates of eye position were aggregated in bins of 10 ms over a period of 8900 ms running from the onset of the first operand. The trimming procedures led us to remove 6 participants from the sample because less than 60% of the recording were suited for further analysis. The final sample consisted of 48 participants. Separate analyses were made on Small and Large problems for vertical and horizontal coordinates. The difference between subtraction and addition problems was tested in every bin using a paired t-test and clusters were constituted by grouping all bins that showed a significant difference (</w:t>
      </w:r>
      <w:r w:rsidRPr="00CB1BA0">
        <w:rPr>
          <w:rFonts w:ascii="Times New Roman" w:hAnsi="Times New Roman" w:cs="Times New Roman"/>
          <w:i/>
          <w:sz w:val="24"/>
          <w:szCs w:val="24"/>
        </w:rPr>
        <w:t>p</w:t>
      </w:r>
      <w:r w:rsidRPr="00CB1BA0">
        <w:rPr>
          <w:rFonts w:ascii="Times New Roman" w:hAnsi="Times New Roman" w:cs="Times New Roman"/>
          <w:sz w:val="24"/>
          <w:szCs w:val="24"/>
        </w:rPr>
        <w:t>&lt;.05) and a maximal gap of 100 ms (10 bins) between them. Effect size was estimated at the cluster level by taking the t statistic of the maximum difference across all the bins contained in the cluster and dividing it by the square of the number of participants. The multiple comparison problem was addressed by means of a nonparametric random permutation procedure (for similar procedure, see Sahan</w:t>
      </w:r>
      <w:r>
        <w:rPr>
          <w:rFonts w:ascii="Times New Roman" w:hAnsi="Times New Roman" w:cs="Times New Roman"/>
          <w:sz w:val="24"/>
          <w:szCs w:val="24"/>
        </w:rPr>
        <w:t xml:space="preserve"> et al.,</w:t>
      </w:r>
      <w:r w:rsidRPr="00CB1BA0">
        <w:rPr>
          <w:rFonts w:ascii="Times New Roman" w:hAnsi="Times New Roman" w:cs="Times New Roman"/>
          <w:sz w:val="24"/>
          <w:szCs w:val="24"/>
        </w:rPr>
        <w:t xml:space="preserve"> 2021; Salvaggio et al., 2019; Salvaggio, Masson et al., 2022; Maris &amp; Oostenveld, 2007). Significant clusters were isolated using the same criteria as those described for the analysis of the non-permuted data. Following a conservative criterion, the largest detected cluster was selected, and all its t-values were summed. The same procedure was repeated 1000 times and the sum of t-values obtained after each permutation was stored. The decision was taken by comparing the sum of the t-values obtained for each cluster revealed by the analysis of the non-permuted data to the distribution of the sums of the t-values derived from the random permutations. The probability of observing a significant difference between conditions in a cluster was inferred from the position of the sum in the normal distribution created by random permutations. The p-value was equal to 1 minus the percentile of this position. The test was significant if the p-value was inferior to α=.05. The eye-tracking analyses were made with MATLAB 2018a (MathWorks Inc., 2018).</w:t>
      </w:r>
    </w:p>
    <w:p w14:paraId="2705E00B" w14:textId="77777777" w:rsidR="002E6FC8" w:rsidRPr="00067787" w:rsidRDefault="002E6FC8" w:rsidP="002E6FC8">
      <w:pPr>
        <w:spacing w:line="480" w:lineRule="auto"/>
        <w:jc w:val="both"/>
        <w:rPr>
          <w:rFonts w:ascii="Times New Roman" w:hAnsi="Times New Roman" w:cs="Times New Roman"/>
          <w:b/>
          <w:i/>
          <w:iCs/>
          <w:sz w:val="24"/>
          <w:szCs w:val="24"/>
        </w:rPr>
      </w:pPr>
      <w:r w:rsidRPr="00067787">
        <w:rPr>
          <w:rFonts w:ascii="Times New Roman" w:hAnsi="Times New Roman" w:cs="Times New Roman"/>
          <w:b/>
          <w:i/>
          <w:iCs/>
          <w:sz w:val="24"/>
          <w:szCs w:val="24"/>
        </w:rPr>
        <w:t>Results</w:t>
      </w:r>
    </w:p>
    <w:p w14:paraId="2770BB59" w14:textId="0672CBF2" w:rsidR="002E6FC8" w:rsidRPr="00B2320F" w:rsidRDefault="002E6FC8" w:rsidP="002E6FC8">
      <w:pPr>
        <w:spacing w:line="480" w:lineRule="auto"/>
        <w:ind w:firstLine="720"/>
        <w:jc w:val="both"/>
        <w:rPr>
          <w:rFonts w:ascii="Times New Roman" w:hAnsi="Times New Roman" w:cs="Times New Roman"/>
          <w:sz w:val="24"/>
          <w:szCs w:val="24"/>
        </w:rPr>
      </w:pPr>
      <w:r w:rsidRPr="0022585F">
        <w:rPr>
          <w:rFonts w:ascii="Times New Roman" w:hAnsi="Times New Roman" w:cs="Times New Roman"/>
          <w:sz w:val="24"/>
          <w:szCs w:val="24"/>
        </w:rPr>
        <w:lastRenderedPageBreak/>
        <w:t xml:space="preserve">At the behavioural level, participants responded to the problems on average 5763 ± 61 ms after O1 onset (Large: 6068 ± 77 ms; Small: 5529 ± 60 ms) with a mean error rate of 6.9 ± 1 % (Large: 10.4 ± 1.6 %; </w:t>
      </w:r>
      <w:r w:rsidRPr="00B2320F">
        <w:rPr>
          <w:rFonts w:ascii="Times New Roman" w:hAnsi="Times New Roman" w:cs="Times New Roman"/>
          <w:sz w:val="24"/>
          <w:szCs w:val="24"/>
        </w:rPr>
        <w:t>Small: 3.2 ± 0.7 %). Belgian and Luxemburgish participants did not differ neither for response latencies nor for accuracy (</w:t>
      </w:r>
      <w:r w:rsidRPr="00B2320F">
        <w:rPr>
          <w:rFonts w:ascii="Times New Roman" w:hAnsi="Times New Roman" w:cs="Times New Roman"/>
          <w:i/>
          <w:iCs/>
          <w:sz w:val="24"/>
          <w:szCs w:val="24"/>
        </w:rPr>
        <w:t>ps</w:t>
      </w:r>
      <w:r w:rsidRPr="00B2320F">
        <w:rPr>
          <w:rFonts w:ascii="Times New Roman" w:hAnsi="Times New Roman" w:cs="Times New Roman"/>
          <w:sz w:val="24"/>
          <w:szCs w:val="24"/>
        </w:rPr>
        <w:t>&gt;.2)</w:t>
      </w:r>
      <w:r w:rsidR="0022585F" w:rsidRPr="00B2320F">
        <w:rPr>
          <w:rFonts w:ascii="Times New Roman" w:hAnsi="Times New Roman" w:cs="Times New Roman"/>
          <w:sz w:val="24"/>
          <w:szCs w:val="24"/>
        </w:rPr>
        <w:t xml:space="preserve">. We computed an attentional bias score (Gaze Position Addition – Gaze Position Subtraction) in the horizontal and vertical axis for every bin for each participants and compared this score between Belgian and Luxemburgish participants. As no differences were observed between the two sub-samples, we pooled Belgian and Luxemburgish </w:t>
      </w:r>
      <w:r w:rsidR="00C14DB6" w:rsidRPr="00B2320F">
        <w:rPr>
          <w:rFonts w:ascii="Times New Roman" w:hAnsi="Times New Roman" w:cs="Times New Roman"/>
          <w:sz w:val="24"/>
          <w:szCs w:val="24"/>
        </w:rPr>
        <w:t xml:space="preserve">participants </w:t>
      </w:r>
      <w:r w:rsidR="0022585F" w:rsidRPr="00B2320F">
        <w:rPr>
          <w:rFonts w:ascii="Times New Roman" w:hAnsi="Times New Roman" w:cs="Times New Roman"/>
          <w:sz w:val="24"/>
          <w:szCs w:val="24"/>
        </w:rPr>
        <w:t xml:space="preserve">together for the subsequent analysis. </w:t>
      </w:r>
    </w:p>
    <w:p w14:paraId="2AD00566" w14:textId="77777777" w:rsidR="002E6FC8" w:rsidRPr="006F1F18" w:rsidRDefault="002E6FC8" w:rsidP="002E6FC8">
      <w:pPr>
        <w:spacing w:line="480" w:lineRule="auto"/>
        <w:ind w:firstLine="720"/>
        <w:jc w:val="both"/>
        <w:rPr>
          <w:rFonts w:ascii="Times New Roman" w:hAnsi="Times New Roman" w:cs="Times New Roman"/>
          <w:sz w:val="24"/>
          <w:szCs w:val="24"/>
        </w:rPr>
      </w:pPr>
      <w:r w:rsidRPr="00B2320F">
        <w:rPr>
          <w:rFonts w:ascii="Times New Roman" w:hAnsi="Times New Roman" w:cs="Times New Roman"/>
          <w:sz w:val="24"/>
          <w:szCs w:val="24"/>
        </w:rPr>
        <w:t>In every condition, we first observed a rightward and downward drift of the gaze that was modulated by the operation (Addition vs. Subtraction) and</w:t>
      </w:r>
      <w:r w:rsidRPr="006F1F18">
        <w:rPr>
          <w:rFonts w:ascii="Times New Roman" w:hAnsi="Times New Roman" w:cs="Times New Roman"/>
          <w:sz w:val="24"/>
          <w:szCs w:val="24"/>
        </w:rPr>
        <w:t xml:space="preserve"> the size of the problem (Small vs. Large). For the Small problems, the statistical comparison of horizontal eye position revealed a rightward deviation in addition trials relative to subtraction trials (Figure 1A), on six different time periods. The two first occurred from 1770 to 1830 ms (</w:t>
      </w:r>
      <w:r w:rsidRPr="006F1F18">
        <w:rPr>
          <w:rFonts w:ascii="Times New Roman" w:hAnsi="Times New Roman" w:cs="Times New Roman"/>
          <w:i/>
          <w:sz w:val="24"/>
          <w:szCs w:val="24"/>
        </w:rPr>
        <w:t>p</w:t>
      </w:r>
      <w:r w:rsidRPr="006F1F18">
        <w:rPr>
          <w:rFonts w:ascii="Times New Roman" w:hAnsi="Times New Roman" w:cs="Times New Roman"/>
          <w:sz w:val="24"/>
          <w:szCs w:val="24"/>
        </w:rPr>
        <w:t>=.023, Cohen’s d=.3, maximal difference = 5 pixels or 0.2° visual angle), and from 2680 to 2850 ms (</w:t>
      </w:r>
      <w:r w:rsidRPr="006F1F18">
        <w:rPr>
          <w:rFonts w:ascii="Times New Roman" w:hAnsi="Times New Roman" w:cs="Times New Roman"/>
          <w:i/>
          <w:sz w:val="24"/>
          <w:szCs w:val="24"/>
        </w:rPr>
        <w:t>p</w:t>
      </w:r>
      <w:r w:rsidRPr="006F1F18">
        <w:rPr>
          <w:rFonts w:ascii="Times New Roman" w:hAnsi="Times New Roman" w:cs="Times New Roman"/>
          <w:sz w:val="24"/>
          <w:szCs w:val="24"/>
        </w:rPr>
        <w:t>&lt;.001, d=.289, maximal difference = 10 pixels or 0.3° visual angle), a time period located after the operator onset. There was also a significant cluster from 5430 to 6030 ms (</w:t>
      </w:r>
      <w:r w:rsidRPr="006F1F18">
        <w:rPr>
          <w:rFonts w:ascii="Times New Roman" w:hAnsi="Times New Roman" w:cs="Times New Roman"/>
          <w:i/>
          <w:sz w:val="24"/>
          <w:szCs w:val="24"/>
        </w:rPr>
        <w:t>p</w:t>
      </w:r>
      <w:r w:rsidRPr="006F1F18">
        <w:rPr>
          <w:rFonts w:ascii="Times New Roman" w:hAnsi="Times New Roman" w:cs="Times New Roman"/>
          <w:sz w:val="24"/>
          <w:szCs w:val="24"/>
        </w:rPr>
        <w:t>&lt;.001, d=.25, maximal difference = 14 pixels or 0.4° visual angle) which is situated around the mean response time. The three last clusters were observed from 6780 to 7000 ms (</w:t>
      </w:r>
      <w:r w:rsidRPr="006F1F18">
        <w:rPr>
          <w:rFonts w:ascii="Times New Roman" w:hAnsi="Times New Roman" w:cs="Times New Roman"/>
          <w:i/>
          <w:sz w:val="24"/>
          <w:szCs w:val="24"/>
        </w:rPr>
        <w:t>p</w:t>
      </w:r>
      <w:r w:rsidRPr="006F1F18">
        <w:rPr>
          <w:rFonts w:ascii="Times New Roman" w:hAnsi="Times New Roman" w:cs="Times New Roman"/>
          <w:sz w:val="24"/>
          <w:szCs w:val="24"/>
        </w:rPr>
        <w:t>&lt;.001; d=.139, maximal difference = 14 pixels or 0.4° visual angle), from 7110 to 7240 ms (</w:t>
      </w:r>
      <w:r w:rsidRPr="006F1F18">
        <w:rPr>
          <w:rFonts w:ascii="Times New Roman" w:hAnsi="Times New Roman" w:cs="Times New Roman"/>
          <w:i/>
          <w:sz w:val="24"/>
          <w:szCs w:val="24"/>
        </w:rPr>
        <w:t>p</w:t>
      </w:r>
      <w:r w:rsidRPr="006F1F18">
        <w:rPr>
          <w:rFonts w:ascii="Times New Roman" w:hAnsi="Times New Roman" w:cs="Times New Roman"/>
          <w:sz w:val="24"/>
          <w:szCs w:val="24"/>
        </w:rPr>
        <w:t>&lt;.001, d=.26, maximal difference = 14 pixels or 0.4° visual angle) and from 7590 to 8050 ms (</w:t>
      </w:r>
      <w:r w:rsidRPr="006F1F18">
        <w:rPr>
          <w:rFonts w:ascii="Times New Roman" w:hAnsi="Times New Roman" w:cs="Times New Roman"/>
          <w:i/>
          <w:sz w:val="24"/>
          <w:szCs w:val="24"/>
        </w:rPr>
        <w:t>p</w:t>
      </w:r>
      <w:r w:rsidRPr="006F1F18">
        <w:rPr>
          <w:rFonts w:ascii="Times New Roman" w:hAnsi="Times New Roman" w:cs="Times New Roman"/>
          <w:sz w:val="24"/>
          <w:szCs w:val="24"/>
        </w:rPr>
        <w:t xml:space="preserve">&lt;.001, d=.477, maximal difference = 18 pixels or 0.52° visual angle) and thus after the response was given. </w:t>
      </w:r>
    </w:p>
    <w:p w14:paraId="096BD926" w14:textId="77777777" w:rsidR="002E6FC8" w:rsidRPr="006F1F18" w:rsidRDefault="002E6FC8" w:rsidP="002E6FC8">
      <w:pPr>
        <w:spacing w:line="480" w:lineRule="auto"/>
        <w:ind w:firstLine="720"/>
        <w:jc w:val="both"/>
        <w:rPr>
          <w:rFonts w:ascii="Times New Roman" w:hAnsi="Times New Roman" w:cs="Times New Roman"/>
          <w:noProof/>
          <w:sz w:val="24"/>
          <w:szCs w:val="24"/>
        </w:rPr>
      </w:pPr>
      <w:r w:rsidRPr="006F1F18">
        <w:rPr>
          <w:rFonts w:ascii="Times New Roman" w:hAnsi="Times New Roman" w:cs="Times New Roman"/>
          <w:sz w:val="24"/>
          <w:szCs w:val="24"/>
        </w:rPr>
        <w:t>For the vertical position (Figure 1C), we observed a single significant cluster lasting from 5240 to 5300 ms (i.e., before the mean response onset). During this period the gaze position was shifted higher for additions than for subtractions (</w:t>
      </w:r>
      <w:r w:rsidRPr="006F1F18">
        <w:rPr>
          <w:rFonts w:ascii="Times New Roman" w:hAnsi="Times New Roman" w:cs="Times New Roman"/>
          <w:i/>
          <w:sz w:val="24"/>
          <w:szCs w:val="24"/>
        </w:rPr>
        <w:t>p</w:t>
      </w:r>
      <w:r w:rsidRPr="006F1F18">
        <w:rPr>
          <w:rFonts w:ascii="Times New Roman" w:hAnsi="Times New Roman" w:cs="Times New Roman"/>
          <w:sz w:val="24"/>
          <w:szCs w:val="24"/>
        </w:rPr>
        <w:t>=.039, d=.303, maximal difference = 8 pixels or 0.2° visual angle).</w:t>
      </w:r>
      <w:r w:rsidRPr="006F1F18">
        <w:rPr>
          <w:rFonts w:ascii="Times New Roman" w:hAnsi="Times New Roman" w:cs="Times New Roman"/>
          <w:noProof/>
          <w:sz w:val="24"/>
          <w:szCs w:val="24"/>
        </w:rPr>
        <w:t xml:space="preserve"> </w:t>
      </w:r>
    </w:p>
    <w:p w14:paraId="09763809" w14:textId="77777777" w:rsidR="002E6FC8" w:rsidRPr="006F1F18"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lastRenderedPageBreak/>
        <w:t>For the Large problems (Figure 1B), the analysis of horizontal gaze position showed a late significant cluster situated from 8290 to 8380 ms (i.e., after participants gave their response) indicating that the gaze was oriented more rightwards for additions than for subtractions (</w:t>
      </w:r>
      <w:r w:rsidRPr="006F1F18">
        <w:rPr>
          <w:rFonts w:ascii="Times New Roman" w:hAnsi="Times New Roman" w:cs="Times New Roman"/>
          <w:i/>
          <w:sz w:val="24"/>
          <w:szCs w:val="24"/>
        </w:rPr>
        <w:t>p</w:t>
      </w:r>
      <w:r w:rsidRPr="006F1F18">
        <w:rPr>
          <w:rFonts w:ascii="Times New Roman" w:hAnsi="Times New Roman" w:cs="Times New Roman"/>
          <w:sz w:val="24"/>
          <w:szCs w:val="24"/>
        </w:rPr>
        <w:t>&lt;.001, d=.33, maximal difference = 8 pixels or 0.2° visual angle).</w:t>
      </w:r>
    </w:p>
    <w:p w14:paraId="175071B6" w14:textId="7F438989" w:rsidR="002E6FC8"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t>Finally, the vertical gaze position revealed that for Large problems (Figure 1D) participants shifted their gaze more upwards for additions than for subtractions between 4220 and 4540 ms, a period situated after the onset of the O2 and before the onset of the answer (</w:t>
      </w:r>
      <w:r w:rsidRPr="006F1F18">
        <w:rPr>
          <w:rFonts w:ascii="Times New Roman" w:hAnsi="Times New Roman" w:cs="Times New Roman"/>
          <w:i/>
          <w:sz w:val="24"/>
          <w:szCs w:val="24"/>
        </w:rPr>
        <w:t>p</w:t>
      </w:r>
      <w:r w:rsidRPr="006F1F18">
        <w:rPr>
          <w:rFonts w:ascii="Times New Roman" w:hAnsi="Times New Roman" w:cs="Times New Roman"/>
          <w:sz w:val="24"/>
          <w:szCs w:val="24"/>
        </w:rPr>
        <w:t>&lt;.001, d=.33, maximal difference = 8 pixels or 0.2° visual angle).</w:t>
      </w:r>
    </w:p>
    <w:p w14:paraId="5D003BF6" w14:textId="0C2B06BB" w:rsidR="00D75530" w:rsidRPr="006F1F18" w:rsidRDefault="00D75530" w:rsidP="002E6FC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Figure 1</w:t>
      </w:r>
    </w:p>
    <w:p w14:paraId="51739E69" w14:textId="77777777" w:rsidR="002E6FC8" w:rsidRPr="005412E1" w:rsidRDefault="002E6FC8" w:rsidP="002E6FC8">
      <w:pPr>
        <w:spacing w:line="480" w:lineRule="auto"/>
        <w:jc w:val="both"/>
        <w:rPr>
          <w:rFonts w:ascii="Times New Roman" w:hAnsi="Times New Roman" w:cs="Times New Roman"/>
          <w:i/>
          <w:iCs/>
          <w:sz w:val="24"/>
          <w:szCs w:val="24"/>
        </w:rPr>
      </w:pPr>
      <w:r w:rsidRPr="005412E1">
        <w:rPr>
          <w:rFonts w:ascii="Times New Roman" w:hAnsi="Times New Roman" w:cs="Times New Roman"/>
          <w:b/>
          <w:i/>
          <w:iCs/>
          <w:sz w:val="24"/>
          <w:szCs w:val="24"/>
        </w:rPr>
        <w:t>Discussion of Experiment 1</w:t>
      </w:r>
      <w:r w:rsidRPr="005412E1">
        <w:rPr>
          <w:rFonts w:ascii="Times New Roman" w:hAnsi="Times New Roman" w:cs="Times New Roman"/>
          <w:i/>
          <w:iCs/>
          <w:sz w:val="24"/>
          <w:szCs w:val="24"/>
        </w:rPr>
        <w:t>.</w:t>
      </w:r>
    </w:p>
    <w:p w14:paraId="5B90F277" w14:textId="77777777" w:rsidR="002E6FC8" w:rsidRPr="006F1F18"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t xml:space="preserve">Our results for the horizontal orientation show that there is a general rightward drift whatever the operation and size of problem. This rightward deviation is reminiscent of the natural tendency to scan visual scenes from left to right, possibly due to the dominant role of the right hemisphere in the deployment of spatial attention (e.g., Foulsham, Gray, Nasiopoulos, &amp; Kingstone, 2013). Interestingly, this rightward deviation was more pronounced for additions in comparison to subtractions attesting the presence of spontaneous horizontal SNAs in mental arithmetic at different periods of problem presentation and resolution. Because of the generic deployment of attention from left to right, we assume that the first operand was positioned on the left side of the mental space, irrespective of its magnitude, and served as an anchor for searching the answer of the calculation. Anchoring attention to the left side at the beginning of each trial may have masked leftward shifts in subtraction trials so that the results are best described as a rightward movement in addition relative to subtraction problems. Children might also have adopted a strategy consisting in imagining a written problem that would be scanned during the presentation of the problem. However, as subtractions elicited less rightward drift </w:t>
      </w:r>
      <w:r w:rsidRPr="006F1F18">
        <w:rPr>
          <w:rFonts w:ascii="Times New Roman" w:hAnsi="Times New Roman" w:cs="Times New Roman"/>
          <w:sz w:val="24"/>
          <w:szCs w:val="24"/>
        </w:rPr>
        <w:lastRenderedPageBreak/>
        <w:t>than additions even during the presentation of the problems, it suggests that if this visualization strategy really occurred, gaze patterns were additionally driven by attentional mechanisms taking place along a mental continuum of numbers.</w:t>
      </w:r>
    </w:p>
    <w:p w14:paraId="62B2B4A4" w14:textId="77777777" w:rsidR="002E6FC8" w:rsidRPr="006F1F18"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t>The horizontal gaze biases differing between additions and subtractions converge with and significantly extend the only previous study that investigated SNAs when children solve arithmetic problems (Diaz-Barriga Yanez et al., 2020). For Small problems, the temporal course of these shifts is strikingly identical to the pattern observed in adults (Liu et al., 2017; Salvaggio, Masson et al., 2022), with a first shift occurring anticipatively after the presentation of the first operand and the operator, and another shift before the onset of the answer, suggesting that this double step strategy is already mature in 4</w:t>
      </w:r>
      <w:r w:rsidRPr="006F1F18">
        <w:rPr>
          <w:rFonts w:ascii="Times New Roman" w:hAnsi="Times New Roman" w:cs="Times New Roman"/>
          <w:sz w:val="24"/>
          <w:szCs w:val="24"/>
          <w:vertAlign w:val="superscript"/>
        </w:rPr>
        <w:t>th</w:t>
      </w:r>
      <w:r w:rsidRPr="006F1F18">
        <w:rPr>
          <w:rFonts w:ascii="Times New Roman" w:hAnsi="Times New Roman" w:cs="Times New Roman"/>
          <w:sz w:val="24"/>
          <w:szCs w:val="24"/>
        </w:rPr>
        <w:t xml:space="preserve"> Graders. Although we also observed horizontal shifts for Large problems, these shifts only occurred after the response was made, possibly reflecting semantic associations between the operation and space (Andres et al., 2020; Pinhas &amp; Fischer, 2008; Pinhas et al., 2014). Our results are in line with the idea that there are distinct procedures that are recruited for Small and Large problems as previously suggested by chronometric experiments in adults (Barrouillet &amp; Thevenot, 2013; Uittenhove et al., 2016) and children (Bagnoud et al., 2021). In these studies, response times for single digit problems with operands below 4 revealed a linear increase of response times as a function of the operands (i.e., size effect)  that was interpreted as the signature for a rapid counting akin to a mental scanning of a portion of a spatial continuum (Mathieu et al., 2016). A counting procedure of up to 4 units along a spatial continuum was thought to be achieved rapidly in a single attentional shift and could outrun a retrieval procedure (Uittenhove et al., 2016). For Large problems, no such linear response time increase was observed and the authors suggested that a retrieval procedure would be faster than a counting strategy with more steps. Such a rapid counting procedure is compatible with the spatial bias observed between the offset of O2 and the response onset in Small problems. It was also suggested that this counting procedure can be </w:t>
      </w:r>
      <w:r w:rsidRPr="006F1F18">
        <w:rPr>
          <w:rFonts w:ascii="Times New Roman" w:hAnsi="Times New Roman" w:cs="Times New Roman"/>
          <w:sz w:val="24"/>
          <w:szCs w:val="24"/>
        </w:rPr>
        <w:lastRenderedPageBreak/>
        <w:t>pre-activated by the presentation of the operator (e.g., Fayol &amp; Thevenot, 2012; Poletti et al., 2023) potentially explaining the early shifts. Such a preparation would not occur for Large problems solved by retrieval. Children might have anticipated the use of retrieval with the presentation of a Large O1 because both operands were either Small or Large in the present experiment design (see also Salvaggio, Andres et al., 2022 for a discussion about the impact of predictability on the recruitment of spatial attention for arithmetic solving). Future studies in children could manipulate the combination of large and small operands to explore whether the recruitment of a counting procedure and spatial attention is modulated by the predictability of O2 in children.</w:t>
      </w:r>
    </w:p>
    <w:p w14:paraId="7CC8E99E"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t>Additionally, we observed for the first time upward vertical attentional biases in arithmetic in children, with the gaze being shifted more upward for additions than for subtractions. These shifts occurred between the presentation of the second operand and the response time suggesting that they might help for the exact</w:t>
      </w:r>
      <w:r w:rsidRPr="00CB1BA0">
        <w:rPr>
          <w:rFonts w:ascii="Times New Roman" w:hAnsi="Times New Roman" w:cs="Times New Roman"/>
          <w:sz w:val="24"/>
          <w:szCs w:val="24"/>
        </w:rPr>
        <w:t xml:space="preserve"> computation of the answer, possibly through small incrementation on the portion of the numerical continuum where the answer was previously located in similar problems (Salvaggio</w:t>
      </w:r>
      <w:r>
        <w:rPr>
          <w:rFonts w:ascii="Times New Roman" w:hAnsi="Times New Roman" w:cs="Times New Roman"/>
          <w:sz w:val="24"/>
          <w:szCs w:val="24"/>
        </w:rPr>
        <w:t>, Masson</w:t>
      </w:r>
      <w:r w:rsidRPr="00CB1BA0">
        <w:rPr>
          <w:rFonts w:ascii="Times New Roman" w:hAnsi="Times New Roman" w:cs="Times New Roman"/>
          <w:sz w:val="24"/>
          <w:szCs w:val="24"/>
        </w:rPr>
        <w:t xml:space="preserve"> et al., 2022). Several accounts suggested that vertical SNAs are more robust because they are grounded into universal sensorimotor experiences (Blini et al., 2019; Fischer &amp; Brugger, 2011; Wiemers et al. 2014). Indeed, the numerical quantity of sets of objects correlate with </w:t>
      </w:r>
      <w:r>
        <w:rPr>
          <w:rFonts w:ascii="Times New Roman" w:hAnsi="Times New Roman" w:cs="Times New Roman"/>
          <w:sz w:val="24"/>
          <w:szCs w:val="24"/>
        </w:rPr>
        <w:t xml:space="preserve">its </w:t>
      </w:r>
      <w:r w:rsidRPr="00CB1BA0">
        <w:rPr>
          <w:rFonts w:ascii="Times New Roman" w:hAnsi="Times New Roman" w:cs="Times New Roman"/>
          <w:sz w:val="24"/>
          <w:szCs w:val="24"/>
        </w:rPr>
        <w:t xml:space="preserve">height. In the context of proto-arithmetic operations, children experience since young age that adding objects results into increasing the height of the set while withdrawing objects from the set would result into diminishing </w:t>
      </w:r>
      <w:r>
        <w:rPr>
          <w:rFonts w:ascii="Times New Roman" w:hAnsi="Times New Roman" w:cs="Times New Roman"/>
          <w:sz w:val="24"/>
          <w:szCs w:val="24"/>
        </w:rPr>
        <w:t>it</w:t>
      </w:r>
      <w:r w:rsidRPr="00CB1BA0">
        <w:rPr>
          <w:rFonts w:ascii="Times New Roman" w:hAnsi="Times New Roman" w:cs="Times New Roman"/>
          <w:sz w:val="24"/>
          <w:szCs w:val="24"/>
        </w:rPr>
        <w:t xml:space="preserve">. To find out whether children of younger age and with less expertise in arithmetic already exhibit </w:t>
      </w:r>
      <w:r w:rsidRPr="006F1F18">
        <w:rPr>
          <w:rFonts w:ascii="Times New Roman" w:hAnsi="Times New Roman" w:cs="Times New Roman"/>
          <w:sz w:val="24"/>
          <w:szCs w:val="24"/>
        </w:rPr>
        <w:t>horizontal and/or vertical spatial attentional shifts for additions and subtractions, we used a similar procedure focussing on Small problems with participants</w:t>
      </w:r>
      <w:r w:rsidRPr="00CB1BA0">
        <w:rPr>
          <w:rFonts w:ascii="Times New Roman" w:hAnsi="Times New Roman" w:cs="Times New Roman"/>
          <w:sz w:val="24"/>
          <w:szCs w:val="24"/>
        </w:rPr>
        <w:t xml:space="preserve"> of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Grade</w:t>
      </w:r>
      <w:r>
        <w:rPr>
          <w:rFonts w:ascii="Times New Roman" w:hAnsi="Times New Roman" w:cs="Times New Roman"/>
          <w:sz w:val="24"/>
          <w:szCs w:val="24"/>
        </w:rPr>
        <w:t>.</w:t>
      </w:r>
    </w:p>
    <w:p w14:paraId="42B73DC5" w14:textId="77777777" w:rsidR="002E6FC8" w:rsidRPr="00CB1BA0" w:rsidRDefault="002E6FC8" w:rsidP="002E6FC8">
      <w:pPr>
        <w:spacing w:line="480" w:lineRule="auto"/>
        <w:jc w:val="both"/>
        <w:rPr>
          <w:rFonts w:ascii="Times New Roman" w:hAnsi="Times New Roman" w:cs="Times New Roman"/>
          <w:b/>
          <w:sz w:val="24"/>
          <w:szCs w:val="24"/>
        </w:rPr>
      </w:pPr>
      <w:r w:rsidRPr="00CB1BA0">
        <w:rPr>
          <w:rFonts w:ascii="Times New Roman" w:hAnsi="Times New Roman" w:cs="Times New Roman"/>
          <w:b/>
          <w:sz w:val="24"/>
          <w:szCs w:val="24"/>
        </w:rPr>
        <w:t>Experiment 2: 2</w:t>
      </w:r>
      <w:r w:rsidRPr="00CB1BA0">
        <w:rPr>
          <w:rFonts w:ascii="Times New Roman" w:hAnsi="Times New Roman" w:cs="Times New Roman"/>
          <w:b/>
          <w:sz w:val="24"/>
          <w:szCs w:val="24"/>
          <w:vertAlign w:val="superscript"/>
        </w:rPr>
        <w:t>nd</w:t>
      </w:r>
      <w:r w:rsidRPr="00CB1BA0">
        <w:rPr>
          <w:rFonts w:ascii="Times New Roman" w:hAnsi="Times New Roman" w:cs="Times New Roman"/>
          <w:b/>
          <w:sz w:val="24"/>
          <w:szCs w:val="24"/>
        </w:rPr>
        <w:t xml:space="preserve"> Graders</w:t>
      </w:r>
    </w:p>
    <w:p w14:paraId="0AC993A6" w14:textId="77777777" w:rsidR="002E6FC8" w:rsidRPr="00CB1BA0" w:rsidRDefault="002E6FC8" w:rsidP="002E6FC8">
      <w:pPr>
        <w:spacing w:line="480" w:lineRule="auto"/>
        <w:jc w:val="both"/>
        <w:rPr>
          <w:rFonts w:ascii="Times New Roman" w:hAnsi="Times New Roman" w:cs="Times New Roman"/>
          <w:b/>
          <w:sz w:val="24"/>
          <w:szCs w:val="24"/>
        </w:rPr>
      </w:pPr>
      <w:r w:rsidRPr="00D921FC">
        <w:rPr>
          <w:rFonts w:ascii="Times New Roman" w:hAnsi="Times New Roman" w:cs="Times New Roman"/>
          <w:b/>
          <w:i/>
          <w:iCs/>
          <w:sz w:val="24"/>
          <w:szCs w:val="24"/>
        </w:rPr>
        <w:lastRenderedPageBreak/>
        <w:t>Methods</w:t>
      </w:r>
    </w:p>
    <w:p w14:paraId="7231FC0D"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We tested 61 children (mean age 8 ± 0.8 years old; 35 females, 26 males; 42 right-handed) that were recruited from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Grade classes within the two same schools as in Experiment 1 (Belgium: n=30; Luxemburg: n=31). </w:t>
      </w:r>
      <w:r>
        <w:rPr>
          <w:rFonts w:ascii="Times New Roman" w:hAnsi="Times New Roman" w:cs="Times New Roman"/>
          <w:sz w:val="24"/>
          <w:szCs w:val="24"/>
        </w:rPr>
        <w:t xml:space="preserve">Written informed consent was obtained from the children and their parents. </w:t>
      </w:r>
      <w:r w:rsidRPr="00CB1BA0">
        <w:rPr>
          <w:rFonts w:ascii="Times New Roman" w:hAnsi="Times New Roman" w:cs="Times New Roman"/>
          <w:sz w:val="24"/>
          <w:szCs w:val="24"/>
        </w:rPr>
        <w:t xml:space="preserve">We excluded 11 participants (final sample n=50) because more than 40% of their </w:t>
      </w:r>
      <w:r w:rsidRPr="006F1F18">
        <w:rPr>
          <w:rFonts w:ascii="Times New Roman" w:hAnsi="Times New Roman" w:cs="Times New Roman"/>
          <w:sz w:val="24"/>
          <w:szCs w:val="24"/>
        </w:rPr>
        <w:t>trials was not suited for data analysis after applying the same processing than in Experiment 1. All participants had normal vision and none was diagnosed with mathematical learning difficulties. We used the same Small problems as in Experiment 1. We chose not to present Large problems because, in their study, Diaz-Barriga Yanez and colleagues (2020) reported that children of 3</w:t>
      </w:r>
      <w:r w:rsidRPr="006F1F18">
        <w:rPr>
          <w:rFonts w:ascii="Times New Roman" w:hAnsi="Times New Roman" w:cs="Times New Roman"/>
          <w:sz w:val="24"/>
          <w:szCs w:val="24"/>
          <w:vertAlign w:val="superscript"/>
        </w:rPr>
        <w:t>rd</w:t>
      </w:r>
      <w:r w:rsidRPr="006F1F18">
        <w:rPr>
          <w:rFonts w:ascii="Times New Roman" w:hAnsi="Times New Roman" w:cs="Times New Roman"/>
          <w:sz w:val="24"/>
          <w:szCs w:val="24"/>
        </w:rPr>
        <w:t xml:space="preserve"> to 5</w:t>
      </w:r>
      <w:r w:rsidRPr="006F1F18">
        <w:rPr>
          <w:rFonts w:ascii="Times New Roman" w:hAnsi="Times New Roman" w:cs="Times New Roman"/>
          <w:sz w:val="24"/>
          <w:szCs w:val="24"/>
          <w:vertAlign w:val="superscript"/>
        </w:rPr>
        <w:t>th</w:t>
      </w:r>
      <w:r w:rsidRPr="006F1F18">
        <w:rPr>
          <w:rFonts w:ascii="Times New Roman" w:hAnsi="Times New Roman" w:cs="Times New Roman"/>
          <w:sz w:val="24"/>
          <w:szCs w:val="24"/>
        </w:rPr>
        <w:t xml:space="preserve"> Grade had so poor accuracy for Large problems that it prevented them from analysing these trials. As our sample was composed of even younger participants than theirs, we chose not to present Large problems to 2</w:t>
      </w:r>
      <w:r w:rsidRPr="006F1F18">
        <w:rPr>
          <w:rFonts w:ascii="Times New Roman" w:hAnsi="Times New Roman" w:cs="Times New Roman"/>
          <w:sz w:val="24"/>
          <w:szCs w:val="24"/>
          <w:vertAlign w:val="superscript"/>
        </w:rPr>
        <w:t>nd</w:t>
      </w:r>
      <w:r w:rsidRPr="006F1F18">
        <w:rPr>
          <w:rFonts w:ascii="Times New Roman" w:hAnsi="Times New Roman" w:cs="Times New Roman"/>
          <w:sz w:val="24"/>
          <w:szCs w:val="24"/>
        </w:rPr>
        <w:t xml:space="preserve"> Graders. Therefore, we presented Small problem trials twice to match the number of trials used in Experiment 1.</w:t>
      </w:r>
      <w:r w:rsidRPr="00CB1BA0">
        <w:rPr>
          <w:rFonts w:ascii="Times New Roman" w:hAnsi="Times New Roman" w:cs="Times New Roman"/>
          <w:sz w:val="24"/>
          <w:szCs w:val="24"/>
        </w:rPr>
        <w:t xml:space="preserve"> </w:t>
      </w:r>
    </w:p>
    <w:p w14:paraId="029F7A22" w14:textId="77777777" w:rsidR="002E6FC8" w:rsidRPr="001A5F97" w:rsidRDefault="002E6FC8" w:rsidP="002E6FC8">
      <w:pPr>
        <w:spacing w:line="480" w:lineRule="auto"/>
        <w:jc w:val="both"/>
        <w:rPr>
          <w:rFonts w:ascii="Times New Roman" w:hAnsi="Times New Roman" w:cs="Times New Roman"/>
          <w:b/>
          <w:i/>
          <w:iCs/>
          <w:sz w:val="24"/>
          <w:szCs w:val="24"/>
        </w:rPr>
      </w:pPr>
      <w:r w:rsidRPr="001A5F97">
        <w:rPr>
          <w:rFonts w:ascii="Times New Roman" w:hAnsi="Times New Roman" w:cs="Times New Roman"/>
          <w:b/>
          <w:i/>
          <w:iCs/>
          <w:sz w:val="24"/>
          <w:szCs w:val="24"/>
        </w:rPr>
        <w:t>Results</w:t>
      </w:r>
    </w:p>
    <w:p w14:paraId="3B1D241F" w14:textId="0DC920BF" w:rsidR="002E6FC8" w:rsidRPr="00CB1BA0"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t>At the behavioural level, participants responded on average about 5662 ms ± 60 ms after the onset of the trial (and thus 2662 ms after O2 onset) and had a mean error rate of 6.8 ± 7.1 %. Belgian and Luxemburgish participants did not differ either for response latencies or accuracy (</w:t>
      </w:r>
      <w:r w:rsidRPr="006F1F18">
        <w:rPr>
          <w:rFonts w:ascii="Times New Roman" w:hAnsi="Times New Roman" w:cs="Times New Roman"/>
          <w:i/>
          <w:iCs/>
          <w:sz w:val="24"/>
          <w:szCs w:val="24"/>
        </w:rPr>
        <w:t>p</w:t>
      </w:r>
      <w:r w:rsidRPr="006F1F18">
        <w:rPr>
          <w:rFonts w:ascii="Times New Roman" w:hAnsi="Times New Roman" w:cs="Times New Roman"/>
          <w:sz w:val="24"/>
          <w:szCs w:val="24"/>
        </w:rPr>
        <w:t>&gt;.111)</w:t>
      </w:r>
      <w:r w:rsidR="006F1F18">
        <w:rPr>
          <w:rFonts w:ascii="Times New Roman" w:hAnsi="Times New Roman" w:cs="Times New Roman"/>
          <w:sz w:val="24"/>
          <w:szCs w:val="24"/>
        </w:rPr>
        <w:t xml:space="preserve">. We computed </w:t>
      </w:r>
      <w:r w:rsidR="006F1F18" w:rsidRPr="00B2320F">
        <w:rPr>
          <w:rFonts w:ascii="Times New Roman" w:hAnsi="Times New Roman" w:cs="Times New Roman"/>
          <w:sz w:val="24"/>
          <w:szCs w:val="24"/>
        </w:rPr>
        <w:t xml:space="preserve">an attentional bias score (Gaze Addition – Gaze Subtraction) for the horizontal and vertical axis at every bin for every participants. No differences were observed in this score between Belgian and Luxemburgish participants which </w:t>
      </w:r>
      <w:r w:rsidR="00475457" w:rsidRPr="00B2320F">
        <w:rPr>
          <w:rFonts w:ascii="Times New Roman" w:hAnsi="Times New Roman" w:cs="Times New Roman"/>
          <w:sz w:val="24"/>
          <w:szCs w:val="24"/>
        </w:rPr>
        <w:t xml:space="preserve">were </w:t>
      </w:r>
      <w:r w:rsidR="006F1F18" w:rsidRPr="00B2320F">
        <w:rPr>
          <w:rFonts w:ascii="Times New Roman" w:hAnsi="Times New Roman" w:cs="Times New Roman"/>
          <w:sz w:val="24"/>
          <w:szCs w:val="24"/>
        </w:rPr>
        <w:t>thus</w:t>
      </w:r>
      <w:r w:rsidRPr="00B2320F">
        <w:rPr>
          <w:rFonts w:ascii="Times New Roman" w:hAnsi="Times New Roman" w:cs="Times New Roman"/>
          <w:sz w:val="24"/>
          <w:szCs w:val="24"/>
        </w:rPr>
        <w:t xml:space="preserve"> pooled together for the analysis of gaze patterns.</w:t>
      </w:r>
    </w:p>
    <w:p w14:paraId="67FF94D3" w14:textId="77777777" w:rsidR="002E6FC8"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For the horizontal axis, there were two significant clusters in which eye position was more on the right for additions than for subtraction (Figure 2A). The first cluster lasted from 5390 to 5520 ms after trial onset (</w:t>
      </w:r>
      <w:r w:rsidRPr="00CB1BA0">
        <w:rPr>
          <w:rFonts w:ascii="Times New Roman" w:hAnsi="Times New Roman" w:cs="Times New Roman"/>
          <w:i/>
          <w:sz w:val="24"/>
          <w:szCs w:val="24"/>
        </w:rPr>
        <w:t>p</w:t>
      </w:r>
      <w:r w:rsidRPr="00CB1BA0">
        <w:rPr>
          <w:rFonts w:ascii="Times New Roman" w:hAnsi="Times New Roman" w:cs="Times New Roman"/>
          <w:sz w:val="24"/>
          <w:szCs w:val="24"/>
        </w:rPr>
        <w:t xml:space="preserve">&lt;.001; maximal difference = 13 pixels or 039° visual angle) </w:t>
      </w:r>
      <w:r w:rsidRPr="00CB1BA0">
        <w:rPr>
          <w:rFonts w:ascii="Times New Roman" w:hAnsi="Times New Roman" w:cs="Times New Roman"/>
          <w:sz w:val="24"/>
          <w:szCs w:val="24"/>
        </w:rPr>
        <w:lastRenderedPageBreak/>
        <w:t>which is situated just before the mean response time. The second cluster occurred after the mean response time and lasted from 7010 ms to 7220 ms (</w:t>
      </w:r>
      <w:r w:rsidRPr="00CB1BA0">
        <w:rPr>
          <w:rFonts w:ascii="Times New Roman" w:hAnsi="Times New Roman" w:cs="Times New Roman"/>
          <w:i/>
          <w:sz w:val="24"/>
          <w:szCs w:val="24"/>
        </w:rPr>
        <w:t>p</w:t>
      </w:r>
      <w:r w:rsidRPr="00CB1BA0">
        <w:rPr>
          <w:rFonts w:ascii="Times New Roman" w:hAnsi="Times New Roman" w:cs="Times New Roman"/>
          <w:sz w:val="24"/>
          <w:szCs w:val="24"/>
        </w:rPr>
        <w:t>&lt;.001; maximal difference = 16 pixels or 0.48° visual angle). For the vertical axis (Figure 2B), eye position was higher for additions than for subtractions after the response was made during a period of time lasting from 6520 to 6270 ms (</w:t>
      </w:r>
      <w:r w:rsidRPr="00CB1BA0">
        <w:rPr>
          <w:rFonts w:ascii="Times New Roman" w:hAnsi="Times New Roman" w:cs="Times New Roman"/>
          <w:i/>
          <w:sz w:val="24"/>
          <w:szCs w:val="24"/>
        </w:rPr>
        <w:t>p</w:t>
      </w:r>
      <w:r w:rsidRPr="00CB1BA0">
        <w:rPr>
          <w:rFonts w:ascii="Times New Roman" w:hAnsi="Times New Roman" w:cs="Times New Roman"/>
          <w:sz w:val="24"/>
          <w:szCs w:val="24"/>
        </w:rPr>
        <w:t>&lt;.001; maximal difference = 13 pixels or 0.37° visual angle).</w:t>
      </w:r>
    </w:p>
    <w:p w14:paraId="51486528" w14:textId="0DB7550E" w:rsidR="00D75530" w:rsidRPr="00D75530" w:rsidRDefault="00D75530" w:rsidP="002E6FC8">
      <w:pPr>
        <w:spacing w:line="480" w:lineRule="auto"/>
        <w:ind w:firstLine="720"/>
        <w:jc w:val="both"/>
        <w:rPr>
          <w:rFonts w:ascii="Times New Roman" w:hAnsi="Times New Roman" w:cs="Times New Roman"/>
          <w:sz w:val="24"/>
          <w:szCs w:val="24"/>
        </w:rPr>
      </w:pPr>
      <w:r w:rsidRPr="00D75530">
        <w:rPr>
          <w:rFonts w:ascii="Times New Roman" w:hAnsi="Times New Roman" w:cs="Times New Roman"/>
          <w:sz w:val="24"/>
          <w:szCs w:val="24"/>
        </w:rPr>
        <w:t>Figure 2</w:t>
      </w:r>
    </w:p>
    <w:p w14:paraId="09D19C35" w14:textId="69ADF2CC" w:rsidR="002E6FC8" w:rsidRPr="00CB1BA0" w:rsidRDefault="002E6FC8" w:rsidP="002E6FC8">
      <w:pPr>
        <w:spacing w:line="480" w:lineRule="auto"/>
        <w:ind w:firstLine="720"/>
        <w:jc w:val="both"/>
        <w:rPr>
          <w:rFonts w:ascii="Times New Roman" w:hAnsi="Times New Roman" w:cs="Times New Roman"/>
          <w:sz w:val="24"/>
          <w:szCs w:val="24"/>
        </w:rPr>
      </w:pPr>
      <w:r w:rsidRPr="006F1F18">
        <w:rPr>
          <w:rFonts w:ascii="Times New Roman" w:hAnsi="Times New Roman" w:cs="Times New Roman"/>
          <w:sz w:val="24"/>
          <w:szCs w:val="24"/>
        </w:rPr>
        <w:t>As an exploratory analysis suggested by an anonymous reviewer, we conducted direct comparisons between the gaze position observed in Experiment 1 and Experiment 2 for Small problem in the horizontal and vertical orientations. We computed an attentional bias score (Gaze Position Addition – Gaze Position Subtraction) for each participant of both experiments within the time periods in which we observed a significant cluster in Experiment 1 (i.e., in 4</w:t>
      </w:r>
      <w:r w:rsidRPr="006F1F18">
        <w:rPr>
          <w:rFonts w:ascii="Times New Roman" w:hAnsi="Times New Roman" w:cs="Times New Roman"/>
          <w:sz w:val="24"/>
          <w:szCs w:val="24"/>
          <w:vertAlign w:val="superscript"/>
        </w:rPr>
        <w:t>th</w:t>
      </w:r>
      <w:r w:rsidRPr="006F1F18">
        <w:rPr>
          <w:rFonts w:ascii="Times New Roman" w:hAnsi="Times New Roman" w:cs="Times New Roman"/>
          <w:sz w:val="24"/>
          <w:szCs w:val="24"/>
        </w:rPr>
        <w:t xml:space="preserve"> graders). There was a marginal difference between the two groups in the horizontal orientation for the period lasting between 1770 to 1810 ms indicating that 4</w:t>
      </w:r>
      <w:r w:rsidRPr="006F1F18">
        <w:rPr>
          <w:rFonts w:ascii="Times New Roman" w:hAnsi="Times New Roman" w:cs="Times New Roman"/>
          <w:sz w:val="24"/>
          <w:szCs w:val="24"/>
          <w:vertAlign w:val="superscript"/>
        </w:rPr>
        <w:t>th</w:t>
      </w:r>
      <w:r w:rsidRPr="006F1F18">
        <w:rPr>
          <w:rFonts w:ascii="Times New Roman" w:hAnsi="Times New Roman" w:cs="Times New Roman"/>
          <w:sz w:val="24"/>
          <w:szCs w:val="24"/>
        </w:rPr>
        <w:t xml:space="preserve"> Graders had a larger bias score than 2</w:t>
      </w:r>
      <w:r w:rsidRPr="006F1F18">
        <w:rPr>
          <w:rFonts w:ascii="Times New Roman" w:hAnsi="Times New Roman" w:cs="Times New Roman"/>
          <w:sz w:val="24"/>
          <w:szCs w:val="24"/>
          <w:vertAlign w:val="superscript"/>
        </w:rPr>
        <w:t>nd</w:t>
      </w:r>
      <w:r w:rsidRPr="006F1F18">
        <w:rPr>
          <w:rFonts w:ascii="Times New Roman" w:hAnsi="Times New Roman" w:cs="Times New Roman"/>
          <w:sz w:val="24"/>
          <w:szCs w:val="24"/>
        </w:rPr>
        <w:t xml:space="preserve"> Graders (</w:t>
      </w:r>
      <w:r w:rsidRPr="006F1F18">
        <w:rPr>
          <w:rFonts w:ascii="Times New Roman" w:hAnsi="Times New Roman" w:cs="Times New Roman"/>
          <w:i/>
          <w:iCs/>
          <w:sz w:val="24"/>
          <w:szCs w:val="24"/>
        </w:rPr>
        <w:t>p</w:t>
      </w:r>
      <w:r w:rsidRPr="006F1F18">
        <w:rPr>
          <w:rFonts w:ascii="Times New Roman" w:hAnsi="Times New Roman" w:cs="Times New Roman"/>
          <w:sz w:val="24"/>
          <w:szCs w:val="24"/>
        </w:rPr>
        <w:t>=.088; maximal difference = 5 pixels or 0.14° visual angle).</w:t>
      </w:r>
    </w:p>
    <w:p w14:paraId="496264A9" w14:textId="77777777" w:rsidR="002E6FC8" w:rsidRPr="00CB1BA0" w:rsidRDefault="002E6FC8" w:rsidP="002E6FC8">
      <w:pPr>
        <w:spacing w:line="480" w:lineRule="auto"/>
        <w:jc w:val="both"/>
        <w:rPr>
          <w:rFonts w:ascii="Times New Roman" w:hAnsi="Times New Roman" w:cs="Times New Roman"/>
          <w:b/>
          <w:sz w:val="24"/>
          <w:szCs w:val="24"/>
        </w:rPr>
      </w:pPr>
      <w:r w:rsidRPr="00CB1BA0">
        <w:rPr>
          <w:rFonts w:ascii="Times New Roman" w:hAnsi="Times New Roman" w:cs="Times New Roman"/>
          <w:b/>
          <w:sz w:val="24"/>
          <w:szCs w:val="24"/>
        </w:rPr>
        <w:t>General Discussion</w:t>
      </w:r>
    </w:p>
    <w:p w14:paraId="5EBC8534"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 xml:space="preserve">There is now considerable evidence that arithmetic problem solving in adults involves shifting attention in space (e.g., Hartmann et al., 2015; Liu et al., 2017; Masson et al., 2017; Mathieu et al., 2016). In particular, eye-tracking studies revealed that attention is shifted at two distinct moments revealing two complementary mechanisms: (1) an early shift occurs as soon as the </w:t>
      </w:r>
      <w:r w:rsidRPr="006F1F18">
        <w:rPr>
          <w:rFonts w:ascii="Times New Roman" w:hAnsi="Times New Roman" w:cs="Times New Roman"/>
          <w:sz w:val="24"/>
          <w:szCs w:val="24"/>
        </w:rPr>
        <w:t>first operand and the operator are known to narrow down the range of plausible answers and (2) another shift occurs before the answer accompanying the exact computation of the result or the processing of the answer. It was suggested that adults use space as a support to alleviate the cognitive charge when solving</w:t>
      </w:r>
      <w:r w:rsidRPr="00CB1BA0">
        <w:rPr>
          <w:rFonts w:ascii="Times New Roman" w:hAnsi="Times New Roman" w:cs="Times New Roman"/>
          <w:sz w:val="24"/>
          <w:szCs w:val="24"/>
        </w:rPr>
        <w:t xml:space="preserve"> mental arithmetic. As the acquisition of arithmetical skills is long and effortful it could be expected that throughout education children would rely on spatial </w:t>
      </w:r>
      <w:r w:rsidRPr="00CB1BA0">
        <w:rPr>
          <w:rFonts w:ascii="Times New Roman" w:hAnsi="Times New Roman" w:cs="Times New Roman"/>
          <w:sz w:val="24"/>
          <w:szCs w:val="24"/>
        </w:rPr>
        <w:lastRenderedPageBreak/>
        <w:t>attentional mechanisms to help them to cope with such a complex task. At odds with this idea, it was recently suggested that space would only be recruited by children after they mastered arithmetic, by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or 5</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 (Diaz-Barriga Yanez et al., 2020; Mathieu et al., 2018). To our knowledge, the only study that behaviourally tested the existence of spatial attentional shifts in mental arithmetic among children supports this latter claim as it could not evidence any attentional shifts for additions and subtractions before Grade 4 (i.e., Diaz-Barriga Yanez et al., 2020). Up to now, it was thought that relying on space to solve arithmetic problems requires a certain level of brain maturation or automatization of the repeated use of counting, both arising only in older school children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 and higher) (Mathieu et al., 2018).</w:t>
      </w:r>
    </w:p>
    <w:p w14:paraId="54C42706" w14:textId="77777777" w:rsidR="00813DE3" w:rsidRPr="00B2320F" w:rsidRDefault="002E6FC8" w:rsidP="00813DE3">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Our study challenges this claim. Indeed, we were able to reveal that children, as early as in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Grade, spontaneously deploy attention in the horizontal and vertical plane when solving simple additions and subtractions. When using an eye-tracker, which allows to track attention with high spatial and temporal resolution, we indeed observed that children of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and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 already shift </w:t>
      </w:r>
      <w:r w:rsidRPr="006F1F18">
        <w:rPr>
          <w:rFonts w:ascii="Times New Roman" w:hAnsi="Times New Roman" w:cs="Times New Roman"/>
          <w:sz w:val="24"/>
          <w:szCs w:val="24"/>
        </w:rPr>
        <w:t>their gaze more rightward and upward when solving additions than when solving subtractions. Since we observed spatial attentional biases in our youngest group of children, this study does not allow determining</w:t>
      </w:r>
      <w:r w:rsidRPr="00CB1BA0">
        <w:rPr>
          <w:rFonts w:ascii="Times New Roman" w:hAnsi="Times New Roman" w:cs="Times New Roman"/>
          <w:sz w:val="24"/>
          <w:szCs w:val="24"/>
        </w:rPr>
        <w:t xml:space="preserve"> at what age or stage of education spatial attentional shifts in arithmetic appear, but it clearly undermines the idea that the use of spatial attentional mechanisms is recruited only after an extensive practice of arithmetic acquired after years of education. In order to refine the moment in which space is starting to play a role for mental arithmetic, the investigation of these effects in even younger children that are beginning to learn the very basics of arithmetic will be needed. As such, follow-up studies should investigate children in 1</w:t>
      </w:r>
      <w:r w:rsidRPr="00CB1BA0">
        <w:rPr>
          <w:rFonts w:ascii="Times New Roman" w:hAnsi="Times New Roman" w:cs="Times New Roman"/>
          <w:sz w:val="24"/>
          <w:szCs w:val="24"/>
          <w:vertAlign w:val="superscript"/>
        </w:rPr>
        <w:t>st</w:t>
      </w:r>
      <w:r w:rsidRPr="00CB1BA0">
        <w:rPr>
          <w:rFonts w:ascii="Times New Roman" w:hAnsi="Times New Roman" w:cs="Times New Roman"/>
          <w:sz w:val="24"/>
          <w:szCs w:val="24"/>
        </w:rPr>
        <w:t xml:space="preserve"> Grade with simple arithmetic problems or even in kindergarten with an adapted material (e.g</w:t>
      </w:r>
      <w:r w:rsidRPr="00B2320F">
        <w:rPr>
          <w:rFonts w:ascii="Times New Roman" w:hAnsi="Times New Roman" w:cs="Times New Roman"/>
          <w:sz w:val="24"/>
          <w:szCs w:val="24"/>
        </w:rPr>
        <w:t>., non-symbolic notation; verification task; …).</w:t>
      </w:r>
      <w:r w:rsidR="00813DE3" w:rsidRPr="00B2320F">
        <w:rPr>
          <w:rFonts w:ascii="Times New Roman" w:hAnsi="Times New Roman" w:cs="Times New Roman"/>
          <w:sz w:val="24"/>
          <w:szCs w:val="24"/>
        </w:rPr>
        <w:t xml:space="preserve"> </w:t>
      </w:r>
    </w:p>
    <w:p w14:paraId="014F059E" w14:textId="424549CB" w:rsidR="002E6FC8" w:rsidRPr="00CB1BA0" w:rsidRDefault="00813DE3" w:rsidP="00813DE3">
      <w:pPr>
        <w:spacing w:line="480" w:lineRule="auto"/>
        <w:ind w:firstLine="720"/>
        <w:jc w:val="both"/>
        <w:rPr>
          <w:rFonts w:ascii="Times New Roman" w:hAnsi="Times New Roman" w:cs="Times New Roman"/>
          <w:sz w:val="24"/>
          <w:szCs w:val="24"/>
        </w:rPr>
      </w:pPr>
      <w:r w:rsidRPr="00B2320F">
        <w:rPr>
          <w:rFonts w:ascii="Times New Roman" w:hAnsi="Times New Roman" w:cs="Times New Roman"/>
          <w:sz w:val="24"/>
          <w:szCs w:val="24"/>
        </w:rPr>
        <w:t xml:space="preserve">A recent study showed that spatial biases in arithmetic were similarly oriented from left to right in participants with opposite reading habits (i.e., Arabic vs. French-speakers; Masson </w:t>
      </w:r>
      <w:r w:rsidRPr="00B2320F">
        <w:rPr>
          <w:rFonts w:ascii="Times New Roman" w:hAnsi="Times New Roman" w:cs="Times New Roman"/>
          <w:sz w:val="24"/>
          <w:szCs w:val="24"/>
        </w:rPr>
        <w:lastRenderedPageBreak/>
        <w:t>et al., 2020), which suggests that SNAs in arithmetic are not rooted into the same factors than the SNARC. If reading direction does not impact on attentional mechanisms in the context of adding and subtracting, it is</w:t>
      </w:r>
      <w:r w:rsidR="00CD5C46" w:rsidRPr="00B2320F">
        <w:rPr>
          <w:rFonts w:ascii="Times New Roman" w:hAnsi="Times New Roman" w:cs="Times New Roman"/>
          <w:sz w:val="24"/>
          <w:szCs w:val="24"/>
        </w:rPr>
        <w:t xml:space="preserve"> however</w:t>
      </w:r>
      <w:r w:rsidRPr="00B2320F">
        <w:rPr>
          <w:rFonts w:ascii="Times New Roman" w:hAnsi="Times New Roman" w:cs="Times New Roman"/>
          <w:sz w:val="24"/>
          <w:szCs w:val="24"/>
        </w:rPr>
        <w:t xml:space="preserve"> </w:t>
      </w:r>
      <w:r w:rsidR="00CD5C46" w:rsidRPr="00B2320F">
        <w:rPr>
          <w:rFonts w:ascii="Times New Roman" w:hAnsi="Times New Roman" w:cs="Times New Roman"/>
          <w:sz w:val="24"/>
          <w:szCs w:val="24"/>
        </w:rPr>
        <w:t>possible</w:t>
      </w:r>
      <w:r w:rsidRPr="00B2320F">
        <w:rPr>
          <w:rFonts w:ascii="Times New Roman" w:hAnsi="Times New Roman" w:cs="Times New Roman"/>
          <w:sz w:val="24"/>
          <w:szCs w:val="24"/>
        </w:rPr>
        <w:t xml:space="preserve"> that other cultural factors might have shape</w:t>
      </w:r>
      <w:r w:rsidR="002673EF" w:rsidRPr="00B2320F">
        <w:rPr>
          <w:rFonts w:ascii="Times New Roman" w:hAnsi="Times New Roman" w:cs="Times New Roman"/>
          <w:sz w:val="24"/>
          <w:szCs w:val="24"/>
        </w:rPr>
        <w:t>d</w:t>
      </w:r>
      <w:r w:rsidRPr="00B2320F">
        <w:rPr>
          <w:rFonts w:ascii="Times New Roman" w:hAnsi="Times New Roman" w:cs="Times New Roman"/>
          <w:sz w:val="24"/>
          <w:szCs w:val="24"/>
        </w:rPr>
        <w:t xml:space="preserve"> the SNAs</w:t>
      </w:r>
      <w:r w:rsidR="002673EF" w:rsidRPr="00B2320F">
        <w:rPr>
          <w:rFonts w:ascii="Times New Roman" w:hAnsi="Times New Roman" w:cs="Times New Roman"/>
          <w:sz w:val="24"/>
          <w:szCs w:val="24"/>
        </w:rPr>
        <w:t xml:space="preserve"> in arithmetic</w:t>
      </w:r>
      <w:r w:rsidRPr="00B2320F">
        <w:rPr>
          <w:rFonts w:ascii="Times New Roman" w:hAnsi="Times New Roman" w:cs="Times New Roman"/>
          <w:sz w:val="24"/>
          <w:szCs w:val="24"/>
        </w:rPr>
        <w:t xml:space="preserve"> that we observed in the present study</w:t>
      </w:r>
      <w:r w:rsidR="00CD5C46" w:rsidRPr="00B2320F">
        <w:rPr>
          <w:rFonts w:ascii="Times New Roman" w:hAnsi="Times New Roman" w:cs="Times New Roman"/>
          <w:sz w:val="24"/>
          <w:szCs w:val="24"/>
        </w:rPr>
        <w:t xml:space="preserve">. Interestingly, </w:t>
      </w:r>
      <w:r w:rsidRPr="00B2320F">
        <w:rPr>
          <w:rFonts w:ascii="Times New Roman" w:hAnsi="Times New Roman" w:cs="Times New Roman"/>
          <w:sz w:val="24"/>
          <w:szCs w:val="24"/>
        </w:rPr>
        <w:t>Luxemburg</w:t>
      </w:r>
      <w:r w:rsidR="0012313E" w:rsidRPr="00B2320F">
        <w:rPr>
          <w:rFonts w:ascii="Times New Roman" w:hAnsi="Times New Roman" w:cs="Times New Roman"/>
          <w:sz w:val="24"/>
          <w:szCs w:val="24"/>
        </w:rPr>
        <w:t xml:space="preserve"> (MNFP, 20</w:t>
      </w:r>
      <w:r w:rsidR="00A66CC5" w:rsidRPr="00B2320F">
        <w:rPr>
          <w:rFonts w:ascii="Times New Roman" w:hAnsi="Times New Roman" w:cs="Times New Roman"/>
          <w:sz w:val="24"/>
          <w:szCs w:val="24"/>
        </w:rPr>
        <w:t>1</w:t>
      </w:r>
      <w:r w:rsidR="0012313E" w:rsidRPr="00B2320F">
        <w:rPr>
          <w:rFonts w:ascii="Times New Roman" w:hAnsi="Times New Roman" w:cs="Times New Roman"/>
          <w:sz w:val="24"/>
          <w:szCs w:val="24"/>
        </w:rPr>
        <w:t>1)</w:t>
      </w:r>
      <w:r w:rsidRPr="00B2320F">
        <w:rPr>
          <w:rFonts w:ascii="Times New Roman" w:hAnsi="Times New Roman" w:cs="Times New Roman"/>
          <w:sz w:val="24"/>
          <w:szCs w:val="24"/>
        </w:rPr>
        <w:t xml:space="preserve"> and the French part of Belgium</w:t>
      </w:r>
      <w:r w:rsidR="009A788D" w:rsidRPr="00B2320F">
        <w:rPr>
          <w:rFonts w:ascii="Times New Roman" w:hAnsi="Times New Roman" w:cs="Times New Roman"/>
          <w:sz w:val="24"/>
          <w:szCs w:val="24"/>
        </w:rPr>
        <w:t xml:space="preserve"> (</w:t>
      </w:r>
      <w:r w:rsidR="00B076EF">
        <w:rPr>
          <w:rFonts w:ascii="Times New Roman" w:hAnsi="Times New Roman" w:cs="Times New Roman"/>
          <w:sz w:val="24"/>
          <w:szCs w:val="24"/>
        </w:rPr>
        <w:t>SeGEC</w:t>
      </w:r>
      <w:r w:rsidR="009A788D" w:rsidRPr="00B2320F">
        <w:rPr>
          <w:rFonts w:ascii="Times New Roman" w:hAnsi="Times New Roman" w:cs="Times New Roman"/>
          <w:sz w:val="24"/>
          <w:szCs w:val="24"/>
        </w:rPr>
        <w:t>, 20</w:t>
      </w:r>
      <w:r w:rsidR="00B076EF">
        <w:rPr>
          <w:rFonts w:ascii="Times New Roman" w:hAnsi="Times New Roman" w:cs="Times New Roman"/>
          <w:sz w:val="24"/>
          <w:szCs w:val="24"/>
        </w:rPr>
        <w:t>13</w:t>
      </w:r>
      <w:r w:rsidR="009A788D" w:rsidRPr="00B2320F">
        <w:rPr>
          <w:rFonts w:ascii="Times New Roman" w:hAnsi="Times New Roman" w:cs="Times New Roman"/>
          <w:sz w:val="24"/>
          <w:szCs w:val="24"/>
        </w:rPr>
        <w:t>)</w:t>
      </w:r>
      <w:r w:rsidRPr="00B2320F">
        <w:rPr>
          <w:rFonts w:ascii="Times New Roman" w:hAnsi="Times New Roman" w:cs="Times New Roman"/>
          <w:sz w:val="24"/>
          <w:szCs w:val="24"/>
        </w:rPr>
        <w:t xml:space="preserve"> </w:t>
      </w:r>
      <w:r w:rsidR="00CD5C46" w:rsidRPr="00B2320F">
        <w:rPr>
          <w:rFonts w:ascii="Times New Roman" w:hAnsi="Times New Roman" w:cs="Times New Roman"/>
          <w:sz w:val="24"/>
          <w:szCs w:val="24"/>
        </w:rPr>
        <w:t>both recommend in their curricula</w:t>
      </w:r>
      <w:r w:rsidRPr="00B2320F">
        <w:rPr>
          <w:rFonts w:ascii="Times New Roman" w:hAnsi="Times New Roman" w:cs="Times New Roman"/>
          <w:sz w:val="24"/>
          <w:szCs w:val="24"/>
        </w:rPr>
        <w:t xml:space="preserve"> the use of a spatial </w:t>
      </w:r>
      <w:r w:rsidR="00CD5C46" w:rsidRPr="00B2320F">
        <w:rPr>
          <w:rFonts w:ascii="Times New Roman" w:hAnsi="Times New Roman" w:cs="Times New Roman"/>
          <w:sz w:val="24"/>
          <w:szCs w:val="24"/>
        </w:rPr>
        <w:t>layouts</w:t>
      </w:r>
      <w:r w:rsidRPr="00B2320F">
        <w:rPr>
          <w:rFonts w:ascii="Times New Roman" w:hAnsi="Times New Roman" w:cs="Times New Roman"/>
          <w:sz w:val="24"/>
          <w:szCs w:val="24"/>
        </w:rPr>
        <w:t xml:space="preserve"> </w:t>
      </w:r>
      <w:r w:rsidR="00CD5C46" w:rsidRPr="00B2320F">
        <w:rPr>
          <w:rFonts w:ascii="Times New Roman" w:hAnsi="Times New Roman" w:cs="Times New Roman"/>
          <w:sz w:val="24"/>
          <w:szCs w:val="24"/>
        </w:rPr>
        <w:t>when apprehending cardinality</w:t>
      </w:r>
      <w:r w:rsidRPr="00B2320F">
        <w:rPr>
          <w:rFonts w:ascii="Times New Roman" w:hAnsi="Times New Roman" w:cs="Times New Roman"/>
          <w:sz w:val="24"/>
          <w:szCs w:val="24"/>
        </w:rPr>
        <w:t xml:space="preserve"> </w:t>
      </w:r>
      <w:r w:rsidR="00CD5C46" w:rsidRPr="00B2320F">
        <w:rPr>
          <w:rFonts w:ascii="Times New Roman" w:hAnsi="Times New Roman" w:cs="Times New Roman"/>
          <w:sz w:val="24"/>
          <w:szCs w:val="24"/>
        </w:rPr>
        <w:t>since</w:t>
      </w:r>
      <w:r w:rsidRPr="00B2320F">
        <w:rPr>
          <w:rFonts w:ascii="Times New Roman" w:hAnsi="Times New Roman" w:cs="Times New Roman"/>
          <w:sz w:val="24"/>
          <w:szCs w:val="24"/>
        </w:rPr>
        <w:t xml:space="preserve"> Grade 1. </w:t>
      </w:r>
      <w:r w:rsidR="00CD5C46" w:rsidRPr="00B2320F">
        <w:rPr>
          <w:rFonts w:ascii="Times New Roman" w:hAnsi="Times New Roman" w:cs="Times New Roman"/>
          <w:sz w:val="24"/>
          <w:szCs w:val="24"/>
        </w:rPr>
        <w:t>Future studies should compare participants from countries that do or do not explicitly refer to spatial continuums in their school curricula to disentangle whether SNAs in arithmetic are related to cultural educational practices</w:t>
      </w:r>
      <w:r w:rsidR="0060764A" w:rsidRPr="00B2320F">
        <w:rPr>
          <w:rFonts w:ascii="Times New Roman" w:hAnsi="Times New Roman" w:cs="Times New Roman"/>
          <w:sz w:val="24"/>
          <w:szCs w:val="24"/>
        </w:rPr>
        <w:t xml:space="preserve">. </w:t>
      </w:r>
      <w:r w:rsidRPr="00B2320F">
        <w:rPr>
          <w:rFonts w:ascii="Times New Roman" w:hAnsi="Times New Roman" w:cs="Times New Roman"/>
          <w:sz w:val="24"/>
          <w:szCs w:val="24"/>
        </w:rPr>
        <w:t>Alternatively</w:t>
      </w:r>
      <w:r>
        <w:rPr>
          <w:rFonts w:ascii="Times New Roman" w:hAnsi="Times New Roman" w:cs="Times New Roman"/>
          <w:sz w:val="24"/>
          <w:szCs w:val="24"/>
        </w:rPr>
        <w:t>, s</w:t>
      </w:r>
      <w:r w:rsidR="002E6FC8" w:rsidRPr="00CB1BA0">
        <w:rPr>
          <w:rFonts w:ascii="Times New Roman" w:hAnsi="Times New Roman" w:cs="Times New Roman"/>
          <w:sz w:val="24"/>
          <w:szCs w:val="24"/>
        </w:rPr>
        <w:t>ome recent theoretical proposals suggest that SNAs are rooted into biological factors (Rugani &amp; de Hevia, 2017). Indeed, preverbal infants (e.g., Bulf et al., 2016; de Hevia</w:t>
      </w:r>
      <w:r w:rsidR="002E6FC8">
        <w:rPr>
          <w:rFonts w:ascii="Times New Roman" w:hAnsi="Times New Roman" w:cs="Times New Roman"/>
          <w:sz w:val="24"/>
          <w:szCs w:val="24"/>
        </w:rPr>
        <w:t xml:space="preserve"> et al., </w:t>
      </w:r>
      <w:r w:rsidR="002E6FC8" w:rsidRPr="00CB1BA0">
        <w:rPr>
          <w:rFonts w:ascii="Times New Roman" w:hAnsi="Times New Roman" w:cs="Times New Roman"/>
          <w:sz w:val="24"/>
          <w:szCs w:val="24"/>
        </w:rPr>
        <w:t xml:space="preserve">2017; Di Giorgio et al., 2019) and animals were shown to exhibit SNAs for small and large numerosities (e.g., Giurfa, </w:t>
      </w:r>
      <w:r w:rsidR="002E6FC8">
        <w:rPr>
          <w:rFonts w:ascii="Times New Roman" w:hAnsi="Times New Roman" w:cs="Times New Roman"/>
          <w:sz w:val="24"/>
          <w:szCs w:val="24"/>
        </w:rPr>
        <w:t xml:space="preserve">et al., </w:t>
      </w:r>
      <w:r w:rsidR="002E6FC8" w:rsidRPr="00CB1BA0">
        <w:rPr>
          <w:rFonts w:ascii="Times New Roman" w:hAnsi="Times New Roman" w:cs="Times New Roman"/>
          <w:sz w:val="24"/>
          <w:szCs w:val="24"/>
        </w:rPr>
        <w:t xml:space="preserve">2022; Rugani et al., 2015), casting doubt on the long-lasting idea that SNAs are mandatorily driven by cultural directional habits (i.e., reading direction; Shaki et al., 2009). </w:t>
      </w:r>
      <w:bookmarkStart w:id="3" w:name="_Hlk138427402"/>
      <w:r>
        <w:rPr>
          <w:rFonts w:ascii="Times New Roman" w:hAnsi="Times New Roman" w:cs="Times New Roman"/>
          <w:sz w:val="24"/>
          <w:szCs w:val="24"/>
        </w:rPr>
        <w:t>O</w:t>
      </w:r>
      <w:r w:rsidR="002E6FC8" w:rsidRPr="00CB1BA0">
        <w:rPr>
          <w:rFonts w:ascii="Times New Roman" w:hAnsi="Times New Roman" w:cs="Times New Roman"/>
          <w:sz w:val="24"/>
          <w:szCs w:val="24"/>
        </w:rPr>
        <w:t>ne might suggest that they are driven by biological traits which are similar to those observed in animals.</w:t>
      </w:r>
      <w:bookmarkEnd w:id="3"/>
      <w:r w:rsidR="002E6FC8" w:rsidRPr="00CB1BA0">
        <w:rPr>
          <w:rFonts w:ascii="Times New Roman" w:hAnsi="Times New Roman" w:cs="Times New Roman"/>
          <w:sz w:val="24"/>
          <w:szCs w:val="24"/>
        </w:rPr>
        <w:t xml:space="preserve"> As arithmetic capacities are likely to build on innate systems shared by other species to keep track of changing quantities in their environment (e.g., Cantlon</w:t>
      </w:r>
      <w:r w:rsidR="002E6FC8">
        <w:rPr>
          <w:rFonts w:ascii="Times New Roman" w:hAnsi="Times New Roman" w:cs="Times New Roman"/>
          <w:sz w:val="24"/>
          <w:szCs w:val="24"/>
        </w:rPr>
        <w:t xml:space="preserve"> et al., </w:t>
      </w:r>
      <w:r w:rsidR="002E6FC8" w:rsidRPr="00CB1BA0">
        <w:rPr>
          <w:rFonts w:ascii="Times New Roman" w:hAnsi="Times New Roman" w:cs="Times New Roman"/>
          <w:sz w:val="24"/>
          <w:szCs w:val="24"/>
        </w:rPr>
        <w:t>2016; Rugani et al., 2009), it would be interesting to investigate whether these proto-arithmetic capacities would elicit left-to-right spatial bias. SNAs related to the concepts of adding or withdrawing numerosities in non-human species or newborn humans would be an optimal approach to untangling the cultural or biological account of SNAs and describe their developmental and evolutionary roots.</w:t>
      </w:r>
    </w:p>
    <w:p w14:paraId="4F973D30" w14:textId="4A8BC3E8"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 xml:space="preserve">Importantly, </w:t>
      </w:r>
      <w:r w:rsidRPr="006F1F18">
        <w:rPr>
          <w:rFonts w:ascii="Times New Roman" w:hAnsi="Times New Roman" w:cs="Times New Roman"/>
          <w:sz w:val="24"/>
          <w:szCs w:val="24"/>
        </w:rPr>
        <w:t xml:space="preserve">our results go beyond the mere observation of attentional shifts induced by arithmetic at a young age. By presenting the elements of the problems sequentially (i.e., operands and operator), and by measuring gaze movements with high temporal resolution, we were able to identify when, and more importantly, what elicited the shifts of attention. Our </w:t>
      </w:r>
      <w:r w:rsidRPr="006F1F18">
        <w:rPr>
          <w:rFonts w:ascii="Times New Roman" w:hAnsi="Times New Roman" w:cs="Times New Roman"/>
          <w:sz w:val="24"/>
          <w:szCs w:val="24"/>
        </w:rPr>
        <w:lastRenderedPageBreak/>
        <w:t>results show that attentional shifts in arithmetic are not caused by a unique mechanism akin to a walk along the mental number line as initially suggested by seminal</w:t>
      </w:r>
      <w:r w:rsidRPr="00CB1BA0">
        <w:rPr>
          <w:rFonts w:ascii="Times New Roman" w:hAnsi="Times New Roman" w:cs="Times New Roman"/>
          <w:sz w:val="24"/>
          <w:szCs w:val="24"/>
        </w:rPr>
        <w:t xml:space="preserve"> behavioural studies (Knops et al., 2009; Mathieu et al., 2016; McCrink et al., 2007) or by the mere activation of different portions of a mental number line corresponding to the magnitude of each operand and the result (Pinhas &amp; Fischer, 2008). Instead, we suggest that horizontal spatial attention shifts for arithmetic is an active strategy to reduce the cognitive load that is deployed as soon as the participants have sufficient information to narrow down the plausible answers. Indeed, we observed in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that an attentional shift was initiated before the exact computation started, as soon as children were told the first operand and the operator. This suggests that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like adults (Liu et al., 2017; Salvaggio, Masson et al., 2022), can dynamically create a mental framework centred on the first operand and activate a portion of a mental space on the right for additions or on the left for subtractions in which the result should be located. In other words, the early attentional shift would reflect the process that refines the possible solution and give an </w:t>
      </w:r>
      <w:r w:rsidRPr="006F1F18">
        <w:rPr>
          <w:rFonts w:ascii="Times New Roman" w:hAnsi="Times New Roman" w:cs="Times New Roman"/>
          <w:sz w:val="24"/>
          <w:szCs w:val="24"/>
        </w:rPr>
        <w:t>approximate idea of plausible answers. We also observed a second shift that occurs before the answer is given. Even if we assume that the actual gaze movement is preceded by an internal shift of attention along a mental continuum and the preparation of an oculomotor program, this period is very close to the onset of the answer. This proximity in time makes it difficult to disentangle whether the second shift reflects the exact counting procedure (Mathieu et al., 2016) or the representation of the answer relative to the first operand, as a plausibility check procedure to avoid the production of an aberrant answer (Marghetis et al., 2014). This dynamic two-step procedure is reminiscent of the findings of a study during which adult participants had to indicate on a physical line the approximate answer</w:t>
      </w:r>
      <w:r w:rsidRPr="00CB1BA0">
        <w:rPr>
          <w:rFonts w:ascii="Times New Roman" w:hAnsi="Times New Roman" w:cs="Times New Roman"/>
          <w:sz w:val="24"/>
          <w:szCs w:val="24"/>
        </w:rPr>
        <w:t xml:space="preserve"> of a complex arithmetic problem (Klein,</w:t>
      </w:r>
      <w:r>
        <w:rPr>
          <w:rFonts w:ascii="Times New Roman" w:hAnsi="Times New Roman" w:cs="Times New Roman"/>
          <w:sz w:val="24"/>
          <w:szCs w:val="24"/>
        </w:rPr>
        <w:t xml:space="preserve"> et al., </w:t>
      </w:r>
      <w:r w:rsidRPr="00CB1BA0">
        <w:rPr>
          <w:rFonts w:ascii="Times New Roman" w:hAnsi="Times New Roman" w:cs="Times New Roman"/>
          <w:sz w:val="24"/>
          <w:szCs w:val="24"/>
        </w:rPr>
        <w:t xml:space="preserve">2014). By examining eye movements, the authors noticed a two stages process in which participants first fixated the position of the most probable response (i.e., average response for an operation) and then made a corrective saccade towards a position </w:t>
      </w:r>
      <w:r w:rsidRPr="00CB1BA0">
        <w:rPr>
          <w:rFonts w:ascii="Times New Roman" w:hAnsi="Times New Roman" w:cs="Times New Roman"/>
          <w:sz w:val="24"/>
          <w:szCs w:val="24"/>
        </w:rPr>
        <w:lastRenderedPageBreak/>
        <w:t xml:space="preserve">corresponding to the exact response. The </w:t>
      </w:r>
      <w:r w:rsidRPr="006F1F18">
        <w:rPr>
          <w:rFonts w:ascii="Times New Roman" w:hAnsi="Times New Roman" w:cs="Times New Roman"/>
          <w:sz w:val="24"/>
          <w:szCs w:val="24"/>
        </w:rPr>
        <w:t>active and anticipative attentional procedure that was observed in adults (Salvaggio, Masson et al., 2022) and here in 4</w:t>
      </w:r>
      <w:r w:rsidRPr="006F1F18">
        <w:rPr>
          <w:rFonts w:ascii="Times New Roman" w:hAnsi="Times New Roman" w:cs="Times New Roman"/>
          <w:sz w:val="24"/>
          <w:szCs w:val="24"/>
          <w:vertAlign w:val="superscript"/>
        </w:rPr>
        <w:t>th</w:t>
      </w:r>
      <w:r w:rsidRPr="006F1F18">
        <w:rPr>
          <w:rFonts w:ascii="Times New Roman" w:hAnsi="Times New Roman" w:cs="Times New Roman"/>
          <w:sz w:val="24"/>
          <w:szCs w:val="24"/>
        </w:rPr>
        <w:t xml:space="preserve"> Graders seems to require some expertise to emerge as it was not observed in 2</w:t>
      </w:r>
      <w:r w:rsidRPr="006F1F18">
        <w:rPr>
          <w:rFonts w:ascii="Times New Roman" w:hAnsi="Times New Roman" w:cs="Times New Roman"/>
          <w:sz w:val="24"/>
          <w:szCs w:val="24"/>
          <w:vertAlign w:val="superscript"/>
        </w:rPr>
        <w:t>nd</w:t>
      </w:r>
      <w:r w:rsidRPr="006F1F18">
        <w:rPr>
          <w:rFonts w:ascii="Times New Roman" w:hAnsi="Times New Roman" w:cs="Times New Roman"/>
          <w:sz w:val="24"/>
          <w:szCs w:val="24"/>
        </w:rPr>
        <w:t xml:space="preserve"> Graders. It is also possible that instead of practice or expertise, this early anticipative deployment of attention</w:t>
      </w:r>
      <w:r w:rsidRPr="00CB1BA0">
        <w:rPr>
          <w:rFonts w:ascii="Times New Roman" w:hAnsi="Times New Roman" w:cs="Times New Roman"/>
          <w:sz w:val="24"/>
          <w:szCs w:val="24"/>
        </w:rPr>
        <w:t xml:space="preserve"> requires the maturation of certain attentional mechanisms. It was already shown that brain activations elicited by ocular saccades correlated with activations elicited by merely perceiving a plus sign in children. This correlation was </w:t>
      </w:r>
      <w:r w:rsidRPr="00B2320F">
        <w:rPr>
          <w:rFonts w:ascii="Times New Roman" w:hAnsi="Times New Roman" w:cs="Times New Roman"/>
          <w:sz w:val="24"/>
          <w:szCs w:val="24"/>
        </w:rPr>
        <w:t>observed in the posterior superior parietal lobule and in the frontal eye field in adults (Mathieu et al., 201</w:t>
      </w:r>
      <w:r w:rsidR="00FE6607" w:rsidRPr="00B2320F">
        <w:rPr>
          <w:rFonts w:ascii="Times New Roman" w:hAnsi="Times New Roman" w:cs="Times New Roman"/>
          <w:sz w:val="24"/>
          <w:szCs w:val="24"/>
        </w:rPr>
        <w:t>8</w:t>
      </w:r>
      <w:r w:rsidRPr="00B2320F">
        <w:rPr>
          <w:rFonts w:ascii="Times New Roman" w:hAnsi="Times New Roman" w:cs="Times New Roman"/>
          <w:sz w:val="24"/>
          <w:szCs w:val="24"/>
        </w:rPr>
        <w:t>) and in the hippocampus in children of 7</w:t>
      </w:r>
      <w:r w:rsidRPr="00B2320F">
        <w:rPr>
          <w:rFonts w:ascii="Times New Roman" w:hAnsi="Times New Roman" w:cs="Times New Roman"/>
          <w:sz w:val="24"/>
          <w:szCs w:val="24"/>
          <w:vertAlign w:val="superscript"/>
        </w:rPr>
        <w:t>th</w:t>
      </w:r>
      <w:r w:rsidRPr="00B2320F">
        <w:rPr>
          <w:rFonts w:ascii="Times New Roman" w:hAnsi="Times New Roman" w:cs="Times New Roman"/>
          <w:sz w:val="24"/>
          <w:szCs w:val="24"/>
        </w:rPr>
        <w:t xml:space="preserve"> and 8</w:t>
      </w:r>
      <w:r w:rsidRPr="00B2320F">
        <w:rPr>
          <w:rFonts w:ascii="Times New Roman" w:hAnsi="Times New Roman" w:cs="Times New Roman"/>
          <w:sz w:val="24"/>
          <w:szCs w:val="24"/>
          <w:vertAlign w:val="superscript"/>
        </w:rPr>
        <w:t>th</w:t>
      </w:r>
      <w:r w:rsidRPr="00B2320F">
        <w:rPr>
          <w:rFonts w:ascii="Times New Roman" w:hAnsi="Times New Roman" w:cs="Times New Roman"/>
          <w:sz w:val="24"/>
          <w:szCs w:val="24"/>
        </w:rPr>
        <w:t xml:space="preserve"> Grade (i.e., around 12 – 13 years old), while no such associations were observed in younger participants (Mathieu et al., 2018). These activations in</w:t>
      </w:r>
      <w:r w:rsidRPr="00CB1BA0">
        <w:rPr>
          <w:rFonts w:ascii="Times New Roman" w:hAnsi="Times New Roman" w:cs="Times New Roman"/>
          <w:sz w:val="24"/>
          <w:szCs w:val="24"/>
        </w:rPr>
        <w:t xml:space="preserve"> older children were interpreted as a process of progressive automatization of the ability to navigate along a spatial continuum for solving arithmetic problems. The authors suggested that the early spatial attentional effects triggered by the presentation of a plus or minus sign are not possible until the brain network responsible for linking attentional mechanisms and arithmetic is sufficiently developed. However, as we already observed early attentional shifts in younger children of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-2</w:t>
      </w:r>
      <w:r w:rsidRPr="00CB1BA0">
        <w:rPr>
          <w:rFonts w:ascii="Times New Roman" w:hAnsi="Times New Roman" w:cs="Times New Roman"/>
          <w:sz w:val="24"/>
          <w:szCs w:val="24"/>
          <w:vertAlign w:val="superscript"/>
        </w:rPr>
        <w:t xml:space="preserve">nd </w:t>
      </w:r>
      <w:r w:rsidRPr="00CB1BA0">
        <w:rPr>
          <w:rFonts w:ascii="Times New Roman" w:hAnsi="Times New Roman" w:cs="Times New Roman"/>
          <w:sz w:val="24"/>
          <w:szCs w:val="24"/>
        </w:rPr>
        <w:t>Grade, it remains to be clarified whether our results and the hippocampal activations elicited by the mere presentation of an operator rely on similar mechanisms. Further investigation of the link between attentional biases, expertise and brain correlates is necessary to fully grab the picture of how attention sustains the acquisition of mathematical skills in children.</w:t>
      </w:r>
    </w:p>
    <w:p w14:paraId="78133C84"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One might suggest that the previous investigation of spatial biases in arithmetic among young children was underpowered or that the behavioural paradigm used was not appropriate to detect attentional shifts related to arithmetic. While this is indeed possible, we instead propose that Diaz-Barriga Yanez and colleagues (2020) failed to report horizontal attentional biases in 3</w:t>
      </w:r>
      <w:r w:rsidRPr="00CB1BA0">
        <w:rPr>
          <w:rFonts w:ascii="Times New Roman" w:hAnsi="Times New Roman" w:cs="Times New Roman"/>
          <w:sz w:val="24"/>
          <w:szCs w:val="24"/>
          <w:vertAlign w:val="superscript"/>
        </w:rPr>
        <w:t>rd</w:t>
      </w:r>
      <w:r w:rsidRPr="00CB1BA0">
        <w:rPr>
          <w:rFonts w:ascii="Times New Roman" w:hAnsi="Times New Roman" w:cs="Times New Roman"/>
          <w:sz w:val="24"/>
          <w:szCs w:val="24"/>
        </w:rPr>
        <w:t xml:space="preserve"> Graders because of the difference between 2</w:t>
      </w:r>
      <w:r w:rsidRPr="00CB1BA0">
        <w:rPr>
          <w:rFonts w:ascii="Times New Roman" w:hAnsi="Times New Roman" w:cs="Times New Roman"/>
          <w:sz w:val="24"/>
          <w:szCs w:val="24"/>
          <w:vertAlign w:val="superscript"/>
        </w:rPr>
        <w:t>nd</w:t>
      </w:r>
      <w:r w:rsidRPr="00CB1BA0">
        <w:rPr>
          <w:rFonts w:ascii="Times New Roman" w:hAnsi="Times New Roman" w:cs="Times New Roman"/>
          <w:sz w:val="24"/>
          <w:szCs w:val="24"/>
        </w:rPr>
        <w:t xml:space="preserve"> and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in the onset of attentional shifts. Their behavioural paradigm, in which the position of the second operand was </w:t>
      </w:r>
      <w:r w:rsidRPr="00CB1BA0">
        <w:rPr>
          <w:rFonts w:ascii="Times New Roman" w:hAnsi="Times New Roman" w:cs="Times New Roman"/>
          <w:sz w:val="24"/>
          <w:szCs w:val="24"/>
        </w:rPr>
        <w:lastRenderedPageBreak/>
        <w:t>manipulated, likely measures the anticipative attentional shift triggered by the operator instead of the later shift reflecting the exact computation</w:t>
      </w:r>
      <w:r>
        <w:rPr>
          <w:rFonts w:ascii="Times New Roman" w:hAnsi="Times New Roman" w:cs="Times New Roman"/>
          <w:sz w:val="24"/>
          <w:szCs w:val="24"/>
        </w:rPr>
        <w:t xml:space="preserve"> of the result</w:t>
      </w:r>
      <w:r w:rsidRPr="00CB1BA0">
        <w:rPr>
          <w:rFonts w:ascii="Times New Roman" w:hAnsi="Times New Roman" w:cs="Times New Roman"/>
          <w:sz w:val="24"/>
          <w:szCs w:val="24"/>
        </w:rPr>
        <w:t>. Indeed, the shorter response latencies when the second operand appears on the right for additions and on the left for subtractions was only observed in adults (Mathieu et al., 2016), in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and 5</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Graders (Diaz-Barriga Yanez et al., 2020), but not in 3</w:t>
      </w:r>
      <w:r w:rsidRPr="00CB1BA0">
        <w:rPr>
          <w:rFonts w:ascii="Times New Roman" w:hAnsi="Times New Roman" w:cs="Times New Roman"/>
          <w:sz w:val="24"/>
          <w:szCs w:val="24"/>
          <w:vertAlign w:val="superscript"/>
        </w:rPr>
        <w:t>rd</w:t>
      </w:r>
      <w:r w:rsidRPr="00CB1BA0">
        <w:rPr>
          <w:rFonts w:ascii="Times New Roman" w:hAnsi="Times New Roman" w:cs="Times New Roman"/>
          <w:sz w:val="24"/>
          <w:szCs w:val="24"/>
        </w:rPr>
        <w:t xml:space="preserve"> Graders. Thus, when perceiving a plus or a minus sign, participants of at least 4</w:t>
      </w:r>
      <w:r w:rsidRPr="00CB1BA0">
        <w:rPr>
          <w:rFonts w:ascii="Times New Roman" w:hAnsi="Times New Roman" w:cs="Times New Roman"/>
          <w:sz w:val="24"/>
          <w:szCs w:val="24"/>
          <w:vertAlign w:val="superscript"/>
        </w:rPr>
        <w:t>th</w:t>
      </w:r>
      <w:r w:rsidRPr="00CB1BA0">
        <w:rPr>
          <w:rFonts w:ascii="Times New Roman" w:hAnsi="Times New Roman" w:cs="Times New Roman"/>
          <w:sz w:val="24"/>
          <w:szCs w:val="24"/>
        </w:rPr>
        <w:t xml:space="preserve"> Grade might have deployed their attention on the right or left, respectively, which modulated the detection speed of the lateralized second operand (i.e., acceleration if localized in the congruent hemifield; delay if localized in the incongruent hemifield) </w:t>
      </w:r>
      <w:r w:rsidRPr="00F071D7">
        <w:rPr>
          <w:rFonts w:ascii="Times New Roman" w:hAnsi="Times New Roman" w:cs="Times New Roman"/>
          <w:sz w:val="24"/>
          <w:szCs w:val="24"/>
        </w:rPr>
        <w:t>which will in turn impact on how fast they start to solve the problem and provide an oral answer. For 2</w:t>
      </w:r>
      <w:r w:rsidRPr="00F071D7">
        <w:rPr>
          <w:rFonts w:ascii="Times New Roman" w:hAnsi="Times New Roman" w:cs="Times New Roman"/>
          <w:sz w:val="24"/>
          <w:szCs w:val="24"/>
          <w:vertAlign w:val="superscript"/>
        </w:rPr>
        <w:t>nd</w:t>
      </w:r>
      <w:r w:rsidRPr="00F071D7">
        <w:rPr>
          <w:rFonts w:ascii="Times New Roman" w:hAnsi="Times New Roman" w:cs="Times New Roman"/>
          <w:sz w:val="24"/>
          <w:szCs w:val="24"/>
        </w:rPr>
        <w:t xml:space="preserve"> Graders, we showed that attention is not shifted horizontally before the presentation of the second operand, and we suggest that, in light of Diaz-Barriga Yanez’s results, this effect would also not be present in 3</w:t>
      </w:r>
      <w:r w:rsidRPr="00F071D7">
        <w:rPr>
          <w:rFonts w:ascii="Times New Roman" w:hAnsi="Times New Roman" w:cs="Times New Roman"/>
          <w:sz w:val="24"/>
          <w:szCs w:val="24"/>
          <w:vertAlign w:val="superscript"/>
        </w:rPr>
        <w:t>rd</w:t>
      </w:r>
      <w:r w:rsidRPr="00F071D7">
        <w:rPr>
          <w:rFonts w:ascii="Times New Roman" w:hAnsi="Times New Roman" w:cs="Times New Roman"/>
          <w:sz w:val="24"/>
          <w:szCs w:val="24"/>
        </w:rPr>
        <w:t xml:space="preserve"> Graders. Thus, our study clearly shows that eye-tracking methodology outperforms classical behavioural</w:t>
      </w:r>
      <w:r w:rsidRPr="00CB1BA0">
        <w:rPr>
          <w:rFonts w:ascii="Times New Roman" w:hAnsi="Times New Roman" w:cs="Times New Roman"/>
          <w:sz w:val="24"/>
          <w:szCs w:val="24"/>
        </w:rPr>
        <w:t xml:space="preserve"> paradigms to uncover cognitive mechanisms underlying attentional biases during arithmetic problem solving. Not only because it is more sensitive to subtle spatial effects but mostly because of its high temporal resolution that precisely informs about the temporal course of distinct and sequential mechanisms that occurred during the presentation and the solving of the problems.</w:t>
      </w:r>
    </w:p>
    <w:p w14:paraId="150596B5"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CB1BA0">
        <w:rPr>
          <w:rFonts w:ascii="Times New Roman" w:hAnsi="Times New Roman" w:cs="Times New Roman"/>
          <w:sz w:val="24"/>
          <w:szCs w:val="24"/>
        </w:rPr>
        <w:t>It was predicted that vertical attentional shifts would be more robust in young children because they are supposed to be built on the universal sensorimotor experiences developed since birth during which children learn that “more is up” (Fischer, 2012; Winter</w:t>
      </w:r>
      <w:r>
        <w:rPr>
          <w:rFonts w:ascii="Times New Roman" w:hAnsi="Times New Roman" w:cs="Times New Roman"/>
          <w:sz w:val="24"/>
          <w:szCs w:val="24"/>
        </w:rPr>
        <w:t xml:space="preserve"> et al., </w:t>
      </w:r>
      <w:r w:rsidRPr="00CB1BA0">
        <w:rPr>
          <w:rFonts w:ascii="Times New Roman" w:hAnsi="Times New Roman" w:cs="Times New Roman"/>
          <w:sz w:val="24"/>
          <w:szCs w:val="24"/>
        </w:rPr>
        <w:t xml:space="preserve">2015). However, the only attentional </w:t>
      </w:r>
      <w:r w:rsidRPr="00F071D7">
        <w:rPr>
          <w:rFonts w:ascii="Times New Roman" w:hAnsi="Times New Roman" w:cs="Times New Roman"/>
          <w:sz w:val="24"/>
          <w:szCs w:val="24"/>
        </w:rPr>
        <w:t>shifts that were noticeable in 2</w:t>
      </w:r>
      <w:r w:rsidRPr="00F071D7">
        <w:rPr>
          <w:rFonts w:ascii="Times New Roman" w:hAnsi="Times New Roman" w:cs="Times New Roman"/>
          <w:sz w:val="24"/>
          <w:szCs w:val="24"/>
          <w:vertAlign w:val="superscript"/>
        </w:rPr>
        <w:t>nd</w:t>
      </w:r>
      <w:r w:rsidRPr="00F071D7">
        <w:rPr>
          <w:rFonts w:ascii="Times New Roman" w:hAnsi="Times New Roman" w:cs="Times New Roman"/>
          <w:sz w:val="24"/>
          <w:szCs w:val="24"/>
        </w:rPr>
        <w:t xml:space="preserve"> Graders before the answer was given were horizontal instead of vertical. Vertical attentional biases occurring before the answer seem to emerge between 2</w:t>
      </w:r>
      <w:r w:rsidRPr="00F071D7">
        <w:rPr>
          <w:rFonts w:ascii="Times New Roman" w:hAnsi="Times New Roman" w:cs="Times New Roman"/>
          <w:sz w:val="24"/>
          <w:szCs w:val="24"/>
          <w:vertAlign w:val="superscript"/>
        </w:rPr>
        <w:t>nd</w:t>
      </w:r>
      <w:r w:rsidRPr="00F071D7">
        <w:rPr>
          <w:rFonts w:ascii="Times New Roman" w:hAnsi="Times New Roman" w:cs="Times New Roman"/>
          <w:sz w:val="24"/>
          <w:szCs w:val="24"/>
        </w:rPr>
        <w:t xml:space="preserve"> and 4</w:t>
      </w:r>
      <w:r w:rsidRPr="00F071D7">
        <w:rPr>
          <w:rFonts w:ascii="Times New Roman" w:hAnsi="Times New Roman" w:cs="Times New Roman"/>
          <w:sz w:val="24"/>
          <w:szCs w:val="24"/>
          <w:vertAlign w:val="superscript"/>
        </w:rPr>
        <w:t>th</w:t>
      </w:r>
      <w:r w:rsidRPr="00F071D7">
        <w:rPr>
          <w:rFonts w:ascii="Times New Roman" w:hAnsi="Times New Roman" w:cs="Times New Roman"/>
          <w:sz w:val="24"/>
          <w:szCs w:val="24"/>
        </w:rPr>
        <w:t xml:space="preserve"> Grade. Along the 3</w:t>
      </w:r>
      <w:r w:rsidRPr="00F071D7">
        <w:rPr>
          <w:rFonts w:ascii="Times New Roman" w:hAnsi="Times New Roman" w:cs="Times New Roman"/>
          <w:sz w:val="24"/>
          <w:szCs w:val="24"/>
          <w:vertAlign w:val="superscript"/>
        </w:rPr>
        <w:t>rd</w:t>
      </w:r>
      <w:r w:rsidRPr="00F071D7">
        <w:rPr>
          <w:rFonts w:ascii="Times New Roman" w:hAnsi="Times New Roman" w:cs="Times New Roman"/>
          <w:sz w:val="24"/>
          <w:szCs w:val="24"/>
        </w:rPr>
        <w:t xml:space="preserve"> of 4</w:t>
      </w:r>
      <w:r w:rsidRPr="00F071D7">
        <w:rPr>
          <w:rFonts w:ascii="Times New Roman" w:hAnsi="Times New Roman" w:cs="Times New Roman"/>
          <w:sz w:val="24"/>
          <w:szCs w:val="24"/>
          <w:vertAlign w:val="superscript"/>
        </w:rPr>
        <w:t>th</w:t>
      </w:r>
      <w:r w:rsidRPr="00F071D7">
        <w:rPr>
          <w:rFonts w:ascii="Times New Roman" w:hAnsi="Times New Roman" w:cs="Times New Roman"/>
          <w:sz w:val="24"/>
          <w:szCs w:val="24"/>
        </w:rPr>
        <w:t xml:space="preserve"> Grade, children therefore start to exhibit the vertical biases when processing additions and subtractions in complement to the early installed horizontal bias. Our results are more compatible with the hypothesis that the </w:t>
      </w:r>
      <w:r w:rsidRPr="00F071D7">
        <w:rPr>
          <w:rFonts w:ascii="Times New Roman" w:hAnsi="Times New Roman" w:cs="Times New Roman"/>
          <w:sz w:val="24"/>
          <w:szCs w:val="24"/>
        </w:rPr>
        <w:lastRenderedPageBreak/>
        <w:t>relation between numerical processing</w:t>
      </w:r>
      <w:r w:rsidRPr="00CB1BA0">
        <w:rPr>
          <w:rFonts w:ascii="Times New Roman" w:hAnsi="Times New Roman" w:cs="Times New Roman"/>
          <w:sz w:val="24"/>
          <w:szCs w:val="24"/>
        </w:rPr>
        <w:t xml:space="preserve"> and vertical space originates from the gradual use of cultural tools such as graphs, thermometers, or elevator floors (Holmes &amp; Lourenco, 2011). Longitudinal studies should clarify how and when children start to use diverse orientations, including sagittal plane (see Aleotti, et al., 2020) to map numbers to help them at solving arithmetic problems.</w:t>
      </w:r>
    </w:p>
    <w:p w14:paraId="12734FE2" w14:textId="77777777" w:rsidR="002E6FC8" w:rsidRPr="00F071D7" w:rsidRDefault="002E6FC8" w:rsidP="002E6FC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w:t>
      </w:r>
      <w:r w:rsidRPr="00CB1BA0">
        <w:rPr>
          <w:rFonts w:ascii="Times New Roman" w:hAnsi="Times New Roman" w:cs="Times New Roman"/>
          <w:sz w:val="24"/>
          <w:szCs w:val="24"/>
        </w:rPr>
        <w:t xml:space="preserve">e </w:t>
      </w:r>
      <w:r>
        <w:rPr>
          <w:rFonts w:ascii="Times New Roman" w:hAnsi="Times New Roman" w:cs="Times New Roman"/>
          <w:sz w:val="24"/>
          <w:szCs w:val="24"/>
        </w:rPr>
        <w:t xml:space="preserve">also </w:t>
      </w:r>
      <w:r w:rsidRPr="00CB1BA0">
        <w:rPr>
          <w:rFonts w:ascii="Times New Roman" w:hAnsi="Times New Roman" w:cs="Times New Roman"/>
          <w:sz w:val="24"/>
          <w:szCs w:val="24"/>
        </w:rPr>
        <w:t>observed very late attentional shifts that occurred long after the response was made which are difficult to interpret in terms of functional mechanisms. In most studies, such late effects are interpreted as semantic associations between space and the operation (Andres et al., 2020; Salvaggio, Masson et al., 2022). The polarity correspondence principle, for example, assigns a positive linguistic polarity to the concepts of right and addition, and a negative linguistic polarity to the concepts of left and subtraction (Andres et al., 2020; Gevers</w:t>
      </w:r>
      <w:r>
        <w:rPr>
          <w:rFonts w:ascii="Times New Roman" w:hAnsi="Times New Roman" w:cs="Times New Roman"/>
          <w:sz w:val="24"/>
          <w:szCs w:val="24"/>
        </w:rPr>
        <w:t xml:space="preserve"> et al., </w:t>
      </w:r>
      <w:r w:rsidRPr="00CB1BA0">
        <w:rPr>
          <w:rFonts w:ascii="Times New Roman" w:hAnsi="Times New Roman" w:cs="Times New Roman"/>
          <w:sz w:val="24"/>
          <w:szCs w:val="24"/>
        </w:rPr>
        <w:t xml:space="preserve">2006; Proctor &amp; Cho, 2006). However, it is possible that these late attentional shifts would serve as a final verification to estimate if the answer that was given is plausible or not (for a similar view, see Marghetis et al., 2014). This last procedure could thus prevent children from absurd errors (e.g., answers that are larger than the first operand for subtractions). Though we only recorded the first answer given by the participants, we noticed that wrong answers were often later followed by spontaneous autocorrections, attesting that the children were still calculating after the verbal recording of the answer and that this verification procedure could have elicited these later shifts. This was particularly true for the Large problems with a higher error rate than the Small problems (likely because they involve carry operation for additions). For these difficult problems, no horizontal attentional shifts were detected, except for one period situated long after the response was made. We suggest that, as in Small problems, this late shift is </w:t>
      </w:r>
      <w:r w:rsidRPr="00F071D7">
        <w:rPr>
          <w:rFonts w:ascii="Times New Roman" w:hAnsi="Times New Roman" w:cs="Times New Roman"/>
          <w:sz w:val="24"/>
          <w:szCs w:val="24"/>
        </w:rPr>
        <w:t>caused by the verification mechanism.</w:t>
      </w:r>
    </w:p>
    <w:p w14:paraId="6CCC586E" w14:textId="77777777" w:rsidR="002E6FC8" w:rsidRPr="00F071D7" w:rsidRDefault="002E6FC8" w:rsidP="002E6FC8">
      <w:pPr>
        <w:spacing w:line="480" w:lineRule="auto"/>
        <w:ind w:firstLine="720"/>
        <w:jc w:val="both"/>
        <w:rPr>
          <w:rFonts w:ascii="Times New Roman" w:hAnsi="Times New Roman" w:cs="Times New Roman"/>
          <w:sz w:val="24"/>
          <w:szCs w:val="24"/>
        </w:rPr>
      </w:pPr>
      <w:r w:rsidRPr="00F071D7">
        <w:rPr>
          <w:rFonts w:ascii="Times New Roman" w:hAnsi="Times New Roman" w:cs="Times New Roman"/>
          <w:sz w:val="24"/>
          <w:szCs w:val="24"/>
        </w:rPr>
        <w:t xml:space="preserve">It remains to be clarified whether spatial strategies are universal or if only a subset of children tend to use them and if such spatialization is functional and associated with arithmetic </w:t>
      </w:r>
      <w:r w:rsidRPr="00F071D7">
        <w:rPr>
          <w:rFonts w:ascii="Times New Roman" w:hAnsi="Times New Roman" w:cs="Times New Roman"/>
          <w:sz w:val="24"/>
          <w:szCs w:val="24"/>
        </w:rPr>
        <w:lastRenderedPageBreak/>
        <w:t xml:space="preserve">performance. This question is beyond the objective of this experiment and would necessitate the investigation of a very large sample of children. </w:t>
      </w:r>
      <w:bookmarkStart w:id="4" w:name="_Hlk139644056"/>
      <w:r w:rsidRPr="00F071D7">
        <w:rPr>
          <w:rFonts w:ascii="Times New Roman" w:hAnsi="Times New Roman" w:cs="Times New Roman"/>
          <w:sz w:val="24"/>
          <w:szCs w:val="24"/>
        </w:rPr>
        <w:t xml:space="preserve">Moreover, this relationship between performance in arithmetic and the use of space might evolve with time which would require longitudinal studies or the investigation of large cohorts of children. One might predict that young children that are learning basic arithmetic principles could optimize their ability to solve simple additions and subtraction by relying on mental spaces. After a few years and the need to solve more complex problems, the most efficient children could abandon such spatial strategies when solving easier problems. Such a developmental trajectory using an attention orienting strategy as scaffold during early phases of arithmetic learning could be comparable to the use of finger counting for additions observed at preceding stages. Indeed, finger counting is associated with better arithmetic performance in kindergarten but this correlation gradually inverts with time (Jordan et al., 2008). </w:t>
      </w:r>
      <w:bookmarkEnd w:id="4"/>
      <w:r w:rsidRPr="00F071D7">
        <w:rPr>
          <w:rFonts w:ascii="Times New Roman" w:hAnsi="Times New Roman" w:cs="Times New Roman"/>
          <w:sz w:val="24"/>
          <w:szCs w:val="24"/>
        </w:rPr>
        <w:t>We must also acknowledge that observing attentional shifts while solving arithmetic problems does not mandatorily mean that these SNAs are functional. Indeed, the time course of the spatial biases that we observed just before the mean response times question what procedure they are reflecting and what is happening between the presentation of O2 and the production of the answer. Future interference studies should investigate this point by manipulating the locus of spatial attention and observing the impact on addition and subtraction solving. This approach was already successfully used in adults to demonstrate the functional relationship (</w:t>
      </w:r>
      <w:bookmarkStart w:id="5" w:name="_Hlk139643653"/>
      <w:r w:rsidRPr="00F071D7">
        <w:rPr>
          <w:rFonts w:ascii="Times New Roman" w:hAnsi="Times New Roman" w:cs="Times New Roman"/>
          <w:sz w:val="24"/>
          <w:szCs w:val="24"/>
        </w:rPr>
        <w:t>e.g., Blini et al., 2019; Hartmann, 2022; Masson &amp; Pesenti, 2022; Wiemers et al., 2014</w:t>
      </w:r>
      <w:bookmarkEnd w:id="5"/>
      <w:r w:rsidRPr="00F071D7">
        <w:rPr>
          <w:rFonts w:ascii="Times New Roman" w:hAnsi="Times New Roman" w:cs="Times New Roman"/>
          <w:sz w:val="24"/>
          <w:szCs w:val="24"/>
        </w:rPr>
        <w:t>) and could thus be extended to developmental studies.</w:t>
      </w:r>
    </w:p>
    <w:p w14:paraId="7669712A" w14:textId="77777777" w:rsidR="002E6FC8" w:rsidRPr="00F071D7" w:rsidRDefault="002E6FC8" w:rsidP="002E6FC8">
      <w:pPr>
        <w:spacing w:line="480" w:lineRule="auto"/>
        <w:ind w:firstLine="720"/>
        <w:jc w:val="both"/>
        <w:rPr>
          <w:rFonts w:ascii="Times New Roman" w:hAnsi="Times New Roman" w:cs="Times New Roman"/>
          <w:sz w:val="24"/>
          <w:szCs w:val="24"/>
        </w:rPr>
      </w:pPr>
      <w:r w:rsidRPr="00F071D7">
        <w:rPr>
          <w:rFonts w:ascii="Times New Roman" w:hAnsi="Times New Roman" w:cs="Times New Roman"/>
          <w:sz w:val="24"/>
          <w:szCs w:val="24"/>
        </w:rPr>
        <w:t xml:space="preserve">Finally, we must acknowledge that with the present gaze pattern paradigm, we cannot discriminate the respective role of subtraction and addition in the observed differences in eye position. Indeed, it is still to be defined if both operations elicit gaze shifts in opposite directions or if the effects are driven by one or the two operations. The challenge for future eye-tracking studies resides in finding a baseline condition that does not require shifting attention while </w:t>
      </w:r>
      <w:r w:rsidRPr="00F071D7">
        <w:rPr>
          <w:rFonts w:ascii="Times New Roman" w:hAnsi="Times New Roman" w:cs="Times New Roman"/>
          <w:sz w:val="24"/>
          <w:szCs w:val="24"/>
        </w:rPr>
        <w:lastRenderedPageBreak/>
        <w:t>controlling for general (verbal or non-verbal) factors susceptible to cause non-specific attention shifts such as the initial rightward deflection observed here. To circumvent this issue, future studies could exploit the pupil light response to evaluate covert attentional shifts by manipulating the luminance of lateralized hemifields (e.g., Mathôt et al., 2013; Strauch et al., 2022). Leftward attentional shifts for subtraction should be associated to pupil size dilation when the left side of the screen is dark and contraction when it is bright. And the opposite should be observed for additions. The spatial bias could thus be estimated separately for additions and subtractions, withholding the need for a baseline to discriminate their respective influence. This approach has already proven to be successful to measure covert shifts of attention in a numerical comparison task (Salvaggio, Andres et al., 2022) and could thus be adopted in the context of mental arithmetic. Previous neuropsychological studies reported selective deficits for subtraction in left neglect (Dormal et al., 2014) and for additions in right neglect (Masson et al., 2017) suggest that additions and subtractions should trigger shifts of attention in opposite direction in adults, but we agree that this remains an open question in children and deserves further investigation. The limitations of gaze analysis should not undermine the usefulness of our current approach that crucially allowed to uncover the temporal course of the SNAs. The pupil light response being very slow, it would have been impossible to track the temporal deployment of attention and uncover what strategies they might reflect.</w:t>
      </w:r>
    </w:p>
    <w:p w14:paraId="4627462D" w14:textId="77777777" w:rsidR="002E6FC8" w:rsidRPr="00CB1BA0" w:rsidRDefault="002E6FC8" w:rsidP="002E6FC8">
      <w:pPr>
        <w:spacing w:line="480" w:lineRule="auto"/>
        <w:ind w:firstLine="720"/>
        <w:jc w:val="both"/>
        <w:rPr>
          <w:rFonts w:ascii="Times New Roman" w:hAnsi="Times New Roman" w:cs="Times New Roman"/>
          <w:sz w:val="24"/>
          <w:szCs w:val="24"/>
        </w:rPr>
      </w:pPr>
      <w:r w:rsidRPr="00F071D7">
        <w:rPr>
          <w:rFonts w:ascii="Times New Roman" w:hAnsi="Times New Roman" w:cs="Times New Roman"/>
          <w:sz w:val="24"/>
          <w:szCs w:val="24"/>
        </w:rPr>
        <w:t>In sum, the present data obtained by tracking spontaneous gaze movements while 2</w:t>
      </w:r>
      <w:r w:rsidRPr="00F071D7">
        <w:rPr>
          <w:rFonts w:ascii="Times New Roman" w:hAnsi="Times New Roman" w:cs="Times New Roman"/>
          <w:sz w:val="24"/>
          <w:szCs w:val="24"/>
          <w:vertAlign w:val="superscript"/>
        </w:rPr>
        <w:t>nd</w:t>
      </w:r>
      <w:r w:rsidRPr="00F071D7">
        <w:rPr>
          <w:rFonts w:ascii="Times New Roman" w:hAnsi="Times New Roman" w:cs="Times New Roman"/>
          <w:sz w:val="24"/>
          <w:szCs w:val="24"/>
        </w:rPr>
        <w:t xml:space="preserve"> and 4</w:t>
      </w:r>
      <w:r w:rsidRPr="00F071D7">
        <w:rPr>
          <w:rFonts w:ascii="Times New Roman" w:hAnsi="Times New Roman" w:cs="Times New Roman"/>
          <w:sz w:val="24"/>
          <w:szCs w:val="24"/>
          <w:vertAlign w:val="superscript"/>
        </w:rPr>
        <w:t>th</w:t>
      </w:r>
      <w:r w:rsidRPr="00F071D7">
        <w:rPr>
          <w:rFonts w:ascii="Times New Roman" w:hAnsi="Times New Roman" w:cs="Times New Roman"/>
          <w:sz w:val="24"/>
          <w:szCs w:val="24"/>
        </w:rPr>
        <w:t xml:space="preserve"> graders were solving arithmetic problems undermine the hypothesis that attentional shifts are only used by adults or children with extensive practice of arithmetic. Eye-tracking allowed to reveal clear pattern of horizontal and vertical attention shifts during single-digit additions and subtractions. While children of both age groups shifted attention just before answering to the problem, only the more experienced 4</w:t>
      </w:r>
      <w:r w:rsidRPr="00F071D7">
        <w:rPr>
          <w:rFonts w:ascii="Times New Roman" w:hAnsi="Times New Roman" w:cs="Times New Roman"/>
          <w:sz w:val="24"/>
          <w:szCs w:val="24"/>
          <w:vertAlign w:val="superscript"/>
        </w:rPr>
        <w:t>th</w:t>
      </w:r>
      <w:r w:rsidRPr="00F071D7">
        <w:rPr>
          <w:rFonts w:ascii="Times New Roman" w:hAnsi="Times New Roman" w:cs="Times New Roman"/>
          <w:sz w:val="24"/>
          <w:szCs w:val="24"/>
        </w:rPr>
        <w:t xml:space="preserve"> graders started to shift their attention anticipatively, before knowing the second operand, to narrow down the range of plausible </w:t>
      </w:r>
      <w:r w:rsidRPr="00F071D7">
        <w:rPr>
          <w:rFonts w:ascii="Times New Roman" w:hAnsi="Times New Roman" w:cs="Times New Roman"/>
          <w:sz w:val="24"/>
          <w:szCs w:val="24"/>
        </w:rPr>
        <w:lastRenderedPageBreak/>
        <w:t>answers. Future transversal and longitudinal studies will need to clarify the exact developmental stage at which each of these shifts arise and how they relate</w:t>
      </w:r>
      <w:r w:rsidRPr="00CB1BA0">
        <w:rPr>
          <w:rFonts w:ascii="Times New Roman" w:hAnsi="Times New Roman" w:cs="Times New Roman"/>
          <w:sz w:val="24"/>
          <w:szCs w:val="24"/>
        </w:rPr>
        <w:t xml:space="preserve"> to individual differences in arithmetic. </w:t>
      </w:r>
    </w:p>
    <w:p w14:paraId="6BBC182B" w14:textId="0119DD1F" w:rsidR="002E6FC8" w:rsidRPr="002A3363" w:rsidRDefault="002A3363" w:rsidP="002E6FC8">
      <w:pPr>
        <w:spacing w:line="480" w:lineRule="auto"/>
        <w:jc w:val="both"/>
        <w:rPr>
          <w:rFonts w:ascii="Times New Roman" w:hAnsi="Times New Roman" w:cs="Times New Roman"/>
          <w:b/>
          <w:bCs/>
          <w:sz w:val="24"/>
          <w:szCs w:val="24"/>
        </w:rPr>
      </w:pPr>
      <w:r w:rsidRPr="002A3363">
        <w:rPr>
          <w:rFonts w:ascii="Times New Roman" w:hAnsi="Times New Roman" w:cs="Times New Roman"/>
          <w:b/>
          <w:bCs/>
          <w:sz w:val="24"/>
          <w:szCs w:val="24"/>
        </w:rPr>
        <w:t>Acknowledgments:</w:t>
      </w:r>
    </w:p>
    <w:p w14:paraId="221A1582" w14:textId="77777777" w:rsidR="00305B34" w:rsidRDefault="00305B34" w:rsidP="00305B34">
      <w:pPr>
        <w:spacing w:line="480" w:lineRule="auto"/>
        <w:jc w:val="both"/>
        <w:rPr>
          <w:rFonts w:ascii="Times New Roman" w:hAnsi="Times New Roman" w:cs="Times New Roman"/>
          <w:sz w:val="24"/>
          <w:szCs w:val="24"/>
        </w:rPr>
      </w:pPr>
      <w:r w:rsidRPr="00305B34">
        <w:rPr>
          <w:rFonts w:ascii="Times New Roman" w:hAnsi="Times New Roman" w:cs="Times New Roman"/>
          <w:sz w:val="24"/>
          <w:szCs w:val="24"/>
        </w:rPr>
        <w:t xml:space="preserve">The authors would like to thank all the children who participated to this experiment and the school teachers and staff members of the Ecole Notre Dame Immaculée (Evere, Belgium) and the Ecole Fondamentale Kinneksbond (Mamer, Luxemburg) for welcoming us and facilitating the testing sessions. We also thank Gina Andrade, Brenda Gilson, Amélie Mersch and Adeline Rasselet for their help with the data collection. This research was supported by the Fonds National de la Recherche Scientifique (FRS-FNRS, Belgium; grants 1.B303.21 and PDR-T.0047.18) and by the Fonds National de la Recherche (FNR, Luxemburg; grant FNR-INTER/FNRS/17/1178524/SNAMATH). </w:t>
      </w:r>
    </w:p>
    <w:p w14:paraId="29F81213" w14:textId="7DD65223" w:rsidR="002E6FC8" w:rsidRPr="00CB1BA0" w:rsidRDefault="002E6FC8" w:rsidP="002E6FC8">
      <w:pPr>
        <w:spacing w:line="480" w:lineRule="auto"/>
        <w:rPr>
          <w:rFonts w:ascii="Times New Roman" w:hAnsi="Times New Roman" w:cs="Times New Roman"/>
          <w:b/>
          <w:sz w:val="24"/>
          <w:szCs w:val="24"/>
        </w:rPr>
      </w:pPr>
      <w:r>
        <w:rPr>
          <w:rFonts w:ascii="Times New Roman" w:hAnsi="Times New Roman" w:cs="Times New Roman"/>
          <w:b/>
          <w:sz w:val="24"/>
          <w:szCs w:val="24"/>
        </w:rPr>
        <w:t>Open Science Practice</w:t>
      </w:r>
    </w:p>
    <w:p w14:paraId="2CDA1E79" w14:textId="764812ED" w:rsidR="002E6FC8" w:rsidRPr="00CB1BA0" w:rsidRDefault="002E6FC8" w:rsidP="002E6FC8">
      <w:pPr>
        <w:spacing w:after="0" w:line="480" w:lineRule="auto"/>
        <w:ind w:right="4" w:firstLine="720"/>
        <w:jc w:val="both"/>
        <w:rPr>
          <w:rFonts w:ascii="Times New Roman" w:hAnsi="Times New Roman" w:cs="Times New Roman"/>
          <w:sz w:val="24"/>
          <w:szCs w:val="24"/>
        </w:rPr>
      </w:pPr>
      <w:r w:rsidRPr="00CB1BA0">
        <w:rPr>
          <w:rFonts w:ascii="Times New Roman" w:hAnsi="Times New Roman" w:cs="Times New Roman"/>
          <w:sz w:val="24"/>
          <w:szCs w:val="24"/>
        </w:rPr>
        <w:t xml:space="preserve">The study and analyses presented here were not preregistered. The experimental scripts, datasets generated during and/or analysed during the current study, as well as the scripts to analyse the data are </w:t>
      </w:r>
      <w:r>
        <w:rPr>
          <w:rFonts w:ascii="Times New Roman" w:hAnsi="Times New Roman" w:cs="Times New Roman"/>
          <w:sz w:val="24"/>
          <w:szCs w:val="24"/>
        </w:rPr>
        <w:t>accessible</w:t>
      </w:r>
      <w:r w:rsidRPr="00CB1BA0">
        <w:rPr>
          <w:rFonts w:ascii="Times New Roman" w:hAnsi="Times New Roman" w:cs="Times New Roman"/>
          <w:sz w:val="24"/>
          <w:szCs w:val="24"/>
        </w:rPr>
        <w:t xml:space="preserve"> on OSF following this link: </w:t>
      </w:r>
      <w:r w:rsidR="00B2320F" w:rsidRPr="00B2320F">
        <w:rPr>
          <w:rFonts w:ascii="Times New Roman" w:hAnsi="Times New Roman" w:cs="Times New Roman"/>
          <w:sz w:val="24"/>
          <w:szCs w:val="24"/>
        </w:rPr>
        <w:t>https://osf.io/v8u9t/</w:t>
      </w:r>
    </w:p>
    <w:p w14:paraId="46CFCAF1" w14:textId="77777777" w:rsidR="002E6FC8" w:rsidRPr="00CB1BA0" w:rsidRDefault="002E6FC8" w:rsidP="002E6FC8">
      <w:pPr>
        <w:spacing w:after="0" w:line="480" w:lineRule="auto"/>
        <w:ind w:right="4"/>
        <w:jc w:val="both"/>
        <w:rPr>
          <w:rFonts w:ascii="Times New Roman" w:hAnsi="Times New Roman" w:cs="Times New Roman"/>
          <w:sz w:val="24"/>
          <w:szCs w:val="24"/>
        </w:rPr>
      </w:pPr>
    </w:p>
    <w:p w14:paraId="2CA9683A" w14:textId="77777777" w:rsidR="002E6FC8" w:rsidRPr="00CB1BA0" w:rsidRDefault="002E6FC8" w:rsidP="002E6FC8">
      <w:pPr>
        <w:spacing w:line="480" w:lineRule="auto"/>
        <w:rPr>
          <w:rFonts w:ascii="Times New Roman" w:hAnsi="Times New Roman" w:cs="Times New Roman"/>
          <w:b/>
          <w:bCs/>
          <w:sz w:val="24"/>
          <w:szCs w:val="24"/>
        </w:rPr>
      </w:pPr>
      <w:r w:rsidRPr="00CB1BA0">
        <w:rPr>
          <w:rFonts w:ascii="Times New Roman" w:hAnsi="Times New Roman" w:cs="Times New Roman"/>
          <w:b/>
          <w:bCs/>
          <w:sz w:val="24"/>
          <w:szCs w:val="24"/>
          <w:lang w:val="en-US"/>
        </w:rPr>
        <w:t>Declarations of interest:</w:t>
      </w:r>
      <w:r w:rsidRPr="00CB1BA0">
        <w:rPr>
          <w:rFonts w:ascii="Times New Roman" w:hAnsi="Times New Roman" w:cs="Times New Roman"/>
          <w:sz w:val="24"/>
          <w:szCs w:val="24"/>
          <w:lang w:val="en-US"/>
        </w:rPr>
        <w:t xml:space="preserve"> The authors report no conflict of interest.</w:t>
      </w:r>
    </w:p>
    <w:p w14:paraId="7A104964" w14:textId="77777777" w:rsidR="002E6FC8" w:rsidRPr="00CB1BA0" w:rsidRDefault="002E6FC8" w:rsidP="002E6FC8">
      <w:pPr>
        <w:spacing w:line="480" w:lineRule="auto"/>
        <w:rPr>
          <w:rFonts w:ascii="Times New Roman" w:hAnsi="Times New Roman" w:cs="Times New Roman"/>
          <w:b/>
          <w:sz w:val="24"/>
          <w:szCs w:val="24"/>
        </w:rPr>
      </w:pPr>
      <w:r w:rsidRPr="00CB1BA0">
        <w:rPr>
          <w:rFonts w:ascii="Times New Roman" w:hAnsi="Times New Roman" w:cs="Times New Roman"/>
          <w:b/>
          <w:sz w:val="24"/>
          <w:szCs w:val="24"/>
        </w:rPr>
        <w:br w:type="page"/>
      </w:r>
    </w:p>
    <w:p w14:paraId="5DDC76BD" w14:textId="77777777" w:rsidR="002E6FC8" w:rsidRPr="00E6263C" w:rsidRDefault="002E6FC8" w:rsidP="002E6FC8">
      <w:pPr>
        <w:spacing w:line="480" w:lineRule="auto"/>
        <w:jc w:val="both"/>
        <w:rPr>
          <w:rFonts w:ascii="Times New Roman" w:hAnsi="Times New Roman" w:cs="Times New Roman"/>
          <w:b/>
          <w:sz w:val="24"/>
          <w:szCs w:val="24"/>
          <w:lang w:val="it-IT"/>
        </w:rPr>
      </w:pPr>
      <w:r w:rsidRPr="00E6263C">
        <w:rPr>
          <w:rFonts w:ascii="Times New Roman" w:hAnsi="Times New Roman" w:cs="Times New Roman"/>
          <w:b/>
          <w:sz w:val="24"/>
          <w:szCs w:val="24"/>
          <w:lang w:val="it-IT"/>
        </w:rPr>
        <w:lastRenderedPageBreak/>
        <w:t>References</w:t>
      </w:r>
    </w:p>
    <w:p w14:paraId="6DC422C6" w14:textId="77777777" w:rsidR="002E6FC8" w:rsidRPr="00E6263C" w:rsidRDefault="002E6FC8" w:rsidP="002E6FC8">
      <w:pPr>
        <w:spacing w:line="480" w:lineRule="auto"/>
        <w:jc w:val="both"/>
        <w:rPr>
          <w:rFonts w:ascii="Times New Roman" w:hAnsi="Times New Roman" w:cs="Times New Roman"/>
          <w:sz w:val="24"/>
          <w:szCs w:val="24"/>
          <w:lang w:val="it-IT"/>
        </w:rPr>
      </w:pPr>
      <w:r w:rsidRPr="00E6263C">
        <w:rPr>
          <w:rFonts w:ascii="Times New Roman" w:hAnsi="Times New Roman" w:cs="Times New Roman"/>
          <w:sz w:val="24"/>
          <w:szCs w:val="24"/>
          <w:lang w:val="it-IT"/>
        </w:rPr>
        <w:t xml:space="preserve">Aleotti, S., Di Girolamo, F., Massaccesi, S., &amp; Priftis, K. (2020). </w:t>
      </w:r>
      <w:r w:rsidRPr="00CB1BA0">
        <w:rPr>
          <w:rFonts w:ascii="Times New Roman" w:hAnsi="Times New Roman" w:cs="Times New Roman"/>
          <w:sz w:val="24"/>
          <w:szCs w:val="24"/>
          <w:lang w:val="en-US"/>
        </w:rPr>
        <w:t xml:space="preserve">Numbers around Descartes: A preregistered study on the three-dimensional SNARC effect. </w:t>
      </w:r>
      <w:r w:rsidRPr="00E6263C">
        <w:rPr>
          <w:rFonts w:ascii="Times New Roman" w:hAnsi="Times New Roman" w:cs="Times New Roman"/>
          <w:i/>
          <w:iCs/>
          <w:sz w:val="24"/>
          <w:szCs w:val="24"/>
          <w:lang w:val="it-IT"/>
        </w:rPr>
        <w:t>Cognition, 195</w:t>
      </w:r>
      <w:r w:rsidRPr="00E6263C">
        <w:rPr>
          <w:rFonts w:ascii="Times New Roman" w:hAnsi="Times New Roman" w:cs="Times New Roman"/>
          <w:sz w:val="24"/>
          <w:szCs w:val="24"/>
          <w:lang w:val="it-IT"/>
        </w:rPr>
        <w:t>, 104111. https://doi.org/10.1016/j.cognition.2019.104111</w:t>
      </w:r>
    </w:p>
    <w:p w14:paraId="1876F846" w14:textId="77777777" w:rsidR="002E6FC8" w:rsidRPr="00971B91" w:rsidRDefault="002E6FC8" w:rsidP="002E6FC8">
      <w:pPr>
        <w:spacing w:line="480" w:lineRule="auto"/>
        <w:jc w:val="both"/>
        <w:rPr>
          <w:rFonts w:ascii="Times New Roman" w:hAnsi="Times New Roman" w:cs="Times New Roman"/>
          <w:sz w:val="24"/>
          <w:szCs w:val="24"/>
        </w:rPr>
      </w:pPr>
      <w:r w:rsidRPr="00E6263C">
        <w:rPr>
          <w:rFonts w:ascii="Times New Roman" w:hAnsi="Times New Roman" w:cs="Times New Roman"/>
          <w:sz w:val="24"/>
          <w:szCs w:val="24"/>
          <w:lang w:val="it-IT"/>
        </w:rPr>
        <w:t xml:space="preserve">Andres M., Salvaggio S., Lefèvre N., Pesenti M., &amp; Masson N. (2020). </w:t>
      </w:r>
      <w:r w:rsidRPr="00CB1BA0">
        <w:rPr>
          <w:rFonts w:ascii="Times New Roman" w:hAnsi="Times New Roman" w:cs="Times New Roman"/>
          <w:sz w:val="24"/>
          <w:szCs w:val="24"/>
        </w:rPr>
        <w:t xml:space="preserve">Semantic associations between arithmetic and space: Evidence from temporal order judgements. </w:t>
      </w:r>
      <w:r w:rsidRPr="00CB1BA0">
        <w:rPr>
          <w:rFonts w:ascii="Times New Roman" w:hAnsi="Times New Roman" w:cs="Times New Roman"/>
          <w:i/>
          <w:sz w:val="24"/>
          <w:szCs w:val="24"/>
        </w:rPr>
        <w:t xml:space="preserve">Memory &amp; Cognition, </w:t>
      </w:r>
      <w:r w:rsidRPr="00971B91">
        <w:rPr>
          <w:rFonts w:ascii="Times New Roman" w:hAnsi="Times New Roman" w:cs="Times New Roman"/>
          <w:i/>
          <w:sz w:val="24"/>
          <w:szCs w:val="24"/>
        </w:rPr>
        <w:t>48</w:t>
      </w:r>
      <w:r w:rsidRPr="00971B91">
        <w:rPr>
          <w:rFonts w:ascii="Times New Roman" w:hAnsi="Times New Roman" w:cs="Times New Roman"/>
          <w:sz w:val="24"/>
          <w:szCs w:val="24"/>
        </w:rPr>
        <w:t>(3), 361-369. doi: 10.3758/s13421-019-00975-9. PMID: 31529261.</w:t>
      </w:r>
    </w:p>
    <w:p w14:paraId="73563C2A" w14:textId="57ECF7CF" w:rsidR="00E02EDA" w:rsidRPr="00971B91" w:rsidRDefault="00E02EDA" w:rsidP="002E6FC8">
      <w:pPr>
        <w:spacing w:line="480" w:lineRule="auto"/>
        <w:jc w:val="both"/>
        <w:rPr>
          <w:rFonts w:ascii="Times New Roman" w:hAnsi="Times New Roman" w:cs="Times New Roman"/>
          <w:sz w:val="24"/>
          <w:szCs w:val="24"/>
          <w:lang w:val="de-DE"/>
        </w:rPr>
      </w:pPr>
      <w:r w:rsidRPr="00971B91">
        <w:rPr>
          <w:rFonts w:ascii="Times New Roman" w:hAnsi="Times New Roman" w:cs="Times New Roman"/>
          <w:sz w:val="24"/>
          <w:szCs w:val="24"/>
          <w:lang w:val="en-US"/>
        </w:rPr>
        <w:t xml:space="preserve">Ashcraft, M. H. (1992). Cognitive arithmetic: A review of data and theory. </w:t>
      </w:r>
      <w:r w:rsidRPr="00971B91">
        <w:rPr>
          <w:rFonts w:ascii="Times New Roman" w:hAnsi="Times New Roman" w:cs="Times New Roman"/>
          <w:i/>
          <w:iCs/>
          <w:sz w:val="24"/>
          <w:szCs w:val="24"/>
          <w:lang w:val="de-DE"/>
        </w:rPr>
        <w:t>Cognition, 44</w:t>
      </w:r>
      <w:r w:rsidRPr="00971B91">
        <w:rPr>
          <w:rFonts w:ascii="Times New Roman" w:hAnsi="Times New Roman" w:cs="Times New Roman"/>
          <w:sz w:val="24"/>
          <w:szCs w:val="24"/>
          <w:lang w:val="de-DE"/>
        </w:rPr>
        <w:t>(1-2), 75-106.</w:t>
      </w:r>
      <w:r w:rsidRPr="00971B91">
        <w:rPr>
          <w:lang w:val="de-DE"/>
        </w:rPr>
        <w:t xml:space="preserve"> </w:t>
      </w:r>
      <w:r w:rsidRPr="00971B91">
        <w:rPr>
          <w:rFonts w:ascii="Times New Roman" w:hAnsi="Times New Roman" w:cs="Times New Roman"/>
          <w:sz w:val="24"/>
          <w:szCs w:val="24"/>
          <w:lang w:val="de-DE"/>
        </w:rPr>
        <w:t>https://doi.org/10.1016/0010-0277(92)90051-I</w:t>
      </w:r>
    </w:p>
    <w:p w14:paraId="271F501A" w14:textId="574453F8" w:rsidR="002E6FC8" w:rsidRPr="00F071D7" w:rsidRDefault="002E6FC8" w:rsidP="002E6FC8">
      <w:pPr>
        <w:spacing w:line="480" w:lineRule="auto"/>
        <w:jc w:val="both"/>
        <w:rPr>
          <w:rFonts w:ascii="Times New Roman" w:hAnsi="Times New Roman" w:cs="Times New Roman"/>
          <w:sz w:val="24"/>
          <w:szCs w:val="24"/>
          <w:lang w:val="nl-NL"/>
        </w:rPr>
      </w:pPr>
      <w:r w:rsidRPr="00971B91">
        <w:rPr>
          <w:rFonts w:ascii="Times New Roman" w:hAnsi="Times New Roman" w:cs="Times New Roman"/>
          <w:sz w:val="24"/>
          <w:szCs w:val="24"/>
          <w:lang w:val="de-DE"/>
        </w:rPr>
        <w:t>Bächtold, D., Baumüller, M., &amp; Brugger, P. (1998</w:t>
      </w:r>
      <w:r w:rsidRPr="00E02EDA">
        <w:rPr>
          <w:rFonts w:ascii="Times New Roman" w:hAnsi="Times New Roman" w:cs="Times New Roman"/>
          <w:sz w:val="24"/>
          <w:szCs w:val="24"/>
          <w:lang w:val="de-DE"/>
        </w:rPr>
        <w:t xml:space="preserve">). </w:t>
      </w:r>
      <w:r w:rsidRPr="00CB1BA0">
        <w:rPr>
          <w:rFonts w:ascii="Times New Roman" w:hAnsi="Times New Roman" w:cs="Times New Roman"/>
          <w:sz w:val="24"/>
          <w:szCs w:val="24"/>
          <w:lang w:val="en-US"/>
        </w:rPr>
        <w:t xml:space="preserve">Stimulus-response compatibility in representational </w:t>
      </w:r>
      <w:r w:rsidRPr="00F071D7">
        <w:rPr>
          <w:rFonts w:ascii="Times New Roman" w:hAnsi="Times New Roman" w:cs="Times New Roman"/>
          <w:sz w:val="24"/>
          <w:szCs w:val="24"/>
          <w:lang w:val="en-US"/>
        </w:rPr>
        <w:t xml:space="preserve">space. </w:t>
      </w:r>
      <w:r w:rsidRPr="00F071D7">
        <w:rPr>
          <w:rFonts w:ascii="Times New Roman" w:hAnsi="Times New Roman" w:cs="Times New Roman"/>
          <w:i/>
          <w:iCs/>
          <w:sz w:val="24"/>
          <w:szCs w:val="24"/>
          <w:lang w:val="nl-NL"/>
        </w:rPr>
        <w:t>Neuropsychologia, 36</w:t>
      </w:r>
      <w:r w:rsidRPr="00F071D7">
        <w:rPr>
          <w:rFonts w:ascii="Times New Roman" w:hAnsi="Times New Roman" w:cs="Times New Roman"/>
          <w:sz w:val="24"/>
          <w:szCs w:val="24"/>
          <w:lang w:val="nl-NL"/>
        </w:rPr>
        <w:t>(8), 731-735. https://doi.org/10.1016/S0028-3932(98)00002-5</w:t>
      </w:r>
    </w:p>
    <w:p w14:paraId="7750B189"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nl-NL"/>
        </w:rPr>
        <w:t xml:space="preserve">Bagnoud, J., Dewi, J., Castel, C., Mathieu, R., &amp; Thevenot, C. (2021). </w:t>
      </w:r>
      <w:r w:rsidRPr="00F071D7">
        <w:rPr>
          <w:rFonts w:ascii="Times New Roman" w:hAnsi="Times New Roman" w:cs="Times New Roman"/>
          <w:sz w:val="24"/>
          <w:szCs w:val="24"/>
          <w:lang w:val="en-US"/>
        </w:rPr>
        <w:t xml:space="preserve">Developmental changes in size effects for simple tie and non-tie addition problems in 6-to 12-year-old children and adults. </w:t>
      </w:r>
      <w:r w:rsidRPr="00F071D7">
        <w:rPr>
          <w:rFonts w:ascii="Times New Roman" w:hAnsi="Times New Roman" w:cs="Times New Roman"/>
          <w:i/>
          <w:iCs/>
          <w:sz w:val="24"/>
          <w:szCs w:val="24"/>
          <w:lang w:val="en-US"/>
        </w:rPr>
        <w:t>Journal of Experimental Child Psychology, 201</w:t>
      </w:r>
      <w:r w:rsidRPr="00F071D7">
        <w:rPr>
          <w:rFonts w:ascii="Times New Roman" w:hAnsi="Times New Roman" w:cs="Times New Roman"/>
          <w:sz w:val="24"/>
          <w:szCs w:val="24"/>
          <w:lang w:val="en-US"/>
        </w:rPr>
        <w:t>, 104987.</w:t>
      </w:r>
      <w:r w:rsidRPr="00F071D7">
        <w:t xml:space="preserve"> </w:t>
      </w:r>
      <w:r w:rsidRPr="00F071D7">
        <w:rPr>
          <w:rFonts w:ascii="Times New Roman" w:hAnsi="Times New Roman" w:cs="Times New Roman"/>
          <w:sz w:val="24"/>
          <w:szCs w:val="24"/>
          <w:lang w:val="en-US"/>
        </w:rPr>
        <w:t>https://doi.org/10.1016/j.jecp.2020.104987</w:t>
      </w:r>
    </w:p>
    <w:p w14:paraId="6DB7C888" w14:textId="77777777" w:rsidR="002E6FC8" w:rsidRPr="00F071D7" w:rsidRDefault="002E6FC8" w:rsidP="002E6FC8">
      <w:pPr>
        <w:spacing w:line="480" w:lineRule="auto"/>
        <w:jc w:val="both"/>
        <w:rPr>
          <w:rFonts w:ascii="Times New Roman" w:hAnsi="Times New Roman" w:cs="Times New Roman"/>
          <w:sz w:val="24"/>
          <w:szCs w:val="24"/>
          <w:lang w:val="it-IT"/>
        </w:rPr>
      </w:pPr>
      <w:r w:rsidRPr="00F071D7">
        <w:rPr>
          <w:rFonts w:ascii="Times New Roman" w:hAnsi="Times New Roman" w:cs="Times New Roman"/>
          <w:sz w:val="24"/>
          <w:szCs w:val="24"/>
          <w:lang w:val="en-US"/>
        </w:rPr>
        <w:t xml:space="preserve">Barrouillet, P., &amp; Thevenot, C. (2013). On the problem-size effect in small additions: Can we really discard any counting-based account?. </w:t>
      </w:r>
      <w:r w:rsidRPr="00F071D7">
        <w:rPr>
          <w:rFonts w:ascii="Times New Roman" w:hAnsi="Times New Roman" w:cs="Times New Roman"/>
          <w:i/>
          <w:iCs/>
          <w:sz w:val="24"/>
          <w:szCs w:val="24"/>
          <w:lang w:val="it-IT"/>
        </w:rPr>
        <w:t>Cognition, 128</w:t>
      </w:r>
      <w:r w:rsidRPr="00F071D7">
        <w:rPr>
          <w:rFonts w:ascii="Times New Roman" w:hAnsi="Times New Roman" w:cs="Times New Roman"/>
          <w:sz w:val="24"/>
          <w:szCs w:val="24"/>
          <w:lang w:val="it-IT"/>
        </w:rPr>
        <w:t>(1), 35-44.</w:t>
      </w:r>
      <w:r w:rsidRPr="00F071D7">
        <w:rPr>
          <w:lang w:val="it-IT"/>
        </w:rPr>
        <w:t xml:space="preserve"> </w:t>
      </w:r>
      <w:r w:rsidRPr="00F071D7">
        <w:rPr>
          <w:rFonts w:ascii="Times New Roman" w:hAnsi="Times New Roman" w:cs="Times New Roman"/>
          <w:sz w:val="24"/>
          <w:szCs w:val="24"/>
          <w:lang w:val="it-IT"/>
        </w:rPr>
        <w:t>https://doi.org/10.1016/j.cognition.2013.02.018</w:t>
      </w:r>
    </w:p>
    <w:p w14:paraId="3E94FBAC"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it-IT"/>
        </w:rPr>
        <w:t xml:space="preserve">Blini, E., Pitteri, M., &amp; Zorzi, M. (2019). </w:t>
      </w:r>
      <w:r w:rsidRPr="00F071D7">
        <w:rPr>
          <w:rFonts w:ascii="Times New Roman" w:hAnsi="Times New Roman" w:cs="Times New Roman"/>
          <w:sz w:val="24"/>
          <w:szCs w:val="24"/>
        </w:rPr>
        <w:t xml:space="preserve">Spatial grounding of symbolic arithmetic: An investigation with optokinetic stimulation. </w:t>
      </w:r>
      <w:r w:rsidRPr="00F071D7">
        <w:rPr>
          <w:rFonts w:ascii="Times New Roman" w:hAnsi="Times New Roman" w:cs="Times New Roman"/>
          <w:i/>
          <w:iCs/>
          <w:sz w:val="24"/>
          <w:szCs w:val="24"/>
          <w:lang w:val="en-US"/>
        </w:rPr>
        <w:t>Psychological Research, 83</w:t>
      </w:r>
      <w:r w:rsidRPr="00F071D7">
        <w:rPr>
          <w:rFonts w:ascii="Times New Roman" w:hAnsi="Times New Roman" w:cs="Times New Roman"/>
          <w:sz w:val="24"/>
          <w:szCs w:val="24"/>
          <w:lang w:val="en-US"/>
        </w:rPr>
        <w:t>(1), 64–83.</w:t>
      </w:r>
      <w:r w:rsidRPr="00F071D7">
        <w:t xml:space="preserve"> </w:t>
      </w:r>
      <w:r w:rsidRPr="00F071D7">
        <w:rPr>
          <w:rFonts w:ascii="Times New Roman" w:hAnsi="Times New Roman" w:cs="Times New Roman"/>
          <w:sz w:val="24"/>
          <w:szCs w:val="24"/>
          <w:lang w:val="en-US"/>
        </w:rPr>
        <w:t>doi: 10.1007/s00426-018-1053-0</w:t>
      </w:r>
    </w:p>
    <w:p w14:paraId="7487CF78"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lastRenderedPageBreak/>
        <w:t xml:space="preserve">Bulf, H., de Hevia, M. D., &amp; Macchi Cassia, V. (2016). </w:t>
      </w:r>
      <w:r w:rsidRPr="00F071D7">
        <w:rPr>
          <w:rFonts w:ascii="Times New Roman" w:hAnsi="Times New Roman" w:cs="Times New Roman"/>
          <w:sz w:val="24"/>
          <w:szCs w:val="24"/>
        </w:rPr>
        <w:t xml:space="preserve">Small on the left, large on the right: Numbers orient visual attention onto space in preverbal infants. </w:t>
      </w:r>
      <w:r w:rsidRPr="00F071D7">
        <w:rPr>
          <w:rFonts w:ascii="Times New Roman" w:hAnsi="Times New Roman" w:cs="Times New Roman"/>
          <w:i/>
          <w:iCs/>
          <w:sz w:val="24"/>
          <w:szCs w:val="24"/>
        </w:rPr>
        <w:t>Developmental Science, 19</w:t>
      </w:r>
      <w:r w:rsidRPr="00F071D7">
        <w:rPr>
          <w:rFonts w:ascii="Times New Roman" w:hAnsi="Times New Roman" w:cs="Times New Roman"/>
          <w:sz w:val="24"/>
          <w:szCs w:val="24"/>
        </w:rPr>
        <w:t>(3), 394-401. https://doi.org/10.1111/desc.12315</w:t>
      </w:r>
    </w:p>
    <w:p w14:paraId="192F3491" w14:textId="38EBA979" w:rsidR="002E6FC8" w:rsidRPr="00971B91" w:rsidRDefault="002E6FC8" w:rsidP="002E6FC8">
      <w:pPr>
        <w:spacing w:line="480" w:lineRule="auto"/>
        <w:jc w:val="both"/>
        <w:rPr>
          <w:rStyle w:val="Lienhypertexte"/>
          <w:rFonts w:ascii="Times New Roman" w:hAnsi="Times New Roman" w:cs="Times New Roman"/>
          <w:sz w:val="24"/>
          <w:szCs w:val="24"/>
          <w:lang w:val="en-US"/>
        </w:rPr>
      </w:pPr>
      <w:r w:rsidRPr="00F071D7">
        <w:rPr>
          <w:rFonts w:ascii="Times New Roman" w:hAnsi="Times New Roman" w:cs="Times New Roman"/>
          <w:sz w:val="24"/>
          <w:szCs w:val="24"/>
        </w:rPr>
        <w:t xml:space="preserve">Campbell, J. I. D., Chen, Y., &amp; Azhar, M. (2021). Not Toeing the Number Line for Simple Arithmetic: Two Large-N Conceptual Replications of Mathieu et al. (Cognition, 2016, Experiment 1). </w:t>
      </w:r>
      <w:r w:rsidRPr="00F071D7">
        <w:rPr>
          <w:rFonts w:ascii="Times New Roman" w:hAnsi="Times New Roman" w:cs="Times New Roman"/>
          <w:i/>
          <w:iCs/>
          <w:sz w:val="24"/>
          <w:szCs w:val="24"/>
        </w:rPr>
        <w:t xml:space="preserve">Journal of </w:t>
      </w:r>
      <w:r w:rsidRPr="00971B91">
        <w:rPr>
          <w:rFonts w:ascii="Times New Roman" w:hAnsi="Times New Roman" w:cs="Times New Roman"/>
          <w:i/>
          <w:iCs/>
          <w:sz w:val="24"/>
          <w:szCs w:val="24"/>
        </w:rPr>
        <w:t>Numerical Cognition, 7</w:t>
      </w:r>
      <w:r w:rsidRPr="00971B91">
        <w:rPr>
          <w:rFonts w:ascii="Times New Roman" w:hAnsi="Times New Roman" w:cs="Times New Roman"/>
          <w:sz w:val="24"/>
          <w:szCs w:val="24"/>
        </w:rPr>
        <w:t xml:space="preserve">(3), 248-258. </w:t>
      </w:r>
      <w:hyperlink r:id="rId9" w:history="1">
        <w:r w:rsidRPr="00971B91">
          <w:rPr>
            <w:rStyle w:val="Lienhypertexte"/>
            <w:rFonts w:ascii="Times New Roman" w:hAnsi="Times New Roman" w:cs="Times New Roman"/>
            <w:sz w:val="24"/>
            <w:szCs w:val="24"/>
            <w:lang w:val="en-US"/>
          </w:rPr>
          <w:t>https://doi.org/10.5964/jnc.6051</w:t>
        </w:r>
      </w:hyperlink>
    </w:p>
    <w:p w14:paraId="43D168AA" w14:textId="01095005" w:rsidR="00E02EDA" w:rsidRPr="00F071D7" w:rsidRDefault="00E02EDA" w:rsidP="002E6FC8">
      <w:pPr>
        <w:spacing w:line="480" w:lineRule="auto"/>
        <w:jc w:val="both"/>
        <w:rPr>
          <w:rFonts w:ascii="Times New Roman" w:hAnsi="Times New Roman" w:cs="Times New Roman"/>
          <w:sz w:val="24"/>
          <w:szCs w:val="24"/>
          <w:lang w:val="en-US"/>
        </w:rPr>
      </w:pPr>
      <w:r w:rsidRPr="00971B91">
        <w:rPr>
          <w:rFonts w:ascii="Times New Roman" w:hAnsi="Times New Roman" w:cs="Times New Roman"/>
          <w:sz w:val="24"/>
          <w:szCs w:val="24"/>
          <w:lang w:val="en-US"/>
        </w:rPr>
        <w:t xml:space="preserve">Campbell, J. I., &amp; Xue, Q. (2001). Cognitive arithmetic across cultures. </w:t>
      </w:r>
      <w:r w:rsidRPr="00971B91">
        <w:rPr>
          <w:rFonts w:ascii="Times New Roman" w:hAnsi="Times New Roman" w:cs="Times New Roman"/>
          <w:i/>
          <w:iCs/>
          <w:sz w:val="24"/>
          <w:szCs w:val="24"/>
          <w:lang w:val="en-US"/>
        </w:rPr>
        <w:t>Journal of experimental psychology: General, 130</w:t>
      </w:r>
      <w:r w:rsidRPr="00971B91">
        <w:rPr>
          <w:rFonts w:ascii="Times New Roman" w:hAnsi="Times New Roman" w:cs="Times New Roman"/>
          <w:sz w:val="24"/>
          <w:szCs w:val="24"/>
          <w:lang w:val="en-US"/>
        </w:rPr>
        <w:t>(2), 299-315.</w:t>
      </w:r>
      <w:r w:rsidRPr="00971B91">
        <w:t xml:space="preserve"> </w:t>
      </w:r>
      <w:r w:rsidRPr="00971B91">
        <w:rPr>
          <w:rFonts w:ascii="Times New Roman" w:hAnsi="Times New Roman" w:cs="Times New Roman"/>
          <w:sz w:val="24"/>
          <w:szCs w:val="24"/>
          <w:lang w:val="en-US"/>
        </w:rPr>
        <w:t>https://doi.org/10.1037/0096-3445.130.2.299</w:t>
      </w:r>
    </w:p>
    <w:p w14:paraId="43006FD3" w14:textId="77777777" w:rsidR="002E6FC8" w:rsidRPr="00F071D7" w:rsidRDefault="002E6FC8" w:rsidP="002E6FC8">
      <w:pPr>
        <w:spacing w:line="480" w:lineRule="auto"/>
        <w:jc w:val="both"/>
        <w:rPr>
          <w:rFonts w:ascii="Times New Roman" w:hAnsi="Times New Roman" w:cs="Times New Roman"/>
          <w:sz w:val="24"/>
          <w:szCs w:val="24"/>
          <w:lang w:val="en-US"/>
        </w:rPr>
      </w:pPr>
      <w:r w:rsidRPr="00971B91">
        <w:rPr>
          <w:rFonts w:ascii="Times New Roman" w:hAnsi="Times New Roman" w:cs="Times New Roman"/>
          <w:sz w:val="24"/>
          <w:szCs w:val="24"/>
          <w:lang w:val="en-US"/>
        </w:rPr>
        <w:t xml:space="preserve">Cantlon, J. F., Merritt, D. J., &amp; Brannon, E. M. (2016). </w:t>
      </w:r>
      <w:r w:rsidRPr="00F071D7">
        <w:rPr>
          <w:rFonts w:ascii="Times New Roman" w:hAnsi="Times New Roman" w:cs="Times New Roman"/>
          <w:sz w:val="24"/>
          <w:szCs w:val="24"/>
          <w:lang w:val="en-US"/>
        </w:rPr>
        <w:t xml:space="preserve">Monkeys display classic signatures of human symbolic arithmetic. </w:t>
      </w:r>
      <w:r w:rsidRPr="00F071D7">
        <w:rPr>
          <w:rFonts w:ascii="Times New Roman" w:hAnsi="Times New Roman" w:cs="Times New Roman"/>
          <w:i/>
          <w:iCs/>
          <w:sz w:val="24"/>
          <w:szCs w:val="24"/>
          <w:lang w:val="en-US"/>
        </w:rPr>
        <w:t>Animal cognition, 19</w:t>
      </w:r>
      <w:r w:rsidRPr="00F071D7">
        <w:rPr>
          <w:rFonts w:ascii="Times New Roman" w:hAnsi="Times New Roman" w:cs="Times New Roman"/>
          <w:sz w:val="24"/>
          <w:szCs w:val="24"/>
          <w:lang w:val="en-US"/>
        </w:rPr>
        <w:t>(2), 405-415. https://doi.org/10.1007/s10071-015-0942-5</w:t>
      </w:r>
    </w:p>
    <w:p w14:paraId="02CEC0A1"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t xml:space="preserve">Cipora, K., Schroeder, P. A., Soltanlou, M., &amp; Nuerk, H. C. (2018). </w:t>
      </w:r>
      <w:r w:rsidRPr="00F071D7">
        <w:rPr>
          <w:rFonts w:ascii="Times New Roman" w:hAnsi="Times New Roman" w:cs="Times New Roman"/>
          <w:sz w:val="24"/>
          <w:szCs w:val="24"/>
        </w:rPr>
        <w:t xml:space="preserve">More space, better mathematics: Is space a powerful tool or a cornerstone for understanding arithmetic?. In </w:t>
      </w:r>
      <w:r w:rsidRPr="00F071D7">
        <w:rPr>
          <w:rFonts w:ascii="Times New Roman" w:hAnsi="Times New Roman" w:cs="Times New Roman"/>
          <w:i/>
          <w:iCs/>
          <w:sz w:val="24"/>
          <w:szCs w:val="24"/>
        </w:rPr>
        <w:t>Visualizing mathematics</w:t>
      </w:r>
      <w:r w:rsidRPr="00F071D7">
        <w:rPr>
          <w:rFonts w:ascii="Times New Roman" w:hAnsi="Times New Roman" w:cs="Times New Roman"/>
          <w:sz w:val="24"/>
          <w:szCs w:val="24"/>
        </w:rPr>
        <w:t xml:space="preserve"> (pp. 77-116). Springer, Cham. DOI: 10.1007/978-3-319-98767-5_4</w:t>
      </w:r>
    </w:p>
    <w:p w14:paraId="50C0A532" w14:textId="77777777" w:rsidR="002E6FC8" w:rsidRPr="00F071D7" w:rsidRDefault="002E6FC8" w:rsidP="002E6FC8">
      <w:pPr>
        <w:spacing w:line="480" w:lineRule="auto"/>
        <w:jc w:val="both"/>
        <w:rPr>
          <w:rFonts w:ascii="Times New Roman" w:hAnsi="Times New Roman" w:cs="Times New Roman"/>
          <w:sz w:val="24"/>
          <w:szCs w:val="24"/>
          <w:lang w:val="it-IT"/>
        </w:rPr>
      </w:pPr>
      <w:r w:rsidRPr="00F071D7">
        <w:rPr>
          <w:rFonts w:ascii="Times New Roman" w:hAnsi="Times New Roman" w:cs="Times New Roman"/>
          <w:sz w:val="24"/>
          <w:szCs w:val="24"/>
          <w:lang w:val="en-US"/>
        </w:rPr>
        <w:t xml:space="preserve">Dehaene, S. (1992). Varieties of numerical abilities. </w:t>
      </w:r>
      <w:r w:rsidRPr="00F071D7">
        <w:rPr>
          <w:rFonts w:ascii="Times New Roman" w:hAnsi="Times New Roman" w:cs="Times New Roman"/>
          <w:i/>
          <w:iCs/>
          <w:sz w:val="24"/>
          <w:szCs w:val="24"/>
          <w:lang w:val="it-IT"/>
        </w:rPr>
        <w:t>Cognition, 44</w:t>
      </w:r>
      <w:r w:rsidRPr="00F071D7">
        <w:rPr>
          <w:rFonts w:ascii="Times New Roman" w:hAnsi="Times New Roman" w:cs="Times New Roman"/>
          <w:sz w:val="24"/>
          <w:szCs w:val="24"/>
          <w:lang w:val="it-IT"/>
        </w:rPr>
        <w:t>(1-2), 1-42.</w:t>
      </w:r>
      <w:r w:rsidRPr="00F071D7">
        <w:rPr>
          <w:lang w:val="it-IT"/>
        </w:rPr>
        <w:t xml:space="preserve"> </w:t>
      </w:r>
      <w:r w:rsidRPr="00F071D7">
        <w:rPr>
          <w:rFonts w:ascii="Times New Roman" w:hAnsi="Times New Roman" w:cs="Times New Roman"/>
          <w:sz w:val="24"/>
          <w:szCs w:val="24"/>
          <w:lang w:val="it-IT"/>
        </w:rPr>
        <w:t>https://doi.org/10.1016/0010-0277(92)90049-N</w:t>
      </w:r>
    </w:p>
    <w:p w14:paraId="098E5EAA"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it-IT"/>
        </w:rPr>
        <w:t xml:space="preserve">Dehaene, S., Bossini, S., &amp; Giraux, P. (1993). </w:t>
      </w:r>
      <w:r w:rsidRPr="00F071D7">
        <w:rPr>
          <w:rFonts w:ascii="Times New Roman" w:hAnsi="Times New Roman" w:cs="Times New Roman"/>
          <w:sz w:val="24"/>
          <w:szCs w:val="24"/>
        </w:rPr>
        <w:t xml:space="preserve">The mental representation of parity and number magnitude. </w:t>
      </w:r>
      <w:r w:rsidRPr="00F071D7">
        <w:rPr>
          <w:rFonts w:ascii="Times New Roman" w:hAnsi="Times New Roman" w:cs="Times New Roman"/>
          <w:i/>
          <w:iCs/>
          <w:sz w:val="24"/>
          <w:szCs w:val="24"/>
        </w:rPr>
        <w:t>Journal of experimental psychology: General, 122</w:t>
      </w:r>
      <w:r w:rsidRPr="00F071D7">
        <w:rPr>
          <w:rFonts w:ascii="Times New Roman" w:hAnsi="Times New Roman" w:cs="Times New Roman"/>
          <w:sz w:val="24"/>
          <w:szCs w:val="24"/>
        </w:rPr>
        <w:t>(3), 371. https://doi.org/10.1037/0096-3445.122.3.371</w:t>
      </w:r>
    </w:p>
    <w:p w14:paraId="35D24EAA"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de Hevia, M. D., Veggiotti, L., Streri, A., &amp; Bonn, C. D. (2017). At birth, humans associate “few” with left and “many” with right. </w:t>
      </w:r>
      <w:r w:rsidRPr="00F071D7">
        <w:rPr>
          <w:rFonts w:ascii="Times New Roman" w:hAnsi="Times New Roman" w:cs="Times New Roman"/>
          <w:i/>
          <w:iCs/>
          <w:sz w:val="24"/>
          <w:szCs w:val="24"/>
          <w:lang w:val="en-US"/>
        </w:rPr>
        <w:t>Current Biology, 27</w:t>
      </w:r>
      <w:r w:rsidRPr="00F071D7">
        <w:rPr>
          <w:rFonts w:ascii="Times New Roman" w:hAnsi="Times New Roman" w:cs="Times New Roman"/>
          <w:sz w:val="24"/>
          <w:szCs w:val="24"/>
          <w:lang w:val="en-US"/>
        </w:rPr>
        <w:t>(24), 3879-3884.</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https://doi.org/10.1016/j.cub.2017.11.024</w:t>
      </w:r>
    </w:p>
    <w:p w14:paraId="60209E5B"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lastRenderedPageBreak/>
        <w:t xml:space="preserve">Díaz‐Barriga Yáñez, A., Couderc, A., Longo, L., Merchie, A., Chesnokova, H., Langlois, E., Thevenot, C., &amp; Prado, J. (2020). </w:t>
      </w:r>
      <w:r w:rsidRPr="00F071D7">
        <w:rPr>
          <w:rFonts w:ascii="Times New Roman" w:hAnsi="Times New Roman" w:cs="Times New Roman"/>
          <w:sz w:val="24"/>
          <w:szCs w:val="24"/>
        </w:rPr>
        <w:t>Learning to run the number line: the development of attentional shifts during single‐digit arithmetic. Annals of the New York Academy of Sciences. doi:10.1111/nyas.14464</w:t>
      </w:r>
    </w:p>
    <w:p w14:paraId="5E67F7A7"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it-IT"/>
        </w:rPr>
        <w:t xml:space="preserve">Di Giorgio, E., Lunghi, M., Rugani, R., Regolin, L., Dalla Barba, B., Vallortigara, G., &amp; Simion, F. (2019). </w:t>
      </w:r>
      <w:r w:rsidRPr="00F071D7">
        <w:rPr>
          <w:rFonts w:ascii="Times New Roman" w:hAnsi="Times New Roman" w:cs="Times New Roman"/>
          <w:sz w:val="24"/>
          <w:szCs w:val="24"/>
        </w:rPr>
        <w:t xml:space="preserve">A mental number line in human newborns. </w:t>
      </w:r>
      <w:r w:rsidRPr="00F071D7">
        <w:rPr>
          <w:rFonts w:ascii="Times New Roman" w:hAnsi="Times New Roman" w:cs="Times New Roman"/>
          <w:i/>
          <w:iCs/>
          <w:sz w:val="24"/>
          <w:szCs w:val="24"/>
        </w:rPr>
        <w:t>Developmental Science, 22</w:t>
      </w:r>
      <w:r w:rsidRPr="00F071D7">
        <w:rPr>
          <w:rFonts w:ascii="Times New Roman" w:hAnsi="Times New Roman" w:cs="Times New Roman"/>
          <w:sz w:val="24"/>
          <w:szCs w:val="24"/>
        </w:rPr>
        <w:t>(6), e12801. https://doi.org/10.1111/desc.12801</w:t>
      </w:r>
    </w:p>
    <w:p w14:paraId="55949F67"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Dormal, V., Schuller, A. M., Nihoul, J., Pesenti, M., &amp; Andres, M. (2014). Causal role of spatial attention in arithmetic problem solving: Evidence from left unilateral neglect. </w:t>
      </w:r>
      <w:r w:rsidRPr="00F071D7">
        <w:rPr>
          <w:rFonts w:ascii="Times New Roman" w:hAnsi="Times New Roman" w:cs="Times New Roman"/>
          <w:i/>
          <w:sz w:val="24"/>
          <w:szCs w:val="24"/>
          <w:lang w:val="en-US"/>
        </w:rPr>
        <w:t>Neuropsychologia, 60</w:t>
      </w:r>
      <w:r w:rsidRPr="00F071D7">
        <w:rPr>
          <w:rFonts w:ascii="Times New Roman" w:hAnsi="Times New Roman" w:cs="Times New Roman"/>
          <w:sz w:val="24"/>
          <w:szCs w:val="24"/>
          <w:lang w:val="en-US"/>
        </w:rPr>
        <w:t>, 1–9. http://dx.doi.org/10.1016/j.neuropsychologia.2014.05.007</w:t>
      </w:r>
    </w:p>
    <w:p w14:paraId="41B4152C" w14:textId="77777777" w:rsidR="002E6FC8" w:rsidRPr="00305B34" w:rsidRDefault="002E6FC8" w:rsidP="002E6FC8">
      <w:pPr>
        <w:spacing w:line="480" w:lineRule="auto"/>
        <w:jc w:val="both"/>
        <w:rPr>
          <w:rFonts w:ascii="Times New Roman" w:hAnsi="Times New Roman" w:cs="Times New Roman"/>
          <w:sz w:val="24"/>
          <w:szCs w:val="24"/>
          <w:lang w:val="en-US"/>
        </w:rPr>
      </w:pPr>
      <w:bookmarkStart w:id="6" w:name="_Hlk114491426"/>
      <w:r w:rsidRPr="00F071D7">
        <w:rPr>
          <w:rFonts w:ascii="Times New Roman" w:hAnsi="Times New Roman" w:cs="Times New Roman"/>
          <w:sz w:val="24"/>
          <w:szCs w:val="24"/>
          <w:lang w:val="en-US"/>
        </w:rPr>
        <w:t xml:space="preserve">Fayol, M., &amp; Thevenot, C. (2012). The use of procedural knowledge in simple addition and subtraction problems. </w:t>
      </w:r>
      <w:r w:rsidRPr="00305B34">
        <w:rPr>
          <w:rFonts w:ascii="Times New Roman" w:hAnsi="Times New Roman" w:cs="Times New Roman"/>
          <w:i/>
          <w:iCs/>
          <w:sz w:val="24"/>
          <w:szCs w:val="24"/>
          <w:lang w:val="en-US"/>
        </w:rPr>
        <w:t>Cognition, 123</w:t>
      </w:r>
      <w:r w:rsidRPr="00305B34">
        <w:rPr>
          <w:rFonts w:ascii="Times New Roman" w:hAnsi="Times New Roman" w:cs="Times New Roman"/>
          <w:sz w:val="24"/>
          <w:szCs w:val="24"/>
          <w:lang w:val="en-US"/>
        </w:rPr>
        <w:t>(3), 392-403.</w:t>
      </w:r>
      <w:r w:rsidRPr="00305B34">
        <w:rPr>
          <w:lang w:val="en-US"/>
        </w:rPr>
        <w:t xml:space="preserve"> </w:t>
      </w:r>
      <w:r w:rsidRPr="00305B34">
        <w:rPr>
          <w:rFonts w:ascii="Times New Roman" w:hAnsi="Times New Roman" w:cs="Times New Roman"/>
          <w:sz w:val="24"/>
          <w:szCs w:val="24"/>
          <w:lang w:val="en-US"/>
        </w:rPr>
        <w:t>https://doi.org/10.1016/j.cognition.2012.02.008</w:t>
      </w:r>
    </w:p>
    <w:p w14:paraId="349D2242" w14:textId="07B5B4A9" w:rsidR="002E6FC8" w:rsidRPr="00F071D7" w:rsidRDefault="002E6FC8" w:rsidP="002E6FC8">
      <w:pPr>
        <w:spacing w:line="480" w:lineRule="auto"/>
        <w:jc w:val="both"/>
        <w:rPr>
          <w:rFonts w:ascii="Times New Roman" w:hAnsi="Times New Roman" w:cs="Times New Roman"/>
          <w:sz w:val="24"/>
          <w:szCs w:val="24"/>
          <w:lang w:val="en-US"/>
        </w:rPr>
      </w:pPr>
      <w:r w:rsidRPr="002E6549">
        <w:rPr>
          <w:rFonts w:ascii="Times New Roman" w:hAnsi="Times New Roman" w:cs="Times New Roman"/>
          <w:sz w:val="24"/>
          <w:szCs w:val="24"/>
          <w:lang w:val="en-US"/>
        </w:rPr>
        <w:t xml:space="preserve">Fischer, M. H. (2012). </w:t>
      </w:r>
      <w:r w:rsidRPr="00F071D7">
        <w:rPr>
          <w:rFonts w:ascii="Times New Roman" w:hAnsi="Times New Roman" w:cs="Times New Roman"/>
          <w:sz w:val="24"/>
          <w:szCs w:val="24"/>
          <w:lang w:val="en-US"/>
        </w:rPr>
        <w:t xml:space="preserve">A hierarchical view of grounded, embodied, and situated numerical cognition. </w:t>
      </w:r>
      <w:r w:rsidRPr="00F071D7">
        <w:rPr>
          <w:rFonts w:ascii="Times New Roman" w:hAnsi="Times New Roman" w:cs="Times New Roman"/>
          <w:i/>
          <w:iCs/>
          <w:sz w:val="24"/>
          <w:szCs w:val="24"/>
          <w:lang w:val="en-US"/>
        </w:rPr>
        <w:t>Cognitive processing, 13</w:t>
      </w:r>
      <w:r w:rsidRPr="00F071D7">
        <w:rPr>
          <w:rFonts w:ascii="Times New Roman" w:hAnsi="Times New Roman" w:cs="Times New Roman"/>
          <w:sz w:val="24"/>
          <w:szCs w:val="24"/>
          <w:lang w:val="en-US"/>
        </w:rPr>
        <w:t>(1), 161-164.</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https://doi.org/10.1007/s10339-012-0477-5</w:t>
      </w:r>
    </w:p>
    <w:p w14:paraId="0B381FB0"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Fischer, M. H., &amp; Brugger, P. (2011). When digits help digits: spatial–numerical associations point to finger counting as prime example of embodied cognition. </w:t>
      </w:r>
      <w:r w:rsidRPr="00F071D7">
        <w:rPr>
          <w:rFonts w:ascii="Times New Roman" w:hAnsi="Times New Roman" w:cs="Times New Roman"/>
          <w:i/>
          <w:iCs/>
          <w:sz w:val="24"/>
          <w:szCs w:val="24"/>
          <w:lang w:val="en-US"/>
        </w:rPr>
        <w:t>Frontiers in psychology, 2</w:t>
      </w:r>
      <w:r w:rsidRPr="00F071D7">
        <w:rPr>
          <w:rFonts w:ascii="Times New Roman" w:hAnsi="Times New Roman" w:cs="Times New Roman"/>
          <w:sz w:val="24"/>
          <w:szCs w:val="24"/>
          <w:lang w:val="en-US"/>
        </w:rPr>
        <w:t>, 260.</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https://doi.org/10.3389/fpsyg.2011.00260</w:t>
      </w:r>
    </w:p>
    <w:p w14:paraId="03245106"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Foulsham, T., Gray, A., Nasiopoulos, E., &amp; Kingstone, A. (2013). Leftward biases in picture scanning and line bisection: A gaze-contingent window study. </w:t>
      </w:r>
      <w:r w:rsidRPr="00F071D7">
        <w:rPr>
          <w:rFonts w:ascii="Times New Roman" w:hAnsi="Times New Roman" w:cs="Times New Roman"/>
          <w:i/>
          <w:iCs/>
          <w:sz w:val="24"/>
          <w:szCs w:val="24"/>
          <w:lang w:val="en-US"/>
        </w:rPr>
        <w:t>Vision research, 78</w:t>
      </w:r>
      <w:r w:rsidRPr="00F071D7">
        <w:rPr>
          <w:rFonts w:ascii="Times New Roman" w:hAnsi="Times New Roman" w:cs="Times New Roman"/>
          <w:sz w:val="24"/>
          <w:szCs w:val="24"/>
          <w:lang w:val="en-US"/>
        </w:rPr>
        <w:t>, 14-25.</w:t>
      </w:r>
      <w:r w:rsidRPr="00F071D7">
        <w:t xml:space="preserve"> </w:t>
      </w:r>
      <w:r w:rsidRPr="00F071D7">
        <w:rPr>
          <w:rFonts w:ascii="Times New Roman" w:hAnsi="Times New Roman" w:cs="Times New Roman"/>
          <w:sz w:val="24"/>
          <w:szCs w:val="24"/>
          <w:lang w:val="en-US"/>
        </w:rPr>
        <w:t>https://doi.org/10.1016/j.visres.2012.12.001</w:t>
      </w:r>
    </w:p>
    <w:p w14:paraId="2344FB7E"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lastRenderedPageBreak/>
        <w:t>Giurfa, M., Marcout, C., Hilpert, P., Thevenot, C., &amp; Rugani, R</w:t>
      </w:r>
      <w:bookmarkEnd w:id="6"/>
      <w:r w:rsidRPr="00F071D7">
        <w:rPr>
          <w:rFonts w:ascii="Times New Roman" w:hAnsi="Times New Roman" w:cs="Times New Roman"/>
          <w:sz w:val="24"/>
          <w:szCs w:val="24"/>
          <w:lang w:val="en-US"/>
        </w:rPr>
        <w:t xml:space="preserve">. (2022). An insect brain organizes numbers on a left-to-right number line. </w:t>
      </w:r>
      <w:r w:rsidRPr="00F071D7">
        <w:rPr>
          <w:rFonts w:ascii="Times New Roman" w:hAnsi="Times New Roman" w:cs="Times New Roman"/>
          <w:i/>
          <w:iCs/>
          <w:sz w:val="24"/>
          <w:szCs w:val="24"/>
          <w:lang w:val="en-US"/>
        </w:rPr>
        <w:t>Proceedings of the National Academy of Sciences</w:t>
      </w:r>
      <w:r w:rsidRPr="00F071D7">
        <w:rPr>
          <w:rFonts w:ascii="Times New Roman" w:hAnsi="Times New Roman" w:cs="Times New Roman"/>
          <w:sz w:val="24"/>
          <w:szCs w:val="24"/>
          <w:lang w:val="en-US"/>
        </w:rPr>
        <w:t>.</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https://doi.org/10.173/pnas.2203584119</w:t>
      </w:r>
    </w:p>
    <w:p w14:paraId="2870DFFA"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t xml:space="preserve">Glaser, M., &amp; Knops, A. (2020). </w:t>
      </w:r>
      <w:r w:rsidRPr="00F071D7">
        <w:rPr>
          <w:rFonts w:ascii="Times New Roman" w:hAnsi="Times New Roman" w:cs="Times New Roman"/>
          <w:sz w:val="24"/>
          <w:szCs w:val="24"/>
        </w:rPr>
        <w:t xml:space="preserve">When adding is right: Temporal order judgements reveal spatial attention shifts during two-digit mental arithmetic. </w:t>
      </w:r>
      <w:r w:rsidRPr="00F071D7">
        <w:rPr>
          <w:rFonts w:ascii="Times New Roman" w:hAnsi="Times New Roman" w:cs="Times New Roman"/>
          <w:i/>
          <w:sz w:val="24"/>
          <w:szCs w:val="24"/>
        </w:rPr>
        <w:t>Quarterly Journal of Experimental Psychology</w:t>
      </w:r>
      <w:r w:rsidRPr="00F071D7">
        <w:rPr>
          <w:rFonts w:ascii="Times New Roman" w:hAnsi="Times New Roman" w:cs="Times New Roman"/>
          <w:sz w:val="24"/>
          <w:szCs w:val="24"/>
        </w:rPr>
        <w:t xml:space="preserve">, </w:t>
      </w:r>
      <w:r w:rsidRPr="00F071D7">
        <w:rPr>
          <w:rFonts w:ascii="Times New Roman" w:hAnsi="Times New Roman" w:cs="Times New Roman"/>
          <w:i/>
          <w:sz w:val="24"/>
          <w:szCs w:val="24"/>
        </w:rPr>
        <w:t>73</w:t>
      </w:r>
      <w:r w:rsidRPr="00F071D7">
        <w:rPr>
          <w:rFonts w:ascii="Times New Roman" w:hAnsi="Times New Roman" w:cs="Times New Roman"/>
          <w:sz w:val="24"/>
          <w:szCs w:val="24"/>
        </w:rPr>
        <w:t>(7):1115-1132. doi:10.1177/1747021820902917</w:t>
      </w:r>
    </w:p>
    <w:p w14:paraId="0D4D4414"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Gevers, W., Verguts, T., Reynvoet, B., Caessens, B., &amp; Fias, W. (2006). Numbers and space: a computational model of the SNARC effect. Journal of Experimental Psychology: Human Perception and Performance, 32(1), 32–44. https://doi.org/10.1037/0096-1523.32.1.32</w:t>
      </w:r>
    </w:p>
    <w:p w14:paraId="683966F7" w14:textId="77777777" w:rsidR="002E6FC8" w:rsidRPr="00F071D7" w:rsidRDefault="002E6FC8" w:rsidP="002E6FC8">
      <w:pPr>
        <w:spacing w:line="480" w:lineRule="auto"/>
        <w:jc w:val="both"/>
        <w:rPr>
          <w:rStyle w:val="Lienhypertexte"/>
          <w:rFonts w:ascii="Times New Roman" w:hAnsi="Times New Roman" w:cs="Times New Roman"/>
          <w:sz w:val="24"/>
          <w:szCs w:val="24"/>
        </w:rPr>
      </w:pPr>
      <w:r w:rsidRPr="00F071D7">
        <w:rPr>
          <w:rFonts w:ascii="Times New Roman" w:hAnsi="Times New Roman" w:cs="Times New Roman"/>
          <w:sz w:val="24"/>
          <w:szCs w:val="24"/>
          <w:lang w:val="de-DE"/>
        </w:rPr>
        <w:t xml:space="preserve">Hartmann, M., Mast, F. W., &amp; Fischer, M. H. (2015). </w:t>
      </w:r>
      <w:r w:rsidRPr="00F071D7">
        <w:rPr>
          <w:rFonts w:ascii="Times New Roman" w:hAnsi="Times New Roman" w:cs="Times New Roman"/>
          <w:sz w:val="24"/>
          <w:szCs w:val="24"/>
        </w:rPr>
        <w:t xml:space="preserve">Spatial biases during mental arithmetic: Evidence from eye movements on a blank screen. </w:t>
      </w:r>
      <w:r w:rsidRPr="00F071D7">
        <w:rPr>
          <w:rFonts w:ascii="Times New Roman" w:hAnsi="Times New Roman" w:cs="Times New Roman"/>
          <w:i/>
          <w:sz w:val="24"/>
          <w:szCs w:val="24"/>
        </w:rPr>
        <w:t>Frontiers in Psychology, 6</w:t>
      </w:r>
      <w:r w:rsidRPr="00F071D7">
        <w:rPr>
          <w:rFonts w:ascii="Times New Roman" w:hAnsi="Times New Roman" w:cs="Times New Roman"/>
          <w:sz w:val="24"/>
          <w:szCs w:val="24"/>
        </w:rPr>
        <w:t xml:space="preserve">, 12. </w:t>
      </w:r>
      <w:hyperlink r:id="rId10" w:history="1">
        <w:r w:rsidRPr="00F071D7">
          <w:rPr>
            <w:rStyle w:val="Lienhypertexte"/>
            <w:rFonts w:ascii="Times New Roman" w:hAnsi="Times New Roman" w:cs="Times New Roman"/>
            <w:sz w:val="24"/>
            <w:szCs w:val="24"/>
          </w:rPr>
          <w:t>http://dx.doi.org/10.3389/fpsyg.2015.00012</w:t>
        </w:r>
      </w:hyperlink>
    </w:p>
    <w:p w14:paraId="7D2FF84E" w14:textId="77777777" w:rsidR="002E6FC8" w:rsidRPr="00F071D7" w:rsidRDefault="002E6FC8" w:rsidP="002E6FC8">
      <w:pPr>
        <w:spacing w:line="480" w:lineRule="auto"/>
        <w:jc w:val="both"/>
        <w:rPr>
          <w:rFonts w:ascii="Times New Roman" w:hAnsi="Times New Roman" w:cs="Times New Roman"/>
          <w:sz w:val="24"/>
          <w:szCs w:val="24"/>
          <w:lang w:val="it-IT"/>
        </w:rPr>
      </w:pPr>
      <w:r w:rsidRPr="00F071D7">
        <w:rPr>
          <w:rFonts w:ascii="Times New Roman" w:hAnsi="Times New Roman" w:cs="Times New Roman"/>
          <w:sz w:val="24"/>
          <w:szCs w:val="24"/>
        </w:rPr>
        <w:t xml:space="preserve">Hartmann, M. (2022). Summing up: A functional role of eye movements along the mental number line for arithmetic. </w:t>
      </w:r>
      <w:r w:rsidRPr="00F071D7">
        <w:rPr>
          <w:rFonts w:ascii="Times New Roman" w:hAnsi="Times New Roman" w:cs="Times New Roman"/>
          <w:i/>
          <w:iCs/>
          <w:sz w:val="24"/>
          <w:szCs w:val="24"/>
          <w:lang w:val="it-IT"/>
        </w:rPr>
        <w:t>Acta Psychologica, 230</w:t>
      </w:r>
      <w:r w:rsidRPr="00F071D7">
        <w:rPr>
          <w:rFonts w:ascii="Times New Roman" w:hAnsi="Times New Roman" w:cs="Times New Roman"/>
          <w:sz w:val="24"/>
          <w:szCs w:val="24"/>
          <w:lang w:val="it-IT"/>
        </w:rPr>
        <w:t>, 103770.</w:t>
      </w:r>
      <w:r w:rsidRPr="00F071D7">
        <w:rPr>
          <w:lang w:val="it-IT"/>
        </w:rPr>
        <w:t xml:space="preserve"> </w:t>
      </w:r>
      <w:r w:rsidRPr="00F071D7">
        <w:rPr>
          <w:rFonts w:ascii="Times New Roman" w:hAnsi="Times New Roman" w:cs="Times New Roman"/>
          <w:sz w:val="24"/>
          <w:szCs w:val="24"/>
          <w:lang w:val="it-IT"/>
        </w:rPr>
        <w:t>https://doi.org/10.1016/j.actpsy.2022.103770</w:t>
      </w:r>
    </w:p>
    <w:p w14:paraId="3455BBBA"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it-IT"/>
        </w:rPr>
        <w:t xml:space="preserve">Hawes, Z., &amp; Ansari, D. (2020). </w:t>
      </w:r>
      <w:r w:rsidRPr="00F071D7">
        <w:rPr>
          <w:rFonts w:ascii="Times New Roman" w:hAnsi="Times New Roman" w:cs="Times New Roman"/>
          <w:sz w:val="24"/>
          <w:szCs w:val="24"/>
        </w:rPr>
        <w:t xml:space="preserve">What explains the relationship between spatial and mathematical skills? A review of evidence from brain and behavior. </w:t>
      </w:r>
      <w:r w:rsidRPr="00F071D7">
        <w:rPr>
          <w:rFonts w:ascii="Times New Roman" w:hAnsi="Times New Roman" w:cs="Times New Roman"/>
          <w:i/>
          <w:sz w:val="24"/>
          <w:szCs w:val="24"/>
        </w:rPr>
        <w:t>Psychonomic Bulletin &amp; Review, 1-18</w:t>
      </w:r>
      <w:r w:rsidRPr="00F071D7">
        <w:rPr>
          <w:rFonts w:ascii="Times New Roman" w:hAnsi="Times New Roman" w:cs="Times New Roman"/>
          <w:sz w:val="24"/>
          <w:szCs w:val="24"/>
        </w:rPr>
        <w:t>. https://psycnet.apa.org/doi/10.3758/s13423-019-01694-7</w:t>
      </w:r>
    </w:p>
    <w:p w14:paraId="580F9DEB"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Jordan, N. C., Kaplan, D., Ramineni, C., &amp; Locuniak, M. N. (2008). Development of number combination skill in the early school years: When do fingers help?. </w:t>
      </w:r>
      <w:r w:rsidRPr="00F071D7">
        <w:rPr>
          <w:rFonts w:ascii="Times New Roman" w:hAnsi="Times New Roman" w:cs="Times New Roman"/>
          <w:i/>
          <w:iCs/>
          <w:sz w:val="24"/>
          <w:szCs w:val="24"/>
          <w:lang w:val="en-US"/>
        </w:rPr>
        <w:t>Developmental science, 11</w:t>
      </w:r>
      <w:r w:rsidRPr="00F071D7">
        <w:rPr>
          <w:rFonts w:ascii="Times New Roman" w:hAnsi="Times New Roman" w:cs="Times New Roman"/>
          <w:sz w:val="24"/>
          <w:szCs w:val="24"/>
          <w:lang w:val="en-US"/>
        </w:rPr>
        <w:t>(5), 662-668.</w:t>
      </w:r>
      <w:r w:rsidRPr="00F071D7">
        <w:t xml:space="preserve"> </w:t>
      </w:r>
      <w:r w:rsidRPr="00F071D7">
        <w:rPr>
          <w:rFonts w:ascii="Times New Roman" w:hAnsi="Times New Roman" w:cs="Times New Roman"/>
          <w:sz w:val="24"/>
          <w:szCs w:val="24"/>
          <w:lang w:val="en-US"/>
        </w:rPr>
        <w:t>https://doi.org/10.1111/j.1467-7687.2008.00715.x</w:t>
      </w:r>
    </w:p>
    <w:p w14:paraId="6A2A27EB"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lastRenderedPageBreak/>
        <w:t xml:space="preserve">Klein, E., Huber, S., Nuerk, H. C., &amp; Moeller, K. (2014). </w:t>
      </w:r>
      <w:r w:rsidRPr="00F071D7">
        <w:rPr>
          <w:rFonts w:ascii="Times New Roman" w:hAnsi="Times New Roman" w:cs="Times New Roman"/>
          <w:sz w:val="24"/>
          <w:szCs w:val="24"/>
        </w:rPr>
        <w:t xml:space="preserve">Operational momentum affects eye fixation behaviour. </w:t>
      </w:r>
      <w:r w:rsidRPr="00F071D7">
        <w:rPr>
          <w:rFonts w:ascii="Times New Roman" w:hAnsi="Times New Roman" w:cs="Times New Roman"/>
          <w:i/>
          <w:iCs/>
          <w:sz w:val="24"/>
          <w:szCs w:val="24"/>
        </w:rPr>
        <w:t>Quarterly Journal of Experimental Psychology, 67</w:t>
      </w:r>
      <w:r w:rsidRPr="00F071D7">
        <w:rPr>
          <w:rFonts w:ascii="Times New Roman" w:hAnsi="Times New Roman" w:cs="Times New Roman"/>
          <w:sz w:val="24"/>
          <w:szCs w:val="24"/>
        </w:rPr>
        <w:t>(8), 1614-1625. https://doi.org/10.1080/17470218.2014.902976</w:t>
      </w:r>
    </w:p>
    <w:p w14:paraId="6E4A639F" w14:textId="77777777" w:rsidR="002E6FC8" w:rsidRPr="00F071D7" w:rsidRDefault="002E6FC8" w:rsidP="002E6FC8">
      <w:pPr>
        <w:spacing w:line="480" w:lineRule="auto"/>
        <w:jc w:val="both"/>
        <w:rPr>
          <w:rFonts w:ascii="Times New Roman" w:hAnsi="Times New Roman" w:cs="Times New Roman"/>
          <w:sz w:val="24"/>
          <w:szCs w:val="24"/>
          <w:lang w:val="fr-BE"/>
        </w:rPr>
      </w:pPr>
      <w:r w:rsidRPr="00F071D7">
        <w:rPr>
          <w:rFonts w:ascii="Times New Roman" w:hAnsi="Times New Roman" w:cs="Times New Roman"/>
          <w:sz w:val="24"/>
          <w:szCs w:val="24"/>
        </w:rPr>
        <w:t xml:space="preserve">Knops, A., Thirion, B., Hubbard, E. M., Michel, V., &amp; Dehaene, S. (2009). Recruitment of an area involved in eye movements during mental arithmetic. </w:t>
      </w:r>
      <w:r w:rsidRPr="00F071D7">
        <w:rPr>
          <w:rFonts w:ascii="Times New Roman" w:hAnsi="Times New Roman" w:cs="Times New Roman"/>
          <w:i/>
          <w:sz w:val="24"/>
          <w:szCs w:val="24"/>
          <w:lang w:val="fr-BE"/>
        </w:rPr>
        <w:t>Science, 324</w:t>
      </w:r>
      <w:r w:rsidRPr="00F071D7">
        <w:rPr>
          <w:rFonts w:ascii="Times New Roman" w:hAnsi="Times New Roman" w:cs="Times New Roman"/>
          <w:sz w:val="24"/>
          <w:szCs w:val="24"/>
          <w:lang w:val="fr-BE"/>
        </w:rPr>
        <w:t>, 1583–1585. http://dx.doi.org/10.1126/science.1171599</w:t>
      </w:r>
    </w:p>
    <w:p w14:paraId="36DCB144"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fr-FR"/>
        </w:rPr>
        <w:t xml:space="preserve">Liu, D., Cai, D., Verguts, T., &amp; Chen, Q. (2017). </w:t>
      </w:r>
      <w:r w:rsidRPr="00F071D7">
        <w:rPr>
          <w:rFonts w:ascii="Times New Roman" w:hAnsi="Times New Roman" w:cs="Times New Roman"/>
          <w:sz w:val="24"/>
          <w:szCs w:val="24"/>
        </w:rPr>
        <w:t xml:space="preserve">The time course of spatial attention shifts in elementary arithmetic. </w:t>
      </w:r>
      <w:r w:rsidRPr="00F071D7">
        <w:rPr>
          <w:rFonts w:ascii="Times New Roman" w:hAnsi="Times New Roman" w:cs="Times New Roman"/>
          <w:i/>
          <w:sz w:val="24"/>
          <w:szCs w:val="24"/>
        </w:rPr>
        <w:t>Scientific Reports, 7</w:t>
      </w:r>
      <w:r w:rsidRPr="00F071D7">
        <w:rPr>
          <w:rFonts w:ascii="Times New Roman" w:hAnsi="Times New Roman" w:cs="Times New Roman"/>
          <w:sz w:val="24"/>
          <w:szCs w:val="24"/>
        </w:rPr>
        <w:t>(1), 921. doi:10.1038/s41598-017-01037-3</w:t>
      </w:r>
    </w:p>
    <w:p w14:paraId="4B8943C3"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Loetscher, T., Bockisch, C. J., Nicholls, M. E., &amp; Brugger, P. (2010). Eye position predicts what number you have in mind. </w:t>
      </w:r>
      <w:r w:rsidRPr="00F071D7">
        <w:rPr>
          <w:rFonts w:ascii="Times New Roman" w:hAnsi="Times New Roman" w:cs="Times New Roman"/>
          <w:i/>
          <w:sz w:val="24"/>
          <w:szCs w:val="24"/>
        </w:rPr>
        <w:t>Current Biology, 20</w:t>
      </w:r>
      <w:r w:rsidRPr="00F071D7">
        <w:rPr>
          <w:rFonts w:ascii="Times New Roman" w:hAnsi="Times New Roman" w:cs="Times New Roman"/>
          <w:sz w:val="24"/>
          <w:szCs w:val="24"/>
        </w:rPr>
        <w:t xml:space="preserve">(6), R264-R265. </w:t>
      </w:r>
      <w:hyperlink r:id="rId11" w:history="1">
        <w:r w:rsidRPr="00F071D7">
          <w:rPr>
            <w:rStyle w:val="Lienhypertexte"/>
            <w:rFonts w:ascii="Times New Roman" w:hAnsi="Times New Roman" w:cs="Times New Roman"/>
            <w:sz w:val="24"/>
            <w:szCs w:val="24"/>
            <w:lang w:val="en-US"/>
          </w:rPr>
          <w:t>https://doi.org/10.1016/j.cub.2010.01.015</w:t>
        </w:r>
      </w:hyperlink>
    </w:p>
    <w:p w14:paraId="6BF9634F"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Maris, E., &amp; Oostenveld, R. (2007). Nonparametric statistical testing of EEG- and MEG-data. </w:t>
      </w:r>
      <w:r w:rsidRPr="00F071D7">
        <w:rPr>
          <w:rFonts w:ascii="Times New Roman" w:hAnsi="Times New Roman" w:cs="Times New Roman"/>
          <w:i/>
          <w:sz w:val="24"/>
          <w:szCs w:val="24"/>
        </w:rPr>
        <w:t>Journal of Neuroscience Methods</w:t>
      </w:r>
      <w:r w:rsidRPr="00F071D7">
        <w:rPr>
          <w:rFonts w:ascii="Times New Roman" w:hAnsi="Times New Roman" w:cs="Times New Roman"/>
          <w:sz w:val="24"/>
          <w:szCs w:val="24"/>
        </w:rPr>
        <w:t xml:space="preserve">, </w:t>
      </w:r>
      <w:r w:rsidRPr="00F071D7">
        <w:rPr>
          <w:rFonts w:ascii="Times New Roman" w:hAnsi="Times New Roman" w:cs="Times New Roman"/>
          <w:i/>
          <w:sz w:val="24"/>
          <w:szCs w:val="24"/>
        </w:rPr>
        <w:t>164</w:t>
      </w:r>
      <w:r w:rsidRPr="00F071D7">
        <w:rPr>
          <w:rFonts w:ascii="Times New Roman" w:hAnsi="Times New Roman" w:cs="Times New Roman"/>
          <w:sz w:val="24"/>
          <w:szCs w:val="24"/>
        </w:rPr>
        <w:t xml:space="preserve">(1), 177–190. </w:t>
      </w:r>
      <w:hyperlink r:id="rId12" w:history="1">
        <w:r w:rsidRPr="00F071D7">
          <w:rPr>
            <w:rStyle w:val="Lienhypertexte"/>
            <w:rFonts w:ascii="Times New Roman" w:hAnsi="Times New Roman" w:cs="Times New Roman"/>
            <w:sz w:val="24"/>
            <w:szCs w:val="24"/>
          </w:rPr>
          <w:t>https://doi.org/10.1016/j.jneumeth.2007.03.024</w:t>
        </w:r>
      </w:hyperlink>
    </w:p>
    <w:p w14:paraId="5963B4E0"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Marghetis, T., Núñez, R., &amp; Bergen, B. K. (2014). Doing arithmetic by hand: Hand movements during exact arithmetic reveal systematic, dynamic spatial processing. </w:t>
      </w:r>
      <w:r w:rsidRPr="00F071D7">
        <w:rPr>
          <w:rFonts w:ascii="Times New Roman" w:hAnsi="Times New Roman" w:cs="Times New Roman"/>
          <w:i/>
          <w:sz w:val="24"/>
          <w:szCs w:val="24"/>
        </w:rPr>
        <w:t>The Quarterly Journal of Experimental Psychology, 67</w:t>
      </w:r>
      <w:r w:rsidRPr="00F071D7">
        <w:rPr>
          <w:rFonts w:ascii="Times New Roman" w:hAnsi="Times New Roman" w:cs="Times New Roman"/>
          <w:sz w:val="24"/>
          <w:szCs w:val="24"/>
        </w:rPr>
        <w:t xml:space="preserve">(8), 1579-1596. </w:t>
      </w:r>
      <w:hyperlink r:id="rId13" w:history="1">
        <w:r w:rsidRPr="00F071D7">
          <w:rPr>
            <w:rStyle w:val="Lienhypertexte"/>
            <w:rFonts w:ascii="Times New Roman" w:hAnsi="Times New Roman" w:cs="Times New Roman"/>
            <w:sz w:val="24"/>
            <w:szCs w:val="24"/>
          </w:rPr>
          <w:t>https://doi.org/10.1080/17470218.2014.897359</w:t>
        </w:r>
      </w:hyperlink>
    </w:p>
    <w:p w14:paraId="611ED3DC"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Masson, N., Andres, M., Alsamour, M., Bollen, Z., &amp; Pesenti, M. (2020). Spatial biases in mental arithmetic are independent of reading/writing habits: Evidence from French and Arabic speakers. </w:t>
      </w:r>
      <w:r w:rsidRPr="00F071D7">
        <w:rPr>
          <w:rFonts w:ascii="Times New Roman" w:hAnsi="Times New Roman" w:cs="Times New Roman"/>
          <w:i/>
          <w:sz w:val="24"/>
          <w:szCs w:val="24"/>
          <w:lang w:val="en-US"/>
        </w:rPr>
        <w:t>Cognition, 200</w:t>
      </w:r>
      <w:r w:rsidRPr="00F071D7">
        <w:rPr>
          <w:rFonts w:ascii="Times New Roman" w:hAnsi="Times New Roman" w:cs="Times New Roman"/>
          <w:sz w:val="24"/>
          <w:szCs w:val="24"/>
          <w:lang w:val="en-US"/>
        </w:rPr>
        <w:t xml:space="preserve">, 104262. </w:t>
      </w:r>
      <w:hyperlink r:id="rId14" w:history="1">
        <w:r w:rsidRPr="00F071D7">
          <w:rPr>
            <w:rStyle w:val="Lienhypertexte"/>
            <w:rFonts w:ascii="Times New Roman" w:hAnsi="Times New Roman" w:cs="Times New Roman"/>
            <w:sz w:val="24"/>
            <w:szCs w:val="24"/>
            <w:lang w:val="en-US"/>
          </w:rPr>
          <w:t>https://doi.org/10.1016/j.cognition.2020.104262</w:t>
        </w:r>
      </w:hyperlink>
    </w:p>
    <w:p w14:paraId="76B27AA2"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lastRenderedPageBreak/>
        <w:t xml:space="preserve">Masson, N., Letesson, C., &amp; Pesenti, M. (2018). </w:t>
      </w:r>
      <w:r w:rsidRPr="00F071D7">
        <w:rPr>
          <w:rFonts w:ascii="Times New Roman" w:hAnsi="Times New Roman" w:cs="Times New Roman"/>
          <w:sz w:val="24"/>
          <w:szCs w:val="24"/>
        </w:rPr>
        <w:t xml:space="preserve">Time course of overt attentional shifts in mental arithmetic: Evidence from gaze metrics. </w:t>
      </w:r>
      <w:r w:rsidRPr="00F071D7">
        <w:rPr>
          <w:rFonts w:ascii="Times New Roman" w:hAnsi="Times New Roman" w:cs="Times New Roman"/>
          <w:i/>
          <w:sz w:val="24"/>
          <w:szCs w:val="24"/>
        </w:rPr>
        <w:t>The Quarterly Journal of Experimental Psychology, 71</w:t>
      </w:r>
      <w:r w:rsidRPr="00F071D7">
        <w:rPr>
          <w:rFonts w:ascii="Times New Roman" w:hAnsi="Times New Roman" w:cs="Times New Roman"/>
          <w:sz w:val="24"/>
          <w:szCs w:val="24"/>
        </w:rPr>
        <w:t>(4), 1009-1019. DOI: 10.1080/17470218.2017.1318931</w:t>
      </w:r>
    </w:p>
    <w:p w14:paraId="38177F48"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Masson, N., &amp; Pesenti, M. (2014). Attentional bias induced by solving simple and complex addition and subtraction problems. </w:t>
      </w:r>
      <w:r w:rsidRPr="00F071D7">
        <w:rPr>
          <w:rFonts w:ascii="Times New Roman" w:hAnsi="Times New Roman" w:cs="Times New Roman"/>
          <w:i/>
          <w:sz w:val="24"/>
          <w:szCs w:val="24"/>
        </w:rPr>
        <w:t>The Quarterly Journal of Experimental Psychology, 67</w:t>
      </w:r>
      <w:r w:rsidRPr="00F071D7">
        <w:rPr>
          <w:rFonts w:ascii="Times New Roman" w:hAnsi="Times New Roman" w:cs="Times New Roman"/>
          <w:sz w:val="24"/>
          <w:szCs w:val="24"/>
        </w:rPr>
        <w:t>, 1514–1526. http://dx.doi.org/10.1080/17470218.2014.903985</w:t>
      </w:r>
    </w:p>
    <w:p w14:paraId="787AAC51"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Masson, N., &amp; Pesenti, M. (2016). Interference of lateralized distractors on arithmetic problem solving: A functional role for attention shifts in mental calculation. </w:t>
      </w:r>
      <w:r w:rsidRPr="00F071D7">
        <w:rPr>
          <w:rFonts w:ascii="Times New Roman" w:hAnsi="Times New Roman" w:cs="Times New Roman"/>
          <w:i/>
          <w:sz w:val="24"/>
          <w:szCs w:val="24"/>
        </w:rPr>
        <w:t>Psychological Research, 80</w:t>
      </w:r>
      <w:r w:rsidRPr="00F071D7">
        <w:rPr>
          <w:rFonts w:ascii="Times New Roman" w:hAnsi="Times New Roman" w:cs="Times New Roman"/>
          <w:sz w:val="24"/>
          <w:szCs w:val="24"/>
        </w:rPr>
        <w:t xml:space="preserve">, 640–651. </w:t>
      </w:r>
      <w:hyperlink r:id="rId15" w:history="1">
        <w:r w:rsidRPr="00F071D7">
          <w:rPr>
            <w:rStyle w:val="Lienhypertexte"/>
            <w:rFonts w:ascii="Times New Roman" w:hAnsi="Times New Roman" w:cs="Times New Roman"/>
            <w:sz w:val="24"/>
            <w:szCs w:val="24"/>
            <w:lang w:val="en-US"/>
          </w:rPr>
          <w:t>http://dx.doi.org/10.1007/s00426-015-0668-7</w:t>
        </w:r>
      </w:hyperlink>
    </w:p>
    <w:p w14:paraId="1531A45A"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Masson, N., &amp; Pesenti, M. (2022). A functional role for oculomotor preparation in mental arithmetic evidenced by the abducted eye paradigm. </w:t>
      </w:r>
      <w:r w:rsidRPr="00F071D7">
        <w:rPr>
          <w:rFonts w:ascii="Times New Roman" w:hAnsi="Times New Roman" w:cs="Times New Roman"/>
          <w:i/>
          <w:iCs/>
          <w:sz w:val="24"/>
          <w:szCs w:val="24"/>
          <w:lang w:val="en-US"/>
        </w:rPr>
        <w:t>Psychological Research</w:t>
      </w:r>
      <w:r w:rsidRPr="00F071D7">
        <w:rPr>
          <w:rFonts w:ascii="Times New Roman" w:hAnsi="Times New Roman" w:cs="Times New Roman"/>
          <w:sz w:val="24"/>
          <w:szCs w:val="24"/>
          <w:lang w:val="en-US"/>
        </w:rPr>
        <w:t>, 1-10.</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https://doi.org/10.1007/s00426-022-01696-6</w:t>
      </w:r>
    </w:p>
    <w:p w14:paraId="2C7ACD2A" w14:textId="77777777" w:rsidR="002E6FC8" w:rsidRPr="00F071D7" w:rsidRDefault="002E6FC8" w:rsidP="002E6FC8">
      <w:pPr>
        <w:spacing w:line="480" w:lineRule="auto"/>
        <w:jc w:val="both"/>
        <w:rPr>
          <w:rFonts w:ascii="Times New Roman" w:hAnsi="Times New Roman" w:cs="Times New Roman"/>
          <w:sz w:val="24"/>
          <w:szCs w:val="24"/>
          <w:lang w:val="fr-FR"/>
        </w:rPr>
      </w:pPr>
      <w:r w:rsidRPr="00F071D7">
        <w:rPr>
          <w:rFonts w:ascii="Times New Roman" w:hAnsi="Times New Roman" w:cs="Times New Roman"/>
          <w:sz w:val="24"/>
          <w:szCs w:val="24"/>
          <w:lang w:val="en-US"/>
        </w:rPr>
        <w:t xml:space="preserve">Masson, N., Pesenti, M., Coyette, F., Andres, M., &amp; Dormal, V. (2018). </w:t>
      </w:r>
      <w:r w:rsidRPr="00F071D7">
        <w:rPr>
          <w:rFonts w:ascii="Times New Roman" w:hAnsi="Times New Roman" w:cs="Times New Roman"/>
          <w:sz w:val="24"/>
          <w:szCs w:val="24"/>
        </w:rPr>
        <w:t xml:space="preserve">Shifts of spatial attention underlie numerical comparison and mental arithmetic: Evidence from a patient with right unilateral neglect. </w:t>
      </w:r>
      <w:r w:rsidRPr="00F071D7">
        <w:rPr>
          <w:rFonts w:ascii="Times New Roman" w:hAnsi="Times New Roman" w:cs="Times New Roman"/>
          <w:i/>
          <w:sz w:val="24"/>
          <w:szCs w:val="24"/>
          <w:lang w:val="fr-FR"/>
        </w:rPr>
        <w:t>Neuropsychology, 31</w:t>
      </w:r>
      <w:r w:rsidRPr="00F071D7">
        <w:rPr>
          <w:rFonts w:ascii="Times New Roman" w:hAnsi="Times New Roman" w:cs="Times New Roman"/>
          <w:sz w:val="24"/>
          <w:szCs w:val="24"/>
          <w:lang w:val="fr-FR"/>
        </w:rPr>
        <w:t>(7), 822-833. http://dx.doi.org/10.1037/neu0000361</w:t>
      </w:r>
    </w:p>
    <w:p w14:paraId="7E1D8E22"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fr-FR"/>
        </w:rPr>
        <w:t xml:space="preserve">Masson, N., Pesenti, M., &amp; Dormal, V. (2017). </w:t>
      </w:r>
      <w:r w:rsidRPr="00F071D7">
        <w:rPr>
          <w:rFonts w:ascii="Times New Roman" w:hAnsi="Times New Roman" w:cs="Times New Roman"/>
          <w:sz w:val="24"/>
          <w:szCs w:val="24"/>
        </w:rPr>
        <w:t xml:space="preserve">Impact of optokinetic stimulation on mental arithmetic. </w:t>
      </w:r>
      <w:r w:rsidRPr="00F071D7">
        <w:rPr>
          <w:rFonts w:ascii="Times New Roman" w:hAnsi="Times New Roman" w:cs="Times New Roman"/>
          <w:i/>
          <w:sz w:val="24"/>
          <w:szCs w:val="24"/>
        </w:rPr>
        <w:t>Psychological Research, 81</w:t>
      </w:r>
      <w:r w:rsidRPr="00F071D7">
        <w:rPr>
          <w:rFonts w:ascii="Times New Roman" w:hAnsi="Times New Roman" w:cs="Times New Roman"/>
          <w:sz w:val="24"/>
          <w:szCs w:val="24"/>
        </w:rPr>
        <w:t>(4), 840-849. http://dx.doi.org/10.1007/s00426-016-0784-z</w:t>
      </w:r>
    </w:p>
    <w:p w14:paraId="4EE2B24D"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Mathieu, R., Epinat-Duclos, J., Léone, J., Fayol, M., Thevenot, C., &amp; Prado, J. (2018). Hippocampal spatial mechanisms relate to the development of arithmetic symbol processing in children. </w:t>
      </w:r>
      <w:r w:rsidRPr="00F071D7">
        <w:rPr>
          <w:rFonts w:ascii="Times New Roman" w:hAnsi="Times New Roman" w:cs="Times New Roman"/>
          <w:i/>
          <w:iCs/>
          <w:sz w:val="24"/>
          <w:szCs w:val="24"/>
        </w:rPr>
        <w:t>Developmental Cognitive Neuroscience, 30</w:t>
      </w:r>
      <w:r w:rsidRPr="00F071D7">
        <w:rPr>
          <w:rFonts w:ascii="Times New Roman" w:hAnsi="Times New Roman" w:cs="Times New Roman"/>
          <w:sz w:val="24"/>
          <w:szCs w:val="24"/>
        </w:rPr>
        <w:t>, 324-332. https://doi.org/10.1016/j.dcn.2017.06.001</w:t>
      </w:r>
    </w:p>
    <w:p w14:paraId="69DF08DD"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lastRenderedPageBreak/>
        <w:t xml:space="preserve">Mathieu, R., Gourjon, A., Couderc, A., Thevenot, C., &amp; Prado, J. (2016). </w:t>
      </w:r>
      <w:r w:rsidRPr="00F071D7">
        <w:rPr>
          <w:rFonts w:ascii="Times New Roman" w:hAnsi="Times New Roman" w:cs="Times New Roman"/>
          <w:sz w:val="24"/>
          <w:szCs w:val="24"/>
        </w:rPr>
        <w:t xml:space="preserve">Running the number line: Rapid shifts of attention in single-digit arithmetic. </w:t>
      </w:r>
      <w:r w:rsidRPr="00F071D7">
        <w:rPr>
          <w:rFonts w:ascii="Times New Roman" w:hAnsi="Times New Roman" w:cs="Times New Roman"/>
          <w:i/>
          <w:sz w:val="24"/>
          <w:szCs w:val="24"/>
          <w:lang w:val="en-US"/>
        </w:rPr>
        <w:t>Cognition, 146</w:t>
      </w:r>
      <w:r w:rsidRPr="00F071D7">
        <w:rPr>
          <w:rFonts w:ascii="Times New Roman" w:hAnsi="Times New Roman" w:cs="Times New Roman"/>
          <w:sz w:val="24"/>
          <w:szCs w:val="24"/>
          <w:lang w:val="en-US"/>
        </w:rPr>
        <w:t>, 229–239. http://dx.doi.org/10.1016/j.cognition.2015.10.002</w:t>
      </w:r>
    </w:p>
    <w:p w14:paraId="2C63FEC5"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t xml:space="preserve">Mathôt, S., Schreij, D., &amp; Theeuwes, J. (2012). </w:t>
      </w:r>
      <w:r w:rsidRPr="00F071D7">
        <w:rPr>
          <w:rFonts w:ascii="Times New Roman" w:hAnsi="Times New Roman" w:cs="Times New Roman"/>
          <w:sz w:val="24"/>
          <w:szCs w:val="24"/>
        </w:rPr>
        <w:t xml:space="preserve">OpenSesame: An open-source, graphical experiment builder for the social sciences. </w:t>
      </w:r>
      <w:r w:rsidRPr="00F071D7">
        <w:rPr>
          <w:rFonts w:ascii="Times New Roman" w:hAnsi="Times New Roman" w:cs="Times New Roman"/>
          <w:i/>
          <w:sz w:val="24"/>
          <w:szCs w:val="24"/>
        </w:rPr>
        <w:t>Behavior research methods, 44</w:t>
      </w:r>
      <w:r w:rsidRPr="00F071D7">
        <w:rPr>
          <w:rFonts w:ascii="Times New Roman" w:hAnsi="Times New Roman" w:cs="Times New Roman"/>
          <w:sz w:val="24"/>
          <w:szCs w:val="24"/>
        </w:rPr>
        <w:t xml:space="preserve">(2), 314-324. </w:t>
      </w:r>
      <w:hyperlink r:id="rId16" w:history="1">
        <w:r w:rsidRPr="00F071D7">
          <w:rPr>
            <w:rStyle w:val="Lienhypertexte"/>
            <w:rFonts w:ascii="Times New Roman" w:hAnsi="Times New Roman" w:cs="Times New Roman"/>
            <w:sz w:val="24"/>
            <w:szCs w:val="24"/>
          </w:rPr>
          <w:t>https://doi.org/10.3758/s13428-011-0168-7</w:t>
        </w:r>
      </w:hyperlink>
    </w:p>
    <w:p w14:paraId="1331A868" w14:textId="77777777" w:rsidR="002E6FC8" w:rsidRPr="00F071D7" w:rsidRDefault="002E6FC8" w:rsidP="002E6FC8">
      <w:pPr>
        <w:spacing w:line="480" w:lineRule="auto"/>
        <w:jc w:val="both"/>
        <w:rPr>
          <w:rFonts w:ascii="Times New Roman" w:hAnsi="Times New Roman" w:cs="Times New Roman"/>
          <w:sz w:val="24"/>
          <w:szCs w:val="24"/>
          <w:lang w:val="it-IT"/>
        </w:rPr>
      </w:pPr>
      <w:r w:rsidRPr="00F071D7">
        <w:rPr>
          <w:rFonts w:ascii="Times New Roman" w:hAnsi="Times New Roman" w:cs="Times New Roman"/>
          <w:sz w:val="24"/>
          <w:szCs w:val="24"/>
        </w:rPr>
        <w:t xml:space="preserve">Mathôt, S., Van der Linden, L., Grainger, J., &amp; Vitu, F. (2013). The pupillary light response reveals the focus of covert visual attention. </w:t>
      </w:r>
      <w:r w:rsidRPr="00F071D7">
        <w:rPr>
          <w:rFonts w:ascii="Times New Roman" w:hAnsi="Times New Roman" w:cs="Times New Roman"/>
          <w:i/>
          <w:iCs/>
          <w:sz w:val="24"/>
          <w:szCs w:val="24"/>
          <w:lang w:val="it-IT"/>
        </w:rPr>
        <w:t>PloS one, 8</w:t>
      </w:r>
      <w:r w:rsidRPr="00F071D7">
        <w:rPr>
          <w:rFonts w:ascii="Times New Roman" w:hAnsi="Times New Roman" w:cs="Times New Roman"/>
          <w:sz w:val="24"/>
          <w:szCs w:val="24"/>
          <w:lang w:val="it-IT"/>
        </w:rPr>
        <w:t>(10), e78168.</w:t>
      </w:r>
      <w:r w:rsidRPr="00F071D7">
        <w:rPr>
          <w:lang w:val="it-IT"/>
        </w:rPr>
        <w:t xml:space="preserve"> </w:t>
      </w:r>
      <w:r w:rsidRPr="00F071D7">
        <w:rPr>
          <w:rFonts w:ascii="Times New Roman" w:hAnsi="Times New Roman" w:cs="Times New Roman"/>
          <w:sz w:val="24"/>
          <w:szCs w:val="24"/>
          <w:lang w:val="it-IT"/>
        </w:rPr>
        <w:t>https://doi.org/10.1371/journal.pone.0078168</w:t>
      </w:r>
    </w:p>
    <w:p w14:paraId="73165347"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it-IT"/>
        </w:rPr>
        <w:t xml:space="preserve">McCloskey, M., Caramazza, A., &amp; Basili, A. (1985). </w:t>
      </w:r>
      <w:r w:rsidRPr="00F071D7">
        <w:rPr>
          <w:rFonts w:ascii="Times New Roman" w:hAnsi="Times New Roman" w:cs="Times New Roman"/>
          <w:sz w:val="24"/>
          <w:szCs w:val="24"/>
        </w:rPr>
        <w:t xml:space="preserve">Cognitive mechanisms in number processing and calculation: Evidence from dyscalculia. </w:t>
      </w:r>
      <w:r w:rsidRPr="00F071D7">
        <w:rPr>
          <w:rFonts w:ascii="Times New Roman" w:hAnsi="Times New Roman" w:cs="Times New Roman"/>
          <w:i/>
          <w:iCs/>
          <w:sz w:val="24"/>
          <w:szCs w:val="24"/>
        </w:rPr>
        <w:t>Brain and cognition, 4</w:t>
      </w:r>
      <w:r w:rsidRPr="00F071D7">
        <w:rPr>
          <w:rFonts w:ascii="Times New Roman" w:hAnsi="Times New Roman" w:cs="Times New Roman"/>
          <w:sz w:val="24"/>
          <w:szCs w:val="24"/>
        </w:rPr>
        <w:t>(2), 171-196.</w:t>
      </w:r>
      <w:r w:rsidRPr="00F071D7">
        <w:t xml:space="preserve"> </w:t>
      </w:r>
      <w:r w:rsidRPr="00F071D7">
        <w:rPr>
          <w:rFonts w:ascii="Times New Roman" w:hAnsi="Times New Roman" w:cs="Times New Roman"/>
          <w:sz w:val="24"/>
          <w:szCs w:val="24"/>
        </w:rPr>
        <w:t>https://doi.org/10.1016/0278-2626(85)90069-7</w:t>
      </w:r>
    </w:p>
    <w:p w14:paraId="3A85BF28" w14:textId="77777777" w:rsidR="002E6FC8" w:rsidRPr="00F071D7" w:rsidRDefault="002E6FC8" w:rsidP="002E6FC8">
      <w:pPr>
        <w:spacing w:line="480" w:lineRule="auto"/>
        <w:jc w:val="both"/>
        <w:rPr>
          <w:rFonts w:ascii="Times New Roman" w:hAnsi="Times New Roman" w:cs="Times New Roman"/>
          <w:sz w:val="24"/>
          <w:szCs w:val="24"/>
          <w:lang w:val="fr-BE"/>
        </w:rPr>
      </w:pPr>
      <w:r w:rsidRPr="00F071D7">
        <w:rPr>
          <w:rFonts w:ascii="Times New Roman" w:hAnsi="Times New Roman" w:cs="Times New Roman"/>
          <w:sz w:val="24"/>
          <w:szCs w:val="24"/>
        </w:rPr>
        <w:t xml:space="preserve">McCrink, K., Dehaene, S., &amp; Dehaene-Lambertz, G. (2007). Moving along the number line: Operational momentum in nonsymbolic arithmetic. </w:t>
      </w:r>
      <w:r w:rsidRPr="00F071D7">
        <w:rPr>
          <w:rFonts w:ascii="Times New Roman" w:hAnsi="Times New Roman" w:cs="Times New Roman"/>
          <w:i/>
          <w:iCs/>
          <w:sz w:val="24"/>
          <w:szCs w:val="24"/>
          <w:lang w:val="fr-BE"/>
        </w:rPr>
        <w:t>Perception &amp; psychophysics, 69</w:t>
      </w:r>
      <w:r w:rsidRPr="00F071D7">
        <w:rPr>
          <w:rFonts w:ascii="Times New Roman" w:hAnsi="Times New Roman" w:cs="Times New Roman"/>
          <w:sz w:val="24"/>
          <w:szCs w:val="24"/>
          <w:lang w:val="fr-BE"/>
        </w:rPr>
        <w:t>(8), 1324-1333. https://doi.org/10.3758/BF03192949</w:t>
      </w:r>
    </w:p>
    <w:p w14:paraId="38033ED1" w14:textId="777FFFEC" w:rsidR="002E6FC8" w:rsidRPr="00971B91" w:rsidRDefault="002E6FC8" w:rsidP="002E6FC8">
      <w:pPr>
        <w:spacing w:line="480" w:lineRule="auto"/>
        <w:jc w:val="both"/>
        <w:rPr>
          <w:rFonts w:ascii="Times New Roman" w:hAnsi="Times New Roman" w:cs="Times New Roman"/>
          <w:sz w:val="24"/>
          <w:szCs w:val="24"/>
          <w:lang w:val="fr-BE"/>
        </w:rPr>
      </w:pPr>
      <w:r w:rsidRPr="00F071D7">
        <w:rPr>
          <w:rFonts w:ascii="Times New Roman" w:hAnsi="Times New Roman" w:cs="Times New Roman"/>
          <w:sz w:val="24"/>
          <w:szCs w:val="24"/>
          <w:lang w:val="fr-BE"/>
        </w:rPr>
        <w:t xml:space="preserve">McCrink, K., &amp; Opfer, J. E. (2014). </w:t>
      </w:r>
      <w:r w:rsidRPr="00F071D7">
        <w:rPr>
          <w:rFonts w:ascii="Times New Roman" w:hAnsi="Times New Roman" w:cs="Times New Roman"/>
          <w:sz w:val="24"/>
          <w:szCs w:val="24"/>
          <w:lang w:val="en-US"/>
        </w:rPr>
        <w:t xml:space="preserve">Development of spatial-numerical associations. </w:t>
      </w:r>
      <w:r w:rsidRPr="00F071D7">
        <w:rPr>
          <w:rFonts w:ascii="Times New Roman" w:hAnsi="Times New Roman" w:cs="Times New Roman"/>
          <w:i/>
          <w:iCs/>
          <w:sz w:val="24"/>
          <w:szCs w:val="24"/>
          <w:lang w:val="fr-BE"/>
        </w:rPr>
        <w:t xml:space="preserve">Current </w:t>
      </w:r>
      <w:r w:rsidRPr="00971B91">
        <w:rPr>
          <w:rFonts w:ascii="Times New Roman" w:hAnsi="Times New Roman" w:cs="Times New Roman"/>
          <w:i/>
          <w:iCs/>
          <w:sz w:val="24"/>
          <w:szCs w:val="24"/>
          <w:lang w:val="fr-BE"/>
        </w:rPr>
        <w:t>directions in psychological science, 23</w:t>
      </w:r>
      <w:r w:rsidRPr="00971B91">
        <w:rPr>
          <w:rFonts w:ascii="Times New Roman" w:hAnsi="Times New Roman" w:cs="Times New Roman"/>
          <w:sz w:val="24"/>
          <w:szCs w:val="24"/>
          <w:lang w:val="fr-BE"/>
        </w:rPr>
        <w:t xml:space="preserve">(6), 439-445. </w:t>
      </w:r>
      <w:hyperlink r:id="rId17" w:history="1">
        <w:r w:rsidR="0012313E" w:rsidRPr="00971B91">
          <w:rPr>
            <w:rStyle w:val="Lienhypertexte"/>
            <w:rFonts w:ascii="Times New Roman" w:hAnsi="Times New Roman" w:cs="Times New Roman"/>
            <w:sz w:val="24"/>
            <w:szCs w:val="24"/>
            <w:lang w:val="fr-BE"/>
          </w:rPr>
          <w:t>https://doi.org/10.1177/0963721414549751</w:t>
        </w:r>
      </w:hyperlink>
    </w:p>
    <w:p w14:paraId="1890CEAA" w14:textId="7CE269B1" w:rsidR="0012313E" w:rsidRPr="00AC28CC" w:rsidRDefault="0012313E" w:rsidP="002E6FC8">
      <w:pPr>
        <w:spacing w:line="480" w:lineRule="auto"/>
        <w:jc w:val="both"/>
        <w:rPr>
          <w:rFonts w:ascii="Times New Roman" w:hAnsi="Times New Roman" w:cs="Times New Roman"/>
          <w:sz w:val="24"/>
          <w:szCs w:val="24"/>
          <w:lang w:val="en-US"/>
        </w:rPr>
      </w:pPr>
      <w:r w:rsidRPr="00971B91">
        <w:rPr>
          <w:rFonts w:ascii="Times New Roman" w:hAnsi="Times New Roman" w:cs="Times New Roman"/>
          <w:sz w:val="24"/>
          <w:szCs w:val="24"/>
          <w:lang w:val="fr-BE"/>
        </w:rPr>
        <w:t xml:space="preserve">MNFP. (2011). Plan d’études : Ecole Fondamentale. </w:t>
      </w:r>
      <w:r w:rsidRPr="00971B91">
        <w:rPr>
          <w:rFonts w:ascii="Times New Roman" w:hAnsi="Times New Roman" w:cs="Times New Roman"/>
          <w:sz w:val="24"/>
          <w:szCs w:val="24"/>
          <w:lang w:val="en-US"/>
        </w:rPr>
        <w:t>Retrieved August 28, 2023 from https://men.public.lu/dam-assets/catalogue-publications/courriers-de-leducation-nationale/numeros-speciaux/plan-etudes-ecoles-fondamentale.pdf</w:t>
      </w:r>
    </w:p>
    <w:p w14:paraId="6F8DB73B" w14:textId="77777777" w:rsidR="002E6FC8" w:rsidRPr="00AC28CC" w:rsidRDefault="002E6FC8" w:rsidP="002E6FC8">
      <w:pPr>
        <w:spacing w:line="480" w:lineRule="auto"/>
        <w:jc w:val="both"/>
        <w:rPr>
          <w:rFonts w:ascii="Times New Roman" w:hAnsi="Times New Roman" w:cs="Times New Roman"/>
          <w:sz w:val="24"/>
          <w:szCs w:val="24"/>
          <w:lang w:val="de-DE"/>
        </w:rPr>
      </w:pPr>
      <w:r w:rsidRPr="00AC28CC">
        <w:rPr>
          <w:rFonts w:ascii="Times New Roman" w:hAnsi="Times New Roman" w:cs="Times New Roman"/>
          <w:sz w:val="24"/>
          <w:szCs w:val="24"/>
          <w:lang w:val="en-US"/>
        </w:rPr>
        <w:lastRenderedPageBreak/>
        <w:t xml:space="preserve">Myachykov, A., Cangelosi, A., Ellis, R., &amp; Fischer, M. H. (2015). </w:t>
      </w:r>
      <w:r w:rsidRPr="00F071D7">
        <w:rPr>
          <w:rFonts w:ascii="Times New Roman" w:hAnsi="Times New Roman" w:cs="Times New Roman"/>
          <w:sz w:val="24"/>
          <w:szCs w:val="24"/>
        </w:rPr>
        <w:t xml:space="preserve">The oculomotor resonance effect in spatial–numerical mapping. </w:t>
      </w:r>
      <w:r w:rsidRPr="00AC28CC">
        <w:rPr>
          <w:rFonts w:ascii="Times New Roman" w:hAnsi="Times New Roman" w:cs="Times New Roman"/>
          <w:i/>
          <w:sz w:val="24"/>
          <w:szCs w:val="24"/>
          <w:lang w:val="de-DE"/>
        </w:rPr>
        <w:t>Acta Psychologica, 161</w:t>
      </w:r>
      <w:r w:rsidRPr="00AC28CC">
        <w:rPr>
          <w:rFonts w:ascii="Times New Roman" w:hAnsi="Times New Roman" w:cs="Times New Roman"/>
          <w:sz w:val="24"/>
          <w:szCs w:val="24"/>
          <w:lang w:val="de-DE"/>
        </w:rPr>
        <w:t>, 162-169. https://doi.org/10.1016/j.actpsy.2015.09.006</w:t>
      </w:r>
    </w:p>
    <w:p w14:paraId="2ABB5470" w14:textId="77777777" w:rsidR="002E6FC8" w:rsidRPr="00F071D7" w:rsidRDefault="002E6FC8" w:rsidP="002E6FC8">
      <w:pPr>
        <w:spacing w:line="480" w:lineRule="auto"/>
        <w:jc w:val="both"/>
        <w:rPr>
          <w:rFonts w:ascii="Times New Roman" w:hAnsi="Times New Roman" w:cs="Times New Roman"/>
          <w:sz w:val="24"/>
          <w:szCs w:val="24"/>
        </w:rPr>
      </w:pPr>
      <w:r w:rsidRPr="00AC28CC">
        <w:rPr>
          <w:rFonts w:ascii="Times New Roman" w:hAnsi="Times New Roman" w:cs="Times New Roman"/>
          <w:sz w:val="24"/>
          <w:szCs w:val="24"/>
          <w:lang w:val="de-DE"/>
        </w:rPr>
        <w:t xml:space="preserve">Patro, K., Fischer, U., Nuerk, H. C., &amp; Cress, U. (2016). </w:t>
      </w:r>
      <w:r w:rsidRPr="00F071D7">
        <w:rPr>
          <w:rFonts w:ascii="Times New Roman" w:hAnsi="Times New Roman" w:cs="Times New Roman"/>
          <w:sz w:val="24"/>
          <w:szCs w:val="24"/>
        </w:rPr>
        <w:t xml:space="preserve">How to rapidly construct a spatial–numerical representation in preliterate children (at least temporarily). </w:t>
      </w:r>
      <w:r w:rsidRPr="00F071D7">
        <w:rPr>
          <w:rFonts w:ascii="Times New Roman" w:hAnsi="Times New Roman" w:cs="Times New Roman"/>
          <w:i/>
          <w:iCs/>
          <w:sz w:val="24"/>
          <w:szCs w:val="24"/>
        </w:rPr>
        <w:t>Developmental Science, 19</w:t>
      </w:r>
      <w:r w:rsidRPr="00F071D7">
        <w:rPr>
          <w:rFonts w:ascii="Times New Roman" w:hAnsi="Times New Roman" w:cs="Times New Roman"/>
          <w:sz w:val="24"/>
          <w:szCs w:val="24"/>
        </w:rPr>
        <w:t>(1), 126-144. https://doi.org/10.1111/desc.12296</w:t>
      </w:r>
    </w:p>
    <w:p w14:paraId="6FA305DB"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Pinhas, M., &amp; Fischer, M. H. (2008). Mental movements without magnitude? A study of spatial biases in symbolic arithmetic. </w:t>
      </w:r>
      <w:r w:rsidRPr="00F071D7">
        <w:rPr>
          <w:rFonts w:ascii="Times New Roman" w:hAnsi="Times New Roman" w:cs="Times New Roman"/>
          <w:i/>
          <w:sz w:val="24"/>
          <w:szCs w:val="24"/>
        </w:rPr>
        <w:t>Cognition, 109</w:t>
      </w:r>
      <w:r w:rsidRPr="00F071D7">
        <w:rPr>
          <w:rFonts w:ascii="Times New Roman" w:hAnsi="Times New Roman" w:cs="Times New Roman"/>
          <w:sz w:val="24"/>
          <w:szCs w:val="24"/>
        </w:rPr>
        <w:t xml:space="preserve">(3), 408-415. </w:t>
      </w:r>
      <w:hyperlink r:id="rId18" w:history="1">
        <w:r w:rsidRPr="00F071D7">
          <w:rPr>
            <w:rStyle w:val="Lienhypertexte"/>
            <w:rFonts w:ascii="Times New Roman" w:hAnsi="Times New Roman" w:cs="Times New Roman"/>
            <w:sz w:val="24"/>
            <w:szCs w:val="24"/>
          </w:rPr>
          <w:t>https://doi.org/10.1016/j.cognition.2008.09.003</w:t>
        </w:r>
      </w:hyperlink>
    </w:p>
    <w:p w14:paraId="5C249319"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Pinhas, M., Shaki, S., &amp; Fischer, M. H. (2014). Heed the signs: Operation signs have spatial associations. </w:t>
      </w:r>
      <w:r w:rsidRPr="00F071D7">
        <w:rPr>
          <w:rFonts w:ascii="Times New Roman" w:hAnsi="Times New Roman" w:cs="Times New Roman"/>
          <w:i/>
          <w:sz w:val="24"/>
          <w:szCs w:val="24"/>
        </w:rPr>
        <w:t>The Quarterly Journal of Experimental Psychology, 67</w:t>
      </w:r>
      <w:r w:rsidRPr="00F071D7">
        <w:rPr>
          <w:rFonts w:ascii="Times New Roman" w:hAnsi="Times New Roman" w:cs="Times New Roman"/>
          <w:sz w:val="24"/>
          <w:szCs w:val="24"/>
        </w:rPr>
        <w:t xml:space="preserve">(8), 1527-1540. </w:t>
      </w:r>
      <w:hyperlink r:id="rId19" w:history="1">
        <w:r w:rsidRPr="00F071D7">
          <w:rPr>
            <w:rStyle w:val="Lienhypertexte"/>
            <w:rFonts w:ascii="Times New Roman" w:hAnsi="Times New Roman" w:cs="Times New Roman"/>
            <w:sz w:val="24"/>
            <w:szCs w:val="24"/>
          </w:rPr>
          <w:t>https://doi.org/10.1080/17470218.2014.892516</w:t>
        </w:r>
      </w:hyperlink>
    </w:p>
    <w:p w14:paraId="022C1FB2"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 xml:space="preserve">Poletti, C., Yáñez, A. D. B., Prado, J., &amp; Thevenot, C. (2023). The development of simple addition problem solving in children: Reliance on automatized counting or memory retrieval depends on both expertise and problem size. </w:t>
      </w:r>
      <w:r w:rsidRPr="00F071D7">
        <w:rPr>
          <w:rFonts w:ascii="Times New Roman" w:hAnsi="Times New Roman" w:cs="Times New Roman"/>
          <w:i/>
          <w:iCs/>
          <w:sz w:val="24"/>
          <w:szCs w:val="24"/>
        </w:rPr>
        <w:t>Journal of Experimental Child Psychology, 234</w:t>
      </w:r>
      <w:r w:rsidRPr="00F071D7">
        <w:rPr>
          <w:rFonts w:ascii="Times New Roman" w:hAnsi="Times New Roman" w:cs="Times New Roman"/>
          <w:sz w:val="24"/>
          <w:szCs w:val="24"/>
        </w:rPr>
        <w:t>, 105710.</w:t>
      </w:r>
      <w:r w:rsidRPr="00F071D7">
        <w:t xml:space="preserve"> </w:t>
      </w:r>
      <w:r w:rsidRPr="00F071D7">
        <w:rPr>
          <w:rFonts w:ascii="Times New Roman" w:hAnsi="Times New Roman" w:cs="Times New Roman"/>
          <w:sz w:val="24"/>
          <w:szCs w:val="24"/>
        </w:rPr>
        <w:t>https://doi.org/10.1016/j.jecp.2023.105710</w:t>
      </w:r>
    </w:p>
    <w:p w14:paraId="71C89B92"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Proctor, R. W., &amp; Cho, Y. S. (2006). Polarity correspondence: a general principle for performance of speeded binary classification tasks. </w:t>
      </w:r>
      <w:r w:rsidRPr="00F071D7">
        <w:rPr>
          <w:rFonts w:ascii="Times New Roman" w:hAnsi="Times New Roman" w:cs="Times New Roman"/>
          <w:i/>
          <w:sz w:val="24"/>
          <w:szCs w:val="24"/>
          <w:lang w:val="en-US"/>
        </w:rPr>
        <w:t>Psychological bulletin, 132</w:t>
      </w:r>
      <w:r w:rsidRPr="00F071D7">
        <w:rPr>
          <w:rFonts w:ascii="Times New Roman" w:hAnsi="Times New Roman" w:cs="Times New Roman"/>
          <w:sz w:val="24"/>
          <w:szCs w:val="24"/>
          <w:lang w:val="en-US"/>
        </w:rPr>
        <w:t>(3), 416. https://doi.org/10.1037/0033-2909.132.3.416</w:t>
      </w:r>
    </w:p>
    <w:p w14:paraId="38051AD1" w14:textId="77777777" w:rsidR="002E6FC8" w:rsidRPr="00F071D7" w:rsidRDefault="002E6FC8" w:rsidP="002E6FC8">
      <w:pPr>
        <w:spacing w:line="480" w:lineRule="auto"/>
        <w:jc w:val="both"/>
        <w:rPr>
          <w:rFonts w:ascii="Times New Roman" w:hAnsi="Times New Roman" w:cs="Times New Roman"/>
          <w:sz w:val="24"/>
          <w:szCs w:val="24"/>
          <w:lang w:val="it-IT"/>
        </w:rPr>
      </w:pPr>
      <w:r w:rsidRPr="00F071D7">
        <w:rPr>
          <w:rFonts w:ascii="Times New Roman" w:hAnsi="Times New Roman" w:cs="Times New Roman"/>
          <w:sz w:val="24"/>
          <w:szCs w:val="24"/>
          <w:lang w:val="en-US"/>
        </w:rPr>
        <w:t xml:space="preserve">Rugani, R., &amp; de Hevia, M. D. (2017). </w:t>
      </w:r>
      <w:r w:rsidRPr="00F071D7">
        <w:rPr>
          <w:rFonts w:ascii="Times New Roman" w:hAnsi="Times New Roman" w:cs="Times New Roman"/>
          <w:sz w:val="24"/>
          <w:szCs w:val="24"/>
        </w:rPr>
        <w:t xml:space="preserve">Number-space associations without language: Evidence from preverbal human infants and non-human animal species. </w:t>
      </w:r>
      <w:r w:rsidRPr="00F071D7">
        <w:rPr>
          <w:rFonts w:ascii="Times New Roman" w:hAnsi="Times New Roman" w:cs="Times New Roman"/>
          <w:i/>
          <w:iCs/>
          <w:sz w:val="24"/>
          <w:szCs w:val="24"/>
          <w:lang w:val="it-IT"/>
        </w:rPr>
        <w:t>Psychonomic Bulletin &amp; Review, 24</w:t>
      </w:r>
      <w:r w:rsidRPr="00F071D7">
        <w:rPr>
          <w:rFonts w:ascii="Times New Roman" w:hAnsi="Times New Roman" w:cs="Times New Roman"/>
          <w:sz w:val="24"/>
          <w:szCs w:val="24"/>
          <w:lang w:val="it-IT"/>
        </w:rPr>
        <w:t>(2), 352-369. https://doi.org/10.3758/s13423-016-1126-2</w:t>
      </w:r>
    </w:p>
    <w:p w14:paraId="36E28830"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it-IT"/>
        </w:rPr>
        <w:lastRenderedPageBreak/>
        <w:t xml:space="preserve">Rugani, R., Fontanari, L., Simoni, E., Regolin, L., &amp; Vallortigara, G. (2009). </w:t>
      </w:r>
      <w:r w:rsidRPr="00F071D7">
        <w:rPr>
          <w:rFonts w:ascii="Times New Roman" w:hAnsi="Times New Roman" w:cs="Times New Roman"/>
          <w:sz w:val="24"/>
          <w:szCs w:val="24"/>
          <w:lang w:val="en-US"/>
        </w:rPr>
        <w:t xml:space="preserve">Arithmetic in newborn chicks. </w:t>
      </w:r>
      <w:r w:rsidRPr="00F071D7">
        <w:rPr>
          <w:rFonts w:ascii="Times New Roman" w:hAnsi="Times New Roman" w:cs="Times New Roman"/>
          <w:i/>
          <w:iCs/>
          <w:sz w:val="24"/>
          <w:szCs w:val="24"/>
          <w:lang w:val="en-US"/>
        </w:rPr>
        <w:t>Proceedings of the Royal Society B: Biological Sciences, 276</w:t>
      </w:r>
      <w:r w:rsidRPr="00F071D7">
        <w:rPr>
          <w:rFonts w:ascii="Times New Roman" w:hAnsi="Times New Roman" w:cs="Times New Roman"/>
          <w:sz w:val="24"/>
          <w:szCs w:val="24"/>
          <w:lang w:val="en-US"/>
        </w:rPr>
        <w:t>(1666), 2451-2460.</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https://doi.org/10.1098/rspb.2009.0044</w:t>
      </w:r>
    </w:p>
    <w:p w14:paraId="2B8F5F1F" w14:textId="77777777" w:rsidR="002E6FC8" w:rsidRPr="00F071D7" w:rsidRDefault="002E6FC8" w:rsidP="002E6FC8">
      <w:pPr>
        <w:spacing w:line="480" w:lineRule="auto"/>
        <w:jc w:val="both"/>
        <w:rPr>
          <w:rFonts w:ascii="Times New Roman" w:hAnsi="Times New Roman" w:cs="Times New Roman"/>
          <w:sz w:val="24"/>
          <w:szCs w:val="24"/>
          <w:lang w:val="fr-BE"/>
        </w:rPr>
      </w:pPr>
      <w:r w:rsidRPr="00F071D7">
        <w:rPr>
          <w:rFonts w:ascii="Times New Roman" w:hAnsi="Times New Roman" w:cs="Times New Roman"/>
          <w:sz w:val="24"/>
          <w:szCs w:val="24"/>
          <w:lang w:val="it-IT"/>
        </w:rPr>
        <w:t xml:space="preserve">Rugani, R., Vallortigara, G., Priftis, K., &amp; Regolin, L. (2015). </w:t>
      </w:r>
      <w:r w:rsidRPr="00F071D7">
        <w:rPr>
          <w:rFonts w:ascii="Times New Roman" w:hAnsi="Times New Roman" w:cs="Times New Roman"/>
          <w:sz w:val="24"/>
          <w:szCs w:val="24"/>
          <w:lang w:val="en-US"/>
        </w:rPr>
        <w:t xml:space="preserve">Number-space mapping in the newborn chick resembles humans’ mental number line. </w:t>
      </w:r>
      <w:r w:rsidRPr="00F071D7">
        <w:rPr>
          <w:rFonts w:ascii="Times New Roman" w:hAnsi="Times New Roman" w:cs="Times New Roman"/>
          <w:i/>
          <w:iCs/>
          <w:sz w:val="24"/>
          <w:szCs w:val="24"/>
          <w:lang w:val="fr-BE"/>
        </w:rPr>
        <w:t>Science, 347</w:t>
      </w:r>
      <w:r w:rsidRPr="00F071D7">
        <w:rPr>
          <w:rFonts w:ascii="Times New Roman" w:hAnsi="Times New Roman" w:cs="Times New Roman"/>
          <w:sz w:val="24"/>
          <w:szCs w:val="24"/>
          <w:lang w:val="fr-BE"/>
        </w:rPr>
        <w:t>(6221), 534-536. https://doi.org/10.1126/science.aaa1379</w:t>
      </w:r>
    </w:p>
    <w:p w14:paraId="3640FF41"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fr-BE"/>
        </w:rPr>
        <w:t xml:space="preserve">Salvaggio, S., Andres, M., Zénon, A., &amp; Masson, N. (2022). </w:t>
      </w:r>
      <w:r w:rsidRPr="00F071D7">
        <w:rPr>
          <w:rFonts w:ascii="Times New Roman" w:hAnsi="Times New Roman" w:cs="Times New Roman"/>
          <w:sz w:val="24"/>
          <w:szCs w:val="24"/>
        </w:rPr>
        <w:t xml:space="preserve">Pupil size variations reveal covert shifts of attention induced by numbers. </w:t>
      </w:r>
      <w:r w:rsidRPr="00F071D7">
        <w:rPr>
          <w:rFonts w:ascii="Times New Roman" w:hAnsi="Times New Roman" w:cs="Times New Roman"/>
          <w:i/>
          <w:iCs/>
          <w:sz w:val="24"/>
          <w:szCs w:val="24"/>
        </w:rPr>
        <w:t>Psychonomic Bulletin &amp; Review</w:t>
      </w:r>
      <w:r w:rsidRPr="00F071D7">
        <w:rPr>
          <w:rFonts w:ascii="Times New Roman" w:hAnsi="Times New Roman" w:cs="Times New Roman"/>
          <w:sz w:val="24"/>
          <w:szCs w:val="24"/>
        </w:rPr>
        <w:t>, 1-10. https://doi.org/10.3758/s13423-022-02094-0</w:t>
      </w:r>
    </w:p>
    <w:p w14:paraId="768D3607"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Salvaggio, S., Masson, N., &amp; Andres, M. (2018). Eye position reflects the spatial coding of numbers during magnitude comparison. </w:t>
      </w:r>
      <w:r w:rsidRPr="00F071D7">
        <w:rPr>
          <w:rFonts w:ascii="Times New Roman" w:hAnsi="Times New Roman" w:cs="Times New Roman"/>
          <w:i/>
          <w:sz w:val="24"/>
          <w:szCs w:val="24"/>
        </w:rPr>
        <w:t>Journal of Experimental Psychology: Learning, Memory, and Cognition</w:t>
      </w:r>
      <w:r w:rsidRPr="00F071D7">
        <w:rPr>
          <w:rFonts w:ascii="Times New Roman" w:hAnsi="Times New Roman" w:cs="Times New Roman"/>
          <w:sz w:val="24"/>
          <w:szCs w:val="24"/>
        </w:rPr>
        <w:t xml:space="preserve">. </w:t>
      </w:r>
      <w:hyperlink r:id="rId20" w:history="1">
        <w:r w:rsidRPr="00F071D7">
          <w:rPr>
            <w:rStyle w:val="Lienhypertexte"/>
            <w:rFonts w:ascii="Times New Roman" w:hAnsi="Times New Roman" w:cs="Times New Roman"/>
            <w:sz w:val="24"/>
            <w:szCs w:val="24"/>
            <w:lang w:val="en-US"/>
          </w:rPr>
          <w:t>http://dx.doi.org/10.1037/xlm0000681</w:t>
        </w:r>
      </w:hyperlink>
    </w:p>
    <w:p w14:paraId="225EAD72"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it-IT"/>
        </w:rPr>
        <w:t xml:space="preserve">Salvaggio, S., Masson, N., Zénon, A., &amp; Andres, M. (2022). </w:t>
      </w:r>
      <w:r w:rsidRPr="00F071D7">
        <w:rPr>
          <w:rFonts w:ascii="Times New Roman" w:hAnsi="Times New Roman" w:cs="Times New Roman"/>
          <w:sz w:val="24"/>
          <w:szCs w:val="24"/>
          <w:lang w:val="en-US"/>
        </w:rPr>
        <w:t xml:space="preserve">The predictive role of eye movements in mental arithmetic. </w:t>
      </w:r>
      <w:r w:rsidRPr="00F071D7">
        <w:rPr>
          <w:rFonts w:ascii="Times New Roman" w:hAnsi="Times New Roman" w:cs="Times New Roman"/>
          <w:i/>
          <w:iCs/>
          <w:sz w:val="24"/>
          <w:szCs w:val="24"/>
          <w:lang w:val="en-US"/>
        </w:rPr>
        <w:t>Experimental Brain Research, 240</w:t>
      </w:r>
      <w:r w:rsidRPr="00F071D7">
        <w:rPr>
          <w:rFonts w:ascii="Times New Roman" w:hAnsi="Times New Roman" w:cs="Times New Roman"/>
          <w:sz w:val="24"/>
          <w:szCs w:val="24"/>
          <w:lang w:val="en-US"/>
        </w:rPr>
        <w:t>(5), 1331-1340.</w:t>
      </w:r>
      <w:r w:rsidRPr="00F071D7">
        <w:rPr>
          <w:rFonts w:ascii="Times New Roman" w:hAnsi="Times New Roman" w:cs="Times New Roman"/>
          <w:sz w:val="24"/>
          <w:szCs w:val="24"/>
        </w:rPr>
        <w:t>DOI : 10.1007/s00221-022-06329-3</w:t>
      </w:r>
    </w:p>
    <w:p w14:paraId="2530AE7B" w14:textId="77777777" w:rsidR="002E6FC8" w:rsidRPr="00305B34" w:rsidRDefault="002E6FC8" w:rsidP="002E6FC8">
      <w:pPr>
        <w:spacing w:line="480" w:lineRule="auto"/>
        <w:jc w:val="both"/>
        <w:rPr>
          <w:rFonts w:ascii="Times New Roman" w:hAnsi="Times New Roman" w:cs="Times New Roman"/>
          <w:sz w:val="24"/>
          <w:szCs w:val="24"/>
          <w:lang w:val="fr-BE"/>
        </w:rPr>
      </w:pPr>
      <w:r w:rsidRPr="00F071D7">
        <w:rPr>
          <w:rFonts w:ascii="Times New Roman" w:hAnsi="Times New Roman" w:cs="Times New Roman"/>
          <w:sz w:val="24"/>
          <w:szCs w:val="24"/>
          <w:lang w:val="en-US"/>
        </w:rPr>
        <w:t xml:space="preserve">Sahan, M. I., van Dijck, J. P., &amp; Fias, W. (2021). Eye-movements reveal the serial position of the attended item in verbal working memory. </w:t>
      </w:r>
      <w:r w:rsidRPr="00305B34">
        <w:rPr>
          <w:rFonts w:ascii="Times New Roman" w:hAnsi="Times New Roman" w:cs="Times New Roman"/>
          <w:i/>
          <w:iCs/>
          <w:sz w:val="24"/>
          <w:szCs w:val="24"/>
          <w:lang w:val="fr-BE"/>
        </w:rPr>
        <w:t>Psychonomic bulletin &amp; review</w:t>
      </w:r>
      <w:r w:rsidRPr="00305B34">
        <w:rPr>
          <w:rFonts w:ascii="Times New Roman" w:hAnsi="Times New Roman" w:cs="Times New Roman"/>
          <w:sz w:val="24"/>
          <w:szCs w:val="24"/>
          <w:lang w:val="fr-BE"/>
        </w:rPr>
        <w:t>, 1-11. https://doi.org/10.3758/s13423-021-02005-9</w:t>
      </w:r>
    </w:p>
    <w:p w14:paraId="6123D9A7" w14:textId="3D8259D6" w:rsidR="00B076EF" w:rsidRPr="00305B34" w:rsidRDefault="00B076EF" w:rsidP="002E6FC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fr-BE"/>
        </w:rPr>
        <w:t>SeGEC</w:t>
      </w:r>
      <w:r w:rsidRPr="00B076EF">
        <w:rPr>
          <w:rFonts w:ascii="Times New Roman" w:hAnsi="Times New Roman" w:cs="Times New Roman"/>
          <w:sz w:val="24"/>
          <w:szCs w:val="24"/>
          <w:lang w:val="fr-BE"/>
        </w:rPr>
        <w:t>. (20</w:t>
      </w:r>
      <w:r w:rsidR="00C5045B">
        <w:rPr>
          <w:rFonts w:ascii="Times New Roman" w:hAnsi="Times New Roman" w:cs="Times New Roman"/>
          <w:sz w:val="24"/>
          <w:szCs w:val="24"/>
          <w:lang w:val="fr-BE"/>
        </w:rPr>
        <w:t>13</w:t>
      </w:r>
      <w:r w:rsidRPr="00B076EF">
        <w:rPr>
          <w:rFonts w:ascii="Times New Roman" w:hAnsi="Times New Roman" w:cs="Times New Roman"/>
          <w:sz w:val="24"/>
          <w:szCs w:val="24"/>
          <w:lang w:val="fr-BE"/>
        </w:rPr>
        <w:t xml:space="preserve">). </w:t>
      </w:r>
      <w:r w:rsidRPr="00B076EF">
        <w:rPr>
          <w:rFonts w:ascii="Times New Roman" w:hAnsi="Times New Roman" w:cs="Times New Roman"/>
          <w:i/>
          <w:iCs/>
          <w:sz w:val="24"/>
          <w:szCs w:val="24"/>
          <w:lang w:val="fr-BE"/>
        </w:rPr>
        <w:t>Formation Mathématique</w:t>
      </w:r>
      <w:r w:rsidRPr="00B076EF">
        <w:rPr>
          <w:rFonts w:ascii="Times New Roman" w:hAnsi="Times New Roman" w:cs="Times New Roman"/>
          <w:sz w:val="24"/>
          <w:szCs w:val="24"/>
          <w:lang w:val="fr-BE"/>
        </w:rPr>
        <w:t xml:space="preserve">. </w:t>
      </w:r>
      <w:r w:rsidRPr="00305B34">
        <w:rPr>
          <w:rFonts w:ascii="Times New Roman" w:hAnsi="Times New Roman" w:cs="Times New Roman"/>
          <w:sz w:val="24"/>
          <w:szCs w:val="24"/>
          <w:lang w:val="en-US"/>
        </w:rPr>
        <w:t>Editions Averbode.</w:t>
      </w:r>
    </w:p>
    <w:p w14:paraId="57A263C6" w14:textId="2440B31B"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Shaki, S., Fischer, M. H., &amp; Petrusic, W. M. (2009). Reading habits for both words and numbers contribute to the SNARC effect. </w:t>
      </w:r>
      <w:r w:rsidRPr="00F071D7">
        <w:rPr>
          <w:rFonts w:ascii="Times New Roman" w:hAnsi="Times New Roman" w:cs="Times New Roman"/>
          <w:i/>
          <w:iCs/>
          <w:sz w:val="24"/>
          <w:szCs w:val="24"/>
          <w:lang w:val="en-US"/>
        </w:rPr>
        <w:t>Psychonomic bulletin &amp; review, 16</w:t>
      </w:r>
      <w:r w:rsidRPr="00F071D7">
        <w:rPr>
          <w:rFonts w:ascii="Times New Roman" w:hAnsi="Times New Roman" w:cs="Times New Roman"/>
          <w:sz w:val="24"/>
          <w:szCs w:val="24"/>
          <w:lang w:val="en-US"/>
        </w:rPr>
        <w:t>(2), 328-331.</w:t>
      </w:r>
      <w:r w:rsidRPr="00F071D7">
        <w:rPr>
          <w:rFonts w:ascii="Times New Roman" w:hAnsi="Times New Roman" w:cs="Times New Roman"/>
          <w:sz w:val="24"/>
          <w:szCs w:val="24"/>
        </w:rPr>
        <w:t xml:space="preserve"> </w:t>
      </w:r>
      <w:r w:rsidRPr="00F071D7">
        <w:rPr>
          <w:rFonts w:ascii="Times New Roman" w:hAnsi="Times New Roman" w:cs="Times New Roman"/>
          <w:sz w:val="24"/>
          <w:szCs w:val="24"/>
          <w:lang w:val="en-US"/>
        </w:rPr>
        <w:t>https://doi.org/10.3758/PBR.16.2.328</w:t>
      </w:r>
    </w:p>
    <w:p w14:paraId="0BDA7A86"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lastRenderedPageBreak/>
        <w:t xml:space="preserve">Stoianov, I., Kramer, P., Umilta, C., &amp; Zorzi, M. (2008). </w:t>
      </w:r>
      <w:r w:rsidRPr="00F071D7">
        <w:rPr>
          <w:rFonts w:ascii="Times New Roman" w:hAnsi="Times New Roman" w:cs="Times New Roman"/>
          <w:sz w:val="24"/>
          <w:szCs w:val="24"/>
        </w:rPr>
        <w:t xml:space="preserve">Visuospatial priming of the mental number line. </w:t>
      </w:r>
      <w:r w:rsidRPr="00F071D7">
        <w:rPr>
          <w:rFonts w:ascii="Times New Roman" w:hAnsi="Times New Roman" w:cs="Times New Roman"/>
          <w:i/>
          <w:sz w:val="24"/>
          <w:szCs w:val="24"/>
        </w:rPr>
        <w:t>Cognition, 106</w:t>
      </w:r>
      <w:r w:rsidRPr="00F071D7">
        <w:rPr>
          <w:rFonts w:ascii="Times New Roman" w:hAnsi="Times New Roman" w:cs="Times New Roman"/>
          <w:sz w:val="24"/>
          <w:szCs w:val="24"/>
        </w:rPr>
        <w:t>(2), 770-779. https://doi.org/10.1016/j.cognition.2007.04.013</w:t>
      </w:r>
    </w:p>
    <w:p w14:paraId="579B271E" w14:textId="77777777" w:rsidR="002E6FC8" w:rsidRPr="00F071D7" w:rsidRDefault="002E6FC8" w:rsidP="002E6FC8">
      <w:pPr>
        <w:spacing w:line="480" w:lineRule="auto"/>
        <w:jc w:val="both"/>
        <w:rPr>
          <w:rFonts w:ascii="Times New Roman" w:hAnsi="Times New Roman" w:cs="Times New Roman"/>
          <w:sz w:val="24"/>
          <w:szCs w:val="24"/>
          <w:lang w:val="it-IT"/>
        </w:rPr>
      </w:pPr>
      <w:r w:rsidRPr="00F071D7">
        <w:rPr>
          <w:rFonts w:ascii="Times New Roman" w:hAnsi="Times New Roman" w:cs="Times New Roman"/>
          <w:sz w:val="24"/>
          <w:szCs w:val="24"/>
        </w:rPr>
        <w:t xml:space="preserve">Strauch, C., Romein, C., Naber, M., Van der Stigchel, S., &amp; Ten Brink, A. F. (2022). </w:t>
      </w:r>
      <w:r w:rsidRPr="00F071D7">
        <w:rPr>
          <w:rFonts w:ascii="Times New Roman" w:hAnsi="Times New Roman" w:cs="Times New Roman"/>
          <w:sz w:val="24"/>
          <w:szCs w:val="24"/>
          <w:lang w:val="en-US"/>
        </w:rPr>
        <w:t xml:space="preserve">The orienting response drives pseudoneglect—Evidence from an objective pupillometric method. </w:t>
      </w:r>
      <w:r w:rsidRPr="00F071D7">
        <w:rPr>
          <w:rFonts w:ascii="Times New Roman" w:hAnsi="Times New Roman" w:cs="Times New Roman"/>
          <w:i/>
          <w:iCs/>
          <w:sz w:val="24"/>
          <w:szCs w:val="24"/>
          <w:lang w:val="it-IT"/>
        </w:rPr>
        <w:t>Cortex, 151</w:t>
      </w:r>
      <w:r w:rsidRPr="00F071D7">
        <w:rPr>
          <w:rFonts w:ascii="Times New Roman" w:hAnsi="Times New Roman" w:cs="Times New Roman"/>
          <w:sz w:val="24"/>
          <w:szCs w:val="24"/>
          <w:lang w:val="it-IT"/>
        </w:rPr>
        <w:t>, 259-271.</w:t>
      </w:r>
      <w:r w:rsidRPr="00F071D7">
        <w:rPr>
          <w:lang w:val="it-IT"/>
        </w:rPr>
        <w:t xml:space="preserve"> </w:t>
      </w:r>
      <w:r w:rsidRPr="00F071D7">
        <w:rPr>
          <w:rFonts w:ascii="Times New Roman" w:hAnsi="Times New Roman" w:cs="Times New Roman"/>
          <w:sz w:val="24"/>
          <w:szCs w:val="24"/>
          <w:lang w:val="it-IT"/>
        </w:rPr>
        <w:t>https://doi.org/10.1016/j.cortex.2022.03.006</w:t>
      </w:r>
    </w:p>
    <w:p w14:paraId="76388BD4"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it-IT"/>
        </w:rPr>
        <w:t xml:space="preserve">Toomarian, E. Y., &amp; Hubbard, E. M. (2018). </w:t>
      </w:r>
      <w:r w:rsidRPr="00F071D7">
        <w:rPr>
          <w:rFonts w:ascii="Times New Roman" w:hAnsi="Times New Roman" w:cs="Times New Roman"/>
          <w:sz w:val="24"/>
          <w:szCs w:val="24"/>
          <w:lang w:val="en-US"/>
        </w:rPr>
        <w:t xml:space="preserve">On the genesis of spatial-numerical associations: Evolutionary and cultural factors co-construct the mental number line. </w:t>
      </w:r>
      <w:r w:rsidRPr="00F071D7">
        <w:rPr>
          <w:rFonts w:ascii="Times New Roman" w:hAnsi="Times New Roman" w:cs="Times New Roman"/>
          <w:i/>
          <w:iCs/>
          <w:sz w:val="24"/>
          <w:szCs w:val="24"/>
          <w:lang w:val="en-US"/>
        </w:rPr>
        <w:t>Neuroscience &amp; Biobehavioral Reviews, 90</w:t>
      </w:r>
      <w:r w:rsidRPr="00F071D7">
        <w:rPr>
          <w:rFonts w:ascii="Times New Roman" w:hAnsi="Times New Roman" w:cs="Times New Roman"/>
          <w:sz w:val="24"/>
          <w:szCs w:val="24"/>
          <w:lang w:val="en-US"/>
        </w:rPr>
        <w:t>, 184-199.</w:t>
      </w:r>
      <w:r w:rsidRPr="00F071D7">
        <w:rPr>
          <w:rFonts w:ascii="Times New Roman" w:hAnsi="Times New Roman" w:cs="Times New Roman"/>
          <w:sz w:val="24"/>
          <w:szCs w:val="24"/>
        </w:rPr>
        <w:t xml:space="preserve"> </w:t>
      </w:r>
      <w:hyperlink r:id="rId21" w:history="1">
        <w:r w:rsidRPr="00F071D7">
          <w:rPr>
            <w:rStyle w:val="Lienhypertexte"/>
            <w:rFonts w:ascii="Times New Roman" w:hAnsi="Times New Roman" w:cs="Times New Roman"/>
            <w:sz w:val="24"/>
            <w:szCs w:val="24"/>
            <w:lang w:val="en-US"/>
          </w:rPr>
          <w:t>https://doi.org/10.1016/j.neubiorev.2018.04.010</w:t>
        </w:r>
      </w:hyperlink>
    </w:p>
    <w:p w14:paraId="72592D5D" w14:textId="77777777" w:rsidR="002E6FC8" w:rsidRPr="00F071D7"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lang w:val="en-US"/>
        </w:rPr>
        <w:t xml:space="preserve">Uittenhove, K., Thevenot, C., &amp; Barrouillet, P. (2016). Fast automated counting procedures in addition problem solving: When are they used and why are they mistaken for retrieval?. </w:t>
      </w:r>
      <w:r w:rsidRPr="00F071D7">
        <w:rPr>
          <w:rFonts w:ascii="Times New Roman" w:hAnsi="Times New Roman" w:cs="Times New Roman"/>
          <w:i/>
          <w:iCs/>
          <w:sz w:val="24"/>
          <w:szCs w:val="24"/>
          <w:lang w:val="en-US"/>
        </w:rPr>
        <w:t>Cognition, 146</w:t>
      </w:r>
      <w:r w:rsidRPr="00F071D7">
        <w:rPr>
          <w:rFonts w:ascii="Times New Roman" w:hAnsi="Times New Roman" w:cs="Times New Roman"/>
          <w:sz w:val="24"/>
          <w:szCs w:val="24"/>
          <w:lang w:val="en-US"/>
        </w:rPr>
        <w:t>, 289-303.</w:t>
      </w:r>
      <w:r w:rsidRPr="00F071D7">
        <w:t xml:space="preserve"> </w:t>
      </w:r>
      <w:r w:rsidRPr="00F071D7">
        <w:rPr>
          <w:rFonts w:ascii="Times New Roman" w:hAnsi="Times New Roman" w:cs="Times New Roman"/>
          <w:sz w:val="24"/>
          <w:szCs w:val="24"/>
          <w:lang w:val="en-US"/>
        </w:rPr>
        <w:t>https://doi.org/10.1016/j.cognition.2015.10.008</w:t>
      </w:r>
    </w:p>
    <w:p w14:paraId="622E319C"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lang w:val="en-US"/>
        </w:rPr>
        <w:t xml:space="preserve">Wiemers, M., Bekkering, H., &amp; Lindemann, O. (2014). </w:t>
      </w:r>
      <w:r w:rsidRPr="00F071D7">
        <w:rPr>
          <w:rFonts w:ascii="Times New Roman" w:hAnsi="Times New Roman" w:cs="Times New Roman"/>
          <w:sz w:val="24"/>
          <w:szCs w:val="24"/>
        </w:rPr>
        <w:t xml:space="preserve">Spatial interferences in mental arithmetic: Evidence from the motion–arithmetic compatibility effect. </w:t>
      </w:r>
      <w:r w:rsidRPr="00F071D7">
        <w:rPr>
          <w:rFonts w:ascii="Times New Roman" w:hAnsi="Times New Roman" w:cs="Times New Roman"/>
          <w:i/>
          <w:sz w:val="24"/>
          <w:szCs w:val="24"/>
        </w:rPr>
        <w:t>The Quarterly Journal of Experimental Psychology, 67</w:t>
      </w:r>
      <w:r w:rsidRPr="00F071D7">
        <w:rPr>
          <w:rFonts w:ascii="Times New Roman" w:hAnsi="Times New Roman" w:cs="Times New Roman"/>
          <w:sz w:val="24"/>
          <w:szCs w:val="24"/>
        </w:rPr>
        <w:t>(8), 1557-1570. doi:10.1080/17470218.2014.889180</w:t>
      </w:r>
    </w:p>
    <w:p w14:paraId="21320C02" w14:textId="77777777" w:rsidR="002E6FC8" w:rsidRPr="00F071D7" w:rsidRDefault="002E6FC8" w:rsidP="002E6FC8">
      <w:pPr>
        <w:spacing w:line="480" w:lineRule="auto"/>
        <w:jc w:val="both"/>
        <w:rPr>
          <w:rFonts w:ascii="Times New Roman" w:hAnsi="Times New Roman" w:cs="Times New Roman"/>
          <w:sz w:val="24"/>
          <w:szCs w:val="24"/>
        </w:rPr>
      </w:pPr>
      <w:r w:rsidRPr="00F071D7">
        <w:rPr>
          <w:rFonts w:ascii="Times New Roman" w:hAnsi="Times New Roman" w:cs="Times New Roman"/>
          <w:sz w:val="24"/>
          <w:szCs w:val="24"/>
        </w:rPr>
        <w:t>Winter, B., Matlock, T., Shaki, S., &amp; Fischer, M. H. (2015). Mental number space in three</w:t>
      </w:r>
    </w:p>
    <w:p w14:paraId="18037681" w14:textId="77777777" w:rsidR="002E6FC8" w:rsidRPr="00CB1BA0" w:rsidRDefault="002E6FC8" w:rsidP="002E6FC8">
      <w:pPr>
        <w:spacing w:line="480" w:lineRule="auto"/>
        <w:jc w:val="both"/>
        <w:rPr>
          <w:rFonts w:ascii="Times New Roman" w:hAnsi="Times New Roman" w:cs="Times New Roman"/>
          <w:sz w:val="24"/>
          <w:szCs w:val="24"/>
          <w:lang w:val="en-US"/>
        </w:rPr>
      </w:pPr>
      <w:r w:rsidRPr="00F071D7">
        <w:rPr>
          <w:rFonts w:ascii="Times New Roman" w:hAnsi="Times New Roman" w:cs="Times New Roman"/>
          <w:sz w:val="24"/>
          <w:szCs w:val="24"/>
        </w:rPr>
        <w:t xml:space="preserve">dimensions. </w:t>
      </w:r>
      <w:r w:rsidRPr="00F071D7">
        <w:rPr>
          <w:rFonts w:ascii="Times New Roman" w:hAnsi="Times New Roman" w:cs="Times New Roman"/>
          <w:i/>
          <w:sz w:val="24"/>
          <w:szCs w:val="24"/>
        </w:rPr>
        <w:t>Neuroscience &amp; Biobehavioral Reviews, 57</w:t>
      </w:r>
      <w:r w:rsidRPr="00F071D7">
        <w:rPr>
          <w:rFonts w:ascii="Times New Roman" w:hAnsi="Times New Roman" w:cs="Times New Roman"/>
          <w:sz w:val="24"/>
          <w:szCs w:val="24"/>
        </w:rPr>
        <w:t xml:space="preserve">, 209–219. </w:t>
      </w:r>
      <w:hyperlink r:id="rId22" w:history="1">
        <w:r w:rsidRPr="00F071D7">
          <w:rPr>
            <w:rStyle w:val="Lienhypertexte"/>
            <w:rFonts w:ascii="Times New Roman" w:hAnsi="Times New Roman" w:cs="Times New Roman"/>
            <w:sz w:val="24"/>
            <w:szCs w:val="24"/>
            <w:lang w:val="en-US"/>
          </w:rPr>
          <w:t>https://doi.org/10.1016/j.neubiorev.2015.09.005</w:t>
        </w:r>
      </w:hyperlink>
    </w:p>
    <w:p w14:paraId="7EDE342E" w14:textId="77777777" w:rsidR="00DE0FC6" w:rsidRPr="00E71595" w:rsidRDefault="00DE0FC6" w:rsidP="002E6FC8">
      <w:pPr>
        <w:spacing w:line="480" w:lineRule="auto"/>
        <w:jc w:val="both"/>
        <w:rPr>
          <w:rFonts w:ascii="Times New Roman" w:hAnsi="Times New Roman" w:cs="Times New Roman"/>
          <w:sz w:val="24"/>
          <w:szCs w:val="24"/>
          <w:lang w:val="en-US"/>
        </w:rPr>
      </w:pPr>
    </w:p>
    <w:sectPr w:rsidR="00DE0FC6" w:rsidRPr="00E71595" w:rsidSect="00544F08">
      <w:footerReference w:type="even" r:id="rId23"/>
      <w:footerReference w:type="defaul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F6CE9" w14:textId="77777777" w:rsidR="00312D39" w:rsidRDefault="00312D39" w:rsidP="00544F08">
      <w:pPr>
        <w:spacing w:after="0" w:line="240" w:lineRule="auto"/>
      </w:pPr>
      <w:r>
        <w:separator/>
      </w:r>
    </w:p>
  </w:endnote>
  <w:endnote w:type="continuationSeparator" w:id="0">
    <w:p w14:paraId="2AA51C1E" w14:textId="77777777" w:rsidR="00312D39" w:rsidRDefault="00312D39" w:rsidP="00544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18897770"/>
      <w:docPartObj>
        <w:docPartGallery w:val="Page Numbers (Bottom of Page)"/>
        <w:docPartUnique/>
      </w:docPartObj>
    </w:sdtPr>
    <w:sdtContent>
      <w:p w14:paraId="689A8964" w14:textId="0B14713F" w:rsidR="00544F08" w:rsidRDefault="00544F08" w:rsidP="00973B5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F28CCE3" w14:textId="77777777" w:rsidR="00544F08" w:rsidRDefault="00544F08" w:rsidP="00544F0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57854705"/>
      <w:docPartObj>
        <w:docPartGallery w:val="Page Numbers (Bottom of Page)"/>
        <w:docPartUnique/>
      </w:docPartObj>
    </w:sdtPr>
    <w:sdtEndPr>
      <w:rPr>
        <w:rStyle w:val="Numrodepage"/>
        <w:rFonts w:ascii="Arial" w:hAnsi="Arial" w:cs="Arial"/>
        <w:sz w:val="20"/>
        <w:szCs w:val="20"/>
      </w:rPr>
    </w:sdtEndPr>
    <w:sdtContent>
      <w:p w14:paraId="4FCD7468" w14:textId="05B1FC15" w:rsidR="00544F08" w:rsidRPr="00544F08" w:rsidRDefault="00544F08" w:rsidP="00973B59">
        <w:pPr>
          <w:pStyle w:val="Pieddepage"/>
          <w:framePr w:wrap="none" w:vAnchor="text" w:hAnchor="margin" w:xAlign="right" w:y="1"/>
          <w:rPr>
            <w:rStyle w:val="Numrodepage"/>
            <w:rFonts w:ascii="Arial" w:hAnsi="Arial" w:cs="Arial"/>
            <w:sz w:val="20"/>
            <w:szCs w:val="20"/>
          </w:rPr>
        </w:pPr>
        <w:r>
          <w:rPr>
            <w:rStyle w:val="Numrodepage"/>
          </w:rPr>
          <w:fldChar w:fldCharType="begin"/>
        </w:r>
        <w:r>
          <w:rPr>
            <w:rStyle w:val="Numrodepage"/>
          </w:rPr>
          <w:instrText xml:space="preserve"> PAGE </w:instrText>
        </w:r>
        <w:r>
          <w:rPr>
            <w:rStyle w:val="Numrodepage"/>
          </w:rPr>
          <w:fldChar w:fldCharType="separate"/>
        </w:r>
        <w:r w:rsidR="00252B8E">
          <w:rPr>
            <w:rStyle w:val="Numrodepage"/>
            <w:noProof/>
          </w:rPr>
          <w:t>28</w:t>
        </w:r>
        <w:r>
          <w:rPr>
            <w:rStyle w:val="Numrodepage"/>
          </w:rPr>
          <w:fldChar w:fldCharType="end"/>
        </w:r>
      </w:p>
    </w:sdtContent>
  </w:sdt>
  <w:p w14:paraId="1C1E7869" w14:textId="77777777" w:rsidR="00544F08" w:rsidRPr="00544F08" w:rsidRDefault="00544F08" w:rsidP="00544F08">
    <w:pPr>
      <w:pStyle w:val="Pieddepage"/>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58BB7" w14:textId="77777777" w:rsidR="00312D39" w:rsidRDefault="00312D39" w:rsidP="00544F08">
      <w:pPr>
        <w:spacing w:after="0" w:line="240" w:lineRule="auto"/>
      </w:pPr>
      <w:r>
        <w:separator/>
      </w:r>
    </w:p>
  </w:footnote>
  <w:footnote w:type="continuationSeparator" w:id="0">
    <w:p w14:paraId="43C026B7" w14:textId="77777777" w:rsidR="00312D39" w:rsidRDefault="00312D39" w:rsidP="00544F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nl-BE" w:vendorID="64" w:dllVersion="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de-LU" w:vendorID="64" w:dllVersion="0" w:nlCheck="1" w:checkStyle="0"/>
  <w:activeWritingStyle w:appName="MSWord" w:lang="it-IT" w:vendorID="64" w:dllVersion="0" w:nlCheck="1" w:checkStyle="0"/>
  <w:activeWritingStyle w:appName="MSWord" w:lang="de-DE" w:vendorID="64" w:dllVersion="0" w:nlCheck="1" w:checkStyle="0"/>
  <w:activeWritingStyle w:appName="MSWord" w:lang="nl-NL"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BA"/>
    <w:rsid w:val="0000087F"/>
    <w:rsid w:val="00001038"/>
    <w:rsid w:val="00001745"/>
    <w:rsid w:val="00006770"/>
    <w:rsid w:val="00007E5E"/>
    <w:rsid w:val="00014F79"/>
    <w:rsid w:val="0001571B"/>
    <w:rsid w:val="00016E42"/>
    <w:rsid w:val="0002021F"/>
    <w:rsid w:val="000211EA"/>
    <w:rsid w:val="000216DD"/>
    <w:rsid w:val="0002239A"/>
    <w:rsid w:val="000225EE"/>
    <w:rsid w:val="000227EB"/>
    <w:rsid w:val="00024CEF"/>
    <w:rsid w:val="00025D56"/>
    <w:rsid w:val="00026AF0"/>
    <w:rsid w:val="00026C07"/>
    <w:rsid w:val="00031987"/>
    <w:rsid w:val="00032023"/>
    <w:rsid w:val="00032880"/>
    <w:rsid w:val="00032CE0"/>
    <w:rsid w:val="000336C9"/>
    <w:rsid w:val="00034C6B"/>
    <w:rsid w:val="00034D58"/>
    <w:rsid w:val="000351EC"/>
    <w:rsid w:val="000354BF"/>
    <w:rsid w:val="0003733D"/>
    <w:rsid w:val="000401FC"/>
    <w:rsid w:val="000404B2"/>
    <w:rsid w:val="000414E2"/>
    <w:rsid w:val="00044F77"/>
    <w:rsid w:val="00045C18"/>
    <w:rsid w:val="00045F20"/>
    <w:rsid w:val="0004644E"/>
    <w:rsid w:val="00047011"/>
    <w:rsid w:val="00051E77"/>
    <w:rsid w:val="000526E0"/>
    <w:rsid w:val="000534EB"/>
    <w:rsid w:val="00057AE8"/>
    <w:rsid w:val="000600C3"/>
    <w:rsid w:val="00061DE3"/>
    <w:rsid w:val="000626EA"/>
    <w:rsid w:val="00065946"/>
    <w:rsid w:val="00065A15"/>
    <w:rsid w:val="000662A3"/>
    <w:rsid w:val="000663D4"/>
    <w:rsid w:val="00067D4D"/>
    <w:rsid w:val="00072115"/>
    <w:rsid w:val="00072C91"/>
    <w:rsid w:val="000739E0"/>
    <w:rsid w:val="0007462D"/>
    <w:rsid w:val="0007552B"/>
    <w:rsid w:val="00077BDF"/>
    <w:rsid w:val="0008015D"/>
    <w:rsid w:val="000803E2"/>
    <w:rsid w:val="00080ECF"/>
    <w:rsid w:val="00081CB1"/>
    <w:rsid w:val="00083276"/>
    <w:rsid w:val="000859DB"/>
    <w:rsid w:val="000872BE"/>
    <w:rsid w:val="000873CF"/>
    <w:rsid w:val="000928BD"/>
    <w:rsid w:val="00093D71"/>
    <w:rsid w:val="0009545E"/>
    <w:rsid w:val="00096DC4"/>
    <w:rsid w:val="00097463"/>
    <w:rsid w:val="000979A0"/>
    <w:rsid w:val="000979BD"/>
    <w:rsid w:val="000A0192"/>
    <w:rsid w:val="000A07E1"/>
    <w:rsid w:val="000A1349"/>
    <w:rsid w:val="000A2432"/>
    <w:rsid w:val="000A25F2"/>
    <w:rsid w:val="000A3E0E"/>
    <w:rsid w:val="000A6EA0"/>
    <w:rsid w:val="000B080B"/>
    <w:rsid w:val="000B1384"/>
    <w:rsid w:val="000B1CC3"/>
    <w:rsid w:val="000B1FD3"/>
    <w:rsid w:val="000B2C44"/>
    <w:rsid w:val="000B358A"/>
    <w:rsid w:val="000B5B26"/>
    <w:rsid w:val="000B6A35"/>
    <w:rsid w:val="000B7CD8"/>
    <w:rsid w:val="000C2155"/>
    <w:rsid w:val="000C2A3F"/>
    <w:rsid w:val="000C563F"/>
    <w:rsid w:val="000C5B34"/>
    <w:rsid w:val="000C5B54"/>
    <w:rsid w:val="000C6419"/>
    <w:rsid w:val="000D1242"/>
    <w:rsid w:val="000D1FE3"/>
    <w:rsid w:val="000D319E"/>
    <w:rsid w:val="000D36EC"/>
    <w:rsid w:val="000D72AB"/>
    <w:rsid w:val="000D7524"/>
    <w:rsid w:val="000D78E7"/>
    <w:rsid w:val="000E04F6"/>
    <w:rsid w:val="000E0892"/>
    <w:rsid w:val="000E3592"/>
    <w:rsid w:val="000E62A1"/>
    <w:rsid w:val="000E6939"/>
    <w:rsid w:val="000E6DAA"/>
    <w:rsid w:val="000F1077"/>
    <w:rsid w:val="000F15C2"/>
    <w:rsid w:val="000F17CB"/>
    <w:rsid w:val="000F209D"/>
    <w:rsid w:val="000F2D64"/>
    <w:rsid w:val="000F4E1B"/>
    <w:rsid w:val="000F5DF8"/>
    <w:rsid w:val="000F6680"/>
    <w:rsid w:val="000F7876"/>
    <w:rsid w:val="001002D0"/>
    <w:rsid w:val="00100336"/>
    <w:rsid w:val="00101E8F"/>
    <w:rsid w:val="00103C98"/>
    <w:rsid w:val="00103D25"/>
    <w:rsid w:val="00104534"/>
    <w:rsid w:val="00104674"/>
    <w:rsid w:val="0010622B"/>
    <w:rsid w:val="001074C1"/>
    <w:rsid w:val="0011144B"/>
    <w:rsid w:val="00113214"/>
    <w:rsid w:val="00115623"/>
    <w:rsid w:val="0011612C"/>
    <w:rsid w:val="00116241"/>
    <w:rsid w:val="00120FC4"/>
    <w:rsid w:val="00121300"/>
    <w:rsid w:val="001214FA"/>
    <w:rsid w:val="00121E7C"/>
    <w:rsid w:val="0012313E"/>
    <w:rsid w:val="00124A91"/>
    <w:rsid w:val="00124E78"/>
    <w:rsid w:val="001253C7"/>
    <w:rsid w:val="001257EF"/>
    <w:rsid w:val="00126B98"/>
    <w:rsid w:val="00126EA6"/>
    <w:rsid w:val="001325C2"/>
    <w:rsid w:val="001339C7"/>
    <w:rsid w:val="00133DB9"/>
    <w:rsid w:val="00133E6F"/>
    <w:rsid w:val="00134D79"/>
    <w:rsid w:val="00135A23"/>
    <w:rsid w:val="00135B75"/>
    <w:rsid w:val="00136067"/>
    <w:rsid w:val="00137EB0"/>
    <w:rsid w:val="0014145F"/>
    <w:rsid w:val="0014246C"/>
    <w:rsid w:val="001457C6"/>
    <w:rsid w:val="00146C4D"/>
    <w:rsid w:val="00146D4B"/>
    <w:rsid w:val="001475E8"/>
    <w:rsid w:val="00147C50"/>
    <w:rsid w:val="00150DC9"/>
    <w:rsid w:val="0015557D"/>
    <w:rsid w:val="001559CE"/>
    <w:rsid w:val="00160BBC"/>
    <w:rsid w:val="00160BDA"/>
    <w:rsid w:val="00161FC2"/>
    <w:rsid w:val="0016237D"/>
    <w:rsid w:val="0016281B"/>
    <w:rsid w:val="00163464"/>
    <w:rsid w:val="001649D0"/>
    <w:rsid w:val="00166534"/>
    <w:rsid w:val="00166F75"/>
    <w:rsid w:val="00171553"/>
    <w:rsid w:val="00172244"/>
    <w:rsid w:val="00173EE1"/>
    <w:rsid w:val="00175060"/>
    <w:rsid w:val="00176545"/>
    <w:rsid w:val="001769D7"/>
    <w:rsid w:val="00177973"/>
    <w:rsid w:val="00180281"/>
    <w:rsid w:val="00181153"/>
    <w:rsid w:val="001815B6"/>
    <w:rsid w:val="00183E21"/>
    <w:rsid w:val="001858DC"/>
    <w:rsid w:val="00187E91"/>
    <w:rsid w:val="00190619"/>
    <w:rsid w:val="00190767"/>
    <w:rsid w:val="00190ADF"/>
    <w:rsid w:val="00190BAD"/>
    <w:rsid w:val="00190E0C"/>
    <w:rsid w:val="0019197F"/>
    <w:rsid w:val="00191FD2"/>
    <w:rsid w:val="00193EDC"/>
    <w:rsid w:val="00194A15"/>
    <w:rsid w:val="00194EE8"/>
    <w:rsid w:val="00195539"/>
    <w:rsid w:val="001966C6"/>
    <w:rsid w:val="001976CE"/>
    <w:rsid w:val="001A0CFF"/>
    <w:rsid w:val="001A0DF9"/>
    <w:rsid w:val="001A44FA"/>
    <w:rsid w:val="001A56DE"/>
    <w:rsid w:val="001A69B7"/>
    <w:rsid w:val="001A70D9"/>
    <w:rsid w:val="001B28DF"/>
    <w:rsid w:val="001B2D49"/>
    <w:rsid w:val="001B36B3"/>
    <w:rsid w:val="001B4651"/>
    <w:rsid w:val="001B4F4A"/>
    <w:rsid w:val="001B533F"/>
    <w:rsid w:val="001B6020"/>
    <w:rsid w:val="001B615F"/>
    <w:rsid w:val="001C20ED"/>
    <w:rsid w:val="001C217A"/>
    <w:rsid w:val="001C26EF"/>
    <w:rsid w:val="001C59CC"/>
    <w:rsid w:val="001C6EC8"/>
    <w:rsid w:val="001C7195"/>
    <w:rsid w:val="001C78FC"/>
    <w:rsid w:val="001D01FC"/>
    <w:rsid w:val="001D21D8"/>
    <w:rsid w:val="001D24F3"/>
    <w:rsid w:val="001D3D6D"/>
    <w:rsid w:val="001D3E58"/>
    <w:rsid w:val="001D58E9"/>
    <w:rsid w:val="001E3683"/>
    <w:rsid w:val="001E49E6"/>
    <w:rsid w:val="001E4EDA"/>
    <w:rsid w:val="001E5154"/>
    <w:rsid w:val="001E535C"/>
    <w:rsid w:val="001E6773"/>
    <w:rsid w:val="001E6846"/>
    <w:rsid w:val="001E6F2C"/>
    <w:rsid w:val="001E78A7"/>
    <w:rsid w:val="001E78C8"/>
    <w:rsid w:val="001F0896"/>
    <w:rsid w:val="001F1728"/>
    <w:rsid w:val="001F1BC0"/>
    <w:rsid w:val="001F2028"/>
    <w:rsid w:val="001F2C97"/>
    <w:rsid w:val="001F3E38"/>
    <w:rsid w:val="001F5268"/>
    <w:rsid w:val="001F5CED"/>
    <w:rsid w:val="001F6002"/>
    <w:rsid w:val="001F66F4"/>
    <w:rsid w:val="00201B04"/>
    <w:rsid w:val="0020209B"/>
    <w:rsid w:val="002036DB"/>
    <w:rsid w:val="0020495D"/>
    <w:rsid w:val="002049D9"/>
    <w:rsid w:val="00204DED"/>
    <w:rsid w:val="00205506"/>
    <w:rsid w:val="00205DE0"/>
    <w:rsid w:val="00206A33"/>
    <w:rsid w:val="00206E06"/>
    <w:rsid w:val="002070CD"/>
    <w:rsid w:val="00210F32"/>
    <w:rsid w:val="0021521C"/>
    <w:rsid w:val="002159D2"/>
    <w:rsid w:val="002163CD"/>
    <w:rsid w:val="00217485"/>
    <w:rsid w:val="00217794"/>
    <w:rsid w:val="0022002F"/>
    <w:rsid w:val="0022090C"/>
    <w:rsid w:val="00220A4A"/>
    <w:rsid w:val="00220F25"/>
    <w:rsid w:val="002216D4"/>
    <w:rsid w:val="002217EB"/>
    <w:rsid w:val="002220A6"/>
    <w:rsid w:val="002220D3"/>
    <w:rsid w:val="00222B15"/>
    <w:rsid w:val="002234D7"/>
    <w:rsid w:val="00224637"/>
    <w:rsid w:val="00225561"/>
    <w:rsid w:val="0022585F"/>
    <w:rsid w:val="00225C73"/>
    <w:rsid w:val="002316FC"/>
    <w:rsid w:val="00231819"/>
    <w:rsid w:val="00231A70"/>
    <w:rsid w:val="0023265B"/>
    <w:rsid w:val="00233263"/>
    <w:rsid w:val="00233463"/>
    <w:rsid w:val="00234899"/>
    <w:rsid w:val="002360E3"/>
    <w:rsid w:val="00236334"/>
    <w:rsid w:val="00237724"/>
    <w:rsid w:val="00240E6F"/>
    <w:rsid w:val="00246EC7"/>
    <w:rsid w:val="002473FD"/>
    <w:rsid w:val="002476BA"/>
    <w:rsid w:val="00247CC2"/>
    <w:rsid w:val="00252082"/>
    <w:rsid w:val="0025259F"/>
    <w:rsid w:val="00252B8E"/>
    <w:rsid w:val="002532A9"/>
    <w:rsid w:val="00253704"/>
    <w:rsid w:val="002537B3"/>
    <w:rsid w:val="00253ED8"/>
    <w:rsid w:val="0025412E"/>
    <w:rsid w:val="00254F11"/>
    <w:rsid w:val="00257651"/>
    <w:rsid w:val="00257817"/>
    <w:rsid w:val="00257A33"/>
    <w:rsid w:val="002609F8"/>
    <w:rsid w:val="00260BE6"/>
    <w:rsid w:val="00261522"/>
    <w:rsid w:val="00262BCE"/>
    <w:rsid w:val="00263F45"/>
    <w:rsid w:val="00266661"/>
    <w:rsid w:val="002668AE"/>
    <w:rsid w:val="002673EF"/>
    <w:rsid w:val="00267DEC"/>
    <w:rsid w:val="002717E9"/>
    <w:rsid w:val="0027223E"/>
    <w:rsid w:val="002725F5"/>
    <w:rsid w:val="0027325D"/>
    <w:rsid w:val="00274F8E"/>
    <w:rsid w:val="00275C9C"/>
    <w:rsid w:val="00283FDC"/>
    <w:rsid w:val="00284EB8"/>
    <w:rsid w:val="002853E4"/>
    <w:rsid w:val="0028617D"/>
    <w:rsid w:val="00286372"/>
    <w:rsid w:val="0028666D"/>
    <w:rsid w:val="00286942"/>
    <w:rsid w:val="002869A6"/>
    <w:rsid w:val="00286F43"/>
    <w:rsid w:val="002872FF"/>
    <w:rsid w:val="00290D6A"/>
    <w:rsid w:val="002910A5"/>
    <w:rsid w:val="00292C47"/>
    <w:rsid w:val="002936DD"/>
    <w:rsid w:val="00293734"/>
    <w:rsid w:val="00293AF5"/>
    <w:rsid w:val="00293CE9"/>
    <w:rsid w:val="00294090"/>
    <w:rsid w:val="002962A7"/>
    <w:rsid w:val="00296B78"/>
    <w:rsid w:val="00296D5D"/>
    <w:rsid w:val="00297BE4"/>
    <w:rsid w:val="00297C58"/>
    <w:rsid w:val="002A02F6"/>
    <w:rsid w:val="002A0AB9"/>
    <w:rsid w:val="002A314E"/>
    <w:rsid w:val="002A32A2"/>
    <w:rsid w:val="002A3363"/>
    <w:rsid w:val="002A4ECF"/>
    <w:rsid w:val="002A57F9"/>
    <w:rsid w:val="002A624B"/>
    <w:rsid w:val="002A798E"/>
    <w:rsid w:val="002B2D2C"/>
    <w:rsid w:val="002B47E3"/>
    <w:rsid w:val="002B5C4E"/>
    <w:rsid w:val="002B649C"/>
    <w:rsid w:val="002B747D"/>
    <w:rsid w:val="002C086C"/>
    <w:rsid w:val="002C0BCF"/>
    <w:rsid w:val="002C11E2"/>
    <w:rsid w:val="002C155A"/>
    <w:rsid w:val="002C26E8"/>
    <w:rsid w:val="002C5A7C"/>
    <w:rsid w:val="002C5B12"/>
    <w:rsid w:val="002C6306"/>
    <w:rsid w:val="002C6586"/>
    <w:rsid w:val="002C67F2"/>
    <w:rsid w:val="002C6E4B"/>
    <w:rsid w:val="002C7812"/>
    <w:rsid w:val="002D041F"/>
    <w:rsid w:val="002D1871"/>
    <w:rsid w:val="002D3CF8"/>
    <w:rsid w:val="002D43F9"/>
    <w:rsid w:val="002D4F19"/>
    <w:rsid w:val="002D69D2"/>
    <w:rsid w:val="002D7582"/>
    <w:rsid w:val="002D7660"/>
    <w:rsid w:val="002D76D1"/>
    <w:rsid w:val="002D77AD"/>
    <w:rsid w:val="002E2D76"/>
    <w:rsid w:val="002E2EAE"/>
    <w:rsid w:val="002E4767"/>
    <w:rsid w:val="002E5698"/>
    <w:rsid w:val="002E5AE2"/>
    <w:rsid w:val="002E5EE8"/>
    <w:rsid w:val="002E6549"/>
    <w:rsid w:val="002E6F28"/>
    <w:rsid w:val="002E6FC8"/>
    <w:rsid w:val="002F0D09"/>
    <w:rsid w:val="002F115B"/>
    <w:rsid w:val="002F16FB"/>
    <w:rsid w:val="002F1B70"/>
    <w:rsid w:val="002F20C2"/>
    <w:rsid w:val="002F268C"/>
    <w:rsid w:val="002F2790"/>
    <w:rsid w:val="002F2848"/>
    <w:rsid w:val="002F4C77"/>
    <w:rsid w:val="002F5DCB"/>
    <w:rsid w:val="002F5E73"/>
    <w:rsid w:val="003012AA"/>
    <w:rsid w:val="0030230C"/>
    <w:rsid w:val="003058E7"/>
    <w:rsid w:val="00305B34"/>
    <w:rsid w:val="00306AB6"/>
    <w:rsid w:val="00306BC4"/>
    <w:rsid w:val="00307C92"/>
    <w:rsid w:val="003101A1"/>
    <w:rsid w:val="0031251C"/>
    <w:rsid w:val="00312909"/>
    <w:rsid w:val="00312D39"/>
    <w:rsid w:val="0031352F"/>
    <w:rsid w:val="003136EE"/>
    <w:rsid w:val="0031655D"/>
    <w:rsid w:val="003209D6"/>
    <w:rsid w:val="00321AEF"/>
    <w:rsid w:val="003225B8"/>
    <w:rsid w:val="00322DE3"/>
    <w:rsid w:val="00322E0B"/>
    <w:rsid w:val="00323AF2"/>
    <w:rsid w:val="00324132"/>
    <w:rsid w:val="003245F6"/>
    <w:rsid w:val="003251A9"/>
    <w:rsid w:val="0032628E"/>
    <w:rsid w:val="003266F5"/>
    <w:rsid w:val="00326C20"/>
    <w:rsid w:val="00327BEB"/>
    <w:rsid w:val="003316B4"/>
    <w:rsid w:val="00331A7E"/>
    <w:rsid w:val="00333588"/>
    <w:rsid w:val="00334200"/>
    <w:rsid w:val="00334D82"/>
    <w:rsid w:val="00335BD3"/>
    <w:rsid w:val="00337FC3"/>
    <w:rsid w:val="00341C28"/>
    <w:rsid w:val="003423E3"/>
    <w:rsid w:val="00342C1E"/>
    <w:rsid w:val="00343EA1"/>
    <w:rsid w:val="0034494A"/>
    <w:rsid w:val="0034580C"/>
    <w:rsid w:val="00346119"/>
    <w:rsid w:val="00346255"/>
    <w:rsid w:val="00347533"/>
    <w:rsid w:val="00352251"/>
    <w:rsid w:val="0035233C"/>
    <w:rsid w:val="003573C4"/>
    <w:rsid w:val="003602D9"/>
    <w:rsid w:val="00360547"/>
    <w:rsid w:val="0036172D"/>
    <w:rsid w:val="003627F8"/>
    <w:rsid w:val="003639B0"/>
    <w:rsid w:val="00364161"/>
    <w:rsid w:val="00364502"/>
    <w:rsid w:val="00364ADD"/>
    <w:rsid w:val="0037104F"/>
    <w:rsid w:val="00371723"/>
    <w:rsid w:val="0037203F"/>
    <w:rsid w:val="00372820"/>
    <w:rsid w:val="00374FCF"/>
    <w:rsid w:val="00375B8C"/>
    <w:rsid w:val="0037624C"/>
    <w:rsid w:val="00377287"/>
    <w:rsid w:val="00380C8F"/>
    <w:rsid w:val="00380E54"/>
    <w:rsid w:val="0038155B"/>
    <w:rsid w:val="00386E23"/>
    <w:rsid w:val="00387A00"/>
    <w:rsid w:val="0039001D"/>
    <w:rsid w:val="00390CB1"/>
    <w:rsid w:val="00391FC6"/>
    <w:rsid w:val="00392835"/>
    <w:rsid w:val="00392E90"/>
    <w:rsid w:val="0039547E"/>
    <w:rsid w:val="00395BB3"/>
    <w:rsid w:val="003961C4"/>
    <w:rsid w:val="003969A2"/>
    <w:rsid w:val="00396A83"/>
    <w:rsid w:val="00397711"/>
    <w:rsid w:val="003A00F9"/>
    <w:rsid w:val="003A079D"/>
    <w:rsid w:val="003A1B09"/>
    <w:rsid w:val="003A330C"/>
    <w:rsid w:val="003A3B8B"/>
    <w:rsid w:val="003A4B3A"/>
    <w:rsid w:val="003A4BE0"/>
    <w:rsid w:val="003A5BB5"/>
    <w:rsid w:val="003A5C3D"/>
    <w:rsid w:val="003A6BA9"/>
    <w:rsid w:val="003B0306"/>
    <w:rsid w:val="003B0BC5"/>
    <w:rsid w:val="003B1B2E"/>
    <w:rsid w:val="003B5486"/>
    <w:rsid w:val="003B5684"/>
    <w:rsid w:val="003C0250"/>
    <w:rsid w:val="003C141F"/>
    <w:rsid w:val="003C3044"/>
    <w:rsid w:val="003C3AAC"/>
    <w:rsid w:val="003C3E03"/>
    <w:rsid w:val="003C51F3"/>
    <w:rsid w:val="003C5AB4"/>
    <w:rsid w:val="003C6171"/>
    <w:rsid w:val="003C67BC"/>
    <w:rsid w:val="003C7B36"/>
    <w:rsid w:val="003D0CF6"/>
    <w:rsid w:val="003D0EF6"/>
    <w:rsid w:val="003D1301"/>
    <w:rsid w:val="003D150C"/>
    <w:rsid w:val="003D1826"/>
    <w:rsid w:val="003D1E16"/>
    <w:rsid w:val="003D21D1"/>
    <w:rsid w:val="003D2B02"/>
    <w:rsid w:val="003D2F07"/>
    <w:rsid w:val="003D30E3"/>
    <w:rsid w:val="003D52C1"/>
    <w:rsid w:val="003D738A"/>
    <w:rsid w:val="003E05C4"/>
    <w:rsid w:val="003E2677"/>
    <w:rsid w:val="003E4291"/>
    <w:rsid w:val="003E4B97"/>
    <w:rsid w:val="003E5FAF"/>
    <w:rsid w:val="003E614D"/>
    <w:rsid w:val="003E6431"/>
    <w:rsid w:val="003E6456"/>
    <w:rsid w:val="003F05A1"/>
    <w:rsid w:val="003F09DB"/>
    <w:rsid w:val="003F1C96"/>
    <w:rsid w:val="003F20CF"/>
    <w:rsid w:val="003F38DD"/>
    <w:rsid w:val="003F43AF"/>
    <w:rsid w:val="003F48C4"/>
    <w:rsid w:val="003F4B7B"/>
    <w:rsid w:val="003F4C5C"/>
    <w:rsid w:val="003F557F"/>
    <w:rsid w:val="003F65EB"/>
    <w:rsid w:val="003F7B95"/>
    <w:rsid w:val="0040081C"/>
    <w:rsid w:val="00402967"/>
    <w:rsid w:val="00402F15"/>
    <w:rsid w:val="0040376C"/>
    <w:rsid w:val="00403BE5"/>
    <w:rsid w:val="004062DA"/>
    <w:rsid w:val="004109FD"/>
    <w:rsid w:val="00410DA4"/>
    <w:rsid w:val="00412E96"/>
    <w:rsid w:val="00413999"/>
    <w:rsid w:val="004140CE"/>
    <w:rsid w:val="004159BA"/>
    <w:rsid w:val="00416503"/>
    <w:rsid w:val="00416B6F"/>
    <w:rsid w:val="004177DD"/>
    <w:rsid w:val="004219D2"/>
    <w:rsid w:val="00421F54"/>
    <w:rsid w:val="00424368"/>
    <w:rsid w:val="004245F9"/>
    <w:rsid w:val="004247C1"/>
    <w:rsid w:val="004273F1"/>
    <w:rsid w:val="0042761E"/>
    <w:rsid w:val="0043286B"/>
    <w:rsid w:val="00432C68"/>
    <w:rsid w:val="00432E64"/>
    <w:rsid w:val="00432F47"/>
    <w:rsid w:val="00434ED4"/>
    <w:rsid w:val="0043587B"/>
    <w:rsid w:val="0043590A"/>
    <w:rsid w:val="004369FD"/>
    <w:rsid w:val="004370AC"/>
    <w:rsid w:val="00437474"/>
    <w:rsid w:val="0044148B"/>
    <w:rsid w:val="00441542"/>
    <w:rsid w:val="004418C8"/>
    <w:rsid w:val="00443437"/>
    <w:rsid w:val="0044345A"/>
    <w:rsid w:val="0044373A"/>
    <w:rsid w:val="00444369"/>
    <w:rsid w:val="00444749"/>
    <w:rsid w:val="00445659"/>
    <w:rsid w:val="00445C6C"/>
    <w:rsid w:val="00445D8B"/>
    <w:rsid w:val="00447521"/>
    <w:rsid w:val="00450786"/>
    <w:rsid w:val="00450DAE"/>
    <w:rsid w:val="00450E2A"/>
    <w:rsid w:val="00452CA6"/>
    <w:rsid w:val="00453B20"/>
    <w:rsid w:val="00460328"/>
    <w:rsid w:val="00460A23"/>
    <w:rsid w:val="0046229D"/>
    <w:rsid w:val="00462AE0"/>
    <w:rsid w:val="0046302B"/>
    <w:rsid w:val="004647E7"/>
    <w:rsid w:val="004667DD"/>
    <w:rsid w:val="0046692B"/>
    <w:rsid w:val="00467950"/>
    <w:rsid w:val="00470406"/>
    <w:rsid w:val="00471218"/>
    <w:rsid w:val="004717C6"/>
    <w:rsid w:val="00472679"/>
    <w:rsid w:val="004728BA"/>
    <w:rsid w:val="00473564"/>
    <w:rsid w:val="004744F9"/>
    <w:rsid w:val="0047453B"/>
    <w:rsid w:val="00474651"/>
    <w:rsid w:val="00474931"/>
    <w:rsid w:val="00474946"/>
    <w:rsid w:val="00475457"/>
    <w:rsid w:val="0047554B"/>
    <w:rsid w:val="00480214"/>
    <w:rsid w:val="00480A3A"/>
    <w:rsid w:val="004818C1"/>
    <w:rsid w:val="0048314C"/>
    <w:rsid w:val="00483769"/>
    <w:rsid w:val="00483CAD"/>
    <w:rsid w:val="00483F50"/>
    <w:rsid w:val="00484D04"/>
    <w:rsid w:val="004853A7"/>
    <w:rsid w:val="00486536"/>
    <w:rsid w:val="00490037"/>
    <w:rsid w:val="00491E07"/>
    <w:rsid w:val="004929F7"/>
    <w:rsid w:val="0049647B"/>
    <w:rsid w:val="00496944"/>
    <w:rsid w:val="0049703B"/>
    <w:rsid w:val="00497572"/>
    <w:rsid w:val="00497C99"/>
    <w:rsid w:val="004A0166"/>
    <w:rsid w:val="004A164B"/>
    <w:rsid w:val="004A369B"/>
    <w:rsid w:val="004A3E62"/>
    <w:rsid w:val="004A410C"/>
    <w:rsid w:val="004A47F7"/>
    <w:rsid w:val="004A4CD7"/>
    <w:rsid w:val="004A4DBD"/>
    <w:rsid w:val="004A60C0"/>
    <w:rsid w:val="004A6A3C"/>
    <w:rsid w:val="004A6DA2"/>
    <w:rsid w:val="004A750F"/>
    <w:rsid w:val="004A7884"/>
    <w:rsid w:val="004A7B66"/>
    <w:rsid w:val="004B0386"/>
    <w:rsid w:val="004B1242"/>
    <w:rsid w:val="004B2887"/>
    <w:rsid w:val="004B3784"/>
    <w:rsid w:val="004B3D86"/>
    <w:rsid w:val="004B7CA7"/>
    <w:rsid w:val="004C060E"/>
    <w:rsid w:val="004C0D64"/>
    <w:rsid w:val="004C0DD3"/>
    <w:rsid w:val="004C1A24"/>
    <w:rsid w:val="004C1FC9"/>
    <w:rsid w:val="004C20CB"/>
    <w:rsid w:val="004C2EFA"/>
    <w:rsid w:val="004C620D"/>
    <w:rsid w:val="004C70E4"/>
    <w:rsid w:val="004D0B96"/>
    <w:rsid w:val="004D1397"/>
    <w:rsid w:val="004D146F"/>
    <w:rsid w:val="004D1DAC"/>
    <w:rsid w:val="004D3D6A"/>
    <w:rsid w:val="004D441C"/>
    <w:rsid w:val="004D560D"/>
    <w:rsid w:val="004D5AB8"/>
    <w:rsid w:val="004E130A"/>
    <w:rsid w:val="004E13B9"/>
    <w:rsid w:val="004E22CA"/>
    <w:rsid w:val="004E407E"/>
    <w:rsid w:val="004E4EE4"/>
    <w:rsid w:val="004E589D"/>
    <w:rsid w:val="004E6200"/>
    <w:rsid w:val="004E6610"/>
    <w:rsid w:val="004E6922"/>
    <w:rsid w:val="004E7A1A"/>
    <w:rsid w:val="004E7B6E"/>
    <w:rsid w:val="004F0D52"/>
    <w:rsid w:val="004F19D3"/>
    <w:rsid w:val="004F2528"/>
    <w:rsid w:val="004F2A25"/>
    <w:rsid w:val="004F2CA7"/>
    <w:rsid w:val="004F4F1E"/>
    <w:rsid w:val="004F5A14"/>
    <w:rsid w:val="00500321"/>
    <w:rsid w:val="005011D1"/>
    <w:rsid w:val="00501F8C"/>
    <w:rsid w:val="005028E2"/>
    <w:rsid w:val="00502FA8"/>
    <w:rsid w:val="00504196"/>
    <w:rsid w:val="00504ABD"/>
    <w:rsid w:val="00504F1E"/>
    <w:rsid w:val="00507314"/>
    <w:rsid w:val="00507CCE"/>
    <w:rsid w:val="00511931"/>
    <w:rsid w:val="00511D49"/>
    <w:rsid w:val="0051209D"/>
    <w:rsid w:val="00513693"/>
    <w:rsid w:val="00516639"/>
    <w:rsid w:val="0051663F"/>
    <w:rsid w:val="00516C10"/>
    <w:rsid w:val="00516D3D"/>
    <w:rsid w:val="00521D86"/>
    <w:rsid w:val="00523862"/>
    <w:rsid w:val="00523916"/>
    <w:rsid w:val="00524FC6"/>
    <w:rsid w:val="0052503D"/>
    <w:rsid w:val="005260A6"/>
    <w:rsid w:val="00526DCE"/>
    <w:rsid w:val="005306FC"/>
    <w:rsid w:val="00530777"/>
    <w:rsid w:val="005313B2"/>
    <w:rsid w:val="005316A3"/>
    <w:rsid w:val="0053179F"/>
    <w:rsid w:val="00533BF8"/>
    <w:rsid w:val="00534E1B"/>
    <w:rsid w:val="00537043"/>
    <w:rsid w:val="00537BAC"/>
    <w:rsid w:val="00540226"/>
    <w:rsid w:val="005409C1"/>
    <w:rsid w:val="00542E1B"/>
    <w:rsid w:val="0054438F"/>
    <w:rsid w:val="00544BE4"/>
    <w:rsid w:val="00544E6A"/>
    <w:rsid w:val="00544F08"/>
    <w:rsid w:val="0054613C"/>
    <w:rsid w:val="00546535"/>
    <w:rsid w:val="00550A4B"/>
    <w:rsid w:val="0055445E"/>
    <w:rsid w:val="00555A3B"/>
    <w:rsid w:val="0055762F"/>
    <w:rsid w:val="0056029F"/>
    <w:rsid w:val="005640CA"/>
    <w:rsid w:val="0056428B"/>
    <w:rsid w:val="00564ED9"/>
    <w:rsid w:val="00566FFD"/>
    <w:rsid w:val="0057112E"/>
    <w:rsid w:val="00572D45"/>
    <w:rsid w:val="00573BEA"/>
    <w:rsid w:val="00575C2F"/>
    <w:rsid w:val="005769C8"/>
    <w:rsid w:val="00576DE6"/>
    <w:rsid w:val="00577027"/>
    <w:rsid w:val="0057713F"/>
    <w:rsid w:val="00577491"/>
    <w:rsid w:val="0057779E"/>
    <w:rsid w:val="00577ED7"/>
    <w:rsid w:val="00577FD7"/>
    <w:rsid w:val="00581EE3"/>
    <w:rsid w:val="0058263B"/>
    <w:rsid w:val="005835F6"/>
    <w:rsid w:val="00583B8A"/>
    <w:rsid w:val="0058448E"/>
    <w:rsid w:val="0058459D"/>
    <w:rsid w:val="00585A68"/>
    <w:rsid w:val="00585DCC"/>
    <w:rsid w:val="005861BC"/>
    <w:rsid w:val="005863A7"/>
    <w:rsid w:val="005904FB"/>
    <w:rsid w:val="00591C77"/>
    <w:rsid w:val="00592185"/>
    <w:rsid w:val="005929D6"/>
    <w:rsid w:val="00592FEE"/>
    <w:rsid w:val="00596CBA"/>
    <w:rsid w:val="00596F1F"/>
    <w:rsid w:val="00597155"/>
    <w:rsid w:val="005A147A"/>
    <w:rsid w:val="005A1676"/>
    <w:rsid w:val="005A24FC"/>
    <w:rsid w:val="005A375F"/>
    <w:rsid w:val="005A4C7D"/>
    <w:rsid w:val="005A4D30"/>
    <w:rsid w:val="005A5A37"/>
    <w:rsid w:val="005A6C06"/>
    <w:rsid w:val="005B1679"/>
    <w:rsid w:val="005B23EB"/>
    <w:rsid w:val="005B4183"/>
    <w:rsid w:val="005B5718"/>
    <w:rsid w:val="005B57EF"/>
    <w:rsid w:val="005B58B1"/>
    <w:rsid w:val="005B75E4"/>
    <w:rsid w:val="005B7656"/>
    <w:rsid w:val="005B7D62"/>
    <w:rsid w:val="005C1DD8"/>
    <w:rsid w:val="005C2738"/>
    <w:rsid w:val="005C2CBD"/>
    <w:rsid w:val="005C3BF6"/>
    <w:rsid w:val="005C444E"/>
    <w:rsid w:val="005C4539"/>
    <w:rsid w:val="005C555A"/>
    <w:rsid w:val="005C5A42"/>
    <w:rsid w:val="005C70E9"/>
    <w:rsid w:val="005C7C6D"/>
    <w:rsid w:val="005D1431"/>
    <w:rsid w:val="005D24BF"/>
    <w:rsid w:val="005D3448"/>
    <w:rsid w:val="005D3514"/>
    <w:rsid w:val="005D36B1"/>
    <w:rsid w:val="005D3E25"/>
    <w:rsid w:val="005D3F46"/>
    <w:rsid w:val="005D4340"/>
    <w:rsid w:val="005D4B77"/>
    <w:rsid w:val="005D4CEC"/>
    <w:rsid w:val="005D5289"/>
    <w:rsid w:val="005D6664"/>
    <w:rsid w:val="005D67E0"/>
    <w:rsid w:val="005E0399"/>
    <w:rsid w:val="005E0638"/>
    <w:rsid w:val="005E3042"/>
    <w:rsid w:val="005E32F4"/>
    <w:rsid w:val="005E3838"/>
    <w:rsid w:val="005E38D2"/>
    <w:rsid w:val="005E3B5F"/>
    <w:rsid w:val="005E43BC"/>
    <w:rsid w:val="005E5B2A"/>
    <w:rsid w:val="005E6271"/>
    <w:rsid w:val="005E62AE"/>
    <w:rsid w:val="005E6A9D"/>
    <w:rsid w:val="005E7844"/>
    <w:rsid w:val="005E792D"/>
    <w:rsid w:val="005E7C6A"/>
    <w:rsid w:val="005F0033"/>
    <w:rsid w:val="005F1524"/>
    <w:rsid w:val="005F1715"/>
    <w:rsid w:val="005F1D2F"/>
    <w:rsid w:val="005F2261"/>
    <w:rsid w:val="005F3D37"/>
    <w:rsid w:val="005F3F09"/>
    <w:rsid w:val="005F42F6"/>
    <w:rsid w:val="005F5184"/>
    <w:rsid w:val="005F5B75"/>
    <w:rsid w:val="005F6DA4"/>
    <w:rsid w:val="005F782F"/>
    <w:rsid w:val="00601299"/>
    <w:rsid w:val="006021A7"/>
    <w:rsid w:val="00602DD5"/>
    <w:rsid w:val="0060431F"/>
    <w:rsid w:val="006049A6"/>
    <w:rsid w:val="00605CCF"/>
    <w:rsid w:val="00606393"/>
    <w:rsid w:val="00606A5E"/>
    <w:rsid w:val="0060764A"/>
    <w:rsid w:val="00607C33"/>
    <w:rsid w:val="0061254C"/>
    <w:rsid w:val="006135DB"/>
    <w:rsid w:val="00614364"/>
    <w:rsid w:val="00614F4C"/>
    <w:rsid w:val="0061511E"/>
    <w:rsid w:val="0061620E"/>
    <w:rsid w:val="00616735"/>
    <w:rsid w:val="00620929"/>
    <w:rsid w:val="0062151C"/>
    <w:rsid w:val="00621B16"/>
    <w:rsid w:val="00622AB3"/>
    <w:rsid w:val="00623FCC"/>
    <w:rsid w:val="00631DDB"/>
    <w:rsid w:val="00632B72"/>
    <w:rsid w:val="00637795"/>
    <w:rsid w:val="00640FCC"/>
    <w:rsid w:val="00641C09"/>
    <w:rsid w:val="00641D30"/>
    <w:rsid w:val="00643D51"/>
    <w:rsid w:val="00643E5C"/>
    <w:rsid w:val="0064627F"/>
    <w:rsid w:val="006462E4"/>
    <w:rsid w:val="00646865"/>
    <w:rsid w:val="006475FE"/>
    <w:rsid w:val="00647A8B"/>
    <w:rsid w:val="00651226"/>
    <w:rsid w:val="00652CF5"/>
    <w:rsid w:val="0065546F"/>
    <w:rsid w:val="006571B4"/>
    <w:rsid w:val="00657BB7"/>
    <w:rsid w:val="006610E8"/>
    <w:rsid w:val="0066138A"/>
    <w:rsid w:val="006615BD"/>
    <w:rsid w:val="00661E33"/>
    <w:rsid w:val="00663D23"/>
    <w:rsid w:val="00665ABB"/>
    <w:rsid w:val="00666139"/>
    <w:rsid w:val="00666229"/>
    <w:rsid w:val="006674BA"/>
    <w:rsid w:val="006677E1"/>
    <w:rsid w:val="006707A6"/>
    <w:rsid w:val="00670901"/>
    <w:rsid w:val="00673088"/>
    <w:rsid w:val="00673C0D"/>
    <w:rsid w:val="0067451A"/>
    <w:rsid w:val="00677032"/>
    <w:rsid w:val="0067753D"/>
    <w:rsid w:val="0068051B"/>
    <w:rsid w:val="00680926"/>
    <w:rsid w:val="00682E29"/>
    <w:rsid w:val="00685A47"/>
    <w:rsid w:val="00685C5D"/>
    <w:rsid w:val="00686EC7"/>
    <w:rsid w:val="00691247"/>
    <w:rsid w:val="00693827"/>
    <w:rsid w:val="00693D03"/>
    <w:rsid w:val="00694C90"/>
    <w:rsid w:val="006950A3"/>
    <w:rsid w:val="006960EE"/>
    <w:rsid w:val="006962CC"/>
    <w:rsid w:val="006967FF"/>
    <w:rsid w:val="006A1AC7"/>
    <w:rsid w:val="006A37A3"/>
    <w:rsid w:val="006A3E8C"/>
    <w:rsid w:val="006A4DD2"/>
    <w:rsid w:val="006A5394"/>
    <w:rsid w:val="006A60E1"/>
    <w:rsid w:val="006A7B06"/>
    <w:rsid w:val="006B0A5E"/>
    <w:rsid w:val="006B2B39"/>
    <w:rsid w:val="006B3861"/>
    <w:rsid w:val="006B4BEC"/>
    <w:rsid w:val="006B4E20"/>
    <w:rsid w:val="006B5D6A"/>
    <w:rsid w:val="006B6391"/>
    <w:rsid w:val="006C07AD"/>
    <w:rsid w:val="006C38BD"/>
    <w:rsid w:val="006C4617"/>
    <w:rsid w:val="006C6701"/>
    <w:rsid w:val="006C7424"/>
    <w:rsid w:val="006D3152"/>
    <w:rsid w:val="006D3D04"/>
    <w:rsid w:val="006D51BC"/>
    <w:rsid w:val="006D608F"/>
    <w:rsid w:val="006D61ED"/>
    <w:rsid w:val="006D6473"/>
    <w:rsid w:val="006D6D13"/>
    <w:rsid w:val="006D7FE7"/>
    <w:rsid w:val="006E0008"/>
    <w:rsid w:val="006E17C6"/>
    <w:rsid w:val="006E1C1B"/>
    <w:rsid w:val="006E3E88"/>
    <w:rsid w:val="006E3FA7"/>
    <w:rsid w:val="006E41FA"/>
    <w:rsid w:val="006E452D"/>
    <w:rsid w:val="006E4753"/>
    <w:rsid w:val="006E4D9E"/>
    <w:rsid w:val="006E54C2"/>
    <w:rsid w:val="006E5584"/>
    <w:rsid w:val="006E61E9"/>
    <w:rsid w:val="006E6FC4"/>
    <w:rsid w:val="006E70A3"/>
    <w:rsid w:val="006F0278"/>
    <w:rsid w:val="006F0A6F"/>
    <w:rsid w:val="006F1C99"/>
    <w:rsid w:val="006F1F18"/>
    <w:rsid w:val="006F40BB"/>
    <w:rsid w:val="006F5E7A"/>
    <w:rsid w:val="006F618C"/>
    <w:rsid w:val="006F69A0"/>
    <w:rsid w:val="006F6BEF"/>
    <w:rsid w:val="006F7199"/>
    <w:rsid w:val="007015CF"/>
    <w:rsid w:val="00703386"/>
    <w:rsid w:val="00703641"/>
    <w:rsid w:val="00705B9F"/>
    <w:rsid w:val="0070607B"/>
    <w:rsid w:val="0070705C"/>
    <w:rsid w:val="00707970"/>
    <w:rsid w:val="00710A90"/>
    <w:rsid w:val="00710FEE"/>
    <w:rsid w:val="00711089"/>
    <w:rsid w:val="00713561"/>
    <w:rsid w:val="00714ACA"/>
    <w:rsid w:val="00714EC1"/>
    <w:rsid w:val="007150C0"/>
    <w:rsid w:val="007152EB"/>
    <w:rsid w:val="00720484"/>
    <w:rsid w:val="0072054F"/>
    <w:rsid w:val="007215D3"/>
    <w:rsid w:val="00721AC8"/>
    <w:rsid w:val="00721F26"/>
    <w:rsid w:val="00722574"/>
    <w:rsid w:val="00724340"/>
    <w:rsid w:val="0072613A"/>
    <w:rsid w:val="007266C0"/>
    <w:rsid w:val="00727375"/>
    <w:rsid w:val="00730D88"/>
    <w:rsid w:val="007359BB"/>
    <w:rsid w:val="00735BE4"/>
    <w:rsid w:val="007369B2"/>
    <w:rsid w:val="00740526"/>
    <w:rsid w:val="0074099F"/>
    <w:rsid w:val="00741B12"/>
    <w:rsid w:val="00744ADC"/>
    <w:rsid w:val="00745F01"/>
    <w:rsid w:val="007479B7"/>
    <w:rsid w:val="00747F45"/>
    <w:rsid w:val="00750256"/>
    <w:rsid w:val="00753A38"/>
    <w:rsid w:val="00754D88"/>
    <w:rsid w:val="00754F9E"/>
    <w:rsid w:val="00755D26"/>
    <w:rsid w:val="007571FC"/>
    <w:rsid w:val="00757A7C"/>
    <w:rsid w:val="00760386"/>
    <w:rsid w:val="00760E23"/>
    <w:rsid w:val="007618D4"/>
    <w:rsid w:val="0076398E"/>
    <w:rsid w:val="00765887"/>
    <w:rsid w:val="00765F36"/>
    <w:rsid w:val="00767257"/>
    <w:rsid w:val="00770350"/>
    <w:rsid w:val="00770753"/>
    <w:rsid w:val="00770CF2"/>
    <w:rsid w:val="007740D7"/>
    <w:rsid w:val="00774857"/>
    <w:rsid w:val="00775A87"/>
    <w:rsid w:val="00776843"/>
    <w:rsid w:val="00777EE9"/>
    <w:rsid w:val="00777F3F"/>
    <w:rsid w:val="00780C67"/>
    <w:rsid w:val="00781CAE"/>
    <w:rsid w:val="00781DAE"/>
    <w:rsid w:val="007826E0"/>
    <w:rsid w:val="00787712"/>
    <w:rsid w:val="007902DA"/>
    <w:rsid w:val="00790A0C"/>
    <w:rsid w:val="007912E7"/>
    <w:rsid w:val="0079303B"/>
    <w:rsid w:val="0079524C"/>
    <w:rsid w:val="00796FFE"/>
    <w:rsid w:val="00797350"/>
    <w:rsid w:val="00797A15"/>
    <w:rsid w:val="00797EF4"/>
    <w:rsid w:val="007A14A6"/>
    <w:rsid w:val="007A2452"/>
    <w:rsid w:val="007A277E"/>
    <w:rsid w:val="007A48CA"/>
    <w:rsid w:val="007A5194"/>
    <w:rsid w:val="007A54BD"/>
    <w:rsid w:val="007A6082"/>
    <w:rsid w:val="007B035B"/>
    <w:rsid w:val="007B09FE"/>
    <w:rsid w:val="007B11D1"/>
    <w:rsid w:val="007B1C98"/>
    <w:rsid w:val="007B2024"/>
    <w:rsid w:val="007B5EF4"/>
    <w:rsid w:val="007B5F3F"/>
    <w:rsid w:val="007B77CA"/>
    <w:rsid w:val="007B7E8C"/>
    <w:rsid w:val="007C0153"/>
    <w:rsid w:val="007C0167"/>
    <w:rsid w:val="007C0D3F"/>
    <w:rsid w:val="007C14C4"/>
    <w:rsid w:val="007C24BA"/>
    <w:rsid w:val="007C308B"/>
    <w:rsid w:val="007C6868"/>
    <w:rsid w:val="007D0180"/>
    <w:rsid w:val="007D0A59"/>
    <w:rsid w:val="007D0D07"/>
    <w:rsid w:val="007D14A2"/>
    <w:rsid w:val="007D2100"/>
    <w:rsid w:val="007D29FC"/>
    <w:rsid w:val="007D41DC"/>
    <w:rsid w:val="007D492B"/>
    <w:rsid w:val="007D5AD5"/>
    <w:rsid w:val="007D5F8A"/>
    <w:rsid w:val="007D69D6"/>
    <w:rsid w:val="007D6F8A"/>
    <w:rsid w:val="007D7CDA"/>
    <w:rsid w:val="007E11B6"/>
    <w:rsid w:val="007E2AA7"/>
    <w:rsid w:val="007E2BF5"/>
    <w:rsid w:val="007E33C3"/>
    <w:rsid w:val="007E3B69"/>
    <w:rsid w:val="007E3FF2"/>
    <w:rsid w:val="007E4528"/>
    <w:rsid w:val="007E4FD8"/>
    <w:rsid w:val="007E5704"/>
    <w:rsid w:val="007E5910"/>
    <w:rsid w:val="007E63E9"/>
    <w:rsid w:val="007E7144"/>
    <w:rsid w:val="007F1A96"/>
    <w:rsid w:val="007F2191"/>
    <w:rsid w:val="007F3417"/>
    <w:rsid w:val="007F44A3"/>
    <w:rsid w:val="007F6EE5"/>
    <w:rsid w:val="007F7072"/>
    <w:rsid w:val="008003DE"/>
    <w:rsid w:val="00803236"/>
    <w:rsid w:val="00804B07"/>
    <w:rsid w:val="00807E06"/>
    <w:rsid w:val="00810365"/>
    <w:rsid w:val="008125BB"/>
    <w:rsid w:val="00812724"/>
    <w:rsid w:val="00812D35"/>
    <w:rsid w:val="008132DD"/>
    <w:rsid w:val="00813DE3"/>
    <w:rsid w:val="0081489D"/>
    <w:rsid w:val="00814ECB"/>
    <w:rsid w:val="00815DB4"/>
    <w:rsid w:val="008162A9"/>
    <w:rsid w:val="00820814"/>
    <w:rsid w:val="00822B56"/>
    <w:rsid w:val="008254B1"/>
    <w:rsid w:val="00826C95"/>
    <w:rsid w:val="008270A8"/>
    <w:rsid w:val="0082749D"/>
    <w:rsid w:val="008303B4"/>
    <w:rsid w:val="008314D1"/>
    <w:rsid w:val="008317FF"/>
    <w:rsid w:val="00831C44"/>
    <w:rsid w:val="008322B7"/>
    <w:rsid w:val="00833C54"/>
    <w:rsid w:val="00834688"/>
    <w:rsid w:val="00835680"/>
    <w:rsid w:val="008369C8"/>
    <w:rsid w:val="008374C6"/>
    <w:rsid w:val="008374E9"/>
    <w:rsid w:val="00837538"/>
    <w:rsid w:val="00841301"/>
    <w:rsid w:val="00845979"/>
    <w:rsid w:val="008459F9"/>
    <w:rsid w:val="00845B58"/>
    <w:rsid w:val="00846486"/>
    <w:rsid w:val="00847A50"/>
    <w:rsid w:val="00850B6A"/>
    <w:rsid w:val="00851B86"/>
    <w:rsid w:val="00851C8D"/>
    <w:rsid w:val="00851D87"/>
    <w:rsid w:val="00852179"/>
    <w:rsid w:val="00852386"/>
    <w:rsid w:val="00853B6E"/>
    <w:rsid w:val="008543DC"/>
    <w:rsid w:val="00854CAF"/>
    <w:rsid w:val="00855B86"/>
    <w:rsid w:val="00856370"/>
    <w:rsid w:val="00857138"/>
    <w:rsid w:val="00857223"/>
    <w:rsid w:val="0085745B"/>
    <w:rsid w:val="00862FE7"/>
    <w:rsid w:val="00863D6F"/>
    <w:rsid w:val="00865764"/>
    <w:rsid w:val="00866872"/>
    <w:rsid w:val="00866C6F"/>
    <w:rsid w:val="00870322"/>
    <w:rsid w:val="00870984"/>
    <w:rsid w:val="008710FE"/>
    <w:rsid w:val="00872032"/>
    <w:rsid w:val="00874A7E"/>
    <w:rsid w:val="00874FED"/>
    <w:rsid w:val="0087583B"/>
    <w:rsid w:val="008765D7"/>
    <w:rsid w:val="00876AA5"/>
    <w:rsid w:val="008809AB"/>
    <w:rsid w:val="00882BB4"/>
    <w:rsid w:val="00882FBF"/>
    <w:rsid w:val="00883CEC"/>
    <w:rsid w:val="00884A8F"/>
    <w:rsid w:val="00885D20"/>
    <w:rsid w:val="008862BA"/>
    <w:rsid w:val="0088712D"/>
    <w:rsid w:val="00892502"/>
    <w:rsid w:val="00894F15"/>
    <w:rsid w:val="00896131"/>
    <w:rsid w:val="00896B62"/>
    <w:rsid w:val="008A185A"/>
    <w:rsid w:val="008A18F8"/>
    <w:rsid w:val="008A3A3D"/>
    <w:rsid w:val="008A3BEC"/>
    <w:rsid w:val="008A6284"/>
    <w:rsid w:val="008A69CB"/>
    <w:rsid w:val="008B0560"/>
    <w:rsid w:val="008B1312"/>
    <w:rsid w:val="008B28FD"/>
    <w:rsid w:val="008B2ADA"/>
    <w:rsid w:val="008B3B87"/>
    <w:rsid w:val="008B3D87"/>
    <w:rsid w:val="008B3EA5"/>
    <w:rsid w:val="008B481D"/>
    <w:rsid w:val="008B4B7E"/>
    <w:rsid w:val="008B557E"/>
    <w:rsid w:val="008B5A62"/>
    <w:rsid w:val="008B5C41"/>
    <w:rsid w:val="008B633A"/>
    <w:rsid w:val="008B733D"/>
    <w:rsid w:val="008B7631"/>
    <w:rsid w:val="008B795D"/>
    <w:rsid w:val="008C1FB3"/>
    <w:rsid w:val="008C2E2F"/>
    <w:rsid w:val="008C60D8"/>
    <w:rsid w:val="008D08A4"/>
    <w:rsid w:val="008D10E4"/>
    <w:rsid w:val="008D1145"/>
    <w:rsid w:val="008D11D1"/>
    <w:rsid w:val="008D18C4"/>
    <w:rsid w:val="008D24D4"/>
    <w:rsid w:val="008D3B79"/>
    <w:rsid w:val="008D47B8"/>
    <w:rsid w:val="008D4F17"/>
    <w:rsid w:val="008D4F34"/>
    <w:rsid w:val="008D59E6"/>
    <w:rsid w:val="008D612A"/>
    <w:rsid w:val="008D6F6B"/>
    <w:rsid w:val="008D72FA"/>
    <w:rsid w:val="008D7726"/>
    <w:rsid w:val="008D7831"/>
    <w:rsid w:val="008E2194"/>
    <w:rsid w:val="008E47EF"/>
    <w:rsid w:val="008E529B"/>
    <w:rsid w:val="008E6440"/>
    <w:rsid w:val="008E6477"/>
    <w:rsid w:val="008E6494"/>
    <w:rsid w:val="008E7CBE"/>
    <w:rsid w:val="008F3323"/>
    <w:rsid w:val="008F45ED"/>
    <w:rsid w:val="008F71FA"/>
    <w:rsid w:val="008F7444"/>
    <w:rsid w:val="008F7817"/>
    <w:rsid w:val="008F7EE6"/>
    <w:rsid w:val="009015EE"/>
    <w:rsid w:val="00901BE9"/>
    <w:rsid w:val="00902913"/>
    <w:rsid w:val="009035DD"/>
    <w:rsid w:val="00903A30"/>
    <w:rsid w:val="00904BE9"/>
    <w:rsid w:val="0090582A"/>
    <w:rsid w:val="00905871"/>
    <w:rsid w:val="00905D1D"/>
    <w:rsid w:val="00905EEE"/>
    <w:rsid w:val="00906A34"/>
    <w:rsid w:val="00906F51"/>
    <w:rsid w:val="00907222"/>
    <w:rsid w:val="00907399"/>
    <w:rsid w:val="00907F18"/>
    <w:rsid w:val="009104F1"/>
    <w:rsid w:val="00915F91"/>
    <w:rsid w:val="009165C8"/>
    <w:rsid w:val="009176B3"/>
    <w:rsid w:val="0091772B"/>
    <w:rsid w:val="00924F78"/>
    <w:rsid w:val="009252FB"/>
    <w:rsid w:val="00925D9F"/>
    <w:rsid w:val="00926201"/>
    <w:rsid w:val="00926987"/>
    <w:rsid w:val="00927EFE"/>
    <w:rsid w:val="00930053"/>
    <w:rsid w:val="009305D9"/>
    <w:rsid w:val="009307B1"/>
    <w:rsid w:val="00931BEB"/>
    <w:rsid w:val="009322C7"/>
    <w:rsid w:val="00933914"/>
    <w:rsid w:val="00934FB2"/>
    <w:rsid w:val="00935697"/>
    <w:rsid w:val="009362CF"/>
    <w:rsid w:val="0093636E"/>
    <w:rsid w:val="00937303"/>
    <w:rsid w:val="009418D7"/>
    <w:rsid w:val="00942D43"/>
    <w:rsid w:val="009435F5"/>
    <w:rsid w:val="0094471B"/>
    <w:rsid w:val="00945A63"/>
    <w:rsid w:val="00947593"/>
    <w:rsid w:val="00947F43"/>
    <w:rsid w:val="009530DC"/>
    <w:rsid w:val="009542ED"/>
    <w:rsid w:val="0095624E"/>
    <w:rsid w:val="00956630"/>
    <w:rsid w:val="0096203E"/>
    <w:rsid w:val="00962B44"/>
    <w:rsid w:val="0096366E"/>
    <w:rsid w:val="00964D54"/>
    <w:rsid w:val="00965D47"/>
    <w:rsid w:val="00966928"/>
    <w:rsid w:val="00970673"/>
    <w:rsid w:val="00971B91"/>
    <w:rsid w:val="009734B5"/>
    <w:rsid w:val="00974645"/>
    <w:rsid w:val="00974962"/>
    <w:rsid w:val="009750B4"/>
    <w:rsid w:val="009750B5"/>
    <w:rsid w:val="0097653A"/>
    <w:rsid w:val="009768D4"/>
    <w:rsid w:val="0098004B"/>
    <w:rsid w:val="00981709"/>
    <w:rsid w:val="009828C3"/>
    <w:rsid w:val="009830FD"/>
    <w:rsid w:val="00983FF3"/>
    <w:rsid w:val="009848EE"/>
    <w:rsid w:val="009848F6"/>
    <w:rsid w:val="00985C41"/>
    <w:rsid w:val="00985F25"/>
    <w:rsid w:val="00986260"/>
    <w:rsid w:val="009864DB"/>
    <w:rsid w:val="009878E9"/>
    <w:rsid w:val="00987D05"/>
    <w:rsid w:val="0099063B"/>
    <w:rsid w:val="0099104D"/>
    <w:rsid w:val="00991B96"/>
    <w:rsid w:val="00991C26"/>
    <w:rsid w:val="00991C88"/>
    <w:rsid w:val="00992911"/>
    <w:rsid w:val="009929F4"/>
    <w:rsid w:val="00992AE2"/>
    <w:rsid w:val="00996692"/>
    <w:rsid w:val="009A0D8F"/>
    <w:rsid w:val="009A0DAB"/>
    <w:rsid w:val="009A5635"/>
    <w:rsid w:val="009A631B"/>
    <w:rsid w:val="009A6495"/>
    <w:rsid w:val="009A6D76"/>
    <w:rsid w:val="009A744B"/>
    <w:rsid w:val="009A788D"/>
    <w:rsid w:val="009B006D"/>
    <w:rsid w:val="009B1254"/>
    <w:rsid w:val="009B1675"/>
    <w:rsid w:val="009B204C"/>
    <w:rsid w:val="009B25DB"/>
    <w:rsid w:val="009B3B0D"/>
    <w:rsid w:val="009B4537"/>
    <w:rsid w:val="009B4CEA"/>
    <w:rsid w:val="009B629D"/>
    <w:rsid w:val="009B666C"/>
    <w:rsid w:val="009B6E22"/>
    <w:rsid w:val="009B7E86"/>
    <w:rsid w:val="009C0811"/>
    <w:rsid w:val="009C0814"/>
    <w:rsid w:val="009C1F36"/>
    <w:rsid w:val="009C2834"/>
    <w:rsid w:val="009C28C7"/>
    <w:rsid w:val="009C44C3"/>
    <w:rsid w:val="009C6C09"/>
    <w:rsid w:val="009C6D48"/>
    <w:rsid w:val="009C6EF0"/>
    <w:rsid w:val="009C6FBB"/>
    <w:rsid w:val="009C7214"/>
    <w:rsid w:val="009D020F"/>
    <w:rsid w:val="009D0A8D"/>
    <w:rsid w:val="009D138A"/>
    <w:rsid w:val="009D1654"/>
    <w:rsid w:val="009D19E1"/>
    <w:rsid w:val="009D2773"/>
    <w:rsid w:val="009D2F20"/>
    <w:rsid w:val="009D34E8"/>
    <w:rsid w:val="009D6E04"/>
    <w:rsid w:val="009E02E0"/>
    <w:rsid w:val="009E1CC7"/>
    <w:rsid w:val="009E276B"/>
    <w:rsid w:val="009E4A96"/>
    <w:rsid w:val="009E5B6D"/>
    <w:rsid w:val="009E61FA"/>
    <w:rsid w:val="009E732B"/>
    <w:rsid w:val="009E76B7"/>
    <w:rsid w:val="009F1AED"/>
    <w:rsid w:val="009F1C45"/>
    <w:rsid w:val="009F2ACB"/>
    <w:rsid w:val="009F5A99"/>
    <w:rsid w:val="009F5E04"/>
    <w:rsid w:val="009F6D27"/>
    <w:rsid w:val="00A004FA"/>
    <w:rsid w:val="00A020E7"/>
    <w:rsid w:val="00A02488"/>
    <w:rsid w:val="00A02882"/>
    <w:rsid w:val="00A03F36"/>
    <w:rsid w:val="00A04272"/>
    <w:rsid w:val="00A04EF3"/>
    <w:rsid w:val="00A05A85"/>
    <w:rsid w:val="00A068C0"/>
    <w:rsid w:val="00A104B6"/>
    <w:rsid w:val="00A10EE0"/>
    <w:rsid w:val="00A11EE2"/>
    <w:rsid w:val="00A12273"/>
    <w:rsid w:val="00A133F5"/>
    <w:rsid w:val="00A13665"/>
    <w:rsid w:val="00A13BE3"/>
    <w:rsid w:val="00A1458D"/>
    <w:rsid w:val="00A162AE"/>
    <w:rsid w:val="00A163FB"/>
    <w:rsid w:val="00A169A6"/>
    <w:rsid w:val="00A173D9"/>
    <w:rsid w:val="00A20308"/>
    <w:rsid w:val="00A230CF"/>
    <w:rsid w:val="00A241F8"/>
    <w:rsid w:val="00A243B7"/>
    <w:rsid w:val="00A27104"/>
    <w:rsid w:val="00A27385"/>
    <w:rsid w:val="00A27C59"/>
    <w:rsid w:val="00A27D9D"/>
    <w:rsid w:val="00A30D89"/>
    <w:rsid w:val="00A3149E"/>
    <w:rsid w:val="00A320FF"/>
    <w:rsid w:val="00A330D3"/>
    <w:rsid w:val="00A3606E"/>
    <w:rsid w:val="00A37973"/>
    <w:rsid w:val="00A40B56"/>
    <w:rsid w:val="00A40B97"/>
    <w:rsid w:val="00A40FCF"/>
    <w:rsid w:val="00A41245"/>
    <w:rsid w:val="00A41B9A"/>
    <w:rsid w:val="00A41C56"/>
    <w:rsid w:val="00A43524"/>
    <w:rsid w:val="00A43C2A"/>
    <w:rsid w:val="00A4459E"/>
    <w:rsid w:val="00A4467F"/>
    <w:rsid w:val="00A455E6"/>
    <w:rsid w:val="00A45D25"/>
    <w:rsid w:val="00A50110"/>
    <w:rsid w:val="00A50853"/>
    <w:rsid w:val="00A5239D"/>
    <w:rsid w:val="00A525D0"/>
    <w:rsid w:val="00A546DA"/>
    <w:rsid w:val="00A54FA2"/>
    <w:rsid w:val="00A55DDA"/>
    <w:rsid w:val="00A57F42"/>
    <w:rsid w:val="00A606A4"/>
    <w:rsid w:val="00A60820"/>
    <w:rsid w:val="00A61BE0"/>
    <w:rsid w:val="00A61FE1"/>
    <w:rsid w:val="00A64144"/>
    <w:rsid w:val="00A645F0"/>
    <w:rsid w:val="00A6500F"/>
    <w:rsid w:val="00A660C8"/>
    <w:rsid w:val="00A66CC5"/>
    <w:rsid w:val="00A6774A"/>
    <w:rsid w:val="00A70960"/>
    <w:rsid w:val="00A70B20"/>
    <w:rsid w:val="00A71107"/>
    <w:rsid w:val="00A7130E"/>
    <w:rsid w:val="00A75942"/>
    <w:rsid w:val="00A7603B"/>
    <w:rsid w:val="00A8089C"/>
    <w:rsid w:val="00A83D83"/>
    <w:rsid w:val="00A84DCC"/>
    <w:rsid w:val="00A85940"/>
    <w:rsid w:val="00A86896"/>
    <w:rsid w:val="00A868A0"/>
    <w:rsid w:val="00A90CC1"/>
    <w:rsid w:val="00A9137C"/>
    <w:rsid w:val="00A91D1D"/>
    <w:rsid w:val="00A925B9"/>
    <w:rsid w:val="00A945C5"/>
    <w:rsid w:val="00A95960"/>
    <w:rsid w:val="00A95966"/>
    <w:rsid w:val="00A95F61"/>
    <w:rsid w:val="00A974C9"/>
    <w:rsid w:val="00A978C0"/>
    <w:rsid w:val="00A978F6"/>
    <w:rsid w:val="00A97CB5"/>
    <w:rsid w:val="00A97EFB"/>
    <w:rsid w:val="00AA11A5"/>
    <w:rsid w:val="00AA1977"/>
    <w:rsid w:val="00AA1D27"/>
    <w:rsid w:val="00AA2317"/>
    <w:rsid w:val="00AA23E5"/>
    <w:rsid w:val="00AA28C1"/>
    <w:rsid w:val="00AA3E6A"/>
    <w:rsid w:val="00AA4C44"/>
    <w:rsid w:val="00AA602C"/>
    <w:rsid w:val="00AA61FE"/>
    <w:rsid w:val="00AB197B"/>
    <w:rsid w:val="00AB2B40"/>
    <w:rsid w:val="00AB339F"/>
    <w:rsid w:val="00AB33D6"/>
    <w:rsid w:val="00AB3530"/>
    <w:rsid w:val="00AB5A5F"/>
    <w:rsid w:val="00AB6078"/>
    <w:rsid w:val="00AB65F7"/>
    <w:rsid w:val="00AB6ED3"/>
    <w:rsid w:val="00AC069D"/>
    <w:rsid w:val="00AC08C9"/>
    <w:rsid w:val="00AC28CC"/>
    <w:rsid w:val="00AC46B6"/>
    <w:rsid w:val="00AC51FE"/>
    <w:rsid w:val="00AC7704"/>
    <w:rsid w:val="00AD064E"/>
    <w:rsid w:val="00AD0D86"/>
    <w:rsid w:val="00AD0DD2"/>
    <w:rsid w:val="00AD0FC1"/>
    <w:rsid w:val="00AD4F6F"/>
    <w:rsid w:val="00AD6E24"/>
    <w:rsid w:val="00AD7A7F"/>
    <w:rsid w:val="00AE5218"/>
    <w:rsid w:val="00AE6F01"/>
    <w:rsid w:val="00AE7126"/>
    <w:rsid w:val="00AE72BD"/>
    <w:rsid w:val="00AE7F0D"/>
    <w:rsid w:val="00AF233A"/>
    <w:rsid w:val="00AF2A42"/>
    <w:rsid w:val="00AF36F9"/>
    <w:rsid w:val="00AF4B11"/>
    <w:rsid w:val="00AF6594"/>
    <w:rsid w:val="00AF707C"/>
    <w:rsid w:val="00B002F1"/>
    <w:rsid w:val="00B003B8"/>
    <w:rsid w:val="00B0104E"/>
    <w:rsid w:val="00B0129B"/>
    <w:rsid w:val="00B017B4"/>
    <w:rsid w:val="00B0210E"/>
    <w:rsid w:val="00B035D8"/>
    <w:rsid w:val="00B039B4"/>
    <w:rsid w:val="00B0680A"/>
    <w:rsid w:val="00B0696E"/>
    <w:rsid w:val="00B06FB5"/>
    <w:rsid w:val="00B076EF"/>
    <w:rsid w:val="00B0791F"/>
    <w:rsid w:val="00B07D72"/>
    <w:rsid w:val="00B139FA"/>
    <w:rsid w:val="00B144DA"/>
    <w:rsid w:val="00B14697"/>
    <w:rsid w:val="00B152CC"/>
    <w:rsid w:val="00B15C2F"/>
    <w:rsid w:val="00B15E32"/>
    <w:rsid w:val="00B15F06"/>
    <w:rsid w:val="00B166A5"/>
    <w:rsid w:val="00B17722"/>
    <w:rsid w:val="00B17B53"/>
    <w:rsid w:val="00B17D68"/>
    <w:rsid w:val="00B20750"/>
    <w:rsid w:val="00B20799"/>
    <w:rsid w:val="00B21F2C"/>
    <w:rsid w:val="00B22893"/>
    <w:rsid w:val="00B22BB1"/>
    <w:rsid w:val="00B2320F"/>
    <w:rsid w:val="00B27231"/>
    <w:rsid w:val="00B275FD"/>
    <w:rsid w:val="00B311F3"/>
    <w:rsid w:val="00B31AC0"/>
    <w:rsid w:val="00B34F42"/>
    <w:rsid w:val="00B357DD"/>
    <w:rsid w:val="00B36925"/>
    <w:rsid w:val="00B36F5F"/>
    <w:rsid w:val="00B37EA8"/>
    <w:rsid w:val="00B41054"/>
    <w:rsid w:val="00B41502"/>
    <w:rsid w:val="00B433E4"/>
    <w:rsid w:val="00B4349F"/>
    <w:rsid w:val="00B43C3D"/>
    <w:rsid w:val="00B4459A"/>
    <w:rsid w:val="00B466CF"/>
    <w:rsid w:val="00B4713D"/>
    <w:rsid w:val="00B477EA"/>
    <w:rsid w:val="00B4791C"/>
    <w:rsid w:val="00B5043E"/>
    <w:rsid w:val="00B505BE"/>
    <w:rsid w:val="00B5094F"/>
    <w:rsid w:val="00B52E9E"/>
    <w:rsid w:val="00B53E05"/>
    <w:rsid w:val="00B56BDB"/>
    <w:rsid w:val="00B572DD"/>
    <w:rsid w:val="00B60F94"/>
    <w:rsid w:val="00B62A5A"/>
    <w:rsid w:val="00B639B6"/>
    <w:rsid w:val="00B649FA"/>
    <w:rsid w:val="00B65A0F"/>
    <w:rsid w:val="00B66A35"/>
    <w:rsid w:val="00B70048"/>
    <w:rsid w:val="00B70372"/>
    <w:rsid w:val="00B70FF3"/>
    <w:rsid w:val="00B72D67"/>
    <w:rsid w:val="00B74355"/>
    <w:rsid w:val="00B74368"/>
    <w:rsid w:val="00B767CD"/>
    <w:rsid w:val="00B778D5"/>
    <w:rsid w:val="00B83B1A"/>
    <w:rsid w:val="00B84A9F"/>
    <w:rsid w:val="00B90E97"/>
    <w:rsid w:val="00B94124"/>
    <w:rsid w:val="00B9417F"/>
    <w:rsid w:val="00B947B5"/>
    <w:rsid w:val="00B97DA1"/>
    <w:rsid w:val="00BA042F"/>
    <w:rsid w:val="00BA1D34"/>
    <w:rsid w:val="00BA1E06"/>
    <w:rsid w:val="00BA219F"/>
    <w:rsid w:val="00BA3E0A"/>
    <w:rsid w:val="00BA3F11"/>
    <w:rsid w:val="00BA5016"/>
    <w:rsid w:val="00BA5512"/>
    <w:rsid w:val="00BA6BC1"/>
    <w:rsid w:val="00BA7894"/>
    <w:rsid w:val="00BB0392"/>
    <w:rsid w:val="00BB03DE"/>
    <w:rsid w:val="00BB0B89"/>
    <w:rsid w:val="00BB2E5E"/>
    <w:rsid w:val="00BB37EA"/>
    <w:rsid w:val="00BB3C5F"/>
    <w:rsid w:val="00BB409D"/>
    <w:rsid w:val="00BC071F"/>
    <w:rsid w:val="00BC35D8"/>
    <w:rsid w:val="00BC56EE"/>
    <w:rsid w:val="00BC673E"/>
    <w:rsid w:val="00BC7A0E"/>
    <w:rsid w:val="00BD2003"/>
    <w:rsid w:val="00BD3011"/>
    <w:rsid w:val="00BD3B22"/>
    <w:rsid w:val="00BD418D"/>
    <w:rsid w:val="00BD5722"/>
    <w:rsid w:val="00BD5B69"/>
    <w:rsid w:val="00BD5F33"/>
    <w:rsid w:val="00BE3554"/>
    <w:rsid w:val="00BE4F23"/>
    <w:rsid w:val="00BE6506"/>
    <w:rsid w:val="00BE6B04"/>
    <w:rsid w:val="00BF0C41"/>
    <w:rsid w:val="00BF142F"/>
    <w:rsid w:val="00BF14FE"/>
    <w:rsid w:val="00BF2520"/>
    <w:rsid w:val="00BF3312"/>
    <w:rsid w:val="00BF4A30"/>
    <w:rsid w:val="00BF56B6"/>
    <w:rsid w:val="00BF6FDE"/>
    <w:rsid w:val="00BF74CB"/>
    <w:rsid w:val="00BF7A08"/>
    <w:rsid w:val="00C00129"/>
    <w:rsid w:val="00C0042B"/>
    <w:rsid w:val="00C00FF2"/>
    <w:rsid w:val="00C01D7E"/>
    <w:rsid w:val="00C0207F"/>
    <w:rsid w:val="00C0213F"/>
    <w:rsid w:val="00C028CF"/>
    <w:rsid w:val="00C02953"/>
    <w:rsid w:val="00C02D28"/>
    <w:rsid w:val="00C02DEC"/>
    <w:rsid w:val="00C02EC4"/>
    <w:rsid w:val="00C04E9F"/>
    <w:rsid w:val="00C04FC9"/>
    <w:rsid w:val="00C06134"/>
    <w:rsid w:val="00C06A5E"/>
    <w:rsid w:val="00C074B0"/>
    <w:rsid w:val="00C116B0"/>
    <w:rsid w:val="00C13C31"/>
    <w:rsid w:val="00C14691"/>
    <w:rsid w:val="00C14DB6"/>
    <w:rsid w:val="00C165E1"/>
    <w:rsid w:val="00C167E0"/>
    <w:rsid w:val="00C2070B"/>
    <w:rsid w:val="00C20D8A"/>
    <w:rsid w:val="00C24163"/>
    <w:rsid w:val="00C26485"/>
    <w:rsid w:val="00C26498"/>
    <w:rsid w:val="00C26738"/>
    <w:rsid w:val="00C3009E"/>
    <w:rsid w:val="00C3021B"/>
    <w:rsid w:val="00C31EA0"/>
    <w:rsid w:val="00C322EA"/>
    <w:rsid w:val="00C3272F"/>
    <w:rsid w:val="00C330E4"/>
    <w:rsid w:val="00C33CD1"/>
    <w:rsid w:val="00C37620"/>
    <w:rsid w:val="00C40212"/>
    <w:rsid w:val="00C405CF"/>
    <w:rsid w:val="00C4149B"/>
    <w:rsid w:val="00C41987"/>
    <w:rsid w:val="00C41D6A"/>
    <w:rsid w:val="00C43A95"/>
    <w:rsid w:val="00C4537E"/>
    <w:rsid w:val="00C46B81"/>
    <w:rsid w:val="00C4730C"/>
    <w:rsid w:val="00C5045B"/>
    <w:rsid w:val="00C52313"/>
    <w:rsid w:val="00C550EB"/>
    <w:rsid w:val="00C56AFF"/>
    <w:rsid w:val="00C573D9"/>
    <w:rsid w:val="00C60F28"/>
    <w:rsid w:val="00C62C69"/>
    <w:rsid w:val="00C63865"/>
    <w:rsid w:val="00C63F71"/>
    <w:rsid w:val="00C66232"/>
    <w:rsid w:val="00C673B2"/>
    <w:rsid w:val="00C67A4D"/>
    <w:rsid w:val="00C7023D"/>
    <w:rsid w:val="00C71002"/>
    <w:rsid w:val="00C715F7"/>
    <w:rsid w:val="00C721DC"/>
    <w:rsid w:val="00C722CD"/>
    <w:rsid w:val="00C747E8"/>
    <w:rsid w:val="00C74CA5"/>
    <w:rsid w:val="00C76834"/>
    <w:rsid w:val="00C7691B"/>
    <w:rsid w:val="00C76F4A"/>
    <w:rsid w:val="00C773CA"/>
    <w:rsid w:val="00C774E6"/>
    <w:rsid w:val="00C777E6"/>
    <w:rsid w:val="00C77C4C"/>
    <w:rsid w:val="00C80ED9"/>
    <w:rsid w:val="00C838EF"/>
    <w:rsid w:val="00C8772A"/>
    <w:rsid w:val="00C879D8"/>
    <w:rsid w:val="00C933F9"/>
    <w:rsid w:val="00C9619B"/>
    <w:rsid w:val="00CA0367"/>
    <w:rsid w:val="00CA1256"/>
    <w:rsid w:val="00CA12AF"/>
    <w:rsid w:val="00CA2F78"/>
    <w:rsid w:val="00CA338C"/>
    <w:rsid w:val="00CA38CA"/>
    <w:rsid w:val="00CA471B"/>
    <w:rsid w:val="00CA53ED"/>
    <w:rsid w:val="00CA54DB"/>
    <w:rsid w:val="00CB16A1"/>
    <w:rsid w:val="00CB18E2"/>
    <w:rsid w:val="00CB1BA0"/>
    <w:rsid w:val="00CB1CBF"/>
    <w:rsid w:val="00CB2BC3"/>
    <w:rsid w:val="00CB2DA5"/>
    <w:rsid w:val="00CB3DA2"/>
    <w:rsid w:val="00CB3F0E"/>
    <w:rsid w:val="00CB55A0"/>
    <w:rsid w:val="00CC2F1D"/>
    <w:rsid w:val="00CC38E7"/>
    <w:rsid w:val="00CC3A3C"/>
    <w:rsid w:val="00CC441B"/>
    <w:rsid w:val="00CC7115"/>
    <w:rsid w:val="00CC7D7A"/>
    <w:rsid w:val="00CD0274"/>
    <w:rsid w:val="00CD0AD7"/>
    <w:rsid w:val="00CD5C46"/>
    <w:rsid w:val="00CD66E3"/>
    <w:rsid w:val="00CE364A"/>
    <w:rsid w:val="00CE5089"/>
    <w:rsid w:val="00CE5C20"/>
    <w:rsid w:val="00CE5E49"/>
    <w:rsid w:val="00CE5FA5"/>
    <w:rsid w:val="00CE68D9"/>
    <w:rsid w:val="00CE782C"/>
    <w:rsid w:val="00CE7E14"/>
    <w:rsid w:val="00CF0174"/>
    <w:rsid w:val="00CF26B3"/>
    <w:rsid w:val="00CF28B2"/>
    <w:rsid w:val="00CF3093"/>
    <w:rsid w:val="00CF342A"/>
    <w:rsid w:val="00CF3430"/>
    <w:rsid w:val="00CF3CD5"/>
    <w:rsid w:val="00CF4B69"/>
    <w:rsid w:val="00CF7E66"/>
    <w:rsid w:val="00D0003C"/>
    <w:rsid w:val="00D0099E"/>
    <w:rsid w:val="00D00E66"/>
    <w:rsid w:val="00D00F01"/>
    <w:rsid w:val="00D013A6"/>
    <w:rsid w:val="00D01443"/>
    <w:rsid w:val="00D01FAB"/>
    <w:rsid w:val="00D023AB"/>
    <w:rsid w:val="00D02706"/>
    <w:rsid w:val="00D0311B"/>
    <w:rsid w:val="00D0440F"/>
    <w:rsid w:val="00D04B6A"/>
    <w:rsid w:val="00D04C29"/>
    <w:rsid w:val="00D05E82"/>
    <w:rsid w:val="00D07F4C"/>
    <w:rsid w:val="00D107DA"/>
    <w:rsid w:val="00D10CDE"/>
    <w:rsid w:val="00D11169"/>
    <w:rsid w:val="00D1230B"/>
    <w:rsid w:val="00D127A4"/>
    <w:rsid w:val="00D13F21"/>
    <w:rsid w:val="00D160C0"/>
    <w:rsid w:val="00D16BE7"/>
    <w:rsid w:val="00D176E0"/>
    <w:rsid w:val="00D215EE"/>
    <w:rsid w:val="00D21CCB"/>
    <w:rsid w:val="00D23A96"/>
    <w:rsid w:val="00D2460E"/>
    <w:rsid w:val="00D250A8"/>
    <w:rsid w:val="00D25EAD"/>
    <w:rsid w:val="00D25EFC"/>
    <w:rsid w:val="00D26F99"/>
    <w:rsid w:val="00D325BD"/>
    <w:rsid w:val="00D327EE"/>
    <w:rsid w:val="00D3395E"/>
    <w:rsid w:val="00D35E27"/>
    <w:rsid w:val="00D36BC1"/>
    <w:rsid w:val="00D406F5"/>
    <w:rsid w:val="00D40BBD"/>
    <w:rsid w:val="00D410B5"/>
    <w:rsid w:val="00D41228"/>
    <w:rsid w:val="00D41445"/>
    <w:rsid w:val="00D41830"/>
    <w:rsid w:val="00D44704"/>
    <w:rsid w:val="00D4663A"/>
    <w:rsid w:val="00D46E88"/>
    <w:rsid w:val="00D47818"/>
    <w:rsid w:val="00D47A2F"/>
    <w:rsid w:val="00D47EC4"/>
    <w:rsid w:val="00D5003B"/>
    <w:rsid w:val="00D50D44"/>
    <w:rsid w:val="00D513CA"/>
    <w:rsid w:val="00D517CC"/>
    <w:rsid w:val="00D51D42"/>
    <w:rsid w:val="00D51E8C"/>
    <w:rsid w:val="00D56094"/>
    <w:rsid w:val="00D570F5"/>
    <w:rsid w:val="00D57D53"/>
    <w:rsid w:val="00D62EFB"/>
    <w:rsid w:val="00D6311D"/>
    <w:rsid w:val="00D63712"/>
    <w:rsid w:val="00D64FFD"/>
    <w:rsid w:val="00D664A5"/>
    <w:rsid w:val="00D671A9"/>
    <w:rsid w:val="00D679A4"/>
    <w:rsid w:val="00D709A2"/>
    <w:rsid w:val="00D711F9"/>
    <w:rsid w:val="00D712B0"/>
    <w:rsid w:val="00D72BB4"/>
    <w:rsid w:val="00D72FCB"/>
    <w:rsid w:val="00D72FCD"/>
    <w:rsid w:val="00D7337D"/>
    <w:rsid w:val="00D734E9"/>
    <w:rsid w:val="00D73660"/>
    <w:rsid w:val="00D7468B"/>
    <w:rsid w:val="00D7484A"/>
    <w:rsid w:val="00D754FC"/>
    <w:rsid w:val="00D75530"/>
    <w:rsid w:val="00D75A1F"/>
    <w:rsid w:val="00D75BEB"/>
    <w:rsid w:val="00D76238"/>
    <w:rsid w:val="00D76AA8"/>
    <w:rsid w:val="00D76B2C"/>
    <w:rsid w:val="00D779DF"/>
    <w:rsid w:val="00D8119F"/>
    <w:rsid w:val="00D82D6A"/>
    <w:rsid w:val="00D835C4"/>
    <w:rsid w:val="00D8427D"/>
    <w:rsid w:val="00D85A7C"/>
    <w:rsid w:val="00D85EFC"/>
    <w:rsid w:val="00D900FE"/>
    <w:rsid w:val="00D92C89"/>
    <w:rsid w:val="00D92D77"/>
    <w:rsid w:val="00D92F17"/>
    <w:rsid w:val="00D94B36"/>
    <w:rsid w:val="00D94C41"/>
    <w:rsid w:val="00D956FE"/>
    <w:rsid w:val="00D9639B"/>
    <w:rsid w:val="00D9793A"/>
    <w:rsid w:val="00DA14F2"/>
    <w:rsid w:val="00DA19BC"/>
    <w:rsid w:val="00DA2572"/>
    <w:rsid w:val="00DA2F57"/>
    <w:rsid w:val="00DA430A"/>
    <w:rsid w:val="00DA76B3"/>
    <w:rsid w:val="00DA7A53"/>
    <w:rsid w:val="00DA7EB0"/>
    <w:rsid w:val="00DA7F67"/>
    <w:rsid w:val="00DB05DC"/>
    <w:rsid w:val="00DB0F61"/>
    <w:rsid w:val="00DB1DB3"/>
    <w:rsid w:val="00DB1EBA"/>
    <w:rsid w:val="00DB2BE4"/>
    <w:rsid w:val="00DB2FAA"/>
    <w:rsid w:val="00DB3896"/>
    <w:rsid w:val="00DB588E"/>
    <w:rsid w:val="00DB6869"/>
    <w:rsid w:val="00DB6A60"/>
    <w:rsid w:val="00DB72CB"/>
    <w:rsid w:val="00DB76F3"/>
    <w:rsid w:val="00DC02D5"/>
    <w:rsid w:val="00DC504D"/>
    <w:rsid w:val="00DC5509"/>
    <w:rsid w:val="00DC6B2D"/>
    <w:rsid w:val="00DC73FB"/>
    <w:rsid w:val="00DD118C"/>
    <w:rsid w:val="00DD22EC"/>
    <w:rsid w:val="00DD2749"/>
    <w:rsid w:val="00DD2E88"/>
    <w:rsid w:val="00DD2F67"/>
    <w:rsid w:val="00DD4213"/>
    <w:rsid w:val="00DD50C8"/>
    <w:rsid w:val="00DD5F84"/>
    <w:rsid w:val="00DD6DA8"/>
    <w:rsid w:val="00DD76AD"/>
    <w:rsid w:val="00DD7870"/>
    <w:rsid w:val="00DD7A6D"/>
    <w:rsid w:val="00DE027A"/>
    <w:rsid w:val="00DE0D4F"/>
    <w:rsid w:val="00DE0FC6"/>
    <w:rsid w:val="00DE4861"/>
    <w:rsid w:val="00DE48AE"/>
    <w:rsid w:val="00DE48C6"/>
    <w:rsid w:val="00DE712A"/>
    <w:rsid w:val="00DE7637"/>
    <w:rsid w:val="00DE7BAC"/>
    <w:rsid w:val="00DF14D7"/>
    <w:rsid w:val="00DF2BEE"/>
    <w:rsid w:val="00DF2DBE"/>
    <w:rsid w:val="00DF37BF"/>
    <w:rsid w:val="00DF4B8D"/>
    <w:rsid w:val="00DF544B"/>
    <w:rsid w:val="00DF55B5"/>
    <w:rsid w:val="00DF7B20"/>
    <w:rsid w:val="00DF7D7C"/>
    <w:rsid w:val="00DF7EAC"/>
    <w:rsid w:val="00E00C58"/>
    <w:rsid w:val="00E0171F"/>
    <w:rsid w:val="00E0186A"/>
    <w:rsid w:val="00E01ED7"/>
    <w:rsid w:val="00E023FF"/>
    <w:rsid w:val="00E02520"/>
    <w:rsid w:val="00E02AB0"/>
    <w:rsid w:val="00E02D74"/>
    <w:rsid w:val="00E02EDA"/>
    <w:rsid w:val="00E03502"/>
    <w:rsid w:val="00E047BC"/>
    <w:rsid w:val="00E05724"/>
    <w:rsid w:val="00E064D3"/>
    <w:rsid w:val="00E06D4B"/>
    <w:rsid w:val="00E07256"/>
    <w:rsid w:val="00E07749"/>
    <w:rsid w:val="00E07841"/>
    <w:rsid w:val="00E1033D"/>
    <w:rsid w:val="00E11F9C"/>
    <w:rsid w:val="00E15285"/>
    <w:rsid w:val="00E159BD"/>
    <w:rsid w:val="00E16197"/>
    <w:rsid w:val="00E16D91"/>
    <w:rsid w:val="00E17A7D"/>
    <w:rsid w:val="00E22886"/>
    <w:rsid w:val="00E236A0"/>
    <w:rsid w:val="00E252D3"/>
    <w:rsid w:val="00E25BCE"/>
    <w:rsid w:val="00E26787"/>
    <w:rsid w:val="00E268CE"/>
    <w:rsid w:val="00E27F02"/>
    <w:rsid w:val="00E307D9"/>
    <w:rsid w:val="00E31C01"/>
    <w:rsid w:val="00E33972"/>
    <w:rsid w:val="00E347FA"/>
    <w:rsid w:val="00E352ED"/>
    <w:rsid w:val="00E3559D"/>
    <w:rsid w:val="00E35D38"/>
    <w:rsid w:val="00E3601D"/>
    <w:rsid w:val="00E37584"/>
    <w:rsid w:val="00E408C0"/>
    <w:rsid w:val="00E40BEE"/>
    <w:rsid w:val="00E43AEF"/>
    <w:rsid w:val="00E43C2F"/>
    <w:rsid w:val="00E4433D"/>
    <w:rsid w:val="00E4573F"/>
    <w:rsid w:val="00E47036"/>
    <w:rsid w:val="00E50296"/>
    <w:rsid w:val="00E51D5F"/>
    <w:rsid w:val="00E52665"/>
    <w:rsid w:val="00E53864"/>
    <w:rsid w:val="00E5433E"/>
    <w:rsid w:val="00E54593"/>
    <w:rsid w:val="00E55DD4"/>
    <w:rsid w:val="00E56142"/>
    <w:rsid w:val="00E5620B"/>
    <w:rsid w:val="00E56306"/>
    <w:rsid w:val="00E5636A"/>
    <w:rsid w:val="00E573C4"/>
    <w:rsid w:val="00E57831"/>
    <w:rsid w:val="00E57F1F"/>
    <w:rsid w:val="00E60533"/>
    <w:rsid w:val="00E61875"/>
    <w:rsid w:val="00E62BD2"/>
    <w:rsid w:val="00E63900"/>
    <w:rsid w:val="00E63E98"/>
    <w:rsid w:val="00E653DC"/>
    <w:rsid w:val="00E65713"/>
    <w:rsid w:val="00E6580F"/>
    <w:rsid w:val="00E65D75"/>
    <w:rsid w:val="00E65D82"/>
    <w:rsid w:val="00E66F91"/>
    <w:rsid w:val="00E71595"/>
    <w:rsid w:val="00E71AAC"/>
    <w:rsid w:val="00E71B6B"/>
    <w:rsid w:val="00E72BDF"/>
    <w:rsid w:val="00E73965"/>
    <w:rsid w:val="00E76C7A"/>
    <w:rsid w:val="00E76D15"/>
    <w:rsid w:val="00E80BB8"/>
    <w:rsid w:val="00E810E7"/>
    <w:rsid w:val="00E815C9"/>
    <w:rsid w:val="00E81D3F"/>
    <w:rsid w:val="00E83AD2"/>
    <w:rsid w:val="00E844E7"/>
    <w:rsid w:val="00E84FC0"/>
    <w:rsid w:val="00E8611E"/>
    <w:rsid w:val="00E861C6"/>
    <w:rsid w:val="00E87D19"/>
    <w:rsid w:val="00E906ED"/>
    <w:rsid w:val="00E90BFA"/>
    <w:rsid w:val="00E90E5F"/>
    <w:rsid w:val="00E929BE"/>
    <w:rsid w:val="00E92BE4"/>
    <w:rsid w:val="00E95066"/>
    <w:rsid w:val="00E9677E"/>
    <w:rsid w:val="00EA0F67"/>
    <w:rsid w:val="00EA137F"/>
    <w:rsid w:val="00EA2D65"/>
    <w:rsid w:val="00EA30DF"/>
    <w:rsid w:val="00EA5165"/>
    <w:rsid w:val="00EA543C"/>
    <w:rsid w:val="00EA581C"/>
    <w:rsid w:val="00EA66AC"/>
    <w:rsid w:val="00EA7B59"/>
    <w:rsid w:val="00EB01F5"/>
    <w:rsid w:val="00EB0AC8"/>
    <w:rsid w:val="00EB0C02"/>
    <w:rsid w:val="00EB1085"/>
    <w:rsid w:val="00EB11B7"/>
    <w:rsid w:val="00EB2EB7"/>
    <w:rsid w:val="00EB30F2"/>
    <w:rsid w:val="00EB7D6A"/>
    <w:rsid w:val="00EC0D83"/>
    <w:rsid w:val="00EC2B1F"/>
    <w:rsid w:val="00EC5DA2"/>
    <w:rsid w:val="00EC759B"/>
    <w:rsid w:val="00EC7EAE"/>
    <w:rsid w:val="00ED099F"/>
    <w:rsid w:val="00ED0F74"/>
    <w:rsid w:val="00ED2501"/>
    <w:rsid w:val="00ED260E"/>
    <w:rsid w:val="00ED54A9"/>
    <w:rsid w:val="00ED56F3"/>
    <w:rsid w:val="00ED62E0"/>
    <w:rsid w:val="00ED65D3"/>
    <w:rsid w:val="00EE1688"/>
    <w:rsid w:val="00EE2F2F"/>
    <w:rsid w:val="00EE4DAA"/>
    <w:rsid w:val="00EE5D81"/>
    <w:rsid w:val="00EE6B78"/>
    <w:rsid w:val="00EE7ED2"/>
    <w:rsid w:val="00EF1EE2"/>
    <w:rsid w:val="00EF231D"/>
    <w:rsid w:val="00EF25CD"/>
    <w:rsid w:val="00EF2AA2"/>
    <w:rsid w:val="00EF35F9"/>
    <w:rsid w:val="00EF3BD6"/>
    <w:rsid w:val="00EF6C5A"/>
    <w:rsid w:val="00EF72F6"/>
    <w:rsid w:val="00EF7CC4"/>
    <w:rsid w:val="00F00001"/>
    <w:rsid w:val="00F010F9"/>
    <w:rsid w:val="00F01AF5"/>
    <w:rsid w:val="00F01E04"/>
    <w:rsid w:val="00F03337"/>
    <w:rsid w:val="00F03414"/>
    <w:rsid w:val="00F035DC"/>
    <w:rsid w:val="00F036FE"/>
    <w:rsid w:val="00F052CC"/>
    <w:rsid w:val="00F071D7"/>
    <w:rsid w:val="00F07F98"/>
    <w:rsid w:val="00F1108F"/>
    <w:rsid w:val="00F11AFA"/>
    <w:rsid w:val="00F12AFC"/>
    <w:rsid w:val="00F13270"/>
    <w:rsid w:val="00F14864"/>
    <w:rsid w:val="00F153FF"/>
    <w:rsid w:val="00F20277"/>
    <w:rsid w:val="00F2054A"/>
    <w:rsid w:val="00F20845"/>
    <w:rsid w:val="00F20A28"/>
    <w:rsid w:val="00F20FAA"/>
    <w:rsid w:val="00F23108"/>
    <w:rsid w:val="00F237D2"/>
    <w:rsid w:val="00F23815"/>
    <w:rsid w:val="00F25233"/>
    <w:rsid w:val="00F26225"/>
    <w:rsid w:val="00F270C5"/>
    <w:rsid w:val="00F2759A"/>
    <w:rsid w:val="00F30418"/>
    <w:rsid w:val="00F32A69"/>
    <w:rsid w:val="00F32C29"/>
    <w:rsid w:val="00F32E42"/>
    <w:rsid w:val="00F32F84"/>
    <w:rsid w:val="00F3448B"/>
    <w:rsid w:val="00F356D6"/>
    <w:rsid w:val="00F366E8"/>
    <w:rsid w:val="00F3700C"/>
    <w:rsid w:val="00F372D8"/>
    <w:rsid w:val="00F37A11"/>
    <w:rsid w:val="00F40DBF"/>
    <w:rsid w:val="00F41D78"/>
    <w:rsid w:val="00F426F5"/>
    <w:rsid w:val="00F4414B"/>
    <w:rsid w:val="00F46751"/>
    <w:rsid w:val="00F47C94"/>
    <w:rsid w:val="00F501E0"/>
    <w:rsid w:val="00F50655"/>
    <w:rsid w:val="00F51712"/>
    <w:rsid w:val="00F5334E"/>
    <w:rsid w:val="00F5427C"/>
    <w:rsid w:val="00F54EDD"/>
    <w:rsid w:val="00F563E4"/>
    <w:rsid w:val="00F614B8"/>
    <w:rsid w:val="00F66277"/>
    <w:rsid w:val="00F71192"/>
    <w:rsid w:val="00F71C4F"/>
    <w:rsid w:val="00F7210E"/>
    <w:rsid w:val="00F73617"/>
    <w:rsid w:val="00F74E27"/>
    <w:rsid w:val="00F76690"/>
    <w:rsid w:val="00F76849"/>
    <w:rsid w:val="00F77978"/>
    <w:rsid w:val="00F77EC8"/>
    <w:rsid w:val="00F80056"/>
    <w:rsid w:val="00F80407"/>
    <w:rsid w:val="00F817D2"/>
    <w:rsid w:val="00F8234A"/>
    <w:rsid w:val="00F823AF"/>
    <w:rsid w:val="00F826D8"/>
    <w:rsid w:val="00F829CA"/>
    <w:rsid w:val="00F82B43"/>
    <w:rsid w:val="00F82E3D"/>
    <w:rsid w:val="00F8423B"/>
    <w:rsid w:val="00F84B0D"/>
    <w:rsid w:val="00F84BD6"/>
    <w:rsid w:val="00F84D98"/>
    <w:rsid w:val="00F85A6E"/>
    <w:rsid w:val="00F87DDB"/>
    <w:rsid w:val="00F9058A"/>
    <w:rsid w:val="00F90694"/>
    <w:rsid w:val="00F93302"/>
    <w:rsid w:val="00F9443B"/>
    <w:rsid w:val="00F9508E"/>
    <w:rsid w:val="00F955D7"/>
    <w:rsid w:val="00F95A4E"/>
    <w:rsid w:val="00F95D99"/>
    <w:rsid w:val="00F95D9F"/>
    <w:rsid w:val="00F97C6F"/>
    <w:rsid w:val="00FA0A4A"/>
    <w:rsid w:val="00FA3B2F"/>
    <w:rsid w:val="00FA530F"/>
    <w:rsid w:val="00FA5844"/>
    <w:rsid w:val="00FA5A54"/>
    <w:rsid w:val="00FA5D51"/>
    <w:rsid w:val="00FA6406"/>
    <w:rsid w:val="00FA7102"/>
    <w:rsid w:val="00FA7C80"/>
    <w:rsid w:val="00FB07B0"/>
    <w:rsid w:val="00FB0F62"/>
    <w:rsid w:val="00FB1ADC"/>
    <w:rsid w:val="00FB3C07"/>
    <w:rsid w:val="00FB4149"/>
    <w:rsid w:val="00FB5774"/>
    <w:rsid w:val="00FB5802"/>
    <w:rsid w:val="00FB6521"/>
    <w:rsid w:val="00FB69D1"/>
    <w:rsid w:val="00FB6D7C"/>
    <w:rsid w:val="00FB7DA9"/>
    <w:rsid w:val="00FC0B7B"/>
    <w:rsid w:val="00FC39B5"/>
    <w:rsid w:val="00FC43CA"/>
    <w:rsid w:val="00FC49D3"/>
    <w:rsid w:val="00FC4DB0"/>
    <w:rsid w:val="00FC4F4A"/>
    <w:rsid w:val="00FC5180"/>
    <w:rsid w:val="00FC6034"/>
    <w:rsid w:val="00FC648E"/>
    <w:rsid w:val="00FD1D0C"/>
    <w:rsid w:val="00FD6372"/>
    <w:rsid w:val="00FD7064"/>
    <w:rsid w:val="00FE0FCD"/>
    <w:rsid w:val="00FE26EF"/>
    <w:rsid w:val="00FE4552"/>
    <w:rsid w:val="00FE607F"/>
    <w:rsid w:val="00FE61A6"/>
    <w:rsid w:val="00FE6607"/>
    <w:rsid w:val="00FE6CDA"/>
    <w:rsid w:val="00FF0245"/>
    <w:rsid w:val="00FF1CEE"/>
    <w:rsid w:val="00FF23C2"/>
    <w:rsid w:val="00FF27E6"/>
    <w:rsid w:val="00FF2855"/>
    <w:rsid w:val="00FF33D5"/>
    <w:rsid w:val="00FF5BBF"/>
    <w:rsid w:val="00FF5EC3"/>
    <w:rsid w:val="00FF745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037590"/>
  <w15:docId w15:val="{5E8796FF-5BD6-4E28-BE1F-C4AE293B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9669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6692"/>
    <w:rPr>
      <w:rFonts w:ascii="Tahoma" w:hAnsi="Tahoma" w:cs="Tahoma"/>
      <w:sz w:val="16"/>
      <w:szCs w:val="16"/>
    </w:rPr>
  </w:style>
  <w:style w:type="paragraph" w:styleId="Titre">
    <w:name w:val="Title"/>
    <w:basedOn w:val="Normal"/>
    <w:link w:val="TitreCar"/>
    <w:uiPriority w:val="99"/>
    <w:qFormat/>
    <w:rsid w:val="006F40BB"/>
    <w:pPr>
      <w:spacing w:after="0" w:line="240" w:lineRule="auto"/>
      <w:jc w:val="center"/>
    </w:pPr>
    <w:rPr>
      <w:rFonts w:ascii="Times New Roman" w:eastAsia="Times New Roman" w:hAnsi="Times New Roman" w:cs="Arial"/>
      <w:b/>
      <w:bCs/>
      <w:sz w:val="23"/>
      <w:szCs w:val="23"/>
      <w:lang w:eastAsia="fr-FR"/>
    </w:rPr>
  </w:style>
  <w:style w:type="character" w:customStyle="1" w:styleId="TitreCar">
    <w:name w:val="Titre Car"/>
    <w:basedOn w:val="Policepardfaut"/>
    <w:link w:val="Titre"/>
    <w:uiPriority w:val="99"/>
    <w:rsid w:val="006F40BB"/>
    <w:rPr>
      <w:rFonts w:ascii="Times New Roman" w:eastAsia="Times New Roman" w:hAnsi="Times New Roman" w:cs="Arial"/>
      <w:b/>
      <w:bCs/>
      <w:sz w:val="23"/>
      <w:szCs w:val="23"/>
      <w:lang w:eastAsia="fr-FR"/>
    </w:rPr>
  </w:style>
  <w:style w:type="character" w:styleId="Lienhypertexte">
    <w:name w:val="Hyperlink"/>
    <w:uiPriority w:val="99"/>
    <w:unhideWhenUsed/>
    <w:rsid w:val="006F40BB"/>
    <w:rPr>
      <w:color w:val="0000FF"/>
      <w:u w:val="single"/>
    </w:rPr>
  </w:style>
  <w:style w:type="character" w:styleId="Marquedecommentaire">
    <w:name w:val="annotation reference"/>
    <w:basedOn w:val="Policepardfaut"/>
    <w:uiPriority w:val="99"/>
    <w:semiHidden/>
    <w:unhideWhenUsed/>
    <w:rsid w:val="00D41445"/>
    <w:rPr>
      <w:sz w:val="16"/>
      <w:szCs w:val="16"/>
    </w:rPr>
  </w:style>
  <w:style w:type="paragraph" w:styleId="Commentaire">
    <w:name w:val="annotation text"/>
    <w:basedOn w:val="Normal"/>
    <w:link w:val="CommentaireCar"/>
    <w:uiPriority w:val="99"/>
    <w:unhideWhenUsed/>
    <w:rsid w:val="00D41445"/>
    <w:pPr>
      <w:spacing w:line="240" w:lineRule="auto"/>
    </w:pPr>
    <w:rPr>
      <w:sz w:val="20"/>
      <w:szCs w:val="20"/>
    </w:rPr>
  </w:style>
  <w:style w:type="character" w:customStyle="1" w:styleId="CommentaireCar">
    <w:name w:val="Commentaire Car"/>
    <w:basedOn w:val="Policepardfaut"/>
    <w:link w:val="Commentaire"/>
    <w:uiPriority w:val="99"/>
    <w:rsid w:val="00D41445"/>
    <w:rPr>
      <w:sz w:val="20"/>
      <w:szCs w:val="20"/>
    </w:rPr>
  </w:style>
  <w:style w:type="paragraph" w:styleId="Objetducommentaire">
    <w:name w:val="annotation subject"/>
    <w:basedOn w:val="Commentaire"/>
    <w:next w:val="Commentaire"/>
    <w:link w:val="ObjetducommentaireCar"/>
    <w:uiPriority w:val="99"/>
    <w:semiHidden/>
    <w:unhideWhenUsed/>
    <w:rsid w:val="00D41445"/>
    <w:rPr>
      <w:b/>
      <w:bCs/>
    </w:rPr>
  </w:style>
  <w:style w:type="character" w:customStyle="1" w:styleId="ObjetducommentaireCar">
    <w:name w:val="Objet du commentaire Car"/>
    <w:basedOn w:val="CommentaireCar"/>
    <w:link w:val="Objetducommentaire"/>
    <w:uiPriority w:val="99"/>
    <w:semiHidden/>
    <w:rsid w:val="00D41445"/>
    <w:rPr>
      <w:b/>
      <w:bCs/>
      <w:sz w:val="20"/>
      <w:szCs w:val="20"/>
    </w:rPr>
  </w:style>
  <w:style w:type="paragraph" w:styleId="Lgende">
    <w:name w:val="caption"/>
    <w:basedOn w:val="Normal"/>
    <w:next w:val="Normal"/>
    <w:uiPriority w:val="35"/>
    <w:unhideWhenUsed/>
    <w:qFormat/>
    <w:rsid w:val="00C02EC4"/>
    <w:pPr>
      <w:spacing w:line="240" w:lineRule="auto"/>
    </w:pPr>
    <w:rPr>
      <w:i/>
      <w:iCs/>
      <w:color w:val="1F497D" w:themeColor="text2"/>
      <w:sz w:val="18"/>
      <w:szCs w:val="18"/>
    </w:rPr>
  </w:style>
  <w:style w:type="paragraph" w:styleId="Rvision">
    <w:name w:val="Revision"/>
    <w:hidden/>
    <w:uiPriority w:val="99"/>
    <w:semiHidden/>
    <w:rsid w:val="00ED2501"/>
    <w:pPr>
      <w:spacing w:after="0" w:line="240" w:lineRule="auto"/>
    </w:pPr>
  </w:style>
  <w:style w:type="paragraph" w:styleId="En-tte">
    <w:name w:val="header"/>
    <w:basedOn w:val="Normal"/>
    <w:link w:val="En-tteCar"/>
    <w:uiPriority w:val="99"/>
    <w:unhideWhenUsed/>
    <w:rsid w:val="00544F08"/>
    <w:pPr>
      <w:tabs>
        <w:tab w:val="center" w:pos="4536"/>
        <w:tab w:val="right" w:pos="9072"/>
      </w:tabs>
      <w:spacing w:after="0" w:line="240" w:lineRule="auto"/>
    </w:pPr>
  </w:style>
  <w:style w:type="character" w:customStyle="1" w:styleId="En-tteCar">
    <w:name w:val="En-tête Car"/>
    <w:basedOn w:val="Policepardfaut"/>
    <w:link w:val="En-tte"/>
    <w:uiPriority w:val="99"/>
    <w:rsid w:val="00544F08"/>
  </w:style>
  <w:style w:type="paragraph" w:styleId="Pieddepage">
    <w:name w:val="footer"/>
    <w:basedOn w:val="Normal"/>
    <w:link w:val="PieddepageCar"/>
    <w:uiPriority w:val="99"/>
    <w:unhideWhenUsed/>
    <w:rsid w:val="00544F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4F08"/>
  </w:style>
  <w:style w:type="character" w:styleId="Numrodepage">
    <w:name w:val="page number"/>
    <w:basedOn w:val="Policepardfaut"/>
    <w:uiPriority w:val="99"/>
    <w:semiHidden/>
    <w:unhideWhenUsed/>
    <w:rsid w:val="00544F08"/>
  </w:style>
  <w:style w:type="character" w:customStyle="1" w:styleId="UnresolvedMention1">
    <w:name w:val="Unresolved Mention1"/>
    <w:basedOn w:val="Policepardfaut"/>
    <w:uiPriority w:val="99"/>
    <w:semiHidden/>
    <w:unhideWhenUsed/>
    <w:rsid w:val="00882BB4"/>
    <w:rPr>
      <w:color w:val="605E5C"/>
      <w:shd w:val="clear" w:color="auto" w:fill="E1DFDD"/>
    </w:rPr>
  </w:style>
  <w:style w:type="character" w:styleId="Textedelespacerserv">
    <w:name w:val="Placeholder Text"/>
    <w:basedOn w:val="Policepardfaut"/>
    <w:uiPriority w:val="99"/>
    <w:semiHidden/>
    <w:rsid w:val="00A020E7"/>
    <w:rPr>
      <w:color w:val="808080"/>
    </w:rPr>
  </w:style>
  <w:style w:type="character" w:customStyle="1" w:styleId="UnresolvedMention2">
    <w:name w:val="Unresolved Mention2"/>
    <w:basedOn w:val="Policepardfaut"/>
    <w:uiPriority w:val="99"/>
    <w:semiHidden/>
    <w:unhideWhenUsed/>
    <w:rsid w:val="00051E77"/>
    <w:rPr>
      <w:color w:val="605E5C"/>
      <w:shd w:val="clear" w:color="auto" w:fill="E1DFDD"/>
    </w:rPr>
  </w:style>
  <w:style w:type="character" w:styleId="Mentionnonrsolue">
    <w:name w:val="Unresolved Mention"/>
    <w:basedOn w:val="Policepardfaut"/>
    <w:uiPriority w:val="99"/>
    <w:semiHidden/>
    <w:unhideWhenUsed/>
    <w:rsid w:val="00421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6989-3375" TargetMode="External"/><Relationship Id="rId13" Type="http://schemas.openxmlformats.org/officeDocument/2006/relationships/hyperlink" Target="https://doi.org/10.1080/17470218.2014.897359" TargetMode="External"/><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j.neubiorev.2018.04.010" TargetMode="External"/><Relationship Id="rId7" Type="http://schemas.openxmlformats.org/officeDocument/2006/relationships/hyperlink" Target="mailto:Nicolas.masson@uclouvain.be" TargetMode="External"/><Relationship Id="rId12" Type="http://schemas.openxmlformats.org/officeDocument/2006/relationships/hyperlink" Target="https://doi.org/10.1016/j.jneumeth.2007.03.024" TargetMode="External"/><Relationship Id="rId17" Type="http://schemas.openxmlformats.org/officeDocument/2006/relationships/hyperlink" Target="https://doi.org/10.1177/096372141454975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758/s13428-011-0168-7" TargetMode="External"/><Relationship Id="rId20" Type="http://schemas.openxmlformats.org/officeDocument/2006/relationships/hyperlink" Target="http://dx.doi.org/10.1037/xlm000068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cub.2010.01.015"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dx.doi.org/10.1007/s00426-015-0668-7" TargetMode="External"/><Relationship Id="rId23"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hyperlink" Target="https://doi.org/10.1080/17470218.2014.892516" TargetMode="External"/><Relationship Id="rId4" Type="http://schemas.openxmlformats.org/officeDocument/2006/relationships/webSettings" Target="webSettings.xml"/><Relationship Id="rId9" Type="http://schemas.openxmlformats.org/officeDocument/2006/relationships/hyperlink" Target="https://doi.org/10.5964/jnc.6051" TargetMode="External"/><Relationship Id="rId14" Type="http://schemas.openxmlformats.org/officeDocument/2006/relationships/hyperlink" Target="https://doi.org/10.1016/j.cognition.2020.104262" TargetMode="External"/><Relationship Id="rId22" Type="http://schemas.openxmlformats.org/officeDocument/2006/relationships/hyperlink" Target="https://doi.org/10.1016/j.neubiorev.2015.09.00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FCD0A-8D3A-4519-8B2C-70B96BAF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11200</Words>
  <Characters>61601</Characters>
  <Application>Microsoft Office Word</Application>
  <DocSecurity>0</DocSecurity>
  <Lines>513</Lines>
  <Paragraphs>145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Université catholique de Louvain</Company>
  <LinksUpToDate>false</LinksUpToDate>
  <CharactersWithSpaces>72656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Masson</dc:creator>
  <cp:lastModifiedBy>Nicolas Masson</cp:lastModifiedBy>
  <cp:revision>5</cp:revision>
  <cp:lastPrinted>2022-09-22T07:45:00Z</cp:lastPrinted>
  <dcterms:created xsi:type="dcterms:W3CDTF">2023-09-22T13:11:00Z</dcterms:created>
  <dcterms:modified xsi:type="dcterms:W3CDTF">2023-09-22T13:32:00Z</dcterms:modified>
</cp:coreProperties>
</file>