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7E95" w:rsidRDefault="00177E95" w:rsidP="00A95D13">
      <w:pPr>
        <w:pStyle w:val="Default"/>
        <w:spacing w:after="240"/>
        <w:jc w:val="both"/>
        <w:rPr>
          <w:b/>
          <w:szCs w:val="23"/>
        </w:rPr>
      </w:pPr>
      <w:r>
        <w:rPr>
          <w:b/>
          <w:szCs w:val="23"/>
        </w:rPr>
        <w:t>Veiller au « bien-être » des agents pastoraux prêtres et laïcs : un service du « bien-être partagé » ?</w:t>
      </w:r>
    </w:p>
    <w:p w:rsidR="00177E95" w:rsidRPr="001731D7" w:rsidRDefault="00177E95" w:rsidP="00A95D13">
      <w:pPr>
        <w:pStyle w:val="Default"/>
        <w:spacing w:after="120"/>
        <w:jc w:val="both"/>
        <w:rPr>
          <w:i/>
          <w:color w:val="FF0000"/>
          <w:szCs w:val="23"/>
        </w:rPr>
      </w:pPr>
      <w:r>
        <w:rPr>
          <w:szCs w:val="23"/>
        </w:rPr>
        <w:t>La</w:t>
      </w:r>
      <w:r w:rsidR="00A95D13">
        <w:rPr>
          <w:szCs w:val="23"/>
        </w:rPr>
        <w:t xml:space="preserve"> réflexion proposée sur le « bien-être » des agents pastoraux est à situer dans le contexte des mutations que vivent les </w:t>
      </w:r>
      <w:r>
        <w:rPr>
          <w:szCs w:val="23"/>
        </w:rPr>
        <w:t>Églises chrétiennes en Occident, et particulièrement l’Église catholique dans les pays où cette confession a été majoritaire</w:t>
      </w:r>
      <w:r w:rsidR="00A95D13">
        <w:rPr>
          <w:szCs w:val="23"/>
        </w:rPr>
        <w:t xml:space="preserve">. </w:t>
      </w:r>
      <w:r w:rsidR="00116CB6">
        <w:rPr>
          <w:szCs w:val="23"/>
        </w:rPr>
        <w:t xml:space="preserve">La redécouverte de l’égale dignité de tous les baptisés et de la sacramentalité de l’épiscopat </w:t>
      </w:r>
      <w:r w:rsidR="00AF52F6">
        <w:rPr>
          <w:szCs w:val="23"/>
        </w:rPr>
        <w:t>au</w:t>
      </w:r>
      <w:r w:rsidR="00116CB6">
        <w:rPr>
          <w:szCs w:val="23"/>
        </w:rPr>
        <w:t xml:space="preserve"> concile Vatican II </w:t>
      </w:r>
      <w:r w:rsidR="00AF52F6">
        <w:rPr>
          <w:szCs w:val="23"/>
        </w:rPr>
        <w:t>a</w:t>
      </w:r>
      <w:r w:rsidR="00116CB6">
        <w:rPr>
          <w:szCs w:val="23"/>
        </w:rPr>
        <w:t xml:space="preserve"> </w:t>
      </w:r>
      <w:r w:rsidR="00AF52F6">
        <w:rPr>
          <w:szCs w:val="23"/>
        </w:rPr>
        <w:t>bouleversé</w:t>
      </w:r>
      <w:r w:rsidR="00116CB6">
        <w:rPr>
          <w:szCs w:val="23"/>
        </w:rPr>
        <w:t xml:space="preserve"> le « système ministériel »</w:t>
      </w:r>
      <w:r w:rsidR="00A95D13">
        <w:rPr>
          <w:szCs w:val="23"/>
        </w:rPr>
        <w:t xml:space="preserve">. </w:t>
      </w:r>
      <w:r w:rsidR="00AF52F6">
        <w:rPr>
          <w:szCs w:val="23"/>
        </w:rPr>
        <w:t xml:space="preserve">À cela s’ajoute un changement de position sociale qui </w:t>
      </w:r>
      <w:r w:rsidR="007E56FF">
        <w:rPr>
          <w:szCs w:val="23"/>
        </w:rPr>
        <w:t>la réduise à</w:t>
      </w:r>
      <w:r w:rsidR="00AF52F6">
        <w:rPr>
          <w:szCs w:val="23"/>
        </w:rPr>
        <w:t xml:space="preserve"> une voix parmi d’autres dans le concert des convictio</w:t>
      </w:r>
      <w:r w:rsidR="007E56FF">
        <w:rPr>
          <w:szCs w:val="23"/>
        </w:rPr>
        <w:t>ns</w:t>
      </w:r>
      <w:r w:rsidR="00AF52F6">
        <w:rPr>
          <w:szCs w:val="23"/>
        </w:rPr>
        <w:t xml:space="preserve">. </w:t>
      </w:r>
      <w:r w:rsidR="00974270" w:rsidRPr="001731D7">
        <w:rPr>
          <w:i/>
          <w:color w:val="FF0000"/>
          <w:szCs w:val="23"/>
        </w:rPr>
        <w:t xml:space="preserve">Cf. </w:t>
      </w:r>
      <w:proofErr w:type="spellStart"/>
      <w:r w:rsidR="00974270" w:rsidRPr="001731D7">
        <w:rPr>
          <w:i/>
          <w:color w:val="FF0000"/>
          <w:szCs w:val="23"/>
        </w:rPr>
        <w:t>Lapoute</w:t>
      </w:r>
      <w:proofErr w:type="spellEnd"/>
      <w:r w:rsidR="00974270" w:rsidRPr="001731D7">
        <w:rPr>
          <w:i/>
          <w:color w:val="FF0000"/>
          <w:szCs w:val="23"/>
        </w:rPr>
        <w:t xml:space="preserve"> </w:t>
      </w:r>
      <w:r w:rsidR="001731D7" w:rsidRPr="001731D7">
        <w:rPr>
          <w:i/>
          <w:color w:val="FF0000"/>
          <w:szCs w:val="23"/>
        </w:rPr>
        <w:t>p. 18-19 (Conversion missionnaire ?)</w:t>
      </w:r>
    </w:p>
    <w:p w:rsidR="00A95D13" w:rsidRDefault="00677868" w:rsidP="00A95D13">
      <w:pPr>
        <w:pStyle w:val="Default"/>
        <w:spacing w:after="120"/>
        <w:jc w:val="both"/>
        <w:rPr>
          <w:szCs w:val="23"/>
        </w:rPr>
      </w:pPr>
      <w:r>
        <w:rPr>
          <w:szCs w:val="23"/>
        </w:rPr>
        <w:t>Dessinons à gros traits les grosses évolutions au sein de ceux auxquels sont confiés des responsabilités ministérielles : diminution drastique du nombre de prêtres autochtones, développement de la présence de ceux qu’on appelle les « prêtres venus d’ailleurs », croissance des missions confiés à des laïcs.</w:t>
      </w:r>
      <w:r w:rsidR="001731D7">
        <w:rPr>
          <w:szCs w:val="23"/>
        </w:rPr>
        <w:t xml:space="preserve"> </w:t>
      </w:r>
      <w:r w:rsidR="001731D7" w:rsidRPr="001731D7">
        <w:rPr>
          <w:i/>
          <w:color w:val="FF0000"/>
          <w:szCs w:val="23"/>
        </w:rPr>
        <w:t>Cf. Théologiques</w:t>
      </w:r>
      <w:r w:rsidR="007E56FF" w:rsidRPr="001731D7">
        <w:rPr>
          <w:i/>
          <w:color w:val="FF0000"/>
          <w:szCs w:val="23"/>
        </w:rPr>
        <w:t xml:space="preserve"> </w:t>
      </w:r>
      <w:r>
        <w:rPr>
          <w:szCs w:val="23"/>
        </w:rPr>
        <w:t>Comment ces évolutions</w:t>
      </w:r>
      <w:r w:rsidR="007E56FF">
        <w:rPr>
          <w:szCs w:val="23"/>
        </w:rPr>
        <w:t xml:space="preserve"> – internes et externes – sont-elles vécues ? </w:t>
      </w:r>
      <w:r w:rsidR="00174D89">
        <w:rPr>
          <w:szCs w:val="23"/>
        </w:rPr>
        <w:t>Q</w:t>
      </w:r>
      <w:r w:rsidR="007E56FF">
        <w:rPr>
          <w:szCs w:val="23"/>
        </w:rPr>
        <w:t>uelques recherches récentes fournissent des éléments de diagnostic.</w:t>
      </w:r>
    </w:p>
    <w:p w:rsidR="007E56FF" w:rsidRPr="001731D7" w:rsidRDefault="007E56FF" w:rsidP="00A95D13">
      <w:pPr>
        <w:pStyle w:val="Default"/>
        <w:spacing w:after="120"/>
        <w:jc w:val="both"/>
        <w:rPr>
          <w:i/>
          <w:color w:val="FF0000"/>
          <w:szCs w:val="23"/>
        </w:rPr>
      </w:pPr>
      <w:r>
        <w:rPr>
          <w:szCs w:val="23"/>
        </w:rPr>
        <w:t xml:space="preserve">Giorgio </w:t>
      </w:r>
      <w:proofErr w:type="spellStart"/>
      <w:r>
        <w:rPr>
          <w:szCs w:val="23"/>
        </w:rPr>
        <w:t>Ronzoni</w:t>
      </w:r>
      <w:proofErr w:type="spellEnd"/>
      <w:r>
        <w:rPr>
          <w:szCs w:val="23"/>
        </w:rPr>
        <w:t>, prêtre italien, s’est intéressé au burn-out parmi ses confrères en se mettant à leur écoute. Parmi les premières causes de ce mal-être, ceux-ci invoquent le manque de clarté quant à leur mission propre, qui va de pair avec un manque de vision. Autre cause</w:t>
      </w:r>
      <w:r w:rsidR="00174D89">
        <w:rPr>
          <w:szCs w:val="23"/>
        </w:rPr>
        <w:t xml:space="preserve"> largement invoquée</w:t>
      </w:r>
      <w:r>
        <w:rPr>
          <w:szCs w:val="23"/>
        </w:rPr>
        <w:t> : l’absence de soutien</w:t>
      </w:r>
      <w:r w:rsidR="00174D89">
        <w:rPr>
          <w:szCs w:val="23"/>
        </w:rPr>
        <w:t>,</w:t>
      </w:r>
      <w:r>
        <w:rPr>
          <w:szCs w:val="23"/>
        </w:rPr>
        <w:t xml:space="preserve"> de leur supérieurs</w:t>
      </w:r>
      <w:r w:rsidR="00174D89">
        <w:rPr>
          <w:szCs w:val="23"/>
        </w:rPr>
        <w:t>, de leurs confrères ou de leurs paroissiens. Suit la surcharge de travail qui enlève tout espace pour la vie privée.</w:t>
      </w:r>
      <w:r w:rsidR="001731D7">
        <w:rPr>
          <w:szCs w:val="23"/>
        </w:rPr>
        <w:t xml:space="preserve"> </w:t>
      </w:r>
      <w:r w:rsidR="001731D7" w:rsidRPr="001731D7">
        <w:rPr>
          <w:i/>
          <w:color w:val="FF0000"/>
          <w:szCs w:val="23"/>
        </w:rPr>
        <w:t>Développer + Liège</w:t>
      </w:r>
      <w:r w:rsidR="001731D7">
        <w:rPr>
          <w:i/>
          <w:color w:val="FF0000"/>
          <w:szCs w:val="23"/>
        </w:rPr>
        <w:t xml:space="preserve"> + Bressan : accompagner la mutation de l’image du prêtre. Anne </w:t>
      </w:r>
      <w:proofErr w:type="spellStart"/>
      <w:r w:rsidR="001731D7">
        <w:rPr>
          <w:i/>
          <w:color w:val="FF0000"/>
          <w:szCs w:val="23"/>
        </w:rPr>
        <w:t>VdH</w:t>
      </w:r>
      <w:proofErr w:type="spellEnd"/>
      <w:r w:rsidR="001731D7">
        <w:rPr>
          <w:i/>
          <w:color w:val="FF0000"/>
          <w:szCs w:val="23"/>
        </w:rPr>
        <w:t> : charge portée – portable + intensité émotionnelle ; Ibarra déséquilibre demandes - ressources</w:t>
      </w:r>
    </w:p>
    <w:p w:rsidR="00174D89" w:rsidRPr="001731D7" w:rsidRDefault="00174D89" w:rsidP="00A95D13">
      <w:pPr>
        <w:pStyle w:val="Default"/>
        <w:spacing w:after="120"/>
        <w:jc w:val="both"/>
        <w:rPr>
          <w:i/>
          <w:color w:val="FF0000"/>
          <w:szCs w:val="23"/>
        </w:rPr>
      </w:pPr>
      <w:r>
        <w:rPr>
          <w:szCs w:val="23"/>
        </w:rPr>
        <w:t>Le colloque « Église et métiers » a confirmé la fragilité statutaire des laïcs en mission ecclésiale</w:t>
      </w:r>
      <w:r w:rsidR="00F94D34">
        <w:rPr>
          <w:szCs w:val="23"/>
        </w:rPr>
        <w:t xml:space="preserve"> : alors que </w:t>
      </w:r>
      <w:r w:rsidR="00F94D34" w:rsidRPr="00431D54">
        <w:t>prêtres et diacres</w:t>
      </w:r>
      <w:r w:rsidR="00F94D34">
        <w:t xml:space="preserve"> sont o</w:t>
      </w:r>
      <w:r w:rsidR="00F94D34" w:rsidRPr="00431D54">
        <w:t>rdonnés « à vie »</w:t>
      </w:r>
      <w:r w:rsidR="00F94D34">
        <w:t xml:space="preserve"> et exercent </w:t>
      </w:r>
      <w:r w:rsidR="00F94D34" w:rsidRPr="00431D54">
        <w:t>différents offices tout au long de leur vie</w:t>
      </w:r>
      <w:r w:rsidR="00F94D34">
        <w:t>,</w:t>
      </w:r>
      <w:r w:rsidR="00F94D34" w:rsidRPr="00431D54">
        <w:t xml:space="preserve"> les « laïcs en mission ecclésiale » reçoivent des missions successives qui ne sont pas inscrites dans une perspective de durée.</w:t>
      </w:r>
      <w:r w:rsidR="00F94D34">
        <w:t xml:space="preserve"> Cette « instabilité » </w:t>
      </w:r>
      <w:r w:rsidR="00D17DFE">
        <w:t>se traduit dans</w:t>
      </w:r>
      <w:r w:rsidR="00F94D34">
        <w:t xml:space="preserve"> des différences de traitement selon les pays, selon les diocèses</w:t>
      </w:r>
      <w:r w:rsidR="00D17DFE">
        <w:t>, et pour certains dans une imprécision de leur rôle</w:t>
      </w:r>
      <w:r w:rsidR="001731D7">
        <w:t xml:space="preserve"> </w:t>
      </w:r>
      <w:r w:rsidR="001731D7">
        <w:rPr>
          <w:i/>
          <w:color w:val="FF0000"/>
        </w:rPr>
        <w:t xml:space="preserve">= </w:t>
      </w:r>
      <w:proofErr w:type="spellStart"/>
      <w:r w:rsidR="001731D7">
        <w:rPr>
          <w:i/>
          <w:color w:val="FF0000"/>
          <w:szCs w:val="23"/>
        </w:rPr>
        <w:t>AVdH</w:t>
      </w:r>
      <w:proofErr w:type="spellEnd"/>
      <w:r w:rsidR="001731D7">
        <w:rPr>
          <w:i/>
          <w:color w:val="FF0000"/>
          <w:szCs w:val="23"/>
        </w:rPr>
        <w:t xml:space="preserve"> : </w:t>
      </w:r>
      <w:proofErr w:type="spellStart"/>
      <w:r w:rsidR="001731D7">
        <w:rPr>
          <w:i/>
          <w:color w:val="FF0000"/>
          <w:szCs w:val="23"/>
        </w:rPr>
        <w:t>Pieper</w:t>
      </w:r>
      <w:proofErr w:type="spellEnd"/>
    </w:p>
    <w:p w:rsidR="00F94D34" w:rsidRDefault="00F94D34" w:rsidP="00A95D13">
      <w:pPr>
        <w:pStyle w:val="Default"/>
        <w:spacing w:after="120"/>
        <w:jc w:val="both"/>
      </w:pPr>
      <w:r>
        <w:t xml:space="preserve">Venons-en aux « prêtres venus d’ailleurs », auxquels s’intéresse le professeur </w:t>
      </w:r>
      <w:proofErr w:type="spellStart"/>
      <w:r>
        <w:t>Join</w:t>
      </w:r>
      <w:proofErr w:type="spellEnd"/>
      <w:r>
        <w:t xml:space="preserve">-Lambert : grosses adaptations à vivre </w:t>
      </w:r>
      <w:r w:rsidR="00D17DFE">
        <w:t xml:space="preserve">pour ceux-ci en </w:t>
      </w:r>
      <w:r>
        <w:t>arrivant dans une Église en crise, où ils sont considérés comme étrangers</w:t>
      </w:r>
      <w:r w:rsidR="00D17DFE">
        <w:t>, difficultés qui peuvent provoquer découragement et entraîner certains à ne réaliser que le « minimum pastoral ».</w:t>
      </w:r>
      <w:r w:rsidR="001731D7">
        <w:t xml:space="preserve"> </w:t>
      </w:r>
      <w:r w:rsidR="001731D7" w:rsidRPr="001731D7">
        <w:rPr>
          <w:i/>
          <w:color w:val="FF0000"/>
          <w:szCs w:val="23"/>
        </w:rPr>
        <w:t>Développer</w:t>
      </w:r>
    </w:p>
    <w:p w:rsidR="00A960C1" w:rsidRDefault="00D17DFE" w:rsidP="00A960C1">
      <w:pPr>
        <w:pStyle w:val="Default"/>
        <w:spacing w:after="120"/>
        <w:jc w:val="both"/>
        <w:rPr>
          <w:szCs w:val="23"/>
        </w:rPr>
      </w:pPr>
      <w:r>
        <w:t>Dans cette situation complexe, « </w:t>
      </w:r>
      <w:r w:rsidRPr="00D17DFE">
        <w:t xml:space="preserve">veiller </w:t>
      </w:r>
      <w:r w:rsidRPr="00D17DFE">
        <w:rPr>
          <w:szCs w:val="23"/>
        </w:rPr>
        <w:t>au "bien-être" des agents pastoraux prêtres et laïcs</w:t>
      </w:r>
      <w:r>
        <w:rPr>
          <w:szCs w:val="23"/>
        </w:rPr>
        <w:t> »</w:t>
      </w:r>
      <w:r w:rsidR="00A14BE2">
        <w:rPr>
          <w:szCs w:val="23"/>
        </w:rPr>
        <w:t xml:space="preserve"> se révèle comme un impératif et les pistes proposées sont multiples. </w:t>
      </w:r>
      <w:r w:rsidR="001731D7" w:rsidRPr="001731D7">
        <w:rPr>
          <w:i/>
          <w:color w:val="FF0000"/>
          <w:szCs w:val="23"/>
        </w:rPr>
        <w:t>Développer</w:t>
      </w:r>
      <w:r w:rsidR="001731D7">
        <w:rPr>
          <w:i/>
          <w:color w:val="FF0000"/>
          <w:szCs w:val="23"/>
        </w:rPr>
        <w:t> : ≠ seulement besoin d’un acteur contre l’autre mais systémique =&gt; « bien-être partagé ».</w:t>
      </w:r>
      <w:bookmarkStart w:id="0" w:name="_GoBack"/>
      <w:bookmarkEnd w:id="0"/>
      <w:r w:rsidR="00A960C1">
        <w:rPr>
          <w:szCs w:val="23"/>
        </w:rPr>
        <w:t xml:space="preserve"> On peut les regrouper autour de trois mots-clés.</w:t>
      </w:r>
    </w:p>
    <w:p w:rsidR="00A960C1" w:rsidRDefault="00A960C1" w:rsidP="00A960C1">
      <w:pPr>
        <w:pStyle w:val="Default"/>
        <w:spacing w:after="120"/>
        <w:jc w:val="both"/>
        <w:rPr>
          <w:szCs w:val="23"/>
        </w:rPr>
      </w:pPr>
      <w:r>
        <w:rPr>
          <w:szCs w:val="23"/>
        </w:rPr>
        <w:t xml:space="preserve">Le </w:t>
      </w:r>
      <w:r w:rsidRPr="00E04526">
        <w:rPr>
          <w:b/>
          <w:szCs w:val="23"/>
        </w:rPr>
        <w:t>ressourcement</w:t>
      </w:r>
      <w:r>
        <w:rPr>
          <w:szCs w:val="23"/>
        </w:rPr>
        <w:t xml:space="preserve"> répond à une nécessité vitale pour les agents pastoraux. Il importe tout d’abord qu’ils veillent personnellement sur leur propre ressourcement. L’institution ecclésiale peut soutenir ce besoin de ressourcement en formant des accompagnateurs spirituels, et d’autre part en offrant régulièrement des temps de ressourcement qui peuvent prendre la forme de journée de prière ou de lieux réguliers de partage au sein des équipes de travail.</w:t>
      </w:r>
    </w:p>
    <w:p w:rsidR="00A960C1" w:rsidRDefault="00A960C1" w:rsidP="00A960C1">
      <w:pPr>
        <w:pStyle w:val="Default"/>
        <w:spacing w:after="120"/>
        <w:jc w:val="both"/>
        <w:rPr>
          <w:szCs w:val="23"/>
        </w:rPr>
      </w:pPr>
      <w:r>
        <w:rPr>
          <w:szCs w:val="23"/>
        </w:rPr>
        <w:t xml:space="preserve">L’exercice d’un ministère ecclésial demande à </w:t>
      </w:r>
      <w:r w:rsidRPr="00E04526">
        <w:rPr>
          <w:b/>
          <w:szCs w:val="23"/>
        </w:rPr>
        <w:t>être accompagné</w:t>
      </w:r>
      <w:r>
        <w:rPr>
          <w:szCs w:val="23"/>
        </w:rPr>
        <w:t xml:space="preserve">. Une première dimension de l’accompagnement est d’offrir un cadre clair : mission, horaire, équipe et personnes de référence, évaluation. Il est possible de mettre sur pied une supervision individuelle pour relire l’exercice de la mission ; c’est particulièrement important en début de mission. Les groupes </w:t>
      </w:r>
      <w:r>
        <w:rPr>
          <w:szCs w:val="23"/>
        </w:rPr>
        <w:lastRenderedPageBreak/>
        <w:t>d’analyse de pratiques professionnelles donnent l’occasion d’élargir son regard face aux défis de la mission et de développer une culture professionnelle, dans le soutien mutuel.</w:t>
      </w:r>
    </w:p>
    <w:p w:rsidR="00A960C1" w:rsidRDefault="00A960C1" w:rsidP="00A960C1">
      <w:pPr>
        <w:pStyle w:val="Default"/>
        <w:spacing w:after="120"/>
        <w:jc w:val="both"/>
        <w:rPr>
          <w:szCs w:val="23"/>
        </w:rPr>
      </w:pPr>
      <w:r>
        <w:rPr>
          <w:szCs w:val="23"/>
        </w:rPr>
        <w:t xml:space="preserve">La </w:t>
      </w:r>
      <w:r w:rsidRPr="00C40D14">
        <w:rPr>
          <w:b/>
          <w:szCs w:val="23"/>
        </w:rPr>
        <w:t>formation</w:t>
      </w:r>
      <w:r>
        <w:rPr>
          <w:szCs w:val="23"/>
        </w:rPr>
        <w:t xml:space="preserve"> peut également jouer son rôle, celui de développer les compétences d’une part : compétences transversales comme celles qui relèvent de l’écoute, de l’animation de groupe, du leadership, ou compétences spécifiques qui permettent à chacun de développer son charisme propre. D’autre part, elle peut offrir à une équipe, ou aux agents pastoraux d’une Église locale – unité pastorale, doyenné, diocèse – des espaces où se construit une culture commune.</w:t>
      </w:r>
    </w:p>
    <w:p w:rsidR="00A960C1" w:rsidRPr="00E04526" w:rsidRDefault="00A960C1" w:rsidP="00A960C1">
      <w:pPr>
        <w:pStyle w:val="Default"/>
        <w:spacing w:after="120"/>
        <w:jc w:val="both"/>
        <w:rPr>
          <w:szCs w:val="23"/>
        </w:rPr>
      </w:pPr>
      <w:r>
        <w:rPr>
          <w:szCs w:val="23"/>
        </w:rPr>
        <w:t>Dans cette palette de possibilités, chacun veillera selon sa responsabilité à mettre en œuvre ce qui est à sa portée. Relevons deux enjeux, dans la perspective du « bien-être partagé » qui nous occupe. Le premier, c’est de développer une culture ecclésiale où on prend soin les uns des autres. Car une institution qui prend soin développe une culture du soin. Le deuxième, c’est de construire le corps : il ne s’agit pas seulement d’accompagner – comme de ressourcer et former – des individus, mais d’offrir des espaces où ensemble, on s’accompagne dans la traversée des mutations, on porte les nouveaux défis de la mission, on construit une vision d’avenir.</w:t>
      </w:r>
    </w:p>
    <w:p w:rsidR="00A960C1" w:rsidRPr="00A14BE2" w:rsidRDefault="00A960C1" w:rsidP="00A14BE2">
      <w:pPr>
        <w:pStyle w:val="Default"/>
        <w:spacing w:after="120"/>
        <w:jc w:val="both"/>
        <w:rPr>
          <w:szCs w:val="23"/>
        </w:rPr>
      </w:pPr>
    </w:p>
    <w:sectPr w:rsidR="00A960C1" w:rsidRPr="00A14BE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4DD6" w:rsidRDefault="00D94DD6" w:rsidP="00F84A5C">
      <w:pPr>
        <w:spacing w:after="0" w:line="240" w:lineRule="auto"/>
      </w:pPr>
      <w:r>
        <w:separator/>
      </w:r>
    </w:p>
  </w:endnote>
  <w:endnote w:type="continuationSeparator" w:id="0">
    <w:p w:rsidR="00D94DD6" w:rsidRDefault="00D94DD6" w:rsidP="00F84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4DD6" w:rsidRDefault="00D94DD6" w:rsidP="00F84A5C">
      <w:pPr>
        <w:spacing w:after="0" w:line="240" w:lineRule="auto"/>
      </w:pPr>
      <w:r>
        <w:separator/>
      </w:r>
    </w:p>
  </w:footnote>
  <w:footnote w:type="continuationSeparator" w:id="0">
    <w:p w:rsidR="00D94DD6" w:rsidRDefault="00D94DD6" w:rsidP="00F84A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6F26795"/>
    <w:multiLevelType w:val="hybridMultilevel"/>
    <w:tmpl w:val="1EB44DD4"/>
    <w:lvl w:ilvl="0" w:tplc="1CF2C8A6">
      <w:numFmt w:val="bullet"/>
      <w:lvlText w:val=""/>
      <w:lvlJc w:val="left"/>
      <w:pPr>
        <w:ind w:left="720" w:hanging="360"/>
      </w:pPr>
      <w:rPr>
        <w:rFonts w:ascii="Symbol" w:eastAsiaTheme="minorHAnsi" w:hAnsi="Symbol"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A5C"/>
    <w:rsid w:val="00065572"/>
    <w:rsid w:val="00116CB6"/>
    <w:rsid w:val="001731D7"/>
    <w:rsid w:val="00174D89"/>
    <w:rsid w:val="00177E95"/>
    <w:rsid w:val="00363EB2"/>
    <w:rsid w:val="00600514"/>
    <w:rsid w:val="00677868"/>
    <w:rsid w:val="00750231"/>
    <w:rsid w:val="007E56FF"/>
    <w:rsid w:val="00974270"/>
    <w:rsid w:val="00996C8D"/>
    <w:rsid w:val="00A03A69"/>
    <w:rsid w:val="00A14BE2"/>
    <w:rsid w:val="00A95D13"/>
    <w:rsid w:val="00A960C1"/>
    <w:rsid w:val="00AB5E52"/>
    <w:rsid w:val="00AF52F6"/>
    <w:rsid w:val="00D17DFE"/>
    <w:rsid w:val="00D44FA2"/>
    <w:rsid w:val="00D94DD6"/>
    <w:rsid w:val="00F84A5C"/>
    <w:rsid w:val="00F94D3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F9CC3"/>
  <w15:chartTrackingRefBased/>
  <w15:docId w15:val="{51C5B997-7023-4940-9AF1-5B285D3C4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0514"/>
    <w:rPr>
      <w:rFonts w:ascii="Times New Roman" w:hAnsi="Times New Roman"/>
      <w:sz w:val="24"/>
    </w:rPr>
  </w:style>
  <w:style w:type="paragraph" w:styleId="Titre2">
    <w:name w:val="heading 2"/>
    <w:basedOn w:val="Normal"/>
    <w:link w:val="Titre2Car"/>
    <w:uiPriority w:val="9"/>
    <w:qFormat/>
    <w:rsid w:val="00F84A5C"/>
    <w:pPr>
      <w:spacing w:before="100" w:beforeAutospacing="1" w:after="100" w:afterAutospacing="1" w:line="240" w:lineRule="auto"/>
      <w:outlineLvl w:val="1"/>
    </w:pPr>
    <w:rPr>
      <w:rFonts w:eastAsia="Times New Roman" w:cs="Times New Roman"/>
      <w:b/>
      <w:bCs/>
      <w:sz w:val="36"/>
      <w:szCs w:val="36"/>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84A5C"/>
    <w:pPr>
      <w:autoSpaceDE w:val="0"/>
      <w:autoSpaceDN w:val="0"/>
      <w:adjustRightInd w:val="0"/>
      <w:spacing w:after="0" w:line="240" w:lineRule="auto"/>
    </w:pPr>
    <w:rPr>
      <w:rFonts w:ascii="Times New Roman" w:hAnsi="Times New Roman" w:cs="Times New Roman"/>
      <w:color w:val="000000"/>
      <w:sz w:val="24"/>
      <w:szCs w:val="24"/>
    </w:rPr>
  </w:style>
  <w:style w:type="paragraph" w:styleId="Notedebasdepage">
    <w:name w:val="footnote text"/>
    <w:basedOn w:val="Normal"/>
    <w:link w:val="NotedebasdepageCar"/>
    <w:uiPriority w:val="99"/>
    <w:semiHidden/>
    <w:unhideWhenUsed/>
    <w:rsid w:val="00F84A5C"/>
    <w:pPr>
      <w:spacing w:after="0" w:line="240" w:lineRule="auto"/>
    </w:pPr>
    <w:rPr>
      <w:rFonts w:asciiTheme="minorHAnsi" w:hAnsiTheme="minorHAnsi"/>
      <w:sz w:val="20"/>
      <w:szCs w:val="20"/>
    </w:rPr>
  </w:style>
  <w:style w:type="character" w:customStyle="1" w:styleId="NotedebasdepageCar">
    <w:name w:val="Note de bas de page Car"/>
    <w:basedOn w:val="Policepardfaut"/>
    <w:link w:val="Notedebasdepage"/>
    <w:uiPriority w:val="99"/>
    <w:semiHidden/>
    <w:rsid w:val="00F84A5C"/>
    <w:rPr>
      <w:sz w:val="20"/>
      <w:szCs w:val="20"/>
    </w:rPr>
  </w:style>
  <w:style w:type="character" w:styleId="Appelnotedebasdep">
    <w:name w:val="footnote reference"/>
    <w:basedOn w:val="Policepardfaut"/>
    <w:uiPriority w:val="99"/>
    <w:semiHidden/>
    <w:unhideWhenUsed/>
    <w:rsid w:val="00F84A5C"/>
    <w:rPr>
      <w:vertAlign w:val="superscript"/>
    </w:rPr>
  </w:style>
  <w:style w:type="character" w:customStyle="1" w:styleId="Titre2Car">
    <w:name w:val="Titre 2 Car"/>
    <w:basedOn w:val="Policepardfaut"/>
    <w:link w:val="Titre2"/>
    <w:uiPriority w:val="9"/>
    <w:rsid w:val="00F84A5C"/>
    <w:rPr>
      <w:rFonts w:ascii="Times New Roman" w:eastAsia="Times New Roman" w:hAnsi="Times New Roman" w:cs="Times New Roman"/>
      <w:b/>
      <w:bCs/>
      <w:sz w:val="36"/>
      <w:szCs w:val="36"/>
      <w:lang w:eastAsia="fr-BE"/>
    </w:rPr>
  </w:style>
  <w:style w:type="character" w:customStyle="1" w:styleId="a-size-medium">
    <w:name w:val="a-size-medium"/>
    <w:basedOn w:val="Policepardfaut"/>
    <w:rsid w:val="00F84A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4240836">
      <w:bodyDiv w:val="1"/>
      <w:marLeft w:val="0"/>
      <w:marRight w:val="0"/>
      <w:marTop w:val="0"/>
      <w:marBottom w:val="0"/>
      <w:divBdr>
        <w:top w:val="none" w:sz="0" w:space="0" w:color="auto"/>
        <w:left w:val="none" w:sz="0" w:space="0" w:color="auto"/>
        <w:bottom w:val="none" w:sz="0" w:space="0" w:color="auto"/>
        <w:right w:val="none" w:sz="0" w:space="0" w:color="auto"/>
      </w:divBdr>
    </w:div>
    <w:div w:id="1965042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779</Words>
  <Characters>4285</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Chevalier</dc:creator>
  <cp:keywords/>
  <dc:description/>
  <cp:lastModifiedBy>Catherine Chevalier</cp:lastModifiedBy>
  <cp:revision>4</cp:revision>
  <dcterms:created xsi:type="dcterms:W3CDTF">2019-06-01T12:50:00Z</dcterms:created>
  <dcterms:modified xsi:type="dcterms:W3CDTF">2019-06-01T14:34:00Z</dcterms:modified>
</cp:coreProperties>
</file>