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56B3C3" w14:textId="77777777" w:rsidR="00A80A0C" w:rsidRPr="00A80A0C" w:rsidRDefault="00A80A0C" w:rsidP="00A80A0C">
      <w:pPr>
        <w:adjustRightInd w:val="0"/>
        <w:jc w:val="center"/>
        <w:rPr>
          <w:rFonts w:eastAsia="MS Gothic"/>
          <w:b/>
          <w:bCs/>
          <w:color w:val="000000" w:themeColor="text1"/>
          <w:kern w:val="28"/>
          <w:sz w:val="28"/>
          <w:szCs w:val="32"/>
        </w:rPr>
      </w:pPr>
      <w:r w:rsidRPr="00A80A0C">
        <w:rPr>
          <w:rFonts w:eastAsia="MS Gothic"/>
          <w:b/>
          <w:bCs/>
          <w:color w:val="000000" w:themeColor="text1"/>
          <w:kern w:val="28"/>
          <w:sz w:val="28"/>
          <w:szCs w:val="32"/>
        </w:rPr>
        <w:t>Towards an integrated conceptual framework of Supply Chain Finance:</w:t>
      </w:r>
    </w:p>
    <w:p w14:paraId="383B0154" w14:textId="77777777" w:rsidR="00A80A0C" w:rsidRPr="00A80A0C" w:rsidRDefault="00A80A0C" w:rsidP="00A80A0C">
      <w:pPr>
        <w:adjustRightInd w:val="0"/>
        <w:jc w:val="center"/>
        <w:rPr>
          <w:rFonts w:eastAsia="Microsoft YaHei"/>
          <w:b/>
          <w:bCs/>
          <w:color w:val="000000" w:themeColor="text1"/>
        </w:rPr>
      </w:pPr>
      <w:r w:rsidRPr="00A80A0C">
        <w:rPr>
          <w:rFonts w:eastAsia="MS Gothic"/>
          <w:b/>
          <w:bCs/>
          <w:color w:val="000000" w:themeColor="text1"/>
          <w:kern w:val="28"/>
          <w:sz w:val="28"/>
          <w:szCs w:val="32"/>
        </w:rPr>
        <w:t>An information processing perspective</w:t>
      </w:r>
    </w:p>
    <w:p w14:paraId="4AAEC3EA" w14:textId="77777777" w:rsidR="00A80A0C" w:rsidRPr="00A80A0C" w:rsidRDefault="00A80A0C" w:rsidP="00A80A0C">
      <w:pPr>
        <w:adjustRightInd w:val="0"/>
        <w:rPr>
          <w:rFonts w:eastAsia="Microsoft YaHei"/>
          <w:b/>
          <w:bCs/>
          <w:color w:val="000000" w:themeColor="text1"/>
        </w:rPr>
      </w:pPr>
    </w:p>
    <w:p w14:paraId="2D9EBE07" w14:textId="77777777" w:rsidR="00A80A0C" w:rsidRPr="00A80A0C" w:rsidRDefault="00A80A0C" w:rsidP="00A80A0C">
      <w:pPr>
        <w:adjustRightInd w:val="0"/>
        <w:jc w:val="center"/>
        <w:rPr>
          <w:rFonts w:eastAsia="Microsoft YaHei"/>
          <w:bCs/>
          <w:color w:val="000000" w:themeColor="text1"/>
        </w:rPr>
      </w:pPr>
    </w:p>
    <w:p w14:paraId="3DECDA1A" w14:textId="77777777" w:rsidR="00A80A0C" w:rsidRPr="00A80A0C" w:rsidRDefault="00A80A0C" w:rsidP="00A80A0C">
      <w:pPr>
        <w:adjustRightInd w:val="0"/>
        <w:jc w:val="center"/>
        <w:rPr>
          <w:rFonts w:eastAsia="Microsoft YaHei"/>
          <w:b/>
          <w:bCs/>
          <w:color w:val="000000" w:themeColor="text1"/>
        </w:rPr>
      </w:pPr>
      <w:r w:rsidRPr="00A80A0C">
        <w:rPr>
          <w:rFonts w:eastAsia="Microsoft YaHei"/>
          <w:b/>
          <w:bCs/>
          <w:color w:val="000000" w:themeColor="text1"/>
        </w:rPr>
        <w:t>Fu Jia, PhD (First author)</w:t>
      </w:r>
    </w:p>
    <w:p w14:paraId="4277DCD4"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The York Management School</w:t>
      </w:r>
    </w:p>
    <w:p w14:paraId="0B5F9280"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University of York</w:t>
      </w:r>
    </w:p>
    <w:p w14:paraId="6C83F809" w14:textId="77777777" w:rsidR="00A80A0C" w:rsidRPr="00A80A0C" w:rsidRDefault="00A80A0C" w:rsidP="00A80A0C">
      <w:pPr>
        <w:adjustRightInd w:val="0"/>
        <w:jc w:val="center"/>
        <w:rPr>
          <w:rFonts w:eastAsia="Microsoft YaHei"/>
          <w:bCs/>
          <w:color w:val="000000" w:themeColor="text1"/>
        </w:rPr>
      </w:pPr>
      <w:proofErr w:type="spellStart"/>
      <w:r w:rsidRPr="00A80A0C">
        <w:rPr>
          <w:rFonts w:eastAsia="Microsoft YaHei"/>
          <w:bCs/>
          <w:color w:val="000000" w:themeColor="text1"/>
        </w:rPr>
        <w:t>Heslington</w:t>
      </w:r>
      <w:proofErr w:type="spellEnd"/>
      <w:r w:rsidRPr="00A80A0C">
        <w:rPr>
          <w:rFonts w:eastAsia="Microsoft YaHei"/>
          <w:bCs/>
          <w:color w:val="000000" w:themeColor="text1"/>
        </w:rPr>
        <w:t>, York YO10 5DD</w:t>
      </w:r>
    </w:p>
    <w:p w14:paraId="1DCF72AC"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Tel: +44 (0)1904 324855</w:t>
      </w:r>
    </w:p>
    <w:p w14:paraId="3A6EFEA3"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 xml:space="preserve">Email: </w:t>
      </w:r>
      <w:hyperlink r:id="rId7" w:history="1">
        <w:r w:rsidRPr="00A80A0C">
          <w:rPr>
            <w:rStyle w:val="Hyperlink"/>
            <w:rFonts w:eastAsia="Microsoft YaHei"/>
            <w:bCs/>
            <w:color w:val="000000" w:themeColor="text1"/>
          </w:rPr>
          <w:t>fu.jia@york.ac.uk</w:t>
        </w:r>
      </w:hyperlink>
      <w:r w:rsidRPr="00A80A0C">
        <w:rPr>
          <w:rFonts w:eastAsia="Microsoft YaHei"/>
          <w:bCs/>
          <w:color w:val="000000" w:themeColor="text1"/>
        </w:rPr>
        <w:t xml:space="preserve"> </w:t>
      </w:r>
    </w:p>
    <w:p w14:paraId="4F2B7800" w14:textId="77777777" w:rsidR="00A80A0C" w:rsidRPr="00A80A0C" w:rsidRDefault="00A80A0C" w:rsidP="00A80A0C">
      <w:pPr>
        <w:adjustRightInd w:val="0"/>
        <w:rPr>
          <w:rFonts w:eastAsia="Microsoft YaHei"/>
          <w:bCs/>
          <w:color w:val="000000" w:themeColor="text1"/>
        </w:rPr>
      </w:pPr>
    </w:p>
    <w:p w14:paraId="51A76819" w14:textId="77777777" w:rsidR="00A80A0C" w:rsidRPr="00A80A0C" w:rsidRDefault="00A80A0C" w:rsidP="00A80A0C">
      <w:pPr>
        <w:adjustRightInd w:val="0"/>
        <w:jc w:val="center"/>
        <w:rPr>
          <w:rFonts w:eastAsia="Microsoft YaHei"/>
          <w:b/>
          <w:bCs/>
          <w:color w:val="000000" w:themeColor="text1"/>
        </w:rPr>
      </w:pPr>
      <w:r w:rsidRPr="00A80A0C">
        <w:rPr>
          <w:rFonts w:eastAsia="Microsoft YaHei"/>
          <w:b/>
          <w:bCs/>
          <w:color w:val="000000" w:themeColor="text1"/>
        </w:rPr>
        <w:t xml:space="preserve">Constantin </w:t>
      </w:r>
      <w:proofErr w:type="spellStart"/>
      <w:r w:rsidRPr="00A80A0C">
        <w:rPr>
          <w:rFonts w:eastAsia="Microsoft YaHei"/>
          <w:b/>
          <w:bCs/>
          <w:color w:val="000000" w:themeColor="text1"/>
        </w:rPr>
        <w:t>Blome</w:t>
      </w:r>
      <w:proofErr w:type="spellEnd"/>
      <w:r w:rsidRPr="00A80A0C">
        <w:rPr>
          <w:rFonts w:eastAsia="Microsoft YaHei"/>
          <w:b/>
          <w:bCs/>
          <w:color w:val="000000" w:themeColor="text1"/>
        </w:rPr>
        <w:t xml:space="preserve"> (Second Author)</w:t>
      </w:r>
    </w:p>
    <w:p w14:paraId="1E516798" w14:textId="77777777" w:rsidR="00A80A0C" w:rsidRPr="00A80A0C" w:rsidRDefault="00A80A0C" w:rsidP="00A80A0C">
      <w:pPr>
        <w:adjustRightInd w:val="0"/>
        <w:jc w:val="center"/>
        <w:rPr>
          <w:rFonts w:eastAsia="Microsoft YaHei"/>
          <w:bCs/>
          <w:color w:val="000000" w:themeColor="text1"/>
        </w:rPr>
      </w:pPr>
      <w:proofErr w:type="spellStart"/>
      <w:r w:rsidRPr="00A80A0C">
        <w:rPr>
          <w:rFonts w:eastAsia="Microsoft YaHei"/>
          <w:bCs/>
          <w:color w:val="000000" w:themeColor="text1"/>
        </w:rPr>
        <w:t>BMEc</w:t>
      </w:r>
      <w:proofErr w:type="spellEnd"/>
    </w:p>
    <w:p w14:paraId="33FFE3E6"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University of Sussex</w:t>
      </w:r>
    </w:p>
    <w:p w14:paraId="7AD6B270"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Jubilee 302, Falmer, BN1 9SL, UK</w:t>
      </w:r>
    </w:p>
    <w:p w14:paraId="19886242"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Tel: +44 1273 87650</w:t>
      </w:r>
    </w:p>
    <w:p w14:paraId="202E434A"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Email: c.blome@sussex.ac.uk</w:t>
      </w:r>
    </w:p>
    <w:p w14:paraId="29D82209" w14:textId="77777777" w:rsidR="00A80A0C" w:rsidRPr="00A80A0C" w:rsidRDefault="00A80A0C" w:rsidP="00A80A0C">
      <w:pPr>
        <w:tabs>
          <w:tab w:val="left" w:pos="1340"/>
        </w:tabs>
        <w:adjustRightInd w:val="0"/>
        <w:rPr>
          <w:rFonts w:eastAsia="Microsoft YaHei"/>
          <w:bCs/>
          <w:color w:val="000000" w:themeColor="text1"/>
        </w:rPr>
      </w:pPr>
      <w:r w:rsidRPr="00A80A0C">
        <w:rPr>
          <w:rFonts w:eastAsia="Microsoft YaHei"/>
          <w:bCs/>
          <w:color w:val="000000" w:themeColor="text1"/>
        </w:rPr>
        <w:tab/>
      </w:r>
    </w:p>
    <w:p w14:paraId="639E76EE" w14:textId="77777777" w:rsidR="00A80A0C" w:rsidRPr="00A80A0C" w:rsidRDefault="00A80A0C" w:rsidP="00A80A0C">
      <w:pPr>
        <w:adjustRightInd w:val="0"/>
        <w:jc w:val="center"/>
        <w:rPr>
          <w:rFonts w:eastAsia="Microsoft YaHei"/>
          <w:b/>
          <w:bCs/>
          <w:color w:val="000000" w:themeColor="text1"/>
        </w:rPr>
      </w:pPr>
      <w:r w:rsidRPr="00A80A0C">
        <w:rPr>
          <w:rFonts w:eastAsia="Microsoft YaHei"/>
          <w:b/>
          <w:bCs/>
          <w:color w:val="000000" w:themeColor="text1"/>
        </w:rPr>
        <w:t>Hui Sun (Third author)</w:t>
      </w:r>
    </w:p>
    <w:p w14:paraId="51456320"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 xml:space="preserve">Management School, University of Shefﬁeld, </w:t>
      </w:r>
    </w:p>
    <w:p w14:paraId="6DF89438"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Shefﬁeld S10 1FL, UK; hsun19@shefﬁeld.ac.uk</w:t>
      </w:r>
    </w:p>
    <w:p w14:paraId="745B2120" w14:textId="77777777" w:rsidR="00A80A0C" w:rsidRPr="00A80A0C" w:rsidRDefault="00A80A0C" w:rsidP="00A80A0C">
      <w:pPr>
        <w:adjustRightInd w:val="0"/>
        <w:jc w:val="center"/>
        <w:rPr>
          <w:rFonts w:eastAsia="Microsoft YaHei"/>
          <w:bCs/>
          <w:color w:val="000000" w:themeColor="text1"/>
        </w:rPr>
      </w:pPr>
    </w:p>
    <w:p w14:paraId="6712C155" w14:textId="77777777" w:rsidR="00A80A0C" w:rsidRPr="00A80A0C" w:rsidRDefault="00A80A0C" w:rsidP="00A80A0C">
      <w:pPr>
        <w:adjustRightInd w:val="0"/>
        <w:jc w:val="center"/>
        <w:rPr>
          <w:rFonts w:eastAsia="Microsoft YaHei"/>
          <w:b/>
          <w:bCs/>
          <w:color w:val="000000" w:themeColor="text1"/>
        </w:rPr>
      </w:pPr>
      <w:r w:rsidRPr="00A80A0C">
        <w:rPr>
          <w:rFonts w:eastAsia="Microsoft YaHei"/>
          <w:b/>
          <w:bCs/>
          <w:color w:val="000000" w:themeColor="text1"/>
        </w:rPr>
        <w:t xml:space="preserve">Yang </w:t>
      </w:r>
      <w:proofErr w:type="spellStart"/>
      <w:r w:rsidRPr="00A80A0C">
        <w:rPr>
          <w:rFonts w:eastAsia="Microsoft YaHei"/>
          <w:b/>
          <w:bCs/>
          <w:color w:val="000000" w:themeColor="text1"/>
        </w:rPr>
        <w:t>Yang</w:t>
      </w:r>
      <w:proofErr w:type="spellEnd"/>
      <w:r w:rsidRPr="00A80A0C">
        <w:rPr>
          <w:rFonts w:eastAsia="Microsoft YaHei"/>
          <w:b/>
          <w:bCs/>
          <w:color w:val="000000" w:themeColor="text1"/>
        </w:rPr>
        <w:t xml:space="preserve"> (Fourth author)</w:t>
      </w:r>
    </w:p>
    <w:p w14:paraId="558FCBB2"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Xiamen University</w:t>
      </w:r>
    </w:p>
    <w:p w14:paraId="08864223"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 xml:space="preserve">No. 422, </w:t>
      </w:r>
      <w:proofErr w:type="spellStart"/>
      <w:r w:rsidRPr="00A80A0C">
        <w:rPr>
          <w:rFonts w:eastAsia="Microsoft YaHei"/>
          <w:bCs/>
          <w:color w:val="000000" w:themeColor="text1"/>
        </w:rPr>
        <w:t>Siming</w:t>
      </w:r>
      <w:proofErr w:type="spellEnd"/>
      <w:r w:rsidRPr="00A80A0C">
        <w:rPr>
          <w:rFonts w:eastAsia="Microsoft YaHei"/>
          <w:bCs/>
          <w:color w:val="000000" w:themeColor="text1"/>
        </w:rPr>
        <w:t xml:space="preserve"> South Road, Xiamen, Fujian, China. 361005</w:t>
      </w:r>
    </w:p>
    <w:p w14:paraId="21A3DD5B"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 xml:space="preserve">Email: yang2535@foxmail.com; </w:t>
      </w:r>
    </w:p>
    <w:p w14:paraId="266FBF15"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Tel: +86 13023992535</w:t>
      </w:r>
    </w:p>
    <w:p w14:paraId="280245FF" w14:textId="77777777" w:rsidR="00A80A0C" w:rsidRPr="00A80A0C" w:rsidRDefault="00A80A0C" w:rsidP="00A80A0C">
      <w:pPr>
        <w:adjustRightInd w:val="0"/>
        <w:jc w:val="center"/>
        <w:rPr>
          <w:rFonts w:eastAsia="Microsoft YaHei"/>
          <w:bCs/>
          <w:color w:val="000000" w:themeColor="text1"/>
        </w:rPr>
      </w:pPr>
    </w:p>
    <w:p w14:paraId="7A441868" w14:textId="77777777" w:rsidR="00A80A0C" w:rsidRPr="00A80A0C" w:rsidRDefault="00A80A0C" w:rsidP="00A80A0C">
      <w:pPr>
        <w:adjustRightInd w:val="0"/>
        <w:jc w:val="center"/>
        <w:rPr>
          <w:rFonts w:eastAsia="Microsoft YaHei"/>
          <w:b/>
          <w:bCs/>
          <w:color w:val="000000" w:themeColor="text1"/>
        </w:rPr>
      </w:pPr>
      <w:proofErr w:type="spellStart"/>
      <w:r w:rsidRPr="00A80A0C">
        <w:rPr>
          <w:rFonts w:eastAsia="Microsoft YaHei"/>
          <w:b/>
          <w:bCs/>
          <w:color w:val="000000" w:themeColor="text1"/>
        </w:rPr>
        <w:t>Bangdong</w:t>
      </w:r>
      <w:proofErr w:type="spellEnd"/>
      <w:r w:rsidRPr="00A80A0C">
        <w:rPr>
          <w:rFonts w:eastAsia="Microsoft YaHei"/>
          <w:b/>
          <w:bCs/>
          <w:color w:val="000000" w:themeColor="text1"/>
        </w:rPr>
        <w:t xml:space="preserve"> </w:t>
      </w:r>
      <w:proofErr w:type="spellStart"/>
      <w:r w:rsidRPr="00A80A0C">
        <w:rPr>
          <w:rFonts w:eastAsia="Microsoft YaHei"/>
          <w:b/>
          <w:bCs/>
          <w:color w:val="000000" w:themeColor="text1"/>
        </w:rPr>
        <w:t>Zhi</w:t>
      </w:r>
      <w:proofErr w:type="spellEnd"/>
      <w:r w:rsidRPr="00A80A0C">
        <w:rPr>
          <w:rFonts w:eastAsia="Microsoft YaHei"/>
          <w:b/>
          <w:bCs/>
          <w:color w:val="000000" w:themeColor="text1"/>
        </w:rPr>
        <w:t xml:space="preserve"> (Fifth author)</w:t>
      </w:r>
    </w:p>
    <w:p w14:paraId="216946A5"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University of Bristol</w:t>
      </w:r>
    </w:p>
    <w:p w14:paraId="5EC7DAF7"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School of Economics, Finance and Management</w:t>
      </w:r>
    </w:p>
    <w:p w14:paraId="34282A52"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8 Woodland Road, Priory Road Complex</w:t>
      </w:r>
    </w:p>
    <w:p w14:paraId="03EC578C" w14:textId="77777777" w:rsidR="00A80A0C" w:rsidRPr="00A80A0C" w:rsidRDefault="00A80A0C" w:rsidP="00A80A0C">
      <w:pPr>
        <w:adjustRightInd w:val="0"/>
        <w:jc w:val="center"/>
        <w:rPr>
          <w:rFonts w:eastAsia="Microsoft YaHei"/>
          <w:bCs/>
          <w:color w:val="000000" w:themeColor="text1"/>
        </w:rPr>
      </w:pPr>
      <w:r w:rsidRPr="00A80A0C">
        <w:rPr>
          <w:rFonts w:eastAsia="Microsoft YaHei"/>
          <w:bCs/>
          <w:color w:val="000000" w:themeColor="text1"/>
        </w:rPr>
        <w:t>Bristol BS8 1</w:t>
      </w:r>
      <w:proofErr w:type="gramStart"/>
      <w:r w:rsidRPr="00A80A0C">
        <w:rPr>
          <w:rFonts w:eastAsia="Microsoft YaHei"/>
          <w:bCs/>
          <w:color w:val="000000" w:themeColor="text1"/>
        </w:rPr>
        <w:t>TU  UK</w:t>
      </w:r>
      <w:proofErr w:type="gramEnd"/>
    </w:p>
    <w:p w14:paraId="1CE73B7A" w14:textId="77777777" w:rsidR="00A80A0C" w:rsidRPr="00A80A0C" w:rsidRDefault="00A80A0C" w:rsidP="00A80A0C">
      <w:pPr>
        <w:adjustRightInd w:val="0"/>
        <w:jc w:val="center"/>
        <w:rPr>
          <w:rFonts w:eastAsia="Microsoft YaHei"/>
          <w:bCs/>
          <w:color w:val="000000" w:themeColor="text1"/>
        </w:rPr>
      </w:pPr>
    </w:p>
    <w:p w14:paraId="6DE171D6" w14:textId="77777777" w:rsidR="00A80A0C" w:rsidRPr="00A80A0C" w:rsidRDefault="00A80A0C" w:rsidP="00A80A0C">
      <w:pPr>
        <w:adjustRightInd w:val="0"/>
        <w:jc w:val="center"/>
        <w:rPr>
          <w:rFonts w:eastAsia="Microsoft YaHei"/>
          <w:b/>
          <w:bCs/>
          <w:color w:val="000000" w:themeColor="text1"/>
        </w:rPr>
      </w:pPr>
    </w:p>
    <w:p w14:paraId="7CD9199F" w14:textId="77777777" w:rsidR="00A80A0C" w:rsidRPr="00A80A0C" w:rsidRDefault="00A80A0C" w:rsidP="00A80A0C">
      <w:pPr>
        <w:adjustRightInd w:val="0"/>
        <w:jc w:val="center"/>
        <w:rPr>
          <w:rFonts w:eastAsia="Microsoft YaHei"/>
          <w:b/>
          <w:bCs/>
          <w:color w:val="000000" w:themeColor="text1"/>
        </w:rPr>
      </w:pPr>
    </w:p>
    <w:p w14:paraId="2FB8E4C5" w14:textId="77777777" w:rsidR="00A80A0C" w:rsidRPr="00A80A0C" w:rsidRDefault="00A80A0C" w:rsidP="00A80A0C">
      <w:pPr>
        <w:adjustRightInd w:val="0"/>
        <w:jc w:val="center"/>
        <w:rPr>
          <w:rFonts w:eastAsia="Microsoft YaHei"/>
          <w:b/>
          <w:bCs/>
          <w:color w:val="000000" w:themeColor="text1"/>
        </w:rPr>
      </w:pPr>
    </w:p>
    <w:p w14:paraId="632D24B8" w14:textId="77777777" w:rsidR="00A80A0C" w:rsidRPr="00A80A0C" w:rsidRDefault="00A80A0C" w:rsidP="00A80A0C">
      <w:pPr>
        <w:adjustRightInd w:val="0"/>
        <w:rPr>
          <w:rFonts w:eastAsia="Microsoft YaHei"/>
          <w:b/>
          <w:bCs/>
          <w:color w:val="000000" w:themeColor="text1"/>
        </w:rPr>
      </w:pPr>
    </w:p>
    <w:p w14:paraId="4E8314E3" w14:textId="77777777" w:rsidR="00A80A0C" w:rsidRPr="00A80A0C" w:rsidRDefault="00A80A0C" w:rsidP="00FC7D81">
      <w:pPr>
        <w:jc w:val="center"/>
        <w:rPr>
          <w:b/>
          <w:color w:val="000000" w:themeColor="text1"/>
          <w:sz w:val="24"/>
          <w:szCs w:val="24"/>
        </w:rPr>
      </w:pPr>
    </w:p>
    <w:p w14:paraId="4A59B2A0" w14:textId="77777777" w:rsidR="00A80A0C" w:rsidRPr="00A80A0C" w:rsidRDefault="00A80A0C" w:rsidP="00FC7D81">
      <w:pPr>
        <w:jc w:val="center"/>
        <w:rPr>
          <w:b/>
          <w:color w:val="000000" w:themeColor="text1"/>
          <w:sz w:val="24"/>
          <w:szCs w:val="24"/>
        </w:rPr>
      </w:pPr>
    </w:p>
    <w:p w14:paraId="53821802" w14:textId="77777777" w:rsidR="00A80A0C" w:rsidRPr="00A80A0C" w:rsidRDefault="00A80A0C" w:rsidP="00FC7D81">
      <w:pPr>
        <w:jc w:val="center"/>
        <w:rPr>
          <w:b/>
          <w:color w:val="000000" w:themeColor="text1"/>
          <w:sz w:val="24"/>
          <w:szCs w:val="24"/>
        </w:rPr>
      </w:pPr>
    </w:p>
    <w:p w14:paraId="68E5A146" w14:textId="77777777" w:rsidR="00A80A0C" w:rsidRPr="00A80A0C" w:rsidRDefault="00A80A0C" w:rsidP="00FC7D81">
      <w:pPr>
        <w:jc w:val="center"/>
        <w:rPr>
          <w:b/>
          <w:color w:val="000000" w:themeColor="text1"/>
          <w:sz w:val="24"/>
          <w:szCs w:val="24"/>
        </w:rPr>
      </w:pPr>
    </w:p>
    <w:p w14:paraId="5CFF23D7" w14:textId="40DFE875" w:rsidR="00871C0F" w:rsidRPr="00A80A0C" w:rsidRDefault="00871C0F" w:rsidP="00FC7D81">
      <w:pPr>
        <w:jc w:val="center"/>
        <w:rPr>
          <w:b/>
          <w:color w:val="000000" w:themeColor="text1"/>
          <w:sz w:val="24"/>
          <w:szCs w:val="24"/>
        </w:rPr>
      </w:pPr>
      <w:r w:rsidRPr="00A80A0C">
        <w:rPr>
          <w:b/>
          <w:color w:val="000000" w:themeColor="text1"/>
          <w:sz w:val="24"/>
          <w:szCs w:val="24"/>
        </w:rPr>
        <w:lastRenderedPageBreak/>
        <w:t xml:space="preserve">Towards an </w:t>
      </w:r>
      <w:bookmarkStart w:id="0" w:name="_GoBack"/>
      <w:bookmarkEnd w:id="0"/>
      <w:r w:rsidRPr="00A80A0C">
        <w:rPr>
          <w:b/>
          <w:color w:val="000000" w:themeColor="text1"/>
          <w:sz w:val="24"/>
          <w:szCs w:val="24"/>
        </w:rPr>
        <w:t>Integrated Conceptual Framework of Supply Chain Finance:</w:t>
      </w:r>
    </w:p>
    <w:p w14:paraId="430ECCEA" w14:textId="77777777" w:rsidR="00871C0F" w:rsidRPr="00A80A0C" w:rsidRDefault="00871C0F" w:rsidP="00FC7D81">
      <w:pPr>
        <w:jc w:val="center"/>
        <w:rPr>
          <w:b/>
          <w:color w:val="000000" w:themeColor="text1"/>
          <w:sz w:val="24"/>
          <w:szCs w:val="24"/>
        </w:rPr>
      </w:pPr>
      <w:r w:rsidRPr="00A80A0C">
        <w:rPr>
          <w:b/>
          <w:color w:val="000000" w:themeColor="text1"/>
          <w:sz w:val="24"/>
          <w:szCs w:val="24"/>
        </w:rPr>
        <w:t xml:space="preserve">An </w:t>
      </w:r>
      <w:bookmarkStart w:id="1" w:name="OLE_LINK20"/>
      <w:bookmarkStart w:id="2" w:name="OLE_LINK21"/>
      <w:r w:rsidRPr="00A80A0C">
        <w:rPr>
          <w:b/>
          <w:color w:val="000000" w:themeColor="text1"/>
          <w:sz w:val="24"/>
          <w:szCs w:val="24"/>
        </w:rPr>
        <w:t>Information Processing</w:t>
      </w:r>
      <w:bookmarkEnd w:id="1"/>
      <w:bookmarkEnd w:id="2"/>
      <w:r w:rsidRPr="00A80A0C">
        <w:rPr>
          <w:b/>
          <w:color w:val="000000" w:themeColor="text1"/>
          <w:sz w:val="24"/>
          <w:szCs w:val="24"/>
        </w:rPr>
        <w:t xml:space="preserve"> </w:t>
      </w:r>
      <w:bookmarkStart w:id="3" w:name="OLE_LINK22"/>
      <w:bookmarkStart w:id="4" w:name="OLE_LINK23"/>
      <w:r w:rsidRPr="00A80A0C">
        <w:rPr>
          <w:b/>
          <w:color w:val="000000" w:themeColor="text1"/>
          <w:sz w:val="24"/>
          <w:szCs w:val="24"/>
        </w:rPr>
        <w:t>Perspective</w:t>
      </w:r>
      <w:bookmarkEnd w:id="3"/>
      <w:bookmarkEnd w:id="4"/>
    </w:p>
    <w:p w14:paraId="29D816BC" w14:textId="77777777" w:rsidR="00871C0F" w:rsidRPr="00A80A0C" w:rsidRDefault="00871C0F" w:rsidP="00FC7D81">
      <w:pPr>
        <w:spacing w:line="360" w:lineRule="auto"/>
        <w:jc w:val="center"/>
        <w:rPr>
          <w:color w:val="000000" w:themeColor="text1"/>
          <w:sz w:val="24"/>
          <w:szCs w:val="24"/>
        </w:rPr>
      </w:pPr>
    </w:p>
    <w:p w14:paraId="61ECE916" w14:textId="77777777" w:rsidR="00871C0F" w:rsidRPr="00A80A0C" w:rsidRDefault="00871C0F" w:rsidP="00FC7D81">
      <w:pPr>
        <w:spacing w:line="360" w:lineRule="auto"/>
        <w:rPr>
          <w:color w:val="000000" w:themeColor="text1"/>
          <w:sz w:val="24"/>
          <w:szCs w:val="24"/>
        </w:rPr>
      </w:pPr>
      <w:r w:rsidRPr="00A80A0C">
        <w:rPr>
          <w:b/>
          <w:color w:val="000000" w:themeColor="text1"/>
          <w:sz w:val="24"/>
          <w:szCs w:val="24"/>
        </w:rPr>
        <w:t>Abstract:</w:t>
      </w:r>
      <w:r w:rsidRPr="00A80A0C">
        <w:rPr>
          <w:color w:val="000000" w:themeColor="text1"/>
          <w:sz w:val="24"/>
          <w:szCs w:val="24"/>
        </w:rPr>
        <w:t xml:space="preserve"> Based on a systematic review of SCF literature and the information processing theory, this paper builds an integrated conceptual framework to illustrate how SCF providers deal with uncertainties, develop capabilities and further achieve whole </w:t>
      </w:r>
      <w:r w:rsidR="00FC2D6C" w:rsidRPr="00A80A0C">
        <w:rPr>
          <w:color w:val="000000" w:themeColor="text1"/>
          <w:sz w:val="24"/>
          <w:szCs w:val="24"/>
        </w:rPr>
        <w:t xml:space="preserve">financial </w:t>
      </w:r>
      <w:r w:rsidRPr="00A80A0C">
        <w:rPr>
          <w:color w:val="000000" w:themeColor="text1"/>
          <w:sz w:val="24"/>
          <w:szCs w:val="24"/>
        </w:rPr>
        <w:t>supply chain (SC) integration. It shows that uncertainties faced by SCF providers (including SCF task characteristics, SCF task environment and SCF task independence) delineate the information processing requirements. To meet these requirements, SCF providers could improve information processing capacity by enabling some mechanisms (i.e., organisation structure design, coordination and control, and information technology). The fit between SCF providers’ information processing requirements and capacity could further improve SCF capability, which would help to achieve integration</w:t>
      </w:r>
      <w:r w:rsidRPr="00A80A0C" w:rsidDel="00E87C20">
        <w:rPr>
          <w:color w:val="000000" w:themeColor="text1"/>
          <w:sz w:val="24"/>
          <w:szCs w:val="24"/>
        </w:rPr>
        <w:t xml:space="preserve"> </w:t>
      </w:r>
      <w:r w:rsidRPr="00A80A0C">
        <w:rPr>
          <w:color w:val="000000" w:themeColor="text1"/>
          <w:sz w:val="24"/>
          <w:szCs w:val="24"/>
        </w:rPr>
        <w:t>of the whole financial SC. Building on this framework, seven future research directions are provided.</w:t>
      </w:r>
    </w:p>
    <w:p w14:paraId="58B6D312" w14:textId="77777777" w:rsidR="00871C0F" w:rsidRPr="00A80A0C" w:rsidRDefault="00871C0F" w:rsidP="00FC7D81">
      <w:pPr>
        <w:spacing w:line="360" w:lineRule="auto"/>
        <w:rPr>
          <w:color w:val="000000" w:themeColor="text1"/>
          <w:sz w:val="24"/>
          <w:szCs w:val="24"/>
        </w:rPr>
      </w:pPr>
    </w:p>
    <w:p w14:paraId="78CC50D2" w14:textId="77777777" w:rsidR="00871C0F" w:rsidRPr="00A80A0C" w:rsidRDefault="00871C0F" w:rsidP="00FC7D81">
      <w:pPr>
        <w:spacing w:line="360" w:lineRule="auto"/>
        <w:rPr>
          <w:color w:val="000000" w:themeColor="text1"/>
          <w:sz w:val="24"/>
          <w:szCs w:val="24"/>
        </w:rPr>
      </w:pPr>
      <w:r w:rsidRPr="00A80A0C">
        <w:rPr>
          <w:b/>
          <w:color w:val="000000" w:themeColor="text1"/>
          <w:sz w:val="24"/>
          <w:szCs w:val="24"/>
        </w:rPr>
        <w:t>Keywords:</w:t>
      </w:r>
      <w:r w:rsidRPr="00A80A0C">
        <w:rPr>
          <w:color w:val="000000" w:themeColor="text1"/>
          <w:sz w:val="24"/>
          <w:szCs w:val="24"/>
        </w:rPr>
        <w:t xml:space="preserve"> Supply chain finance; Literature review; Information processing theory</w:t>
      </w:r>
    </w:p>
    <w:p w14:paraId="51458F16" w14:textId="77777777" w:rsidR="00871C0F" w:rsidRPr="00A80A0C" w:rsidRDefault="00871C0F" w:rsidP="00FC7D81">
      <w:pPr>
        <w:spacing w:line="360" w:lineRule="auto"/>
        <w:rPr>
          <w:color w:val="000000" w:themeColor="text1"/>
          <w:sz w:val="24"/>
          <w:szCs w:val="24"/>
        </w:rPr>
      </w:pPr>
    </w:p>
    <w:p w14:paraId="748F1023" w14:textId="77777777" w:rsidR="00871C0F" w:rsidRPr="00A80A0C" w:rsidRDefault="009271EC" w:rsidP="009271EC">
      <w:pPr>
        <w:pStyle w:val="Heading1"/>
        <w:spacing w:beforeLines="50" w:before="156" w:afterLines="50" w:after="156" w:line="360" w:lineRule="auto"/>
        <w:ind w:left="0"/>
        <w:rPr>
          <w:color w:val="000000" w:themeColor="text1"/>
          <w:szCs w:val="24"/>
        </w:rPr>
      </w:pPr>
      <w:r w:rsidRPr="00A80A0C">
        <w:rPr>
          <w:color w:val="000000" w:themeColor="text1"/>
          <w:szCs w:val="24"/>
        </w:rPr>
        <w:t xml:space="preserve">1. </w:t>
      </w:r>
      <w:r w:rsidR="00871C0F" w:rsidRPr="00A80A0C">
        <w:rPr>
          <w:color w:val="000000" w:themeColor="text1"/>
          <w:szCs w:val="24"/>
        </w:rPr>
        <w:t>Introduction</w:t>
      </w:r>
    </w:p>
    <w:p w14:paraId="2F6B040E" w14:textId="1E4F0BE6" w:rsidR="00871C0F" w:rsidRPr="00A80A0C" w:rsidRDefault="00871C0F" w:rsidP="008F0404">
      <w:pPr>
        <w:spacing w:line="360" w:lineRule="auto"/>
        <w:rPr>
          <w:color w:val="000000" w:themeColor="text1"/>
          <w:sz w:val="24"/>
        </w:rPr>
      </w:pPr>
      <w:r w:rsidRPr="00A80A0C">
        <w:rPr>
          <w:color w:val="000000" w:themeColor="text1"/>
          <w:sz w:val="24"/>
          <w:szCs w:val="24"/>
        </w:rPr>
        <w:t>Since the financial crisis of 2008, firms and their supply chain (SC) partners have been facing constrained cash flows and have found it difficult to get financing from banks. To handle this adverse situation, SC actors are trying to reduce their working capital, cut interest expenses, and decrease their debt ratios through financial mechanisms, such as factoring, trade financing (Schäfer and Baumann, 2014) and inventory financing (</w:t>
      </w:r>
      <w:proofErr w:type="spellStart"/>
      <w:r w:rsidRPr="00A80A0C">
        <w:rPr>
          <w:color w:val="000000" w:themeColor="text1"/>
          <w:sz w:val="24"/>
          <w:szCs w:val="24"/>
        </w:rPr>
        <w:t>Basu</w:t>
      </w:r>
      <w:proofErr w:type="spellEnd"/>
      <w:r w:rsidRPr="00A80A0C">
        <w:rPr>
          <w:color w:val="000000" w:themeColor="text1"/>
          <w:sz w:val="24"/>
          <w:szCs w:val="24"/>
        </w:rPr>
        <w:t xml:space="preserve"> and Nair, 2012). Hence, supply chain finance (SCF) practices are gradually emerging (Gelsomino et al., 2016). The objective of SCF is to align financial flows with product and information flows in order to improve cash-flow management from a SC perspective </w:t>
      </w:r>
      <w:r w:rsidRPr="00A80A0C">
        <w:rPr>
          <w:noProof/>
          <w:color w:val="000000" w:themeColor="text1"/>
          <w:sz w:val="24"/>
          <w:szCs w:val="24"/>
        </w:rPr>
        <w:t>(Wuttke et al., 2013)</w:t>
      </w:r>
      <w:r w:rsidRPr="00A80A0C">
        <w:rPr>
          <w:color w:val="000000" w:themeColor="text1"/>
          <w:sz w:val="24"/>
          <w:szCs w:val="24"/>
        </w:rPr>
        <w:t>. SCF practices have not only optimised working capital in the SC but have also paved the way for better integration of the three flows in the SC by reducing supplier default risk and simplifying processes (</w:t>
      </w:r>
      <w:proofErr w:type="spellStart"/>
      <w:r w:rsidRPr="00A80A0C">
        <w:rPr>
          <w:color w:val="000000" w:themeColor="text1"/>
          <w:sz w:val="24"/>
          <w:szCs w:val="24"/>
        </w:rPr>
        <w:t>Liebl</w:t>
      </w:r>
      <w:proofErr w:type="spellEnd"/>
      <w:r w:rsidRPr="00A80A0C">
        <w:rPr>
          <w:color w:val="000000" w:themeColor="text1"/>
          <w:sz w:val="24"/>
          <w:szCs w:val="24"/>
        </w:rPr>
        <w:t xml:space="preserve"> et al., 2016; Martin and Hofmann, 2017).</w:t>
      </w:r>
      <w:r w:rsidRPr="00A80A0C">
        <w:rPr>
          <w:bCs/>
          <w:color w:val="000000" w:themeColor="text1"/>
          <w:sz w:val="24"/>
          <w:szCs w:val="24"/>
        </w:rPr>
        <w:t xml:space="preserve"> </w:t>
      </w:r>
      <w:r w:rsidRPr="00A80A0C">
        <w:rPr>
          <w:color w:val="000000" w:themeColor="text1"/>
          <w:sz w:val="24"/>
          <w:szCs w:val="24"/>
        </w:rPr>
        <w:t>The past ten years have witnessed a growing interest in this topic, which can be seen in the growth of scholarly literature on SCF</w:t>
      </w:r>
      <w:r w:rsidRPr="00A80A0C">
        <w:rPr>
          <w:color w:val="000000" w:themeColor="text1"/>
          <w:sz w:val="24"/>
        </w:rPr>
        <w:t>.</w:t>
      </w:r>
      <w:r w:rsidR="00C04271" w:rsidRPr="00A80A0C">
        <w:rPr>
          <w:color w:val="000000" w:themeColor="text1"/>
          <w:sz w:val="24"/>
        </w:rPr>
        <w:t xml:space="preserve"> </w:t>
      </w:r>
      <w:r w:rsidR="00422D90" w:rsidRPr="00A80A0C">
        <w:rPr>
          <w:color w:val="000000" w:themeColor="text1"/>
          <w:sz w:val="24"/>
        </w:rPr>
        <w:t>Specifically, t</w:t>
      </w:r>
      <w:r w:rsidR="008F0404" w:rsidRPr="00A80A0C">
        <w:rPr>
          <w:color w:val="000000" w:themeColor="text1"/>
          <w:sz w:val="24"/>
        </w:rPr>
        <w:t xml:space="preserve">here are </w:t>
      </w:r>
      <w:r w:rsidR="008F0404" w:rsidRPr="00A80A0C">
        <w:rPr>
          <w:color w:val="000000" w:themeColor="text1"/>
          <w:sz w:val="24"/>
        </w:rPr>
        <w:lastRenderedPageBreak/>
        <w:t>four main research areas</w:t>
      </w:r>
      <w:r w:rsidR="00422D90" w:rsidRPr="00A80A0C">
        <w:rPr>
          <w:color w:val="000000" w:themeColor="text1"/>
          <w:sz w:val="24"/>
        </w:rPr>
        <w:t xml:space="preserve"> </w:t>
      </w:r>
      <w:r w:rsidR="00B064ED" w:rsidRPr="00A80A0C">
        <w:rPr>
          <w:color w:val="000000" w:themeColor="text1"/>
          <w:sz w:val="24"/>
        </w:rPr>
        <w:t>identified</w:t>
      </w:r>
      <w:r w:rsidR="00422D90" w:rsidRPr="00A80A0C">
        <w:rPr>
          <w:color w:val="000000" w:themeColor="text1"/>
          <w:sz w:val="24"/>
        </w:rPr>
        <w:t>, i.e.,</w:t>
      </w:r>
      <w:r w:rsidR="008F0404" w:rsidRPr="00A80A0C">
        <w:rPr>
          <w:color w:val="000000" w:themeColor="text1"/>
          <w:sz w:val="24"/>
        </w:rPr>
        <w:t xml:space="preserve"> the deteriorating inventory model under trade credit policy, the inventory decisions made with trade credit policy, the interaction between replenishment decisions and delay payment strategies, and the roles of financing service in the </w:t>
      </w:r>
      <w:r w:rsidR="005D5A70" w:rsidRPr="00A80A0C">
        <w:rPr>
          <w:color w:val="000000" w:themeColor="text1"/>
          <w:sz w:val="24"/>
        </w:rPr>
        <w:t>SC</w:t>
      </w:r>
      <w:r w:rsidR="008F0404" w:rsidRPr="00A80A0C">
        <w:rPr>
          <w:color w:val="000000" w:themeColor="text1"/>
          <w:sz w:val="24"/>
        </w:rPr>
        <w:t xml:space="preserve"> (</w:t>
      </w:r>
      <w:r w:rsidR="008F0404" w:rsidRPr="00A80A0C">
        <w:rPr>
          <w:color w:val="000000" w:themeColor="text1"/>
          <w:sz w:val="24"/>
          <w:szCs w:val="24"/>
        </w:rPr>
        <w:t>Xu et al.</w:t>
      </w:r>
      <w:r w:rsidR="00422D90" w:rsidRPr="00A80A0C">
        <w:rPr>
          <w:color w:val="000000" w:themeColor="text1"/>
          <w:sz w:val="24"/>
          <w:szCs w:val="24"/>
        </w:rPr>
        <w:t>,</w:t>
      </w:r>
      <w:r w:rsidR="008F0404" w:rsidRPr="00A80A0C">
        <w:rPr>
          <w:color w:val="000000" w:themeColor="text1"/>
          <w:sz w:val="24"/>
          <w:szCs w:val="24"/>
        </w:rPr>
        <w:t xml:space="preserve"> 2018)</w:t>
      </w:r>
      <w:r w:rsidR="008F0404" w:rsidRPr="00A80A0C">
        <w:rPr>
          <w:color w:val="000000" w:themeColor="text1"/>
          <w:sz w:val="24"/>
        </w:rPr>
        <w:t>.</w:t>
      </w:r>
    </w:p>
    <w:p w14:paraId="378751F2" w14:textId="7618D9D6" w:rsidR="00871C0F" w:rsidRPr="00A80A0C" w:rsidRDefault="00871C0F" w:rsidP="004A4CB5">
      <w:pPr>
        <w:pStyle w:val="Heading2"/>
        <w:spacing w:line="360" w:lineRule="auto"/>
        <w:ind w:firstLineChars="177" w:firstLine="425"/>
        <w:rPr>
          <w:i w:val="0"/>
          <w:color w:val="000000" w:themeColor="text1"/>
          <w:szCs w:val="24"/>
        </w:rPr>
      </w:pPr>
      <w:r w:rsidRPr="00A80A0C">
        <w:rPr>
          <w:i w:val="0"/>
          <w:color w:val="000000" w:themeColor="text1"/>
          <w:szCs w:val="24"/>
        </w:rPr>
        <w:t>Howeve</w:t>
      </w:r>
      <w:r w:rsidR="00FA67C9" w:rsidRPr="00A80A0C">
        <w:rPr>
          <w:i w:val="0"/>
          <w:color w:val="000000" w:themeColor="text1"/>
          <w:szCs w:val="24"/>
        </w:rPr>
        <w:t>r, we find that there are only four</w:t>
      </w:r>
      <w:r w:rsidRPr="00A80A0C">
        <w:rPr>
          <w:i w:val="0"/>
          <w:color w:val="000000" w:themeColor="text1"/>
          <w:szCs w:val="24"/>
        </w:rPr>
        <w:t xml:space="preserve"> papers that partially review SCF developments in the literature. Seifert et al. (2013) review the trade credit literature and derive a detailed agenda for future research. Liu et al. (2015) investigate SCF issues in China based on a sample of 45 leading Chinese journals. Gelsomino et al. (2016) put forth what may be the </w:t>
      </w:r>
      <w:r w:rsidR="000D0A4B" w:rsidRPr="00A80A0C">
        <w:rPr>
          <w:i w:val="0"/>
          <w:color w:val="000000" w:themeColor="text1"/>
          <w:szCs w:val="24"/>
        </w:rPr>
        <w:t xml:space="preserve">first </w:t>
      </w:r>
      <w:r w:rsidRPr="00A80A0C">
        <w:rPr>
          <w:i w:val="0"/>
          <w:color w:val="000000" w:themeColor="text1"/>
          <w:szCs w:val="24"/>
        </w:rPr>
        <w:t xml:space="preserve">comprehensive review of SCF based on 119 papers published from 2000 to 2014, which identifies the research gaps and highlights future directions. </w:t>
      </w:r>
      <w:r w:rsidR="00FA67C9" w:rsidRPr="00A80A0C">
        <w:rPr>
          <w:i w:val="0"/>
          <w:color w:val="000000" w:themeColor="text1"/>
          <w:szCs w:val="24"/>
        </w:rPr>
        <w:t xml:space="preserve">Recently, </w:t>
      </w:r>
      <w:r w:rsidR="00135F4A" w:rsidRPr="00A80A0C">
        <w:rPr>
          <w:i w:val="0"/>
          <w:color w:val="000000" w:themeColor="text1"/>
          <w:szCs w:val="24"/>
        </w:rPr>
        <w:t xml:space="preserve">Xu et al. (2018) </w:t>
      </w:r>
      <w:r w:rsidR="00C878D9" w:rsidRPr="00A80A0C">
        <w:rPr>
          <w:i w:val="0"/>
          <w:color w:val="000000" w:themeColor="text1"/>
          <w:szCs w:val="24"/>
        </w:rPr>
        <w:t xml:space="preserve">further </w:t>
      </w:r>
      <w:r w:rsidR="00B9187A" w:rsidRPr="00A80A0C">
        <w:rPr>
          <w:i w:val="0"/>
          <w:color w:val="000000" w:themeColor="text1"/>
          <w:szCs w:val="24"/>
        </w:rPr>
        <w:t>adopt a systematic literature review combined with bibliometr</w:t>
      </w:r>
      <w:r w:rsidR="00E97BA6" w:rsidRPr="00A80A0C">
        <w:rPr>
          <w:i w:val="0"/>
          <w:color w:val="000000" w:themeColor="text1"/>
          <w:szCs w:val="24"/>
        </w:rPr>
        <w:t>ic, network and content analyses</w:t>
      </w:r>
      <w:r w:rsidR="00B9187A" w:rsidRPr="00A80A0C">
        <w:rPr>
          <w:i w:val="0"/>
          <w:color w:val="000000" w:themeColor="text1"/>
          <w:szCs w:val="24"/>
        </w:rPr>
        <w:t xml:space="preserve"> based on 348 identified fr</w:t>
      </w:r>
      <w:r w:rsidR="00C878D9" w:rsidRPr="00A80A0C">
        <w:rPr>
          <w:i w:val="0"/>
          <w:color w:val="000000" w:themeColor="text1"/>
          <w:szCs w:val="24"/>
        </w:rPr>
        <w:t>om mainstream academic databases</w:t>
      </w:r>
      <w:r w:rsidR="00B9187A" w:rsidRPr="00A80A0C">
        <w:rPr>
          <w:i w:val="0"/>
          <w:color w:val="000000" w:themeColor="text1"/>
          <w:szCs w:val="24"/>
        </w:rPr>
        <w:t>.</w:t>
      </w:r>
      <w:r w:rsidR="00C878D9" w:rsidRPr="00A80A0C">
        <w:rPr>
          <w:i w:val="0"/>
          <w:color w:val="000000" w:themeColor="text1"/>
          <w:szCs w:val="24"/>
        </w:rPr>
        <w:t xml:space="preserve"> </w:t>
      </w:r>
      <w:r w:rsidRPr="00A80A0C">
        <w:rPr>
          <w:i w:val="0"/>
          <w:color w:val="000000" w:themeColor="text1"/>
          <w:szCs w:val="24"/>
        </w:rPr>
        <w:t xml:space="preserve">Although these literature reviews can provide some insights into the topic of SCF, they tend to be descriptive, focus on some specific aspect of SCF and provide little theoretical explanation for a deeper understanding of SCF. Additionally, as </w:t>
      </w:r>
      <w:r w:rsidRPr="00A80A0C">
        <w:rPr>
          <w:i w:val="0"/>
          <w:noProof/>
          <w:color w:val="000000" w:themeColor="text1"/>
          <w:szCs w:val="24"/>
        </w:rPr>
        <w:t>Templar (2012)</w:t>
      </w:r>
      <w:r w:rsidRPr="00A80A0C">
        <w:rPr>
          <w:i w:val="0"/>
          <w:color w:val="000000" w:themeColor="text1"/>
          <w:szCs w:val="24"/>
        </w:rPr>
        <w:t xml:space="preserve"> and Gelsomino et al. (2016) state, the current SCF literature lacks theory, which causes the disparity between SCF theory and practice and impedes the development of SCF research. Thus, there is a need to create a deeper analysis and work towards an integrated conceptual framework of SCF based on some proper theory.</w:t>
      </w:r>
    </w:p>
    <w:p w14:paraId="0A1AAD75" w14:textId="04F38CC7" w:rsidR="00D921B8" w:rsidRPr="00A80A0C" w:rsidRDefault="005A577F" w:rsidP="005A577F">
      <w:pPr>
        <w:spacing w:line="360" w:lineRule="auto"/>
        <w:ind w:firstLineChars="177" w:firstLine="425"/>
        <w:rPr>
          <w:color w:val="000000" w:themeColor="text1"/>
          <w:sz w:val="24"/>
          <w:szCs w:val="24"/>
        </w:rPr>
      </w:pPr>
      <w:r w:rsidRPr="00A80A0C">
        <w:rPr>
          <w:bCs/>
          <w:color w:val="000000" w:themeColor="text1"/>
          <w:sz w:val="24"/>
          <w:szCs w:val="24"/>
        </w:rPr>
        <w:t>To fill this</w:t>
      </w:r>
      <w:r w:rsidR="00871C0F" w:rsidRPr="00A80A0C">
        <w:rPr>
          <w:bCs/>
          <w:color w:val="000000" w:themeColor="text1"/>
          <w:sz w:val="24"/>
          <w:szCs w:val="24"/>
        </w:rPr>
        <w:t xml:space="preserve"> research gap, </w:t>
      </w:r>
      <w:r w:rsidR="00871C0F" w:rsidRPr="00A80A0C">
        <w:rPr>
          <w:color w:val="000000" w:themeColor="text1"/>
          <w:sz w:val="24"/>
          <w:szCs w:val="24"/>
        </w:rPr>
        <w:t xml:space="preserve">this study aims to propose an integrated conceptual framework </w:t>
      </w:r>
      <w:r w:rsidRPr="00A80A0C">
        <w:rPr>
          <w:color w:val="000000" w:themeColor="text1"/>
          <w:sz w:val="24"/>
          <w:szCs w:val="24"/>
        </w:rPr>
        <w:t xml:space="preserve">building on Information Processing Theory and </w:t>
      </w:r>
      <w:r w:rsidR="00871C0F" w:rsidRPr="00A80A0C">
        <w:rPr>
          <w:color w:val="000000" w:themeColor="text1"/>
          <w:sz w:val="24"/>
          <w:szCs w:val="24"/>
        </w:rPr>
        <w:t xml:space="preserve">based on a systematic literature review. </w:t>
      </w:r>
      <w:r w:rsidR="00E8481B" w:rsidRPr="00A80A0C">
        <w:rPr>
          <w:rFonts w:hint="eastAsia"/>
          <w:color w:val="000000" w:themeColor="text1"/>
          <w:sz w:val="24"/>
          <w:szCs w:val="24"/>
        </w:rPr>
        <w:t>D</w:t>
      </w:r>
      <w:r w:rsidR="00E8481B" w:rsidRPr="00A80A0C">
        <w:rPr>
          <w:color w:val="000000" w:themeColor="text1"/>
          <w:sz w:val="24"/>
          <w:szCs w:val="24"/>
        </w:rPr>
        <w:t>ifferent from Gelsomino et al. (2016)</w:t>
      </w:r>
      <w:r w:rsidR="004A4CB5" w:rsidRPr="00A80A0C">
        <w:rPr>
          <w:color w:val="000000" w:themeColor="text1"/>
          <w:sz w:val="24"/>
          <w:szCs w:val="24"/>
        </w:rPr>
        <w:t xml:space="preserve"> and Xu et al. (2018)</w:t>
      </w:r>
      <w:r w:rsidR="00E8481B" w:rsidRPr="00A80A0C">
        <w:rPr>
          <w:color w:val="000000" w:themeColor="text1"/>
          <w:sz w:val="24"/>
          <w:szCs w:val="24"/>
        </w:rPr>
        <w:t xml:space="preserve">, we </w:t>
      </w:r>
      <w:r w:rsidR="00BE15E9" w:rsidRPr="00A80A0C">
        <w:rPr>
          <w:color w:val="000000" w:themeColor="text1"/>
          <w:sz w:val="24"/>
          <w:szCs w:val="24"/>
        </w:rPr>
        <w:t>will</w:t>
      </w:r>
      <w:r w:rsidR="00E8481B" w:rsidRPr="00A80A0C">
        <w:rPr>
          <w:color w:val="000000" w:themeColor="text1"/>
          <w:sz w:val="24"/>
          <w:szCs w:val="24"/>
        </w:rPr>
        <w:t xml:space="preserve"> not pay </w:t>
      </w:r>
      <w:r w:rsidR="002544F8" w:rsidRPr="00A80A0C">
        <w:rPr>
          <w:color w:val="000000" w:themeColor="text1"/>
          <w:sz w:val="24"/>
          <w:szCs w:val="24"/>
        </w:rPr>
        <w:t xml:space="preserve">much </w:t>
      </w:r>
      <w:r w:rsidR="00E8481B" w:rsidRPr="00A80A0C">
        <w:rPr>
          <w:color w:val="000000" w:themeColor="text1"/>
          <w:sz w:val="24"/>
          <w:szCs w:val="24"/>
        </w:rPr>
        <w:t xml:space="preserve">attention to classify the </w:t>
      </w:r>
      <w:r w:rsidR="000D0A4B" w:rsidRPr="00A80A0C">
        <w:rPr>
          <w:color w:val="000000" w:themeColor="text1"/>
          <w:sz w:val="24"/>
          <w:szCs w:val="24"/>
        </w:rPr>
        <w:t xml:space="preserve">state-of-the-art </w:t>
      </w:r>
      <w:r w:rsidR="00E8481B" w:rsidRPr="00A80A0C">
        <w:rPr>
          <w:color w:val="000000" w:themeColor="text1"/>
          <w:sz w:val="24"/>
          <w:szCs w:val="24"/>
        </w:rPr>
        <w:t xml:space="preserve">SCF </w:t>
      </w:r>
      <w:r w:rsidR="000D0A4B" w:rsidRPr="00A80A0C">
        <w:rPr>
          <w:color w:val="000000" w:themeColor="text1"/>
          <w:sz w:val="24"/>
          <w:szCs w:val="24"/>
        </w:rPr>
        <w:t xml:space="preserve">literature </w:t>
      </w:r>
      <w:r w:rsidR="00E8481B" w:rsidRPr="00A80A0C">
        <w:rPr>
          <w:color w:val="000000" w:themeColor="text1"/>
          <w:sz w:val="24"/>
          <w:szCs w:val="24"/>
        </w:rPr>
        <w:t>according to the main themes and methods</w:t>
      </w:r>
      <w:r w:rsidR="002274CD" w:rsidRPr="00A80A0C">
        <w:rPr>
          <w:color w:val="000000" w:themeColor="text1"/>
          <w:sz w:val="24"/>
          <w:szCs w:val="24"/>
        </w:rPr>
        <w:t xml:space="preserve"> by content analysis</w:t>
      </w:r>
      <w:r w:rsidR="00E8481B" w:rsidRPr="00A80A0C">
        <w:rPr>
          <w:color w:val="000000" w:themeColor="text1"/>
          <w:sz w:val="24"/>
          <w:szCs w:val="24"/>
        </w:rPr>
        <w:t xml:space="preserve">, but rather </w:t>
      </w:r>
      <w:r w:rsidRPr="00A80A0C">
        <w:rPr>
          <w:color w:val="000000" w:themeColor="text1"/>
          <w:sz w:val="24"/>
          <w:szCs w:val="24"/>
        </w:rPr>
        <w:t>focus on</w:t>
      </w:r>
      <w:r w:rsidR="000D120A" w:rsidRPr="00A80A0C">
        <w:rPr>
          <w:color w:val="000000" w:themeColor="text1"/>
          <w:sz w:val="24"/>
          <w:szCs w:val="24"/>
        </w:rPr>
        <w:t xml:space="preserve"> </w:t>
      </w:r>
      <w:r w:rsidR="00E8481B" w:rsidRPr="00A80A0C">
        <w:rPr>
          <w:color w:val="000000" w:themeColor="text1"/>
          <w:sz w:val="24"/>
          <w:szCs w:val="24"/>
        </w:rPr>
        <w:t>build</w:t>
      </w:r>
      <w:r w:rsidRPr="00A80A0C">
        <w:rPr>
          <w:color w:val="000000" w:themeColor="text1"/>
          <w:sz w:val="24"/>
          <w:szCs w:val="24"/>
        </w:rPr>
        <w:t>ing</w:t>
      </w:r>
      <w:r w:rsidR="00E8481B" w:rsidRPr="00A80A0C">
        <w:rPr>
          <w:color w:val="000000" w:themeColor="text1"/>
          <w:sz w:val="24"/>
          <w:szCs w:val="24"/>
        </w:rPr>
        <w:t xml:space="preserve"> an </w:t>
      </w:r>
      <w:r w:rsidR="00D921B8" w:rsidRPr="00A80A0C">
        <w:rPr>
          <w:color w:val="000000" w:themeColor="text1"/>
          <w:sz w:val="24"/>
          <w:szCs w:val="24"/>
        </w:rPr>
        <w:t>integrated conceptual framework</w:t>
      </w:r>
      <w:r w:rsidR="007E05FB" w:rsidRPr="00A80A0C">
        <w:rPr>
          <w:color w:val="000000" w:themeColor="text1"/>
          <w:sz w:val="24"/>
          <w:szCs w:val="24"/>
        </w:rPr>
        <w:t xml:space="preserve"> based on information processing perspective</w:t>
      </w:r>
      <w:r w:rsidR="00D921B8" w:rsidRPr="00A80A0C">
        <w:rPr>
          <w:color w:val="000000" w:themeColor="text1"/>
          <w:sz w:val="24"/>
          <w:szCs w:val="24"/>
        </w:rPr>
        <w:t>. Although the importance of applying theories to study SCF has been underscored (Gelsomino et al., 2016), to date, the literature shows that studies using proper theory to explore the mechanism of SCF remain scant. To address the “no general theory of SCF” gap proposed by Gelsomino et al. (2016), building on the IPT, this paper synthesises the literature to explain the mechanism of SCF integration. The framework can also help SCF providers consider how to systematically develop their information processing capabilities and promote integration</w:t>
      </w:r>
      <w:r w:rsidR="00D921B8" w:rsidRPr="00A80A0C" w:rsidDel="00201372">
        <w:rPr>
          <w:color w:val="000000" w:themeColor="text1"/>
          <w:sz w:val="24"/>
          <w:szCs w:val="24"/>
        </w:rPr>
        <w:t xml:space="preserve"> </w:t>
      </w:r>
      <w:r w:rsidR="00D921B8" w:rsidRPr="00A80A0C">
        <w:rPr>
          <w:color w:val="000000" w:themeColor="text1"/>
          <w:sz w:val="24"/>
          <w:szCs w:val="24"/>
        </w:rPr>
        <w:t xml:space="preserve">of the whole financial SC. At last, seven future research directions are </w:t>
      </w:r>
      <w:r w:rsidR="00D921B8" w:rsidRPr="00A80A0C">
        <w:rPr>
          <w:color w:val="000000" w:themeColor="text1"/>
          <w:sz w:val="24"/>
          <w:szCs w:val="24"/>
        </w:rPr>
        <w:lastRenderedPageBreak/>
        <w:t>provided.</w:t>
      </w:r>
      <w:r w:rsidR="00D921B8" w:rsidRPr="00A80A0C">
        <w:rPr>
          <w:rFonts w:hint="eastAsia"/>
          <w:color w:val="000000" w:themeColor="text1"/>
          <w:sz w:val="24"/>
          <w:szCs w:val="24"/>
        </w:rPr>
        <w:t xml:space="preserve"> </w:t>
      </w:r>
    </w:p>
    <w:p w14:paraId="39ABE0EC" w14:textId="196926BB" w:rsidR="005A577F" w:rsidRPr="00A80A0C" w:rsidRDefault="005A577F" w:rsidP="005A577F">
      <w:pPr>
        <w:spacing w:line="360" w:lineRule="auto"/>
        <w:ind w:firstLineChars="177" w:firstLine="425"/>
        <w:rPr>
          <w:color w:val="000000" w:themeColor="text1"/>
          <w:sz w:val="24"/>
          <w:szCs w:val="24"/>
        </w:rPr>
      </w:pPr>
      <w:r w:rsidRPr="00A80A0C">
        <w:rPr>
          <w:bCs/>
          <w:color w:val="000000" w:themeColor="text1"/>
          <w:sz w:val="24"/>
          <w:szCs w:val="24"/>
        </w:rPr>
        <w:t>Information</w:t>
      </w:r>
      <w:r w:rsidRPr="00A80A0C">
        <w:rPr>
          <w:color w:val="000000" w:themeColor="text1"/>
          <w:sz w:val="24"/>
          <w:szCs w:val="24"/>
        </w:rPr>
        <w:t xml:space="preserve"> </w:t>
      </w:r>
      <w:r w:rsidRPr="00A80A0C">
        <w:rPr>
          <w:bCs/>
          <w:color w:val="000000" w:themeColor="text1"/>
          <w:sz w:val="24"/>
          <w:szCs w:val="24"/>
        </w:rPr>
        <w:t>flow is the foundation of any effective SC</w:t>
      </w:r>
      <w:r w:rsidRPr="00A80A0C">
        <w:rPr>
          <w:color w:val="000000" w:themeColor="text1"/>
          <w:sz w:val="24"/>
          <w:szCs w:val="24"/>
        </w:rPr>
        <w:t xml:space="preserve"> </w:t>
      </w:r>
      <w:r w:rsidRPr="00A80A0C">
        <w:rPr>
          <w:bCs/>
          <w:color w:val="000000" w:themeColor="text1"/>
          <w:sz w:val="24"/>
          <w:szCs w:val="24"/>
        </w:rPr>
        <w:t>and can reduce the uncertainty that can make a SC reactive (</w:t>
      </w:r>
      <w:proofErr w:type="spellStart"/>
      <w:r w:rsidRPr="00A80A0C">
        <w:rPr>
          <w:bCs/>
          <w:color w:val="000000" w:themeColor="text1"/>
          <w:sz w:val="24"/>
          <w:szCs w:val="24"/>
        </w:rPr>
        <w:t>Ellram</w:t>
      </w:r>
      <w:proofErr w:type="spellEnd"/>
      <w:r w:rsidRPr="00A80A0C">
        <w:rPr>
          <w:bCs/>
          <w:color w:val="000000" w:themeColor="text1"/>
          <w:sz w:val="24"/>
          <w:szCs w:val="24"/>
        </w:rPr>
        <w:t xml:space="preserve"> et al., 2004). SCF information includes order transactions, debt, and liabilities management (e.g., cash-to-cash-cycle) (</w:t>
      </w:r>
      <w:proofErr w:type="spellStart"/>
      <w:r w:rsidRPr="00A80A0C">
        <w:rPr>
          <w:bCs/>
          <w:color w:val="000000" w:themeColor="text1"/>
          <w:sz w:val="24"/>
          <w:szCs w:val="24"/>
        </w:rPr>
        <w:t>Gomm</w:t>
      </w:r>
      <w:proofErr w:type="spellEnd"/>
      <w:r w:rsidRPr="00A80A0C">
        <w:rPr>
          <w:bCs/>
          <w:color w:val="000000" w:themeColor="text1"/>
          <w:sz w:val="24"/>
          <w:szCs w:val="24"/>
        </w:rPr>
        <w:t>, 2010), as well as information on the market, politics, and technology of the environment. This information can be used to decrease investment risks and capital costs of financing projects within SCs, improve financial decisions, and optimise financing (</w:t>
      </w:r>
      <w:proofErr w:type="spellStart"/>
      <w:r w:rsidRPr="00A80A0C">
        <w:rPr>
          <w:bCs/>
          <w:color w:val="000000" w:themeColor="text1"/>
          <w:sz w:val="24"/>
          <w:szCs w:val="24"/>
        </w:rPr>
        <w:t>Pfohl</w:t>
      </w:r>
      <w:proofErr w:type="spellEnd"/>
      <w:r w:rsidRPr="00A80A0C">
        <w:rPr>
          <w:bCs/>
          <w:color w:val="000000" w:themeColor="text1"/>
          <w:sz w:val="24"/>
          <w:szCs w:val="24"/>
        </w:rPr>
        <w:t xml:space="preserve"> and </w:t>
      </w:r>
      <w:proofErr w:type="spellStart"/>
      <w:r w:rsidRPr="00A80A0C">
        <w:rPr>
          <w:bCs/>
          <w:color w:val="000000" w:themeColor="text1"/>
          <w:sz w:val="24"/>
          <w:szCs w:val="24"/>
        </w:rPr>
        <w:t>Gomm</w:t>
      </w:r>
      <w:proofErr w:type="spellEnd"/>
      <w:r w:rsidRPr="00A80A0C">
        <w:rPr>
          <w:bCs/>
          <w:color w:val="000000" w:themeColor="text1"/>
          <w:sz w:val="24"/>
          <w:szCs w:val="24"/>
        </w:rPr>
        <w:t xml:space="preserve">, 2009; </w:t>
      </w:r>
      <w:proofErr w:type="spellStart"/>
      <w:r w:rsidRPr="00A80A0C">
        <w:rPr>
          <w:bCs/>
          <w:color w:val="000000" w:themeColor="text1"/>
          <w:sz w:val="24"/>
          <w:szCs w:val="24"/>
        </w:rPr>
        <w:t>Gomm</w:t>
      </w:r>
      <w:proofErr w:type="spellEnd"/>
      <w:r w:rsidRPr="00A80A0C">
        <w:rPr>
          <w:bCs/>
          <w:color w:val="000000" w:themeColor="text1"/>
          <w:sz w:val="24"/>
          <w:szCs w:val="24"/>
        </w:rPr>
        <w:t xml:space="preserve">, 2010). Therefore, after carefully assessing the theories used in the existing literature, we chose the </w:t>
      </w:r>
      <w:r w:rsidRPr="00A80A0C">
        <w:rPr>
          <w:color w:val="000000" w:themeColor="text1"/>
          <w:sz w:val="24"/>
          <w:szCs w:val="24"/>
        </w:rPr>
        <w:t>information processing theory (IPT) as our theoretical foundation. This theory posits that firms are information processing systems, which are intrinsically programmed to mitigate environmental uncertainties through increasing their capabilities in gathering, processing, and acting on information from the environment (</w:t>
      </w:r>
      <w:proofErr w:type="spellStart"/>
      <w:r w:rsidRPr="00A80A0C">
        <w:rPr>
          <w:color w:val="000000" w:themeColor="text1"/>
          <w:sz w:val="24"/>
          <w:szCs w:val="24"/>
        </w:rPr>
        <w:t>Tushman</w:t>
      </w:r>
      <w:proofErr w:type="spellEnd"/>
      <w:r w:rsidRPr="00A80A0C">
        <w:rPr>
          <w:color w:val="000000" w:themeColor="text1"/>
          <w:sz w:val="24"/>
          <w:szCs w:val="24"/>
        </w:rPr>
        <w:t xml:space="preserve"> and Nadler, 1978; Daft et al., 1987; Daft and Weick, 1984). Congruently, SCF providers face an uncertain environment, and insufficient management of information processing challenges may jeopardise the integration of the whole financial SC.</w:t>
      </w:r>
    </w:p>
    <w:p w14:paraId="3C7D21DE" w14:textId="0E6C6E49"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 xml:space="preserve">The rest of this paper is organised as follows. The procedure of data collection is presented in section 2, and theoretical descriptions are given in section 3. Based on collected papers and theories, we provide an integrated conceptual model </w:t>
      </w:r>
      <w:r w:rsidR="000D0A4B" w:rsidRPr="00A80A0C">
        <w:rPr>
          <w:color w:val="000000" w:themeColor="text1"/>
          <w:sz w:val="24"/>
          <w:szCs w:val="24"/>
        </w:rPr>
        <w:t xml:space="preserve">and related propositions </w:t>
      </w:r>
      <w:r w:rsidRPr="00A80A0C">
        <w:rPr>
          <w:color w:val="000000" w:themeColor="text1"/>
          <w:sz w:val="24"/>
          <w:szCs w:val="24"/>
        </w:rPr>
        <w:t>for SCF in section 4. This is followed by future research directions for SCF. The last section is the conclusion, which presents the main contributions and limitations of this paper.</w:t>
      </w:r>
    </w:p>
    <w:p w14:paraId="27891C9D" w14:textId="77777777" w:rsidR="00871C0F" w:rsidRPr="00A80A0C" w:rsidRDefault="00871C0F" w:rsidP="00FC7D81">
      <w:pPr>
        <w:spacing w:line="360" w:lineRule="auto"/>
        <w:rPr>
          <w:color w:val="000000" w:themeColor="text1"/>
          <w:sz w:val="24"/>
          <w:szCs w:val="24"/>
        </w:rPr>
      </w:pPr>
    </w:p>
    <w:p w14:paraId="521B7A24" w14:textId="77777777" w:rsidR="00871C0F" w:rsidRPr="00A80A0C" w:rsidRDefault="009271EC" w:rsidP="009271EC">
      <w:pPr>
        <w:pStyle w:val="Heading1"/>
        <w:spacing w:beforeLines="50" w:before="156" w:afterLines="50" w:after="156" w:line="360" w:lineRule="auto"/>
        <w:ind w:left="0"/>
        <w:rPr>
          <w:color w:val="000000" w:themeColor="text1"/>
          <w:szCs w:val="24"/>
        </w:rPr>
      </w:pPr>
      <w:r w:rsidRPr="00A80A0C">
        <w:rPr>
          <w:color w:val="000000" w:themeColor="text1"/>
          <w:szCs w:val="24"/>
        </w:rPr>
        <w:t xml:space="preserve">2. </w:t>
      </w:r>
      <w:r w:rsidR="00871C0F" w:rsidRPr="00A80A0C">
        <w:rPr>
          <w:color w:val="000000" w:themeColor="text1"/>
          <w:szCs w:val="24"/>
        </w:rPr>
        <w:t>Methodology</w:t>
      </w:r>
    </w:p>
    <w:p w14:paraId="03299F62" w14:textId="77777777" w:rsidR="00871C0F" w:rsidRPr="00A80A0C" w:rsidRDefault="00871C0F" w:rsidP="00FC7D81">
      <w:pPr>
        <w:spacing w:line="360" w:lineRule="auto"/>
        <w:rPr>
          <w:color w:val="000000" w:themeColor="text1"/>
          <w:sz w:val="24"/>
          <w:szCs w:val="24"/>
        </w:rPr>
      </w:pPr>
      <w:r w:rsidRPr="00A80A0C">
        <w:rPr>
          <w:color w:val="000000" w:themeColor="text1"/>
          <w:sz w:val="24"/>
          <w:szCs w:val="24"/>
        </w:rPr>
        <w:t>To better build a framework, we first conduct a systematic literature review.</w:t>
      </w:r>
    </w:p>
    <w:p w14:paraId="6ED42015" w14:textId="77777777" w:rsidR="00871C0F" w:rsidRPr="00A80A0C" w:rsidRDefault="00871C0F" w:rsidP="00FC7D81">
      <w:pPr>
        <w:pStyle w:val="Heading2"/>
        <w:spacing w:beforeLines="50" w:before="156" w:afterLines="50" w:after="156" w:line="360" w:lineRule="auto"/>
        <w:rPr>
          <w:color w:val="000000" w:themeColor="text1"/>
        </w:rPr>
      </w:pPr>
      <w:r w:rsidRPr="00A80A0C">
        <w:rPr>
          <w:color w:val="000000" w:themeColor="text1"/>
        </w:rPr>
        <w:t>2.1</w:t>
      </w:r>
      <w:r w:rsidR="009271EC" w:rsidRPr="00A80A0C">
        <w:rPr>
          <w:color w:val="000000" w:themeColor="text1"/>
        </w:rPr>
        <w:t>.</w:t>
      </w:r>
      <w:r w:rsidRPr="00A80A0C">
        <w:rPr>
          <w:color w:val="000000" w:themeColor="text1"/>
        </w:rPr>
        <w:tab/>
        <w:t>Determining suitable search terms and databases</w:t>
      </w:r>
    </w:p>
    <w:p w14:paraId="5ADFA949" w14:textId="77777777" w:rsidR="00871C0F" w:rsidRPr="00A80A0C" w:rsidRDefault="00871C0F" w:rsidP="00FC7D81">
      <w:pPr>
        <w:spacing w:line="360" w:lineRule="auto"/>
        <w:rPr>
          <w:color w:val="000000" w:themeColor="text1"/>
          <w:sz w:val="24"/>
          <w:szCs w:val="24"/>
        </w:rPr>
      </w:pPr>
      <w:r w:rsidRPr="00A80A0C">
        <w:rPr>
          <w:color w:val="000000" w:themeColor="text1"/>
          <w:sz w:val="24"/>
        </w:rPr>
        <w:t>Based on the SCF definitions provided (</w:t>
      </w:r>
      <w:proofErr w:type="spellStart"/>
      <w:r w:rsidRPr="00A80A0C">
        <w:rPr>
          <w:color w:val="000000" w:themeColor="text1"/>
          <w:sz w:val="24"/>
        </w:rPr>
        <w:t>Wuttke</w:t>
      </w:r>
      <w:proofErr w:type="spellEnd"/>
      <w:r w:rsidRPr="00A80A0C">
        <w:rPr>
          <w:color w:val="000000" w:themeColor="text1"/>
          <w:sz w:val="24"/>
        </w:rPr>
        <w:t xml:space="preserve"> et al., 2013a, </w:t>
      </w:r>
      <w:proofErr w:type="spellStart"/>
      <w:r w:rsidRPr="00A80A0C">
        <w:rPr>
          <w:color w:val="000000" w:themeColor="text1"/>
          <w:sz w:val="24"/>
        </w:rPr>
        <w:t>Wuttke</w:t>
      </w:r>
      <w:proofErr w:type="spellEnd"/>
      <w:r w:rsidRPr="00A80A0C">
        <w:rPr>
          <w:color w:val="000000" w:themeColor="text1"/>
          <w:sz w:val="24"/>
        </w:rPr>
        <w:t xml:space="preserve"> et al., 2013b; Blackman et al., 2013; Silvestro and </w:t>
      </w:r>
      <w:proofErr w:type="spellStart"/>
      <w:r w:rsidRPr="00A80A0C">
        <w:rPr>
          <w:color w:val="000000" w:themeColor="text1"/>
          <w:sz w:val="24"/>
        </w:rPr>
        <w:t>Lustrato</w:t>
      </w:r>
      <w:proofErr w:type="spellEnd"/>
      <w:r w:rsidRPr="00A80A0C">
        <w:rPr>
          <w:color w:val="000000" w:themeColor="text1"/>
          <w:sz w:val="24"/>
        </w:rPr>
        <w:t xml:space="preserve">, 2014; More and </w:t>
      </w:r>
      <w:proofErr w:type="spellStart"/>
      <w:r w:rsidRPr="00A80A0C">
        <w:rPr>
          <w:color w:val="000000" w:themeColor="text1"/>
          <w:sz w:val="24"/>
        </w:rPr>
        <w:t>Basu</w:t>
      </w:r>
      <w:proofErr w:type="spellEnd"/>
      <w:r w:rsidRPr="00A80A0C">
        <w:rPr>
          <w:color w:val="000000" w:themeColor="text1"/>
          <w:sz w:val="24"/>
        </w:rPr>
        <w:t xml:space="preserve">, 2013; </w:t>
      </w:r>
      <w:proofErr w:type="spellStart"/>
      <w:r w:rsidRPr="00A80A0C">
        <w:rPr>
          <w:color w:val="000000" w:themeColor="text1"/>
          <w:sz w:val="24"/>
        </w:rPr>
        <w:t>Mejier</w:t>
      </w:r>
      <w:proofErr w:type="spellEnd"/>
      <w:r w:rsidRPr="00A80A0C">
        <w:rPr>
          <w:color w:val="000000" w:themeColor="text1"/>
          <w:sz w:val="24"/>
        </w:rPr>
        <w:t xml:space="preserve"> and </w:t>
      </w:r>
      <w:proofErr w:type="spellStart"/>
      <w:r w:rsidRPr="00A80A0C">
        <w:rPr>
          <w:color w:val="000000" w:themeColor="text1"/>
          <w:sz w:val="24"/>
        </w:rPr>
        <w:t>Bruijn</w:t>
      </w:r>
      <w:proofErr w:type="spellEnd"/>
      <w:r w:rsidRPr="00A80A0C">
        <w:rPr>
          <w:color w:val="000000" w:themeColor="text1"/>
          <w:sz w:val="24"/>
        </w:rPr>
        <w:t xml:space="preserve">, 2013; and </w:t>
      </w:r>
      <w:proofErr w:type="spellStart"/>
      <w:r w:rsidRPr="00A80A0C">
        <w:rPr>
          <w:color w:val="000000" w:themeColor="text1"/>
          <w:sz w:val="24"/>
        </w:rPr>
        <w:t>Pfohl</w:t>
      </w:r>
      <w:proofErr w:type="spellEnd"/>
      <w:r w:rsidRPr="00A80A0C">
        <w:rPr>
          <w:color w:val="000000" w:themeColor="text1"/>
          <w:sz w:val="24"/>
        </w:rPr>
        <w:t xml:space="preserve"> and </w:t>
      </w:r>
      <w:proofErr w:type="spellStart"/>
      <w:r w:rsidRPr="00A80A0C">
        <w:rPr>
          <w:color w:val="000000" w:themeColor="text1"/>
          <w:sz w:val="24"/>
        </w:rPr>
        <w:t>Gomm</w:t>
      </w:r>
      <w:proofErr w:type="spellEnd"/>
      <w:r w:rsidRPr="00A80A0C">
        <w:rPr>
          <w:color w:val="000000" w:themeColor="text1"/>
          <w:sz w:val="24"/>
        </w:rPr>
        <w:t>, 2009), we found that SCF focuses on “Supply Chain” and “Finance</w:t>
      </w:r>
      <w:r w:rsidR="00EC09A3" w:rsidRPr="00A80A0C">
        <w:rPr>
          <w:color w:val="000000" w:themeColor="text1"/>
          <w:sz w:val="24"/>
        </w:rPr>
        <w:t>”</w:t>
      </w:r>
      <w:r w:rsidRPr="00A80A0C">
        <w:rPr>
          <w:color w:val="000000" w:themeColor="text1"/>
          <w:sz w:val="24"/>
        </w:rPr>
        <w:t xml:space="preserve">. Thus, we determined keywords based on these two aspects (See </w:t>
      </w:r>
      <w:r w:rsidRPr="00A80A0C">
        <w:rPr>
          <w:b/>
          <w:color w:val="000000" w:themeColor="text1"/>
          <w:sz w:val="24"/>
        </w:rPr>
        <w:t>Fig. 1</w:t>
      </w:r>
      <w:r w:rsidRPr="00A80A0C">
        <w:rPr>
          <w:color w:val="000000" w:themeColor="text1"/>
          <w:sz w:val="24"/>
        </w:rPr>
        <w:t xml:space="preserve">). We chose three of the most </w:t>
      </w:r>
      <w:r w:rsidRPr="00A80A0C">
        <w:rPr>
          <w:color w:val="000000" w:themeColor="text1"/>
          <w:sz w:val="24"/>
        </w:rPr>
        <w:lastRenderedPageBreak/>
        <w:t xml:space="preserve">common databases in the management and finance fields, including </w:t>
      </w:r>
      <w:proofErr w:type="spellStart"/>
      <w:r w:rsidRPr="00A80A0C">
        <w:rPr>
          <w:color w:val="000000" w:themeColor="text1"/>
          <w:sz w:val="24"/>
        </w:rPr>
        <w:t>WoS</w:t>
      </w:r>
      <w:proofErr w:type="spellEnd"/>
      <w:r w:rsidRPr="00A80A0C">
        <w:rPr>
          <w:color w:val="000000" w:themeColor="text1"/>
          <w:sz w:val="24"/>
        </w:rPr>
        <w:t xml:space="preserve">, EBSCO and Scopus, and used the advanced search function. </w:t>
      </w:r>
    </w:p>
    <w:p w14:paraId="516E3667" w14:textId="77777777" w:rsidR="00871C0F" w:rsidRPr="00A80A0C" w:rsidRDefault="00871C0F" w:rsidP="00FC7D81">
      <w:pPr>
        <w:spacing w:line="360" w:lineRule="auto"/>
        <w:rPr>
          <w:color w:val="000000" w:themeColor="text1"/>
          <w:sz w:val="24"/>
        </w:rPr>
      </w:pPr>
    </w:p>
    <w:p w14:paraId="0C29E1F1" w14:textId="77777777" w:rsidR="00871C0F" w:rsidRPr="00A80A0C" w:rsidRDefault="00871C0F" w:rsidP="00FC7D81">
      <w:pPr>
        <w:spacing w:line="360" w:lineRule="auto"/>
        <w:ind w:firstLineChars="200" w:firstLine="480"/>
        <w:jc w:val="center"/>
        <w:rPr>
          <w:color w:val="000000" w:themeColor="text1"/>
          <w:sz w:val="24"/>
          <w:szCs w:val="24"/>
        </w:rPr>
      </w:pPr>
      <w:r w:rsidRPr="00A80A0C">
        <w:rPr>
          <w:color w:val="000000" w:themeColor="text1"/>
          <w:sz w:val="24"/>
          <w:szCs w:val="24"/>
        </w:rPr>
        <w:t xml:space="preserve">------------------------------ Insert </w:t>
      </w:r>
      <w:r w:rsidRPr="00A80A0C">
        <w:rPr>
          <w:b/>
          <w:color w:val="000000" w:themeColor="text1"/>
          <w:sz w:val="24"/>
          <w:szCs w:val="24"/>
        </w:rPr>
        <w:t>Figure 1</w:t>
      </w:r>
      <w:r w:rsidRPr="00A80A0C">
        <w:rPr>
          <w:color w:val="000000" w:themeColor="text1"/>
          <w:sz w:val="24"/>
          <w:szCs w:val="24"/>
        </w:rPr>
        <w:t xml:space="preserve"> here ------------------------------</w:t>
      </w:r>
    </w:p>
    <w:p w14:paraId="3DCD89D5" w14:textId="77777777" w:rsidR="00871C0F" w:rsidRPr="00A80A0C" w:rsidRDefault="00871C0F" w:rsidP="00FC7D81">
      <w:pPr>
        <w:spacing w:line="360" w:lineRule="auto"/>
        <w:rPr>
          <w:color w:val="000000" w:themeColor="text1"/>
        </w:rPr>
      </w:pPr>
    </w:p>
    <w:p w14:paraId="112D7B76" w14:textId="77777777" w:rsidR="00871C0F" w:rsidRPr="00A80A0C" w:rsidRDefault="00871C0F" w:rsidP="00FC7D81">
      <w:pPr>
        <w:pStyle w:val="Heading2"/>
        <w:spacing w:beforeLines="50" w:before="156" w:afterLines="50" w:after="156" w:line="360" w:lineRule="auto"/>
        <w:rPr>
          <w:color w:val="000000" w:themeColor="text1"/>
        </w:rPr>
      </w:pPr>
      <w:r w:rsidRPr="00A80A0C">
        <w:rPr>
          <w:color w:val="000000" w:themeColor="text1"/>
        </w:rPr>
        <w:t>2.2</w:t>
      </w:r>
      <w:r w:rsidR="009271EC" w:rsidRPr="00A80A0C">
        <w:rPr>
          <w:color w:val="000000" w:themeColor="text1"/>
        </w:rPr>
        <w:t>.</w:t>
      </w:r>
      <w:r w:rsidRPr="00A80A0C">
        <w:rPr>
          <w:color w:val="000000" w:themeColor="text1"/>
        </w:rPr>
        <w:t xml:space="preserve"> Selection procedure</w:t>
      </w:r>
    </w:p>
    <w:p w14:paraId="18E6117F" w14:textId="1DD4D240" w:rsidR="00871C0F" w:rsidRPr="00A80A0C" w:rsidRDefault="00871C0F" w:rsidP="00FC7D81">
      <w:pPr>
        <w:spacing w:line="360" w:lineRule="auto"/>
        <w:rPr>
          <w:color w:val="000000" w:themeColor="text1"/>
          <w:sz w:val="24"/>
        </w:rPr>
      </w:pPr>
      <w:r w:rsidRPr="00A80A0C">
        <w:rPr>
          <w:color w:val="000000" w:themeColor="text1"/>
          <w:sz w:val="24"/>
        </w:rPr>
        <w:t xml:space="preserve">To ensure replicability, we followed three steps: data collection, title and abstract evaluation and content evaluation. Detailed search information for the procedure and criteria are shown in </w:t>
      </w:r>
      <w:r w:rsidRPr="00A80A0C">
        <w:rPr>
          <w:b/>
          <w:color w:val="000000" w:themeColor="text1"/>
          <w:sz w:val="24"/>
        </w:rPr>
        <w:t>Fig. 2</w:t>
      </w:r>
      <w:r w:rsidRPr="00A80A0C">
        <w:rPr>
          <w:color w:val="000000" w:themeColor="text1"/>
          <w:sz w:val="24"/>
        </w:rPr>
        <w:t xml:space="preserve">. After inserting the search terms into the search boxes of three databases, we further confined the subject area and source type. We found </w:t>
      </w:r>
      <w:r w:rsidR="00812302" w:rsidRPr="00A80A0C">
        <w:rPr>
          <w:color w:val="000000" w:themeColor="text1"/>
          <w:sz w:val="24"/>
        </w:rPr>
        <w:t>3238</w:t>
      </w:r>
      <w:r w:rsidRPr="00A80A0C">
        <w:rPr>
          <w:color w:val="000000" w:themeColor="text1"/>
          <w:sz w:val="24"/>
        </w:rPr>
        <w:t xml:space="preserve"> titles in </w:t>
      </w:r>
      <w:proofErr w:type="spellStart"/>
      <w:r w:rsidRPr="00A80A0C">
        <w:rPr>
          <w:color w:val="000000" w:themeColor="text1"/>
          <w:sz w:val="24"/>
        </w:rPr>
        <w:t>WoS</w:t>
      </w:r>
      <w:proofErr w:type="spellEnd"/>
      <w:r w:rsidRPr="00A80A0C">
        <w:rPr>
          <w:color w:val="000000" w:themeColor="text1"/>
          <w:sz w:val="24"/>
        </w:rPr>
        <w:t xml:space="preserve">, </w:t>
      </w:r>
      <w:r w:rsidR="00812302" w:rsidRPr="00A80A0C">
        <w:rPr>
          <w:color w:val="000000" w:themeColor="text1"/>
          <w:sz w:val="24"/>
        </w:rPr>
        <w:t>1453</w:t>
      </w:r>
      <w:r w:rsidRPr="00A80A0C">
        <w:rPr>
          <w:color w:val="000000" w:themeColor="text1"/>
          <w:sz w:val="24"/>
        </w:rPr>
        <w:t xml:space="preserve"> titles in EBSCO and </w:t>
      </w:r>
      <w:r w:rsidR="00812302" w:rsidRPr="00A80A0C">
        <w:rPr>
          <w:color w:val="000000" w:themeColor="text1"/>
          <w:sz w:val="24"/>
        </w:rPr>
        <w:t>3311</w:t>
      </w:r>
      <w:r w:rsidRPr="00A80A0C">
        <w:rPr>
          <w:color w:val="000000" w:themeColor="text1"/>
          <w:sz w:val="24"/>
        </w:rPr>
        <w:t xml:space="preserve"> ti</w:t>
      </w:r>
      <w:r w:rsidR="00812302" w:rsidRPr="00A80A0C">
        <w:rPr>
          <w:color w:val="000000" w:themeColor="text1"/>
          <w:sz w:val="24"/>
        </w:rPr>
        <w:t>tles in Scopus. After excluding</w:t>
      </w:r>
      <w:r w:rsidRPr="00A80A0C">
        <w:rPr>
          <w:color w:val="000000" w:themeColor="text1"/>
          <w:sz w:val="24"/>
        </w:rPr>
        <w:t xml:space="preserve"> conference papers and duplications, </w:t>
      </w:r>
      <w:r w:rsidR="00812302" w:rsidRPr="00A80A0C">
        <w:rPr>
          <w:color w:val="000000" w:themeColor="text1"/>
          <w:sz w:val="24"/>
        </w:rPr>
        <w:t>4322</w:t>
      </w:r>
      <w:r w:rsidRPr="00A80A0C">
        <w:rPr>
          <w:color w:val="000000" w:themeColor="text1"/>
          <w:sz w:val="24"/>
        </w:rPr>
        <w:t xml:space="preserve"> papers remained. After evaluating the title and abstract of </w:t>
      </w:r>
      <w:r w:rsidR="00812302" w:rsidRPr="00A80A0C">
        <w:rPr>
          <w:color w:val="000000" w:themeColor="text1"/>
          <w:sz w:val="24"/>
        </w:rPr>
        <w:t>4322</w:t>
      </w:r>
      <w:r w:rsidRPr="00A80A0C">
        <w:rPr>
          <w:color w:val="000000" w:themeColor="text1"/>
          <w:sz w:val="24"/>
        </w:rPr>
        <w:t xml:space="preserve"> papers and applying inclusion and exclusion criteria (</w:t>
      </w:r>
      <w:r w:rsidRPr="00A80A0C">
        <w:rPr>
          <w:b/>
          <w:color w:val="000000" w:themeColor="text1"/>
          <w:sz w:val="24"/>
        </w:rPr>
        <w:t>Fig. 2</w:t>
      </w:r>
      <w:r w:rsidRPr="00A80A0C">
        <w:rPr>
          <w:color w:val="000000" w:themeColor="text1"/>
          <w:sz w:val="24"/>
        </w:rPr>
        <w:t xml:space="preserve">), </w:t>
      </w:r>
      <w:r w:rsidR="00812302" w:rsidRPr="00A80A0C">
        <w:rPr>
          <w:color w:val="000000" w:themeColor="text1"/>
          <w:sz w:val="24"/>
        </w:rPr>
        <w:t>3705</w:t>
      </w:r>
      <w:r w:rsidRPr="00A80A0C">
        <w:rPr>
          <w:color w:val="000000" w:themeColor="text1"/>
          <w:sz w:val="24"/>
        </w:rPr>
        <w:t xml:space="preserve"> papers were excluded. We further reviewed the full text of the remaining </w:t>
      </w:r>
      <w:r w:rsidR="00812302" w:rsidRPr="00A80A0C">
        <w:rPr>
          <w:color w:val="000000" w:themeColor="text1"/>
          <w:sz w:val="24"/>
        </w:rPr>
        <w:t>617</w:t>
      </w:r>
      <w:r w:rsidRPr="00A80A0C">
        <w:rPr>
          <w:color w:val="000000" w:themeColor="text1"/>
          <w:sz w:val="24"/>
        </w:rPr>
        <w:t xml:space="preserve"> papers from an IPT perspective, and included only papers that focus on financing behaviou</w:t>
      </w:r>
      <w:r w:rsidR="002758D1" w:rsidRPr="00A80A0C">
        <w:rPr>
          <w:color w:val="000000" w:themeColor="text1"/>
          <w:sz w:val="24"/>
        </w:rPr>
        <w:t>r from a SC perspective. Finally</w:t>
      </w:r>
      <w:r w:rsidRPr="00A80A0C">
        <w:rPr>
          <w:color w:val="000000" w:themeColor="text1"/>
          <w:sz w:val="24"/>
        </w:rPr>
        <w:t xml:space="preserve">, </w:t>
      </w:r>
      <w:r w:rsidR="00812302" w:rsidRPr="00A80A0C">
        <w:rPr>
          <w:color w:val="000000" w:themeColor="text1"/>
          <w:sz w:val="24"/>
        </w:rPr>
        <w:t>71</w:t>
      </w:r>
      <w:r w:rsidRPr="00A80A0C">
        <w:rPr>
          <w:color w:val="000000" w:themeColor="text1"/>
          <w:sz w:val="24"/>
        </w:rPr>
        <w:t xml:space="preserve"> papers were retained for final review. The detailed search procedure and criteria are shown in </w:t>
      </w:r>
      <w:r w:rsidRPr="00A80A0C">
        <w:rPr>
          <w:b/>
          <w:color w:val="000000" w:themeColor="text1"/>
          <w:sz w:val="24"/>
        </w:rPr>
        <w:t>Fig. 2</w:t>
      </w:r>
      <w:r w:rsidRPr="00A80A0C">
        <w:rPr>
          <w:color w:val="000000" w:themeColor="text1"/>
          <w:sz w:val="24"/>
        </w:rPr>
        <w:t xml:space="preserve">. </w:t>
      </w:r>
    </w:p>
    <w:p w14:paraId="4D39EE62" w14:textId="77777777" w:rsidR="00871C0F" w:rsidRPr="00A80A0C" w:rsidRDefault="00871C0F" w:rsidP="00FC7D81">
      <w:pPr>
        <w:spacing w:line="360" w:lineRule="auto"/>
        <w:rPr>
          <w:color w:val="000000" w:themeColor="text1"/>
          <w:sz w:val="24"/>
        </w:rPr>
      </w:pPr>
    </w:p>
    <w:p w14:paraId="427AF6C0" w14:textId="77777777" w:rsidR="00871C0F" w:rsidRPr="00A80A0C" w:rsidRDefault="00871C0F" w:rsidP="00FC7D81">
      <w:pPr>
        <w:spacing w:line="360" w:lineRule="auto"/>
        <w:ind w:firstLineChars="200" w:firstLine="480"/>
        <w:jc w:val="center"/>
        <w:rPr>
          <w:color w:val="000000" w:themeColor="text1"/>
          <w:sz w:val="24"/>
          <w:szCs w:val="24"/>
        </w:rPr>
      </w:pPr>
      <w:r w:rsidRPr="00A80A0C">
        <w:rPr>
          <w:color w:val="000000" w:themeColor="text1"/>
          <w:sz w:val="24"/>
          <w:szCs w:val="24"/>
        </w:rPr>
        <w:t>---------------------Insert Figure 2 here------------------------------</w:t>
      </w:r>
    </w:p>
    <w:p w14:paraId="0258F2BA" w14:textId="77777777" w:rsidR="00871C0F" w:rsidRPr="00A80A0C" w:rsidRDefault="00871C0F" w:rsidP="00FC7D81">
      <w:pPr>
        <w:spacing w:line="360" w:lineRule="auto"/>
        <w:rPr>
          <w:color w:val="000000" w:themeColor="text1"/>
          <w:sz w:val="24"/>
          <w:szCs w:val="24"/>
        </w:rPr>
      </w:pPr>
    </w:p>
    <w:p w14:paraId="29648E48" w14:textId="77777777" w:rsidR="00871C0F" w:rsidRPr="00A80A0C" w:rsidRDefault="00871C0F" w:rsidP="00FC7D81">
      <w:pPr>
        <w:pStyle w:val="Heading2"/>
        <w:spacing w:beforeLines="50" w:before="156" w:afterLines="50" w:after="156" w:line="360" w:lineRule="auto"/>
        <w:rPr>
          <w:i w:val="0"/>
          <w:color w:val="000000" w:themeColor="text1"/>
        </w:rPr>
      </w:pPr>
      <w:r w:rsidRPr="00A80A0C">
        <w:rPr>
          <w:color w:val="000000" w:themeColor="text1"/>
        </w:rPr>
        <w:t>2.3</w:t>
      </w:r>
      <w:r w:rsidR="009271EC" w:rsidRPr="00A80A0C">
        <w:rPr>
          <w:color w:val="000000" w:themeColor="text1"/>
        </w:rPr>
        <w:t>.</w:t>
      </w:r>
      <w:r w:rsidRPr="00A80A0C">
        <w:rPr>
          <w:color w:val="000000" w:themeColor="text1"/>
        </w:rPr>
        <w:t xml:space="preserve"> Search results</w:t>
      </w:r>
    </w:p>
    <w:p w14:paraId="11B3294B" w14:textId="46F710E5" w:rsidR="00871C0F" w:rsidRPr="00A80A0C" w:rsidRDefault="000B0D3E" w:rsidP="00FC7D81">
      <w:pPr>
        <w:spacing w:line="360" w:lineRule="auto"/>
        <w:rPr>
          <w:color w:val="000000" w:themeColor="text1"/>
          <w:sz w:val="24"/>
        </w:rPr>
      </w:pPr>
      <w:r w:rsidRPr="00A80A0C">
        <w:rPr>
          <w:color w:val="000000" w:themeColor="text1"/>
          <w:sz w:val="24"/>
        </w:rPr>
        <w:t>The 71</w:t>
      </w:r>
      <w:r w:rsidR="00871C0F" w:rsidRPr="00A80A0C">
        <w:rPr>
          <w:color w:val="000000" w:themeColor="text1"/>
          <w:sz w:val="24"/>
        </w:rPr>
        <w:t xml:space="preserve"> SCF papers published from 2000 to </w:t>
      </w:r>
      <w:r w:rsidR="00812302" w:rsidRPr="00A80A0C">
        <w:rPr>
          <w:color w:val="000000" w:themeColor="text1"/>
          <w:sz w:val="24"/>
        </w:rPr>
        <w:t>2018</w:t>
      </w:r>
      <w:r w:rsidR="00871C0F" w:rsidRPr="00A80A0C">
        <w:rPr>
          <w:color w:val="000000" w:themeColor="text1"/>
          <w:sz w:val="24"/>
        </w:rPr>
        <w:t xml:space="preserve">. </w:t>
      </w:r>
      <w:r w:rsidR="00871C0F" w:rsidRPr="00A80A0C">
        <w:rPr>
          <w:b/>
          <w:color w:val="000000" w:themeColor="text1"/>
          <w:sz w:val="24"/>
        </w:rPr>
        <w:t>Fig. 3</w:t>
      </w:r>
      <w:r w:rsidR="00871C0F" w:rsidRPr="00A80A0C">
        <w:rPr>
          <w:color w:val="000000" w:themeColor="text1"/>
          <w:sz w:val="24"/>
        </w:rPr>
        <w:t xml:space="preserve"> shows that the number of SCF papers increases gradually. There are only 3 papers from the years before 2007, and the number of papers published from 2008 to </w:t>
      </w:r>
      <w:r w:rsidR="00812302" w:rsidRPr="00A80A0C">
        <w:rPr>
          <w:color w:val="000000" w:themeColor="text1"/>
          <w:sz w:val="24"/>
        </w:rPr>
        <w:t>2018</w:t>
      </w:r>
      <w:r w:rsidR="00871C0F" w:rsidRPr="00A80A0C">
        <w:rPr>
          <w:color w:val="000000" w:themeColor="text1"/>
          <w:sz w:val="24"/>
        </w:rPr>
        <w:t xml:space="preserve"> accounts for </w:t>
      </w:r>
      <w:r w:rsidR="00812302" w:rsidRPr="00A80A0C">
        <w:rPr>
          <w:color w:val="000000" w:themeColor="text1"/>
          <w:sz w:val="24"/>
        </w:rPr>
        <w:t>95.8</w:t>
      </w:r>
      <w:r w:rsidR="00871C0F" w:rsidRPr="00A80A0C">
        <w:rPr>
          <w:color w:val="000000" w:themeColor="text1"/>
          <w:sz w:val="24"/>
        </w:rPr>
        <w:t>% of the total reviewed papers.</w:t>
      </w:r>
    </w:p>
    <w:p w14:paraId="2143D127" w14:textId="77777777" w:rsidR="00871C0F" w:rsidRPr="00A80A0C" w:rsidRDefault="00871C0F" w:rsidP="00FC7D81">
      <w:pPr>
        <w:spacing w:line="360" w:lineRule="auto"/>
        <w:rPr>
          <w:color w:val="000000" w:themeColor="text1"/>
          <w:sz w:val="24"/>
        </w:rPr>
      </w:pPr>
    </w:p>
    <w:p w14:paraId="41BB93C5" w14:textId="77777777" w:rsidR="00871C0F" w:rsidRPr="00A80A0C" w:rsidRDefault="00871C0F" w:rsidP="00FC7D81">
      <w:pPr>
        <w:spacing w:line="360" w:lineRule="auto"/>
        <w:ind w:firstLineChars="200" w:firstLine="480"/>
        <w:jc w:val="center"/>
        <w:rPr>
          <w:color w:val="000000" w:themeColor="text1"/>
          <w:sz w:val="24"/>
          <w:szCs w:val="24"/>
        </w:rPr>
      </w:pPr>
      <w:r w:rsidRPr="00A80A0C">
        <w:rPr>
          <w:color w:val="000000" w:themeColor="text1"/>
          <w:sz w:val="24"/>
          <w:szCs w:val="24"/>
        </w:rPr>
        <w:t>---------------------Insert Figure 3 here------------------------------</w:t>
      </w:r>
    </w:p>
    <w:p w14:paraId="5420B4CC" w14:textId="77777777" w:rsidR="00871C0F" w:rsidRPr="00A80A0C" w:rsidRDefault="00871C0F" w:rsidP="00FC7D81">
      <w:pPr>
        <w:spacing w:line="360" w:lineRule="auto"/>
        <w:ind w:firstLineChars="200" w:firstLine="480"/>
        <w:jc w:val="center"/>
        <w:rPr>
          <w:color w:val="000000" w:themeColor="text1"/>
          <w:sz w:val="24"/>
          <w:szCs w:val="24"/>
        </w:rPr>
      </w:pPr>
    </w:p>
    <w:p w14:paraId="05C4D3D9" w14:textId="77777777" w:rsidR="00871C0F" w:rsidRPr="00A80A0C" w:rsidRDefault="00871C0F" w:rsidP="00FC7D81">
      <w:pPr>
        <w:spacing w:line="360" w:lineRule="auto"/>
        <w:rPr>
          <w:color w:val="000000" w:themeColor="text1"/>
          <w:sz w:val="24"/>
          <w:szCs w:val="21"/>
        </w:rPr>
      </w:pPr>
      <w:r w:rsidRPr="00A80A0C">
        <w:rPr>
          <w:b/>
          <w:color w:val="000000" w:themeColor="text1"/>
          <w:sz w:val="24"/>
          <w:szCs w:val="21"/>
        </w:rPr>
        <w:t xml:space="preserve">Table 1 </w:t>
      </w:r>
      <w:r w:rsidRPr="00A80A0C">
        <w:rPr>
          <w:color w:val="000000" w:themeColor="text1"/>
          <w:sz w:val="24"/>
          <w:szCs w:val="21"/>
        </w:rPr>
        <w:t>shows the journals’ contributions to the SCF literature, each having published two or more articles in our sample. We found that three journals (</w:t>
      </w:r>
      <w:r w:rsidRPr="00A80A0C">
        <w:rPr>
          <w:rFonts w:eastAsia="SimSun"/>
          <w:i/>
          <w:color w:val="000000" w:themeColor="text1"/>
          <w:kern w:val="0"/>
          <w:sz w:val="24"/>
          <w:szCs w:val="24"/>
        </w:rPr>
        <w:t xml:space="preserve">International Journal of Physical </w:t>
      </w:r>
      <w:r w:rsidRPr="00A80A0C">
        <w:rPr>
          <w:rFonts w:eastAsia="SimSun"/>
          <w:i/>
          <w:color w:val="000000" w:themeColor="text1"/>
          <w:kern w:val="0"/>
          <w:sz w:val="24"/>
          <w:szCs w:val="24"/>
        </w:rPr>
        <w:lastRenderedPageBreak/>
        <w:t xml:space="preserve">Distribution &amp; Logistics Management, </w:t>
      </w:r>
      <w:r w:rsidRPr="00A80A0C">
        <w:rPr>
          <w:rFonts w:hint="eastAsia"/>
          <w:i/>
          <w:color w:val="000000" w:themeColor="text1"/>
          <w:sz w:val="24"/>
          <w:szCs w:val="24"/>
        </w:rPr>
        <w:t>Journal of Payments Strategy &amp; Systems</w:t>
      </w:r>
      <w:r w:rsidR="0016517A" w:rsidRPr="00A80A0C">
        <w:rPr>
          <w:rFonts w:eastAsia="SimSun"/>
          <w:color w:val="000000" w:themeColor="text1"/>
          <w:kern w:val="0"/>
          <w:sz w:val="24"/>
          <w:szCs w:val="21"/>
        </w:rPr>
        <w:t xml:space="preserve">, </w:t>
      </w:r>
      <w:r w:rsidRPr="00A80A0C">
        <w:rPr>
          <w:rFonts w:eastAsia="SimSun"/>
          <w:i/>
          <w:color w:val="000000" w:themeColor="text1"/>
          <w:kern w:val="0"/>
          <w:sz w:val="24"/>
          <w:szCs w:val="24"/>
        </w:rPr>
        <w:t>Supply Chain Management: An International Journal</w:t>
      </w:r>
      <w:r w:rsidR="0016517A" w:rsidRPr="00A80A0C">
        <w:rPr>
          <w:rFonts w:eastAsia="SimSun"/>
          <w:i/>
          <w:color w:val="000000" w:themeColor="text1"/>
          <w:kern w:val="0"/>
          <w:sz w:val="24"/>
          <w:szCs w:val="24"/>
        </w:rPr>
        <w:t xml:space="preserve"> and </w:t>
      </w:r>
      <w:r w:rsidR="0016517A" w:rsidRPr="00A80A0C">
        <w:rPr>
          <w:rFonts w:hint="eastAsia"/>
          <w:i/>
          <w:color w:val="000000" w:themeColor="text1"/>
          <w:sz w:val="24"/>
          <w:szCs w:val="24"/>
        </w:rPr>
        <w:t>International Journal of Logistics-Research and Applications</w:t>
      </w:r>
      <w:r w:rsidRPr="00A80A0C">
        <w:rPr>
          <w:rFonts w:eastAsia="SimSun"/>
          <w:i/>
          <w:color w:val="000000" w:themeColor="text1"/>
          <w:kern w:val="0"/>
          <w:sz w:val="24"/>
          <w:szCs w:val="21"/>
        </w:rPr>
        <w:t>)</w:t>
      </w:r>
      <w:r w:rsidRPr="00A80A0C">
        <w:rPr>
          <w:color w:val="000000" w:themeColor="text1"/>
          <w:sz w:val="24"/>
          <w:szCs w:val="21"/>
        </w:rPr>
        <w:t xml:space="preserve"> are ranked the first (5 papers), second (5 papers)</w:t>
      </w:r>
      <w:r w:rsidR="0016517A" w:rsidRPr="00A80A0C">
        <w:rPr>
          <w:color w:val="000000" w:themeColor="text1"/>
          <w:sz w:val="24"/>
          <w:szCs w:val="21"/>
        </w:rPr>
        <w:t>,</w:t>
      </w:r>
      <w:r w:rsidRPr="00A80A0C">
        <w:rPr>
          <w:color w:val="000000" w:themeColor="text1"/>
          <w:sz w:val="24"/>
          <w:szCs w:val="21"/>
        </w:rPr>
        <w:t xml:space="preserve"> third (4 papers)</w:t>
      </w:r>
      <w:r w:rsidR="0016517A" w:rsidRPr="00A80A0C">
        <w:rPr>
          <w:color w:val="000000" w:themeColor="text1"/>
          <w:sz w:val="24"/>
          <w:szCs w:val="21"/>
        </w:rPr>
        <w:t xml:space="preserve"> and fourth (4 papers)</w:t>
      </w:r>
      <w:r w:rsidRPr="00A80A0C">
        <w:rPr>
          <w:color w:val="000000" w:themeColor="text1"/>
          <w:sz w:val="24"/>
          <w:szCs w:val="21"/>
        </w:rPr>
        <w:t xml:space="preserve">, respectively. </w:t>
      </w:r>
    </w:p>
    <w:p w14:paraId="6AFFE839" w14:textId="77777777" w:rsidR="00871C0F" w:rsidRPr="00A80A0C" w:rsidRDefault="00871C0F" w:rsidP="00FC7D81">
      <w:pPr>
        <w:spacing w:line="360" w:lineRule="auto"/>
        <w:rPr>
          <w:color w:val="000000" w:themeColor="text1"/>
          <w:sz w:val="24"/>
          <w:szCs w:val="21"/>
        </w:rPr>
      </w:pPr>
    </w:p>
    <w:p w14:paraId="767CBBFA" w14:textId="77777777" w:rsidR="00871C0F" w:rsidRPr="00A80A0C" w:rsidRDefault="00871C0F" w:rsidP="00FC7D81">
      <w:pPr>
        <w:spacing w:line="360" w:lineRule="auto"/>
        <w:ind w:firstLineChars="200" w:firstLine="480"/>
        <w:jc w:val="center"/>
        <w:rPr>
          <w:color w:val="000000" w:themeColor="text1"/>
          <w:sz w:val="24"/>
          <w:szCs w:val="24"/>
        </w:rPr>
      </w:pPr>
      <w:r w:rsidRPr="00A80A0C">
        <w:rPr>
          <w:color w:val="000000" w:themeColor="text1"/>
          <w:sz w:val="24"/>
          <w:szCs w:val="24"/>
        </w:rPr>
        <w:t>---------------------Insert Table 1 here------------------------------</w:t>
      </w:r>
    </w:p>
    <w:p w14:paraId="2A446DF7" w14:textId="77777777" w:rsidR="00871C0F" w:rsidRPr="00A80A0C" w:rsidRDefault="00871C0F" w:rsidP="00FC7D81">
      <w:pPr>
        <w:spacing w:line="360" w:lineRule="auto"/>
        <w:rPr>
          <w:color w:val="000000" w:themeColor="text1"/>
          <w:sz w:val="24"/>
          <w:szCs w:val="21"/>
        </w:rPr>
      </w:pPr>
    </w:p>
    <w:p w14:paraId="1E3B7838" w14:textId="2A5CE107" w:rsidR="00871C0F" w:rsidRPr="00A80A0C" w:rsidRDefault="00871C0F" w:rsidP="00FC7D81">
      <w:pPr>
        <w:spacing w:line="360" w:lineRule="auto"/>
        <w:rPr>
          <w:color w:val="000000" w:themeColor="text1"/>
          <w:sz w:val="24"/>
          <w:szCs w:val="21"/>
        </w:rPr>
      </w:pPr>
      <w:r w:rsidRPr="00A80A0C">
        <w:rPr>
          <w:color w:val="000000" w:themeColor="text1"/>
          <w:sz w:val="24"/>
          <w:szCs w:val="21"/>
        </w:rPr>
        <w:t xml:space="preserve">Then, we further analysed the distribution of research categories for these papers </w:t>
      </w:r>
      <w:r w:rsidR="00782B61" w:rsidRPr="00A80A0C">
        <w:rPr>
          <w:color w:val="000000" w:themeColor="text1"/>
          <w:sz w:val="24"/>
          <w:szCs w:val="21"/>
        </w:rPr>
        <w:t>(</w:t>
      </w:r>
      <w:r w:rsidR="00782B61" w:rsidRPr="00A80A0C">
        <w:rPr>
          <w:b/>
          <w:color w:val="000000" w:themeColor="text1"/>
          <w:sz w:val="24"/>
          <w:szCs w:val="21"/>
        </w:rPr>
        <w:t>Fig. 4</w:t>
      </w:r>
      <w:r w:rsidR="00782B61" w:rsidRPr="00A80A0C">
        <w:rPr>
          <w:color w:val="000000" w:themeColor="text1"/>
          <w:sz w:val="24"/>
          <w:szCs w:val="21"/>
        </w:rPr>
        <w:t xml:space="preserve">) </w:t>
      </w:r>
      <w:r w:rsidRPr="00A80A0C">
        <w:rPr>
          <w:color w:val="000000" w:themeColor="text1"/>
          <w:sz w:val="24"/>
          <w:szCs w:val="21"/>
        </w:rPr>
        <w:t>and found that conceptual and empirical papers are pub</w:t>
      </w:r>
      <w:r w:rsidR="00F62253" w:rsidRPr="00A80A0C">
        <w:rPr>
          <w:color w:val="000000" w:themeColor="text1"/>
          <w:sz w:val="24"/>
          <w:szCs w:val="21"/>
        </w:rPr>
        <w:t>lished most, accounting for 77</w:t>
      </w:r>
      <w:r w:rsidRPr="00A80A0C">
        <w:rPr>
          <w:color w:val="000000" w:themeColor="text1"/>
          <w:sz w:val="24"/>
          <w:szCs w:val="21"/>
        </w:rPr>
        <w:t xml:space="preserve">%. However, SCF papers conducting literature reviews are scarce. Only </w:t>
      </w:r>
      <w:r w:rsidR="00F62253" w:rsidRPr="00A80A0C">
        <w:rPr>
          <w:color w:val="000000" w:themeColor="text1"/>
          <w:sz w:val="24"/>
          <w:szCs w:val="21"/>
        </w:rPr>
        <w:t>4</w:t>
      </w:r>
      <w:r w:rsidRPr="00A80A0C">
        <w:rPr>
          <w:color w:val="000000" w:themeColor="text1"/>
          <w:sz w:val="24"/>
          <w:szCs w:val="21"/>
        </w:rPr>
        <w:t xml:space="preserve"> papers, as previously mentioned, are literature reviews (e.g., Seifert et al., 2013; </w:t>
      </w:r>
      <w:r w:rsidRPr="00A80A0C">
        <w:rPr>
          <w:color w:val="000000" w:themeColor="text1"/>
          <w:sz w:val="24"/>
          <w:szCs w:val="24"/>
        </w:rPr>
        <w:t>Liu et al., 2015; Gelsomino et al., 2016</w:t>
      </w:r>
      <w:r w:rsidR="00F62253" w:rsidRPr="00A80A0C">
        <w:rPr>
          <w:color w:val="000000" w:themeColor="text1"/>
          <w:sz w:val="24"/>
          <w:szCs w:val="24"/>
        </w:rPr>
        <w:t>; Xu et al., 2018</w:t>
      </w:r>
      <w:r w:rsidRPr="00A80A0C">
        <w:rPr>
          <w:color w:val="000000" w:themeColor="text1"/>
          <w:sz w:val="24"/>
          <w:szCs w:val="21"/>
        </w:rPr>
        <w:t xml:space="preserve">). In addition, 6% of papers are conceptual and use modelling simultaneously and thus fall into the mixed method category, which indicates the use of two or more methods in one paper. It is easy to see that theories are seldom adopted in these papers, with only </w:t>
      </w:r>
      <w:r w:rsidR="00F870B9" w:rsidRPr="00A80A0C">
        <w:rPr>
          <w:color w:val="000000" w:themeColor="text1"/>
          <w:sz w:val="24"/>
          <w:szCs w:val="21"/>
        </w:rPr>
        <w:t>25</w:t>
      </w:r>
      <w:r w:rsidRPr="00A80A0C">
        <w:rPr>
          <w:color w:val="000000" w:themeColor="text1"/>
          <w:sz w:val="24"/>
          <w:szCs w:val="21"/>
        </w:rPr>
        <w:t>% adopting</w:t>
      </w:r>
      <w:r w:rsidR="0035243F" w:rsidRPr="00A80A0C">
        <w:rPr>
          <w:color w:val="000000" w:themeColor="text1"/>
          <w:sz w:val="24"/>
          <w:szCs w:val="21"/>
        </w:rPr>
        <w:t xml:space="preserve"> theories.</w:t>
      </w:r>
    </w:p>
    <w:p w14:paraId="6A7FCDDD" w14:textId="77777777" w:rsidR="00871C0F" w:rsidRPr="00A80A0C" w:rsidRDefault="00871C0F" w:rsidP="00FC7D81">
      <w:pPr>
        <w:spacing w:line="360" w:lineRule="auto"/>
        <w:rPr>
          <w:color w:val="000000" w:themeColor="text1"/>
          <w:sz w:val="24"/>
          <w:szCs w:val="21"/>
        </w:rPr>
      </w:pPr>
    </w:p>
    <w:p w14:paraId="4409891A" w14:textId="77777777" w:rsidR="00871C0F" w:rsidRPr="00A80A0C" w:rsidRDefault="00871C0F" w:rsidP="00FC7D81">
      <w:pPr>
        <w:spacing w:line="360" w:lineRule="auto"/>
        <w:ind w:firstLineChars="200" w:firstLine="480"/>
        <w:jc w:val="center"/>
        <w:rPr>
          <w:color w:val="000000" w:themeColor="text1"/>
          <w:sz w:val="24"/>
          <w:szCs w:val="24"/>
        </w:rPr>
      </w:pPr>
      <w:r w:rsidRPr="00A80A0C">
        <w:rPr>
          <w:color w:val="000000" w:themeColor="text1"/>
          <w:sz w:val="24"/>
          <w:szCs w:val="24"/>
        </w:rPr>
        <w:t>---------------------Insert Figure 4 here------------------------------</w:t>
      </w:r>
    </w:p>
    <w:p w14:paraId="3CDD80EA" w14:textId="77777777" w:rsidR="00871C0F" w:rsidRPr="00A80A0C" w:rsidRDefault="00871C0F" w:rsidP="00FC7D81">
      <w:pPr>
        <w:spacing w:line="360" w:lineRule="auto"/>
        <w:rPr>
          <w:color w:val="000000" w:themeColor="text1"/>
          <w:sz w:val="24"/>
          <w:szCs w:val="24"/>
        </w:rPr>
      </w:pPr>
    </w:p>
    <w:p w14:paraId="18A75C04" w14:textId="77777777" w:rsidR="00871C0F" w:rsidRPr="00A80A0C" w:rsidRDefault="009271EC" w:rsidP="009271EC">
      <w:pPr>
        <w:pStyle w:val="Heading1"/>
        <w:spacing w:beforeLines="50" w:before="156" w:afterLines="50" w:after="156" w:line="360" w:lineRule="auto"/>
        <w:ind w:left="0"/>
        <w:rPr>
          <w:color w:val="000000" w:themeColor="text1"/>
        </w:rPr>
      </w:pPr>
      <w:r w:rsidRPr="00A80A0C">
        <w:rPr>
          <w:color w:val="000000" w:themeColor="text1"/>
        </w:rPr>
        <w:t xml:space="preserve">3. </w:t>
      </w:r>
      <w:r w:rsidR="00871C0F" w:rsidRPr="00A80A0C">
        <w:rPr>
          <w:color w:val="000000" w:themeColor="text1"/>
        </w:rPr>
        <w:t>Theories used in SCF and coding strategy</w:t>
      </w:r>
    </w:p>
    <w:p w14:paraId="6781B21C" w14:textId="147E3671" w:rsidR="00871C0F" w:rsidRPr="00A80A0C" w:rsidRDefault="00871C0F" w:rsidP="00FC7D81">
      <w:pPr>
        <w:spacing w:line="360" w:lineRule="auto"/>
        <w:rPr>
          <w:color w:val="000000" w:themeColor="text1"/>
          <w:sz w:val="24"/>
          <w:szCs w:val="24"/>
        </w:rPr>
      </w:pPr>
      <w:r w:rsidRPr="00A80A0C">
        <w:rPr>
          <w:color w:val="000000" w:themeColor="text1"/>
          <w:sz w:val="24"/>
          <w:szCs w:val="24"/>
        </w:rPr>
        <w:t xml:space="preserve">Table 2 shows the different theories used in these SCF papers. We found that the </w:t>
      </w:r>
      <w:r w:rsidR="00167059" w:rsidRPr="00A80A0C">
        <w:rPr>
          <w:color w:val="000000" w:themeColor="text1"/>
          <w:sz w:val="24"/>
          <w:szCs w:val="24"/>
        </w:rPr>
        <w:t xml:space="preserve">resource dependent theory and </w:t>
      </w:r>
      <w:r w:rsidR="007E05FB" w:rsidRPr="00A80A0C">
        <w:rPr>
          <w:color w:val="000000" w:themeColor="text1"/>
          <w:sz w:val="24"/>
          <w:szCs w:val="24"/>
        </w:rPr>
        <w:t>the agency</w:t>
      </w:r>
      <w:r w:rsidRPr="00A80A0C">
        <w:rPr>
          <w:color w:val="000000" w:themeColor="text1"/>
          <w:sz w:val="24"/>
          <w:szCs w:val="24"/>
        </w:rPr>
        <w:t xml:space="preserve"> theory are used most. Theories adopted by SCF papers can be divided into two broad categories: financial and organisational theories. The papers that used financial theories mainly concentrate on the specific financing target (or collateral) (e.g., pecking order theory) and channels (e.g., diversion theory). Studies applying organisational theories are more focused on inter-organisational relationships (e.g., principle-agent theory, barging power theory, resource dependence theory, systems theory and task interdependence), intra-organisation issues (e.g., transaction cost theory and inventory theory) and the process of adopting SCF (e.g., innovation process). However, we find that no theory has been presented that explores SCF practices from both financial and organisational perspectives, and the </w:t>
      </w:r>
      <w:r w:rsidRPr="00A80A0C">
        <w:rPr>
          <w:color w:val="000000" w:themeColor="text1"/>
          <w:sz w:val="24"/>
          <w:szCs w:val="24"/>
        </w:rPr>
        <w:lastRenderedPageBreak/>
        <w:t>existing theory studies generally ignore the importance of information management. This lack tends to impede a more comprehensive understanding of SCF.</w:t>
      </w:r>
    </w:p>
    <w:p w14:paraId="759ABFE6" w14:textId="77777777" w:rsidR="00871C0F" w:rsidRPr="00A80A0C" w:rsidRDefault="00871C0F" w:rsidP="00FC7D81">
      <w:pPr>
        <w:spacing w:line="360" w:lineRule="auto"/>
        <w:rPr>
          <w:color w:val="000000" w:themeColor="text1"/>
          <w:sz w:val="24"/>
          <w:szCs w:val="24"/>
        </w:rPr>
      </w:pPr>
    </w:p>
    <w:p w14:paraId="4CC0D1B1" w14:textId="77777777" w:rsidR="00871C0F" w:rsidRPr="00A80A0C" w:rsidRDefault="00871C0F" w:rsidP="00FC7D81">
      <w:pPr>
        <w:spacing w:line="360" w:lineRule="auto"/>
        <w:ind w:firstLineChars="200" w:firstLine="480"/>
        <w:jc w:val="center"/>
        <w:rPr>
          <w:color w:val="000000" w:themeColor="text1"/>
          <w:sz w:val="24"/>
          <w:szCs w:val="24"/>
        </w:rPr>
      </w:pPr>
      <w:r w:rsidRPr="00A80A0C">
        <w:rPr>
          <w:color w:val="000000" w:themeColor="text1"/>
          <w:sz w:val="24"/>
          <w:szCs w:val="24"/>
        </w:rPr>
        <w:t>---------------------Insert Table 2 here------------------------------</w:t>
      </w:r>
    </w:p>
    <w:p w14:paraId="1C3945F3" w14:textId="77777777" w:rsidR="00871C0F" w:rsidRPr="00A80A0C" w:rsidRDefault="00871C0F" w:rsidP="00FC7D81">
      <w:pPr>
        <w:rPr>
          <w:color w:val="000000" w:themeColor="text1"/>
          <w:sz w:val="24"/>
          <w:szCs w:val="24"/>
        </w:rPr>
      </w:pPr>
    </w:p>
    <w:p w14:paraId="5C3D3C2A" w14:textId="77777777" w:rsidR="00871C0F" w:rsidRPr="00A80A0C" w:rsidRDefault="00871C0F" w:rsidP="00555221">
      <w:pPr>
        <w:spacing w:line="360" w:lineRule="auto"/>
        <w:ind w:firstLineChars="177" w:firstLine="425"/>
        <w:rPr>
          <w:color w:val="000000" w:themeColor="text1"/>
          <w:sz w:val="24"/>
          <w:szCs w:val="24"/>
        </w:rPr>
      </w:pPr>
      <w:r w:rsidRPr="00A80A0C">
        <w:rPr>
          <w:color w:val="000000" w:themeColor="text1"/>
          <w:sz w:val="24"/>
          <w:szCs w:val="24"/>
        </w:rPr>
        <w:t xml:space="preserve">We believe that the IPT provides a grounded base for us to further understand SCF. This theory reveals the process of improving organisations’ ability to cope with various uncertainties (i.e., task characteristics, task environment and task independency) </w:t>
      </w:r>
      <w:bookmarkStart w:id="5" w:name="OLE_LINK13"/>
      <w:bookmarkStart w:id="6" w:name="OLE_LINK14"/>
      <w:r w:rsidRPr="00A80A0C">
        <w:rPr>
          <w:color w:val="000000" w:themeColor="text1"/>
          <w:sz w:val="24"/>
          <w:szCs w:val="24"/>
        </w:rPr>
        <w:t>(</w:t>
      </w:r>
      <w:proofErr w:type="spellStart"/>
      <w:r w:rsidRPr="00A80A0C">
        <w:rPr>
          <w:color w:val="000000" w:themeColor="text1"/>
          <w:sz w:val="24"/>
          <w:szCs w:val="24"/>
        </w:rPr>
        <w:t>Tushman</w:t>
      </w:r>
      <w:proofErr w:type="spellEnd"/>
      <w:r w:rsidRPr="00A80A0C">
        <w:rPr>
          <w:color w:val="000000" w:themeColor="text1"/>
          <w:sz w:val="24"/>
          <w:szCs w:val="24"/>
        </w:rPr>
        <w:t xml:space="preserve"> and Nadler, 1978)</w:t>
      </w:r>
      <w:bookmarkEnd w:id="5"/>
      <w:bookmarkEnd w:id="6"/>
      <w:r w:rsidRPr="00A80A0C">
        <w:rPr>
          <w:color w:val="000000" w:themeColor="text1"/>
          <w:sz w:val="24"/>
          <w:szCs w:val="24"/>
        </w:rPr>
        <w:t xml:space="preserve">. </w:t>
      </w:r>
      <w:r w:rsidR="00555221" w:rsidRPr="00A80A0C">
        <w:rPr>
          <w:color w:val="000000" w:themeColor="text1"/>
          <w:sz w:val="24"/>
          <w:szCs w:val="24"/>
        </w:rPr>
        <w:t xml:space="preserve">The information processing model is presented in </w:t>
      </w:r>
      <w:r w:rsidR="00555221" w:rsidRPr="00A80A0C">
        <w:rPr>
          <w:b/>
          <w:color w:val="000000" w:themeColor="text1"/>
          <w:sz w:val="24"/>
          <w:szCs w:val="24"/>
        </w:rPr>
        <w:t>Fig</w:t>
      </w:r>
      <w:r w:rsidR="00782B61" w:rsidRPr="00A80A0C">
        <w:rPr>
          <w:b/>
          <w:color w:val="000000" w:themeColor="text1"/>
          <w:sz w:val="24"/>
          <w:szCs w:val="24"/>
        </w:rPr>
        <w:t>.</w:t>
      </w:r>
      <w:r w:rsidR="00555221" w:rsidRPr="00A80A0C">
        <w:rPr>
          <w:b/>
          <w:color w:val="000000" w:themeColor="text1"/>
          <w:sz w:val="24"/>
          <w:szCs w:val="24"/>
        </w:rPr>
        <w:t xml:space="preserve"> 5</w:t>
      </w:r>
      <w:r w:rsidR="00555221" w:rsidRPr="00A80A0C">
        <w:rPr>
          <w:color w:val="000000" w:themeColor="text1"/>
          <w:sz w:val="24"/>
          <w:szCs w:val="24"/>
        </w:rPr>
        <w:t xml:space="preserve">. </w:t>
      </w:r>
      <w:r w:rsidRPr="00A80A0C">
        <w:rPr>
          <w:color w:val="000000" w:themeColor="text1"/>
          <w:sz w:val="24"/>
          <w:szCs w:val="24"/>
        </w:rPr>
        <w:t>Information processing capacity should be enough to deal with the requirements formed by these uncertainties (</w:t>
      </w:r>
      <w:proofErr w:type="spellStart"/>
      <w:r w:rsidRPr="00A80A0C">
        <w:rPr>
          <w:color w:val="000000" w:themeColor="text1"/>
          <w:sz w:val="24"/>
          <w:szCs w:val="24"/>
        </w:rPr>
        <w:t>Tushman</w:t>
      </w:r>
      <w:proofErr w:type="spellEnd"/>
      <w:r w:rsidRPr="00A80A0C">
        <w:rPr>
          <w:color w:val="000000" w:themeColor="text1"/>
          <w:sz w:val="24"/>
          <w:szCs w:val="24"/>
        </w:rPr>
        <w:t xml:space="preserve"> and Nadler, 1978).</w:t>
      </w:r>
      <w:r w:rsidRPr="00A80A0C" w:rsidDel="006668A6">
        <w:rPr>
          <w:color w:val="000000" w:themeColor="text1"/>
          <w:sz w:val="24"/>
          <w:szCs w:val="24"/>
        </w:rPr>
        <w:t xml:space="preserve"> </w:t>
      </w:r>
      <w:r w:rsidRPr="00A80A0C">
        <w:rPr>
          <w:color w:val="000000" w:themeColor="text1"/>
          <w:sz w:val="24"/>
          <w:szCs w:val="24"/>
        </w:rPr>
        <w:t xml:space="preserve">The focal idea of this perspective is that organisations differ in their requirements for information processing, and they subsequently use different mechanisms to achieve integration </w:t>
      </w:r>
      <w:r w:rsidRPr="00A80A0C">
        <w:rPr>
          <w:noProof/>
          <w:color w:val="000000" w:themeColor="text1"/>
          <w:sz w:val="24"/>
          <w:szCs w:val="24"/>
        </w:rPr>
        <w:t>(Trautmann et al., 2009)</w:t>
      </w:r>
      <w:r w:rsidRPr="00A80A0C">
        <w:rPr>
          <w:color w:val="000000" w:themeColor="text1"/>
          <w:sz w:val="24"/>
          <w:szCs w:val="24"/>
        </w:rPr>
        <w:t>.</w:t>
      </w:r>
    </w:p>
    <w:p w14:paraId="3439FCA3" w14:textId="77777777" w:rsidR="00555221" w:rsidRPr="00A80A0C" w:rsidRDefault="00555221" w:rsidP="00555221">
      <w:pPr>
        <w:spacing w:line="360" w:lineRule="auto"/>
        <w:ind w:firstLineChars="177" w:firstLine="425"/>
        <w:rPr>
          <w:color w:val="000000" w:themeColor="text1"/>
          <w:sz w:val="24"/>
          <w:szCs w:val="24"/>
        </w:rPr>
      </w:pPr>
    </w:p>
    <w:p w14:paraId="2F9DC9D7" w14:textId="77777777" w:rsidR="00555221" w:rsidRPr="00A80A0C" w:rsidRDefault="00555221" w:rsidP="00555221">
      <w:pPr>
        <w:spacing w:line="360" w:lineRule="auto"/>
        <w:ind w:firstLineChars="200" w:firstLine="480"/>
        <w:jc w:val="center"/>
        <w:rPr>
          <w:color w:val="000000" w:themeColor="text1"/>
          <w:sz w:val="24"/>
          <w:szCs w:val="24"/>
        </w:rPr>
      </w:pPr>
      <w:r w:rsidRPr="00A80A0C">
        <w:rPr>
          <w:color w:val="000000" w:themeColor="text1"/>
          <w:sz w:val="24"/>
          <w:szCs w:val="24"/>
        </w:rPr>
        <w:t>---------------------Insert Figure 5 here------------------------------</w:t>
      </w:r>
    </w:p>
    <w:p w14:paraId="535501AA" w14:textId="77777777" w:rsidR="00555221" w:rsidRPr="00A80A0C" w:rsidRDefault="00555221" w:rsidP="00FC7D81">
      <w:pPr>
        <w:spacing w:line="360" w:lineRule="auto"/>
        <w:ind w:firstLineChars="177" w:firstLine="425"/>
        <w:rPr>
          <w:color w:val="000000" w:themeColor="text1"/>
          <w:sz w:val="24"/>
          <w:szCs w:val="24"/>
        </w:rPr>
      </w:pPr>
    </w:p>
    <w:p w14:paraId="7F2DB850" w14:textId="77777777" w:rsidR="00871C0F" w:rsidRPr="00A80A0C" w:rsidRDefault="00871C0F" w:rsidP="00D8334F">
      <w:pPr>
        <w:spacing w:line="360" w:lineRule="auto"/>
        <w:ind w:firstLineChars="177" w:firstLine="425"/>
        <w:rPr>
          <w:color w:val="000000" w:themeColor="text1"/>
          <w:sz w:val="24"/>
          <w:szCs w:val="24"/>
        </w:rPr>
      </w:pPr>
      <w:r w:rsidRPr="00A80A0C">
        <w:rPr>
          <w:color w:val="000000" w:themeColor="text1"/>
          <w:sz w:val="24"/>
          <w:szCs w:val="24"/>
        </w:rPr>
        <w:t xml:space="preserve">IPT has been widely used in other fields, such as organisation strategy </w:t>
      </w:r>
      <w:r w:rsidRPr="00A80A0C">
        <w:rPr>
          <w:noProof/>
          <w:color w:val="000000" w:themeColor="text1"/>
          <w:sz w:val="24"/>
          <w:szCs w:val="24"/>
        </w:rPr>
        <w:t>(Rogers et al., 1999; Trentin et al., 2012)</w:t>
      </w:r>
      <w:r w:rsidRPr="00A80A0C">
        <w:rPr>
          <w:color w:val="000000" w:themeColor="text1"/>
          <w:sz w:val="24"/>
          <w:szCs w:val="24"/>
        </w:rPr>
        <w:t xml:space="preserve">, global sourcing </w:t>
      </w:r>
      <w:r w:rsidRPr="00A80A0C">
        <w:rPr>
          <w:noProof/>
          <w:color w:val="000000" w:themeColor="text1"/>
          <w:sz w:val="24"/>
          <w:szCs w:val="24"/>
        </w:rPr>
        <w:t>(Trautmann et al., 200</w:t>
      </w:r>
      <w:r w:rsidRPr="00A80A0C">
        <w:rPr>
          <w:color w:val="000000" w:themeColor="text1"/>
          <w:sz w:val="24"/>
          <w:szCs w:val="24"/>
        </w:rPr>
        <w:t xml:space="preserve">9), </w:t>
      </w:r>
      <w:r w:rsidR="001F5F81" w:rsidRPr="00A80A0C">
        <w:rPr>
          <w:color w:val="000000" w:themeColor="text1"/>
          <w:sz w:val="24"/>
          <w:szCs w:val="24"/>
        </w:rPr>
        <w:t>inter-organizational information integration (</w:t>
      </w:r>
      <w:r w:rsidR="004E744B" w:rsidRPr="00A80A0C">
        <w:rPr>
          <w:color w:val="000000" w:themeColor="text1"/>
          <w:sz w:val="24"/>
          <w:szCs w:val="24"/>
        </w:rPr>
        <w:t>Wong et al. 2015</w:t>
      </w:r>
      <w:r w:rsidR="001F5F81" w:rsidRPr="00A80A0C">
        <w:rPr>
          <w:color w:val="000000" w:themeColor="text1"/>
          <w:sz w:val="24"/>
          <w:szCs w:val="24"/>
        </w:rPr>
        <w:t>)</w:t>
      </w:r>
      <w:r w:rsidR="004E744B" w:rsidRPr="00A80A0C">
        <w:rPr>
          <w:color w:val="000000" w:themeColor="text1"/>
          <w:sz w:val="24"/>
          <w:szCs w:val="24"/>
        </w:rPr>
        <w:t xml:space="preserve">, </w:t>
      </w:r>
      <w:r w:rsidR="00D8334F" w:rsidRPr="00A80A0C">
        <w:rPr>
          <w:color w:val="000000" w:themeColor="text1"/>
          <w:sz w:val="24"/>
          <w:szCs w:val="24"/>
        </w:rPr>
        <w:t xml:space="preserve">production control system (Gong et al. 2014), </w:t>
      </w:r>
      <w:r w:rsidRPr="00A80A0C">
        <w:rPr>
          <w:color w:val="000000" w:themeColor="text1"/>
          <w:sz w:val="24"/>
          <w:szCs w:val="24"/>
        </w:rPr>
        <w:t xml:space="preserve">sustainable SC management </w:t>
      </w:r>
      <w:r w:rsidRPr="00A80A0C">
        <w:rPr>
          <w:noProof/>
          <w:color w:val="000000" w:themeColor="text1"/>
          <w:sz w:val="24"/>
          <w:szCs w:val="24"/>
        </w:rPr>
        <w:t>(Busse et al., 2017)</w:t>
      </w:r>
      <w:r w:rsidRPr="00A80A0C">
        <w:rPr>
          <w:color w:val="000000" w:themeColor="text1"/>
          <w:sz w:val="24"/>
          <w:szCs w:val="24"/>
        </w:rPr>
        <w:t xml:space="preserve">, and SC risk management </w:t>
      </w:r>
      <w:r w:rsidRPr="00A80A0C">
        <w:rPr>
          <w:noProof/>
          <w:color w:val="000000" w:themeColor="text1"/>
          <w:sz w:val="24"/>
          <w:szCs w:val="24"/>
        </w:rPr>
        <w:t>(Fan et al., 2017)</w:t>
      </w:r>
      <w:r w:rsidRPr="00A80A0C">
        <w:rPr>
          <w:color w:val="000000" w:themeColor="text1"/>
          <w:sz w:val="24"/>
          <w:szCs w:val="24"/>
        </w:rPr>
        <w:t xml:space="preserve">, but, to the best of our knowledge, it still has not been applied in a SCF context. We believe that this theory has significant implications for understanding SCF for two reasons. First, although previous studies have identified a number of different ways </w:t>
      </w:r>
      <w:bookmarkStart w:id="7" w:name="OLE_LINK26"/>
      <w:bookmarkStart w:id="8" w:name="OLE_LINK27"/>
      <w:bookmarkStart w:id="9" w:name="OLE_LINK8"/>
      <w:r w:rsidRPr="00A80A0C">
        <w:rPr>
          <w:color w:val="000000" w:themeColor="text1"/>
          <w:sz w:val="24"/>
          <w:szCs w:val="24"/>
        </w:rPr>
        <w:t>to manage the financial SC</w:t>
      </w:r>
      <w:bookmarkEnd w:id="7"/>
      <w:bookmarkEnd w:id="8"/>
      <w:bookmarkEnd w:id="9"/>
      <w:r w:rsidRPr="00A80A0C">
        <w:rPr>
          <w:color w:val="000000" w:themeColor="text1"/>
          <w:sz w:val="24"/>
          <w:szCs w:val="24"/>
        </w:rPr>
        <w:t xml:space="preserve">, such as management of cash flows </w:t>
      </w:r>
      <w:r w:rsidRPr="00A80A0C">
        <w:rPr>
          <w:noProof/>
          <w:color w:val="000000" w:themeColor="text1"/>
          <w:sz w:val="24"/>
          <w:szCs w:val="24"/>
        </w:rPr>
        <w:t>(Brealey et al., 2007)</w:t>
      </w:r>
      <w:r w:rsidRPr="00A80A0C">
        <w:rPr>
          <w:color w:val="000000" w:themeColor="text1"/>
          <w:sz w:val="24"/>
          <w:szCs w:val="24"/>
        </w:rPr>
        <w:t xml:space="preserve"> and trade credits </w:t>
      </w:r>
      <w:r w:rsidRPr="00A80A0C">
        <w:rPr>
          <w:noProof/>
          <w:color w:val="000000" w:themeColor="text1"/>
          <w:sz w:val="24"/>
          <w:szCs w:val="24"/>
        </w:rPr>
        <w:t>(Chauffour and Malouche, 2011)</w:t>
      </w:r>
      <w:r w:rsidRPr="00A80A0C">
        <w:rPr>
          <w:color w:val="000000" w:themeColor="text1"/>
          <w:sz w:val="24"/>
          <w:szCs w:val="24"/>
        </w:rPr>
        <w:t xml:space="preserve">, few of these studies look at it from the information management vantage. Second, prior research has realised the important role of information management in SCF (e.g., </w:t>
      </w:r>
      <w:r w:rsidRPr="00A80A0C">
        <w:rPr>
          <w:noProof/>
          <w:color w:val="000000" w:themeColor="text1"/>
          <w:sz w:val="24"/>
          <w:szCs w:val="24"/>
        </w:rPr>
        <w:t>Pfohl and Gomm, 2009; Song et al., 2018</w:t>
      </w:r>
      <w:r w:rsidRPr="00A80A0C">
        <w:rPr>
          <w:color w:val="000000" w:themeColor="text1"/>
          <w:sz w:val="24"/>
          <w:szCs w:val="24"/>
        </w:rPr>
        <w:t xml:space="preserve">), but the research is highly descriptive, and theoretical explanations are largely under-represented. </w:t>
      </w:r>
    </w:p>
    <w:p w14:paraId="1804C1F0" w14:textId="77777777" w:rsidR="00871C0F" w:rsidRPr="00A80A0C" w:rsidRDefault="00871C0F" w:rsidP="00FC7D81">
      <w:pPr>
        <w:spacing w:line="360" w:lineRule="auto"/>
        <w:ind w:firstLineChars="177" w:firstLine="425"/>
        <w:rPr>
          <w:color w:val="000000" w:themeColor="text1"/>
          <w:sz w:val="24"/>
          <w:szCs w:val="24"/>
        </w:rPr>
      </w:pPr>
      <w:r w:rsidRPr="00A80A0C">
        <w:rPr>
          <w:rFonts w:hint="eastAsia"/>
          <w:color w:val="000000" w:themeColor="text1"/>
          <w:sz w:val="24"/>
          <w:szCs w:val="24"/>
        </w:rPr>
        <w:t>H</w:t>
      </w:r>
      <w:r w:rsidRPr="00A80A0C">
        <w:rPr>
          <w:color w:val="000000" w:themeColor="text1"/>
          <w:sz w:val="24"/>
          <w:szCs w:val="24"/>
        </w:rPr>
        <w:t xml:space="preserve">ence, we coded the papers based on the IPT, i.e., information processing requirements (affected by SCF task characteristics, environment and inter-dependence) and information </w:t>
      </w:r>
      <w:r w:rsidRPr="00A80A0C">
        <w:rPr>
          <w:color w:val="000000" w:themeColor="text1"/>
          <w:sz w:val="24"/>
          <w:szCs w:val="24"/>
        </w:rPr>
        <w:lastRenderedPageBreak/>
        <w:t xml:space="preserve">processing capacities (affected by mechanisms of organisation structure design, coordination and control and information technology mechanisms). SCF capabilities emerged from the review as an outcome of fit between information processing requirements and capabilities. </w:t>
      </w:r>
    </w:p>
    <w:p w14:paraId="0990C4D2" w14:textId="77777777" w:rsidR="00871C0F" w:rsidRPr="00A80A0C" w:rsidRDefault="00871C0F" w:rsidP="00FC7D81">
      <w:pPr>
        <w:spacing w:line="360" w:lineRule="auto"/>
        <w:rPr>
          <w:color w:val="000000" w:themeColor="text1"/>
          <w:sz w:val="24"/>
          <w:szCs w:val="24"/>
        </w:rPr>
      </w:pPr>
    </w:p>
    <w:p w14:paraId="11DB5B59" w14:textId="77777777" w:rsidR="00871C0F" w:rsidRPr="00A80A0C" w:rsidRDefault="009271EC" w:rsidP="009271EC">
      <w:pPr>
        <w:pStyle w:val="Heading1"/>
        <w:spacing w:beforeLines="50" w:before="156" w:afterLines="50" w:after="156" w:line="360" w:lineRule="auto"/>
        <w:ind w:left="0"/>
        <w:rPr>
          <w:color w:val="000000" w:themeColor="text1"/>
          <w:szCs w:val="24"/>
        </w:rPr>
      </w:pPr>
      <w:r w:rsidRPr="00A80A0C">
        <w:rPr>
          <w:color w:val="000000" w:themeColor="text1"/>
          <w:szCs w:val="24"/>
        </w:rPr>
        <w:t xml:space="preserve">4. </w:t>
      </w:r>
      <w:r w:rsidR="00871C0F" w:rsidRPr="00A80A0C">
        <w:rPr>
          <w:color w:val="000000" w:themeColor="text1"/>
          <w:szCs w:val="24"/>
        </w:rPr>
        <w:t>Discussion</w:t>
      </w:r>
    </w:p>
    <w:p w14:paraId="274C1B82" w14:textId="77777777" w:rsidR="00871C0F" w:rsidRPr="00A80A0C" w:rsidRDefault="00871C0F" w:rsidP="00FC7D81">
      <w:pPr>
        <w:spacing w:line="360" w:lineRule="auto"/>
        <w:rPr>
          <w:color w:val="000000" w:themeColor="text1"/>
          <w:sz w:val="24"/>
          <w:szCs w:val="24"/>
        </w:rPr>
      </w:pPr>
      <w:r w:rsidRPr="00A80A0C">
        <w:rPr>
          <w:color w:val="000000" w:themeColor="text1"/>
          <w:sz w:val="24"/>
          <w:szCs w:val="24"/>
        </w:rPr>
        <w:t xml:space="preserve">In this section, we will develop an integrated conceptual framework building on information processing theory and linking various themes identified in the literature review. We propose that the SCF task characteristics, environment and inter-dependence determine information processing requirements for SCF providers; the fit between information processing requirements and information processing capabilities affects the SC capabilities of a SCF provider, which in turn affects SC integration. </w:t>
      </w:r>
    </w:p>
    <w:p w14:paraId="2DC80A37" w14:textId="77777777" w:rsidR="00871C0F" w:rsidRPr="00A80A0C" w:rsidRDefault="00871C0F" w:rsidP="00FC7D81">
      <w:pPr>
        <w:spacing w:line="360" w:lineRule="auto"/>
        <w:rPr>
          <w:color w:val="000000" w:themeColor="text1"/>
          <w:sz w:val="24"/>
          <w:szCs w:val="24"/>
        </w:rPr>
      </w:pPr>
    </w:p>
    <w:p w14:paraId="6E3CBE76" w14:textId="77777777" w:rsidR="00871C0F" w:rsidRPr="00A80A0C" w:rsidRDefault="00871C0F" w:rsidP="00FC7D81">
      <w:pPr>
        <w:pStyle w:val="Heading2"/>
        <w:spacing w:beforeLines="50" w:before="156" w:afterLines="50" w:after="156" w:line="360" w:lineRule="auto"/>
        <w:rPr>
          <w:color w:val="000000" w:themeColor="text1"/>
          <w:szCs w:val="24"/>
        </w:rPr>
      </w:pPr>
      <w:r w:rsidRPr="00A80A0C">
        <w:rPr>
          <w:color w:val="000000" w:themeColor="text1"/>
          <w:szCs w:val="24"/>
        </w:rPr>
        <w:t>4.1</w:t>
      </w:r>
      <w:r w:rsidR="009271EC" w:rsidRPr="00A80A0C">
        <w:rPr>
          <w:color w:val="000000" w:themeColor="text1"/>
          <w:szCs w:val="24"/>
        </w:rPr>
        <w:t>.</w:t>
      </w:r>
      <w:r w:rsidRPr="00A80A0C">
        <w:rPr>
          <w:color w:val="000000" w:themeColor="text1"/>
          <w:szCs w:val="24"/>
        </w:rPr>
        <w:t xml:space="preserve"> Uncertainties faced by SCF providers and information processing requirements</w:t>
      </w:r>
    </w:p>
    <w:p w14:paraId="2B63B6F2" w14:textId="77777777" w:rsidR="00871C0F" w:rsidRPr="00A80A0C" w:rsidRDefault="00871C0F" w:rsidP="00FC7D81">
      <w:pPr>
        <w:spacing w:line="360" w:lineRule="auto"/>
        <w:rPr>
          <w:color w:val="000000" w:themeColor="text1"/>
          <w:sz w:val="24"/>
          <w:szCs w:val="24"/>
        </w:rPr>
      </w:pPr>
      <w:r w:rsidRPr="00A80A0C">
        <w:rPr>
          <w:color w:val="000000" w:themeColor="text1"/>
          <w:sz w:val="24"/>
          <w:szCs w:val="24"/>
        </w:rPr>
        <w:t xml:space="preserve">According to IPT, uncertainties include task characteristics, the environment and inter-dependence. </w:t>
      </w:r>
    </w:p>
    <w:p w14:paraId="2B6E21FB" w14:textId="77777777" w:rsidR="00871C0F" w:rsidRPr="00A80A0C" w:rsidRDefault="00871C0F" w:rsidP="00FC7D81">
      <w:pPr>
        <w:pStyle w:val="Heading2"/>
        <w:spacing w:beforeLines="50" w:before="156" w:line="360" w:lineRule="auto"/>
        <w:rPr>
          <w:color w:val="000000" w:themeColor="text1"/>
          <w:szCs w:val="24"/>
        </w:rPr>
      </w:pPr>
      <w:r w:rsidRPr="00A80A0C">
        <w:rPr>
          <w:color w:val="000000" w:themeColor="text1"/>
          <w:szCs w:val="24"/>
        </w:rPr>
        <w:t>4.1.1</w:t>
      </w:r>
      <w:r w:rsidR="009271EC" w:rsidRPr="00A80A0C">
        <w:rPr>
          <w:color w:val="000000" w:themeColor="text1"/>
          <w:szCs w:val="24"/>
        </w:rPr>
        <w:t>.</w:t>
      </w:r>
      <w:r w:rsidRPr="00A80A0C">
        <w:rPr>
          <w:color w:val="000000" w:themeColor="text1"/>
          <w:szCs w:val="24"/>
        </w:rPr>
        <w:t xml:space="preserve"> Task characteristics</w:t>
      </w:r>
    </w:p>
    <w:p w14:paraId="3B1A5946" w14:textId="77777777" w:rsidR="00871C0F" w:rsidRPr="00A80A0C" w:rsidRDefault="00871C0F" w:rsidP="00FC7D81">
      <w:pPr>
        <w:spacing w:line="360" w:lineRule="auto"/>
        <w:rPr>
          <w:color w:val="000000" w:themeColor="text1"/>
          <w:sz w:val="24"/>
          <w:szCs w:val="24"/>
        </w:rPr>
      </w:pPr>
      <w:r w:rsidRPr="00A80A0C">
        <w:rPr>
          <w:color w:val="000000" w:themeColor="text1"/>
          <w:sz w:val="24"/>
          <w:szCs w:val="24"/>
        </w:rPr>
        <w:t>The uncertainty of task characteristics can be reflected by the task predictability (</w:t>
      </w:r>
      <w:proofErr w:type="spellStart"/>
      <w:r w:rsidRPr="00A80A0C">
        <w:rPr>
          <w:color w:val="000000" w:themeColor="text1"/>
          <w:sz w:val="24"/>
          <w:szCs w:val="24"/>
        </w:rPr>
        <w:t>Tushman</w:t>
      </w:r>
      <w:proofErr w:type="spellEnd"/>
      <w:r w:rsidRPr="00A80A0C">
        <w:rPr>
          <w:color w:val="000000" w:themeColor="text1"/>
          <w:sz w:val="24"/>
          <w:szCs w:val="24"/>
        </w:rPr>
        <w:t xml:space="preserve"> and Nadler, 197</w:t>
      </w:r>
      <w:r w:rsidR="00555221" w:rsidRPr="00A80A0C">
        <w:rPr>
          <w:color w:val="000000" w:themeColor="text1"/>
          <w:sz w:val="24"/>
          <w:szCs w:val="24"/>
        </w:rPr>
        <w:t>8</w:t>
      </w:r>
      <w:r w:rsidRPr="00A80A0C">
        <w:rPr>
          <w:color w:val="000000" w:themeColor="text1"/>
          <w:sz w:val="24"/>
          <w:szCs w:val="24"/>
        </w:rPr>
        <w:t>). The predictability of SCF practices is mainly reflected by collateral management, which plays a pivotal role in financing transactions (</w:t>
      </w:r>
      <w:proofErr w:type="spellStart"/>
      <w:r w:rsidRPr="00A80A0C">
        <w:rPr>
          <w:color w:val="000000" w:themeColor="text1"/>
          <w:sz w:val="24"/>
          <w:szCs w:val="24"/>
        </w:rPr>
        <w:t>Gundogdu</w:t>
      </w:r>
      <w:proofErr w:type="spellEnd"/>
      <w:r w:rsidRPr="00A80A0C">
        <w:rPr>
          <w:color w:val="000000" w:themeColor="text1"/>
          <w:sz w:val="24"/>
          <w:szCs w:val="24"/>
        </w:rPr>
        <w:t xml:space="preserve">, 2010). Collateral is a property or other asset that a borrower offers as a way for a lender to secure the loan; it plays the role of a signalling device for borrower quality, may lower the agency costs of debt by preventing the problem of asset substitution, and limit borrower’s moral hazards </w:t>
      </w:r>
      <w:r w:rsidRPr="00A80A0C">
        <w:rPr>
          <w:noProof/>
          <w:color w:val="000000" w:themeColor="text1"/>
          <w:sz w:val="24"/>
          <w:szCs w:val="24"/>
        </w:rPr>
        <w:t>(Coco, 1999; Voordeckers and Steijvers, 2006)</w:t>
      </w:r>
      <w:r w:rsidRPr="00A80A0C">
        <w:rPr>
          <w:color w:val="000000" w:themeColor="text1"/>
          <w:sz w:val="24"/>
          <w:szCs w:val="24"/>
        </w:rPr>
        <w:t>.</w:t>
      </w:r>
      <w:r w:rsidRPr="00A80A0C">
        <w:rPr>
          <w:rFonts w:hint="eastAsia"/>
          <w:color w:val="000000" w:themeColor="text1"/>
          <w:sz w:val="24"/>
          <w:szCs w:val="24"/>
        </w:rPr>
        <w:t xml:space="preserve"> </w:t>
      </w:r>
      <w:r w:rsidRPr="00A80A0C">
        <w:rPr>
          <w:color w:val="000000" w:themeColor="text1"/>
          <w:sz w:val="24"/>
          <w:szCs w:val="24"/>
        </w:rPr>
        <w:t>Three generic levers are used to calculate the capital cost of collaterals: duration (e.g., days), volume (e.g., stocks, real estate), and capital cost rate (percentage / time), the product of which decides the cost of capital (</w:t>
      </w:r>
      <w:proofErr w:type="spellStart"/>
      <w:r w:rsidRPr="00A80A0C">
        <w:rPr>
          <w:color w:val="000000" w:themeColor="text1"/>
          <w:sz w:val="24"/>
          <w:szCs w:val="24"/>
        </w:rPr>
        <w:t>Gomm</w:t>
      </w:r>
      <w:proofErr w:type="spellEnd"/>
      <w:r w:rsidRPr="00A80A0C">
        <w:rPr>
          <w:color w:val="000000" w:themeColor="text1"/>
          <w:sz w:val="24"/>
          <w:szCs w:val="24"/>
        </w:rPr>
        <w:t xml:space="preserve">, 2010; </w:t>
      </w:r>
      <w:proofErr w:type="spellStart"/>
      <w:r w:rsidRPr="00A80A0C">
        <w:rPr>
          <w:color w:val="000000" w:themeColor="text1"/>
          <w:sz w:val="24"/>
          <w:szCs w:val="24"/>
        </w:rPr>
        <w:t>Pfohl</w:t>
      </w:r>
      <w:proofErr w:type="spellEnd"/>
      <w:r w:rsidRPr="00A80A0C">
        <w:rPr>
          <w:color w:val="000000" w:themeColor="text1"/>
          <w:sz w:val="24"/>
          <w:szCs w:val="24"/>
        </w:rPr>
        <w:t xml:space="preserve"> and </w:t>
      </w:r>
      <w:proofErr w:type="spellStart"/>
      <w:r w:rsidRPr="00A80A0C">
        <w:rPr>
          <w:color w:val="000000" w:themeColor="text1"/>
          <w:sz w:val="24"/>
          <w:szCs w:val="24"/>
        </w:rPr>
        <w:t>Gomm</w:t>
      </w:r>
      <w:proofErr w:type="spellEnd"/>
      <w:r w:rsidRPr="00A80A0C">
        <w:rPr>
          <w:color w:val="000000" w:themeColor="text1"/>
          <w:sz w:val="24"/>
          <w:szCs w:val="24"/>
        </w:rPr>
        <w:t>, 2009). This indicates the amount of assets (volume of financing) that needs to be financed, for how long (duration of financing) and at which capital cost rate (</w:t>
      </w:r>
      <w:proofErr w:type="spellStart"/>
      <w:r w:rsidRPr="00A80A0C">
        <w:rPr>
          <w:color w:val="000000" w:themeColor="text1"/>
          <w:sz w:val="24"/>
          <w:szCs w:val="24"/>
        </w:rPr>
        <w:t>Pfohl</w:t>
      </w:r>
      <w:proofErr w:type="spellEnd"/>
      <w:r w:rsidRPr="00A80A0C">
        <w:rPr>
          <w:color w:val="000000" w:themeColor="text1"/>
          <w:sz w:val="24"/>
          <w:szCs w:val="24"/>
        </w:rPr>
        <w:t xml:space="preserve"> and </w:t>
      </w:r>
      <w:proofErr w:type="spellStart"/>
      <w:r w:rsidRPr="00A80A0C">
        <w:rPr>
          <w:color w:val="000000" w:themeColor="text1"/>
          <w:sz w:val="24"/>
          <w:szCs w:val="24"/>
        </w:rPr>
        <w:t>Gomm</w:t>
      </w:r>
      <w:proofErr w:type="spellEnd"/>
      <w:r w:rsidRPr="00A80A0C">
        <w:rPr>
          <w:color w:val="000000" w:themeColor="text1"/>
          <w:sz w:val="24"/>
          <w:szCs w:val="24"/>
        </w:rPr>
        <w:t>, 2009).</w:t>
      </w:r>
    </w:p>
    <w:p w14:paraId="7CDFAA04" w14:textId="77777777"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 xml:space="preserve">First, to confirm the duration of collaterals, three factors should be considered further: the </w:t>
      </w:r>
      <w:r w:rsidRPr="00A80A0C">
        <w:rPr>
          <w:color w:val="000000" w:themeColor="text1"/>
          <w:sz w:val="24"/>
          <w:szCs w:val="24"/>
        </w:rPr>
        <w:lastRenderedPageBreak/>
        <w:t>cash-to-cash-cycle (cash-to-cash-cycle = average turnover period + period of receivables – period of payables) (Martin and Hofmann, 2017), the cycle of production and the attributes of collaterals. The reason to consider the cash-to-cash-cycle is that it can indicate the current working and circulating capital in companies who own collaterals (</w:t>
      </w:r>
      <w:proofErr w:type="spellStart"/>
      <w:r w:rsidRPr="00A80A0C">
        <w:rPr>
          <w:color w:val="000000" w:themeColor="text1"/>
          <w:sz w:val="24"/>
          <w:szCs w:val="24"/>
        </w:rPr>
        <w:t>Pfohl</w:t>
      </w:r>
      <w:proofErr w:type="spellEnd"/>
      <w:r w:rsidRPr="00A80A0C">
        <w:rPr>
          <w:color w:val="000000" w:themeColor="text1"/>
          <w:sz w:val="24"/>
          <w:szCs w:val="24"/>
        </w:rPr>
        <w:t xml:space="preserve"> and </w:t>
      </w:r>
      <w:proofErr w:type="spellStart"/>
      <w:r w:rsidRPr="00A80A0C">
        <w:rPr>
          <w:color w:val="000000" w:themeColor="text1"/>
          <w:sz w:val="24"/>
          <w:szCs w:val="24"/>
        </w:rPr>
        <w:t>Gomm</w:t>
      </w:r>
      <w:proofErr w:type="spellEnd"/>
      <w:r w:rsidRPr="00A80A0C">
        <w:rPr>
          <w:color w:val="000000" w:themeColor="text1"/>
          <w:sz w:val="24"/>
          <w:szCs w:val="24"/>
        </w:rPr>
        <w:t>, 2009). SCF practices are more necessary for companies who have poor working capital performance. The cycle of production also drives the demand of financial services. For example, the production cycle in the computer chip industry is long (up to 120 days). To provide SCF services for companies in this industry, SCF providers should calculate the cycle of production accordingly (</w:t>
      </w:r>
      <w:proofErr w:type="spellStart"/>
      <w:r w:rsidRPr="00A80A0C">
        <w:rPr>
          <w:color w:val="000000" w:themeColor="text1"/>
          <w:sz w:val="24"/>
          <w:szCs w:val="24"/>
        </w:rPr>
        <w:t>Gomm</w:t>
      </w:r>
      <w:proofErr w:type="spellEnd"/>
      <w:r w:rsidRPr="00A80A0C">
        <w:rPr>
          <w:color w:val="000000" w:themeColor="text1"/>
          <w:sz w:val="24"/>
          <w:szCs w:val="24"/>
        </w:rPr>
        <w:t>, 2010). Furthermore, the demand for financial services can be affected by the attributes of collaterals (</w:t>
      </w:r>
      <w:proofErr w:type="spellStart"/>
      <w:r w:rsidRPr="00A80A0C">
        <w:rPr>
          <w:color w:val="000000" w:themeColor="text1"/>
          <w:sz w:val="24"/>
          <w:szCs w:val="24"/>
        </w:rPr>
        <w:t>Middelberg</w:t>
      </w:r>
      <w:proofErr w:type="spellEnd"/>
      <w:r w:rsidRPr="00A80A0C">
        <w:rPr>
          <w:color w:val="000000" w:themeColor="text1"/>
          <w:sz w:val="24"/>
          <w:szCs w:val="24"/>
        </w:rPr>
        <w:t>, 2017; Son et al., 2017; Chen et al., 2016). For example, some collaterals such as agricultural goods (</w:t>
      </w:r>
      <w:proofErr w:type="spellStart"/>
      <w:r w:rsidRPr="00A80A0C">
        <w:rPr>
          <w:color w:val="000000" w:themeColor="text1"/>
          <w:sz w:val="24"/>
          <w:szCs w:val="24"/>
        </w:rPr>
        <w:t>Birthal</w:t>
      </w:r>
      <w:proofErr w:type="spellEnd"/>
      <w:r w:rsidRPr="00A80A0C">
        <w:rPr>
          <w:color w:val="000000" w:themeColor="text1"/>
          <w:sz w:val="24"/>
          <w:szCs w:val="24"/>
        </w:rPr>
        <w:t xml:space="preserve"> et al., 2017; </w:t>
      </w:r>
      <w:proofErr w:type="spellStart"/>
      <w:r w:rsidRPr="00A80A0C">
        <w:rPr>
          <w:color w:val="000000" w:themeColor="text1"/>
          <w:sz w:val="24"/>
          <w:szCs w:val="24"/>
        </w:rPr>
        <w:t>Karyani</w:t>
      </w:r>
      <w:proofErr w:type="spellEnd"/>
      <w:r w:rsidRPr="00A80A0C">
        <w:rPr>
          <w:color w:val="000000" w:themeColor="text1"/>
          <w:sz w:val="24"/>
          <w:szCs w:val="24"/>
        </w:rPr>
        <w:t xml:space="preserve"> et al, 2015, </w:t>
      </w:r>
      <w:proofErr w:type="spellStart"/>
      <w:r w:rsidRPr="00A80A0C">
        <w:rPr>
          <w:color w:val="000000" w:themeColor="text1"/>
          <w:sz w:val="24"/>
          <w:szCs w:val="24"/>
        </w:rPr>
        <w:t>Karyani</w:t>
      </w:r>
      <w:proofErr w:type="spellEnd"/>
      <w:r w:rsidRPr="00A80A0C">
        <w:rPr>
          <w:color w:val="000000" w:themeColor="text1"/>
          <w:sz w:val="24"/>
          <w:szCs w:val="24"/>
        </w:rPr>
        <w:t xml:space="preserve"> et al, 2016; </w:t>
      </w:r>
      <w:proofErr w:type="spellStart"/>
      <w:r w:rsidRPr="00A80A0C">
        <w:rPr>
          <w:color w:val="000000" w:themeColor="text1"/>
          <w:sz w:val="24"/>
          <w:szCs w:val="24"/>
        </w:rPr>
        <w:t>Middelberg</w:t>
      </w:r>
      <w:proofErr w:type="spellEnd"/>
      <w:r w:rsidRPr="00A80A0C">
        <w:rPr>
          <w:color w:val="000000" w:themeColor="text1"/>
          <w:sz w:val="24"/>
          <w:szCs w:val="24"/>
        </w:rPr>
        <w:t>, 2017) and automotive products (Caniato et al., 2016; Schäfer and Baumann, 2014) have different durations (</w:t>
      </w:r>
      <w:proofErr w:type="spellStart"/>
      <w:r w:rsidRPr="00A80A0C">
        <w:rPr>
          <w:color w:val="000000" w:themeColor="text1"/>
          <w:sz w:val="24"/>
          <w:szCs w:val="24"/>
        </w:rPr>
        <w:t>Soundarrajan</w:t>
      </w:r>
      <w:proofErr w:type="spellEnd"/>
      <w:r w:rsidRPr="00A80A0C">
        <w:rPr>
          <w:color w:val="000000" w:themeColor="text1"/>
          <w:sz w:val="24"/>
          <w:szCs w:val="24"/>
        </w:rPr>
        <w:t xml:space="preserve"> and </w:t>
      </w:r>
      <w:proofErr w:type="spellStart"/>
      <w:r w:rsidRPr="00A80A0C">
        <w:rPr>
          <w:color w:val="000000" w:themeColor="text1"/>
          <w:sz w:val="24"/>
          <w:szCs w:val="24"/>
        </w:rPr>
        <w:t>Vivek</w:t>
      </w:r>
      <w:proofErr w:type="spellEnd"/>
      <w:r w:rsidRPr="00A80A0C">
        <w:rPr>
          <w:color w:val="000000" w:themeColor="text1"/>
          <w:sz w:val="24"/>
          <w:szCs w:val="24"/>
        </w:rPr>
        <w:t xml:space="preserve">, 2015). All of those financial collaterals that have short durations are hard to predict and thus should be determined to have the longest credit period before implementing SCF practices (Chen et al., 2016). </w:t>
      </w:r>
    </w:p>
    <w:p w14:paraId="2B8A689F" w14:textId="77777777" w:rsidR="00871C0F" w:rsidRPr="00A80A0C" w:rsidRDefault="00871C0F" w:rsidP="00FC7D81">
      <w:pPr>
        <w:pStyle w:val="Heading3"/>
        <w:spacing w:line="360" w:lineRule="auto"/>
        <w:ind w:firstLineChars="200" w:firstLine="480"/>
        <w:rPr>
          <w:i w:val="0"/>
          <w:color w:val="000000" w:themeColor="text1"/>
          <w:szCs w:val="24"/>
        </w:rPr>
      </w:pPr>
      <w:r w:rsidRPr="00A80A0C">
        <w:rPr>
          <w:i w:val="0"/>
          <w:color w:val="000000" w:themeColor="text1"/>
          <w:szCs w:val="24"/>
        </w:rPr>
        <w:t>Second, the volume of collaterals is another important element to consider before implementing SCF practices because objectively sizing the associated collateral plays a vital role in controlling financial risks (Hofmann and Johnson, 2016). SCF practices provide financial services for two types of collaterals: potential collaterals and existing collaterals. Potential collaterals are materials that do not currently exist. Take the agricultural SCF, for example. Financial institutions provide the financing amount according to the production capability, such as the number of trees or the size of the herd or land (</w:t>
      </w:r>
      <w:proofErr w:type="spellStart"/>
      <w:r w:rsidRPr="00A80A0C">
        <w:rPr>
          <w:i w:val="0"/>
          <w:color w:val="000000" w:themeColor="text1"/>
          <w:szCs w:val="24"/>
        </w:rPr>
        <w:t>Karyani</w:t>
      </w:r>
      <w:proofErr w:type="spellEnd"/>
      <w:r w:rsidRPr="00A80A0C">
        <w:rPr>
          <w:i w:val="0"/>
          <w:color w:val="000000" w:themeColor="text1"/>
          <w:szCs w:val="24"/>
        </w:rPr>
        <w:t xml:space="preserve"> et al., 2016; </w:t>
      </w:r>
      <w:proofErr w:type="spellStart"/>
      <w:r w:rsidRPr="00A80A0C">
        <w:rPr>
          <w:i w:val="0"/>
          <w:color w:val="000000" w:themeColor="text1"/>
          <w:szCs w:val="24"/>
        </w:rPr>
        <w:t>Middelberg</w:t>
      </w:r>
      <w:proofErr w:type="spellEnd"/>
      <w:r w:rsidRPr="00A80A0C">
        <w:rPr>
          <w:i w:val="0"/>
          <w:color w:val="000000" w:themeColor="text1"/>
          <w:szCs w:val="24"/>
        </w:rPr>
        <w:t>, 2017). Therefore, those who demand financing and have significant production capability can get more financing amount because they are likely to produce plentiful returns (</w:t>
      </w:r>
      <w:proofErr w:type="spellStart"/>
      <w:r w:rsidRPr="00A80A0C">
        <w:rPr>
          <w:i w:val="0"/>
          <w:color w:val="000000" w:themeColor="text1"/>
          <w:szCs w:val="24"/>
        </w:rPr>
        <w:t>Birthal</w:t>
      </w:r>
      <w:proofErr w:type="spellEnd"/>
      <w:r w:rsidRPr="00A80A0C">
        <w:rPr>
          <w:i w:val="0"/>
          <w:color w:val="000000" w:themeColor="text1"/>
          <w:szCs w:val="24"/>
        </w:rPr>
        <w:t xml:space="preserve"> et al., 2017). Compared to potential collaterals, financing for existing collaterals is much easier. The SCF provider just needs to calculate the existing amount of financing collaterals. SCF practices, such as reverse factoring (</w:t>
      </w:r>
      <w:proofErr w:type="spellStart"/>
      <w:r w:rsidRPr="00A80A0C">
        <w:rPr>
          <w:i w:val="0"/>
          <w:color w:val="000000" w:themeColor="text1"/>
          <w:szCs w:val="24"/>
        </w:rPr>
        <w:t>Liebl</w:t>
      </w:r>
      <w:proofErr w:type="spellEnd"/>
      <w:r w:rsidRPr="00A80A0C">
        <w:rPr>
          <w:i w:val="0"/>
          <w:color w:val="000000" w:themeColor="text1"/>
          <w:szCs w:val="24"/>
        </w:rPr>
        <w:t xml:space="preserve"> et al., 2016; Martin, 2017), trade credit and delayed payment (Ng et al., 1999; Stern and Chew, 2003; </w:t>
      </w:r>
      <w:proofErr w:type="spellStart"/>
      <w:r w:rsidRPr="00A80A0C">
        <w:rPr>
          <w:i w:val="0"/>
          <w:color w:val="000000" w:themeColor="text1"/>
          <w:szCs w:val="24"/>
        </w:rPr>
        <w:t>Cowton</w:t>
      </w:r>
      <w:proofErr w:type="spellEnd"/>
      <w:r w:rsidRPr="00A80A0C">
        <w:rPr>
          <w:i w:val="0"/>
          <w:color w:val="000000" w:themeColor="text1"/>
          <w:szCs w:val="24"/>
        </w:rPr>
        <w:t xml:space="preserve"> and San-Jose, 2017), are all used to finance these types of existing collaterals.</w:t>
      </w:r>
    </w:p>
    <w:p w14:paraId="77DC5754" w14:textId="77777777" w:rsidR="00871C0F" w:rsidRPr="00A80A0C" w:rsidRDefault="00871C0F" w:rsidP="00FC7D81">
      <w:pPr>
        <w:pStyle w:val="Heading3"/>
        <w:spacing w:line="360" w:lineRule="auto"/>
        <w:ind w:firstLineChars="200" w:firstLine="480"/>
        <w:rPr>
          <w:i w:val="0"/>
          <w:color w:val="000000" w:themeColor="text1"/>
          <w:szCs w:val="24"/>
        </w:rPr>
      </w:pPr>
      <w:r w:rsidRPr="00A80A0C">
        <w:rPr>
          <w:i w:val="0"/>
          <w:color w:val="000000" w:themeColor="text1"/>
          <w:szCs w:val="24"/>
        </w:rPr>
        <w:t xml:space="preserve">Third, capital cost rates are different among financial institutions. Although financing </w:t>
      </w:r>
      <w:r w:rsidRPr="00A80A0C">
        <w:rPr>
          <w:i w:val="0"/>
          <w:color w:val="000000" w:themeColor="text1"/>
          <w:szCs w:val="24"/>
        </w:rPr>
        <w:lastRenderedPageBreak/>
        <w:t>directly through banks has an acceptable interest rate, this service is not available to small companies or farmers. Microfinance is accessible to these subjects, but it provides short-term loans at very high interest rates (Son et al., 2017). Thus, SCF practices (e.g., trade credit and reverse factoring) are ideal choices for small business (</w:t>
      </w:r>
      <w:proofErr w:type="spellStart"/>
      <w:r w:rsidRPr="00A80A0C">
        <w:rPr>
          <w:i w:val="0"/>
          <w:color w:val="000000" w:themeColor="text1"/>
          <w:szCs w:val="24"/>
        </w:rPr>
        <w:t>Breza</w:t>
      </w:r>
      <w:proofErr w:type="spellEnd"/>
      <w:r w:rsidRPr="00A80A0C">
        <w:rPr>
          <w:i w:val="0"/>
          <w:color w:val="000000" w:themeColor="text1"/>
          <w:szCs w:val="24"/>
        </w:rPr>
        <w:t xml:space="preserve"> and Liberman, 2017; Chen et al., 2016). However, a reasonable capital cost rate is still essential to the success of SCF practices (</w:t>
      </w:r>
      <w:proofErr w:type="spellStart"/>
      <w:r w:rsidRPr="00A80A0C">
        <w:rPr>
          <w:i w:val="0"/>
          <w:color w:val="000000" w:themeColor="text1"/>
          <w:szCs w:val="24"/>
        </w:rPr>
        <w:t>Pfohl</w:t>
      </w:r>
      <w:proofErr w:type="spellEnd"/>
      <w:r w:rsidRPr="00A80A0C">
        <w:rPr>
          <w:i w:val="0"/>
          <w:color w:val="000000" w:themeColor="text1"/>
          <w:szCs w:val="24"/>
        </w:rPr>
        <w:t xml:space="preserve"> and </w:t>
      </w:r>
      <w:proofErr w:type="spellStart"/>
      <w:r w:rsidRPr="00A80A0C">
        <w:rPr>
          <w:i w:val="0"/>
          <w:color w:val="000000" w:themeColor="text1"/>
          <w:szCs w:val="24"/>
        </w:rPr>
        <w:t>Gomm</w:t>
      </w:r>
      <w:proofErr w:type="spellEnd"/>
      <w:r w:rsidRPr="00A80A0C">
        <w:rPr>
          <w:i w:val="0"/>
          <w:color w:val="000000" w:themeColor="text1"/>
          <w:szCs w:val="24"/>
        </w:rPr>
        <w:t>, 2009). To set proper capital cost rates, some elements such as fluctuations in market price, moral risk and repayment terms should be considered. Chen et al. (2017) and Hermes et al. (2016) claim that the maximum interest rate should be enough to cope with fluctuations in the market price and guarantee that the financing side has enough room to profit to avoid the moral risk that the financing side could scrap the contract. Interest rates are also related to repayment terms. In Zambian agricultural SCF, loan payment terms used by financial institutions vary with interest rates, and long terms usually have high interest rates (</w:t>
      </w:r>
      <w:proofErr w:type="spellStart"/>
      <w:r w:rsidRPr="00A80A0C">
        <w:rPr>
          <w:i w:val="0"/>
          <w:color w:val="000000" w:themeColor="text1"/>
          <w:szCs w:val="24"/>
        </w:rPr>
        <w:t>Middelberg</w:t>
      </w:r>
      <w:proofErr w:type="spellEnd"/>
      <w:r w:rsidRPr="00A80A0C">
        <w:rPr>
          <w:i w:val="0"/>
          <w:color w:val="000000" w:themeColor="text1"/>
          <w:szCs w:val="24"/>
        </w:rPr>
        <w:t xml:space="preserve">, 2017). </w:t>
      </w:r>
    </w:p>
    <w:p w14:paraId="5B0F1ADD" w14:textId="77777777"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The bundle of the duration, volume and cost of capital rate forms the cost of capital (</w:t>
      </w:r>
      <w:proofErr w:type="spellStart"/>
      <w:r w:rsidRPr="00A80A0C">
        <w:rPr>
          <w:color w:val="000000" w:themeColor="text1"/>
          <w:sz w:val="24"/>
          <w:szCs w:val="24"/>
        </w:rPr>
        <w:t>Gomm</w:t>
      </w:r>
      <w:proofErr w:type="spellEnd"/>
      <w:r w:rsidRPr="00A80A0C">
        <w:rPr>
          <w:color w:val="000000" w:themeColor="text1"/>
          <w:sz w:val="24"/>
          <w:szCs w:val="24"/>
        </w:rPr>
        <w:t xml:space="preserve">, 2010; </w:t>
      </w:r>
      <w:proofErr w:type="spellStart"/>
      <w:r w:rsidRPr="00A80A0C">
        <w:rPr>
          <w:color w:val="000000" w:themeColor="text1"/>
          <w:sz w:val="24"/>
          <w:szCs w:val="24"/>
        </w:rPr>
        <w:t>Pfohl</w:t>
      </w:r>
      <w:proofErr w:type="spellEnd"/>
      <w:r w:rsidRPr="00A80A0C">
        <w:rPr>
          <w:color w:val="000000" w:themeColor="text1"/>
          <w:sz w:val="24"/>
          <w:szCs w:val="24"/>
        </w:rPr>
        <w:t xml:space="preserve"> and </w:t>
      </w:r>
      <w:proofErr w:type="spellStart"/>
      <w:r w:rsidRPr="00A80A0C">
        <w:rPr>
          <w:color w:val="000000" w:themeColor="text1"/>
          <w:sz w:val="24"/>
          <w:szCs w:val="24"/>
        </w:rPr>
        <w:t>Gomm</w:t>
      </w:r>
      <w:proofErr w:type="spellEnd"/>
      <w:r w:rsidRPr="00A80A0C">
        <w:rPr>
          <w:color w:val="000000" w:themeColor="text1"/>
          <w:sz w:val="24"/>
          <w:szCs w:val="24"/>
        </w:rPr>
        <w:t>, 2009). SCF business can be the most beneficial when the cost of capital is significantly higher than the fees for refinancing. The possibility of reducing the Cash Conversion Cycle (CCC, which reveals the duration of task characteristics, motivates suppliers to set up financial activities and coordination systems (</w:t>
      </w:r>
      <w:proofErr w:type="spellStart"/>
      <w:r w:rsidRPr="00A80A0C">
        <w:rPr>
          <w:color w:val="000000" w:themeColor="text1"/>
          <w:sz w:val="24"/>
          <w:szCs w:val="24"/>
        </w:rPr>
        <w:t>Liebl</w:t>
      </w:r>
      <w:proofErr w:type="spellEnd"/>
      <w:r w:rsidRPr="00A80A0C">
        <w:rPr>
          <w:color w:val="000000" w:themeColor="text1"/>
          <w:sz w:val="24"/>
          <w:szCs w:val="24"/>
        </w:rPr>
        <w:t xml:space="preserve"> et al., 2016). In other words, without the need to reduce CCC, setting up SCF practices is unnecessary. In addition, whether the volume of collateral is enough determines the setup of SCF activities (i.e., financial business processes) and the coordination mechanism (i.e., the financial information system). As </w:t>
      </w:r>
      <w:proofErr w:type="spellStart"/>
      <w:r w:rsidRPr="00A80A0C">
        <w:rPr>
          <w:color w:val="000000" w:themeColor="text1"/>
          <w:sz w:val="24"/>
          <w:szCs w:val="24"/>
        </w:rPr>
        <w:t>Liebl</w:t>
      </w:r>
      <w:proofErr w:type="spellEnd"/>
      <w:r w:rsidRPr="00A80A0C">
        <w:rPr>
          <w:color w:val="000000" w:themeColor="text1"/>
          <w:sz w:val="24"/>
          <w:szCs w:val="24"/>
        </w:rPr>
        <w:t xml:space="preserve"> et al. (2016) have illustrated in their case study, high purchasing volume gives SCF practices space to drive down the cost, which encourages customers to engage in SCF business. Finally, the interest rate determines the revenue of SCF services. The SCF business can be properly set up only when the profit is abundant. Therefore, if the revenue cannot cover the cost of the coordination system (e.g., IT-infrastructure mentioned by </w:t>
      </w:r>
      <w:proofErr w:type="spellStart"/>
      <w:r w:rsidRPr="00A80A0C">
        <w:rPr>
          <w:color w:val="000000" w:themeColor="text1"/>
          <w:sz w:val="24"/>
          <w:szCs w:val="24"/>
        </w:rPr>
        <w:t>Liebl</w:t>
      </w:r>
      <w:proofErr w:type="spellEnd"/>
      <w:r w:rsidRPr="00A80A0C">
        <w:rPr>
          <w:color w:val="000000" w:themeColor="text1"/>
          <w:sz w:val="24"/>
          <w:szCs w:val="24"/>
        </w:rPr>
        <w:t xml:space="preserve"> et al. (2016)), it is impossible to set up a business process and establish the information system accordingly. Thus, we came up with the first in a set of propositions:</w:t>
      </w:r>
    </w:p>
    <w:p w14:paraId="6D86791B" w14:textId="1FEEF6BB" w:rsidR="009B24A0" w:rsidRPr="00A80A0C" w:rsidRDefault="00871C0F" w:rsidP="00FC7D81">
      <w:pPr>
        <w:spacing w:line="360" w:lineRule="auto"/>
        <w:rPr>
          <w:i/>
          <w:color w:val="000000" w:themeColor="text1"/>
          <w:sz w:val="24"/>
          <w:szCs w:val="24"/>
        </w:rPr>
      </w:pPr>
      <w:r w:rsidRPr="00A80A0C">
        <w:rPr>
          <w:b/>
          <w:i/>
          <w:color w:val="000000" w:themeColor="text1"/>
          <w:sz w:val="24"/>
          <w:szCs w:val="24"/>
        </w:rPr>
        <w:t>P1a:</w:t>
      </w:r>
      <w:r w:rsidR="009B24A0" w:rsidRPr="00A80A0C">
        <w:rPr>
          <w:i/>
          <w:color w:val="000000" w:themeColor="text1"/>
          <w:sz w:val="24"/>
          <w:szCs w:val="24"/>
        </w:rPr>
        <w:t xml:space="preserve"> </w:t>
      </w:r>
      <w:r w:rsidRPr="00A80A0C">
        <w:rPr>
          <w:i/>
          <w:color w:val="000000" w:themeColor="text1"/>
          <w:sz w:val="24"/>
          <w:szCs w:val="24"/>
        </w:rPr>
        <w:t>SCF task charac</w:t>
      </w:r>
      <w:r w:rsidR="007E05FB" w:rsidRPr="00A80A0C">
        <w:rPr>
          <w:i/>
          <w:color w:val="000000" w:themeColor="text1"/>
          <w:sz w:val="24"/>
          <w:szCs w:val="24"/>
        </w:rPr>
        <w:t>teristics related uncertainties</w:t>
      </w:r>
      <w:r w:rsidR="009B24A0" w:rsidRPr="00A80A0C">
        <w:rPr>
          <w:i/>
          <w:color w:val="000000" w:themeColor="text1"/>
          <w:sz w:val="24"/>
          <w:szCs w:val="24"/>
        </w:rPr>
        <w:t xml:space="preserve"> </w:t>
      </w:r>
      <w:r w:rsidRPr="00A80A0C">
        <w:rPr>
          <w:i/>
          <w:color w:val="000000" w:themeColor="text1"/>
          <w:sz w:val="24"/>
          <w:szCs w:val="24"/>
        </w:rPr>
        <w:t>increase</w:t>
      </w:r>
      <w:r w:rsidR="009B24A0" w:rsidRPr="00A80A0C">
        <w:rPr>
          <w:i/>
          <w:color w:val="000000" w:themeColor="text1"/>
          <w:sz w:val="24"/>
          <w:szCs w:val="24"/>
        </w:rPr>
        <w:t xml:space="preserve"> the SCF providers’ information processing requirements.</w:t>
      </w:r>
    </w:p>
    <w:p w14:paraId="5AE1056E" w14:textId="77777777" w:rsidR="00871C0F" w:rsidRPr="00A80A0C" w:rsidRDefault="00871C0F" w:rsidP="00FC7D81">
      <w:pPr>
        <w:spacing w:line="360" w:lineRule="auto"/>
        <w:rPr>
          <w:color w:val="000000" w:themeColor="text1"/>
          <w:sz w:val="24"/>
          <w:szCs w:val="24"/>
        </w:rPr>
      </w:pPr>
    </w:p>
    <w:p w14:paraId="059A3A49" w14:textId="77777777" w:rsidR="00871C0F" w:rsidRPr="00A80A0C" w:rsidRDefault="00871C0F" w:rsidP="00FC7D81">
      <w:pPr>
        <w:pStyle w:val="Heading2"/>
        <w:spacing w:beforeLines="50" w:before="156" w:line="360" w:lineRule="auto"/>
        <w:rPr>
          <w:color w:val="000000" w:themeColor="text1"/>
          <w:szCs w:val="24"/>
        </w:rPr>
      </w:pPr>
      <w:r w:rsidRPr="00A80A0C">
        <w:rPr>
          <w:color w:val="000000" w:themeColor="text1"/>
          <w:szCs w:val="24"/>
        </w:rPr>
        <w:t>4.1.2</w:t>
      </w:r>
      <w:r w:rsidR="009271EC" w:rsidRPr="00A80A0C">
        <w:rPr>
          <w:color w:val="000000" w:themeColor="text1"/>
          <w:szCs w:val="24"/>
        </w:rPr>
        <w:t>.</w:t>
      </w:r>
      <w:r w:rsidRPr="00A80A0C">
        <w:rPr>
          <w:color w:val="000000" w:themeColor="text1"/>
          <w:szCs w:val="24"/>
        </w:rPr>
        <w:t xml:space="preserve"> Task environment</w:t>
      </w:r>
    </w:p>
    <w:p w14:paraId="08BAB686" w14:textId="77777777" w:rsidR="00871C0F" w:rsidRPr="00A80A0C" w:rsidRDefault="00871C0F" w:rsidP="00FC7D81">
      <w:pPr>
        <w:spacing w:line="360" w:lineRule="auto"/>
        <w:rPr>
          <w:color w:val="000000" w:themeColor="text1"/>
          <w:sz w:val="24"/>
          <w:szCs w:val="24"/>
        </w:rPr>
      </w:pPr>
      <w:r w:rsidRPr="00A80A0C">
        <w:rPr>
          <w:color w:val="000000" w:themeColor="text1"/>
          <w:sz w:val="24"/>
          <w:szCs w:val="24"/>
        </w:rPr>
        <w:t xml:space="preserve">A tough business environment can have a great impact on existing business activities (Lorentz et al., 2016). Through reviewing existing SCF papers, it is clear that environmental uncertainties may come from the SC and the macro environment. The uncertainties that come from the SC can be classified into partners’ credit-related factors and operational factors. </w:t>
      </w:r>
    </w:p>
    <w:p w14:paraId="7DF8E866" w14:textId="77777777" w:rsidR="00871C0F" w:rsidRPr="00A80A0C" w:rsidRDefault="00871C0F" w:rsidP="00FC7D81">
      <w:pPr>
        <w:spacing w:line="360" w:lineRule="auto"/>
        <w:ind w:firstLine="420"/>
        <w:rPr>
          <w:color w:val="000000" w:themeColor="text1"/>
          <w:sz w:val="24"/>
          <w:szCs w:val="24"/>
        </w:rPr>
      </w:pPr>
      <w:r w:rsidRPr="00A80A0C">
        <w:rPr>
          <w:color w:val="000000" w:themeColor="text1"/>
          <w:sz w:val="24"/>
          <w:szCs w:val="24"/>
        </w:rPr>
        <w:t>Credit-related factors include accounting quality (Chen et al., 2017), creditworthy expectations (e.g., Sousa and Flippen, 2005), supplier credit (</w:t>
      </w:r>
      <w:proofErr w:type="spellStart"/>
      <w:r w:rsidRPr="00A80A0C">
        <w:rPr>
          <w:color w:val="000000" w:themeColor="text1"/>
          <w:sz w:val="24"/>
          <w:szCs w:val="24"/>
        </w:rPr>
        <w:t>Fisman</w:t>
      </w:r>
      <w:proofErr w:type="spellEnd"/>
      <w:r w:rsidRPr="00A80A0C">
        <w:rPr>
          <w:color w:val="000000" w:themeColor="text1"/>
          <w:sz w:val="24"/>
          <w:szCs w:val="24"/>
        </w:rPr>
        <w:t>, 2001), payment history (</w:t>
      </w:r>
      <w:proofErr w:type="spellStart"/>
      <w:r w:rsidRPr="00A80A0C">
        <w:rPr>
          <w:color w:val="000000" w:themeColor="text1"/>
          <w:sz w:val="24"/>
          <w:szCs w:val="24"/>
        </w:rPr>
        <w:t>Howorth</w:t>
      </w:r>
      <w:proofErr w:type="spellEnd"/>
      <w:r w:rsidRPr="00A80A0C">
        <w:rPr>
          <w:color w:val="000000" w:themeColor="text1"/>
          <w:sz w:val="24"/>
          <w:szCs w:val="24"/>
        </w:rPr>
        <w:t xml:space="preserve"> and </w:t>
      </w:r>
      <w:proofErr w:type="spellStart"/>
      <w:r w:rsidRPr="00A80A0C">
        <w:rPr>
          <w:color w:val="000000" w:themeColor="text1"/>
          <w:sz w:val="24"/>
          <w:szCs w:val="24"/>
        </w:rPr>
        <w:t>Reber</w:t>
      </w:r>
      <w:proofErr w:type="spellEnd"/>
      <w:r w:rsidRPr="00A80A0C">
        <w:rPr>
          <w:color w:val="000000" w:themeColor="text1"/>
          <w:sz w:val="24"/>
          <w:szCs w:val="24"/>
        </w:rPr>
        <w:t>, 2003) and bankruptcy (Houston et al., 2016), among others. Credit-related factors can influence the information system. For example, the untainted tracking record of suppliers can promote the establishment of an information system because firms with low credit ratings are less likely to be included in the information coordination system (</w:t>
      </w:r>
      <w:proofErr w:type="spellStart"/>
      <w:r w:rsidRPr="00A80A0C">
        <w:rPr>
          <w:color w:val="000000" w:themeColor="text1"/>
          <w:sz w:val="24"/>
          <w:szCs w:val="24"/>
        </w:rPr>
        <w:t>Liebl</w:t>
      </w:r>
      <w:proofErr w:type="spellEnd"/>
      <w:r w:rsidRPr="00A80A0C">
        <w:rPr>
          <w:color w:val="000000" w:themeColor="text1"/>
          <w:sz w:val="24"/>
          <w:szCs w:val="24"/>
        </w:rPr>
        <w:t xml:space="preserve"> et al., 2016).</w:t>
      </w:r>
    </w:p>
    <w:p w14:paraId="50F89A53" w14:textId="77777777"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Operational factors comprise the richness of firms’ resources (</w:t>
      </w:r>
      <w:proofErr w:type="spellStart"/>
      <w:r w:rsidRPr="00A80A0C">
        <w:rPr>
          <w:color w:val="000000" w:themeColor="text1"/>
          <w:sz w:val="24"/>
          <w:szCs w:val="24"/>
        </w:rPr>
        <w:t>Kutsuna</w:t>
      </w:r>
      <w:proofErr w:type="spellEnd"/>
      <w:r w:rsidRPr="00A80A0C">
        <w:rPr>
          <w:color w:val="000000" w:themeColor="text1"/>
          <w:sz w:val="24"/>
          <w:szCs w:val="24"/>
        </w:rPr>
        <w:t xml:space="preserve"> et al., 2016), firm size (</w:t>
      </w:r>
      <w:proofErr w:type="spellStart"/>
      <w:r w:rsidRPr="00A80A0C">
        <w:rPr>
          <w:color w:val="000000" w:themeColor="text1"/>
          <w:sz w:val="24"/>
          <w:szCs w:val="24"/>
        </w:rPr>
        <w:t>Breza</w:t>
      </w:r>
      <w:proofErr w:type="spellEnd"/>
      <w:r w:rsidRPr="00A80A0C">
        <w:rPr>
          <w:color w:val="000000" w:themeColor="text1"/>
          <w:sz w:val="24"/>
          <w:szCs w:val="24"/>
        </w:rPr>
        <w:t xml:space="preserve"> and Liberman, 2017), the cost or level of inventory (</w:t>
      </w:r>
      <w:proofErr w:type="spellStart"/>
      <w:r w:rsidRPr="00A80A0C">
        <w:rPr>
          <w:color w:val="000000" w:themeColor="text1"/>
          <w:sz w:val="24"/>
          <w:szCs w:val="24"/>
        </w:rPr>
        <w:t>Bougheas</w:t>
      </w:r>
      <w:proofErr w:type="spellEnd"/>
      <w:r w:rsidRPr="00A80A0C">
        <w:rPr>
          <w:color w:val="000000" w:themeColor="text1"/>
          <w:sz w:val="24"/>
          <w:szCs w:val="24"/>
        </w:rPr>
        <w:t xml:space="preserve"> et al., 2009; </w:t>
      </w:r>
      <w:proofErr w:type="spellStart"/>
      <w:r w:rsidRPr="00A80A0C">
        <w:rPr>
          <w:color w:val="000000" w:themeColor="text1"/>
          <w:sz w:val="24"/>
          <w:szCs w:val="24"/>
        </w:rPr>
        <w:t>Holdren</w:t>
      </w:r>
      <w:proofErr w:type="spellEnd"/>
      <w:r w:rsidRPr="00A80A0C">
        <w:rPr>
          <w:color w:val="000000" w:themeColor="text1"/>
          <w:sz w:val="24"/>
          <w:szCs w:val="24"/>
        </w:rPr>
        <w:t xml:space="preserve"> and Hollingshead, 1999), profit (</w:t>
      </w:r>
      <w:proofErr w:type="spellStart"/>
      <w:r w:rsidRPr="00A80A0C">
        <w:rPr>
          <w:color w:val="000000" w:themeColor="text1"/>
          <w:sz w:val="24"/>
          <w:szCs w:val="24"/>
        </w:rPr>
        <w:t>Deari</w:t>
      </w:r>
      <w:proofErr w:type="spellEnd"/>
      <w:r w:rsidRPr="00A80A0C">
        <w:rPr>
          <w:color w:val="000000" w:themeColor="text1"/>
          <w:sz w:val="24"/>
          <w:szCs w:val="24"/>
        </w:rPr>
        <w:t xml:space="preserve">, 2015) and sales growth (Carvalho and </w:t>
      </w:r>
      <w:proofErr w:type="spellStart"/>
      <w:r w:rsidRPr="00A80A0C">
        <w:rPr>
          <w:color w:val="000000" w:themeColor="text1"/>
          <w:sz w:val="24"/>
          <w:szCs w:val="24"/>
        </w:rPr>
        <w:t>Schiozer</w:t>
      </w:r>
      <w:proofErr w:type="spellEnd"/>
      <w:r w:rsidRPr="00A80A0C">
        <w:rPr>
          <w:color w:val="000000" w:themeColor="text1"/>
          <w:sz w:val="24"/>
          <w:szCs w:val="24"/>
        </w:rPr>
        <w:t xml:space="preserve">, 2015). Contrary to credit-related factors, operational factors influence SCF activities (i.e., financial business process). For example, when companies face a liquidity issue (e.g., seasonal reasons), these companies will delay the payment time for suppliers (Caniato et al., 2016; Chen et al., 2017; </w:t>
      </w:r>
      <w:proofErr w:type="spellStart"/>
      <w:r w:rsidRPr="00A80A0C">
        <w:rPr>
          <w:color w:val="000000" w:themeColor="text1"/>
          <w:sz w:val="24"/>
          <w:szCs w:val="24"/>
        </w:rPr>
        <w:t>Bougheas</w:t>
      </w:r>
      <w:proofErr w:type="spellEnd"/>
      <w:r w:rsidRPr="00A80A0C">
        <w:rPr>
          <w:color w:val="000000" w:themeColor="text1"/>
          <w:sz w:val="24"/>
          <w:szCs w:val="24"/>
        </w:rPr>
        <w:t xml:space="preserve"> et al., 2009). While this behaviour could cause the suppliers to be badly off the money for purchasing raw materials and affect the supply for other companies, increasing risks in the SC. To avoid the risk of liquidity and disruption, SCF providers are expected to provide financing services for these cash-constrained suppliers (</w:t>
      </w:r>
      <w:proofErr w:type="spellStart"/>
      <w:r w:rsidRPr="00A80A0C">
        <w:rPr>
          <w:color w:val="000000" w:themeColor="text1"/>
          <w:sz w:val="24"/>
          <w:szCs w:val="24"/>
        </w:rPr>
        <w:t>Boissay</w:t>
      </w:r>
      <w:proofErr w:type="spellEnd"/>
      <w:r w:rsidRPr="00A80A0C">
        <w:rPr>
          <w:color w:val="000000" w:themeColor="text1"/>
          <w:sz w:val="24"/>
          <w:szCs w:val="24"/>
        </w:rPr>
        <w:t xml:space="preserve"> and </w:t>
      </w:r>
      <w:proofErr w:type="spellStart"/>
      <w:r w:rsidRPr="00A80A0C">
        <w:rPr>
          <w:color w:val="000000" w:themeColor="text1"/>
          <w:sz w:val="24"/>
          <w:szCs w:val="24"/>
        </w:rPr>
        <w:t>Gropp</w:t>
      </w:r>
      <w:proofErr w:type="spellEnd"/>
      <w:r w:rsidRPr="00A80A0C">
        <w:rPr>
          <w:color w:val="000000" w:themeColor="text1"/>
          <w:sz w:val="24"/>
          <w:szCs w:val="24"/>
        </w:rPr>
        <w:t xml:space="preserve">, 2007). </w:t>
      </w:r>
    </w:p>
    <w:p w14:paraId="6C4532FF" w14:textId="77777777"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 xml:space="preserve">Uncertainties from the macro environment, including political, economic, technological, natural and legal, are more unpredictable. First, political factors have a great effect on the availability of financial resources for firms (de Blasio, 2005; </w:t>
      </w:r>
      <w:proofErr w:type="spellStart"/>
      <w:r w:rsidRPr="00A80A0C">
        <w:rPr>
          <w:color w:val="000000" w:themeColor="text1"/>
          <w:sz w:val="24"/>
          <w:szCs w:val="24"/>
        </w:rPr>
        <w:t>Guariglia</w:t>
      </w:r>
      <w:proofErr w:type="spellEnd"/>
      <w:r w:rsidRPr="00A80A0C">
        <w:rPr>
          <w:color w:val="000000" w:themeColor="text1"/>
          <w:sz w:val="24"/>
          <w:szCs w:val="24"/>
        </w:rPr>
        <w:t xml:space="preserve"> and </w:t>
      </w:r>
      <w:proofErr w:type="spellStart"/>
      <w:r w:rsidRPr="00A80A0C">
        <w:rPr>
          <w:color w:val="000000" w:themeColor="text1"/>
          <w:sz w:val="24"/>
          <w:szCs w:val="24"/>
        </w:rPr>
        <w:t>Mateut</w:t>
      </w:r>
      <w:proofErr w:type="spellEnd"/>
      <w:r w:rsidRPr="00A80A0C">
        <w:rPr>
          <w:color w:val="000000" w:themeColor="text1"/>
          <w:sz w:val="24"/>
          <w:szCs w:val="24"/>
        </w:rPr>
        <w:t>, 2006) and transaction costs in SCF practices (</w:t>
      </w:r>
      <w:proofErr w:type="spellStart"/>
      <w:r w:rsidRPr="00A80A0C">
        <w:rPr>
          <w:color w:val="000000" w:themeColor="text1"/>
          <w:sz w:val="24"/>
          <w:szCs w:val="24"/>
        </w:rPr>
        <w:t>Middelberg</w:t>
      </w:r>
      <w:proofErr w:type="spellEnd"/>
      <w:r w:rsidRPr="00A80A0C">
        <w:rPr>
          <w:color w:val="000000" w:themeColor="text1"/>
          <w:sz w:val="24"/>
          <w:szCs w:val="24"/>
        </w:rPr>
        <w:t xml:space="preserve">, 2017; Son et al., 2017; Swamy and Dharani, 2016). SCF can only develop well when policy makers have the will to flourish it, formulating the regulations and setting up infrastructure for SCF (e.g., storage) (Son et al., 2017). Among </w:t>
      </w:r>
      <w:r w:rsidRPr="00A80A0C">
        <w:rPr>
          <w:color w:val="000000" w:themeColor="text1"/>
          <w:sz w:val="24"/>
          <w:szCs w:val="24"/>
        </w:rPr>
        <w:lastRenderedPageBreak/>
        <w:t>various regulations, tax is the main barrier to implementing SCF practices due to its great influence on the cost of transactions (</w:t>
      </w:r>
      <w:proofErr w:type="spellStart"/>
      <w:r w:rsidRPr="00A80A0C">
        <w:rPr>
          <w:color w:val="000000" w:themeColor="text1"/>
          <w:sz w:val="24"/>
          <w:szCs w:val="24"/>
        </w:rPr>
        <w:t>Liebl</w:t>
      </w:r>
      <w:proofErr w:type="spellEnd"/>
      <w:r w:rsidRPr="00A80A0C">
        <w:rPr>
          <w:color w:val="000000" w:themeColor="text1"/>
          <w:sz w:val="24"/>
          <w:szCs w:val="24"/>
        </w:rPr>
        <w:t xml:space="preserve"> et al., 2016). In addition, industrial policy also plays an important role in SCF practice because it can influence the basis of SCF practice (</w:t>
      </w:r>
      <w:proofErr w:type="spellStart"/>
      <w:r w:rsidRPr="00A80A0C">
        <w:rPr>
          <w:color w:val="000000" w:themeColor="text1"/>
          <w:sz w:val="24"/>
          <w:szCs w:val="24"/>
        </w:rPr>
        <w:t>Birthal</w:t>
      </w:r>
      <w:proofErr w:type="spellEnd"/>
      <w:r w:rsidRPr="00A80A0C">
        <w:rPr>
          <w:color w:val="000000" w:themeColor="text1"/>
          <w:sz w:val="24"/>
          <w:szCs w:val="24"/>
        </w:rPr>
        <w:t xml:space="preserve"> et al., 2017). </w:t>
      </w:r>
    </w:p>
    <w:p w14:paraId="35C26077" w14:textId="77777777"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 xml:space="preserve">Second, economic factors occur on the macro level and the industrial level. At a macro level, the effects of financial crises (Bastos and </w:t>
      </w:r>
      <w:proofErr w:type="spellStart"/>
      <w:r w:rsidRPr="00A80A0C">
        <w:rPr>
          <w:color w:val="000000" w:themeColor="text1"/>
          <w:sz w:val="24"/>
          <w:szCs w:val="24"/>
        </w:rPr>
        <w:t>Pindado</w:t>
      </w:r>
      <w:proofErr w:type="spellEnd"/>
      <w:r w:rsidRPr="00A80A0C">
        <w:rPr>
          <w:color w:val="000000" w:themeColor="text1"/>
          <w:sz w:val="24"/>
          <w:szCs w:val="24"/>
        </w:rPr>
        <w:t xml:space="preserve">, 2013; Lorentz et al., 2016; </w:t>
      </w:r>
      <w:proofErr w:type="spellStart"/>
      <w:r w:rsidRPr="00A80A0C">
        <w:rPr>
          <w:color w:val="000000" w:themeColor="text1"/>
          <w:sz w:val="24"/>
          <w:szCs w:val="24"/>
        </w:rPr>
        <w:t>Afrifa</w:t>
      </w:r>
      <w:proofErr w:type="spellEnd"/>
      <w:r w:rsidRPr="00A80A0C">
        <w:rPr>
          <w:color w:val="000000" w:themeColor="text1"/>
          <w:sz w:val="24"/>
          <w:szCs w:val="24"/>
        </w:rPr>
        <w:t xml:space="preserve"> et al., 2017; </w:t>
      </w:r>
      <w:proofErr w:type="spellStart"/>
      <w:r w:rsidRPr="00A80A0C">
        <w:rPr>
          <w:color w:val="000000" w:themeColor="text1"/>
          <w:sz w:val="24"/>
          <w:szCs w:val="24"/>
        </w:rPr>
        <w:t>Casterman</w:t>
      </w:r>
      <w:proofErr w:type="spellEnd"/>
      <w:r w:rsidRPr="00A80A0C">
        <w:rPr>
          <w:color w:val="000000" w:themeColor="text1"/>
          <w:sz w:val="24"/>
          <w:szCs w:val="24"/>
        </w:rPr>
        <w:t xml:space="preserve">, 2012; </w:t>
      </w:r>
      <w:proofErr w:type="spellStart"/>
      <w:r w:rsidRPr="00A80A0C">
        <w:rPr>
          <w:color w:val="000000" w:themeColor="text1"/>
          <w:sz w:val="24"/>
          <w:szCs w:val="24"/>
        </w:rPr>
        <w:t>Filbeck</w:t>
      </w:r>
      <w:proofErr w:type="spellEnd"/>
      <w:r w:rsidRPr="00A80A0C">
        <w:rPr>
          <w:color w:val="000000" w:themeColor="text1"/>
          <w:sz w:val="24"/>
          <w:szCs w:val="24"/>
        </w:rPr>
        <w:t xml:space="preserve"> et al., 2016) and exchange rates (Blackman et al., 2013; </w:t>
      </w:r>
      <w:proofErr w:type="spellStart"/>
      <w:r w:rsidRPr="00A80A0C">
        <w:rPr>
          <w:color w:val="000000" w:themeColor="text1"/>
          <w:sz w:val="24"/>
          <w:szCs w:val="24"/>
        </w:rPr>
        <w:t>Delk</w:t>
      </w:r>
      <w:proofErr w:type="spellEnd"/>
      <w:r w:rsidRPr="00A80A0C">
        <w:rPr>
          <w:color w:val="000000" w:themeColor="text1"/>
          <w:sz w:val="24"/>
          <w:szCs w:val="24"/>
        </w:rPr>
        <w:t>, 2000) on SCF practices have been widely investigated. At an industrial level, industrial competitiveness could affect financing demand because firms in competitive industries must avoid customer switching (Hermes et al., 2016) and need more financing ways to attract customers (</w:t>
      </w:r>
      <w:proofErr w:type="spellStart"/>
      <w:r w:rsidRPr="00A80A0C">
        <w:rPr>
          <w:color w:val="000000" w:themeColor="text1"/>
          <w:sz w:val="24"/>
          <w:szCs w:val="24"/>
        </w:rPr>
        <w:t>Adjapong</w:t>
      </w:r>
      <w:proofErr w:type="spellEnd"/>
      <w:r w:rsidRPr="00A80A0C">
        <w:rPr>
          <w:color w:val="000000" w:themeColor="text1"/>
          <w:sz w:val="24"/>
          <w:szCs w:val="24"/>
        </w:rPr>
        <w:t xml:space="preserve"> and Ernest, 2017). </w:t>
      </w:r>
    </w:p>
    <w:p w14:paraId="7CFB8A92" w14:textId="77777777"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T</w:t>
      </w:r>
      <w:r w:rsidRPr="00A80A0C">
        <w:rPr>
          <w:rFonts w:hint="eastAsia"/>
          <w:color w:val="000000" w:themeColor="text1"/>
          <w:sz w:val="24"/>
          <w:szCs w:val="24"/>
        </w:rPr>
        <w:t>hird</w:t>
      </w:r>
      <w:r w:rsidRPr="00A80A0C">
        <w:rPr>
          <w:color w:val="000000" w:themeColor="text1"/>
          <w:sz w:val="24"/>
          <w:szCs w:val="24"/>
        </w:rPr>
        <w:t xml:space="preserve">, technologies in SCF can make modern finance faster, more complex, more global, more interconnected, and less human (Tsai and </w:t>
      </w:r>
      <w:proofErr w:type="spellStart"/>
      <w:r w:rsidRPr="00A80A0C">
        <w:rPr>
          <w:color w:val="000000" w:themeColor="text1"/>
          <w:sz w:val="24"/>
          <w:szCs w:val="24"/>
        </w:rPr>
        <w:t>Kuan</w:t>
      </w:r>
      <w:proofErr w:type="spellEnd"/>
      <w:r w:rsidRPr="00A80A0C">
        <w:rPr>
          <w:color w:val="000000" w:themeColor="text1"/>
          <w:sz w:val="24"/>
          <w:szCs w:val="24"/>
        </w:rPr>
        <w:t xml:space="preserve">-Jung, 2017). For example, the explosive growth of e-business promotes new requirements for timeliness, security, and quality. To promote the efficiency of distribution and the stability of the SC, SCF providers should reconstruct existing SCF business processes through combining branch storage and warehouse financing (Jiang et al., 2016). </w:t>
      </w:r>
    </w:p>
    <w:p w14:paraId="58FFFEF8" w14:textId="77777777"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Fourth, although agricultural SCF can facilitate traditional forms of lending (Milder, 2008) and improve farmers’ production and profit (</w:t>
      </w:r>
      <w:proofErr w:type="spellStart"/>
      <w:r w:rsidRPr="00A80A0C">
        <w:rPr>
          <w:color w:val="000000" w:themeColor="text1"/>
          <w:sz w:val="24"/>
          <w:szCs w:val="24"/>
        </w:rPr>
        <w:t>Kopparthi</w:t>
      </w:r>
      <w:proofErr w:type="spellEnd"/>
      <w:r w:rsidRPr="00A80A0C">
        <w:rPr>
          <w:color w:val="000000" w:themeColor="text1"/>
          <w:sz w:val="24"/>
          <w:szCs w:val="24"/>
        </w:rPr>
        <w:t>, 2012), its effectiveness is greatly affected by natural environmental uncertainties. For example, natural environmental conditions (e.g., poor soil quality and harsh climate) in Cambodia leave few sources for the development of its agriculture, which puts pressure on the development of SCF services (Son et al., 2017). Therefore, natural factors that affect crop quantity and/or quality should be taken into consideration in the risk management of agricultural SCF practices (</w:t>
      </w:r>
      <w:proofErr w:type="spellStart"/>
      <w:r w:rsidRPr="00A80A0C">
        <w:rPr>
          <w:color w:val="000000" w:themeColor="text1"/>
          <w:sz w:val="24"/>
          <w:szCs w:val="24"/>
        </w:rPr>
        <w:t>Angelucci</w:t>
      </w:r>
      <w:proofErr w:type="spellEnd"/>
      <w:r w:rsidRPr="00A80A0C">
        <w:rPr>
          <w:color w:val="000000" w:themeColor="text1"/>
          <w:sz w:val="24"/>
          <w:szCs w:val="24"/>
        </w:rPr>
        <w:t xml:space="preserve"> and </w:t>
      </w:r>
      <w:proofErr w:type="spellStart"/>
      <w:r w:rsidRPr="00A80A0C">
        <w:rPr>
          <w:color w:val="000000" w:themeColor="text1"/>
          <w:sz w:val="24"/>
          <w:szCs w:val="24"/>
        </w:rPr>
        <w:t>Conforti</w:t>
      </w:r>
      <w:proofErr w:type="spellEnd"/>
      <w:r w:rsidRPr="00A80A0C">
        <w:rPr>
          <w:color w:val="000000" w:themeColor="text1"/>
          <w:sz w:val="24"/>
          <w:szCs w:val="24"/>
        </w:rPr>
        <w:t>, 2010).</w:t>
      </w:r>
    </w:p>
    <w:p w14:paraId="6FE55AB7" w14:textId="77777777"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 xml:space="preserve">Fifth, legal factors contain some rules about the rights and duties of debtors (Dunham, 1949) and thus have a great impact on SCF practices. In the early years, the Financial Accounting Standards Board in the US addressed standard principles about inventory financing, avoiding the treatment of inventory financing as “sales” (Anonymous, 1981). However, with the passage of time, the view on developing regimes to regulate SCF has changed. Tsai and </w:t>
      </w:r>
      <w:proofErr w:type="spellStart"/>
      <w:r w:rsidRPr="00A80A0C">
        <w:rPr>
          <w:color w:val="000000" w:themeColor="text1"/>
          <w:sz w:val="24"/>
          <w:szCs w:val="24"/>
        </w:rPr>
        <w:lastRenderedPageBreak/>
        <w:t>Kuan</w:t>
      </w:r>
      <w:proofErr w:type="spellEnd"/>
      <w:r w:rsidRPr="00A80A0C">
        <w:rPr>
          <w:color w:val="000000" w:themeColor="text1"/>
          <w:sz w:val="24"/>
          <w:szCs w:val="24"/>
        </w:rPr>
        <w:t xml:space="preserve">-Jung (2017) claimed that a flexible, principles-based regulatory regime that balances financial stability, consumer financial protection, and the improvement of financial access is essential at the initial stage of SCF development (Tsai and </w:t>
      </w:r>
      <w:proofErr w:type="spellStart"/>
      <w:r w:rsidRPr="00A80A0C">
        <w:rPr>
          <w:color w:val="000000" w:themeColor="text1"/>
          <w:sz w:val="24"/>
          <w:szCs w:val="24"/>
        </w:rPr>
        <w:t>Kuan</w:t>
      </w:r>
      <w:proofErr w:type="spellEnd"/>
      <w:r w:rsidRPr="00A80A0C">
        <w:rPr>
          <w:color w:val="000000" w:themeColor="text1"/>
          <w:sz w:val="24"/>
          <w:szCs w:val="24"/>
        </w:rPr>
        <w:t xml:space="preserve">-Jung, 2017). </w:t>
      </w:r>
    </w:p>
    <w:p w14:paraId="4CD60A87" w14:textId="77777777"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 xml:space="preserve">Hence, based on the previous discussion, we derive the following proposition: </w:t>
      </w:r>
    </w:p>
    <w:p w14:paraId="4A5EB42F" w14:textId="77777777" w:rsidR="009B24A0" w:rsidRPr="00A80A0C" w:rsidRDefault="00871C0F" w:rsidP="009B24A0">
      <w:pPr>
        <w:spacing w:line="360" w:lineRule="auto"/>
        <w:rPr>
          <w:i/>
          <w:color w:val="000000" w:themeColor="text1"/>
          <w:sz w:val="24"/>
          <w:szCs w:val="24"/>
        </w:rPr>
      </w:pPr>
      <w:r w:rsidRPr="00A80A0C">
        <w:rPr>
          <w:b/>
          <w:i/>
          <w:color w:val="000000" w:themeColor="text1"/>
          <w:sz w:val="24"/>
          <w:szCs w:val="24"/>
        </w:rPr>
        <w:t>P1b:</w:t>
      </w:r>
      <w:r w:rsidRPr="00A80A0C">
        <w:rPr>
          <w:i/>
          <w:color w:val="000000" w:themeColor="text1"/>
          <w:sz w:val="24"/>
          <w:szCs w:val="24"/>
        </w:rPr>
        <w:t xml:space="preserve"> SCF task environment related uncertainties </w:t>
      </w:r>
      <w:r w:rsidR="009B24A0" w:rsidRPr="00A80A0C">
        <w:rPr>
          <w:i/>
          <w:color w:val="000000" w:themeColor="text1"/>
          <w:sz w:val="24"/>
          <w:szCs w:val="24"/>
        </w:rPr>
        <w:t xml:space="preserve">will </w:t>
      </w:r>
      <w:r w:rsidRPr="00A80A0C">
        <w:rPr>
          <w:i/>
          <w:color w:val="000000" w:themeColor="text1"/>
          <w:sz w:val="24"/>
          <w:szCs w:val="24"/>
        </w:rPr>
        <w:t xml:space="preserve">increase </w:t>
      </w:r>
      <w:r w:rsidR="009B24A0" w:rsidRPr="00A80A0C">
        <w:rPr>
          <w:i/>
          <w:color w:val="000000" w:themeColor="text1"/>
          <w:sz w:val="24"/>
          <w:szCs w:val="24"/>
        </w:rPr>
        <w:t>the SCF providers’ information processing requirements.</w:t>
      </w:r>
    </w:p>
    <w:p w14:paraId="2E33526E" w14:textId="77777777" w:rsidR="00871C0F" w:rsidRPr="00A80A0C" w:rsidRDefault="00871C0F" w:rsidP="00FC7D81">
      <w:pPr>
        <w:spacing w:line="360" w:lineRule="auto"/>
        <w:rPr>
          <w:color w:val="000000" w:themeColor="text1"/>
          <w:sz w:val="24"/>
          <w:szCs w:val="24"/>
        </w:rPr>
      </w:pPr>
    </w:p>
    <w:p w14:paraId="01EE1A42" w14:textId="77777777" w:rsidR="00871C0F" w:rsidRPr="00A80A0C" w:rsidRDefault="00871C0F" w:rsidP="00FC7D81">
      <w:pPr>
        <w:pStyle w:val="Heading2"/>
        <w:spacing w:beforeLines="50" w:before="156" w:line="360" w:lineRule="auto"/>
        <w:rPr>
          <w:color w:val="000000" w:themeColor="text1"/>
          <w:szCs w:val="24"/>
        </w:rPr>
      </w:pPr>
      <w:r w:rsidRPr="00A80A0C">
        <w:rPr>
          <w:color w:val="000000" w:themeColor="text1"/>
          <w:szCs w:val="24"/>
        </w:rPr>
        <w:t>4.1.3</w:t>
      </w:r>
      <w:r w:rsidR="009271EC" w:rsidRPr="00A80A0C">
        <w:rPr>
          <w:color w:val="000000" w:themeColor="text1"/>
          <w:szCs w:val="24"/>
        </w:rPr>
        <w:t>.</w:t>
      </w:r>
      <w:r w:rsidRPr="00A80A0C">
        <w:rPr>
          <w:color w:val="000000" w:themeColor="text1"/>
          <w:szCs w:val="24"/>
        </w:rPr>
        <w:t xml:space="preserve"> Task interdependence</w:t>
      </w:r>
    </w:p>
    <w:p w14:paraId="267216B7" w14:textId="77777777" w:rsidR="00871C0F" w:rsidRPr="00A80A0C" w:rsidRDefault="00871C0F" w:rsidP="00FC7D81">
      <w:pPr>
        <w:spacing w:line="360" w:lineRule="auto"/>
        <w:rPr>
          <w:color w:val="000000" w:themeColor="text1"/>
          <w:sz w:val="24"/>
          <w:szCs w:val="24"/>
        </w:rPr>
      </w:pPr>
      <w:r w:rsidRPr="00A80A0C">
        <w:rPr>
          <w:color w:val="000000" w:themeColor="text1"/>
          <w:sz w:val="24"/>
          <w:szCs w:val="24"/>
        </w:rPr>
        <w:t>SCF practices focus on the coordination of financial flows within and between companies (Hofmann and Belin, 2011); therefore, task interdependence in SCF practices can be divided into two dimensions: intra-organisational collaboration and inter-organisational collaboration (</w:t>
      </w:r>
      <w:proofErr w:type="spellStart"/>
      <w:r w:rsidRPr="00A80A0C">
        <w:rPr>
          <w:color w:val="000000" w:themeColor="text1"/>
          <w:sz w:val="24"/>
          <w:szCs w:val="24"/>
        </w:rPr>
        <w:t>Wandfluh</w:t>
      </w:r>
      <w:proofErr w:type="spellEnd"/>
      <w:r w:rsidRPr="00A80A0C">
        <w:rPr>
          <w:color w:val="000000" w:themeColor="text1"/>
          <w:sz w:val="24"/>
          <w:szCs w:val="24"/>
        </w:rPr>
        <w:t xml:space="preserve"> et al., 2016; Silvestro and </w:t>
      </w:r>
      <w:proofErr w:type="spellStart"/>
      <w:r w:rsidRPr="00A80A0C">
        <w:rPr>
          <w:color w:val="000000" w:themeColor="text1"/>
          <w:sz w:val="24"/>
          <w:szCs w:val="24"/>
        </w:rPr>
        <w:t>Lustrato</w:t>
      </w:r>
      <w:proofErr w:type="spellEnd"/>
      <w:r w:rsidRPr="00A80A0C">
        <w:rPr>
          <w:color w:val="000000" w:themeColor="text1"/>
          <w:sz w:val="24"/>
          <w:szCs w:val="24"/>
        </w:rPr>
        <w:t xml:space="preserve">, 2014; </w:t>
      </w:r>
      <w:proofErr w:type="spellStart"/>
      <w:r w:rsidRPr="00A80A0C">
        <w:rPr>
          <w:color w:val="000000" w:themeColor="text1"/>
          <w:sz w:val="24"/>
          <w:szCs w:val="24"/>
        </w:rPr>
        <w:t>Berza</w:t>
      </w:r>
      <w:proofErr w:type="spellEnd"/>
      <w:r w:rsidRPr="00A80A0C">
        <w:rPr>
          <w:color w:val="000000" w:themeColor="text1"/>
          <w:sz w:val="24"/>
          <w:szCs w:val="24"/>
        </w:rPr>
        <w:t xml:space="preserve"> and Liberman, 2017).</w:t>
      </w:r>
    </w:p>
    <w:p w14:paraId="01DE41EE" w14:textId="77777777"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Intra-organisational collaboration means that departments’ members should share mutual interests and targets in order to foster the exchange of information in an informal manner (</w:t>
      </w:r>
      <w:proofErr w:type="spellStart"/>
      <w:r w:rsidRPr="00A80A0C">
        <w:rPr>
          <w:color w:val="000000" w:themeColor="text1"/>
          <w:sz w:val="24"/>
          <w:szCs w:val="24"/>
        </w:rPr>
        <w:t>Wuttke</w:t>
      </w:r>
      <w:proofErr w:type="spellEnd"/>
      <w:r w:rsidRPr="00A80A0C">
        <w:rPr>
          <w:color w:val="000000" w:themeColor="text1"/>
          <w:sz w:val="24"/>
          <w:szCs w:val="24"/>
        </w:rPr>
        <w:t xml:space="preserve"> et al., 2013a). The reason to promote cooperation among different functional departments is that different functional departments have different targets, which could negatively affect the effectiveness of SCF practices. For example, the sales department only concentrates on orders but neglects advanced payment, and resolving the problems caused by misalignment of this cross-functional objective requires intra-organisational collaboration (Martin and Hofmann, 2017). Some empirical studies have proven the effectiveness of inter-organisational collaboration. Fischer and </w:t>
      </w:r>
      <w:proofErr w:type="spellStart"/>
      <w:r w:rsidRPr="00A80A0C">
        <w:rPr>
          <w:color w:val="000000" w:themeColor="text1"/>
          <w:sz w:val="24"/>
          <w:szCs w:val="24"/>
        </w:rPr>
        <w:t>Himme</w:t>
      </w:r>
      <w:proofErr w:type="spellEnd"/>
      <w:r w:rsidRPr="00A80A0C">
        <w:rPr>
          <w:color w:val="000000" w:themeColor="text1"/>
          <w:sz w:val="24"/>
          <w:szCs w:val="24"/>
        </w:rPr>
        <w:t xml:space="preserve"> (2017) found that intra-organisational collaboration can effectively reduce the risks in SCF since it allows each functional department to exchange knowledge efficiently and understand its counterparts better. </w:t>
      </w:r>
      <w:proofErr w:type="spellStart"/>
      <w:r w:rsidRPr="00A80A0C">
        <w:rPr>
          <w:color w:val="000000" w:themeColor="text1"/>
          <w:sz w:val="24"/>
          <w:szCs w:val="24"/>
        </w:rPr>
        <w:t>Wuttke</w:t>
      </w:r>
      <w:proofErr w:type="spellEnd"/>
      <w:r w:rsidRPr="00A80A0C">
        <w:rPr>
          <w:color w:val="000000" w:themeColor="text1"/>
          <w:sz w:val="24"/>
          <w:szCs w:val="24"/>
        </w:rPr>
        <w:t xml:space="preserve"> et al. (2013b) adopted a case study approach based on six European firms and found that the speedy acceptance of SCF practices can be promoted by logistics/procurement-financing alignment. </w:t>
      </w:r>
    </w:p>
    <w:p w14:paraId="4693EA9A" w14:textId="77777777" w:rsidR="00871C0F" w:rsidRPr="00A80A0C" w:rsidRDefault="00871C0F" w:rsidP="00FC7D81">
      <w:pPr>
        <w:spacing w:line="360" w:lineRule="auto"/>
        <w:ind w:firstLineChars="200" w:firstLine="480"/>
        <w:rPr>
          <w:color w:val="000000" w:themeColor="text1"/>
          <w:sz w:val="24"/>
          <w:szCs w:val="24"/>
        </w:rPr>
      </w:pPr>
      <w:r w:rsidRPr="00A80A0C">
        <w:rPr>
          <w:color w:val="000000" w:themeColor="text1"/>
          <w:sz w:val="24"/>
          <w:szCs w:val="24"/>
        </w:rPr>
        <w:t xml:space="preserve">Inter-organisational collaboration is also essential to SCF practices (Downing and Harper, 2008; Chen et al., 2015). Through reviewing relevant definitions of SCF (More and </w:t>
      </w:r>
      <w:proofErr w:type="spellStart"/>
      <w:r w:rsidRPr="00A80A0C">
        <w:rPr>
          <w:color w:val="000000" w:themeColor="text1"/>
          <w:sz w:val="24"/>
          <w:szCs w:val="24"/>
        </w:rPr>
        <w:t>Basu</w:t>
      </w:r>
      <w:proofErr w:type="spellEnd"/>
      <w:r w:rsidRPr="00A80A0C">
        <w:rPr>
          <w:color w:val="000000" w:themeColor="text1"/>
          <w:sz w:val="24"/>
          <w:szCs w:val="24"/>
        </w:rPr>
        <w:t xml:space="preserve">, 2013; Meijer and </w:t>
      </w:r>
      <w:proofErr w:type="spellStart"/>
      <w:r w:rsidRPr="00A80A0C">
        <w:rPr>
          <w:color w:val="000000" w:themeColor="text1"/>
          <w:sz w:val="24"/>
          <w:szCs w:val="24"/>
        </w:rPr>
        <w:t>Bruijin</w:t>
      </w:r>
      <w:proofErr w:type="spellEnd"/>
      <w:r w:rsidRPr="00A80A0C">
        <w:rPr>
          <w:color w:val="000000" w:themeColor="text1"/>
          <w:sz w:val="24"/>
          <w:szCs w:val="24"/>
        </w:rPr>
        <w:t xml:space="preserve">, 2013; </w:t>
      </w:r>
      <w:proofErr w:type="spellStart"/>
      <w:r w:rsidRPr="00A80A0C">
        <w:rPr>
          <w:color w:val="000000" w:themeColor="text1"/>
          <w:sz w:val="24"/>
          <w:szCs w:val="24"/>
        </w:rPr>
        <w:t>Pfohl</w:t>
      </w:r>
      <w:proofErr w:type="spellEnd"/>
      <w:r w:rsidRPr="00A80A0C">
        <w:rPr>
          <w:color w:val="000000" w:themeColor="text1"/>
          <w:sz w:val="24"/>
          <w:szCs w:val="24"/>
        </w:rPr>
        <w:t xml:space="preserve"> and </w:t>
      </w:r>
      <w:proofErr w:type="spellStart"/>
      <w:r w:rsidRPr="00A80A0C">
        <w:rPr>
          <w:color w:val="000000" w:themeColor="text1"/>
          <w:sz w:val="24"/>
          <w:szCs w:val="24"/>
        </w:rPr>
        <w:t>Gomm</w:t>
      </w:r>
      <w:proofErr w:type="spellEnd"/>
      <w:r w:rsidRPr="00A80A0C">
        <w:rPr>
          <w:color w:val="000000" w:themeColor="text1"/>
          <w:sz w:val="24"/>
          <w:szCs w:val="24"/>
        </w:rPr>
        <w:t xml:space="preserve">, 2009), it is not difficult to find that inter-organisational collaboration can affect customers’ access to financial services and free up </w:t>
      </w:r>
      <w:r w:rsidRPr="00A80A0C">
        <w:rPr>
          <w:color w:val="000000" w:themeColor="text1"/>
          <w:sz w:val="24"/>
          <w:szCs w:val="24"/>
        </w:rPr>
        <w:lastRenderedPageBreak/>
        <w:t>working capital (</w:t>
      </w:r>
      <w:proofErr w:type="spellStart"/>
      <w:r w:rsidRPr="00A80A0C">
        <w:rPr>
          <w:color w:val="000000" w:themeColor="text1"/>
          <w:sz w:val="24"/>
          <w:szCs w:val="24"/>
        </w:rPr>
        <w:t>Sugirin</w:t>
      </w:r>
      <w:proofErr w:type="spellEnd"/>
      <w:r w:rsidRPr="00A80A0C">
        <w:rPr>
          <w:color w:val="000000" w:themeColor="text1"/>
          <w:sz w:val="24"/>
          <w:szCs w:val="24"/>
        </w:rPr>
        <w:t>, 2009). Take the agricultural SCF as an example. Banks play an un-ignorable role in the agricultural value chain because they are the main financing sources (Swamy and Dharani, 2016). However, isolated small farmers cannot get financial support due to their high cost and risk of transactions (</w:t>
      </w:r>
      <w:proofErr w:type="spellStart"/>
      <w:r w:rsidRPr="00A80A0C">
        <w:rPr>
          <w:color w:val="000000" w:themeColor="text1"/>
          <w:sz w:val="24"/>
          <w:szCs w:val="24"/>
        </w:rPr>
        <w:t>Birthal</w:t>
      </w:r>
      <w:proofErr w:type="spellEnd"/>
      <w:r w:rsidRPr="00A80A0C">
        <w:rPr>
          <w:color w:val="000000" w:themeColor="text1"/>
          <w:sz w:val="24"/>
          <w:szCs w:val="24"/>
        </w:rPr>
        <w:t xml:space="preserve"> et al., 2017). Through building relationships with relevant organisations (e.g., the Conservation Farming Unit (CFU), agribusiness or the Dairy Association), smallholder farmers can get financial support from banks (</w:t>
      </w:r>
      <w:proofErr w:type="spellStart"/>
      <w:r w:rsidRPr="00A80A0C">
        <w:rPr>
          <w:color w:val="000000" w:themeColor="text1"/>
          <w:sz w:val="24"/>
          <w:szCs w:val="24"/>
        </w:rPr>
        <w:t>Middelberg</w:t>
      </w:r>
      <w:proofErr w:type="spellEnd"/>
      <w:r w:rsidRPr="00A80A0C">
        <w:rPr>
          <w:color w:val="000000" w:themeColor="text1"/>
          <w:sz w:val="24"/>
          <w:szCs w:val="24"/>
        </w:rPr>
        <w:t xml:space="preserve">, 2017; </w:t>
      </w:r>
      <w:proofErr w:type="spellStart"/>
      <w:r w:rsidRPr="00A80A0C">
        <w:rPr>
          <w:color w:val="000000" w:themeColor="text1"/>
          <w:sz w:val="24"/>
          <w:szCs w:val="24"/>
        </w:rPr>
        <w:t>Patil</w:t>
      </w:r>
      <w:proofErr w:type="spellEnd"/>
      <w:r w:rsidRPr="00A80A0C">
        <w:rPr>
          <w:color w:val="000000" w:themeColor="text1"/>
          <w:sz w:val="24"/>
          <w:szCs w:val="24"/>
        </w:rPr>
        <w:t xml:space="preserve"> et al., 2016). The reason that small farmers succeed in getting financial resources is that information asymmetry is resolved through the monitoring mechanism formed by inter-organisational cooperation (Chen et al., 2017). With the help of this monitoring mechanism, small farmers’ transactional costs and lending risks can be reduced (Miller, 2008). The role of inter-organisational collaboration has also been revealed by empirical studies. For example, using household-level data from the Indian state of Punjab, </w:t>
      </w:r>
      <w:proofErr w:type="spellStart"/>
      <w:r w:rsidRPr="00A80A0C">
        <w:rPr>
          <w:color w:val="000000" w:themeColor="text1"/>
          <w:sz w:val="24"/>
          <w:szCs w:val="24"/>
        </w:rPr>
        <w:t>Birthal</w:t>
      </w:r>
      <w:proofErr w:type="spellEnd"/>
      <w:r w:rsidRPr="00A80A0C">
        <w:rPr>
          <w:color w:val="000000" w:themeColor="text1"/>
          <w:sz w:val="24"/>
          <w:szCs w:val="24"/>
        </w:rPr>
        <w:t xml:space="preserve"> et al. (2017) supported the argument that the cooperation between financial institutions and other participants in agricultural SCF can significantly improve the financial performance of farmers. </w:t>
      </w:r>
      <w:proofErr w:type="spellStart"/>
      <w:r w:rsidRPr="00A80A0C">
        <w:rPr>
          <w:color w:val="000000" w:themeColor="text1"/>
          <w:sz w:val="24"/>
          <w:szCs w:val="24"/>
        </w:rPr>
        <w:t>Wandflub</w:t>
      </w:r>
      <w:proofErr w:type="spellEnd"/>
      <w:r w:rsidRPr="00A80A0C">
        <w:rPr>
          <w:color w:val="000000" w:themeColor="text1"/>
          <w:sz w:val="24"/>
          <w:szCs w:val="24"/>
        </w:rPr>
        <w:t xml:space="preserve"> et al. (2016) found that buyer-supplier financing alignment and buyer-supplier information sharing are important in implementing SCF practices because they positively affect overall SCF performance. Inter-organisational collaboration also serves a moderating role. Reverse factoring (a SCF instrument) is used to extend day’s payable outstanding, reduce default risk and simplify business processes. However, the collaboration between suppliers and their buyers strongly influences the accomplishment of these goals (</w:t>
      </w:r>
      <w:proofErr w:type="spellStart"/>
      <w:r w:rsidRPr="00A80A0C">
        <w:rPr>
          <w:color w:val="000000" w:themeColor="text1"/>
          <w:sz w:val="24"/>
          <w:szCs w:val="24"/>
        </w:rPr>
        <w:t>Liebl</w:t>
      </w:r>
      <w:proofErr w:type="spellEnd"/>
      <w:r w:rsidRPr="00A80A0C">
        <w:rPr>
          <w:color w:val="000000" w:themeColor="text1"/>
          <w:sz w:val="24"/>
          <w:szCs w:val="24"/>
        </w:rPr>
        <w:t xml:space="preserve"> et al., 2016). </w:t>
      </w:r>
    </w:p>
    <w:p w14:paraId="339BF70E" w14:textId="77777777"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Previous studies have stated that intra-organisational or inter-organisational relationships positively affect SCF providers in optimising financial processes (Goel and Kaur, 2008; Caniato et al., 2016), increasing the efficiency of information coordination systems (</w:t>
      </w:r>
      <w:proofErr w:type="spellStart"/>
      <w:r w:rsidRPr="00A80A0C">
        <w:rPr>
          <w:color w:val="000000" w:themeColor="text1"/>
          <w:sz w:val="24"/>
          <w:szCs w:val="24"/>
        </w:rPr>
        <w:t>Wandfluh</w:t>
      </w:r>
      <w:proofErr w:type="spellEnd"/>
      <w:r w:rsidRPr="00A80A0C">
        <w:rPr>
          <w:color w:val="000000" w:themeColor="text1"/>
          <w:sz w:val="24"/>
          <w:szCs w:val="24"/>
        </w:rPr>
        <w:t xml:space="preserve"> et al., 2016), and establishing the business process and information coordination system (</w:t>
      </w:r>
      <w:proofErr w:type="spellStart"/>
      <w:r w:rsidRPr="00A80A0C">
        <w:rPr>
          <w:color w:val="000000" w:themeColor="text1"/>
          <w:sz w:val="24"/>
          <w:szCs w:val="24"/>
        </w:rPr>
        <w:t>Liebal</w:t>
      </w:r>
      <w:proofErr w:type="spellEnd"/>
      <w:r w:rsidRPr="00A80A0C">
        <w:rPr>
          <w:color w:val="000000" w:themeColor="text1"/>
          <w:sz w:val="24"/>
          <w:szCs w:val="24"/>
        </w:rPr>
        <w:t xml:space="preserve"> et al., 2016). Uncertainties from task inter-dependence mainly come from SCF providers’ willingness. If the inter-organisational or intra-organisational relationship is good and the terms of the relationships are long, SCF providers are more willing to consider the optimisation of business processes and information systems, </w:t>
      </w:r>
      <w:bookmarkStart w:id="10" w:name="OLE_LINK6"/>
      <w:bookmarkStart w:id="11" w:name="OLE_LINK7"/>
      <w:r w:rsidRPr="00A80A0C">
        <w:rPr>
          <w:color w:val="000000" w:themeColor="text1"/>
          <w:sz w:val="24"/>
          <w:szCs w:val="24"/>
        </w:rPr>
        <w:t>and therefore, we derive the third proposition accordingly:</w:t>
      </w:r>
      <w:bookmarkEnd w:id="10"/>
      <w:bookmarkEnd w:id="11"/>
    </w:p>
    <w:p w14:paraId="0161AE27" w14:textId="77777777" w:rsidR="00856271" w:rsidRPr="00A80A0C" w:rsidRDefault="00871C0F" w:rsidP="00856271">
      <w:pPr>
        <w:spacing w:line="360" w:lineRule="auto"/>
        <w:rPr>
          <w:i/>
          <w:color w:val="000000" w:themeColor="text1"/>
          <w:sz w:val="24"/>
          <w:szCs w:val="24"/>
        </w:rPr>
      </w:pPr>
      <w:r w:rsidRPr="00A80A0C">
        <w:rPr>
          <w:b/>
          <w:i/>
          <w:color w:val="000000" w:themeColor="text1"/>
          <w:sz w:val="24"/>
          <w:szCs w:val="24"/>
        </w:rPr>
        <w:t xml:space="preserve">P1c: </w:t>
      </w:r>
      <w:r w:rsidR="0034515E" w:rsidRPr="00A80A0C">
        <w:rPr>
          <w:i/>
          <w:color w:val="000000" w:themeColor="text1"/>
          <w:sz w:val="24"/>
          <w:szCs w:val="24"/>
        </w:rPr>
        <w:t xml:space="preserve">SCF task interdependence </w:t>
      </w:r>
      <w:r w:rsidRPr="00A80A0C">
        <w:rPr>
          <w:i/>
          <w:color w:val="000000" w:themeColor="text1"/>
          <w:sz w:val="24"/>
          <w:szCs w:val="24"/>
        </w:rPr>
        <w:t xml:space="preserve">related uncertainties </w:t>
      </w:r>
      <w:r w:rsidR="00856271" w:rsidRPr="00A80A0C">
        <w:rPr>
          <w:i/>
          <w:color w:val="000000" w:themeColor="text1"/>
          <w:sz w:val="24"/>
          <w:szCs w:val="24"/>
        </w:rPr>
        <w:t xml:space="preserve">will increase the SCF providers’ </w:t>
      </w:r>
      <w:r w:rsidR="00856271" w:rsidRPr="00A80A0C">
        <w:rPr>
          <w:i/>
          <w:color w:val="000000" w:themeColor="text1"/>
          <w:sz w:val="24"/>
          <w:szCs w:val="24"/>
        </w:rPr>
        <w:lastRenderedPageBreak/>
        <w:t>information processing requirements.</w:t>
      </w:r>
    </w:p>
    <w:p w14:paraId="1B62CE62" w14:textId="77777777" w:rsidR="00871C0F" w:rsidRPr="00A80A0C" w:rsidRDefault="00871C0F" w:rsidP="00FC7D81">
      <w:pPr>
        <w:spacing w:line="360" w:lineRule="auto"/>
        <w:rPr>
          <w:color w:val="000000" w:themeColor="text1"/>
          <w:sz w:val="24"/>
          <w:szCs w:val="24"/>
        </w:rPr>
      </w:pPr>
    </w:p>
    <w:p w14:paraId="389452A1" w14:textId="77777777" w:rsidR="00871C0F" w:rsidRPr="00A80A0C" w:rsidRDefault="00871C0F" w:rsidP="00FC7D81">
      <w:pPr>
        <w:pStyle w:val="Heading2"/>
        <w:spacing w:beforeLines="50" w:before="156" w:afterLines="50" w:after="156" w:line="360" w:lineRule="auto"/>
        <w:rPr>
          <w:color w:val="000000" w:themeColor="text1"/>
          <w:szCs w:val="24"/>
        </w:rPr>
      </w:pPr>
      <w:r w:rsidRPr="00A80A0C">
        <w:rPr>
          <w:color w:val="000000" w:themeColor="text1"/>
          <w:szCs w:val="24"/>
        </w:rPr>
        <w:t>4.2</w:t>
      </w:r>
      <w:r w:rsidR="009271EC" w:rsidRPr="00A80A0C">
        <w:rPr>
          <w:color w:val="000000" w:themeColor="text1"/>
          <w:szCs w:val="24"/>
        </w:rPr>
        <w:t>.</w:t>
      </w:r>
      <w:r w:rsidRPr="00A80A0C">
        <w:rPr>
          <w:color w:val="000000" w:themeColor="text1"/>
          <w:szCs w:val="24"/>
        </w:rPr>
        <w:t xml:space="preserve"> Mechanisms for improving the information processing capacity</w:t>
      </w:r>
    </w:p>
    <w:p w14:paraId="2D32C557" w14:textId="77777777" w:rsidR="00871C0F" w:rsidRPr="00A80A0C" w:rsidRDefault="00871C0F" w:rsidP="00FC7D81">
      <w:pPr>
        <w:spacing w:line="360" w:lineRule="auto"/>
        <w:rPr>
          <w:color w:val="000000" w:themeColor="text1"/>
          <w:sz w:val="24"/>
          <w:szCs w:val="24"/>
        </w:rPr>
      </w:pPr>
      <w:r w:rsidRPr="00A80A0C">
        <w:rPr>
          <w:color w:val="000000" w:themeColor="text1"/>
          <w:sz w:val="24"/>
          <w:szCs w:val="24"/>
        </w:rPr>
        <w:t xml:space="preserve">The information processing capacity can be derived from a number of mechanisms </w:t>
      </w:r>
      <w:r w:rsidRPr="00A80A0C">
        <w:rPr>
          <w:noProof/>
          <w:color w:val="000000" w:themeColor="text1"/>
          <w:sz w:val="24"/>
          <w:szCs w:val="24"/>
        </w:rPr>
        <w:t>(Bensaou and Venkatraman, 1995)</w:t>
      </w:r>
      <w:r w:rsidRPr="00A80A0C">
        <w:rPr>
          <w:color w:val="000000" w:themeColor="text1"/>
          <w:sz w:val="24"/>
          <w:szCs w:val="24"/>
        </w:rPr>
        <w:t xml:space="preserve">. Following </w:t>
      </w:r>
      <w:r w:rsidRPr="00A80A0C">
        <w:rPr>
          <w:noProof/>
          <w:color w:val="000000" w:themeColor="text1"/>
          <w:sz w:val="24"/>
          <w:szCs w:val="24"/>
        </w:rPr>
        <w:t>Bensaou and Venkatraman (1995)</w:t>
      </w:r>
      <w:r w:rsidRPr="00A80A0C">
        <w:rPr>
          <w:color w:val="000000" w:themeColor="text1"/>
          <w:sz w:val="24"/>
          <w:szCs w:val="24"/>
        </w:rPr>
        <w:t>, we classify these mechanisms in terms of organisational structural design, coordination and control, and information technology.</w:t>
      </w:r>
    </w:p>
    <w:p w14:paraId="0FC96A7B" w14:textId="67E49C80"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 xml:space="preserve">First, </w:t>
      </w:r>
      <w:proofErr w:type="spellStart"/>
      <w:r w:rsidRPr="00A80A0C">
        <w:rPr>
          <w:color w:val="000000" w:themeColor="text1"/>
          <w:sz w:val="24"/>
          <w:szCs w:val="24"/>
        </w:rPr>
        <w:t>Tushman</w:t>
      </w:r>
      <w:proofErr w:type="spellEnd"/>
      <w:r w:rsidRPr="00A80A0C">
        <w:rPr>
          <w:color w:val="000000" w:themeColor="text1"/>
          <w:sz w:val="24"/>
          <w:szCs w:val="24"/>
        </w:rPr>
        <w:t xml:space="preserve"> and Nadler (197</w:t>
      </w:r>
      <w:r w:rsidR="00555221" w:rsidRPr="00A80A0C">
        <w:rPr>
          <w:color w:val="000000" w:themeColor="text1"/>
          <w:sz w:val="24"/>
          <w:szCs w:val="24"/>
        </w:rPr>
        <w:t>8</w:t>
      </w:r>
      <w:r w:rsidRPr="00A80A0C">
        <w:rPr>
          <w:color w:val="000000" w:themeColor="text1"/>
          <w:sz w:val="24"/>
          <w:szCs w:val="24"/>
        </w:rPr>
        <w:t xml:space="preserve">) note that the organismic-mechanistic nature of the organisational structure affects the information processing capacity of an organisation. Compared to a mechanistic structure, an organismic (highly connected) structure can cope with more uncertainties. The reason for that is that highly connected networks are more independent from individuals and are less sensitive to information overload or saturation than more limited networks. On the contrary, Wang (2003) found that firms tend to maintain a more rigid structure with higher levels of centralisation and formalisation when facing greater information requirements, which can result in better performance. We hold the view that in the SCF context, an appropriate organisation structure design of SCF providers would affect the SCF information processing capacity. Specifically, an organic </w:t>
      </w:r>
      <w:r w:rsidR="008A6CA6" w:rsidRPr="00A80A0C">
        <w:rPr>
          <w:color w:val="000000" w:themeColor="text1"/>
          <w:sz w:val="24"/>
          <w:szCs w:val="24"/>
        </w:rPr>
        <w:t xml:space="preserve">or connected </w:t>
      </w:r>
      <w:r w:rsidRPr="00A80A0C">
        <w:rPr>
          <w:color w:val="000000" w:themeColor="text1"/>
          <w:sz w:val="24"/>
          <w:szCs w:val="24"/>
        </w:rPr>
        <w:t>structure that is characterised by a more decentralised and less formal structure give less attention to rules and regulations, and emphasize greater peer involvement in decision making, so that it</w:t>
      </w:r>
      <w:r w:rsidRPr="00A80A0C">
        <w:rPr>
          <w:rFonts w:hint="eastAsia"/>
          <w:color w:val="000000" w:themeColor="text1"/>
          <w:sz w:val="24"/>
          <w:szCs w:val="24"/>
        </w:rPr>
        <w:t xml:space="preserve"> </w:t>
      </w:r>
      <w:r w:rsidRPr="00A80A0C">
        <w:rPr>
          <w:color w:val="000000" w:themeColor="text1"/>
          <w:sz w:val="24"/>
          <w:szCs w:val="24"/>
        </w:rPr>
        <w:t>tends to promote information processing capacity (</w:t>
      </w:r>
      <w:proofErr w:type="spellStart"/>
      <w:r w:rsidRPr="00A80A0C">
        <w:rPr>
          <w:color w:val="000000" w:themeColor="text1"/>
          <w:sz w:val="24"/>
          <w:szCs w:val="24"/>
        </w:rPr>
        <w:t>Tushman</w:t>
      </w:r>
      <w:proofErr w:type="spellEnd"/>
      <w:r w:rsidRPr="00A80A0C">
        <w:rPr>
          <w:color w:val="000000" w:themeColor="text1"/>
          <w:sz w:val="24"/>
          <w:szCs w:val="24"/>
        </w:rPr>
        <w:t xml:space="preserve"> and Nadler, 197</w:t>
      </w:r>
      <w:r w:rsidR="00555221" w:rsidRPr="00A80A0C">
        <w:rPr>
          <w:color w:val="000000" w:themeColor="text1"/>
          <w:sz w:val="24"/>
          <w:szCs w:val="24"/>
        </w:rPr>
        <w:t>8</w:t>
      </w:r>
      <w:r w:rsidRPr="00A80A0C">
        <w:rPr>
          <w:color w:val="000000" w:themeColor="text1"/>
          <w:sz w:val="24"/>
          <w:szCs w:val="24"/>
        </w:rPr>
        <w:t>).</w:t>
      </w:r>
    </w:p>
    <w:p w14:paraId="3D06BC49" w14:textId="72738077"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Second, coordination and control mechanisms concentrate on linking together or coordinating activities of interdependent subunits (</w:t>
      </w:r>
      <w:proofErr w:type="spellStart"/>
      <w:r w:rsidRPr="00A80A0C">
        <w:rPr>
          <w:color w:val="000000" w:themeColor="text1"/>
          <w:sz w:val="24"/>
          <w:szCs w:val="24"/>
        </w:rPr>
        <w:t>Tushman</w:t>
      </w:r>
      <w:proofErr w:type="spellEnd"/>
      <w:r w:rsidRPr="00A80A0C">
        <w:rPr>
          <w:color w:val="000000" w:themeColor="text1"/>
          <w:sz w:val="24"/>
          <w:szCs w:val="24"/>
        </w:rPr>
        <w:t xml:space="preserve"> and Nadler, 197</w:t>
      </w:r>
      <w:r w:rsidR="00555221" w:rsidRPr="00A80A0C">
        <w:rPr>
          <w:color w:val="000000" w:themeColor="text1"/>
          <w:sz w:val="24"/>
          <w:szCs w:val="24"/>
        </w:rPr>
        <w:t>8</w:t>
      </w:r>
      <w:r w:rsidRPr="00A80A0C">
        <w:rPr>
          <w:color w:val="000000" w:themeColor="text1"/>
          <w:sz w:val="24"/>
          <w:szCs w:val="24"/>
        </w:rPr>
        <w:t>), including rules and procedures, planning and control systems, and specific coordinating units such as product teams or task forces (</w:t>
      </w:r>
      <w:proofErr w:type="spellStart"/>
      <w:r w:rsidRPr="00A80A0C">
        <w:rPr>
          <w:color w:val="000000" w:themeColor="text1"/>
          <w:sz w:val="24"/>
          <w:szCs w:val="24"/>
        </w:rPr>
        <w:t>Tushman</w:t>
      </w:r>
      <w:proofErr w:type="spellEnd"/>
      <w:r w:rsidRPr="00A80A0C">
        <w:rPr>
          <w:color w:val="000000" w:themeColor="text1"/>
          <w:sz w:val="24"/>
          <w:szCs w:val="24"/>
        </w:rPr>
        <w:t xml:space="preserve"> and Nadler, 197</w:t>
      </w:r>
      <w:r w:rsidR="00555221" w:rsidRPr="00A80A0C">
        <w:rPr>
          <w:color w:val="000000" w:themeColor="text1"/>
          <w:sz w:val="24"/>
          <w:szCs w:val="24"/>
        </w:rPr>
        <w:t>8</w:t>
      </w:r>
      <w:r w:rsidRPr="00A80A0C">
        <w:rPr>
          <w:color w:val="000000" w:themeColor="text1"/>
          <w:sz w:val="24"/>
          <w:szCs w:val="24"/>
        </w:rPr>
        <w:t xml:space="preserve">). To deal with information processing requirements, SCF providers should coordinate different internal SCF business units’ activities in financial business processes (Blackman et al., 2013; </w:t>
      </w:r>
      <w:proofErr w:type="spellStart"/>
      <w:r w:rsidRPr="00A80A0C">
        <w:rPr>
          <w:color w:val="000000" w:themeColor="text1"/>
          <w:sz w:val="24"/>
          <w:szCs w:val="24"/>
        </w:rPr>
        <w:t>Dyckman</w:t>
      </w:r>
      <w:proofErr w:type="spellEnd"/>
      <w:r w:rsidRPr="00A80A0C">
        <w:rPr>
          <w:color w:val="000000" w:themeColor="text1"/>
          <w:sz w:val="24"/>
          <w:szCs w:val="24"/>
        </w:rPr>
        <w:t xml:space="preserve">, 2011). Mechanisms for coordinating activities can effectively reduce credit risk, which is an important strategy used in SCF practices (Chen et al., 2016; Swamy et al., 2016). In general, more complex, elaborate, and comprehensive coordination and control mechanisms tend to promote greater information </w:t>
      </w:r>
      <w:r w:rsidRPr="00A80A0C">
        <w:rPr>
          <w:color w:val="000000" w:themeColor="text1"/>
          <w:sz w:val="24"/>
          <w:szCs w:val="24"/>
        </w:rPr>
        <w:lastRenderedPageBreak/>
        <w:t>processing capacity (</w:t>
      </w:r>
      <w:proofErr w:type="spellStart"/>
      <w:r w:rsidRPr="00A80A0C">
        <w:rPr>
          <w:color w:val="000000" w:themeColor="text1"/>
          <w:sz w:val="24"/>
          <w:szCs w:val="24"/>
        </w:rPr>
        <w:t>Tushman</w:t>
      </w:r>
      <w:proofErr w:type="spellEnd"/>
      <w:r w:rsidRPr="00A80A0C">
        <w:rPr>
          <w:color w:val="000000" w:themeColor="text1"/>
          <w:sz w:val="24"/>
          <w:szCs w:val="24"/>
        </w:rPr>
        <w:t xml:space="preserve"> and Nadler, 197</w:t>
      </w:r>
      <w:r w:rsidR="00555221" w:rsidRPr="00A80A0C">
        <w:rPr>
          <w:color w:val="000000" w:themeColor="text1"/>
          <w:sz w:val="24"/>
          <w:szCs w:val="24"/>
        </w:rPr>
        <w:t>8</w:t>
      </w:r>
      <w:r w:rsidRPr="00A80A0C">
        <w:rPr>
          <w:color w:val="000000" w:themeColor="text1"/>
          <w:sz w:val="24"/>
          <w:szCs w:val="24"/>
        </w:rPr>
        <w:t xml:space="preserve">). </w:t>
      </w:r>
    </w:p>
    <w:p w14:paraId="60DD597A" w14:textId="47E16E2A" w:rsidR="00FD2BED" w:rsidRPr="00A80A0C" w:rsidRDefault="00FD2BED" w:rsidP="00FD2BED">
      <w:pPr>
        <w:spacing w:line="360" w:lineRule="auto"/>
        <w:ind w:firstLineChars="177" w:firstLine="425"/>
        <w:rPr>
          <w:color w:val="000000" w:themeColor="text1"/>
          <w:sz w:val="24"/>
          <w:szCs w:val="24"/>
        </w:rPr>
      </w:pPr>
      <w:r w:rsidRPr="00A80A0C">
        <w:rPr>
          <w:color w:val="000000" w:themeColor="text1"/>
          <w:sz w:val="24"/>
          <w:szCs w:val="24"/>
        </w:rPr>
        <w:t>Third, information processing capacity is also derived from information technology mechanisms. To meet the information processing requirement</w:t>
      </w:r>
      <w:r w:rsidR="00036B33" w:rsidRPr="00A80A0C">
        <w:rPr>
          <w:color w:val="000000" w:themeColor="text1"/>
          <w:sz w:val="24"/>
          <w:szCs w:val="24"/>
        </w:rPr>
        <w:t>s</w:t>
      </w:r>
      <w:r w:rsidRPr="00A80A0C">
        <w:rPr>
          <w:color w:val="000000" w:themeColor="text1"/>
          <w:sz w:val="24"/>
          <w:szCs w:val="24"/>
        </w:rPr>
        <w:t>, SCF providers should have a higher level of information technology mechanism, which is determined by the scope and intensity of IT use (</w:t>
      </w:r>
      <w:proofErr w:type="spellStart"/>
      <w:r w:rsidRPr="00A80A0C">
        <w:rPr>
          <w:color w:val="000000" w:themeColor="text1"/>
          <w:sz w:val="24"/>
          <w:szCs w:val="24"/>
        </w:rPr>
        <w:t>Bensaou</w:t>
      </w:r>
      <w:proofErr w:type="spellEnd"/>
      <w:r w:rsidRPr="00A80A0C">
        <w:rPr>
          <w:color w:val="000000" w:themeColor="text1"/>
          <w:sz w:val="24"/>
          <w:szCs w:val="24"/>
        </w:rPr>
        <w:t xml:space="preserve"> &amp; Venkatraman, 1995). The scope of IT use means whether data are exchanged in electronic form among organization in the process of planning, purchasing, production, transportation and payment (</w:t>
      </w:r>
      <w:proofErr w:type="spellStart"/>
      <w:r w:rsidRPr="00A80A0C">
        <w:rPr>
          <w:color w:val="000000" w:themeColor="text1"/>
          <w:sz w:val="24"/>
          <w:szCs w:val="24"/>
        </w:rPr>
        <w:t>Bensaou</w:t>
      </w:r>
      <w:proofErr w:type="spellEnd"/>
      <w:r w:rsidRPr="00A80A0C">
        <w:rPr>
          <w:color w:val="000000" w:themeColor="text1"/>
          <w:sz w:val="24"/>
          <w:szCs w:val="24"/>
        </w:rPr>
        <w:t xml:space="preserve"> &amp; Venkatraman, 1995). In the SCF context, the greater scope of IT adoption contributes to SCF providers’ business efficiency improvement and administration cost reduction (Hofmann et al., 2017). As for intensity </w:t>
      </w:r>
      <w:r w:rsidR="007C3776" w:rsidRPr="00A80A0C">
        <w:rPr>
          <w:color w:val="000000" w:themeColor="text1"/>
          <w:sz w:val="24"/>
          <w:szCs w:val="24"/>
        </w:rPr>
        <w:t xml:space="preserve">for the </w:t>
      </w:r>
      <w:r w:rsidRPr="00A80A0C">
        <w:rPr>
          <w:color w:val="000000" w:themeColor="text1"/>
          <w:sz w:val="24"/>
          <w:szCs w:val="24"/>
        </w:rPr>
        <w:t>use of IT, it refers to whether a specific document (i.e.</w:t>
      </w:r>
      <w:r w:rsidR="007C3776" w:rsidRPr="00A80A0C">
        <w:rPr>
          <w:color w:val="000000" w:themeColor="text1"/>
          <w:sz w:val="24"/>
          <w:szCs w:val="24"/>
        </w:rPr>
        <w:t>,</w:t>
      </w:r>
      <w:r w:rsidRPr="00A80A0C">
        <w:rPr>
          <w:color w:val="000000" w:themeColor="text1"/>
          <w:sz w:val="24"/>
          <w:szCs w:val="24"/>
        </w:rPr>
        <w:t xml:space="preserve"> material r</w:t>
      </w:r>
      <w:r w:rsidR="007C3776" w:rsidRPr="00A80A0C">
        <w:rPr>
          <w:color w:val="000000" w:themeColor="text1"/>
          <w:sz w:val="24"/>
          <w:szCs w:val="24"/>
        </w:rPr>
        <w:t>elease and shipment schedule) i</w:t>
      </w:r>
      <w:r w:rsidRPr="00A80A0C">
        <w:rPr>
          <w:color w:val="000000" w:themeColor="text1"/>
          <w:sz w:val="24"/>
          <w:szCs w:val="24"/>
        </w:rPr>
        <w:t>s exchanged in electronic form among firms (</w:t>
      </w:r>
      <w:proofErr w:type="spellStart"/>
      <w:r w:rsidRPr="00A80A0C">
        <w:rPr>
          <w:color w:val="000000" w:themeColor="text1"/>
          <w:sz w:val="24"/>
          <w:szCs w:val="24"/>
        </w:rPr>
        <w:t>Bensaou</w:t>
      </w:r>
      <w:proofErr w:type="spellEnd"/>
      <w:r w:rsidRPr="00A80A0C">
        <w:rPr>
          <w:color w:val="000000" w:themeColor="text1"/>
          <w:sz w:val="24"/>
          <w:szCs w:val="24"/>
        </w:rPr>
        <w:t xml:space="preserve"> &amp; Venkatraman, 1995). SCF providers can benefit from greater intensity of IT use</w:t>
      </w:r>
      <w:r w:rsidR="00C14624" w:rsidRPr="00A80A0C">
        <w:rPr>
          <w:color w:val="000000" w:themeColor="text1"/>
          <w:sz w:val="24"/>
          <w:szCs w:val="24"/>
        </w:rPr>
        <w:t xml:space="preserve"> to</w:t>
      </w:r>
      <w:r w:rsidRPr="00A80A0C">
        <w:rPr>
          <w:color w:val="000000" w:themeColor="text1"/>
          <w:sz w:val="24"/>
          <w:szCs w:val="24"/>
        </w:rPr>
        <w:t xml:space="preserve"> promot</w:t>
      </w:r>
      <w:r w:rsidR="00C14624" w:rsidRPr="00A80A0C">
        <w:rPr>
          <w:color w:val="000000" w:themeColor="text1"/>
          <w:sz w:val="24"/>
          <w:szCs w:val="24"/>
        </w:rPr>
        <w:t xml:space="preserve">e </w:t>
      </w:r>
      <w:r w:rsidRPr="00A80A0C">
        <w:rPr>
          <w:color w:val="000000" w:themeColor="text1"/>
          <w:sz w:val="24"/>
          <w:szCs w:val="24"/>
        </w:rPr>
        <w:t xml:space="preserve">the information sharing among </w:t>
      </w:r>
      <w:r w:rsidR="008C48AA" w:rsidRPr="00A80A0C">
        <w:rPr>
          <w:color w:val="000000" w:themeColor="text1"/>
          <w:sz w:val="24"/>
          <w:szCs w:val="24"/>
        </w:rPr>
        <w:t xml:space="preserve">SCF </w:t>
      </w:r>
      <w:r w:rsidRPr="00A80A0C">
        <w:rPr>
          <w:color w:val="000000" w:themeColor="text1"/>
          <w:sz w:val="24"/>
          <w:szCs w:val="24"/>
        </w:rPr>
        <w:t>participants</w:t>
      </w:r>
      <w:r w:rsidR="009B4552" w:rsidRPr="00A80A0C">
        <w:rPr>
          <w:color w:val="000000" w:themeColor="text1"/>
          <w:sz w:val="24"/>
          <w:szCs w:val="24"/>
        </w:rPr>
        <w:t xml:space="preserve">, thus </w:t>
      </w:r>
      <w:r w:rsidRPr="00A80A0C">
        <w:rPr>
          <w:color w:val="000000" w:themeColor="text1"/>
          <w:sz w:val="24"/>
          <w:szCs w:val="24"/>
        </w:rPr>
        <w:t>reduc</w:t>
      </w:r>
      <w:r w:rsidR="008C48AA" w:rsidRPr="00A80A0C">
        <w:rPr>
          <w:color w:val="000000" w:themeColor="text1"/>
          <w:sz w:val="24"/>
          <w:szCs w:val="24"/>
        </w:rPr>
        <w:t>ing</w:t>
      </w:r>
      <w:r w:rsidR="00C14624" w:rsidRPr="00A80A0C">
        <w:rPr>
          <w:color w:val="000000" w:themeColor="text1"/>
          <w:sz w:val="24"/>
          <w:szCs w:val="24"/>
        </w:rPr>
        <w:t xml:space="preserve"> </w:t>
      </w:r>
      <w:r w:rsidRPr="00A80A0C">
        <w:rPr>
          <w:color w:val="000000" w:themeColor="text1"/>
          <w:sz w:val="24"/>
          <w:szCs w:val="24"/>
        </w:rPr>
        <w:t>the information asymmetry among participants (Hofmann et al., 2017). As a result, information processing capability will increase with advanced information technology mechanism generated from greater intensity and scope of IT use (</w:t>
      </w:r>
      <w:proofErr w:type="spellStart"/>
      <w:r w:rsidRPr="00A80A0C">
        <w:rPr>
          <w:color w:val="000000" w:themeColor="text1"/>
          <w:sz w:val="24"/>
          <w:szCs w:val="24"/>
        </w:rPr>
        <w:t>Bensaou</w:t>
      </w:r>
      <w:proofErr w:type="spellEnd"/>
      <w:r w:rsidRPr="00A80A0C">
        <w:rPr>
          <w:color w:val="000000" w:themeColor="text1"/>
          <w:sz w:val="24"/>
          <w:szCs w:val="24"/>
        </w:rPr>
        <w:t xml:space="preserve"> &amp; Venkatraman, 1995).</w:t>
      </w:r>
    </w:p>
    <w:p w14:paraId="175659B2" w14:textId="3588EC48" w:rsidR="00871C0F" w:rsidRPr="00A80A0C" w:rsidRDefault="00871C0F" w:rsidP="00FD2BED">
      <w:pPr>
        <w:spacing w:line="360" w:lineRule="auto"/>
        <w:ind w:firstLineChars="177" w:firstLine="425"/>
        <w:rPr>
          <w:color w:val="000000" w:themeColor="text1"/>
          <w:sz w:val="24"/>
          <w:szCs w:val="24"/>
        </w:rPr>
      </w:pPr>
      <w:r w:rsidRPr="00A80A0C">
        <w:rPr>
          <w:color w:val="000000" w:themeColor="text1"/>
          <w:sz w:val="24"/>
          <w:szCs w:val="24"/>
        </w:rPr>
        <w:t>Therefore, based on the previous discussion, we derive the following proposition:</w:t>
      </w:r>
    </w:p>
    <w:p w14:paraId="66BBB7FC" w14:textId="1B5A958E" w:rsidR="00D8799C" w:rsidRPr="00A80A0C" w:rsidRDefault="00871C0F" w:rsidP="00FD2BED">
      <w:pPr>
        <w:spacing w:line="360" w:lineRule="auto"/>
        <w:rPr>
          <w:i/>
          <w:color w:val="000000" w:themeColor="text1"/>
          <w:sz w:val="24"/>
          <w:szCs w:val="24"/>
        </w:rPr>
      </w:pPr>
      <w:r w:rsidRPr="00A80A0C">
        <w:rPr>
          <w:b/>
          <w:i/>
          <w:color w:val="000000" w:themeColor="text1"/>
          <w:sz w:val="24"/>
          <w:szCs w:val="24"/>
        </w:rPr>
        <w:t>P2:</w:t>
      </w:r>
      <w:r w:rsidR="00D8799C" w:rsidRPr="00A80A0C">
        <w:rPr>
          <w:i/>
          <w:color w:val="000000" w:themeColor="text1"/>
          <w:sz w:val="24"/>
          <w:szCs w:val="24"/>
        </w:rPr>
        <w:t xml:space="preserve"> </w:t>
      </w:r>
      <w:r w:rsidR="003F3F61" w:rsidRPr="00A80A0C">
        <w:rPr>
          <w:i/>
          <w:color w:val="000000" w:themeColor="text1"/>
          <w:sz w:val="24"/>
          <w:szCs w:val="24"/>
        </w:rPr>
        <w:t>In general, t</w:t>
      </w:r>
      <w:r w:rsidR="00D8799C" w:rsidRPr="00A80A0C">
        <w:rPr>
          <w:i/>
          <w:color w:val="000000" w:themeColor="text1"/>
          <w:sz w:val="24"/>
          <w:szCs w:val="24"/>
        </w:rPr>
        <w:t xml:space="preserve">he more highly connected </w:t>
      </w:r>
      <w:r w:rsidR="007C3776" w:rsidRPr="00A80A0C">
        <w:rPr>
          <w:i/>
          <w:color w:val="000000" w:themeColor="text1"/>
          <w:sz w:val="24"/>
          <w:szCs w:val="24"/>
        </w:rPr>
        <w:t xml:space="preserve">the </w:t>
      </w:r>
      <w:r w:rsidR="00D8799C" w:rsidRPr="00A80A0C">
        <w:rPr>
          <w:i/>
          <w:color w:val="000000" w:themeColor="text1"/>
          <w:sz w:val="24"/>
          <w:szCs w:val="24"/>
        </w:rPr>
        <w:t xml:space="preserve">structure, </w:t>
      </w:r>
      <w:r w:rsidR="007C3776" w:rsidRPr="00A80A0C">
        <w:rPr>
          <w:i/>
          <w:color w:val="000000" w:themeColor="text1"/>
          <w:sz w:val="24"/>
          <w:szCs w:val="24"/>
        </w:rPr>
        <w:t xml:space="preserve">the </w:t>
      </w:r>
      <w:r w:rsidR="00D8799C" w:rsidRPr="00A80A0C">
        <w:rPr>
          <w:i/>
          <w:color w:val="000000" w:themeColor="text1"/>
          <w:sz w:val="24"/>
          <w:szCs w:val="24"/>
        </w:rPr>
        <w:t xml:space="preserve">more comprehensive </w:t>
      </w:r>
      <w:r w:rsidR="007C3776" w:rsidRPr="00A80A0C">
        <w:rPr>
          <w:i/>
          <w:color w:val="000000" w:themeColor="text1"/>
          <w:sz w:val="24"/>
          <w:szCs w:val="24"/>
        </w:rPr>
        <w:t xml:space="preserve">the </w:t>
      </w:r>
      <w:r w:rsidR="00D8799C" w:rsidRPr="00A80A0C">
        <w:rPr>
          <w:i/>
          <w:color w:val="000000" w:themeColor="text1"/>
          <w:sz w:val="24"/>
          <w:szCs w:val="24"/>
        </w:rPr>
        <w:t>coordination and control mechanisms</w:t>
      </w:r>
      <w:r w:rsidR="003F3F61" w:rsidRPr="00A80A0C">
        <w:rPr>
          <w:i/>
          <w:color w:val="000000" w:themeColor="text1"/>
          <w:sz w:val="24"/>
          <w:szCs w:val="24"/>
        </w:rPr>
        <w:t>,</w:t>
      </w:r>
      <w:r w:rsidR="00D8799C" w:rsidRPr="00A80A0C">
        <w:rPr>
          <w:i/>
          <w:color w:val="000000" w:themeColor="text1"/>
          <w:sz w:val="24"/>
          <w:szCs w:val="24"/>
        </w:rPr>
        <w:t xml:space="preserve"> as well as </w:t>
      </w:r>
      <w:r w:rsidR="007C3776" w:rsidRPr="00A80A0C">
        <w:rPr>
          <w:i/>
          <w:color w:val="000000" w:themeColor="text1"/>
          <w:sz w:val="24"/>
          <w:szCs w:val="24"/>
        </w:rPr>
        <w:t xml:space="preserve">the </w:t>
      </w:r>
      <w:r w:rsidR="00D8799C" w:rsidRPr="00A80A0C">
        <w:rPr>
          <w:i/>
          <w:color w:val="000000" w:themeColor="text1"/>
          <w:sz w:val="24"/>
          <w:szCs w:val="24"/>
        </w:rPr>
        <w:t xml:space="preserve">greater </w:t>
      </w:r>
      <w:r w:rsidR="007C3776" w:rsidRPr="00A80A0C">
        <w:rPr>
          <w:i/>
          <w:color w:val="000000" w:themeColor="text1"/>
          <w:sz w:val="24"/>
          <w:szCs w:val="24"/>
        </w:rPr>
        <w:t xml:space="preserve">the </w:t>
      </w:r>
      <w:r w:rsidR="00D8799C" w:rsidRPr="00A80A0C">
        <w:rPr>
          <w:i/>
          <w:color w:val="000000" w:themeColor="text1"/>
          <w:sz w:val="24"/>
          <w:szCs w:val="24"/>
        </w:rPr>
        <w:t>intensity and scope in the use of information technologies</w:t>
      </w:r>
      <w:r w:rsidR="003F3F61" w:rsidRPr="00A80A0C">
        <w:rPr>
          <w:i/>
          <w:color w:val="000000" w:themeColor="text1"/>
          <w:sz w:val="24"/>
          <w:szCs w:val="24"/>
        </w:rPr>
        <w:t xml:space="preserve">, </w:t>
      </w:r>
      <w:r w:rsidR="007C3776" w:rsidRPr="00A80A0C">
        <w:rPr>
          <w:i/>
          <w:color w:val="000000" w:themeColor="text1"/>
          <w:sz w:val="24"/>
          <w:szCs w:val="24"/>
        </w:rPr>
        <w:t>the greater the</w:t>
      </w:r>
      <w:r w:rsidR="00FA40D4" w:rsidRPr="00A80A0C">
        <w:rPr>
          <w:i/>
          <w:color w:val="000000" w:themeColor="text1"/>
          <w:sz w:val="24"/>
          <w:szCs w:val="24"/>
        </w:rPr>
        <w:t xml:space="preserve"> </w:t>
      </w:r>
      <w:r w:rsidR="00D8799C" w:rsidRPr="00A80A0C">
        <w:rPr>
          <w:i/>
          <w:color w:val="000000" w:themeColor="text1"/>
          <w:sz w:val="24"/>
          <w:szCs w:val="24"/>
        </w:rPr>
        <w:t>SCF providers’ information processing capacity</w:t>
      </w:r>
      <w:r w:rsidR="007C3776" w:rsidRPr="00A80A0C">
        <w:rPr>
          <w:i/>
          <w:color w:val="000000" w:themeColor="text1"/>
          <w:sz w:val="24"/>
          <w:szCs w:val="24"/>
        </w:rPr>
        <w:t xml:space="preserve"> is</w:t>
      </w:r>
      <w:r w:rsidR="00D8799C" w:rsidRPr="00A80A0C">
        <w:rPr>
          <w:i/>
          <w:color w:val="000000" w:themeColor="text1"/>
          <w:sz w:val="24"/>
          <w:szCs w:val="24"/>
        </w:rPr>
        <w:t>.</w:t>
      </w:r>
    </w:p>
    <w:p w14:paraId="4A8E32D6" w14:textId="77777777" w:rsidR="00FA40D4" w:rsidRPr="00A80A0C" w:rsidRDefault="00FA40D4" w:rsidP="00D8799C">
      <w:pPr>
        <w:spacing w:line="360" w:lineRule="auto"/>
        <w:rPr>
          <w:i/>
          <w:color w:val="000000" w:themeColor="text1"/>
          <w:sz w:val="24"/>
          <w:szCs w:val="24"/>
        </w:rPr>
      </w:pPr>
    </w:p>
    <w:p w14:paraId="4C4111FC" w14:textId="77777777" w:rsidR="00871C0F" w:rsidRPr="00A80A0C" w:rsidRDefault="00871C0F" w:rsidP="00FC7D81">
      <w:pPr>
        <w:pStyle w:val="Heading2"/>
        <w:spacing w:beforeLines="50" w:before="156" w:afterLines="50" w:after="156" w:line="360" w:lineRule="auto"/>
        <w:rPr>
          <w:color w:val="000000" w:themeColor="text1"/>
          <w:szCs w:val="24"/>
        </w:rPr>
      </w:pPr>
      <w:r w:rsidRPr="00A80A0C">
        <w:rPr>
          <w:color w:val="000000" w:themeColor="text1"/>
          <w:szCs w:val="24"/>
        </w:rPr>
        <w:t>4.3</w:t>
      </w:r>
      <w:r w:rsidR="009271EC" w:rsidRPr="00A80A0C">
        <w:rPr>
          <w:color w:val="000000" w:themeColor="text1"/>
          <w:szCs w:val="24"/>
        </w:rPr>
        <w:t>.</w:t>
      </w:r>
      <w:r w:rsidRPr="00A80A0C">
        <w:rPr>
          <w:color w:val="000000" w:themeColor="text1"/>
          <w:szCs w:val="24"/>
        </w:rPr>
        <w:t xml:space="preserve"> The relationship between “fit” and SCF capabilities</w:t>
      </w:r>
    </w:p>
    <w:p w14:paraId="775BCD01" w14:textId="735A4CF3" w:rsidR="00DD3D6B" w:rsidRPr="00A80A0C" w:rsidRDefault="00871C0F" w:rsidP="00DD3D6B">
      <w:pPr>
        <w:spacing w:line="360" w:lineRule="auto"/>
        <w:rPr>
          <w:color w:val="000000" w:themeColor="text1"/>
          <w:sz w:val="24"/>
          <w:szCs w:val="24"/>
        </w:rPr>
      </w:pPr>
      <w:r w:rsidRPr="00A80A0C">
        <w:rPr>
          <w:color w:val="000000" w:themeColor="text1"/>
          <w:sz w:val="24"/>
          <w:szCs w:val="24"/>
        </w:rPr>
        <w:t xml:space="preserve">According to the IPT, information processing capacity should match information processing requirements of the structure to improve effectiveness </w:t>
      </w:r>
      <w:r w:rsidRPr="00A80A0C">
        <w:rPr>
          <w:noProof/>
          <w:color w:val="000000" w:themeColor="text1"/>
          <w:sz w:val="24"/>
          <w:szCs w:val="24"/>
        </w:rPr>
        <w:t>(Trautmann et al., 2009)</w:t>
      </w:r>
      <w:r w:rsidRPr="00A80A0C">
        <w:rPr>
          <w:color w:val="000000" w:themeColor="text1"/>
          <w:sz w:val="24"/>
          <w:szCs w:val="24"/>
        </w:rPr>
        <w:t xml:space="preserve">. </w:t>
      </w:r>
      <w:r w:rsidR="00FC7D81" w:rsidRPr="00A80A0C">
        <w:rPr>
          <w:color w:val="000000" w:themeColor="text1"/>
          <w:sz w:val="24"/>
          <w:szCs w:val="24"/>
        </w:rPr>
        <w:t xml:space="preserve">Previous research has highlighted the importance of fit between these two (e.g., </w:t>
      </w:r>
      <w:proofErr w:type="spellStart"/>
      <w:r w:rsidR="00FC7D81" w:rsidRPr="00A80A0C">
        <w:rPr>
          <w:color w:val="000000" w:themeColor="text1"/>
          <w:sz w:val="24"/>
          <w:szCs w:val="24"/>
        </w:rPr>
        <w:t>Tushman</w:t>
      </w:r>
      <w:proofErr w:type="spellEnd"/>
      <w:r w:rsidR="00FC7D81" w:rsidRPr="00A80A0C">
        <w:rPr>
          <w:color w:val="000000" w:themeColor="text1"/>
          <w:sz w:val="24"/>
          <w:szCs w:val="24"/>
        </w:rPr>
        <w:t xml:space="preserve"> and Nadler, 1978; </w:t>
      </w:r>
      <w:proofErr w:type="spellStart"/>
      <w:r w:rsidR="00FC7D81" w:rsidRPr="00A80A0C">
        <w:rPr>
          <w:color w:val="000000" w:themeColor="text1"/>
          <w:sz w:val="24"/>
          <w:szCs w:val="24"/>
        </w:rPr>
        <w:t>Trautmann</w:t>
      </w:r>
      <w:proofErr w:type="spellEnd"/>
      <w:r w:rsidR="00FC7D81" w:rsidRPr="00A80A0C">
        <w:rPr>
          <w:color w:val="000000" w:themeColor="text1"/>
          <w:sz w:val="24"/>
          <w:szCs w:val="24"/>
        </w:rPr>
        <w:t xml:space="preserve"> et al. 2009; </w:t>
      </w:r>
      <w:proofErr w:type="spellStart"/>
      <w:r w:rsidR="00FC7D81" w:rsidRPr="00A80A0C">
        <w:rPr>
          <w:color w:val="000000" w:themeColor="text1"/>
          <w:sz w:val="24"/>
          <w:szCs w:val="24"/>
        </w:rPr>
        <w:t>Busse</w:t>
      </w:r>
      <w:proofErr w:type="spellEnd"/>
      <w:r w:rsidR="00FC7D81" w:rsidRPr="00A80A0C">
        <w:rPr>
          <w:color w:val="000000" w:themeColor="text1"/>
          <w:sz w:val="24"/>
          <w:szCs w:val="24"/>
        </w:rPr>
        <w:t xml:space="preserve"> et al. 2017). </w:t>
      </w:r>
      <w:r w:rsidRPr="00A80A0C">
        <w:rPr>
          <w:color w:val="000000" w:themeColor="text1"/>
          <w:sz w:val="24"/>
          <w:szCs w:val="24"/>
        </w:rPr>
        <w:t>Mismatch is associated with lower organisational performance. For example, when the information processing capacity is not sufficient to handle requirements</w:t>
      </w:r>
      <w:r w:rsidR="00473A4D" w:rsidRPr="00A80A0C">
        <w:rPr>
          <w:color w:val="000000" w:themeColor="text1"/>
          <w:sz w:val="24"/>
          <w:szCs w:val="24"/>
        </w:rPr>
        <w:t>, it will lead</w:t>
      </w:r>
      <w:r w:rsidRPr="00A80A0C">
        <w:rPr>
          <w:color w:val="000000" w:themeColor="text1"/>
          <w:sz w:val="24"/>
          <w:szCs w:val="24"/>
        </w:rPr>
        <w:t xml:space="preserve"> to </w:t>
      </w:r>
      <w:r w:rsidR="00473A4D" w:rsidRPr="00A80A0C">
        <w:rPr>
          <w:color w:val="000000" w:themeColor="text1"/>
          <w:sz w:val="24"/>
          <w:szCs w:val="24"/>
        </w:rPr>
        <w:t>integration and coordination</w:t>
      </w:r>
      <w:r w:rsidR="00F124AC" w:rsidRPr="00A80A0C">
        <w:rPr>
          <w:color w:val="000000" w:themeColor="text1"/>
          <w:sz w:val="24"/>
          <w:szCs w:val="24"/>
        </w:rPr>
        <w:t xml:space="preserve"> </w:t>
      </w:r>
      <w:r w:rsidR="00947ABA" w:rsidRPr="00A80A0C">
        <w:rPr>
          <w:color w:val="000000" w:themeColor="text1"/>
          <w:sz w:val="24"/>
          <w:szCs w:val="24"/>
        </w:rPr>
        <w:t>difficulties</w:t>
      </w:r>
      <w:r w:rsidR="00473A4D" w:rsidRPr="00A80A0C">
        <w:rPr>
          <w:color w:val="000000" w:themeColor="text1"/>
          <w:sz w:val="24"/>
          <w:szCs w:val="24"/>
        </w:rPr>
        <w:t>, ma</w:t>
      </w:r>
      <w:r w:rsidR="00850E80" w:rsidRPr="00A80A0C">
        <w:rPr>
          <w:color w:val="000000" w:themeColor="text1"/>
          <w:sz w:val="24"/>
          <w:szCs w:val="24"/>
        </w:rPr>
        <w:t xml:space="preserve">ke the decision </w:t>
      </w:r>
      <w:r w:rsidR="00473A4D" w:rsidRPr="00A80A0C">
        <w:rPr>
          <w:color w:val="000000" w:themeColor="text1"/>
          <w:sz w:val="24"/>
          <w:szCs w:val="24"/>
        </w:rPr>
        <w:t>making</w:t>
      </w:r>
      <w:r w:rsidR="00952BFB" w:rsidRPr="00A80A0C">
        <w:rPr>
          <w:color w:val="000000" w:themeColor="text1"/>
          <w:sz w:val="24"/>
          <w:szCs w:val="24"/>
        </w:rPr>
        <w:t xml:space="preserve"> suboptimal</w:t>
      </w:r>
      <w:r w:rsidR="00473A4D" w:rsidRPr="00A80A0C">
        <w:rPr>
          <w:color w:val="000000" w:themeColor="text1"/>
          <w:sz w:val="24"/>
          <w:szCs w:val="24"/>
        </w:rPr>
        <w:t>, and accentuate the firm’s organizational inefficiencies</w:t>
      </w:r>
      <w:r w:rsidR="00473A4D" w:rsidRPr="00A80A0C">
        <w:rPr>
          <w:rFonts w:hint="eastAsia"/>
          <w:color w:val="000000" w:themeColor="text1"/>
          <w:sz w:val="24"/>
          <w:szCs w:val="24"/>
        </w:rPr>
        <w:t xml:space="preserve"> </w:t>
      </w:r>
      <w:r w:rsidRPr="00A80A0C">
        <w:rPr>
          <w:color w:val="000000" w:themeColor="text1"/>
          <w:sz w:val="24"/>
          <w:szCs w:val="24"/>
        </w:rPr>
        <w:lastRenderedPageBreak/>
        <w:t>(</w:t>
      </w:r>
      <w:proofErr w:type="spellStart"/>
      <w:r w:rsidRPr="00A80A0C">
        <w:rPr>
          <w:color w:val="000000" w:themeColor="text1"/>
          <w:sz w:val="24"/>
          <w:szCs w:val="24"/>
        </w:rPr>
        <w:t>Tushman</w:t>
      </w:r>
      <w:proofErr w:type="spellEnd"/>
      <w:r w:rsidRPr="00A80A0C">
        <w:rPr>
          <w:color w:val="000000" w:themeColor="text1"/>
          <w:sz w:val="24"/>
          <w:szCs w:val="24"/>
        </w:rPr>
        <w:t xml:space="preserve"> and Nadler, 1978</w:t>
      </w:r>
      <w:r w:rsidR="000471DF" w:rsidRPr="00A80A0C">
        <w:rPr>
          <w:color w:val="000000" w:themeColor="text1"/>
          <w:sz w:val="24"/>
          <w:szCs w:val="24"/>
        </w:rPr>
        <w:t>; Bergh 1998</w:t>
      </w:r>
      <w:r w:rsidR="003D4C81" w:rsidRPr="00A80A0C">
        <w:rPr>
          <w:color w:val="000000" w:themeColor="text1"/>
          <w:sz w:val="24"/>
          <w:szCs w:val="24"/>
        </w:rPr>
        <w:t xml:space="preserve">). Furthermore, the low information </w:t>
      </w:r>
      <w:r w:rsidRPr="00A80A0C">
        <w:rPr>
          <w:color w:val="000000" w:themeColor="text1"/>
          <w:sz w:val="24"/>
          <w:szCs w:val="24"/>
        </w:rPr>
        <w:t>processing capacity hurts the capability to share a financial information system with SC partners.</w:t>
      </w:r>
      <w:r w:rsidR="00D83690" w:rsidRPr="00A80A0C">
        <w:rPr>
          <w:color w:val="000000" w:themeColor="text1"/>
          <w:sz w:val="24"/>
          <w:szCs w:val="24"/>
        </w:rPr>
        <w:t xml:space="preserve"> </w:t>
      </w:r>
      <w:r w:rsidR="00B676D5" w:rsidRPr="00A80A0C">
        <w:rPr>
          <w:color w:val="000000" w:themeColor="text1"/>
          <w:sz w:val="24"/>
          <w:szCs w:val="24"/>
        </w:rPr>
        <w:t xml:space="preserve">If left unaddressed, the need for information processing would reach a point </w:t>
      </w:r>
      <w:r w:rsidR="009D11F0" w:rsidRPr="00A80A0C">
        <w:rPr>
          <w:color w:val="000000" w:themeColor="text1"/>
          <w:sz w:val="24"/>
          <w:szCs w:val="24"/>
        </w:rPr>
        <w:t>where it</w:t>
      </w:r>
      <w:r w:rsidR="00DD3D6B" w:rsidRPr="00A80A0C">
        <w:rPr>
          <w:color w:val="000000" w:themeColor="text1"/>
          <w:sz w:val="24"/>
          <w:szCs w:val="24"/>
        </w:rPr>
        <w:t xml:space="preserve"> is difficult and costly for management</w:t>
      </w:r>
      <w:r w:rsidR="00EA2681" w:rsidRPr="00A80A0C">
        <w:rPr>
          <w:color w:val="000000" w:themeColor="text1"/>
          <w:sz w:val="24"/>
          <w:szCs w:val="24"/>
        </w:rPr>
        <w:t xml:space="preserve"> (</w:t>
      </w:r>
      <w:proofErr w:type="spellStart"/>
      <w:r w:rsidR="00EA2681" w:rsidRPr="00A80A0C">
        <w:rPr>
          <w:color w:val="000000" w:themeColor="text1"/>
          <w:sz w:val="24"/>
          <w:szCs w:val="24"/>
        </w:rPr>
        <w:t>Premkumar</w:t>
      </w:r>
      <w:proofErr w:type="spellEnd"/>
      <w:r w:rsidR="00EA2681" w:rsidRPr="00A80A0C">
        <w:rPr>
          <w:color w:val="000000" w:themeColor="text1"/>
          <w:sz w:val="24"/>
          <w:szCs w:val="24"/>
        </w:rPr>
        <w:t>, 2000; Wong, 2015)</w:t>
      </w:r>
      <w:r w:rsidR="00DD3D6B" w:rsidRPr="00A80A0C">
        <w:rPr>
          <w:color w:val="000000" w:themeColor="text1"/>
          <w:sz w:val="24"/>
          <w:szCs w:val="24"/>
        </w:rPr>
        <w:t xml:space="preserve">. Under such a circumstance, </w:t>
      </w:r>
      <w:r w:rsidR="00432E85" w:rsidRPr="00A80A0C">
        <w:rPr>
          <w:color w:val="000000" w:themeColor="text1"/>
          <w:sz w:val="24"/>
          <w:szCs w:val="24"/>
        </w:rPr>
        <w:t xml:space="preserve">Galbraith (1977) present </w:t>
      </w:r>
      <w:r w:rsidR="009D11F0" w:rsidRPr="00A80A0C">
        <w:rPr>
          <w:color w:val="000000" w:themeColor="text1"/>
          <w:sz w:val="24"/>
          <w:szCs w:val="24"/>
        </w:rPr>
        <w:t>two broad solutions</w:t>
      </w:r>
      <w:r w:rsidR="004E28F8" w:rsidRPr="00A80A0C">
        <w:rPr>
          <w:color w:val="000000" w:themeColor="text1"/>
          <w:sz w:val="24"/>
          <w:szCs w:val="24"/>
        </w:rPr>
        <w:t xml:space="preserve"> </w:t>
      </w:r>
      <w:r w:rsidR="00960ED7" w:rsidRPr="00A80A0C">
        <w:rPr>
          <w:color w:val="000000" w:themeColor="text1"/>
          <w:sz w:val="24"/>
          <w:szCs w:val="24"/>
        </w:rPr>
        <w:t>to deal with the issue</w:t>
      </w:r>
      <w:r w:rsidR="004E28F8" w:rsidRPr="00A80A0C">
        <w:rPr>
          <w:color w:val="000000" w:themeColor="text1"/>
          <w:sz w:val="24"/>
          <w:szCs w:val="24"/>
        </w:rPr>
        <w:t>. One is to modify the environment in order to reduce the amount of information processing requirements. The other is to increase the capacity of information processing.</w:t>
      </w:r>
      <w:r w:rsidR="004953AB" w:rsidRPr="00A80A0C">
        <w:rPr>
          <w:color w:val="000000" w:themeColor="text1"/>
          <w:sz w:val="24"/>
          <w:szCs w:val="24"/>
        </w:rPr>
        <w:t xml:space="preserve"> For example, </w:t>
      </w:r>
      <w:r w:rsidR="00993E6F" w:rsidRPr="00A80A0C">
        <w:rPr>
          <w:color w:val="000000" w:themeColor="text1"/>
          <w:sz w:val="24"/>
          <w:szCs w:val="24"/>
        </w:rPr>
        <w:t>if</w:t>
      </w:r>
      <w:r w:rsidR="004953AB" w:rsidRPr="00A80A0C">
        <w:rPr>
          <w:color w:val="000000" w:themeColor="text1"/>
          <w:sz w:val="24"/>
          <w:szCs w:val="24"/>
        </w:rPr>
        <w:t xml:space="preserve"> </w:t>
      </w:r>
      <w:r w:rsidR="00E608F5" w:rsidRPr="00A80A0C">
        <w:rPr>
          <w:color w:val="000000" w:themeColor="text1"/>
          <w:sz w:val="24"/>
          <w:szCs w:val="24"/>
        </w:rPr>
        <w:t xml:space="preserve">SCF </w:t>
      </w:r>
      <w:r w:rsidR="004953AB" w:rsidRPr="00A80A0C">
        <w:rPr>
          <w:color w:val="000000" w:themeColor="text1"/>
          <w:sz w:val="24"/>
          <w:szCs w:val="24"/>
        </w:rPr>
        <w:t xml:space="preserve">task environment </w:t>
      </w:r>
      <w:r w:rsidR="00993E6F" w:rsidRPr="00A80A0C">
        <w:rPr>
          <w:color w:val="000000" w:themeColor="text1"/>
          <w:sz w:val="24"/>
          <w:szCs w:val="24"/>
        </w:rPr>
        <w:t xml:space="preserve">uncertainty </w:t>
      </w:r>
      <w:r w:rsidR="00B975FB" w:rsidRPr="00A80A0C">
        <w:rPr>
          <w:color w:val="000000" w:themeColor="text1"/>
          <w:sz w:val="24"/>
          <w:szCs w:val="24"/>
        </w:rPr>
        <w:t xml:space="preserve">increase </w:t>
      </w:r>
      <w:r w:rsidR="009D11F0" w:rsidRPr="00A80A0C">
        <w:rPr>
          <w:color w:val="000000" w:themeColor="text1"/>
          <w:sz w:val="24"/>
          <w:szCs w:val="24"/>
        </w:rPr>
        <w:t>and are no longer</w:t>
      </w:r>
      <w:r w:rsidR="00B975FB" w:rsidRPr="00A80A0C">
        <w:rPr>
          <w:color w:val="000000" w:themeColor="text1"/>
          <w:sz w:val="24"/>
          <w:szCs w:val="24"/>
        </w:rPr>
        <w:t xml:space="preserve"> absorbed by rules, goal setting, and the hierarchy</w:t>
      </w:r>
      <w:r w:rsidR="009D11F0" w:rsidRPr="00A80A0C">
        <w:rPr>
          <w:color w:val="000000" w:themeColor="text1"/>
          <w:sz w:val="24"/>
          <w:szCs w:val="24"/>
        </w:rPr>
        <w:t xml:space="preserve"> at the time</w:t>
      </w:r>
      <w:r w:rsidR="00B975FB" w:rsidRPr="00A80A0C">
        <w:rPr>
          <w:color w:val="000000" w:themeColor="text1"/>
          <w:sz w:val="24"/>
          <w:szCs w:val="24"/>
        </w:rPr>
        <w:t xml:space="preserve">, the SCF providers can </w:t>
      </w:r>
      <w:r w:rsidR="009D11F0" w:rsidRPr="00A80A0C">
        <w:rPr>
          <w:color w:val="000000" w:themeColor="text1"/>
          <w:sz w:val="24"/>
          <w:szCs w:val="24"/>
        </w:rPr>
        <w:t>either</w:t>
      </w:r>
      <w:r w:rsidR="00DC6DB0" w:rsidRPr="00A80A0C">
        <w:rPr>
          <w:color w:val="000000" w:themeColor="text1"/>
          <w:sz w:val="24"/>
          <w:szCs w:val="24"/>
        </w:rPr>
        <w:t xml:space="preserve"> </w:t>
      </w:r>
      <w:r w:rsidR="00B975FB" w:rsidRPr="00A80A0C">
        <w:rPr>
          <w:color w:val="000000" w:themeColor="text1"/>
          <w:sz w:val="24"/>
          <w:szCs w:val="24"/>
        </w:rPr>
        <w:t xml:space="preserve">reduce the information processing requirements by reducing </w:t>
      </w:r>
      <w:r w:rsidR="00590BB1" w:rsidRPr="00A80A0C">
        <w:rPr>
          <w:color w:val="000000" w:themeColor="text1"/>
          <w:sz w:val="24"/>
          <w:szCs w:val="24"/>
        </w:rPr>
        <w:t xml:space="preserve">their </w:t>
      </w:r>
      <w:r w:rsidR="00B975FB" w:rsidRPr="00A80A0C">
        <w:rPr>
          <w:color w:val="000000" w:themeColor="text1"/>
          <w:sz w:val="24"/>
          <w:szCs w:val="24"/>
        </w:rPr>
        <w:t xml:space="preserve">goal diversity, customer diversity, </w:t>
      </w:r>
      <w:r w:rsidR="009D11F0" w:rsidRPr="00A80A0C">
        <w:rPr>
          <w:color w:val="000000" w:themeColor="text1"/>
          <w:sz w:val="24"/>
          <w:szCs w:val="24"/>
        </w:rPr>
        <w:t>or service diversity, or</w:t>
      </w:r>
      <w:r w:rsidR="00DC6DB0" w:rsidRPr="00A80A0C">
        <w:rPr>
          <w:color w:val="000000" w:themeColor="text1"/>
          <w:sz w:val="24"/>
          <w:szCs w:val="24"/>
        </w:rPr>
        <w:t xml:space="preserve"> </w:t>
      </w:r>
      <w:r w:rsidR="001545B5" w:rsidRPr="00A80A0C">
        <w:rPr>
          <w:color w:val="000000" w:themeColor="text1"/>
          <w:sz w:val="24"/>
          <w:szCs w:val="24"/>
        </w:rPr>
        <w:t xml:space="preserve">increase the information processing capacity by </w:t>
      </w:r>
      <w:r w:rsidR="00DC6DB0" w:rsidRPr="00A80A0C">
        <w:rPr>
          <w:color w:val="000000" w:themeColor="text1"/>
          <w:sz w:val="24"/>
          <w:szCs w:val="24"/>
        </w:rPr>
        <w:t>redesign</w:t>
      </w:r>
      <w:r w:rsidR="001545B5" w:rsidRPr="00A80A0C">
        <w:rPr>
          <w:color w:val="000000" w:themeColor="text1"/>
          <w:sz w:val="24"/>
          <w:szCs w:val="24"/>
        </w:rPr>
        <w:t>ing</w:t>
      </w:r>
      <w:r w:rsidR="00DC6DB0" w:rsidRPr="00A80A0C">
        <w:rPr>
          <w:color w:val="000000" w:themeColor="text1"/>
          <w:sz w:val="24"/>
          <w:szCs w:val="24"/>
        </w:rPr>
        <w:t xml:space="preserve"> the organization structure.</w:t>
      </w:r>
    </w:p>
    <w:p w14:paraId="17D4A51D" w14:textId="7E00A195" w:rsidR="00CD57CB" w:rsidRPr="00A80A0C" w:rsidRDefault="00871C0F" w:rsidP="00EC74C1">
      <w:pPr>
        <w:spacing w:line="360" w:lineRule="auto"/>
        <w:ind w:firstLineChars="200" w:firstLine="480"/>
        <w:rPr>
          <w:color w:val="000000" w:themeColor="text1"/>
          <w:sz w:val="24"/>
          <w:szCs w:val="24"/>
        </w:rPr>
      </w:pPr>
      <w:r w:rsidRPr="00A80A0C">
        <w:rPr>
          <w:color w:val="000000" w:themeColor="text1"/>
          <w:sz w:val="24"/>
          <w:szCs w:val="24"/>
        </w:rPr>
        <w:t>On the contrary, more information processing capacity than required brings about redundancy and unnecessary cost in terms of time, effort, and control (</w:t>
      </w:r>
      <w:proofErr w:type="spellStart"/>
      <w:r w:rsidRPr="00A80A0C">
        <w:rPr>
          <w:color w:val="000000" w:themeColor="text1"/>
          <w:sz w:val="24"/>
          <w:szCs w:val="24"/>
        </w:rPr>
        <w:t>Tushman</w:t>
      </w:r>
      <w:proofErr w:type="spellEnd"/>
      <w:r w:rsidRPr="00A80A0C">
        <w:rPr>
          <w:color w:val="000000" w:themeColor="text1"/>
          <w:sz w:val="24"/>
          <w:szCs w:val="24"/>
        </w:rPr>
        <w:t xml:space="preserve"> and Nadler, 1978). </w:t>
      </w:r>
      <w:r w:rsidR="00173810" w:rsidRPr="00A80A0C">
        <w:rPr>
          <w:color w:val="000000" w:themeColor="text1"/>
          <w:sz w:val="24"/>
          <w:szCs w:val="24"/>
        </w:rPr>
        <w:t xml:space="preserve">In this case, </w:t>
      </w:r>
      <w:r w:rsidR="009D11F0" w:rsidRPr="00A80A0C">
        <w:rPr>
          <w:color w:val="000000" w:themeColor="text1"/>
          <w:sz w:val="24"/>
          <w:szCs w:val="24"/>
        </w:rPr>
        <w:t>SCF providers can</w:t>
      </w:r>
      <w:r w:rsidR="00867C30" w:rsidRPr="00A80A0C">
        <w:rPr>
          <w:color w:val="000000" w:themeColor="text1"/>
          <w:sz w:val="24"/>
          <w:szCs w:val="24"/>
        </w:rPr>
        <w:t xml:space="preserve"> direct their resources toward</w:t>
      </w:r>
      <w:r w:rsidR="009D11F0" w:rsidRPr="00A80A0C">
        <w:rPr>
          <w:color w:val="000000" w:themeColor="text1"/>
          <w:sz w:val="24"/>
          <w:szCs w:val="24"/>
        </w:rPr>
        <w:t>s</w:t>
      </w:r>
      <w:r w:rsidR="00867C30" w:rsidRPr="00A80A0C">
        <w:rPr>
          <w:color w:val="000000" w:themeColor="text1"/>
          <w:sz w:val="24"/>
          <w:szCs w:val="24"/>
        </w:rPr>
        <w:t xml:space="preserve"> expanding their portfolios</w:t>
      </w:r>
      <w:r w:rsidR="00494AF5" w:rsidRPr="00A80A0C">
        <w:rPr>
          <w:color w:val="000000" w:themeColor="text1"/>
          <w:sz w:val="24"/>
          <w:szCs w:val="24"/>
        </w:rPr>
        <w:t xml:space="preserve"> (Hill &amp; </w:t>
      </w:r>
      <w:proofErr w:type="spellStart"/>
      <w:r w:rsidR="00494AF5" w:rsidRPr="00A80A0C">
        <w:rPr>
          <w:color w:val="000000" w:themeColor="text1"/>
          <w:sz w:val="24"/>
          <w:szCs w:val="24"/>
        </w:rPr>
        <w:t>Hoskisson</w:t>
      </w:r>
      <w:proofErr w:type="spellEnd"/>
      <w:r w:rsidR="00494AF5" w:rsidRPr="00A80A0C">
        <w:rPr>
          <w:color w:val="000000" w:themeColor="text1"/>
          <w:sz w:val="24"/>
          <w:szCs w:val="24"/>
        </w:rPr>
        <w:t>, 1987)</w:t>
      </w:r>
      <w:r w:rsidR="00867C30" w:rsidRPr="00A80A0C">
        <w:rPr>
          <w:color w:val="000000" w:themeColor="text1"/>
          <w:sz w:val="24"/>
          <w:szCs w:val="24"/>
        </w:rPr>
        <w:t xml:space="preserve">. </w:t>
      </w:r>
      <w:r w:rsidR="00EA2681" w:rsidRPr="00A80A0C">
        <w:rPr>
          <w:color w:val="000000" w:themeColor="text1"/>
          <w:sz w:val="24"/>
          <w:szCs w:val="24"/>
        </w:rPr>
        <w:t xml:space="preserve">Following </w:t>
      </w:r>
      <w:r w:rsidR="009D11F0" w:rsidRPr="00A80A0C">
        <w:rPr>
          <w:color w:val="000000" w:themeColor="text1"/>
          <w:sz w:val="24"/>
          <w:szCs w:val="24"/>
        </w:rPr>
        <w:t xml:space="preserve">on </w:t>
      </w:r>
      <w:r w:rsidR="00EA2681" w:rsidRPr="00A80A0C">
        <w:rPr>
          <w:color w:val="000000" w:themeColor="text1"/>
          <w:sz w:val="24"/>
          <w:szCs w:val="24"/>
        </w:rPr>
        <w:t xml:space="preserve">that, </w:t>
      </w:r>
      <w:r w:rsidR="00C072E3" w:rsidRPr="00A80A0C">
        <w:rPr>
          <w:color w:val="000000" w:themeColor="text1"/>
          <w:sz w:val="24"/>
          <w:szCs w:val="24"/>
        </w:rPr>
        <w:t xml:space="preserve">it </w:t>
      </w:r>
      <w:r w:rsidR="007E7E63" w:rsidRPr="00A80A0C">
        <w:rPr>
          <w:color w:val="000000" w:themeColor="text1"/>
          <w:sz w:val="24"/>
          <w:szCs w:val="24"/>
        </w:rPr>
        <w:t>will</w:t>
      </w:r>
      <w:r w:rsidR="00C072E3" w:rsidRPr="00A80A0C">
        <w:rPr>
          <w:color w:val="000000" w:themeColor="text1"/>
          <w:sz w:val="24"/>
          <w:szCs w:val="24"/>
        </w:rPr>
        <w:t xml:space="preserve"> trigger </w:t>
      </w:r>
      <w:r w:rsidR="00A76483" w:rsidRPr="00A80A0C">
        <w:rPr>
          <w:color w:val="000000" w:themeColor="text1"/>
          <w:sz w:val="24"/>
          <w:szCs w:val="24"/>
        </w:rPr>
        <w:t xml:space="preserve">more </w:t>
      </w:r>
      <w:r w:rsidR="00C072E3" w:rsidRPr="00A80A0C">
        <w:rPr>
          <w:color w:val="000000" w:themeColor="text1"/>
          <w:sz w:val="24"/>
          <w:szCs w:val="24"/>
        </w:rPr>
        <w:t>uncertainties, which is a key driver for SCF providers to collect and process relevant information</w:t>
      </w:r>
      <w:r w:rsidR="00A76483" w:rsidRPr="00A80A0C">
        <w:rPr>
          <w:color w:val="000000" w:themeColor="text1"/>
          <w:sz w:val="24"/>
          <w:szCs w:val="24"/>
        </w:rPr>
        <w:t xml:space="preserve"> (</w:t>
      </w:r>
      <w:proofErr w:type="spellStart"/>
      <w:r w:rsidR="00A76483" w:rsidRPr="00A80A0C">
        <w:rPr>
          <w:color w:val="000000" w:themeColor="text1"/>
          <w:sz w:val="24"/>
          <w:szCs w:val="24"/>
        </w:rPr>
        <w:t>Kreye</w:t>
      </w:r>
      <w:proofErr w:type="spellEnd"/>
      <w:r w:rsidR="00A76483" w:rsidRPr="00A80A0C">
        <w:rPr>
          <w:color w:val="000000" w:themeColor="text1"/>
          <w:sz w:val="24"/>
          <w:szCs w:val="24"/>
        </w:rPr>
        <w:t>, 2017)</w:t>
      </w:r>
      <w:r w:rsidR="00C072E3" w:rsidRPr="00A80A0C">
        <w:rPr>
          <w:color w:val="000000" w:themeColor="text1"/>
          <w:sz w:val="24"/>
          <w:szCs w:val="24"/>
        </w:rPr>
        <w:t>.</w:t>
      </w:r>
      <w:r w:rsidR="00A76483" w:rsidRPr="00A80A0C">
        <w:rPr>
          <w:color w:val="000000" w:themeColor="text1"/>
          <w:sz w:val="24"/>
          <w:szCs w:val="24"/>
        </w:rPr>
        <w:t xml:space="preserve"> </w:t>
      </w:r>
      <w:r w:rsidR="009D11F0" w:rsidRPr="00A80A0C">
        <w:rPr>
          <w:color w:val="000000" w:themeColor="text1"/>
          <w:sz w:val="24"/>
          <w:szCs w:val="24"/>
        </w:rPr>
        <w:t>Therefore, as the level</w:t>
      </w:r>
      <w:r w:rsidR="005C589E" w:rsidRPr="00A80A0C">
        <w:rPr>
          <w:color w:val="000000" w:themeColor="text1"/>
          <w:sz w:val="24"/>
          <w:szCs w:val="24"/>
        </w:rPr>
        <w:t xml:space="preserve"> of uncertainty and ambiguity increase</w:t>
      </w:r>
      <w:r w:rsidR="009D11F0" w:rsidRPr="00A80A0C">
        <w:rPr>
          <w:color w:val="000000" w:themeColor="text1"/>
          <w:sz w:val="24"/>
          <w:szCs w:val="24"/>
        </w:rPr>
        <w:t>s</w:t>
      </w:r>
      <w:r w:rsidR="005C589E" w:rsidRPr="00A80A0C">
        <w:rPr>
          <w:color w:val="000000" w:themeColor="text1"/>
          <w:sz w:val="24"/>
          <w:szCs w:val="24"/>
        </w:rPr>
        <w:t xml:space="preserve">, </w:t>
      </w:r>
      <w:r w:rsidR="00A76483" w:rsidRPr="00A80A0C">
        <w:rPr>
          <w:color w:val="000000" w:themeColor="text1"/>
          <w:sz w:val="24"/>
          <w:szCs w:val="24"/>
        </w:rPr>
        <w:t xml:space="preserve">the SCF providers need to continuously </w:t>
      </w:r>
      <w:r w:rsidR="00EC74C1" w:rsidRPr="00A80A0C">
        <w:rPr>
          <w:color w:val="000000" w:themeColor="text1"/>
          <w:sz w:val="24"/>
          <w:szCs w:val="24"/>
        </w:rPr>
        <w:t>increase their information processing capabilities to</w:t>
      </w:r>
      <w:r w:rsidR="00EC74C1" w:rsidRPr="00A80A0C">
        <w:rPr>
          <w:rFonts w:hint="eastAsia"/>
          <w:color w:val="000000" w:themeColor="text1"/>
          <w:sz w:val="24"/>
          <w:szCs w:val="24"/>
        </w:rPr>
        <w:t xml:space="preserve"> </w:t>
      </w:r>
      <w:r w:rsidR="00A76483" w:rsidRPr="00A80A0C">
        <w:rPr>
          <w:color w:val="000000" w:themeColor="text1"/>
          <w:sz w:val="24"/>
          <w:szCs w:val="24"/>
        </w:rPr>
        <w:t>fit with their info</w:t>
      </w:r>
      <w:r w:rsidR="00843B57" w:rsidRPr="00A80A0C">
        <w:rPr>
          <w:color w:val="000000" w:themeColor="text1"/>
          <w:sz w:val="24"/>
          <w:szCs w:val="24"/>
        </w:rPr>
        <w:t>rmation processing requirements.</w:t>
      </w:r>
      <w:r w:rsidR="00AE0F5C" w:rsidRPr="00A80A0C">
        <w:rPr>
          <w:color w:val="000000" w:themeColor="text1"/>
          <w:sz w:val="24"/>
          <w:szCs w:val="24"/>
        </w:rPr>
        <w:t xml:space="preserve"> In the process,</w:t>
      </w:r>
      <w:r w:rsidR="00E4086E" w:rsidRPr="00A80A0C">
        <w:rPr>
          <w:color w:val="000000" w:themeColor="text1"/>
          <w:sz w:val="24"/>
          <w:szCs w:val="24"/>
        </w:rPr>
        <w:t xml:space="preserve"> </w:t>
      </w:r>
      <w:r w:rsidR="00CD57CB" w:rsidRPr="00A80A0C">
        <w:rPr>
          <w:color w:val="000000" w:themeColor="text1"/>
          <w:sz w:val="24"/>
          <w:szCs w:val="24"/>
        </w:rPr>
        <w:t xml:space="preserve">SCF providers </w:t>
      </w:r>
      <w:r w:rsidR="00F21A0D" w:rsidRPr="00A80A0C">
        <w:rPr>
          <w:color w:val="000000" w:themeColor="text1"/>
          <w:sz w:val="24"/>
          <w:szCs w:val="24"/>
        </w:rPr>
        <w:t xml:space="preserve">are </w:t>
      </w:r>
      <w:r w:rsidR="00B85F94" w:rsidRPr="00A80A0C">
        <w:rPr>
          <w:color w:val="000000" w:themeColor="text1"/>
          <w:sz w:val="24"/>
          <w:szCs w:val="24"/>
        </w:rPr>
        <w:t>gradually</w:t>
      </w:r>
      <w:r w:rsidR="00180C87" w:rsidRPr="00A80A0C">
        <w:rPr>
          <w:color w:val="000000" w:themeColor="text1"/>
          <w:sz w:val="24"/>
          <w:szCs w:val="24"/>
        </w:rPr>
        <w:t xml:space="preserve"> familiar with the environment and their financial SC, </w:t>
      </w:r>
      <w:r w:rsidR="00116E39" w:rsidRPr="00A80A0C">
        <w:rPr>
          <w:color w:val="000000" w:themeColor="text1"/>
          <w:sz w:val="24"/>
          <w:szCs w:val="24"/>
        </w:rPr>
        <w:t>so</w:t>
      </w:r>
      <w:r w:rsidR="00180C87" w:rsidRPr="00A80A0C">
        <w:rPr>
          <w:color w:val="000000" w:themeColor="text1"/>
          <w:sz w:val="24"/>
          <w:szCs w:val="24"/>
        </w:rPr>
        <w:t xml:space="preserve"> they </w:t>
      </w:r>
      <w:r w:rsidR="00F21A0D" w:rsidRPr="00A80A0C">
        <w:rPr>
          <w:color w:val="000000" w:themeColor="text1"/>
          <w:sz w:val="24"/>
          <w:szCs w:val="24"/>
        </w:rPr>
        <w:t>will</w:t>
      </w:r>
      <w:r w:rsidR="00886F16" w:rsidRPr="00A80A0C">
        <w:rPr>
          <w:color w:val="000000" w:themeColor="text1"/>
          <w:sz w:val="24"/>
          <w:szCs w:val="24"/>
        </w:rPr>
        <w:t xml:space="preserve"> </w:t>
      </w:r>
      <w:r w:rsidR="00180C87" w:rsidRPr="00A80A0C">
        <w:rPr>
          <w:color w:val="000000" w:themeColor="text1"/>
          <w:sz w:val="24"/>
          <w:szCs w:val="24"/>
        </w:rPr>
        <w:t xml:space="preserve">expand the management from intra-organization into inter-organization. </w:t>
      </w:r>
      <w:r w:rsidR="00116E39" w:rsidRPr="00A80A0C">
        <w:rPr>
          <w:color w:val="000000" w:themeColor="text1"/>
          <w:sz w:val="24"/>
          <w:szCs w:val="24"/>
        </w:rPr>
        <w:t xml:space="preserve">Based on their previous experience in structure design, cross-function coordination, and IT use, they are </w:t>
      </w:r>
      <w:r w:rsidR="00942EEE" w:rsidRPr="00A80A0C">
        <w:rPr>
          <w:color w:val="000000" w:themeColor="text1"/>
          <w:sz w:val="24"/>
          <w:szCs w:val="24"/>
        </w:rPr>
        <w:t xml:space="preserve">better able to </w:t>
      </w:r>
      <w:r w:rsidR="001D24A4" w:rsidRPr="00A80A0C">
        <w:rPr>
          <w:color w:val="000000" w:themeColor="text1"/>
          <w:sz w:val="24"/>
          <w:szCs w:val="24"/>
        </w:rPr>
        <w:t>map financial network structure, design financial business process, and share financial information system in the whole financial SC.</w:t>
      </w:r>
      <w:r w:rsidR="007C742E" w:rsidRPr="00A80A0C">
        <w:rPr>
          <w:color w:val="000000" w:themeColor="text1"/>
          <w:sz w:val="24"/>
          <w:szCs w:val="24"/>
        </w:rPr>
        <w:t xml:space="preserve"> </w:t>
      </w:r>
      <w:r w:rsidR="003B4C5F" w:rsidRPr="00A80A0C">
        <w:rPr>
          <w:color w:val="000000" w:themeColor="text1"/>
          <w:sz w:val="24"/>
          <w:szCs w:val="24"/>
        </w:rPr>
        <w:t xml:space="preserve">That’s to say, SCF capabilities increase. </w:t>
      </w:r>
      <w:r w:rsidR="007C742E" w:rsidRPr="00A80A0C">
        <w:rPr>
          <w:color w:val="000000" w:themeColor="text1"/>
          <w:sz w:val="24"/>
          <w:szCs w:val="24"/>
        </w:rPr>
        <w:t xml:space="preserve">Hence, proposition 3 is derived: </w:t>
      </w:r>
    </w:p>
    <w:p w14:paraId="1CD63A54" w14:textId="6EDE7900" w:rsidR="00871C0F" w:rsidRPr="00A80A0C" w:rsidRDefault="00CF79A5" w:rsidP="00FC7D81">
      <w:pPr>
        <w:pStyle w:val="Heading2"/>
        <w:spacing w:line="360" w:lineRule="auto"/>
        <w:rPr>
          <w:color w:val="000000" w:themeColor="text1"/>
          <w:szCs w:val="24"/>
        </w:rPr>
      </w:pPr>
      <w:r w:rsidRPr="00A80A0C">
        <w:rPr>
          <w:b/>
          <w:color w:val="000000" w:themeColor="text1"/>
          <w:szCs w:val="24"/>
        </w:rPr>
        <w:t xml:space="preserve">P3: </w:t>
      </w:r>
      <w:r w:rsidR="00E4086E" w:rsidRPr="00A80A0C">
        <w:rPr>
          <w:rFonts w:hint="eastAsia"/>
          <w:color w:val="000000" w:themeColor="text1"/>
          <w:szCs w:val="24"/>
        </w:rPr>
        <w:t>I</w:t>
      </w:r>
      <w:r w:rsidR="00645FFF" w:rsidRPr="00A80A0C">
        <w:rPr>
          <w:color w:val="000000" w:themeColor="text1"/>
          <w:szCs w:val="24"/>
        </w:rPr>
        <w:t>n the continuous</w:t>
      </w:r>
      <w:r w:rsidR="00E4086E" w:rsidRPr="00A80A0C">
        <w:rPr>
          <w:color w:val="000000" w:themeColor="text1"/>
          <w:szCs w:val="24"/>
        </w:rPr>
        <w:t xml:space="preserve"> pursuit of </w:t>
      </w:r>
      <w:r w:rsidRPr="00A80A0C">
        <w:rPr>
          <w:color w:val="000000" w:themeColor="text1"/>
          <w:szCs w:val="24"/>
        </w:rPr>
        <w:t>the fit between SCF providers’ information processing requirements and informatio</w:t>
      </w:r>
      <w:r w:rsidR="00A27D73" w:rsidRPr="00A80A0C">
        <w:rPr>
          <w:color w:val="000000" w:themeColor="text1"/>
          <w:szCs w:val="24"/>
        </w:rPr>
        <w:t>n processing capacity, the</w:t>
      </w:r>
      <w:r w:rsidRPr="00A80A0C">
        <w:rPr>
          <w:color w:val="000000" w:themeColor="text1"/>
          <w:szCs w:val="24"/>
        </w:rPr>
        <w:t xml:space="preserve"> SCF capabilities </w:t>
      </w:r>
      <w:r w:rsidR="007C742E" w:rsidRPr="00A80A0C">
        <w:rPr>
          <w:color w:val="000000" w:themeColor="text1"/>
          <w:szCs w:val="24"/>
        </w:rPr>
        <w:t>(mapping financial network structure, designing financial business process, and sharing financial information system</w:t>
      </w:r>
      <w:r w:rsidR="00A27D73" w:rsidRPr="00A80A0C">
        <w:rPr>
          <w:color w:val="000000" w:themeColor="text1"/>
          <w:szCs w:val="24"/>
        </w:rPr>
        <w:t>)</w:t>
      </w:r>
      <w:r w:rsidRPr="00A80A0C">
        <w:rPr>
          <w:color w:val="000000" w:themeColor="text1"/>
          <w:szCs w:val="24"/>
        </w:rPr>
        <w:t xml:space="preserve"> gradually increase.</w:t>
      </w:r>
    </w:p>
    <w:p w14:paraId="61887C95" w14:textId="77777777" w:rsidR="00E4086E" w:rsidRPr="00A80A0C" w:rsidRDefault="00E4086E" w:rsidP="00E4086E">
      <w:pPr>
        <w:rPr>
          <w:color w:val="000000" w:themeColor="text1"/>
        </w:rPr>
      </w:pPr>
    </w:p>
    <w:p w14:paraId="4C2058B0" w14:textId="77777777" w:rsidR="00871C0F" w:rsidRPr="00A80A0C" w:rsidRDefault="00871C0F" w:rsidP="00FC7D81">
      <w:pPr>
        <w:pStyle w:val="Heading2"/>
        <w:spacing w:beforeLines="50" w:before="156" w:afterLines="50" w:after="156" w:line="360" w:lineRule="auto"/>
        <w:rPr>
          <w:color w:val="000000" w:themeColor="text1"/>
          <w:szCs w:val="24"/>
        </w:rPr>
      </w:pPr>
      <w:r w:rsidRPr="00A80A0C">
        <w:rPr>
          <w:color w:val="000000" w:themeColor="text1"/>
          <w:szCs w:val="24"/>
        </w:rPr>
        <w:t>4.4</w:t>
      </w:r>
      <w:r w:rsidR="009271EC" w:rsidRPr="00A80A0C">
        <w:rPr>
          <w:color w:val="000000" w:themeColor="text1"/>
          <w:szCs w:val="24"/>
        </w:rPr>
        <w:t>.</w:t>
      </w:r>
      <w:r w:rsidRPr="00A80A0C">
        <w:rPr>
          <w:color w:val="000000" w:themeColor="text1"/>
          <w:szCs w:val="24"/>
        </w:rPr>
        <w:t xml:space="preserve"> The relationship between SCF capabilities and financial SC integration</w:t>
      </w:r>
    </w:p>
    <w:p w14:paraId="0FF73BBF" w14:textId="77777777" w:rsidR="009271EC" w:rsidRPr="00A80A0C" w:rsidRDefault="009271EC" w:rsidP="009271EC">
      <w:pPr>
        <w:spacing w:line="360" w:lineRule="auto"/>
        <w:rPr>
          <w:i/>
          <w:color w:val="000000" w:themeColor="text1"/>
          <w:sz w:val="24"/>
          <w:szCs w:val="24"/>
        </w:rPr>
      </w:pPr>
      <w:r w:rsidRPr="00A80A0C">
        <w:rPr>
          <w:i/>
          <w:color w:val="000000" w:themeColor="text1"/>
          <w:sz w:val="24"/>
          <w:szCs w:val="24"/>
        </w:rPr>
        <w:lastRenderedPageBreak/>
        <w:t>4.4.1. Map financial network structure and operational integration</w:t>
      </w:r>
    </w:p>
    <w:p w14:paraId="1ABBBFC4" w14:textId="77777777" w:rsidR="00E93914" w:rsidRPr="00A80A0C" w:rsidRDefault="00E93914" w:rsidP="000905CE">
      <w:pPr>
        <w:spacing w:line="360" w:lineRule="auto"/>
        <w:rPr>
          <w:i/>
          <w:color w:val="000000" w:themeColor="text1"/>
          <w:sz w:val="24"/>
          <w:szCs w:val="24"/>
        </w:rPr>
      </w:pPr>
      <w:r w:rsidRPr="00A80A0C">
        <w:rPr>
          <w:color w:val="000000" w:themeColor="text1"/>
          <w:sz w:val="24"/>
          <w:szCs w:val="24"/>
        </w:rPr>
        <w:t>Through reviewing the existing literature, we tease out four types of SCF-centred financial networks</w:t>
      </w:r>
      <w:r w:rsidR="00957ABF" w:rsidRPr="00A80A0C">
        <w:rPr>
          <w:color w:val="000000" w:themeColor="text1"/>
          <w:sz w:val="24"/>
          <w:szCs w:val="24"/>
        </w:rPr>
        <w:t xml:space="preserve"> structure</w:t>
      </w:r>
      <w:r w:rsidRPr="00A80A0C">
        <w:rPr>
          <w:color w:val="000000" w:themeColor="text1"/>
          <w:sz w:val="24"/>
          <w:szCs w:val="24"/>
        </w:rPr>
        <w:t>: manufacturer-centred financial networks (</w:t>
      </w:r>
      <w:proofErr w:type="spellStart"/>
      <w:r w:rsidRPr="00A80A0C">
        <w:rPr>
          <w:color w:val="000000" w:themeColor="text1"/>
          <w:sz w:val="24"/>
          <w:szCs w:val="24"/>
        </w:rPr>
        <w:t>Akgün</w:t>
      </w:r>
      <w:proofErr w:type="spellEnd"/>
      <w:r w:rsidRPr="00A80A0C">
        <w:rPr>
          <w:color w:val="000000" w:themeColor="text1"/>
          <w:sz w:val="24"/>
          <w:szCs w:val="24"/>
        </w:rPr>
        <w:t xml:space="preserve"> and </w:t>
      </w:r>
      <w:proofErr w:type="spellStart"/>
      <w:r w:rsidRPr="00A80A0C">
        <w:rPr>
          <w:color w:val="000000" w:themeColor="text1"/>
          <w:sz w:val="24"/>
          <w:szCs w:val="24"/>
        </w:rPr>
        <w:t>Gürünlü</w:t>
      </w:r>
      <w:proofErr w:type="spellEnd"/>
      <w:r w:rsidRPr="00A80A0C">
        <w:rPr>
          <w:color w:val="000000" w:themeColor="text1"/>
          <w:sz w:val="24"/>
          <w:szCs w:val="24"/>
        </w:rPr>
        <w:t>, 2010; Blackman et al., 2013; Hofmann, 2011), bank-centred financial networks (</w:t>
      </w:r>
      <w:proofErr w:type="spellStart"/>
      <w:r w:rsidRPr="00A80A0C">
        <w:rPr>
          <w:color w:val="000000" w:themeColor="text1"/>
          <w:sz w:val="24"/>
          <w:szCs w:val="24"/>
        </w:rPr>
        <w:t>Camerinelli</w:t>
      </w:r>
      <w:proofErr w:type="spellEnd"/>
      <w:r w:rsidRPr="00A80A0C">
        <w:rPr>
          <w:color w:val="000000" w:themeColor="text1"/>
          <w:sz w:val="24"/>
          <w:szCs w:val="24"/>
        </w:rPr>
        <w:t xml:space="preserve">, 2009; </w:t>
      </w:r>
      <w:proofErr w:type="spellStart"/>
      <w:r w:rsidRPr="00A80A0C">
        <w:rPr>
          <w:color w:val="000000" w:themeColor="text1"/>
          <w:sz w:val="24"/>
          <w:szCs w:val="24"/>
        </w:rPr>
        <w:t>Cavenaghi</w:t>
      </w:r>
      <w:proofErr w:type="spellEnd"/>
      <w:r w:rsidRPr="00A80A0C">
        <w:rPr>
          <w:color w:val="000000" w:themeColor="text1"/>
          <w:sz w:val="24"/>
          <w:szCs w:val="24"/>
        </w:rPr>
        <w:t xml:space="preserve">, 2014; </w:t>
      </w:r>
      <w:proofErr w:type="spellStart"/>
      <w:r w:rsidRPr="00A80A0C">
        <w:rPr>
          <w:color w:val="000000" w:themeColor="text1"/>
          <w:sz w:val="24"/>
          <w:szCs w:val="24"/>
        </w:rPr>
        <w:t>Dyckman</w:t>
      </w:r>
      <w:proofErr w:type="spellEnd"/>
      <w:r w:rsidRPr="00A80A0C">
        <w:rPr>
          <w:color w:val="000000" w:themeColor="text1"/>
          <w:sz w:val="24"/>
          <w:szCs w:val="24"/>
        </w:rPr>
        <w:t xml:space="preserve">, 2011), third-party logistics (3PL)-centred financial networks (Hofmann, 2009) and SC orchestrator, e.g., e-platform SCF provider-centred financial networks (Jiang et al, 2016; Kumar, 2008).  </w:t>
      </w:r>
    </w:p>
    <w:p w14:paraId="2FB89094" w14:textId="77777777" w:rsidR="00E93914" w:rsidRPr="00A80A0C" w:rsidRDefault="00350974" w:rsidP="00E93914">
      <w:pPr>
        <w:spacing w:line="360" w:lineRule="auto"/>
        <w:ind w:firstLineChars="200" w:firstLine="480"/>
        <w:rPr>
          <w:color w:val="000000" w:themeColor="text1"/>
          <w:sz w:val="24"/>
          <w:szCs w:val="24"/>
        </w:rPr>
      </w:pPr>
      <w:r w:rsidRPr="00A80A0C">
        <w:rPr>
          <w:color w:val="000000" w:themeColor="text1"/>
          <w:sz w:val="24"/>
          <w:szCs w:val="24"/>
        </w:rPr>
        <w:t>First, m</w:t>
      </w:r>
      <w:r w:rsidR="00E93914" w:rsidRPr="00A80A0C">
        <w:rPr>
          <w:color w:val="000000" w:themeColor="text1"/>
          <w:sz w:val="24"/>
          <w:szCs w:val="24"/>
        </w:rPr>
        <w:t>anufacturer-centred financial networks mainly concentrate on the optimisation of the whole Cash-to-Cash Cycle (CCC) in the SC. To shorten the cash conversion cycle, the SC should shorten the receivable turnover period and inventory period and extend the payable turnover period (</w:t>
      </w:r>
      <w:proofErr w:type="spellStart"/>
      <w:r w:rsidR="00E93914" w:rsidRPr="00A80A0C">
        <w:rPr>
          <w:color w:val="000000" w:themeColor="text1"/>
          <w:sz w:val="24"/>
          <w:szCs w:val="24"/>
        </w:rPr>
        <w:t>Akgün</w:t>
      </w:r>
      <w:proofErr w:type="spellEnd"/>
      <w:r w:rsidR="00E93914" w:rsidRPr="00A80A0C">
        <w:rPr>
          <w:color w:val="000000" w:themeColor="text1"/>
          <w:sz w:val="24"/>
          <w:szCs w:val="24"/>
        </w:rPr>
        <w:t xml:space="preserve"> and </w:t>
      </w:r>
      <w:proofErr w:type="spellStart"/>
      <w:r w:rsidR="00E93914" w:rsidRPr="00A80A0C">
        <w:rPr>
          <w:color w:val="000000" w:themeColor="text1"/>
          <w:sz w:val="24"/>
          <w:szCs w:val="24"/>
        </w:rPr>
        <w:t>Gürünlü</w:t>
      </w:r>
      <w:proofErr w:type="spellEnd"/>
      <w:r w:rsidR="00E93914" w:rsidRPr="00A80A0C">
        <w:rPr>
          <w:color w:val="000000" w:themeColor="text1"/>
          <w:sz w:val="24"/>
          <w:szCs w:val="24"/>
        </w:rPr>
        <w:t xml:space="preserve">, 2010; Hofmann and </w:t>
      </w:r>
      <w:proofErr w:type="spellStart"/>
      <w:r w:rsidR="00E93914" w:rsidRPr="00A80A0C">
        <w:rPr>
          <w:color w:val="000000" w:themeColor="text1"/>
          <w:sz w:val="24"/>
          <w:szCs w:val="24"/>
        </w:rPr>
        <w:t>Kotzab</w:t>
      </w:r>
      <w:proofErr w:type="spellEnd"/>
      <w:r w:rsidR="00E93914" w:rsidRPr="00A80A0C">
        <w:rPr>
          <w:color w:val="000000" w:themeColor="text1"/>
          <w:sz w:val="24"/>
          <w:szCs w:val="24"/>
        </w:rPr>
        <w:t xml:space="preserve">, 2010). To do that, small and medium-sized suppliers who lack the resources should get support from the manufacturer (Hofmann, 2011). For example, to improve the performance of cash flow, suppliers need to get financial data from the manufacturer (Blackman et al., 2013). </w:t>
      </w:r>
    </w:p>
    <w:p w14:paraId="568F5774" w14:textId="77777777" w:rsidR="00E93914" w:rsidRPr="00A80A0C" w:rsidRDefault="00350974" w:rsidP="00E93914">
      <w:pPr>
        <w:spacing w:line="360" w:lineRule="auto"/>
        <w:ind w:firstLineChars="200" w:firstLine="480"/>
        <w:rPr>
          <w:color w:val="000000" w:themeColor="text1"/>
          <w:sz w:val="24"/>
          <w:szCs w:val="24"/>
        </w:rPr>
      </w:pPr>
      <w:r w:rsidRPr="00A80A0C">
        <w:rPr>
          <w:color w:val="000000" w:themeColor="text1"/>
          <w:sz w:val="24"/>
          <w:szCs w:val="24"/>
        </w:rPr>
        <w:t>Second, b</w:t>
      </w:r>
      <w:r w:rsidR="00E93914" w:rsidRPr="00A80A0C">
        <w:rPr>
          <w:color w:val="000000" w:themeColor="text1"/>
          <w:sz w:val="24"/>
          <w:szCs w:val="24"/>
        </w:rPr>
        <w:t>ank-centred financial networks evolve in the context of banks needing to innovate financial products in order to be completive in the financial market (</w:t>
      </w:r>
      <w:proofErr w:type="spellStart"/>
      <w:r w:rsidR="00E93914" w:rsidRPr="00A80A0C">
        <w:rPr>
          <w:color w:val="000000" w:themeColor="text1"/>
          <w:sz w:val="24"/>
          <w:szCs w:val="24"/>
        </w:rPr>
        <w:t>Camerinelli</w:t>
      </w:r>
      <w:proofErr w:type="spellEnd"/>
      <w:r w:rsidR="00E93914" w:rsidRPr="00A80A0C">
        <w:rPr>
          <w:color w:val="000000" w:themeColor="text1"/>
          <w:sz w:val="24"/>
          <w:szCs w:val="24"/>
        </w:rPr>
        <w:t>, 2009). In the bank-oriented financial network, banks concentrate on developing products based on certain collaterals, such as payables and receivables (</w:t>
      </w:r>
      <w:proofErr w:type="spellStart"/>
      <w:r w:rsidR="00E93914" w:rsidRPr="00A80A0C">
        <w:rPr>
          <w:color w:val="000000" w:themeColor="text1"/>
          <w:sz w:val="24"/>
          <w:szCs w:val="24"/>
        </w:rPr>
        <w:t>Cavenaghi</w:t>
      </w:r>
      <w:proofErr w:type="spellEnd"/>
      <w:r w:rsidR="00E93914" w:rsidRPr="00A80A0C">
        <w:rPr>
          <w:color w:val="000000" w:themeColor="text1"/>
          <w:sz w:val="24"/>
          <w:szCs w:val="24"/>
        </w:rPr>
        <w:t>, 2014; Seifert and Seifert, 2011), thereby making members in the SC improve their liquidity (</w:t>
      </w:r>
      <w:proofErr w:type="spellStart"/>
      <w:r w:rsidR="00E93914" w:rsidRPr="00A80A0C">
        <w:rPr>
          <w:color w:val="000000" w:themeColor="text1"/>
          <w:sz w:val="24"/>
          <w:szCs w:val="24"/>
        </w:rPr>
        <w:t>Dyckman</w:t>
      </w:r>
      <w:proofErr w:type="spellEnd"/>
      <w:r w:rsidR="00E93914" w:rsidRPr="00A80A0C">
        <w:rPr>
          <w:color w:val="000000" w:themeColor="text1"/>
          <w:sz w:val="24"/>
          <w:szCs w:val="24"/>
        </w:rPr>
        <w:t xml:space="preserve">, 2011). </w:t>
      </w:r>
    </w:p>
    <w:p w14:paraId="541AE73D" w14:textId="77777777" w:rsidR="00E93914" w:rsidRPr="00A80A0C" w:rsidRDefault="00350974" w:rsidP="00E93914">
      <w:pPr>
        <w:spacing w:line="360" w:lineRule="auto"/>
        <w:ind w:firstLineChars="200" w:firstLine="480"/>
        <w:rPr>
          <w:color w:val="000000" w:themeColor="text1"/>
          <w:sz w:val="24"/>
          <w:szCs w:val="24"/>
        </w:rPr>
      </w:pPr>
      <w:r w:rsidRPr="00A80A0C">
        <w:rPr>
          <w:color w:val="000000" w:themeColor="text1"/>
          <w:sz w:val="24"/>
          <w:szCs w:val="24"/>
        </w:rPr>
        <w:t>Third, t</w:t>
      </w:r>
      <w:r w:rsidR="00E93914" w:rsidRPr="00A80A0C">
        <w:rPr>
          <w:color w:val="000000" w:themeColor="text1"/>
          <w:sz w:val="24"/>
          <w:szCs w:val="24"/>
        </w:rPr>
        <w:t>o satisfy customer needs with a short delivery time, firms need to either be holding high levels of inventory or possess an efficient means of transport (Hofmann, 2009). However, after sending out goods, firms cannot receive their payment immediately, which increases firms’ financial burden (</w:t>
      </w:r>
      <w:proofErr w:type="spellStart"/>
      <w:r w:rsidR="00E93914" w:rsidRPr="00A80A0C">
        <w:rPr>
          <w:color w:val="000000" w:themeColor="text1"/>
          <w:sz w:val="24"/>
          <w:szCs w:val="24"/>
        </w:rPr>
        <w:t>Liebl</w:t>
      </w:r>
      <w:proofErr w:type="spellEnd"/>
      <w:r w:rsidR="00E93914" w:rsidRPr="00A80A0C">
        <w:rPr>
          <w:color w:val="000000" w:themeColor="text1"/>
          <w:sz w:val="24"/>
          <w:szCs w:val="24"/>
        </w:rPr>
        <w:t xml:space="preserve"> et al., 2016). This dilemma gives 3PL an opportunity to expand existing services by providing inventory financing (Martin and Hofmann, 2017).</w:t>
      </w:r>
    </w:p>
    <w:p w14:paraId="2725F0CB" w14:textId="77777777" w:rsidR="00E93914" w:rsidRPr="00A80A0C" w:rsidRDefault="00350974" w:rsidP="00E93914">
      <w:pPr>
        <w:spacing w:line="360" w:lineRule="auto"/>
        <w:ind w:firstLineChars="200" w:firstLine="480"/>
        <w:rPr>
          <w:color w:val="000000" w:themeColor="text1"/>
          <w:sz w:val="24"/>
          <w:szCs w:val="24"/>
        </w:rPr>
      </w:pPr>
      <w:r w:rsidRPr="00A80A0C">
        <w:rPr>
          <w:color w:val="000000" w:themeColor="text1"/>
          <w:sz w:val="24"/>
          <w:szCs w:val="24"/>
        </w:rPr>
        <w:t xml:space="preserve">Fourth, </w:t>
      </w:r>
      <w:r w:rsidR="00E93914" w:rsidRPr="00A80A0C">
        <w:rPr>
          <w:color w:val="000000" w:themeColor="text1"/>
          <w:sz w:val="24"/>
          <w:szCs w:val="24"/>
        </w:rPr>
        <w:t xml:space="preserve">SC orchestrators are those companies who bridge the gap between subjects with little credit and financial institutions. For example, by including agribusiness corporations, agricultural SCF can help smallholder farmers get loans to buy tractors and rippers </w:t>
      </w:r>
      <w:r w:rsidR="00E93914" w:rsidRPr="00A80A0C">
        <w:rPr>
          <w:noProof/>
          <w:color w:val="000000" w:themeColor="text1"/>
          <w:sz w:val="24"/>
          <w:szCs w:val="24"/>
        </w:rPr>
        <w:t>(Son et al., 2017)</w:t>
      </w:r>
      <w:r w:rsidR="00E93914" w:rsidRPr="00A80A0C">
        <w:rPr>
          <w:color w:val="000000" w:themeColor="text1"/>
          <w:sz w:val="24"/>
          <w:szCs w:val="24"/>
        </w:rPr>
        <w:t xml:space="preserve">. In other fields, through evaluating customers’ purchasing data and network behaviour data, some </w:t>
      </w:r>
      <w:bookmarkStart w:id="12" w:name="OLE_LINK9"/>
      <w:bookmarkStart w:id="13" w:name="OLE_LINK24"/>
      <w:bookmarkStart w:id="14" w:name="OLE_LINK35"/>
      <w:r w:rsidR="00E93914" w:rsidRPr="00A80A0C">
        <w:rPr>
          <w:color w:val="000000" w:themeColor="text1"/>
          <w:sz w:val="24"/>
          <w:szCs w:val="24"/>
        </w:rPr>
        <w:t xml:space="preserve">e-commerce companies (e.g., Amazon’s lending program) can help small suppliers get financing </w:t>
      </w:r>
      <w:bookmarkEnd w:id="12"/>
      <w:bookmarkEnd w:id="13"/>
      <w:bookmarkEnd w:id="14"/>
      <w:r w:rsidR="00E93914" w:rsidRPr="00A80A0C">
        <w:rPr>
          <w:noProof/>
          <w:color w:val="000000" w:themeColor="text1"/>
          <w:sz w:val="24"/>
          <w:szCs w:val="24"/>
        </w:rPr>
        <w:t>(Demertzis et al., 2017)</w:t>
      </w:r>
      <w:r w:rsidR="00E93914" w:rsidRPr="00A80A0C">
        <w:rPr>
          <w:color w:val="000000" w:themeColor="text1"/>
          <w:sz w:val="24"/>
          <w:szCs w:val="24"/>
        </w:rPr>
        <w:t>.</w:t>
      </w:r>
    </w:p>
    <w:p w14:paraId="75936938" w14:textId="5CCD3208" w:rsidR="00E93914" w:rsidRPr="00A80A0C" w:rsidRDefault="00957ABF" w:rsidP="00904903">
      <w:pPr>
        <w:spacing w:line="360" w:lineRule="auto"/>
        <w:ind w:firstLineChars="236" w:firstLine="566"/>
        <w:rPr>
          <w:color w:val="000000" w:themeColor="text1"/>
          <w:sz w:val="24"/>
          <w:szCs w:val="24"/>
        </w:rPr>
      </w:pPr>
      <w:bookmarkStart w:id="15" w:name="OLE_LINK10"/>
      <w:bookmarkStart w:id="16" w:name="OLE_LINK11"/>
      <w:r w:rsidRPr="00A80A0C">
        <w:rPr>
          <w:color w:val="000000" w:themeColor="text1"/>
          <w:sz w:val="24"/>
          <w:szCs w:val="24"/>
        </w:rPr>
        <w:lastRenderedPageBreak/>
        <w:t>SCF providers need to construct and map the financial network structure with other supporting organi</w:t>
      </w:r>
      <w:r w:rsidR="001B6052" w:rsidRPr="00A80A0C">
        <w:rPr>
          <w:color w:val="000000" w:themeColor="text1"/>
          <w:sz w:val="24"/>
          <w:szCs w:val="24"/>
        </w:rPr>
        <w:t>z</w:t>
      </w:r>
      <w:r w:rsidRPr="00A80A0C">
        <w:rPr>
          <w:color w:val="000000" w:themeColor="text1"/>
          <w:sz w:val="24"/>
          <w:szCs w:val="24"/>
        </w:rPr>
        <w:t xml:space="preserve">ations, including financial institutions, credit insurance, inspection and logistics companies, etc. (Yuan, 2007). Adapting the definition provided by Blackman et al. (2013), we consider </w:t>
      </w:r>
      <w:bookmarkStart w:id="17" w:name="OLE_LINK2"/>
      <w:r w:rsidRPr="00A80A0C">
        <w:rPr>
          <w:color w:val="000000" w:themeColor="text1"/>
          <w:sz w:val="24"/>
          <w:szCs w:val="24"/>
        </w:rPr>
        <w:t>the financial network structure</w:t>
      </w:r>
      <w:bookmarkEnd w:id="17"/>
      <w:r w:rsidRPr="00A80A0C">
        <w:rPr>
          <w:color w:val="000000" w:themeColor="text1"/>
          <w:sz w:val="24"/>
          <w:szCs w:val="24"/>
        </w:rPr>
        <w:t xml:space="preserve"> as the organizational arrangement of business relationships that connect the SCF providers with other SCF participants through multiple tiers of the SC</w:t>
      </w:r>
      <w:bookmarkEnd w:id="15"/>
      <w:bookmarkEnd w:id="16"/>
      <w:r w:rsidRPr="00A80A0C">
        <w:rPr>
          <w:color w:val="000000" w:themeColor="text1"/>
          <w:sz w:val="24"/>
          <w:szCs w:val="24"/>
        </w:rPr>
        <w:t xml:space="preserve">, which uncovers important details of financial processes, information flows and the inter-organizational relationships. </w:t>
      </w:r>
      <w:r w:rsidR="00E93914" w:rsidRPr="00A80A0C">
        <w:rPr>
          <w:color w:val="000000" w:themeColor="text1"/>
          <w:sz w:val="24"/>
          <w:szCs w:val="24"/>
        </w:rPr>
        <w:t xml:space="preserve">The change in financial network structures usually transforms the SCF activities and coordination mechanisms. For example, allowing the provision of capital to a higher number of suppliers at a lower rate requires an information coordination system to be simple and cost efficient, which demands that the SCF providers provide a platform or standardised </w:t>
      </w:r>
      <w:r w:rsidR="00A811EC" w:rsidRPr="00A80A0C">
        <w:rPr>
          <w:color w:val="000000" w:themeColor="text1"/>
          <w:sz w:val="24"/>
          <w:szCs w:val="24"/>
        </w:rPr>
        <w:t>Electronic Data Interchange (</w:t>
      </w:r>
      <w:r w:rsidR="00E93914" w:rsidRPr="00A80A0C">
        <w:rPr>
          <w:color w:val="000000" w:themeColor="text1"/>
          <w:sz w:val="24"/>
          <w:szCs w:val="24"/>
        </w:rPr>
        <w:t>EDI</w:t>
      </w:r>
      <w:r w:rsidR="00A811EC" w:rsidRPr="00A80A0C">
        <w:rPr>
          <w:color w:val="000000" w:themeColor="text1"/>
          <w:sz w:val="24"/>
          <w:szCs w:val="24"/>
        </w:rPr>
        <w:t>)</w:t>
      </w:r>
      <w:r w:rsidR="00E93914" w:rsidRPr="00A80A0C">
        <w:rPr>
          <w:color w:val="000000" w:themeColor="text1"/>
          <w:sz w:val="24"/>
          <w:szCs w:val="24"/>
        </w:rPr>
        <w:t xml:space="preserve"> system (Caniato et al., 2016; </w:t>
      </w:r>
      <w:proofErr w:type="spellStart"/>
      <w:r w:rsidR="00E93914" w:rsidRPr="00A80A0C">
        <w:rPr>
          <w:color w:val="000000" w:themeColor="text1"/>
          <w:sz w:val="24"/>
          <w:szCs w:val="24"/>
        </w:rPr>
        <w:t>Liebl</w:t>
      </w:r>
      <w:proofErr w:type="spellEnd"/>
      <w:r w:rsidR="00E93914" w:rsidRPr="00A80A0C">
        <w:rPr>
          <w:color w:val="000000" w:themeColor="text1"/>
          <w:sz w:val="24"/>
          <w:szCs w:val="24"/>
        </w:rPr>
        <w:t xml:space="preserve"> et al., 2016).</w:t>
      </w:r>
      <w:r w:rsidR="000905CE" w:rsidRPr="00A80A0C">
        <w:rPr>
          <w:color w:val="000000" w:themeColor="text1"/>
          <w:sz w:val="24"/>
          <w:szCs w:val="24"/>
        </w:rPr>
        <w:t xml:space="preserve"> </w:t>
      </w:r>
      <w:r w:rsidR="009B71C1" w:rsidRPr="00A80A0C">
        <w:rPr>
          <w:color w:val="000000" w:themeColor="text1"/>
          <w:sz w:val="24"/>
          <w:szCs w:val="24"/>
        </w:rPr>
        <w:t>Mapping financial network structure is pivotal in defining, modelling and improving the understanding of how a SCF syste</w:t>
      </w:r>
      <w:r w:rsidR="002B4A3F" w:rsidRPr="00A80A0C">
        <w:rPr>
          <w:color w:val="000000" w:themeColor="text1"/>
          <w:sz w:val="24"/>
          <w:szCs w:val="24"/>
        </w:rPr>
        <w:t>m works (Blackman et al., 2013)</w:t>
      </w:r>
      <w:r w:rsidR="00B41FC0" w:rsidRPr="00A80A0C">
        <w:rPr>
          <w:color w:val="000000" w:themeColor="text1"/>
          <w:sz w:val="24"/>
          <w:szCs w:val="24"/>
        </w:rPr>
        <w:t xml:space="preserve">. Clear </w:t>
      </w:r>
      <w:r w:rsidR="00904903" w:rsidRPr="00A80A0C">
        <w:rPr>
          <w:color w:val="000000" w:themeColor="text1"/>
          <w:sz w:val="24"/>
          <w:szCs w:val="24"/>
        </w:rPr>
        <w:t xml:space="preserve">financial </w:t>
      </w:r>
      <w:r w:rsidR="00B41FC0" w:rsidRPr="00A80A0C">
        <w:rPr>
          <w:color w:val="000000" w:themeColor="text1"/>
          <w:sz w:val="24"/>
          <w:szCs w:val="24"/>
        </w:rPr>
        <w:t xml:space="preserve">structure consciousness helps to understand the </w:t>
      </w:r>
      <w:r w:rsidR="00904903" w:rsidRPr="00A80A0C">
        <w:rPr>
          <w:color w:val="000000" w:themeColor="text1"/>
          <w:sz w:val="24"/>
          <w:szCs w:val="24"/>
        </w:rPr>
        <w:t>status</w:t>
      </w:r>
      <w:r w:rsidR="00904903" w:rsidRPr="00A80A0C">
        <w:rPr>
          <w:rFonts w:hint="eastAsia"/>
          <w:color w:val="000000" w:themeColor="text1"/>
          <w:sz w:val="24"/>
          <w:szCs w:val="24"/>
        </w:rPr>
        <w:t xml:space="preserve"> </w:t>
      </w:r>
      <w:r w:rsidR="00B41FC0" w:rsidRPr="00A80A0C">
        <w:rPr>
          <w:color w:val="000000" w:themeColor="text1"/>
          <w:sz w:val="24"/>
          <w:szCs w:val="24"/>
        </w:rPr>
        <w:t>and role</w:t>
      </w:r>
      <w:r w:rsidR="00904903" w:rsidRPr="00A80A0C">
        <w:rPr>
          <w:color w:val="000000" w:themeColor="text1"/>
          <w:sz w:val="24"/>
          <w:szCs w:val="24"/>
        </w:rPr>
        <w:t>s of every firms</w:t>
      </w:r>
      <w:r w:rsidR="006776ED" w:rsidRPr="00A80A0C">
        <w:rPr>
          <w:color w:val="000000" w:themeColor="text1"/>
          <w:sz w:val="24"/>
          <w:szCs w:val="24"/>
        </w:rPr>
        <w:t xml:space="preserve"> in the financial SC and improve collaborative </w:t>
      </w:r>
      <w:r w:rsidR="00904903" w:rsidRPr="00A80A0C">
        <w:rPr>
          <w:color w:val="000000" w:themeColor="text1"/>
          <w:sz w:val="24"/>
          <w:szCs w:val="24"/>
        </w:rPr>
        <w:t xml:space="preserve">relationship among SC partners and strategic alliances, which </w:t>
      </w:r>
      <w:r w:rsidR="007367C8" w:rsidRPr="00A80A0C">
        <w:rPr>
          <w:color w:val="000000" w:themeColor="text1"/>
          <w:sz w:val="24"/>
          <w:szCs w:val="24"/>
        </w:rPr>
        <w:t>can be called</w:t>
      </w:r>
      <w:r w:rsidR="00904903" w:rsidRPr="00A80A0C">
        <w:rPr>
          <w:color w:val="000000" w:themeColor="text1"/>
          <w:sz w:val="24"/>
          <w:szCs w:val="24"/>
        </w:rPr>
        <w:t xml:space="preserve"> </w:t>
      </w:r>
      <w:r w:rsidR="00912B78" w:rsidRPr="00A80A0C">
        <w:rPr>
          <w:color w:val="000000" w:themeColor="text1"/>
          <w:sz w:val="24"/>
          <w:szCs w:val="24"/>
        </w:rPr>
        <w:t>op</w:t>
      </w:r>
      <w:r w:rsidR="00501E61" w:rsidRPr="00A80A0C">
        <w:rPr>
          <w:color w:val="000000" w:themeColor="text1"/>
          <w:sz w:val="24"/>
          <w:szCs w:val="24"/>
        </w:rPr>
        <w:t>erational</w:t>
      </w:r>
      <w:r w:rsidR="00904903" w:rsidRPr="00A80A0C">
        <w:rPr>
          <w:color w:val="000000" w:themeColor="text1"/>
          <w:sz w:val="24"/>
          <w:szCs w:val="24"/>
        </w:rPr>
        <w:t xml:space="preserve"> integration</w:t>
      </w:r>
      <w:r w:rsidR="00261AD9" w:rsidRPr="00A80A0C">
        <w:rPr>
          <w:color w:val="000000" w:themeColor="text1"/>
          <w:sz w:val="24"/>
          <w:szCs w:val="24"/>
        </w:rPr>
        <w:t xml:space="preserve"> (</w:t>
      </w:r>
      <w:proofErr w:type="spellStart"/>
      <w:r w:rsidR="00C35CFC" w:rsidRPr="00A80A0C">
        <w:rPr>
          <w:color w:val="000000" w:themeColor="text1"/>
          <w:sz w:val="24"/>
          <w:szCs w:val="24"/>
        </w:rPr>
        <w:t>Morash</w:t>
      </w:r>
      <w:proofErr w:type="spellEnd"/>
      <w:r w:rsidR="00C35CFC" w:rsidRPr="00A80A0C">
        <w:rPr>
          <w:color w:val="000000" w:themeColor="text1"/>
          <w:sz w:val="24"/>
          <w:szCs w:val="24"/>
        </w:rPr>
        <w:t xml:space="preserve"> &amp; Clinton, 1998</w:t>
      </w:r>
      <w:r w:rsidR="00261AD9" w:rsidRPr="00A80A0C">
        <w:rPr>
          <w:color w:val="000000" w:themeColor="text1"/>
          <w:sz w:val="24"/>
          <w:szCs w:val="24"/>
        </w:rPr>
        <w:t>)</w:t>
      </w:r>
      <w:r w:rsidR="00904903" w:rsidRPr="00A80A0C">
        <w:rPr>
          <w:color w:val="000000" w:themeColor="text1"/>
          <w:sz w:val="24"/>
          <w:szCs w:val="24"/>
        </w:rPr>
        <w:t>. Therefore, we propose:</w:t>
      </w:r>
    </w:p>
    <w:p w14:paraId="33388281" w14:textId="60D418AF" w:rsidR="00E93914" w:rsidRPr="00A80A0C" w:rsidRDefault="00E93914" w:rsidP="00E93914">
      <w:pPr>
        <w:spacing w:line="360" w:lineRule="auto"/>
        <w:rPr>
          <w:i/>
          <w:color w:val="000000" w:themeColor="text1"/>
          <w:sz w:val="24"/>
          <w:szCs w:val="24"/>
        </w:rPr>
      </w:pPr>
      <w:r w:rsidRPr="00A80A0C">
        <w:rPr>
          <w:b/>
          <w:i/>
          <w:color w:val="000000" w:themeColor="text1"/>
          <w:sz w:val="24"/>
          <w:szCs w:val="24"/>
        </w:rPr>
        <w:t>P4a</w:t>
      </w:r>
      <w:r w:rsidRPr="00A80A0C">
        <w:rPr>
          <w:i/>
          <w:color w:val="000000" w:themeColor="text1"/>
          <w:sz w:val="24"/>
          <w:szCs w:val="24"/>
        </w:rPr>
        <w:t xml:space="preserve">: The enhancement of mapping financial network structure helps to achieve financial SC </w:t>
      </w:r>
      <w:r w:rsidR="00CE53B0" w:rsidRPr="00A80A0C">
        <w:rPr>
          <w:i/>
          <w:color w:val="000000" w:themeColor="text1"/>
          <w:sz w:val="24"/>
          <w:szCs w:val="24"/>
        </w:rPr>
        <w:t>operational</w:t>
      </w:r>
      <w:r w:rsidRPr="00A80A0C">
        <w:rPr>
          <w:i/>
          <w:color w:val="000000" w:themeColor="text1"/>
          <w:sz w:val="24"/>
          <w:szCs w:val="24"/>
        </w:rPr>
        <w:t xml:space="preserve"> integration.</w:t>
      </w:r>
    </w:p>
    <w:p w14:paraId="19F35DC4" w14:textId="77777777" w:rsidR="000345DF" w:rsidRPr="00A80A0C" w:rsidRDefault="000345DF" w:rsidP="00FC7D81">
      <w:pPr>
        <w:spacing w:line="360" w:lineRule="auto"/>
        <w:ind w:firstLineChars="200" w:firstLine="480"/>
        <w:rPr>
          <w:color w:val="000000" w:themeColor="text1"/>
          <w:sz w:val="24"/>
          <w:szCs w:val="24"/>
        </w:rPr>
      </w:pPr>
    </w:p>
    <w:p w14:paraId="2860E5F2" w14:textId="77777777" w:rsidR="00E03361" w:rsidRPr="00A80A0C" w:rsidRDefault="009271EC" w:rsidP="00E03361">
      <w:pPr>
        <w:spacing w:line="360" w:lineRule="auto"/>
        <w:rPr>
          <w:i/>
          <w:color w:val="000000" w:themeColor="text1"/>
          <w:sz w:val="24"/>
          <w:szCs w:val="24"/>
        </w:rPr>
      </w:pPr>
      <w:r w:rsidRPr="00A80A0C">
        <w:rPr>
          <w:rFonts w:hint="eastAsia"/>
          <w:i/>
          <w:color w:val="000000" w:themeColor="text1"/>
          <w:sz w:val="24"/>
          <w:szCs w:val="24"/>
        </w:rPr>
        <w:t xml:space="preserve">4.4.2 </w:t>
      </w:r>
      <w:r w:rsidR="00E03361" w:rsidRPr="00A80A0C">
        <w:rPr>
          <w:i/>
          <w:color w:val="000000" w:themeColor="text1"/>
          <w:sz w:val="24"/>
          <w:szCs w:val="24"/>
        </w:rPr>
        <w:t>Design financial business process and process integration</w:t>
      </w:r>
    </w:p>
    <w:p w14:paraId="2862422B" w14:textId="2607CD5F" w:rsidR="00BF3B5A" w:rsidRPr="00A80A0C" w:rsidRDefault="009271EC" w:rsidP="00BF3B5A">
      <w:pPr>
        <w:spacing w:line="360" w:lineRule="auto"/>
        <w:rPr>
          <w:color w:val="000000" w:themeColor="text1"/>
          <w:sz w:val="24"/>
          <w:szCs w:val="24"/>
        </w:rPr>
      </w:pPr>
      <w:r w:rsidRPr="00A80A0C">
        <w:rPr>
          <w:color w:val="000000" w:themeColor="text1"/>
          <w:sz w:val="24"/>
          <w:szCs w:val="24"/>
        </w:rPr>
        <w:t>According to Blackman et al. (2013), the financial business process is the set of activities involved in the coordination of financial transactions within and between the SCF provider</w:t>
      </w:r>
      <w:r w:rsidR="00632C93" w:rsidRPr="00A80A0C">
        <w:rPr>
          <w:color w:val="000000" w:themeColor="text1"/>
          <w:sz w:val="24"/>
          <w:szCs w:val="24"/>
        </w:rPr>
        <w:t>s</w:t>
      </w:r>
      <w:r w:rsidRPr="00A80A0C">
        <w:rPr>
          <w:color w:val="000000" w:themeColor="text1"/>
          <w:sz w:val="24"/>
          <w:szCs w:val="24"/>
        </w:rPr>
        <w:t xml:space="preserve"> and other SCF participants. This includes invoices, domestic and international payments, foreign exchange transactions, remittance advice and so on.</w:t>
      </w:r>
      <w:r w:rsidR="00D33BAC" w:rsidRPr="00A80A0C">
        <w:rPr>
          <w:rFonts w:hint="eastAsia"/>
          <w:color w:val="000000" w:themeColor="text1"/>
          <w:sz w:val="24"/>
          <w:szCs w:val="24"/>
        </w:rPr>
        <w:t xml:space="preserve"> </w:t>
      </w:r>
      <w:r w:rsidR="00632C93" w:rsidRPr="00A80A0C">
        <w:rPr>
          <w:color w:val="000000" w:themeColor="text1"/>
          <w:sz w:val="24"/>
          <w:szCs w:val="24"/>
        </w:rPr>
        <w:t>T</w:t>
      </w:r>
      <w:r w:rsidR="00871C0F" w:rsidRPr="00A80A0C">
        <w:rPr>
          <w:color w:val="000000" w:themeColor="text1"/>
          <w:sz w:val="24"/>
          <w:szCs w:val="24"/>
        </w:rPr>
        <w:t>he financial business process is in tandem with the manufacturing and logistical processes; hence, the capability of designing this process is important because it enables high levels of quality in a high-volume transaction environment. It can not only reduce the administrative an</w:t>
      </w:r>
      <w:r w:rsidR="007D39F8" w:rsidRPr="00A80A0C">
        <w:rPr>
          <w:color w:val="000000" w:themeColor="text1"/>
          <w:sz w:val="24"/>
          <w:szCs w:val="24"/>
        </w:rPr>
        <w:t>d banking costs but also enable</w:t>
      </w:r>
      <w:r w:rsidR="00871C0F" w:rsidRPr="00A80A0C">
        <w:rPr>
          <w:color w:val="000000" w:themeColor="text1"/>
          <w:sz w:val="24"/>
          <w:szCs w:val="24"/>
        </w:rPr>
        <w:t xml:space="preserve"> a much more refined and focused approach to strategies such as just-in-time (JIT) payments (Blackman et al., 2013). For example, to increase financial volume, the SCF providers need to incorporate more financial institutions (e.g., multiple banks) to ensure enough liquid funds. To </w:t>
      </w:r>
      <w:r w:rsidR="00871C0F" w:rsidRPr="00A80A0C">
        <w:rPr>
          <w:color w:val="000000" w:themeColor="text1"/>
          <w:sz w:val="24"/>
          <w:szCs w:val="24"/>
        </w:rPr>
        <w:lastRenderedPageBreak/>
        <w:t>provide customised service, the number of SCF customers should be limited (</w:t>
      </w:r>
      <w:proofErr w:type="spellStart"/>
      <w:r w:rsidR="00871C0F" w:rsidRPr="00A80A0C">
        <w:rPr>
          <w:color w:val="000000" w:themeColor="text1"/>
          <w:sz w:val="24"/>
          <w:szCs w:val="24"/>
        </w:rPr>
        <w:t>Liebl</w:t>
      </w:r>
      <w:proofErr w:type="spellEnd"/>
      <w:r w:rsidR="00871C0F" w:rsidRPr="00A80A0C">
        <w:rPr>
          <w:color w:val="000000" w:themeColor="text1"/>
          <w:sz w:val="24"/>
          <w:szCs w:val="24"/>
        </w:rPr>
        <w:t xml:space="preserve"> et al., 2016). </w:t>
      </w:r>
      <w:r w:rsidR="00D17495" w:rsidRPr="00A80A0C">
        <w:rPr>
          <w:color w:val="000000" w:themeColor="text1"/>
          <w:sz w:val="24"/>
          <w:szCs w:val="24"/>
        </w:rPr>
        <w:t>Especially</w:t>
      </w:r>
      <w:r w:rsidR="00134FCF" w:rsidRPr="00A80A0C">
        <w:rPr>
          <w:color w:val="000000" w:themeColor="text1"/>
          <w:sz w:val="24"/>
          <w:szCs w:val="24"/>
        </w:rPr>
        <w:t xml:space="preserve"> in the global SC, the financial processes are more important because it </w:t>
      </w:r>
      <w:r w:rsidR="0066056D" w:rsidRPr="00A80A0C">
        <w:rPr>
          <w:color w:val="000000" w:themeColor="text1"/>
          <w:sz w:val="24"/>
          <w:szCs w:val="24"/>
        </w:rPr>
        <w:t xml:space="preserve">not only </w:t>
      </w:r>
      <w:r w:rsidR="00134FCF" w:rsidRPr="00A80A0C">
        <w:rPr>
          <w:color w:val="000000" w:themeColor="text1"/>
          <w:sz w:val="24"/>
          <w:szCs w:val="24"/>
        </w:rPr>
        <w:t>concern</w:t>
      </w:r>
      <w:r w:rsidR="00E02243" w:rsidRPr="00A80A0C">
        <w:rPr>
          <w:color w:val="000000" w:themeColor="text1"/>
          <w:sz w:val="24"/>
          <w:szCs w:val="24"/>
        </w:rPr>
        <w:t>s</w:t>
      </w:r>
      <w:r w:rsidR="00134FCF" w:rsidRPr="00A80A0C">
        <w:rPr>
          <w:color w:val="000000" w:themeColor="text1"/>
          <w:sz w:val="24"/>
          <w:szCs w:val="24"/>
        </w:rPr>
        <w:t xml:space="preserve"> with payments</w:t>
      </w:r>
      <w:r w:rsidR="0066056D" w:rsidRPr="00A80A0C">
        <w:rPr>
          <w:color w:val="000000" w:themeColor="text1"/>
          <w:sz w:val="24"/>
          <w:szCs w:val="24"/>
        </w:rPr>
        <w:t xml:space="preserve"> and</w:t>
      </w:r>
      <w:r w:rsidR="00134FCF" w:rsidRPr="00A80A0C">
        <w:rPr>
          <w:color w:val="000000" w:themeColor="text1"/>
          <w:sz w:val="24"/>
          <w:szCs w:val="24"/>
        </w:rPr>
        <w:t xml:space="preserve"> visibility of the financial processes, </w:t>
      </w:r>
      <w:r w:rsidR="0066056D" w:rsidRPr="00A80A0C">
        <w:rPr>
          <w:color w:val="000000" w:themeColor="text1"/>
          <w:sz w:val="24"/>
          <w:szCs w:val="24"/>
        </w:rPr>
        <w:t>but also relate</w:t>
      </w:r>
      <w:r w:rsidR="00E02243" w:rsidRPr="00A80A0C">
        <w:rPr>
          <w:color w:val="000000" w:themeColor="text1"/>
          <w:sz w:val="24"/>
          <w:szCs w:val="24"/>
        </w:rPr>
        <w:t>s</w:t>
      </w:r>
      <w:r w:rsidR="0066056D" w:rsidRPr="00A80A0C">
        <w:rPr>
          <w:color w:val="000000" w:themeColor="text1"/>
          <w:sz w:val="24"/>
          <w:szCs w:val="24"/>
        </w:rPr>
        <w:t xml:space="preserve"> to </w:t>
      </w:r>
      <w:r w:rsidR="00134FCF" w:rsidRPr="00A80A0C">
        <w:rPr>
          <w:color w:val="000000" w:themeColor="text1"/>
          <w:sz w:val="24"/>
          <w:szCs w:val="24"/>
        </w:rPr>
        <w:t>foreign exchange and risk management.</w:t>
      </w:r>
      <w:r w:rsidR="006C035E" w:rsidRPr="00A80A0C">
        <w:rPr>
          <w:color w:val="000000" w:themeColor="text1"/>
          <w:sz w:val="24"/>
          <w:szCs w:val="24"/>
        </w:rPr>
        <w:t xml:space="preserve"> </w:t>
      </w:r>
      <w:r w:rsidR="00645FFF" w:rsidRPr="00A80A0C">
        <w:rPr>
          <w:color w:val="000000" w:themeColor="text1"/>
          <w:sz w:val="24"/>
          <w:szCs w:val="24"/>
        </w:rPr>
        <w:t>Designing f</w:t>
      </w:r>
      <w:r w:rsidR="00D2543F" w:rsidRPr="00A80A0C">
        <w:rPr>
          <w:color w:val="000000" w:themeColor="text1"/>
          <w:sz w:val="24"/>
          <w:szCs w:val="24"/>
        </w:rPr>
        <w:t>inancial business process</w:t>
      </w:r>
      <w:r w:rsidR="00645FFF" w:rsidRPr="00A80A0C">
        <w:rPr>
          <w:color w:val="000000" w:themeColor="text1"/>
          <w:sz w:val="24"/>
          <w:szCs w:val="24"/>
        </w:rPr>
        <w:t xml:space="preserve"> involves modelling of</w:t>
      </w:r>
      <w:r w:rsidR="004E51A2" w:rsidRPr="00A80A0C">
        <w:rPr>
          <w:color w:val="000000" w:themeColor="text1"/>
          <w:sz w:val="24"/>
          <w:szCs w:val="24"/>
        </w:rPr>
        <w:t xml:space="preserve"> the a</w:t>
      </w:r>
      <w:r w:rsidR="006C035E" w:rsidRPr="00A80A0C">
        <w:rPr>
          <w:color w:val="000000" w:themeColor="text1"/>
          <w:sz w:val="24"/>
          <w:szCs w:val="24"/>
        </w:rPr>
        <w:t>ctivities concerned with the coordination and management of financial transactions between SC partners</w:t>
      </w:r>
      <w:r w:rsidR="005F6743" w:rsidRPr="00A80A0C">
        <w:rPr>
          <w:color w:val="000000" w:themeColor="text1"/>
          <w:sz w:val="24"/>
          <w:szCs w:val="24"/>
        </w:rPr>
        <w:t xml:space="preserve"> (Blackman et al., 2013)</w:t>
      </w:r>
      <w:r w:rsidR="00BF3B5A" w:rsidRPr="00A80A0C">
        <w:rPr>
          <w:color w:val="000000" w:themeColor="text1"/>
          <w:sz w:val="24"/>
          <w:szCs w:val="24"/>
        </w:rPr>
        <w:t>. It</w:t>
      </w:r>
      <w:r w:rsidR="004C5725" w:rsidRPr="00A80A0C">
        <w:rPr>
          <w:color w:val="000000" w:themeColor="text1"/>
          <w:sz w:val="24"/>
          <w:szCs w:val="24"/>
        </w:rPr>
        <w:t xml:space="preserve"> help</w:t>
      </w:r>
      <w:r w:rsidR="00BF3B5A" w:rsidRPr="00A80A0C">
        <w:rPr>
          <w:color w:val="000000" w:themeColor="text1"/>
          <w:sz w:val="24"/>
          <w:szCs w:val="24"/>
        </w:rPr>
        <w:t>s</w:t>
      </w:r>
      <w:r w:rsidR="004C5725" w:rsidRPr="00A80A0C">
        <w:rPr>
          <w:color w:val="000000" w:themeColor="text1"/>
          <w:sz w:val="24"/>
          <w:szCs w:val="24"/>
        </w:rPr>
        <w:t xml:space="preserve"> to </w:t>
      </w:r>
      <w:r w:rsidR="00EA73A0" w:rsidRPr="00A80A0C">
        <w:rPr>
          <w:color w:val="000000" w:themeColor="text1"/>
          <w:sz w:val="24"/>
          <w:szCs w:val="24"/>
        </w:rPr>
        <w:t xml:space="preserve">establish </w:t>
      </w:r>
      <w:r w:rsidR="00BF3B5A" w:rsidRPr="00A80A0C">
        <w:rPr>
          <w:color w:val="000000" w:themeColor="text1"/>
          <w:sz w:val="24"/>
          <w:szCs w:val="24"/>
        </w:rPr>
        <w:t xml:space="preserve">the collaborative and synchronized processes with </w:t>
      </w:r>
      <w:r w:rsidR="00661A49" w:rsidRPr="00A80A0C">
        <w:rPr>
          <w:color w:val="000000" w:themeColor="text1"/>
          <w:sz w:val="24"/>
          <w:szCs w:val="24"/>
        </w:rPr>
        <w:t>SC partners</w:t>
      </w:r>
      <w:r w:rsidR="00BF3B5A" w:rsidRPr="00A80A0C">
        <w:rPr>
          <w:color w:val="000000" w:themeColor="text1"/>
          <w:sz w:val="24"/>
          <w:szCs w:val="24"/>
        </w:rPr>
        <w:t>, which is called process integration</w:t>
      </w:r>
      <w:r w:rsidR="005F6743" w:rsidRPr="00A80A0C">
        <w:rPr>
          <w:color w:val="000000" w:themeColor="text1"/>
          <w:sz w:val="24"/>
          <w:szCs w:val="24"/>
        </w:rPr>
        <w:t xml:space="preserve"> </w:t>
      </w:r>
      <w:r w:rsidR="00D72481" w:rsidRPr="00A80A0C">
        <w:rPr>
          <w:color w:val="000000" w:themeColor="text1"/>
          <w:sz w:val="24"/>
          <w:szCs w:val="24"/>
        </w:rPr>
        <w:t>(</w:t>
      </w:r>
      <w:proofErr w:type="spellStart"/>
      <w:r w:rsidR="00D72481" w:rsidRPr="00A80A0C">
        <w:rPr>
          <w:color w:val="000000" w:themeColor="text1"/>
          <w:sz w:val="24"/>
          <w:szCs w:val="24"/>
        </w:rPr>
        <w:t>Huo</w:t>
      </w:r>
      <w:proofErr w:type="spellEnd"/>
      <w:r w:rsidR="00D72481" w:rsidRPr="00A80A0C">
        <w:rPr>
          <w:color w:val="000000" w:themeColor="text1"/>
          <w:sz w:val="24"/>
          <w:szCs w:val="24"/>
        </w:rPr>
        <w:t xml:space="preserve"> et al. 2013)</w:t>
      </w:r>
      <w:r w:rsidR="00BF3B5A" w:rsidRPr="00A80A0C">
        <w:rPr>
          <w:color w:val="000000" w:themeColor="text1"/>
          <w:sz w:val="24"/>
          <w:szCs w:val="24"/>
        </w:rPr>
        <w:t xml:space="preserve">. As such, we </w:t>
      </w:r>
      <w:r w:rsidR="00BF3B5A" w:rsidRPr="00A80A0C">
        <w:rPr>
          <w:rFonts w:eastAsia="Microsoft YaHei UI"/>
          <w:color w:val="000000" w:themeColor="text1"/>
          <w:kern w:val="0"/>
          <w:sz w:val="24"/>
          <w:szCs w:val="24"/>
        </w:rPr>
        <w:t>propose:</w:t>
      </w:r>
    </w:p>
    <w:p w14:paraId="5C912983" w14:textId="16154B8C" w:rsidR="00607072" w:rsidRPr="00A80A0C" w:rsidRDefault="00607072" w:rsidP="00607072">
      <w:pPr>
        <w:spacing w:line="360" w:lineRule="auto"/>
        <w:rPr>
          <w:i/>
          <w:color w:val="000000" w:themeColor="text1"/>
          <w:sz w:val="24"/>
          <w:szCs w:val="24"/>
        </w:rPr>
      </w:pPr>
      <w:r w:rsidRPr="00A80A0C">
        <w:rPr>
          <w:b/>
          <w:i/>
          <w:color w:val="000000" w:themeColor="text1"/>
          <w:sz w:val="24"/>
          <w:szCs w:val="24"/>
        </w:rPr>
        <w:t>P4b</w:t>
      </w:r>
      <w:r w:rsidRPr="00A80A0C">
        <w:rPr>
          <w:i/>
          <w:color w:val="000000" w:themeColor="text1"/>
          <w:sz w:val="24"/>
          <w:szCs w:val="24"/>
        </w:rPr>
        <w:t>: The enhancement of designing financial business process helps to achieve financial SC process integration</w:t>
      </w:r>
      <w:r w:rsidR="0058204D" w:rsidRPr="00A80A0C">
        <w:rPr>
          <w:i/>
          <w:color w:val="000000" w:themeColor="text1"/>
          <w:sz w:val="24"/>
          <w:szCs w:val="24"/>
        </w:rPr>
        <w:t xml:space="preserve"> with SC partners</w:t>
      </w:r>
      <w:r w:rsidRPr="00A80A0C">
        <w:rPr>
          <w:i/>
          <w:color w:val="000000" w:themeColor="text1"/>
          <w:sz w:val="24"/>
          <w:szCs w:val="24"/>
        </w:rPr>
        <w:t>.</w:t>
      </w:r>
    </w:p>
    <w:p w14:paraId="47F261C7" w14:textId="77777777" w:rsidR="00E93914" w:rsidRPr="00A80A0C" w:rsidRDefault="00E93914" w:rsidP="00FC7D81">
      <w:pPr>
        <w:spacing w:line="360" w:lineRule="auto"/>
        <w:ind w:firstLineChars="200" w:firstLine="480"/>
        <w:rPr>
          <w:color w:val="000000" w:themeColor="text1"/>
          <w:sz w:val="24"/>
          <w:szCs w:val="24"/>
        </w:rPr>
      </w:pPr>
    </w:p>
    <w:p w14:paraId="389DEB4E" w14:textId="77777777" w:rsidR="009271EC" w:rsidRPr="00A80A0C" w:rsidRDefault="00E93914" w:rsidP="009271EC">
      <w:pPr>
        <w:spacing w:line="360" w:lineRule="auto"/>
        <w:rPr>
          <w:i/>
          <w:color w:val="000000" w:themeColor="text1"/>
          <w:sz w:val="24"/>
          <w:szCs w:val="24"/>
        </w:rPr>
      </w:pPr>
      <w:r w:rsidRPr="00A80A0C">
        <w:rPr>
          <w:rFonts w:hint="eastAsia"/>
          <w:i/>
          <w:color w:val="000000" w:themeColor="text1"/>
          <w:sz w:val="24"/>
          <w:szCs w:val="24"/>
        </w:rPr>
        <w:t>4</w:t>
      </w:r>
      <w:r w:rsidRPr="00A80A0C">
        <w:rPr>
          <w:i/>
          <w:color w:val="000000" w:themeColor="text1"/>
          <w:sz w:val="24"/>
          <w:szCs w:val="24"/>
        </w:rPr>
        <w:t>.4.3</w:t>
      </w:r>
      <w:r w:rsidR="009271EC" w:rsidRPr="00A80A0C">
        <w:rPr>
          <w:i/>
          <w:color w:val="000000" w:themeColor="text1"/>
          <w:sz w:val="24"/>
          <w:szCs w:val="24"/>
        </w:rPr>
        <w:t>.</w:t>
      </w:r>
      <w:r w:rsidRPr="00A80A0C">
        <w:rPr>
          <w:i/>
          <w:color w:val="000000" w:themeColor="text1"/>
          <w:sz w:val="24"/>
          <w:szCs w:val="24"/>
        </w:rPr>
        <w:t xml:space="preserve"> </w:t>
      </w:r>
      <w:r w:rsidR="009271EC" w:rsidRPr="00A80A0C">
        <w:rPr>
          <w:i/>
          <w:color w:val="000000" w:themeColor="text1"/>
          <w:sz w:val="24"/>
          <w:szCs w:val="24"/>
        </w:rPr>
        <w:t>Share financial information systems and information integration</w:t>
      </w:r>
    </w:p>
    <w:p w14:paraId="1D58EB47" w14:textId="6ABF1BC7" w:rsidR="00607072" w:rsidRPr="00A80A0C" w:rsidRDefault="00E93914" w:rsidP="009271EC">
      <w:pPr>
        <w:spacing w:line="360" w:lineRule="auto"/>
        <w:rPr>
          <w:rFonts w:eastAsia="Microsoft YaHei UI"/>
          <w:color w:val="000000" w:themeColor="text1"/>
          <w:kern w:val="0"/>
          <w:sz w:val="24"/>
          <w:szCs w:val="24"/>
        </w:rPr>
      </w:pPr>
      <w:bookmarkStart w:id="18" w:name="OLE_LINK12"/>
      <w:bookmarkStart w:id="19" w:name="OLE_LINK17"/>
      <w:r w:rsidRPr="00A80A0C">
        <w:rPr>
          <w:color w:val="000000" w:themeColor="text1"/>
          <w:sz w:val="24"/>
          <w:szCs w:val="24"/>
        </w:rPr>
        <w:t>A financial information system</w:t>
      </w:r>
      <w:bookmarkEnd w:id="18"/>
      <w:bookmarkEnd w:id="19"/>
      <w:r w:rsidRPr="00A80A0C">
        <w:rPr>
          <w:color w:val="000000" w:themeColor="text1"/>
          <w:sz w:val="24"/>
          <w:szCs w:val="24"/>
        </w:rPr>
        <w:t xml:space="preserve"> is another indispensable element as it is used to enable and connect financial business processes (Blackman et al., 2013). </w:t>
      </w:r>
      <w:r w:rsidR="00302616" w:rsidRPr="00A80A0C">
        <w:rPr>
          <w:color w:val="000000" w:themeColor="text1"/>
          <w:sz w:val="24"/>
          <w:szCs w:val="24"/>
        </w:rPr>
        <w:t>The capability of sharing financial information systems, which is used by SCF providers to coordinate subunits’ activities in the SC (Blackman et al., 2013), plays a decisive role in the success of SCF (</w:t>
      </w:r>
      <w:proofErr w:type="spellStart"/>
      <w:r w:rsidR="00302616" w:rsidRPr="00A80A0C">
        <w:rPr>
          <w:color w:val="000000" w:themeColor="text1"/>
          <w:sz w:val="24"/>
          <w:szCs w:val="24"/>
        </w:rPr>
        <w:t>Pfohl</w:t>
      </w:r>
      <w:proofErr w:type="spellEnd"/>
      <w:r w:rsidR="00302616" w:rsidRPr="00A80A0C">
        <w:rPr>
          <w:color w:val="000000" w:themeColor="text1"/>
          <w:sz w:val="24"/>
          <w:szCs w:val="24"/>
        </w:rPr>
        <w:t xml:space="preserve"> and </w:t>
      </w:r>
      <w:proofErr w:type="spellStart"/>
      <w:r w:rsidR="00302616" w:rsidRPr="00A80A0C">
        <w:rPr>
          <w:color w:val="000000" w:themeColor="text1"/>
          <w:sz w:val="24"/>
          <w:szCs w:val="24"/>
        </w:rPr>
        <w:t>Gomm</w:t>
      </w:r>
      <w:proofErr w:type="spellEnd"/>
      <w:r w:rsidR="00302616" w:rsidRPr="00A80A0C">
        <w:rPr>
          <w:color w:val="000000" w:themeColor="text1"/>
          <w:sz w:val="24"/>
          <w:szCs w:val="24"/>
        </w:rPr>
        <w:t xml:space="preserve">, 2009). </w:t>
      </w:r>
      <w:r w:rsidRPr="00A80A0C">
        <w:rPr>
          <w:color w:val="000000" w:themeColor="text1"/>
          <w:sz w:val="24"/>
          <w:szCs w:val="24"/>
        </w:rPr>
        <w:t>For example, the use of Enterprise Resource Planning (</w:t>
      </w:r>
      <w:bookmarkStart w:id="20" w:name="OLE_LINK1"/>
      <w:r w:rsidRPr="00A80A0C">
        <w:rPr>
          <w:color w:val="000000" w:themeColor="text1"/>
          <w:sz w:val="24"/>
          <w:szCs w:val="24"/>
        </w:rPr>
        <w:t>ERP</w:t>
      </w:r>
      <w:bookmarkEnd w:id="20"/>
      <w:r w:rsidRPr="00A80A0C">
        <w:rPr>
          <w:color w:val="000000" w:themeColor="text1"/>
          <w:sz w:val="24"/>
          <w:szCs w:val="24"/>
        </w:rPr>
        <w:t>) systems allows companies to have real time visibility and better control over their operations (</w:t>
      </w:r>
      <w:proofErr w:type="spellStart"/>
      <w:r w:rsidRPr="00A80A0C">
        <w:rPr>
          <w:color w:val="000000" w:themeColor="text1"/>
          <w:sz w:val="24"/>
          <w:szCs w:val="24"/>
        </w:rPr>
        <w:t>Gargeya</w:t>
      </w:r>
      <w:proofErr w:type="spellEnd"/>
      <w:r w:rsidRPr="00A80A0C">
        <w:rPr>
          <w:color w:val="000000" w:themeColor="text1"/>
          <w:sz w:val="24"/>
          <w:szCs w:val="24"/>
        </w:rPr>
        <w:t xml:space="preserve"> and Brady, 2005). EDI systems electronically transmit business documents, such as orders, invoices, and contracts (</w:t>
      </w:r>
      <w:proofErr w:type="spellStart"/>
      <w:r w:rsidRPr="00A80A0C">
        <w:rPr>
          <w:color w:val="000000" w:themeColor="text1"/>
          <w:sz w:val="24"/>
          <w:szCs w:val="24"/>
        </w:rPr>
        <w:t>Ghobadian</w:t>
      </w:r>
      <w:proofErr w:type="spellEnd"/>
      <w:r w:rsidRPr="00A80A0C">
        <w:rPr>
          <w:color w:val="000000" w:themeColor="text1"/>
          <w:sz w:val="24"/>
          <w:szCs w:val="24"/>
        </w:rPr>
        <w:t xml:space="preserve"> et al., 2013). Some other more sophisticated electronic business standards such as </w:t>
      </w:r>
      <w:bookmarkStart w:id="21" w:name="OLE_LINK18"/>
      <w:bookmarkStart w:id="22" w:name="OLE_LINK19"/>
      <w:proofErr w:type="spellStart"/>
      <w:r w:rsidRPr="00A80A0C">
        <w:rPr>
          <w:color w:val="000000" w:themeColor="text1"/>
          <w:sz w:val="24"/>
          <w:szCs w:val="24"/>
        </w:rPr>
        <w:t>RosettaNet</w:t>
      </w:r>
      <w:bookmarkEnd w:id="21"/>
      <w:bookmarkEnd w:id="22"/>
      <w:proofErr w:type="spellEnd"/>
      <w:r w:rsidRPr="00A80A0C">
        <w:rPr>
          <w:color w:val="000000" w:themeColor="text1"/>
          <w:sz w:val="24"/>
          <w:szCs w:val="24"/>
        </w:rPr>
        <w:t xml:space="preserve"> are designed to create and implement industry-wide, open e-business process standards that facilitate the electronic business interfaces used between participating SC partners (</w:t>
      </w:r>
      <w:proofErr w:type="spellStart"/>
      <w:r w:rsidRPr="00A80A0C">
        <w:rPr>
          <w:color w:val="000000" w:themeColor="text1"/>
          <w:sz w:val="24"/>
          <w:szCs w:val="24"/>
        </w:rPr>
        <w:t>Geerts</w:t>
      </w:r>
      <w:proofErr w:type="spellEnd"/>
      <w:r w:rsidRPr="00A80A0C">
        <w:rPr>
          <w:color w:val="000000" w:themeColor="text1"/>
          <w:sz w:val="24"/>
          <w:szCs w:val="24"/>
        </w:rPr>
        <w:t xml:space="preserve"> and O'Leary, 2015).</w:t>
      </w:r>
      <w:r w:rsidR="00B2006D" w:rsidRPr="00A80A0C">
        <w:rPr>
          <w:color w:val="000000" w:themeColor="text1"/>
          <w:sz w:val="24"/>
          <w:szCs w:val="24"/>
        </w:rPr>
        <w:t xml:space="preserve"> Such information sharing requires frequent and intense communication between SC partners, which </w:t>
      </w:r>
      <w:r w:rsidR="00A011A1" w:rsidRPr="00A80A0C">
        <w:rPr>
          <w:color w:val="000000" w:themeColor="text1"/>
          <w:sz w:val="24"/>
          <w:szCs w:val="24"/>
        </w:rPr>
        <w:t>constitutes high levels of cooperative behaviour and high degree information flows between them</w:t>
      </w:r>
      <w:r w:rsidR="009271EC" w:rsidRPr="00A80A0C">
        <w:rPr>
          <w:color w:val="000000" w:themeColor="text1"/>
          <w:sz w:val="24"/>
          <w:szCs w:val="24"/>
        </w:rPr>
        <w:t xml:space="preserve"> (</w:t>
      </w:r>
      <w:proofErr w:type="spellStart"/>
      <w:r w:rsidR="009271EC" w:rsidRPr="00A80A0C">
        <w:rPr>
          <w:color w:val="000000" w:themeColor="text1"/>
          <w:sz w:val="24"/>
          <w:szCs w:val="24"/>
        </w:rPr>
        <w:t>Prajogo</w:t>
      </w:r>
      <w:proofErr w:type="spellEnd"/>
      <w:r w:rsidR="009271EC" w:rsidRPr="00A80A0C">
        <w:rPr>
          <w:color w:val="000000" w:themeColor="text1"/>
          <w:sz w:val="24"/>
          <w:szCs w:val="24"/>
        </w:rPr>
        <w:t xml:space="preserve"> and </w:t>
      </w:r>
      <w:proofErr w:type="spellStart"/>
      <w:r w:rsidR="009271EC" w:rsidRPr="00A80A0C">
        <w:rPr>
          <w:color w:val="000000" w:themeColor="text1"/>
          <w:sz w:val="24"/>
          <w:szCs w:val="24"/>
        </w:rPr>
        <w:t>Olhager</w:t>
      </w:r>
      <w:proofErr w:type="spellEnd"/>
      <w:r w:rsidR="009271EC" w:rsidRPr="00A80A0C">
        <w:rPr>
          <w:color w:val="000000" w:themeColor="text1"/>
          <w:sz w:val="24"/>
          <w:szCs w:val="24"/>
        </w:rPr>
        <w:t xml:space="preserve"> 2012)</w:t>
      </w:r>
      <w:r w:rsidR="00A011A1" w:rsidRPr="00A80A0C">
        <w:rPr>
          <w:color w:val="000000" w:themeColor="text1"/>
          <w:sz w:val="24"/>
          <w:szCs w:val="24"/>
        </w:rPr>
        <w:t xml:space="preserve">. </w:t>
      </w:r>
      <w:r w:rsidR="000929D8" w:rsidRPr="00A80A0C">
        <w:rPr>
          <w:color w:val="000000" w:themeColor="text1"/>
          <w:sz w:val="24"/>
          <w:szCs w:val="24"/>
        </w:rPr>
        <w:t>Eventually</w:t>
      </w:r>
      <w:r w:rsidR="00A011A1" w:rsidRPr="00A80A0C">
        <w:rPr>
          <w:color w:val="000000" w:themeColor="text1"/>
          <w:sz w:val="24"/>
          <w:szCs w:val="24"/>
        </w:rPr>
        <w:t xml:space="preserve">, </w:t>
      </w:r>
      <w:r w:rsidR="000929D8" w:rsidRPr="00A80A0C">
        <w:rPr>
          <w:color w:val="000000" w:themeColor="text1"/>
          <w:sz w:val="24"/>
          <w:szCs w:val="24"/>
        </w:rPr>
        <w:t xml:space="preserve">financial SC information integration, which </w:t>
      </w:r>
      <w:r w:rsidR="00A011A1" w:rsidRPr="00A80A0C">
        <w:rPr>
          <w:rFonts w:eastAsia="Microsoft YaHei UI"/>
          <w:color w:val="000000" w:themeColor="text1"/>
          <w:kern w:val="0"/>
          <w:sz w:val="24"/>
          <w:szCs w:val="24"/>
        </w:rPr>
        <w:t xml:space="preserve">means the extent to which firms electronically link and deploy information technology for </w:t>
      </w:r>
      <w:r w:rsidR="000929D8" w:rsidRPr="00A80A0C">
        <w:rPr>
          <w:rFonts w:eastAsia="Microsoft YaHei UI"/>
          <w:color w:val="000000" w:themeColor="text1"/>
          <w:kern w:val="0"/>
          <w:sz w:val="24"/>
          <w:szCs w:val="24"/>
        </w:rPr>
        <w:t xml:space="preserve">financial </w:t>
      </w:r>
      <w:r w:rsidR="00A011A1" w:rsidRPr="00A80A0C">
        <w:rPr>
          <w:rFonts w:eastAsia="Microsoft YaHei UI"/>
          <w:color w:val="000000" w:themeColor="text1"/>
          <w:kern w:val="0"/>
          <w:sz w:val="24"/>
          <w:szCs w:val="24"/>
        </w:rPr>
        <w:t xml:space="preserve">information sharing across </w:t>
      </w:r>
      <w:r w:rsidR="000929D8" w:rsidRPr="00A80A0C">
        <w:rPr>
          <w:rFonts w:eastAsia="Microsoft YaHei UI"/>
          <w:color w:val="000000" w:themeColor="text1"/>
          <w:kern w:val="0"/>
          <w:sz w:val="24"/>
          <w:szCs w:val="24"/>
        </w:rPr>
        <w:t>SC partners</w:t>
      </w:r>
      <w:r w:rsidR="00A63E0D" w:rsidRPr="00A80A0C">
        <w:rPr>
          <w:rFonts w:eastAsia="Microsoft YaHei UI"/>
          <w:color w:val="000000" w:themeColor="text1"/>
          <w:kern w:val="0"/>
          <w:sz w:val="24"/>
          <w:szCs w:val="24"/>
        </w:rPr>
        <w:t xml:space="preserve"> </w:t>
      </w:r>
      <w:r w:rsidR="00124F96" w:rsidRPr="00A80A0C">
        <w:rPr>
          <w:rFonts w:eastAsia="Microsoft YaHei UI"/>
          <w:color w:val="000000" w:themeColor="text1"/>
          <w:kern w:val="0"/>
          <w:sz w:val="24"/>
          <w:szCs w:val="24"/>
        </w:rPr>
        <w:t>(Rai et al. 2006</w:t>
      </w:r>
      <w:r w:rsidR="004332C6" w:rsidRPr="00A80A0C">
        <w:rPr>
          <w:rFonts w:eastAsia="Microsoft YaHei UI"/>
          <w:color w:val="000000" w:themeColor="text1"/>
          <w:kern w:val="0"/>
          <w:sz w:val="24"/>
          <w:szCs w:val="24"/>
        </w:rPr>
        <w:t xml:space="preserve">; </w:t>
      </w:r>
      <w:r w:rsidR="004B78C0" w:rsidRPr="00A80A0C">
        <w:rPr>
          <w:color w:val="000000" w:themeColor="text1"/>
          <w:sz w:val="24"/>
          <w:szCs w:val="24"/>
        </w:rPr>
        <w:t>Liu et al., 2016</w:t>
      </w:r>
      <w:r w:rsidR="00124F96" w:rsidRPr="00A80A0C">
        <w:rPr>
          <w:rFonts w:eastAsia="Microsoft YaHei UI"/>
          <w:color w:val="000000" w:themeColor="text1"/>
          <w:kern w:val="0"/>
          <w:sz w:val="24"/>
          <w:szCs w:val="24"/>
        </w:rPr>
        <w:t>)</w:t>
      </w:r>
      <w:r w:rsidR="00D04846" w:rsidRPr="00A80A0C">
        <w:rPr>
          <w:rFonts w:eastAsia="Microsoft YaHei UI"/>
          <w:color w:val="000000" w:themeColor="text1"/>
          <w:kern w:val="0"/>
          <w:sz w:val="24"/>
          <w:szCs w:val="24"/>
        </w:rPr>
        <w:t xml:space="preserve"> can be achieved</w:t>
      </w:r>
      <w:r w:rsidR="00A011A1" w:rsidRPr="00A80A0C">
        <w:rPr>
          <w:rFonts w:eastAsia="Microsoft YaHei UI"/>
          <w:color w:val="000000" w:themeColor="text1"/>
          <w:kern w:val="0"/>
          <w:sz w:val="24"/>
          <w:szCs w:val="24"/>
        </w:rPr>
        <w:t>.</w:t>
      </w:r>
      <w:r w:rsidR="00607072" w:rsidRPr="00A80A0C">
        <w:rPr>
          <w:rFonts w:eastAsia="Microsoft YaHei UI"/>
          <w:color w:val="000000" w:themeColor="text1"/>
          <w:kern w:val="0"/>
          <w:sz w:val="24"/>
          <w:szCs w:val="24"/>
        </w:rPr>
        <w:t xml:space="preserve"> Thus, we present the final proposition:</w:t>
      </w:r>
    </w:p>
    <w:p w14:paraId="7746B165" w14:textId="3E7CB000" w:rsidR="00607072" w:rsidRPr="00A80A0C" w:rsidRDefault="00607072" w:rsidP="00607072">
      <w:pPr>
        <w:spacing w:line="360" w:lineRule="auto"/>
        <w:rPr>
          <w:i/>
          <w:color w:val="000000" w:themeColor="text1"/>
          <w:sz w:val="24"/>
          <w:szCs w:val="24"/>
        </w:rPr>
      </w:pPr>
      <w:r w:rsidRPr="00A80A0C">
        <w:rPr>
          <w:b/>
          <w:i/>
          <w:color w:val="000000" w:themeColor="text1"/>
          <w:sz w:val="24"/>
          <w:szCs w:val="24"/>
        </w:rPr>
        <w:t>P4c</w:t>
      </w:r>
      <w:r w:rsidRPr="00A80A0C">
        <w:rPr>
          <w:i/>
          <w:color w:val="000000" w:themeColor="text1"/>
          <w:sz w:val="24"/>
          <w:szCs w:val="24"/>
        </w:rPr>
        <w:t xml:space="preserve">: The </w:t>
      </w:r>
      <w:r w:rsidR="00D04846" w:rsidRPr="00A80A0C">
        <w:rPr>
          <w:i/>
          <w:color w:val="000000" w:themeColor="text1"/>
          <w:sz w:val="24"/>
          <w:szCs w:val="24"/>
        </w:rPr>
        <w:t xml:space="preserve">support </w:t>
      </w:r>
      <w:r w:rsidRPr="00A80A0C">
        <w:rPr>
          <w:i/>
          <w:color w:val="000000" w:themeColor="text1"/>
          <w:sz w:val="24"/>
          <w:szCs w:val="24"/>
        </w:rPr>
        <w:t xml:space="preserve">of sharing financial information systems helps to achieve financial SC </w:t>
      </w:r>
      <w:r w:rsidRPr="00A80A0C">
        <w:rPr>
          <w:i/>
          <w:color w:val="000000" w:themeColor="text1"/>
          <w:sz w:val="24"/>
          <w:szCs w:val="24"/>
        </w:rPr>
        <w:lastRenderedPageBreak/>
        <w:t>information integration.</w:t>
      </w:r>
    </w:p>
    <w:p w14:paraId="6E106F24" w14:textId="77777777" w:rsidR="00743A1A" w:rsidRPr="00A80A0C" w:rsidRDefault="00743A1A" w:rsidP="00743A1A">
      <w:pPr>
        <w:spacing w:line="360" w:lineRule="auto"/>
        <w:rPr>
          <w:i/>
          <w:color w:val="000000" w:themeColor="text1"/>
          <w:sz w:val="24"/>
          <w:szCs w:val="24"/>
        </w:rPr>
      </w:pPr>
    </w:p>
    <w:p w14:paraId="0784B73C" w14:textId="0FB51A19" w:rsidR="00555221" w:rsidRPr="00A80A0C" w:rsidRDefault="00A74543" w:rsidP="00782B61">
      <w:pPr>
        <w:spacing w:line="360" w:lineRule="auto"/>
        <w:ind w:firstLineChars="177" w:firstLine="425"/>
        <w:rPr>
          <w:color w:val="000000" w:themeColor="text1"/>
          <w:sz w:val="24"/>
          <w:szCs w:val="24"/>
        </w:rPr>
      </w:pPr>
      <w:r w:rsidRPr="00A80A0C">
        <w:rPr>
          <w:rFonts w:hint="eastAsia"/>
          <w:color w:val="000000" w:themeColor="text1"/>
          <w:sz w:val="24"/>
          <w:szCs w:val="24"/>
        </w:rPr>
        <w:t>T</w:t>
      </w:r>
      <w:r w:rsidR="001317A0" w:rsidRPr="00A80A0C">
        <w:rPr>
          <w:color w:val="000000" w:themeColor="text1"/>
          <w:sz w:val="24"/>
          <w:szCs w:val="24"/>
        </w:rPr>
        <w:t>he reviewed 71</w:t>
      </w:r>
      <w:r w:rsidRPr="00A80A0C">
        <w:rPr>
          <w:color w:val="000000" w:themeColor="text1"/>
          <w:sz w:val="24"/>
          <w:szCs w:val="24"/>
        </w:rPr>
        <w:t xml:space="preserve"> papers provide insights into some details on SCF information processing requirements, factors effect SCF information processing c</w:t>
      </w:r>
      <w:r w:rsidR="00782B61" w:rsidRPr="00A80A0C">
        <w:rPr>
          <w:color w:val="000000" w:themeColor="text1"/>
          <w:sz w:val="24"/>
          <w:szCs w:val="24"/>
        </w:rPr>
        <w:t xml:space="preserve">apacities, and SCF capabilities, which </w:t>
      </w:r>
      <w:r w:rsidR="00E04313" w:rsidRPr="00A80A0C">
        <w:rPr>
          <w:color w:val="000000" w:themeColor="text1"/>
          <w:sz w:val="24"/>
          <w:szCs w:val="24"/>
        </w:rPr>
        <w:t>lays the foundation</w:t>
      </w:r>
      <w:r w:rsidR="00782B61" w:rsidRPr="00A80A0C">
        <w:rPr>
          <w:color w:val="000000" w:themeColor="text1"/>
          <w:sz w:val="24"/>
          <w:szCs w:val="24"/>
        </w:rPr>
        <w:t xml:space="preserve"> </w:t>
      </w:r>
      <w:r w:rsidR="00E04313" w:rsidRPr="00A80A0C">
        <w:rPr>
          <w:color w:val="000000" w:themeColor="text1"/>
          <w:sz w:val="24"/>
          <w:szCs w:val="24"/>
        </w:rPr>
        <w:t>of</w:t>
      </w:r>
      <w:r w:rsidR="00782B61" w:rsidRPr="00A80A0C">
        <w:rPr>
          <w:color w:val="000000" w:themeColor="text1"/>
          <w:sz w:val="24"/>
          <w:szCs w:val="24"/>
        </w:rPr>
        <w:t xml:space="preserve"> build</w:t>
      </w:r>
      <w:r w:rsidR="00E04313" w:rsidRPr="00A80A0C">
        <w:rPr>
          <w:color w:val="000000" w:themeColor="text1"/>
          <w:sz w:val="24"/>
          <w:szCs w:val="24"/>
        </w:rPr>
        <w:t>ing</w:t>
      </w:r>
      <w:r w:rsidR="00782B61" w:rsidRPr="00A80A0C">
        <w:rPr>
          <w:color w:val="000000" w:themeColor="text1"/>
          <w:sz w:val="24"/>
          <w:szCs w:val="24"/>
        </w:rPr>
        <w:t xml:space="preserve"> the </w:t>
      </w:r>
      <w:r w:rsidR="00555221" w:rsidRPr="00A80A0C">
        <w:rPr>
          <w:color w:val="000000" w:themeColor="text1"/>
          <w:sz w:val="24"/>
          <w:szCs w:val="24"/>
        </w:rPr>
        <w:t xml:space="preserve">whole conceptual framework </w:t>
      </w:r>
      <w:r w:rsidR="00782B61" w:rsidRPr="00A80A0C">
        <w:rPr>
          <w:color w:val="000000" w:themeColor="text1"/>
          <w:sz w:val="24"/>
          <w:szCs w:val="24"/>
        </w:rPr>
        <w:t>(</w:t>
      </w:r>
      <w:r w:rsidR="00555221" w:rsidRPr="00A80A0C">
        <w:rPr>
          <w:b/>
          <w:color w:val="000000" w:themeColor="text1"/>
          <w:sz w:val="24"/>
          <w:szCs w:val="24"/>
        </w:rPr>
        <w:t>Fig</w:t>
      </w:r>
      <w:r w:rsidR="00782B61" w:rsidRPr="00A80A0C">
        <w:rPr>
          <w:b/>
          <w:color w:val="000000" w:themeColor="text1"/>
          <w:sz w:val="24"/>
          <w:szCs w:val="24"/>
        </w:rPr>
        <w:t>.</w:t>
      </w:r>
      <w:r w:rsidR="00555221" w:rsidRPr="00A80A0C">
        <w:rPr>
          <w:b/>
          <w:color w:val="000000" w:themeColor="text1"/>
          <w:sz w:val="24"/>
          <w:szCs w:val="24"/>
        </w:rPr>
        <w:t xml:space="preserve"> 6</w:t>
      </w:r>
      <w:r w:rsidR="00782B61" w:rsidRPr="00A80A0C">
        <w:rPr>
          <w:color w:val="000000" w:themeColor="text1"/>
          <w:sz w:val="24"/>
          <w:szCs w:val="24"/>
        </w:rPr>
        <w:t>)</w:t>
      </w:r>
      <w:r w:rsidR="001317A0" w:rsidRPr="00A80A0C">
        <w:rPr>
          <w:color w:val="000000" w:themeColor="text1"/>
          <w:sz w:val="24"/>
          <w:szCs w:val="24"/>
        </w:rPr>
        <w:t xml:space="preserve">, which vividly show all the propositions discussed in this section. </w:t>
      </w:r>
    </w:p>
    <w:p w14:paraId="097635B8" w14:textId="77777777" w:rsidR="00F921E1" w:rsidRPr="00A80A0C" w:rsidRDefault="00F921E1" w:rsidP="00782B61">
      <w:pPr>
        <w:spacing w:line="360" w:lineRule="auto"/>
        <w:ind w:firstLineChars="177" w:firstLine="425"/>
        <w:rPr>
          <w:color w:val="000000" w:themeColor="text1"/>
          <w:sz w:val="24"/>
          <w:szCs w:val="24"/>
        </w:rPr>
      </w:pPr>
    </w:p>
    <w:p w14:paraId="16F77ACF" w14:textId="77777777" w:rsidR="00555221" w:rsidRPr="00A80A0C" w:rsidRDefault="00555221" w:rsidP="00555221">
      <w:pPr>
        <w:spacing w:line="360" w:lineRule="auto"/>
        <w:ind w:firstLineChars="200" w:firstLine="480"/>
        <w:jc w:val="center"/>
        <w:rPr>
          <w:color w:val="000000" w:themeColor="text1"/>
          <w:sz w:val="24"/>
          <w:szCs w:val="24"/>
        </w:rPr>
      </w:pPr>
      <w:r w:rsidRPr="00A80A0C">
        <w:rPr>
          <w:color w:val="000000" w:themeColor="text1"/>
          <w:sz w:val="24"/>
          <w:szCs w:val="24"/>
        </w:rPr>
        <w:t>---------------------Insert Figure 6 here------------------------------</w:t>
      </w:r>
    </w:p>
    <w:p w14:paraId="69738CDD" w14:textId="77777777" w:rsidR="00367F68" w:rsidRPr="00A80A0C" w:rsidRDefault="00367F68" w:rsidP="00555221">
      <w:pPr>
        <w:spacing w:line="360" w:lineRule="auto"/>
        <w:ind w:firstLineChars="200" w:firstLine="480"/>
        <w:jc w:val="center"/>
        <w:rPr>
          <w:color w:val="000000" w:themeColor="text1"/>
          <w:sz w:val="24"/>
          <w:szCs w:val="24"/>
        </w:rPr>
      </w:pPr>
    </w:p>
    <w:p w14:paraId="206D29C4" w14:textId="3202CA87" w:rsidR="00BE3ED0" w:rsidRPr="00A80A0C" w:rsidRDefault="005304CA" w:rsidP="00860AAC">
      <w:pPr>
        <w:pStyle w:val="Heading2"/>
        <w:spacing w:beforeLines="50" w:before="156" w:afterLines="50" w:after="156" w:line="360" w:lineRule="auto"/>
        <w:rPr>
          <w:color w:val="000000" w:themeColor="text1"/>
          <w:szCs w:val="24"/>
        </w:rPr>
      </w:pPr>
      <w:r w:rsidRPr="00A80A0C">
        <w:rPr>
          <w:color w:val="000000" w:themeColor="text1"/>
          <w:szCs w:val="24"/>
        </w:rPr>
        <w:t>4.5 A</w:t>
      </w:r>
      <w:r w:rsidR="00BE3ED0" w:rsidRPr="00A80A0C">
        <w:rPr>
          <w:color w:val="000000" w:themeColor="text1"/>
          <w:szCs w:val="24"/>
        </w:rPr>
        <w:t xml:space="preserve"> case</w:t>
      </w:r>
      <w:r w:rsidRPr="00A80A0C">
        <w:rPr>
          <w:color w:val="000000" w:themeColor="text1"/>
          <w:szCs w:val="24"/>
        </w:rPr>
        <w:t xml:space="preserve"> example to illustrate</w:t>
      </w:r>
      <w:r w:rsidR="00BE3ED0" w:rsidRPr="00A80A0C">
        <w:rPr>
          <w:color w:val="000000" w:themeColor="text1"/>
          <w:szCs w:val="24"/>
        </w:rPr>
        <w:t xml:space="preserve"> the </w:t>
      </w:r>
      <w:r w:rsidR="00860AAC" w:rsidRPr="00A80A0C">
        <w:rPr>
          <w:color w:val="000000" w:themeColor="text1"/>
          <w:szCs w:val="24"/>
        </w:rPr>
        <w:t>conceptual framework</w:t>
      </w:r>
    </w:p>
    <w:p w14:paraId="3C7DD856" w14:textId="7D962FFC" w:rsidR="006A6CBB" w:rsidRPr="00A80A0C" w:rsidRDefault="00036858" w:rsidP="006F7536">
      <w:pPr>
        <w:spacing w:line="360" w:lineRule="auto"/>
        <w:rPr>
          <w:color w:val="000000" w:themeColor="text1"/>
          <w:sz w:val="24"/>
          <w:szCs w:val="24"/>
        </w:rPr>
      </w:pPr>
      <w:r w:rsidRPr="00A80A0C">
        <w:rPr>
          <w:color w:val="000000" w:themeColor="text1"/>
          <w:sz w:val="24"/>
          <w:szCs w:val="24"/>
        </w:rPr>
        <w:t>T</w:t>
      </w:r>
      <w:r w:rsidR="00AC601E" w:rsidRPr="00A80A0C">
        <w:rPr>
          <w:color w:val="000000" w:themeColor="text1"/>
          <w:sz w:val="24"/>
          <w:szCs w:val="24"/>
        </w:rPr>
        <w:t xml:space="preserve">o further illustrate the practicability of the IPT based SCF conceptual model, a practical case of Volvo SCF </w:t>
      </w:r>
      <w:r w:rsidR="00C120AF" w:rsidRPr="00A80A0C">
        <w:rPr>
          <w:color w:val="000000" w:themeColor="text1"/>
          <w:sz w:val="24"/>
          <w:szCs w:val="24"/>
        </w:rPr>
        <w:t>programme</w:t>
      </w:r>
      <w:r w:rsidRPr="00A80A0C">
        <w:rPr>
          <w:color w:val="000000" w:themeColor="text1"/>
          <w:sz w:val="24"/>
          <w:szCs w:val="24"/>
        </w:rPr>
        <w:t xml:space="preserve"> is presented</w:t>
      </w:r>
      <w:r w:rsidR="00C120AF" w:rsidRPr="00A80A0C">
        <w:rPr>
          <w:color w:val="000000" w:themeColor="text1"/>
          <w:sz w:val="24"/>
          <w:szCs w:val="24"/>
        </w:rPr>
        <w:t>.</w:t>
      </w:r>
      <w:r w:rsidR="0082160A" w:rsidRPr="00A80A0C">
        <w:rPr>
          <w:color w:val="000000" w:themeColor="text1"/>
          <w:sz w:val="24"/>
          <w:szCs w:val="24"/>
        </w:rPr>
        <w:t xml:space="preserve"> </w:t>
      </w:r>
      <w:r w:rsidR="0063631D" w:rsidRPr="00A80A0C">
        <w:rPr>
          <w:color w:val="000000" w:themeColor="text1"/>
          <w:sz w:val="24"/>
          <w:szCs w:val="24"/>
        </w:rPr>
        <w:t>Multi-national Corporation (MNCs) are the first to adopt a supply chain perspective while internationalising</w:t>
      </w:r>
      <w:r w:rsidR="00C120AF" w:rsidRPr="00A80A0C">
        <w:rPr>
          <w:color w:val="000000" w:themeColor="text1"/>
          <w:sz w:val="24"/>
          <w:szCs w:val="24"/>
        </w:rPr>
        <w:t xml:space="preserve">, they tend to </w:t>
      </w:r>
      <w:r w:rsidR="0063631D" w:rsidRPr="00A80A0C">
        <w:rPr>
          <w:color w:val="000000" w:themeColor="text1"/>
          <w:sz w:val="24"/>
          <w:szCs w:val="24"/>
        </w:rPr>
        <w:t xml:space="preserve">pay attention to their suppliers and customers including their financing and are the first to </w:t>
      </w:r>
      <w:r w:rsidR="00C120AF" w:rsidRPr="00A80A0C">
        <w:rPr>
          <w:color w:val="000000" w:themeColor="text1"/>
          <w:sz w:val="24"/>
          <w:szCs w:val="24"/>
        </w:rPr>
        <w:t xml:space="preserve">adopt SCF as a tool for the </w:t>
      </w:r>
      <w:r w:rsidR="0063631D" w:rsidRPr="00A80A0C">
        <w:rPr>
          <w:color w:val="000000" w:themeColor="text1"/>
          <w:sz w:val="24"/>
          <w:szCs w:val="24"/>
        </w:rPr>
        <w:t>whole supply chain optimization (</w:t>
      </w:r>
      <w:proofErr w:type="spellStart"/>
      <w:r w:rsidR="002E6595" w:rsidRPr="00A80A0C">
        <w:rPr>
          <w:color w:val="000000" w:themeColor="text1"/>
          <w:sz w:val="24"/>
          <w:szCs w:val="24"/>
        </w:rPr>
        <w:t>Goerzen</w:t>
      </w:r>
      <w:proofErr w:type="spellEnd"/>
      <w:r w:rsidR="002E6595" w:rsidRPr="00A80A0C">
        <w:rPr>
          <w:color w:val="000000" w:themeColor="text1"/>
          <w:sz w:val="24"/>
          <w:szCs w:val="24"/>
        </w:rPr>
        <w:t xml:space="preserve"> and Makino, 2007</w:t>
      </w:r>
      <w:r w:rsidR="002E6595" w:rsidRPr="00A80A0C">
        <w:rPr>
          <w:rFonts w:hint="eastAsia"/>
          <w:color w:val="000000" w:themeColor="text1"/>
          <w:sz w:val="24"/>
          <w:szCs w:val="24"/>
        </w:rPr>
        <w:t>;</w:t>
      </w:r>
      <w:r w:rsidR="002E6595" w:rsidRPr="00A80A0C">
        <w:rPr>
          <w:color w:val="000000" w:themeColor="text1"/>
          <w:sz w:val="24"/>
          <w:szCs w:val="24"/>
        </w:rPr>
        <w:t xml:space="preserve"> </w:t>
      </w:r>
      <w:r w:rsidR="00A04A13" w:rsidRPr="00A80A0C">
        <w:rPr>
          <w:color w:val="000000" w:themeColor="text1"/>
          <w:sz w:val="24"/>
          <w:szCs w:val="24"/>
        </w:rPr>
        <w:t>Blackman et al., 2013</w:t>
      </w:r>
      <w:r w:rsidR="0063631D" w:rsidRPr="00A80A0C">
        <w:rPr>
          <w:color w:val="000000" w:themeColor="text1"/>
          <w:sz w:val="24"/>
          <w:szCs w:val="24"/>
        </w:rPr>
        <w:t>)</w:t>
      </w:r>
      <w:r w:rsidR="00C120AF" w:rsidRPr="00A80A0C">
        <w:rPr>
          <w:color w:val="000000" w:themeColor="text1"/>
          <w:sz w:val="24"/>
          <w:szCs w:val="24"/>
        </w:rPr>
        <w:t xml:space="preserve">. </w:t>
      </w:r>
      <w:r w:rsidR="0082160A" w:rsidRPr="00A80A0C">
        <w:rPr>
          <w:color w:val="000000" w:themeColor="text1"/>
          <w:sz w:val="24"/>
          <w:szCs w:val="24"/>
        </w:rPr>
        <w:t xml:space="preserve">Automotive industry is </w:t>
      </w:r>
      <w:r w:rsidR="007005C6" w:rsidRPr="00A80A0C">
        <w:rPr>
          <w:color w:val="000000" w:themeColor="text1"/>
          <w:sz w:val="24"/>
          <w:szCs w:val="24"/>
        </w:rPr>
        <w:t>selected because it is the most complex supply chain and Original Equipment Manufacturers (OEMs) heavily rely on suppliers for innovation and production (</w:t>
      </w:r>
      <w:r w:rsidR="001B52EE" w:rsidRPr="00A80A0C">
        <w:rPr>
          <w:rFonts w:hint="eastAsia"/>
          <w:color w:val="000000" w:themeColor="text1"/>
          <w:sz w:val="24"/>
          <w:szCs w:val="24"/>
        </w:rPr>
        <w:t>Helper,</w:t>
      </w:r>
      <w:r w:rsidR="001B52EE" w:rsidRPr="00A80A0C">
        <w:rPr>
          <w:color w:val="000000" w:themeColor="text1"/>
          <w:sz w:val="24"/>
          <w:szCs w:val="24"/>
        </w:rPr>
        <w:t xml:space="preserve"> 1991; Johnsen, 2009</w:t>
      </w:r>
      <w:r w:rsidR="006F7536" w:rsidRPr="00A80A0C">
        <w:rPr>
          <w:color w:val="000000" w:themeColor="text1"/>
          <w:sz w:val="24"/>
          <w:szCs w:val="24"/>
        </w:rPr>
        <w:t>).</w:t>
      </w:r>
    </w:p>
    <w:p w14:paraId="52741394" w14:textId="788359BF" w:rsidR="001315CF" w:rsidRPr="00A80A0C" w:rsidRDefault="001315CF" w:rsidP="001315CF">
      <w:pPr>
        <w:spacing w:line="360" w:lineRule="auto"/>
        <w:ind w:firstLineChars="177" w:firstLine="425"/>
        <w:rPr>
          <w:color w:val="000000" w:themeColor="text1"/>
          <w:sz w:val="24"/>
          <w:szCs w:val="24"/>
        </w:rPr>
      </w:pPr>
      <w:r w:rsidRPr="00A80A0C">
        <w:rPr>
          <w:color w:val="000000" w:themeColor="text1"/>
          <w:sz w:val="24"/>
          <w:szCs w:val="24"/>
        </w:rPr>
        <w:t>Volvo acts as OEM and SCF provider in its SCs. According to the discussion in 4.4.1, Volvo’s SCF programme could be categorized as manufacturer-centric SCF, which stressed the CCC optimization in the SC. At Volvo, info</w:t>
      </w:r>
      <w:r w:rsidR="00824637" w:rsidRPr="00A80A0C">
        <w:rPr>
          <w:color w:val="000000" w:themeColor="text1"/>
          <w:sz w:val="24"/>
          <w:szCs w:val="24"/>
        </w:rPr>
        <w:t>rmation processing requirement are</w:t>
      </w:r>
      <w:r w:rsidR="001317A0" w:rsidRPr="00A80A0C">
        <w:rPr>
          <w:color w:val="000000" w:themeColor="text1"/>
          <w:sz w:val="24"/>
          <w:szCs w:val="24"/>
        </w:rPr>
        <w:t xml:space="preserve"> largely affected by its </w:t>
      </w:r>
      <w:r w:rsidRPr="00A80A0C">
        <w:rPr>
          <w:color w:val="000000" w:themeColor="text1"/>
          <w:sz w:val="24"/>
          <w:szCs w:val="24"/>
        </w:rPr>
        <w:t>SCF task characteristics and environment. First, the cost in relation to SCF programme implementation and management is difficult to quantify in such a large organization as Volvo (</w:t>
      </w:r>
      <w:proofErr w:type="spellStart"/>
      <w:r w:rsidRPr="00A80A0C">
        <w:rPr>
          <w:color w:val="000000" w:themeColor="text1"/>
          <w:sz w:val="24"/>
          <w:szCs w:val="24"/>
        </w:rPr>
        <w:t>Camerinelli</w:t>
      </w:r>
      <w:proofErr w:type="spellEnd"/>
      <w:r w:rsidRPr="00A80A0C">
        <w:rPr>
          <w:color w:val="000000" w:themeColor="text1"/>
          <w:sz w:val="24"/>
          <w:szCs w:val="24"/>
        </w:rPr>
        <w:t xml:space="preserve"> &amp; </w:t>
      </w:r>
      <w:proofErr w:type="spellStart"/>
      <w:r w:rsidRPr="00A80A0C">
        <w:rPr>
          <w:color w:val="000000" w:themeColor="text1"/>
          <w:sz w:val="24"/>
          <w:szCs w:val="24"/>
        </w:rPr>
        <w:t>Schizas</w:t>
      </w:r>
      <w:proofErr w:type="spellEnd"/>
      <w:r w:rsidRPr="00A80A0C">
        <w:rPr>
          <w:color w:val="000000" w:themeColor="text1"/>
          <w:sz w:val="24"/>
          <w:szCs w:val="24"/>
        </w:rPr>
        <w:t>, 2014). The ambiguous cost estimation makes the task cha</w:t>
      </w:r>
      <w:r w:rsidR="00824637" w:rsidRPr="00A80A0C">
        <w:rPr>
          <w:color w:val="000000" w:themeColor="text1"/>
          <w:sz w:val="24"/>
          <w:szCs w:val="24"/>
        </w:rPr>
        <w:t xml:space="preserve">racteristic complex, thus </w:t>
      </w:r>
      <w:r w:rsidR="001317A0" w:rsidRPr="00A80A0C">
        <w:rPr>
          <w:color w:val="000000" w:themeColor="text1"/>
          <w:sz w:val="24"/>
          <w:szCs w:val="24"/>
        </w:rPr>
        <w:t>increasing</w:t>
      </w:r>
      <w:r w:rsidRPr="00A80A0C">
        <w:rPr>
          <w:color w:val="000000" w:themeColor="text1"/>
          <w:sz w:val="24"/>
          <w:szCs w:val="24"/>
        </w:rPr>
        <w:t xml:space="preserve"> Volvo’s information processing requirement</w:t>
      </w:r>
      <w:r w:rsidR="00824637" w:rsidRPr="00A80A0C">
        <w:rPr>
          <w:color w:val="000000" w:themeColor="text1"/>
          <w:sz w:val="24"/>
          <w:szCs w:val="24"/>
        </w:rPr>
        <w:t>s</w:t>
      </w:r>
      <w:r w:rsidRPr="00A80A0C">
        <w:rPr>
          <w:color w:val="000000" w:themeColor="text1"/>
          <w:sz w:val="24"/>
          <w:szCs w:val="24"/>
        </w:rPr>
        <w:t>. Second, in terms of task environment, for Volvo, because of the existence of the information asymmetry between Volvo</w:t>
      </w:r>
      <w:r w:rsidR="00824637" w:rsidRPr="00A80A0C">
        <w:rPr>
          <w:color w:val="000000" w:themeColor="text1"/>
          <w:sz w:val="24"/>
          <w:szCs w:val="24"/>
        </w:rPr>
        <w:t xml:space="preserve"> and its suppliers</w:t>
      </w:r>
      <w:r w:rsidRPr="00A80A0C">
        <w:rPr>
          <w:color w:val="000000" w:themeColor="text1"/>
          <w:sz w:val="24"/>
          <w:szCs w:val="24"/>
        </w:rPr>
        <w:t xml:space="preserve">, </w:t>
      </w:r>
      <w:r w:rsidR="00824637" w:rsidRPr="00A80A0C">
        <w:rPr>
          <w:color w:val="000000" w:themeColor="text1"/>
          <w:sz w:val="24"/>
          <w:szCs w:val="24"/>
        </w:rPr>
        <w:t xml:space="preserve">there are </w:t>
      </w:r>
      <w:r w:rsidRPr="00A80A0C">
        <w:rPr>
          <w:color w:val="000000" w:themeColor="text1"/>
          <w:sz w:val="24"/>
          <w:szCs w:val="24"/>
        </w:rPr>
        <w:t>probl</w:t>
      </w:r>
      <w:r w:rsidR="00824637" w:rsidRPr="00A80A0C">
        <w:rPr>
          <w:color w:val="000000" w:themeColor="text1"/>
          <w:sz w:val="24"/>
          <w:szCs w:val="24"/>
        </w:rPr>
        <w:t>ems of</w:t>
      </w:r>
      <w:r w:rsidRPr="00A80A0C">
        <w:rPr>
          <w:color w:val="000000" w:themeColor="text1"/>
          <w:sz w:val="24"/>
          <w:szCs w:val="24"/>
        </w:rPr>
        <w:t xml:space="preserve"> comprehensively assess</w:t>
      </w:r>
      <w:r w:rsidR="00824637" w:rsidRPr="00A80A0C">
        <w:rPr>
          <w:color w:val="000000" w:themeColor="text1"/>
          <w:sz w:val="24"/>
          <w:szCs w:val="24"/>
        </w:rPr>
        <w:t>ing</w:t>
      </w:r>
      <w:r w:rsidRPr="00A80A0C">
        <w:rPr>
          <w:color w:val="000000" w:themeColor="text1"/>
          <w:sz w:val="24"/>
          <w:szCs w:val="24"/>
        </w:rPr>
        <w:t xml:space="preserve"> the suppliers' credit history and their transactional information </w:t>
      </w:r>
      <w:r w:rsidR="00824637" w:rsidRPr="00A80A0C">
        <w:rPr>
          <w:color w:val="000000" w:themeColor="text1"/>
          <w:sz w:val="24"/>
          <w:szCs w:val="24"/>
        </w:rPr>
        <w:t>(</w:t>
      </w:r>
      <w:proofErr w:type="spellStart"/>
      <w:r w:rsidR="00824637" w:rsidRPr="00A80A0C">
        <w:rPr>
          <w:color w:val="000000" w:themeColor="text1"/>
          <w:sz w:val="24"/>
          <w:szCs w:val="24"/>
        </w:rPr>
        <w:t>Brandes</w:t>
      </w:r>
      <w:proofErr w:type="spellEnd"/>
      <w:r w:rsidR="00824637" w:rsidRPr="00A80A0C">
        <w:rPr>
          <w:color w:val="000000" w:themeColor="text1"/>
          <w:sz w:val="24"/>
          <w:szCs w:val="24"/>
        </w:rPr>
        <w:t xml:space="preserve"> &amp; </w:t>
      </w:r>
      <w:proofErr w:type="spellStart"/>
      <w:r w:rsidR="00824637" w:rsidRPr="00A80A0C">
        <w:rPr>
          <w:color w:val="000000" w:themeColor="text1"/>
          <w:sz w:val="24"/>
          <w:szCs w:val="24"/>
        </w:rPr>
        <w:t>Brehmer</w:t>
      </w:r>
      <w:proofErr w:type="spellEnd"/>
      <w:r w:rsidR="00824637" w:rsidRPr="00A80A0C">
        <w:rPr>
          <w:color w:val="000000" w:themeColor="text1"/>
          <w:sz w:val="24"/>
          <w:szCs w:val="24"/>
        </w:rPr>
        <w:t>, 2013). The i</w:t>
      </w:r>
      <w:r w:rsidRPr="00A80A0C">
        <w:rPr>
          <w:color w:val="000000" w:themeColor="text1"/>
          <w:sz w:val="24"/>
          <w:szCs w:val="24"/>
        </w:rPr>
        <w:t xml:space="preserve">ncomprehensive evaluation of suppliers’ credit factors could raise the possibility </w:t>
      </w:r>
      <w:r w:rsidR="00824637" w:rsidRPr="00A80A0C">
        <w:rPr>
          <w:color w:val="000000" w:themeColor="text1"/>
          <w:sz w:val="24"/>
          <w:szCs w:val="24"/>
        </w:rPr>
        <w:t xml:space="preserve">of </w:t>
      </w:r>
      <w:r w:rsidRPr="00A80A0C">
        <w:rPr>
          <w:color w:val="000000" w:themeColor="text1"/>
          <w:sz w:val="24"/>
          <w:szCs w:val="24"/>
        </w:rPr>
        <w:t xml:space="preserve">the adverse selection and </w:t>
      </w:r>
      <w:r w:rsidRPr="00A80A0C">
        <w:rPr>
          <w:color w:val="000000" w:themeColor="text1"/>
          <w:sz w:val="24"/>
          <w:szCs w:val="24"/>
        </w:rPr>
        <w:lastRenderedPageBreak/>
        <w:t>moral hazard, thus rendering higher uncertainties and information processing requirement for Volvo. Moreover, from the macro environment perspective, in t</w:t>
      </w:r>
      <w:r w:rsidR="001317A0" w:rsidRPr="00A80A0C">
        <w:rPr>
          <w:color w:val="000000" w:themeColor="text1"/>
          <w:sz w:val="24"/>
          <w:szCs w:val="24"/>
        </w:rPr>
        <w:t>he automobile industry, the pol</w:t>
      </w:r>
      <w:r w:rsidRPr="00A80A0C">
        <w:rPr>
          <w:color w:val="000000" w:themeColor="text1"/>
          <w:sz w:val="24"/>
          <w:szCs w:val="24"/>
        </w:rPr>
        <w:t>i</w:t>
      </w:r>
      <w:r w:rsidR="001317A0" w:rsidRPr="00A80A0C">
        <w:rPr>
          <w:color w:val="000000" w:themeColor="text1"/>
          <w:sz w:val="24"/>
          <w:szCs w:val="24"/>
        </w:rPr>
        <w:t>ti</w:t>
      </w:r>
      <w:r w:rsidRPr="00A80A0C">
        <w:rPr>
          <w:color w:val="000000" w:themeColor="text1"/>
          <w:sz w:val="24"/>
          <w:szCs w:val="24"/>
        </w:rPr>
        <w:t>cal factors could influence the SCF providers infor</w:t>
      </w:r>
      <w:r w:rsidR="001317A0" w:rsidRPr="00A80A0C">
        <w:rPr>
          <w:color w:val="000000" w:themeColor="text1"/>
          <w:sz w:val="24"/>
          <w:szCs w:val="24"/>
        </w:rPr>
        <w:t>mation processing requirement. F</w:t>
      </w:r>
      <w:r w:rsidRPr="00A80A0C">
        <w:rPr>
          <w:color w:val="000000" w:themeColor="text1"/>
          <w:sz w:val="24"/>
          <w:szCs w:val="24"/>
        </w:rPr>
        <w:t xml:space="preserve">or example, </w:t>
      </w:r>
      <w:r w:rsidR="001317A0" w:rsidRPr="00A80A0C">
        <w:rPr>
          <w:color w:val="000000" w:themeColor="text1"/>
          <w:sz w:val="24"/>
          <w:szCs w:val="24"/>
        </w:rPr>
        <w:t xml:space="preserve">Chinese </w:t>
      </w:r>
      <w:r w:rsidRPr="00A80A0C">
        <w:rPr>
          <w:color w:val="000000" w:themeColor="text1"/>
          <w:sz w:val="24"/>
          <w:szCs w:val="24"/>
        </w:rPr>
        <w:t>government’s support for the developm</w:t>
      </w:r>
      <w:r w:rsidR="001317A0" w:rsidRPr="00A80A0C">
        <w:rPr>
          <w:color w:val="000000" w:themeColor="text1"/>
          <w:sz w:val="24"/>
          <w:szCs w:val="24"/>
        </w:rPr>
        <w:t>ent of new energy vehicles</w:t>
      </w:r>
      <w:r w:rsidRPr="00A80A0C">
        <w:rPr>
          <w:color w:val="000000" w:themeColor="text1"/>
          <w:sz w:val="24"/>
          <w:szCs w:val="24"/>
        </w:rPr>
        <w:t xml:space="preserve"> increase</w:t>
      </w:r>
      <w:r w:rsidR="001317A0" w:rsidRPr="00A80A0C">
        <w:rPr>
          <w:color w:val="000000" w:themeColor="text1"/>
          <w:sz w:val="24"/>
          <w:szCs w:val="24"/>
        </w:rPr>
        <w:t>d</w:t>
      </w:r>
      <w:r w:rsidRPr="00A80A0C">
        <w:rPr>
          <w:color w:val="000000" w:themeColor="text1"/>
          <w:sz w:val="24"/>
          <w:szCs w:val="24"/>
        </w:rPr>
        <w:t xml:space="preserve"> the competition intensity within the automobile industry, thus increasing the uncertainty and the requirement</w:t>
      </w:r>
      <w:r w:rsidR="00824637" w:rsidRPr="00A80A0C">
        <w:rPr>
          <w:color w:val="000000" w:themeColor="text1"/>
          <w:sz w:val="24"/>
          <w:szCs w:val="24"/>
        </w:rPr>
        <w:t>s</w:t>
      </w:r>
      <w:r w:rsidRPr="00A80A0C">
        <w:rPr>
          <w:color w:val="000000" w:themeColor="text1"/>
          <w:sz w:val="24"/>
          <w:szCs w:val="24"/>
        </w:rPr>
        <w:t xml:space="preserve"> of information processing for Volvo. Meanwhile, the economic factors (i.e. oil price fluctuation) have the same effect on the uncertainties for the company. </w:t>
      </w:r>
    </w:p>
    <w:p w14:paraId="4A1FF8CB" w14:textId="27334546" w:rsidR="001315CF" w:rsidRPr="00A80A0C" w:rsidRDefault="001315CF" w:rsidP="001315CF">
      <w:pPr>
        <w:spacing w:line="360" w:lineRule="auto"/>
        <w:ind w:firstLineChars="177" w:firstLine="425"/>
        <w:rPr>
          <w:color w:val="000000" w:themeColor="text1"/>
          <w:sz w:val="24"/>
          <w:szCs w:val="24"/>
        </w:rPr>
      </w:pPr>
      <w:r w:rsidRPr="00A80A0C">
        <w:rPr>
          <w:color w:val="000000" w:themeColor="text1"/>
          <w:sz w:val="24"/>
          <w:szCs w:val="24"/>
        </w:rPr>
        <w:t>To satisfy the increasing information processing requirement</w:t>
      </w:r>
      <w:r w:rsidR="00824637" w:rsidRPr="00A80A0C">
        <w:rPr>
          <w:color w:val="000000" w:themeColor="text1"/>
          <w:sz w:val="24"/>
          <w:szCs w:val="24"/>
        </w:rPr>
        <w:t>s</w:t>
      </w:r>
      <w:r w:rsidRPr="00A80A0C">
        <w:rPr>
          <w:color w:val="000000" w:themeColor="text1"/>
          <w:sz w:val="24"/>
          <w:szCs w:val="24"/>
        </w:rPr>
        <w:t>, Volvo manage to improve their information processing capabilities to match their information process capability with the requirement</w:t>
      </w:r>
      <w:r w:rsidR="001317A0" w:rsidRPr="00A80A0C">
        <w:rPr>
          <w:color w:val="000000" w:themeColor="text1"/>
          <w:sz w:val="24"/>
          <w:szCs w:val="24"/>
        </w:rPr>
        <w:t>s</w:t>
      </w:r>
      <w:r w:rsidRPr="00A80A0C">
        <w:rPr>
          <w:color w:val="000000" w:themeColor="text1"/>
          <w:sz w:val="24"/>
          <w:szCs w:val="24"/>
        </w:rPr>
        <w:t>. Volvo have strictly regulated and controlled the suppliers involving in SCF. For example, Volvo only choose suppliers from whom they purchase materials directly rather than those supplier-managed suppliers, to ensure that the credit conditions and operational factors (i.e.</w:t>
      </w:r>
      <w:r w:rsidR="00824637" w:rsidRPr="00A80A0C">
        <w:rPr>
          <w:color w:val="000000" w:themeColor="text1"/>
          <w:sz w:val="24"/>
          <w:szCs w:val="24"/>
        </w:rPr>
        <w:t>,</w:t>
      </w:r>
      <w:r w:rsidRPr="00A80A0C">
        <w:rPr>
          <w:color w:val="000000" w:themeColor="text1"/>
          <w:sz w:val="24"/>
          <w:szCs w:val="24"/>
        </w:rPr>
        <w:t xml:space="preserve"> turnovers and procurement ratios) are well acquainted. This controlling mechanism helps Volvo identify qualified suppliers in the beginning, thus reducing the problems later and further improving their information process capabilities. Moreover, Volvo tend to have a long-term inter-organization collaboration with the selected suppliers for SCF to build better information sharing mechanism among SCF participants.</w:t>
      </w:r>
      <w:r w:rsidR="0097625A" w:rsidRPr="00A80A0C">
        <w:rPr>
          <w:color w:val="000000" w:themeColor="text1"/>
          <w:sz w:val="24"/>
          <w:szCs w:val="24"/>
        </w:rPr>
        <w:t xml:space="preserve"> The collaboration with </w:t>
      </w:r>
      <w:r w:rsidR="001317A0" w:rsidRPr="00A80A0C">
        <w:rPr>
          <w:color w:val="000000" w:themeColor="text1"/>
          <w:sz w:val="24"/>
          <w:szCs w:val="24"/>
        </w:rPr>
        <w:t xml:space="preserve">the </w:t>
      </w:r>
      <w:r w:rsidR="0097625A" w:rsidRPr="00A80A0C">
        <w:rPr>
          <w:color w:val="000000" w:themeColor="text1"/>
          <w:sz w:val="24"/>
          <w:szCs w:val="24"/>
        </w:rPr>
        <w:t>selected suppliers result</w:t>
      </w:r>
      <w:r w:rsidRPr="00A80A0C">
        <w:rPr>
          <w:color w:val="000000" w:themeColor="text1"/>
          <w:sz w:val="24"/>
          <w:szCs w:val="24"/>
        </w:rPr>
        <w:t xml:space="preserve"> in uncertainty reduction and information processing capability improvement. </w:t>
      </w:r>
    </w:p>
    <w:p w14:paraId="603F3BC0" w14:textId="3E682A96" w:rsidR="001315CF" w:rsidRPr="00A80A0C" w:rsidRDefault="001315CF" w:rsidP="001315CF">
      <w:pPr>
        <w:spacing w:line="360" w:lineRule="auto"/>
        <w:ind w:firstLineChars="177" w:firstLine="425"/>
        <w:rPr>
          <w:color w:val="000000" w:themeColor="text1"/>
          <w:sz w:val="24"/>
          <w:szCs w:val="24"/>
        </w:rPr>
      </w:pPr>
      <w:r w:rsidRPr="00A80A0C">
        <w:rPr>
          <w:color w:val="000000" w:themeColor="text1"/>
          <w:sz w:val="24"/>
          <w:szCs w:val="24"/>
        </w:rPr>
        <w:t>With growing information processing capabilities and controllable uncertainties, Volvo manage to match their information processing capabilities with the information process r</w:t>
      </w:r>
      <w:r w:rsidR="001317A0" w:rsidRPr="00A80A0C">
        <w:rPr>
          <w:color w:val="000000" w:themeColor="text1"/>
          <w:sz w:val="24"/>
          <w:szCs w:val="24"/>
        </w:rPr>
        <w:t xml:space="preserve">equirement and accordingly achieve </w:t>
      </w:r>
      <w:r w:rsidRPr="00A80A0C">
        <w:rPr>
          <w:color w:val="000000" w:themeColor="text1"/>
          <w:sz w:val="24"/>
          <w:szCs w:val="24"/>
        </w:rPr>
        <w:t>financial SC integration. First, better financial network structure mapping was conducted through collaboration among SCF participants (i.e.</w:t>
      </w:r>
      <w:r w:rsidR="0097625A" w:rsidRPr="00A80A0C">
        <w:rPr>
          <w:color w:val="000000" w:themeColor="text1"/>
          <w:sz w:val="24"/>
          <w:szCs w:val="24"/>
        </w:rPr>
        <w:t>,</w:t>
      </w:r>
      <w:r w:rsidRPr="00A80A0C">
        <w:rPr>
          <w:color w:val="000000" w:themeColor="text1"/>
          <w:sz w:val="24"/>
          <w:szCs w:val="24"/>
        </w:rPr>
        <w:t xml:space="preserve"> suppliers, financial institutions and 3PL), resulting in better operational integration (Global Trade Review, 2014). Second, Volvo manage to involve the procurement department in the supplier assessment and promote intra-organization collaboration, thus facilitating better cross-function coordination with heightened productivity and connectivity (Pierce, 2014). With elevated business process designing, the process integration is reached in Volvo’s financial SC. Third, better financial information sharing system is achieved through EDI adoption and long-term collaboration between Volvo and </w:t>
      </w:r>
      <w:r w:rsidR="001317A0" w:rsidRPr="00A80A0C">
        <w:rPr>
          <w:color w:val="000000" w:themeColor="text1"/>
          <w:sz w:val="24"/>
          <w:szCs w:val="24"/>
        </w:rPr>
        <w:t xml:space="preserve">its </w:t>
      </w:r>
      <w:r w:rsidRPr="00A80A0C">
        <w:rPr>
          <w:color w:val="000000" w:themeColor="text1"/>
          <w:sz w:val="24"/>
          <w:szCs w:val="24"/>
        </w:rPr>
        <w:t>qualified supplier</w:t>
      </w:r>
      <w:r w:rsidR="0097625A" w:rsidRPr="00A80A0C">
        <w:rPr>
          <w:color w:val="000000" w:themeColor="text1"/>
          <w:sz w:val="24"/>
          <w:szCs w:val="24"/>
        </w:rPr>
        <w:t>s</w:t>
      </w:r>
      <w:r w:rsidRPr="00A80A0C">
        <w:rPr>
          <w:color w:val="000000" w:themeColor="text1"/>
          <w:sz w:val="24"/>
          <w:szCs w:val="24"/>
        </w:rPr>
        <w:t>, thus leading to better information integration in the financial SC (Global Trade Review, 2014).</w:t>
      </w:r>
    </w:p>
    <w:p w14:paraId="6CBA20E5" w14:textId="77777777" w:rsidR="001315CF" w:rsidRPr="00A80A0C" w:rsidRDefault="001315CF" w:rsidP="00D158C6">
      <w:pPr>
        <w:spacing w:line="360" w:lineRule="auto"/>
        <w:ind w:firstLineChars="177" w:firstLine="425"/>
        <w:rPr>
          <w:color w:val="000000" w:themeColor="text1"/>
          <w:sz w:val="24"/>
          <w:szCs w:val="24"/>
        </w:rPr>
      </w:pPr>
    </w:p>
    <w:p w14:paraId="3D544284" w14:textId="77777777" w:rsidR="00871C0F" w:rsidRPr="00A80A0C" w:rsidRDefault="00024A08" w:rsidP="00024A08">
      <w:pPr>
        <w:pStyle w:val="Heading1"/>
        <w:spacing w:beforeLines="50" w:before="156" w:afterLines="50" w:after="156" w:line="360" w:lineRule="auto"/>
        <w:ind w:left="0"/>
        <w:rPr>
          <w:color w:val="000000" w:themeColor="text1"/>
          <w:szCs w:val="24"/>
        </w:rPr>
      </w:pPr>
      <w:r w:rsidRPr="00A80A0C">
        <w:rPr>
          <w:color w:val="000000" w:themeColor="text1"/>
          <w:szCs w:val="24"/>
        </w:rPr>
        <w:t xml:space="preserve">5. </w:t>
      </w:r>
      <w:r w:rsidR="00871C0F" w:rsidRPr="00A80A0C">
        <w:rPr>
          <w:color w:val="000000" w:themeColor="text1"/>
          <w:szCs w:val="24"/>
        </w:rPr>
        <w:t>Future research agenda</w:t>
      </w:r>
    </w:p>
    <w:p w14:paraId="64889E56" w14:textId="77777777" w:rsidR="00871C0F" w:rsidRPr="00A80A0C" w:rsidRDefault="00871C0F" w:rsidP="00FC7D81">
      <w:pPr>
        <w:spacing w:line="360" w:lineRule="auto"/>
        <w:rPr>
          <w:color w:val="000000" w:themeColor="text1"/>
          <w:sz w:val="24"/>
          <w:szCs w:val="24"/>
        </w:rPr>
      </w:pPr>
      <w:r w:rsidRPr="00A80A0C">
        <w:rPr>
          <w:color w:val="000000" w:themeColor="text1"/>
          <w:sz w:val="24"/>
          <w:szCs w:val="24"/>
        </w:rPr>
        <w:t xml:space="preserve">To illustrate the mechanism of SCF practices specifically, a conceptual framework is established to identify SCF themes and the relationships among them. This illustration is based on the integrated framework (see </w:t>
      </w:r>
      <w:r w:rsidRPr="00A80A0C">
        <w:rPr>
          <w:b/>
          <w:color w:val="000000" w:themeColor="text1"/>
          <w:sz w:val="24"/>
          <w:szCs w:val="24"/>
        </w:rPr>
        <w:t xml:space="preserve">Fig. </w:t>
      </w:r>
      <w:r w:rsidR="00555221" w:rsidRPr="00A80A0C">
        <w:rPr>
          <w:b/>
          <w:color w:val="000000" w:themeColor="text1"/>
          <w:sz w:val="24"/>
          <w:szCs w:val="24"/>
        </w:rPr>
        <w:t>6</w:t>
      </w:r>
      <w:r w:rsidRPr="00A80A0C">
        <w:rPr>
          <w:color w:val="000000" w:themeColor="text1"/>
          <w:sz w:val="24"/>
          <w:szCs w:val="24"/>
        </w:rPr>
        <w:t>). Some insights are also provided to help identify possible directions for expanding SCF knowledge.</w:t>
      </w:r>
    </w:p>
    <w:p w14:paraId="682F4805" w14:textId="77777777"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 xml:space="preserve">First, task characteristics represented by the duration, volume and interest cost of the collateral in different SCF practices should be investigated further. Although </w:t>
      </w:r>
      <w:proofErr w:type="spellStart"/>
      <w:r w:rsidRPr="00A80A0C">
        <w:rPr>
          <w:color w:val="000000" w:themeColor="text1"/>
          <w:sz w:val="24"/>
          <w:szCs w:val="24"/>
        </w:rPr>
        <w:t>Gomm</w:t>
      </w:r>
      <w:proofErr w:type="spellEnd"/>
      <w:r w:rsidRPr="00A80A0C">
        <w:rPr>
          <w:color w:val="000000" w:themeColor="text1"/>
          <w:sz w:val="24"/>
          <w:szCs w:val="24"/>
        </w:rPr>
        <w:t xml:space="preserve"> (2010) and </w:t>
      </w:r>
      <w:proofErr w:type="spellStart"/>
      <w:r w:rsidRPr="00A80A0C">
        <w:rPr>
          <w:color w:val="000000" w:themeColor="text1"/>
          <w:sz w:val="24"/>
          <w:szCs w:val="24"/>
        </w:rPr>
        <w:t>Pfohl</w:t>
      </w:r>
      <w:proofErr w:type="spellEnd"/>
      <w:r w:rsidRPr="00A80A0C">
        <w:rPr>
          <w:color w:val="000000" w:themeColor="text1"/>
          <w:sz w:val="24"/>
          <w:szCs w:val="24"/>
        </w:rPr>
        <w:t xml:space="preserve"> and </w:t>
      </w:r>
      <w:proofErr w:type="spellStart"/>
      <w:r w:rsidRPr="00A80A0C">
        <w:rPr>
          <w:color w:val="000000" w:themeColor="text1"/>
          <w:sz w:val="24"/>
          <w:szCs w:val="24"/>
        </w:rPr>
        <w:t>Gomm</w:t>
      </w:r>
      <w:proofErr w:type="spellEnd"/>
      <w:r w:rsidRPr="00A80A0C">
        <w:rPr>
          <w:color w:val="000000" w:themeColor="text1"/>
          <w:sz w:val="24"/>
          <w:szCs w:val="24"/>
        </w:rPr>
        <w:t xml:space="preserve"> (2009) provide three dimensions for calculating the financing cost of SCF collateral, the authors did not explore the implications in different SCF practices (e.g., reverse factoring (</w:t>
      </w:r>
      <w:proofErr w:type="spellStart"/>
      <w:r w:rsidRPr="00A80A0C">
        <w:rPr>
          <w:color w:val="000000" w:themeColor="text1"/>
          <w:sz w:val="24"/>
          <w:szCs w:val="24"/>
        </w:rPr>
        <w:t>Liebl</w:t>
      </w:r>
      <w:proofErr w:type="spellEnd"/>
      <w:r w:rsidRPr="00A80A0C">
        <w:rPr>
          <w:color w:val="000000" w:themeColor="text1"/>
          <w:sz w:val="24"/>
          <w:szCs w:val="24"/>
        </w:rPr>
        <w:t xml:space="preserve"> et al., 2016; Martin, 2017), inventory financing and payable financing (Gelsomino et al., 2016)). In addition, some research (e.g., </w:t>
      </w:r>
      <w:proofErr w:type="spellStart"/>
      <w:r w:rsidRPr="00A80A0C">
        <w:rPr>
          <w:color w:val="000000" w:themeColor="text1"/>
          <w:sz w:val="24"/>
          <w:szCs w:val="24"/>
        </w:rPr>
        <w:t>Liebl</w:t>
      </w:r>
      <w:proofErr w:type="spellEnd"/>
      <w:r w:rsidRPr="00A80A0C">
        <w:rPr>
          <w:color w:val="000000" w:themeColor="text1"/>
          <w:sz w:val="24"/>
          <w:szCs w:val="24"/>
        </w:rPr>
        <w:t xml:space="preserve"> et al., 2016) has explored the objectives, antecedents and implementation barriers of certain SCF practices (e.g., reverse factoring), but they have failed to study the formation of SCF practices based on duration, volume and interest cost, linking collateral management with SCF practices. To outline the role of collateral management, future researchers can specify collaterals in their calculations for different SCF practices. Also, in order to comprehensively investigate the mechanism of collateral management in SCF practices, future research can further explore the objectives, antecedents and implementation barriers of collateral management in SCF. Comparison analysis of existing collateral management models between successful and less successful SCF providers could help reveal the latent factors which influence the success of SCF practices.</w:t>
      </w:r>
    </w:p>
    <w:p w14:paraId="78EACE8A" w14:textId="70404F6B"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 xml:space="preserve">Second, interesting research may be conducted on how different environmental uncertainties influence SCF practices. Environmental factors are considered to have a great impact on SCF practices, but most studies only investigate their impact on trade credit (e.g., Lorentz et al., 2016; </w:t>
      </w:r>
      <w:proofErr w:type="spellStart"/>
      <w:r w:rsidRPr="00A80A0C">
        <w:rPr>
          <w:color w:val="000000" w:themeColor="text1"/>
          <w:sz w:val="24"/>
          <w:szCs w:val="24"/>
        </w:rPr>
        <w:t>Afrifa</w:t>
      </w:r>
      <w:proofErr w:type="spellEnd"/>
      <w:r w:rsidRPr="00A80A0C">
        <w:rPr>
          <w:color w:val="000000" w:themeColor="text1"/>
          <w:sz w:val="24"/>
          <w:szCs w:val="24"/>
        </w:rPr>
        <w:t xml:space="preserve"> and </w:t>
      </w:r>
      <w:proofErr w:type="spellStart"/>
      <w:r w:rsidRPr="00A80A0C">
        <w:rPr>
          <w:color w:val="000000" w:themeColor="text1"/>
          <w:sz w:val="24"/>
          <w:szCs w:val="24"/>
        </w:rPr>
        <w:t>Gyapong</w:t>
      </w:r>
      <w:proofErr w:type="spellEnd"/>
      <w:r w:rsidRPr="00A80A0C">
        <w:rPr>
          <w:color w:val="000000" w:themeColor="text1"/>
          <w:sz w:val="24"/>
          <w:szCs w:val="24"/>
        </w:rPr>
        <w:t xml:space="preserve">, 2017). Research on the effect of environmental factors on other SCF practices, such as inventory financing (e.g., Hofmann, 2009) and reverse factoring (e.g., </w:t>
      </w:r>
      <w:proofErr w:type="spellStart"/>
      <w:r w:rsidRPr="00A80A0C">
        <w:rPr>
          <w:color w:val="000000" w:themeColor="text1"/>
          <w:sz w:val="24"/>
          <w:szCs w:val="24"/>
        </w:rPr>
        <w:t>Liebl</w:t>
      </w:r>
      <w:proofErr w:type="spellEnd"/>
      <w:r w:rsidRPr="00A80A0C">
        <w:rPr>
          <w:color w:val="000000" w:themeColor="text1"/>
          <w:sz w:val="24"/>
          <w:szCs w:val="24"/>
        </w:rPr>
        <w:t xml:space="preserve"> et al., 2016; Popa, 2013), has not been fully conducted</w:t>
      </w:r>
      <w:r w:rsidRPr="00A80A0C">
        <w:rPr>
          <w:color w:val="000000" w:themeColor="text1"/>
          <w:sz w:val="24"/>
          <w:szCs w:val="24"/>
          <w:u w:val="single"/>
        </w:rPr>
        <w:t>.</w:t>
      </w:r>
      <w:r w:rsidRPr="00A80A0C">
        <w:rPr>
          <w:color w:val="000000" w:themeColor="text1"/>
          <w:sz w:val="24"/>
          <w:szCs w:val="24"/>
        </w:rPr>
        <w:t xml:space="preserve"> Meanwhile, the existing literature generally focuses on the manufacturer-centred financial network, while the influence of environmental uncertainties on other SCF-centred financial networks, such as 3PL, </w:t>
      </w:r>
      <w:r w:rsidRPr="00A80A0C">
        <w:rPr>
          <w:color w:val="000000" w:themeColor="text1"/>
          <w:sz w:val="24"/>
          <w:szCs w:val="24"/>
        </w:rPr>
        <w:lastRenderedPageBreak/>
        <w:t>bank and SC orchestrator, is less explored. This exclusion is not beneficial to the understanding of how environmental uncertainties in these financial networks be managed. To fully investigating the role of environmental factors in different SC practices and financial networks, researchers can establish an empirical model that connects environmental factors with SCF</w:t>
      </w:r>
      <w:r w:rsidRPr="00A80A0C">
        <w:rPr>
          <w:color w:val="000000" w:themeColor="text1"/>
          <w:sz w:val="24"/>
          <w:szCs w:val="24"/>
          <w:u w:val="single"/>
        </w:rPr>
        <w:t xml:space="preserve"> </w:t>
      </w:r>
      <w:r w:rsidRPr="00A80A0C">
        <w:rPr>
          <w:color w:val="000000" w:themeColor="text1"/>
          <w:sz w:val="24"/>
          <w:szCs w:val="24"/>
        </w:rPr>
        <w:t xml:space="preserve">performance, and then test the built relationships using historical transaction data of SCF providers. </w:t>
      </w:r>
    </w:p>
    <w:p w14:paraId="63028575" w14:textId="77777777"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 xml:space="preserve">Third, it is possible to further investigate how relationships among intra-organisations and inter-organisations affect different SCF practices. As reviewed above, task inter-dependency is divided into inter-organisational and intra-organisational collaboration. Most conceptual papers (e.g., </w:t>
      </w:r>
      <w:proofErr w:type="spellStart"/>
      <w:r w:rsidRPr="00A80A0C">
        <w:rPr>
          <w:color w:val="000000" w:themeColor="text1"/>
          <w:sz w:val="24"/>
          <w:szCs w:val="24"/>
        </w:rPr>
        <w:t>Gomm</w:t>
      </w:r>
      <w:proofErr w:type="spellEnd"/>
      <w:r w:rsidRPr="00A80A0C">
        <w:rPr>
          <w:color w:val="000000" w:themeColor="text1"/>
          <w:sz w:val="24"/>
          <w:szCs w:val="24"/>
        </w:rPr>
        <w:t xml:space="preserve">, 2010; </w:t>
      </w:r>
      <w:proofErr w:type="spellStart"/>
      <w:r w:rsidRPr="00A80A0C">
        <w:rPr>
          <w:color w:val="000000" w:themeColor="text1"/>
          <w:sz w:val="24"/>
          <w:szCs w:val="24"/>
        </w:rPr>
        <w:t>Birthal</w:t>
      </w:r>
      <w:proofErr w:type="spellEnd"/>
      <w:r w:rsidRPr="00A80A0C">
        <w:rPr>
          <w:color w:val="000000" w:themeColor="text1"/>
          <w:sz w:val="24"/>
          <w:szCs w:val="24"/>
        </w:rPr>
        <w:t xml:space="preserve"> et al., 2017; Schäfer and Baumann et al., 2014; Chen et al., 2015) solely emphasise the effect of inter-organisational collaboration on SCF practices. Although several papers studying relationships focus on the influence of inter-organisational and intra-organisational collaboration on SCF practices at the same time, they are limited to certain SCF practices (e.g., Lorentz et al., 2016) or unspecific SCF practices (e.g., Caniato et al., 2016; Martin and Hofmann, 2017). The insufficient demonstration cannot highlight the positive role of intra-organisational collaboration, which in turn impedes people’s understanding of intra-organisational collaborative mechanism in SCF practices. Therefore, exploring the role of intra-organisational collaboration in various SCF practices has both theoretical and practical implications. </w:t>
      </w:r>
    </w:p>
    <w:p w14:paraId="72C6C71F" w14:textId="77777777"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 xml:space="preserve">Fourth, although the role of technological innovation in SCF practices has been emphasised, studies that investigate the role of technologies in SCF are still scarce. Hofmann and Johnson (2016) propose that technological innovation, such as blockchain technology, can disrupt existing business models. However, only one paper investigates how the SCF provider can use big data to predict SCF failure (Zhao et al., 2015). Therefore, research that studies how technological innovation affects SCF practices should be explored further. To better understand the role of technological innovation in SCF’s evolution, future research should dissect different uncertainties faced by SCF providers and associate them with different technologies. Additionally, to better understand the effects of different technologies on SCF, the comparison of benefits, challenges and the procedure of technological applications in SCF practices among different technological innovations is also necessary. For instance, researchers could explore </w:t>
      </w:r>
      <w:r w:rsidRPr="00A80A0C">
        <w:rPr>
          <w:color w:val="000000" w:themeColor="text1"/>
          <w:sz w:val="24"/>
          <w:szCs w:val="24"/>
        </w:rPr>
        <w:lastRenderedPageBreak/>
        <w:t>why (i.e., motivation), when (i.e., timing), which and how technologies should be applied in SCF.</w:t>
      </w:r>
    </w:p>
    <w:p w14:paraId="4ED1E67F" w14:textId="77777777" w:rsidR="00871C0F" w:rsidRPr="00A80A0C" w:rsidRDefault="00871C0F" w:rsidP="00FC7D81">
      <w:pPr>
        <w:spacing w:line="360" w:lineRule="auto"/>
        <w:ind w:firstLineChars="177" w:firstLine="425"/>
        <w:rPr>
          <w:b/>
          <w:color w:val="000000" w:themeColor="text1"/>
          <w:sz w:val="24"/>
          <w:szCs w:val="24"/>
        </w:rPr>
      </w:pPr>
      <w:r w:rsidRPr="00A80A0C">
        <w:rPr>
          <w:color w:val="000000" w:themeColor="text1"/>
          <w:sz w:val="24"/>
          <w:szCs w:val="24"/>
        </w:rPr>
        <w:t xml:space="preserve">Fifth, it is necessary to establish a performance evaluation system for different SCF practices. Through reviewing SCF papers, we find that existing studies seldom completely investigate the evaluation system of SCF practices. For example, Martin and Hofmann (2017) measure the performance of SCF from three perspectives: financial flow-specific, cross-functional and SC-objective. However, they do not provide a practical index to measure these objectives. Some papers (e.g., </w:t>
      </w:r>
      <w:proofErr w:type="spellStart"/>
      <w:r w:rsidRPr="00A80A0C">
        <w:rPr>
          <w:color w:val="000000" w:themeColor="text1"/>
          <w:sz w:val="24"/>
          <w:szCs w:val="24"/>
        </w:rPr>
        <w:t>Breza</w:t>
      </w:r>
      <w:proofErr w:type="spellEnd"/>
      <w:r w:rsidRPr="00A80A0C">
        <w:rPr>
          <w:color w:val="000000" w:themeColor="text1"/>
          <w:sz w:val="24"/>
          <w:szCs w:val="24"/>
        </w:rPr>
        <w:t xml:space="preserve"> and Liberman, 2017; </w:t>
      </w:r>
      <w:proofErr w:type="spellStart"/>
      <w:r w:rsidRPr="00A80A0C">
        <w:rPr>
          <w:color w:val="000000" w:themeColor="text1"/>
          <w:sz w:val="24"/>
          <w:szCs w:val="24"/>
        </w:rPr>
        <w:t>Afrifa</w:t>
      </w:r>
      <w:proofErr w:type="spellEnd"/>
      <w:r w:rsidRPr="00A80A0C">
        <w:rPr>
          <w:color w:val="000000" w:themeColor="text1"/>
          <w:sz w:val="24"/>
          <w:szCs w:val="24"/>
        </w:rPr>
        <w:t xml:space="preserve"> and </w:t>
      </w:r>
      <w:proofErr w:type="spellStart"/>
      <w:r w:rsidRPr="00A80A0C">
        <w:rPr>
          <w:color w:val="000000" w:themeColor="text1"/>
          <w:sz w:val="24"/>
          <w:szCs w:val="24"/>
        </w:rPr>
        <w:t>Gyapong</w:t>
      </w:r>
      <w:proofErr w:type="spellEnd"/>
      <w:r w:rsidRPr="00A80A0C">
        <w:rPr>
          <w:color w:val="000000" w:themeColor="text1"/>
          <w:sz w:val="24"/>
          <w:szCs w:val="24"/>
        </w:rPr>
        <w:t xml:space="preserve">, 2017; Lorentz et al., 2016) provide specific indexes to measure the performance of SCF practices, but the indexes are only relevant to trade credit. So, we can see that the existing performance evaluation system for different SCF practices is not practical or complete. This cause the performance among different SCF providers not to be accurately measured or easily compared and this will in turn hinder the establishment of service standard in SCF. To avoid this, future research can empirically identify measurable dimensions for SCF performance using historical SCF transaction data. In this process the reliability, construct validity, discriminant validity and convergent validity for these dimensions should be carefully evaluated. </w:t>
      </w:r>
    </w:p>
    <w:p w14:paraId="65848840" w14:textId="77777777"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Sixth, the role of two types of SCF providers (e.g., SC orchestrator and 3PL) in integrating flows in SC can be further investigated. Through reviewing the existing literature, we can see that the role of two other types of SCF providers (i.e., the bank and manufacturer) in integrating the flows in the SC have often been explored (</w:t>
      </w:r>
      <w:proofErr w:type="spellStart"/>
      <w:r w:rsidRPr="00A80A0C">
        <w:rPr>
          <w:color w:val="000000" w:themeColor="text1"/>
          <w:sz w:val="24"/>
          <w:szCs w:val="24"/>
        </w:rPr>
        <w:t>Camerinelli</w:t>
      </w:r>
      <w:proofErr w:type="spellEnd"/>
      <w:r w:rsidRPr="00A80A0C">
        <w:rPr>
          <w:color w:val="000000" w:themeColor="text1"/>
          <w:sz w:val="24"/>
          <w:szCs w:val="24"/>
        </w:rPr>
        <w:t xml:space="preserve">, 2009; </w:t>
      </w:r>
      <w:proofErr w:type="spellStart"/>
      <w:r w:rsidRPr="00A80A0C">
        <w:rPr>
          <w:color w:val="000000" w:themeColor="text1"/>
          <w:sz w:val="24"/>
          <w:szCs w:val="24"/>
        </w:rPr>
        <w:t>Dyckman</w:t>
      </w:r>
      <w:proofErr w:type="spellEnd"/>
      <w:r w:rsidRPr="00A80A0C">
        <w:rPr>
          <w:color w:val="000000" w:themeColor="text1"/>
          <w:sz w:val="24"/>
          <w:szCs w:val="24"/>
        </w:rPr>
        <w:t>, 2011; Hofmann, 2011; Blackman et al., 2013). However, two other types of SCF providers (3PL and SC orchestrator) have not been fully investigated. Thus, future studies can further explore the role of 3PL and the SC orchestrator in integrating material flow, information flow and cash flow.</w:t>
      </w:r>
    </w:p>
    <w:p w14:paraId="286BF198" w14:textId="77777777"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 xml:space="preserve">Finally, through reviewing existing SCF papers, most papers study SCF practices without a theoretical lens. Theories adopted by SCF papers are mainly associated with relationships among inter- or intra-organisations (see </w:t>
      </w:r>
      <w:r w:rsidRPr="00A80A0C">
        <w:rPr>
          <w:b/>
          <w:color w:val="000000" w:themeColor="text1"/>
          <w:sz w:val="24"/>
          <w:szCs w:val="24"/>
        </w:rPr>
        <w:t>Table 2</w:t>
      </w:r>
      <w:r w:rsidRPr="00A80A0C">
        <w:rPr>
          <w:color w:val="000000" w:themeColor="text1"/>
          <w:sz w:val="24"/>
          <w:szCs w:val="24"/>
        </w:rPr>
        <w:t xml:space="preserve">). For example, Lorentz et al. (2016) adopt the resource dependence theory (RDT) and task independence to explore how the business cycle affects net trade credit and its components in firms on different tiers of the SC. Like Lorentz et al. (2016), Oliveira et al. (2017) use barging power theory to illustrate the effect of financial contracts on buyer-supplier relationships. Using transaction cost economics (TCE), </w:t>
      </w:r>
      <w:proofErr w:type="spellStart"/>
      <w:r w:rsidRPr="00A80A0C">
        <w:rPr>
          <w:color w:val="000000" w:themeColor="text1"/>
          <w:sz w:val="24"/>
          <w:szCs w:val="24"/>
        </w:rPr>
        <w:t>Wuttke</w:t>
      </w:r>
      <w:proofErr w:type="spellEnd"/>
      <w:r w:rsidRPr="00A80A0C">
        <w:rPr>
          <w:color w:val="000000" w:themeColor="text1"/>
          <w:sz w:val="24"/>
          <w:szCs w:val="24"/>
        </w:rPr>
        <w:t xml:space="preserve"> et </w:t>
      </w:r>
      <w:r w:rsidRPr="00A80A0C">
        <w:rPr>
          <w:color w:val="000000" w:themeColor="text1"/>
          <w:sz w:val="24"/>
          <w:szCs w:val="24"/>
        </w:rPr>
        <w:lastRenderedPageBreak/>
        <w:t xml:space="preserve">al. (2013) investigate the effect of financial SC management on SC performance. </w:t>
      </w:r>
    </w:p>
    <w:p w14:paraId="50200EBD" w14:textId="77777777"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We can see that the usage of theories in SCF is limited and only relationship related theories are sporadically used, which could impede the comprehensive understanding of SCF evolutionary process. Thus, future research can study SCF using theories of firm growth, such as classical theory of firm growth, knowledge-based view and organisational learning, which would help people get more understanding of how SCF business should be developed.</w:t>
      </w:r>
    </w:p>
    <w:p w14:paraId="78E23D2D" w14:textId="77777777" w:rsidR="00871C0F" w:rsidRPr="00A80A0C" w:rsidRDefault="00871C0F" w:rsidP="00FC7D81">
      <w:pPr>
        <w:spacing w:line="360" w:lineRule="auto"/>
        <w:ind w:firstLineChars="200" w:firstLine="480"/>
        <w:rPr>
          <w:color w:val="000000" w:themeColor="text1"/>
          <w:sz w:val="24"/>
          <w:szCs w:val="24"/>
        </w:rPr>
      </w:pPr>
    </w:p>
    <w:p w14:paraId="1A51E35B" w14:textId="77777777" w:rsidR="00871C0F" w:rsidRPr="00A80A0C" w:rsidRDefault="00024A08" w:rsidP="00024A08">
      <w:pPr>
        <w:pStyle w:val="Heading1"/>
        <w:spacing w:beforeLines="50" w:before="156" w:afterLines="50" w:after="156" w:line="360" w:lineRule="auto"/>
        <w:ind w:left="0"/>
        <w:rPr>
          <w:color w:val="000000" w:themeColor="text1"/>
          <w:szCs w:val="24"/>
        </w:rPr>
      </w:pPr>
      <w:r w:rsidRPr="00A80A0C">
        <w:rPr>
          <w:color w:val="000000" w:themeColor="text1"/>
          <w:szCs w:val="24"/>
        </w:rPr>
        <w:t xml:space="preserve">6. </w:t>
      </w:r>
      <w:r w:rsidR="00871C0F" w:rsidRPr="00A80A0C">
        <w:rPr>
          <w:color w:val="000000" w:themeColor="text1"/>
          <w:szCs w:val="24"/>
        </w:rPr>
        <w:t>Conclusion</w:t>
      </w:r>
    </w:p>
    <w:p w14:paraId="2129DDF1" w14:textId="5E3431A1" w:rsidR="00814C50" w:rsidRPr="00A80A0C" w:rsidRDefault="00814C50" w:rsidP="00FC7D81">
      <w:pPr>
        <w:spacing w:line="360" w:lineRule="auto"/>
        <w:rPr>
          <w:b/>
          <w:color w:val="000000" w:themeColor="text1"/>
          <w:sz w:val="24"/>
          <w:szCs w:val="24"/>
        </w:rPr>
      </w:pPr>
      <w:r w:rsidRPr="00A80A0C">
        <w:rPr>
          <w:b/>
          <w:color w:val="000000" w:themeColor="text1"/>
          <w:sz w:val="24"/>
          <w:szCs w:val="24"/>
        </w:rPr>
        <w:t>6.1 Theoretical contributions</w:t>
      </w:r>
    </w:p>
    <w:p w14:paraId="528BE536" w14:textId="77777777" w:rsidR="00871C0F" w:rsidRPr="00A80A0C" w:rsidRDefault="00871C0F" w:rsidP="00FC7D81">
      <w:pPr>
        <w:spacing w:line="360" w:lineRule="auto"/>
        <w:rPr>
          <w:color w:val="000000" w:themeColor="text1"/>
          <w:sz w:val="24"/>
          <w:szCs w:val="24"/>
        </w:rPr>
      </w:pPr>
      <w:r w:rsidRPr="00A80A0C">
        <w:rPr>
          <w:color w:val="000000" w:themeColor="text1"/>
          <w:sz w:val="24"/>
          <w:szCs w:val="24"/>
        </w:rPr>
        <w:t xml:space="preserve">This paper has four main theoretical contributions. First, we have carefully reviewed the SCF literature and symmetrically created a knowledge structure based on the IPT. Specifically, we have expanded the list of existing SCF models. Gelsomino et al. (2016) saw the SCF business models from two perspectives: a financially oriented perspective and a SC-oriented perspective. However, we find that existing SCF business models can be further classified into four models, including a manufacturer-centred model, a bank-centred model, a 3PL-centred model and a SC orchestrator-centred model. This further deepens the understanding of SCF and opens up new avenues for future research. We have specified three sources of uncertainty faced by SCF providers, which can not only help them formulate the mechanisms to improve information processing capacity but also help them maintain and expand existing SCF capabilities. </w:t>
      </w:r>
    </w:p>
    <w:p w14:paraId="5BE52993" w14:textId="77777777"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 xml:space="preserve">Second, although other theories have been adopted in SCF research and some research has also emphasised the importance of information management in SCF, there has been no one who has used the IPT to analyse SCF. IPT is proven to be an effective and valuable framework for SCF research. This theory helps makes sense of the core competency of a SCF provider, i.e., information processing capability. Without this, a SCF provider cannot provide effective service. </w:t>
      </w:r>
    </w:p>
    <w:p w14:paraId="0178C7E5" w14:textId="77777777"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 xml:space="preserve">Third, our conceptual model advances current understanding of SCF by putting together fragmented constructs (i.e., uncertainties, information processing, SCF capabilities, and financial SC integration), and we propose a number of propositions regarding their relationships. These relationships indicate that there is a need for a fit between SCF information </w:t>
      </w:r>
      <w:r w:rsidRPr="00A80A0C">
        <w:rPr>
          <w:color w:val="000000" w:themeColor="text1"/>
          <w:sz w:val="24"/>
          <w:szCs w:val="24"/>
        </w:rPr>
        <w:lastRenderedPageBreak/>
        <w:t>processing requirements and capacity for SCF providers, and the fit can further improve SCF capabilities and achieve integration</w:t>
      </w:r>
      <w:r w:rsidRPr="00A80A0C" w:rsidDel="0074686E">
        <w:rPr>
          <w:color w:val="000000" w:themeColor="text1"/>
          <w:sz w:val="24"/>
          <w:szCs w:val="24"/>
        </w:rPr>
        <w:t xml:space="preserve"> </w:t>
      </w:r>
      <w:r w:rsidRPr="00A80A0C">
        <w:rPr>
          <w:color w:val="000000" w:themeColor="text1"/>
          <w:sz w:val="24"/>
          <w:szCs w:val="24"/>
        </w:rPr>
        <w:t xml:space="preserve">of the whole financial SC. Furthermore, seven directions for future research are provided in this paper, which will benefit those scholars who are interested in investigating SCF issues. </w:t>
      </w:r>
    </w:p>
    <w:p w14:paraId="1199475A" w14:textId="77777777" w:rsidR="00871C0F" w:rsidRPr="00A80A0C" w:rsidRDefault="00871C0F" w:rsidP="00FC7D81">
      <w:pPr>
        <w:spacing w:line="360" w:lineRule="auto"/>
        <w:ind w:firstLineChars="177" w:firstLine="425"/>
        <w:rPr>
          <w:color w:val="000000" w:themeColor="text1"/>
          <w:sz w:val="24"/>
          <w:szCs w:val="24"/>
        </w:rPr>
      </w:pPr>
      <w:r w:rsidRPr="00A80A0C">
        <w:rPr>
          <w:color w:val="000000" w:themeColor="text1"/>
          <w:sz w:val="24"/>
          <w:szCs w:val="24"/>
        </w:rPr>
        <w:t>In sum, based on the IPT, our conceptual framework is one of the first attempts towards looking at SCF from an information processing perspective, and it has significant implications for SCF research in general.</w:t>
      </w:r>
    </w:p>
    <w:p w14:paraId="1360C77B" w14:textId="77777777" w:rsidR="00814C50" w:rsidRPr="00A80A0C" w:rsidRDefault="00814C50" w:rsidP="00814C50">
      <w:pPr>
        <w:spacing w:line="360" w:lineRule="auto"/>
        <w:rPr>
          <w:color w:val="000000" w:themeColor="text1"/>
          <w:sz w:val="24"/>
          <w:szCs w:val="24"/>
        </w:rPr>
      </w:pPr>
    </w:p>
    <w:p w14:paraId="02D172EF" w14:textId="3832E59C" w:rsidR="00814C50" w:rsidRPr="00A80A0C" w:rsidRDefault="00814C50" w:rsidP="00814C50">
      <w:pPr>
        <w:spacing w:line="360" w:lineRule="auto"/>
        <w:rPr>
          <w:b/>
          <w:color w:val="000000" w:themeColor="text1"/>
          <w:sz w:val="24"/>
          <w:szCs w:val="24"/>
        </w:rPr>
      </w:pPr>
      <w:r w:rsidRPr="00A80A0C">
        <w:rPr>
          <w:b/>
          <w:color w:val="000000" w:themeColor="text1"/>
          <w:sz w:val="24"/>
          <w:szCs w:val="24"/>
        </w:rPr>
        <w:t>6.2 Practical contributions</w:t>
      </w:r>
    </w:p>
    <w:p w14:paraId="7706FB64" w14:textId="45C8A96A" w:rsidR="00AC6578" w:rsidRPr="00A80A0C" w:rsidRDefault="00871C0F" w:rsidP="00AC6578">
      <w:pPr>
        <w:spacing w:line="360" w:lineRule="auto"/>
        <w:rPr>
          <w:color w:val="000000" w:themeColor="text1"/>
          <w:sz w:val="24"/>
          <w:szCs w:val="24"/>
        </w:rPr>
      </w:pPr>
      <w:r w:rsidRPr="00A80A0C">
        <w:rPr>
          <w:color w:val="000000" w:themeColor="text1"/>
          <w:sz w:val="24"/>
          <w:szCs w:val="24"/>
        </w:rPr>
        <w:t xml:space="preserve">In practice, </w:t>
      </w:r>
      <w:r w:rsidR="00EC5816" w:rsidRPr="00A80A0C">
        <w:rPr>
          <w:color w:val="000000" w:themeColor="text1"/>
          <w:sz w:val="24"/>
          <w:szCs w:val="24"/>
        </w:rPr>
        <w:t>this research suggests that managers may need to embrace an information processing perspective to manage SCF</w:t>
      </w:r>
      <w:r w:rsidR="00BC7EB2" w:rsidRPr="00A80A0C">
        <w:rPr>
          <w:color w:val="000000" w:themeColor="text1"/>
          <w:sz w:val="24"/>
          <w:szCs w:val="24"/>
        </w:rPr>
        <w:t>.</w:t>
      </w:r>
      <w:r w:rsidR="00BD4B48" w:rsidRPr="00A80A0C">
        <w:rPr>
          <w:color w:val="000000" w:themeColor="text1"/>
          <w:sz w:val="24"/>
          <w:szCs w:val="24"/>
        </w:rPr>
        <w:t xml:space="preserve"> The identified uncertainties </w:t>
      </w:r>
      <w:r w:rsidR="00160D67" w:rsidRPr="00A80A0C">
        <w:rPr>
          <w:color w:val="000000" w:themeColor="text1"/>
          <w:sz w:val="24"/>
          <w:szCs w:val="24"/>
        </w:rPr>
        <w:t>face</w:t>
      </w:r>
      <w:r w:rsidR="00B62AA1" w:rsidRPr="00A80A0C">
        <w:rPr>
          <w:color w:val="000000" w:themeColor="text1"/>
          <w:sz w:val="24"/>
          <w:szCs w:val="24"/>
        </w:rPr>
        <w:t>d</w:t>
      </w:r>
      <w:r w:rsidR="00160D67" w:rsidRPr="00A80A0C">
        <w:rPr>
          <w:color w:val="000000" w:themeColor="text1"/>
          <w:sz w:val="24"/>
          <w:szCs w:val="24"/>
        </w:rPr>
        <w:t xml:space="preserve"> by the SCF providers will increase the information processing requirements. </w:t>
      </w:r>
      <w:r w:rsidR="00A01CF5" w:rsidRPr="00A80A0C">
        <w:rPr>
          <w:color w:val="000000" w:themeColor="text1"/>
          <w:sz w:val="24"/>
          <w:szCs w:val="24"/>
        </w:rPr>
        <w:t xml:space="preserve">To deal with the uncertainties, some mechanisms can help the firms to adjust their information processing capacity. For example, </w:t>
      </w:r>
      <w:r w:rsidR="00310026" w:rsidRPr="00A80A0C">
        <w:rPr>
          <w:color w:val="000000" w:themeColor="text1"/>
          <w:sz w:val="24"/>
          <w:szCs w:val="24"/>
        </w:rPr>
        <w:t xml:space="preserve">if SCF providers want to increase their information processing capacity, they can make their </w:t>
      </w:r>
      <w:r w:rsidR="0060203A" w:rsidRPr="00A80A0C">
        <w:rPr>
          <w:color w:val="000000" w:themeColor="text1"/>
          <w:sz w:val="24"/>
          <w:szCs w:val="24"/>
        </w:rPr>
        <w:t>firm</w:t>
      </w:r>
      <w:r w:rsidR="00310026" w:rsidRPr="00A80A0C">
        <w:rPr>
          <w:color w:val="000000" w:themeColor="text1"/>
          <w:sz w:val="24"/>
          <w:szCs w:val="24"/>
        </w:rPr>
        <w:t>s</w:t>
      </w:r>
      <w:r w:rsidR="00AC6578" w:rsidRPr="00A80A0C">
        <w:rPr>
          <w:color w:val="000000" w:themeColor="text1"/>
          <w:sz w:val="24"/>
          <w:szCs w:val="24"/>
        </w:rPr>
        <w:t>’ structure less formal and</w:t>
      </w:r>
      <w:r w:rsidR="0060203A" w:rsidRPr="00A80A0C">
        <w:rPr>
          <w:color w:val="000000" w:themeColor="text1"/>
          <w:sz w:val="24"/>
          <w:szCs w:val="24"/>
        </w:rPr>
        <w:t xml:space="preserve"> less</w:t>
      </w:r>
      <w:r w:rsidR="00AC6578" w:rsidRPr="00A80A0C">
        <w:rPr>
          <w:color w:val="000000" w:themeColor="text1"/>
          <w:sz w:val="24"/>
          <w:szCs w:val="24"/>
        </w:rPr>
        <w:t xml:space="preserve"> </w:t>
      </w:r>
      <w:proofErr w:type="spellStart"/>
      <w:r w:rsidR="00AC6578" w:rsidRPr="00A80A0C">
        <w:rPr>
          <w:color w:val="000000" w:themeColor="text1"/>
          <w:sz w:val="24"/>
          <w:szCs w:val="24"/>
        </w:rPr>
        <w:t>centralsied</w:t>
      </w:r>
      <w:proofErr w:type="spellEnd"/>
      <w:r w:rsidR="0060203A" w:rsidRPr="00A80A0C">
        <w:rPr>
          <w:color w:val="000000" w:themeColor="text1"/>
          <w:sz w:val="24"/>
          <w:szCs w:val="24"/>
        </w:rPr>
        <w:t xml:space="preserve">, and </w:t>
      </w:r>
      <w:r w:rsidR="00AC6578" w:rsidRPr="00A80A0C">
        <w:rPr>
          <w:color w:val="000000" w:themeColor="text1"/>
          <w:sz w:val="24"/>
          <w:szCs w:val="24"/>
        </w:rPr>
        <w:t xml:space="preserve">put </w:t>
      </w:r>
      <w:r w:rsidR="0060203A" w:rsidRPr="00A80A0C">
        <w:rPr>
          <w:color w:val="000000" w:themeColor="text1"/>
          <w:sz w:val="24"/>
          <w:szCs w:val="24"/>
        </w:rPr>
        <w:t xml:space="preserve">greater </w:t>
      </w:r>
      <w:r w:rsidR="00AC6578" w:rsidRPr="00A80A0C">
        <w:rPr>
          <w:color w:val="000000" w:themeColor="text1"/>
          <w:sz w:val="24"/>
          <w:szCs w:val="24"/>
        </w:rPr>
        <w:t xml:space="preserve">emphasis on </w:t>
      </w:r>
      <w:r w:rsidR="0060203A" w:rsidRPr="00A80A0C">
        <w:rPr>
          <w:color w:val="000000" w:themeColor="text1"/>
          <w:sz w:val="24"/>
          <w:szCs w:val="24"/>
        </w:rPr>
        <w:t>peer inv</w:t>
      </w:r>
      <w:r w:rsidR="00C44077" w:rsidRPr="00A80A0C">
        <w:rPr>
          <w:color w:val="000000" w:themeColor="text1"/>
          <w:sz w:val="24"/>
          <w:szCs w:val="24"/>
        </w:rPr>
        <w:t>olvement in decision making.</w:t>
      </w:r>
      <w:r w:rsidR="00A41B79" w:rsidRPr="00A80A0C">
        <w:rPr>
          <w:color w:val="000000" w:themeColor="text1"/>
          <w:sz w:val="24"/>
          <w:szCs w:val="24"/>
        </w:rPr>
        <w:t xml:space="preserve"> </w:t>
      </w:r>
      <w:r w:rsidR="00AC6578" w:rsidRPr="00A80A0C">
        <w:rPr>
          <w:color w:val="000000" w:themeColor="text1"/>
          <w:sz w:val="24"/>
          <w:szCs w:val="24"/>
        </w:rPr>
        <w:t>T</w:t>
      </w:r>
      <w:r w:rsidR="00814C50" w:rsidRPr="00A80A0C">
        <w:rPr>
          <w:color w:val="000000" w:themeColor="text1"/>
          <w:sz w:val="24"/>
          <w:szCs w:val="24"/>
        </w:rPr>
        <w:t>hey can also consider coordinating</w:t>
      </w:r>
      <w:r w:rsidR="00372A16" w:rsidRPr="00A80A0C">
        <w:rPr>
          <w:color w:val="000000" w:themeColor="text1"/>
          <w:sz w:val="24"/>
          <w:szCs w:val="24"/>
        </w:rPr>
        <w:t xml:space="preserve"> </w:t>
      </w:r>
      <w:r w:rsidR="00AE25F1" w:rsidRPr="00A80A0C">
        <w:rPr>
          <w:color w:val="000000" w:themeColor="text1"/>
          <w:sz w:val="24"/>
          <w:szCs w:val="24"/>
        </w:rPr>
        <w:t xml:space="preserve">activities across organizational </w:t>
      </w:r>
      <w:r w:rsidR="00372A16" w:rsidRPr="00A80A0C">
        <w:rPr>
          <w:color w:val="000000" w:themeColor="text1"/>
          <w:sz w:val="24"/>
          <w:szCs w:val="24"/>
        </w:rPr>
        <w:t xml:space="preserve">functions, such as planning, </w:t>
      </w:r>
      <w:r w:rsidR="00372A16" w:rsidRPr="00A80A0C">
        <w:rPr>
          <w:rFonts w:eastAsia="Microsoft YaHei UI"/>
          <w:color w:val="000000" w:themeColor="text1"/>
          <w:kern w:val="0"/>
          <w:sz w:val="24"/>
          <w:szCs w:val="24"/>
        </w:rPr>
        <w:t>purchasing, production, transportation, and payment.</w:t>
      </w:r>
      <w:r w:rsidR="00554E56" w:rsidRPr="00A80A0C">
        <w:rPr>
          <w:color w:val="000000" w:themeColor="text1"/>
          <w:sz w:val="24"/>
          <w:szCs w:val="24"/>
        </w:rPr>
        <w:t xml:space="preserve"> </w:t>
      </w:r>
    </w:p>
    <w:p w14:paraId="40531326" w14:textId="571FE8FE" w:rsidR="00871C0F" w:rsidRPr="00A80A0C" w:rsidRDefault="00AC6578" w:rsidP="00AC6578">
      <w:pPr>
        <w:spacing w:line="360" w:lineRule="auto"/>
        <w:ind w:firstLine="567"/>
        <w:rPr>
          <w:color w:val="000000" w:themeColor="text1"/>
          <w:sz w:val="24"/>
          <w:szCs w:val="24"/>
        </w:rPr>
      </w:pPr>
      <w:r w:rsidRPr="00A80A0C">
        <w:rPr>
          <w:color w:val="000000" w:themeColor="text1"/>
          <w:sz w:val="24"/>
          <w:szCs w:val="24"/>
        </w:rPr>
        <w:t xml:space="preserve">Second, </w:t>
      </w:r>
      <w:r w:rsidRPr="00A80A0C">
        <w:rPr>
          <w:rFonts w:eastAsia="Microsoft YaHei UI"/>
          <w:color w:val="000000" w:themeColor="text1"/>
          <w:kern w:val="0"/>
          <w:sz w:val="24"/>
          <w:szCs w:val="24"/>
        </w:rPr>
        <w:t>t</w:t>
      </w:r>
      <w:r w:rsidR="009D1E04" w:rsidRPr="00A80A0C">
        <w:rPr>
          <w:rFonts w:eastAsia="Microsoft YaHei UI"/>
          <w:color w:val="000000" w:themeColor="text1"/>
          <w:kern w:val="0"/>
          <w:sz w:val="24"/>
          <w:szCs w:val="24"/>
        </w:rPr>
        <w:t xml:space="preserve">he proposed framework also offers a </w:t>
      </w:r>
      <w:r w:rsidRPr="00A80A0C">
        <w:rPr>
          <w:rFonts w:eastAsia="Microsoft YaHei UI"/>
          <w:color w:val="000000" w:themeColor="text1"/>
          <w:kern w:val="0"/>
          <w:sz w:val="24"/>
          <w:szCs w:val="24"/>
        </w:rPr>
        <w:t>key advice of matching</w:t>
      </w:r>
      <w:r w:rsidR="009D1E04" w:rsidRPr="00A80A0C">
        <w:rPr>
          <w:rFonts w:eastAsia="Microsoft YaHei UI"/>
          <w:color w:val="000000" w:themeColor="text1"/>
          <w:kern w:val="0"/>
          <w:sz w:val="24"/>
          <w:szCs w:val="24"/>
        </w:rPr>
        <w:t xml:space="preserve"> informa</w:t>
      </w:r>
      <w:r w:rsidRPr="00A80A0C">
        <w:rPr>
          <w:rFonts w:eastAsia="Microsoft YaHei UI"/>
          <w:color w:val="000000" w:themeColor="text1"/>
          <w:kern w:val="0"/>
          <w:sz w:val="24"/>
          <w:szCs w:val="24"/>
        </w:rPr>
        <w:t>tion processing requirements with information processing</w:t>
      </w:r>
      <w:r w:rsidR="009D1E04" w:rsidRPr="00A80A0C">
        <w:rPr>
          <w:rFonts w:eastAsia="Microsoft YaHei UI"/>
          <w:color w:val="000000" w:themeColor="text1"/>
          <w:kern w:val="0"/>
          <w:sz w:val="24"/>
          <w:szCs w:val="24"/>
        </w:rPr>
        <w:t xml:space="preserve"> capacity. </w:t>
      </w:r>
      <w:r w:rsidR="00726E5B" w:rsidRPr="00A80A0C">
        <w:rPr>
          <w:rFonts w:eastAsia="Microsoft YaHei UI"/>
          <w:color w:val="000000" w:themeColor="text1"/>
          <w:kern w:val="0"/>
          <w:sz w:val="24"/>
          <w:szCs w:val="24"/>
        </w:rPr>
        <w:t xml:space="preserve">In practice, </w:t>
      </w:r>
      <w:r w:rsidR="00F57FFC" w:rsidRPr="00A80A0C">
        <w:rPr>
          <w:rFonts w:eastAsia="Microsoft YaHei UI"/>
          <w:color w:val="000000" w:themeColor="text1"/>
          <w:kern w:val="0"/>
          <w:sz w:val="24"/>
          <w:szCs w:val="24"/>
        </w:rPr>
        <w:t xml:space="preserve">SCF provider’s </w:t>
      </w:r>
      <w:r w:rsidR="00726E5B" w:rsidRPr="00A80A0C">
        <w:rPr>
          <w:color w:val="000000" w:themeColor="text1"/>
          <w:sz w:val="24"/>
          <w:szCs w:val="24"/>
        </w:rPr>
        <w:t xml:space="preserve">low information processing capacity will </w:t>
      </w:r>
      <w:r w:rsidRPr="00A80A0C">
        <w:rPr>
          <w:color w:val="000000" w:themeColor="text1"/>
          <w:sz w:val="24"/>
          <w:szCs w:val="24"/>
        </w:rPr>
        <w:t>expose the firms to potential risks</w:t>
      </w:r>
      <w:r w:rsidR="00726E5B" w:rsidRPr="00A80A0C">
        <w:rPr>
          <w:color w:val="000000" w:themeColor="text1"/>
          <w:sz w:val="24"/>
          <w:szCs w:val="24"/>
        </w:rPr>
        <w:t>. While high information processing capacity will result in redundancy and unnecessary cost in terms of time, effort, and control.</w:t>
      </w:r>
      <w:r w:rsidR="00801164" w:rsidRPr="00A80A0C">
        <w:rPr>
          <w:color w:val="000000" w:themeColor="text1"/>
          <w:sz w:val="24"/>
          <w:szCs w:val="24"/>
        </w:rPr>
        <w:t xml:space="preserve"> </w:t>
      </w:r>
      <w:r w:rsidR="006E1D98" w:rsidRPr="00A80A0C">
        <w:rPr>
          <w:color w:val="000000" w:themeColor="text1"/>
          <w:sz w:val="24"/>
          <w:szCs w:val="24"/>
        </w:rPr>
        <w:t xml:space="preserve">It is better to </w:t>
      </w:r>
      <w:r w:rsidR="00EF3BD4" w:rsidRPr="00A80A0C">
        <w:rPr>
          <w:color w:val="000000" w:themeColor="text1"/>
          <w:sz w:val="24"/>
          <w:szCs w:val="24"/>
        </w:rPr>
        <w:t>gradually increase the information processing capacity to</w:t>
      </w:r>
      <w:r w:rsidR="00EF3BD4" w:rsidRPr="00A80A0C">
        <w:rPr>
          <w:rFonts w:hint="eastAsia"/>
          <w:color w:val="000000" w:themeColor="text1"/>
          <w:sz w:val="24"/>
          <w:szCs w:val="24"/>
        </w:rPr>
        <w:t xml:space="preserve"> </w:t>
      </w:r>
      <w:r w:rsidR="006E1D98" w:rsidRPr="00A80A0C">
        <w:rPr>
          <w:color w:val="000000" w:themeColor="text1"/>
          <w:sz w:val="24"/>
          <w:szCs w:val="24"/>
        </w:rPr>
        <w:t xml:space="preserve">fit </w:t>
      </w:r>
      <w:r w:rsidR="00EF3BD4" w:rsidRPr="00A80A0C">
        <w:rPr>
          <w:color w:val="000000" w:themeColor="text1"/>
          <w:sz w:val="24"/>
          <w:szCs w:val="24"/>
        </w:rPr>
        <w:t>the</w:t>
      </w:r>
      <w:r w:rsidR="006E1D98" w:rsidRPr="00A80A0C">
        <w:rPr>
          <w:color w:val="000000" w:themeColor="text1"/>
          <w:sz w:val="24"/>
          <w:szCs w:val="24"/>
        </w:rPr>
        <w:t xml:space="preserve"> </w:t>
      </w:r>
      <w:r w:rsidR="007E24F0" w:rsidRPr="00A80A0C">
        <w:rPr>
          <w:color w:val="000000" w:themeColor="text1"/>
          <w:sz w:val="24"/>
          <w:szCs w:val="24"/>
        </w:rPr>
        <w:t>requirements</w:t>
      </w:r>
      <w:r w:rsidR="000B2645" w:rsidRPr="00A80A0C">
        <w:rPr>
          <w:color w:val="000000" w:themeColor="text1"/>
          <w:sz w:val="24"/>
          <w:szCs w:val="24"/>
        </w:rPr>
        <w:t xml:space="preserve">. </w:t>
      </w:r>
      <w:r w:rsidR="00871C0F" w:rsidRPr="00A80A0C">
        <w:rPr>
          <w:color w:val="000000" w:themeColor="text1"/>
          <w:sz w:val="24"/>
          <w:szCs w:val="24"/>
        </w:rPr>
        <w:t>With the help of this framework, SCF providers can get an idea about how to develop information processing capacities to fit their info</w:t>
      </w:r>
      <w:r w:rsidR="007E24F0" w:rsidRPr="00A80A0C">
        <w:rPr>
          <w:color w:val="000000" w:themeColor="text1"/>
          <w:sz w:val="24"/>
          <w:szCs w:val="24"/>
        </w:rPr>
        <w:t>rmation processing requirements.</w:t>
      </w:r>
    </w:p>
    <w:p w14:paraId="7E3A3EEC" w14:textId="3081064C" w:rsidR="007E24F0" w:rsidRPr="00A80A0C" w:rsidRDefault="007E24F0" w:rsidP="007E24F0">
      <w:pPr>
        <w:spacing w:line="360" w:lineRule="auto"/>
        <w:ind w:firstLine="567"/>
        <w:rPr>
          <w:color w:val="000000" w:themeColor="text1"/>
          <w:sz w:val="24"/>
          <w:szCs w:val="24"/>
        </w:rPr>
      </w:pPr>
      <w:r w:rsidRPr="00A80A0C">
        <w:rPr>
          <w:color w:val="000000" w:themeColor="text1"/>
          <w:sz w:val="24"/>
          <w:szCs w:val="24"/>
        </w:rPr>
        <w:t xml:space="preserve">Third, the conceptual framework also provides SCF practitioners with a list of SCF capabilities, e.g., map financial network structure, design financial business process and share financial information systems. Some detailed mechanisms in relation to these capabilities are also provided. </w:t>
      </w:r>
    </w:p>
    <w:p w14:paraId="26345316" w14:textId="77777777" w:rsidR="00D03E2E" w:rsidRPr="00A80A0C" w:rsidRDefault="00D03E2E" w:rsidP="00D03E2E">
      <w:pPr>
        <w:spacing w:line="360" w:lineRule="auto"/>
        <w:rPr>
          <w:color w:val="000000" w:themeColor="text1"/>
          <w:sz w:val="24"/>
          <w:szCs w:val="24"/>
        </w:rPr>
      </w:pPr>
    </w:p>
    <w:p w14:paraId="40642964" w14:textId="5D94B638" w:rsidR="00D03E2E" w:rsidRPr="00A80A0C" w:rsidRDefault="00D03E2E" w:rsidP="00D03E2E">
      <w:pPr>
        <w:spacing w:line="360" w:lineRule="auto"/>
        <w:rPr>
          <w:color w:val="000000" w:themeColor="text1"/>
          <w:sz w:val="24"/>
          <w:szCs w:val="24"/>
        </w:rPr>
      </w:pPr>
      <w:r w:rsidRPr="00A80A0C">
        <w:rPr>
          <w:color w:val="000000" w:themeColor="text1"/>
          <w:sz w:val="24"/>
          <w:szCs w:val="24"/>
        </w:rPr>
        <w:t>6.3 Limitations</w:t>
      </w:r>
    </w:p>
    <w:p w14:paraId="4E127AC6" w14:textId="77777777" w:rsidR="00871C0F" w:rsidRPr="00A80A0C" w:rsidRDefault="00871C0F" w:rsidP="00D03E2E">
      <w:pPr>
        <w:spacing w:line="360" w:lineRule="auto"/>
        <w:rPr>
          <w:color w:val="000000" w:themeColor="text1"/>
          <w:sz w:val="24"/>
          <w:szCs w:val="24"/>
        </w:rPr>
      </w:pPr>
      <w:r w:rsidRPr="00A80A0C">
        <w:rPr>
          <w:color w:val="000000" w:themeColor="text1"/>
          <w:sz w:val="24"/>
          <w:szCs w:val="24"/>
        </w:rPr>
        <w:lastRenderedPageBreak/>
        <w:t>This paper also has some limitations. This conceptual paper is intended to provide researchers and companies with a comparably inclusive guideline for developing SCF. Thus, a detailed procedure of SCF practices has not been provided. In addition, although this framework for developing SCF capabilities has promise, its final effectiveness remains to be established by further practice and empirical research. Finally, we argue that different uncertainties will increase the need for SCF information processing requirements, but this study does not specify how different types of uncertainties affect the implementation of certain patterns of SCF. This may be a topic for future research.</w:t>
      </w:r>
    </w:p>
    <w:p w14:paraId="35FCD78B" w14:textId="77777777" w:rsidR="00871C0F" w:rsidRPr="00A80A0C" w:rsidRDefault="00871C0F" w:rsidP="00FC7D81">
      <w:pPr>
        <w:spacing w:line="360" w:lineRule="auto"/>
        <w:rPr>
          <w:color w:val="000000" w:themeColor="text1"/>
          <w:sz w:val="24"/>
          <w:szCs w:val="24"/>
        </w:rPr>
      </w:pPr>
    </w:p>
    <w:p w14:paraId="3FE5D2A0" w14:textId="77777777" w:rsidR="00871C0F" w:rsidRPr="00A80A0C" w:rsidRDefault="00871C0F" w:rsidP="00FC7D81">
      <w:pPr>
        <w:spacing w:line="360" w:lineRule="auto"/>
        <w:rPr>
          <w:b/>
          <w:color w:val="000000" w:themeColor="text1"/>
          <w:sz w:val="24"/>
          <w:szCs w:val="24"/>
        </w:rPr>
      </w:pPr>
      <w:r w:rsidRPr="00A80A0C">
        <w:rPr>
          <w:b/>
          <w:color w:val="000000" w:themeColor="text1"/>
          <w:sz w:val="24"/>
          <w:szCs w:val="24"/>
        </w:rPr>
        <w:t>References</w:t>
      </w:r>
    </w:p>
    <w:p w14:paraId="6ECE29E0"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Adjapong</w:t>
      </w:r>
      <w:proofErr w:type="spellEnd"/>
      <w:r w:rsidRPr="00A80A0C">
        <w:rPr>
          <w:color w:val="000000" w:themeColor="text1"/>
          <w:sz w:val="24"/>
          <w:szCs w:val="24"/>
        </w:rPr>
        <w:t>, A. G., Ernest, G., 2017. Net trade credit: what are the determinants? Internationa</w:t>
      </w:r>
      <w:r w:rsidR="00A26C35" w:rsidRPr="00A80A0C">
        <w:rPr>
          <w:color w:val="000000" w:themeColor="text1"/>
          <w:sz w:val="24"/>
          <w:szCs w:val="24"/>
        </w:rPr>
        <w:t>l Journal of Managerial Finance.</w:t>
      </w:r>
      <w:r w:rsidRPr="00A80A0C">
        <w:rPr>
          <w:color w:val="000000" w:themeColor="text1"/>
          <w:sz w:val="24"/>
          <w:szCs w:val="24"/>
        </w:rPr>
        <w:t xml:space="preserve"> 13(3), 246-266.</w:t>
      </w:r>
    </w:p>
    <w:p w14:paraId="762969D6"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Akgün</w:t>
      </w:r>
      <w:proofErr w:type="spellEnd"/>
      <w:r w:rsidRPr="00A80A0C">
        <w:rPr>
          <w:color w:val="000000" w:themeColor="text1"/>
          <w:sz w:val="24"/>
          <w:szCs w:val="24"/>
        </w:rPr>
        <w:t xml:space="preserve">, M., </w:t>
      </w:r>
      <w:proofErr w:type="spellStart"/>
      <w:r w:rsidRPr="00A80A0C">
        <w:rPr>
          <w:color w:val="000000" w:themeColor="text1"/>
          <w:sz w:val="24"/>
          <w:szCs w:val="24"/>
        </w:rPr>
        <w:t>Gürünlü</w:t>
      </w:r>
      <w:proofErr w:type="spellEnd"/>
      <w:r w:rsidRPr="00A80A0C">
        <w:rPr>
          <w:color w:val="000000" w:themeColor="text1"/>
          <w:sz w:val="24"/>
          <w:szCs w:val="24"/>
        </w:rPr>
        <w:t>, M., 2010. Cash to cash cycle as an integral performance metric in supply chain management: a theoretical review. IUP Jou</w:t>
      </w:r>
      <w:r w:rsidR="00A26C35" w:rsidRPr="00A80A0C">
        <w:rPr>
          <w:color w:val="000000" w:themeColor="text1"/>
          <w:sz w:val="24"/>
          <w:szCs w:val="24"/>
        </w:rPr>
        <w:t>rnal of supply chain management.</w:t>
      </w:r>
      <w:r w:rsidRPr="00A80A0C">
        <w:rPr>
          <w:color w:val="000000" w:themeColor="text1"/>
          <w:sz w:val="24"/>
          <w:szCs w:val="24"/>
        </w:rPr>
        <w:t xml:space="preserve"> 7(1-2), 7-20.</w:t>
      </w:r>
    </w:p>
    <w:p w14:paraId="2DCE3380"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Arrow, K. J., 1958. Studies in the mathematical theory of inventory and production: Stanford University Press.</w:t>
      </w:r>
    </w:p>
    <w:p w14:paraId="5A9A799C"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Avanzo</w:t>
      </w:r>
      <w:proofErr w:type="spellEnd"/>
      <w:r w:rsidRPr="00A80A0C">
        <w:rPr>
          <w:color w:val="000000" w:themeColor="text1"/>
          <w:sz w:val="24"/>
          <w:szCs w:val="24"/>
        </w:rPr>
        <w:t xml:space="preserve">, R., Von Lewinski H, Van </w:t>
      </w:r>
      <w:proofErr w:type="spellStart"/>
      <w:r w:rsidRPr="00A80A0C">
        <w:rPr>
          <w:color w:val="000000" w:themeColor="text1"/>
          <w:sz w:val="24"/>
          <w:szCs w:val="24"/>
        </w:rPr>
        <w:t>Wassenhove</w:t>
      </w:r>
      <w:proofErr w:type="spellEnd"/>
      <w:r w:rsidRPr="00A80A0C">
        <w:rPr>
          <w:color w:val="000000" w:themeColor="text1"/>
          <w:sz w:val="24"/>
          <w:szCs w:val="24"/>
        </w:rPr>
        <w:t xml:space="preserve"> LN., 2003. The link between supply chain and financial performance.</w:t>
      </w:r>
      <w:r w:rsidR="00A26C35" w:rsidRPr="00A80A0C">
        <w:rPr>
          <w:color w:val="000000" w:themeColor="text1"/>
          <w:sz w:val="24"/>
          <w:szCs w:val="24"/>
        </w:rPr>
        <w:t xml:space="preserve"> Supply Chain Management Review.</w:t>
      </w:r>
      <w:r w:rsidRPr="00A80A0C">
        <w:rPr>
          <w:color w:val="000000" w:themeColor="text1"/>
          <w:sz w:val="24"/>
          <w:szCs w:val="24"/>
        </w:rPr>
        <w:t xml:space="preserve"> 7(6), 40–47.</w:t>
      </w:r>
    </w:p>
    <w:p w14:paraId="733833C7"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Angelucci</w:t>
      </w:r>
      <w:proofErr w:type="spellEnd"/>
      <w:r w:rsidRPr="00A80A0C">
        <w:rPr>
          <w:color w:val="000000" w:themeColor="text1"/>
          <w:sz w:val="24"/>
          <w:szCs w:val="24"/>
        </w:rPr>
        <w:t xml:space="preserve">, F., </w:t>
      </w:r>
      <w:proofErr w:type="spellStart"/>
      <w:r w:rsidRPr="00A80A0C">
        <w:rPr>
          <w:color w:val="000000" w:themeColor="text1"/>
          <w:sz w:val="24"/>
          <w:szCs w:val="24"/>
        </w:rPr>
        <w:t>Conforti</w:t>
      </w:r>
      <w:proofErr w:type="spellEnd"/>
      <w:r w:rsidRPr="00A80A0C">
        <w:rPr>
          <w:color w:val="000000" w:themeColor="text1"/>
          <w:sz w:val="24"/>
          <w:szCs w:val="24"/>
        </w:rPr>
        <w:t>, P., 2010. Risk management and finance along value chains of Small Island Developing States: evidence from the Caribbe</w:t>
      </w:r>
      <w:r w:rsidR="00A26C35" w:rsidRPr="00A80A0C">
        <w:rPr>
          <w:color w:val="000000" w:themeColor="text1"/>
          <w:sz w:val="24"/>
          <w:szCs w:val="24"/>
        </w:rPr>
        <w:t>an and the Pacific. Food Policy.</w:t>
      </w:r>
      <w:r w:rsidRPr="00A80A0C">
        <w:rPr>
          <w:color w:val="000000" w:themeColor="text1"/>
          <w:sz w:val="24"/>
          <w:szCs w:val="24"/>
        </w:rPr>
        <w:t xml:space="preserve"> 35(6), 565-575.</w:t>
      </w:r>
    </w:p>
    <w:p w14:paraId="4E275EE4"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Anonymous, 1981. FASB specifies accounting for an inventory financing that appears to be a </w:t>
      </w:r>
      <w:r w:rsidR="00A26C35" w:rsidRPr="00A80A0C">
        <w:rPr>
          <w:color w:val="000000" w:themeColor="text1"/>
          <w:sz w:val="24"/>
          <w:szCs w:val="24"/>
        </w:rPr>
        <w:t>"sale". Journal of Accountancy.</w:t>
      </w:r>
      <w:r w:rsidRPr="00A80A0C">
        <w:rPr>
          <w:color w:val="000000" w:themeColor="text1"/>
          <w:sz w:val="24"/>
          <w:szCs w:val="24"/>
        </w:rPr>
        <w:t xml:space="preserve"> 152(2), 16-16.</w:t>
      </w:r>
    </w:p>
    <w:p w14:paraId="57702592" w14:textId="77777777" w:rsidR="00940D0B" w:rsidRPr="00A80A0C" w:rsidRDefault="00940D0B" w:rsidP="00940D0B">
      <w:pPr>
        <w:ind w:left="480" w:hangingChars="200" w:hanging="480"/>
        <w:rPr>
          <w:color w:val="000000" w:themeColor="text1"/>
          <w:sz w:val="24"/>
          <w:szCs w:val="24"/>
        </w:rPr>
      </w:pPr>
      <w:proofErr w:type="spellStart"/>
      <w:r w:rsidRPr="00A80A0C">
        <w:rPr>
          <w:color w:val="000000" w:themeColor="text1"/>
          <w:sz w:val="24"/>
          <w:szCs w:val="24"/>
        </w:rPr>
        <w:t>Babich</w:t>
      </w:r>
      <w:proofErr w:type="spellEnd"/>
      <w:r w:rsidRPr="00A80A0C">
        <w:rPr>
          <w:color w:val="000000" w:themeColor="text1"/>
          <w:sz w:val="24"/>
          <w:szCs w:val="24"/>
        </w:rPr>
        <w:t xml:space="preserve">, V. and </w:t>
      </w:r>
      <w:proofErr w:type="spellStart"/>
      <w:r w:rsidRPr="00A80A0C">
        <w:rPr>
          <w:color w:val="000000" w:themeColor="text1"/>
          <w:sz w:val="24"/>
          <w:szCs w:val="24"/>
        </w:rPr>
        <w:t>Kouvelis</w:t>
      </w:r>
      <w:proofErr w:type="spellEnd"/>
      <w:r w:rsidRPr="00A80A0C">
        <w:rPr>
          <w:color w:val="000000" w:themeColor="text1"/>
          <w:sz w:val="24"/>
          <w:szCs w:val="24"/>
        </w:rPr>
        <w:t>, P., 2018. Introduction to the special issue on research at the interface of finance, operations, and risk management (</w:t>
      </w:r>
      <w:proofErr w:type="spellStart"/>
      <w:r w:rsidRPr="00A80A0C">
        <w:rPr>
          <w:color w:val="000000" w:themeColor="text1"/>
          <w:sz w:val="24"/>
          <w:szCs w:val="24"/>
        </w:rPr>
        <w:t>iFORM</w:t>
      </w:r>
      <w:proofErr w:type="spellEnd"/>
      <w:r w:rsidRPr="00A80A0C">
        <w:rPr>
          <w:color w:val="000000" w:themeColor="text1"/>
          <w:sz w:val="24"/>
          <w:szCs w:val="24"/>
        </w:rPr>
        <w:t>): Recent contributions and future directions. 20(1), 1-18.</w:t>
      </w:r>
    </w:p>
    <w:p w14:paraId="045E3C97"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Bajwa</w:t>
      </w:r>
      <w:proofErr w:type="spellEnd"/>
      <w:r w:rsidRPr="00A80A0C">
        <w:rPr>
          <w:color w:val="000000" w:themeColor="text1"/>
          <w:sz w:val="24"/>
          <w:szCs w:val="24"/>
        </w:rPr>
        <w:t>, R., 2013. Agriculture value chain financing: an analysis of I</w:t>
      </w:r>
      <w:r w:rsidR="00A26C35" w:rsidRPr="00A80A0C">
        <w:rPr>
          <w:color w:val="000000" w:themeColor="text1"/>
          <w:sz w:val="24"/>
          <w:szCs w:val="24"/>
        </w:rPr>
        <w:t>ndia. Indian Journal of Finance.</w:t>
      </w:r>
      <w:r w:rsidRPr="00A80A0C">
        <w:rPr>
          <w:color w:val="000000" w:themeColor="text1"/>
          <w:sz w:val="24"/>
          <w:szCs w:val="24"/>
        </w:rPr>
        <w:t xml:space="preserve"> 7(8), 24-34.</w:t>
      </w:r>
    </w:p>
    <w:p w14:paraId="2E472B92"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Baltensperger</w:t>
      </w:r>
      <w:proofErr w:type="spellEnd"/>
      <w:r w:rsidRPr="00A80A0C">
        <w:rPr>
          <w:color w:val="000000" w:themeColor="text1"/>
          <w:sz w:val="24"/>
          <w:szCs w:val="24"/>
        </w:rPr>
        <w:t xml:space="preserve"> E., 1980. Alternative approaches to the theory of</w:t>
      </w:r>
      <w:r w:rsidR="00A26C35" w:rsidRPr="00A80A0C">
        <w:rPr>
          <w:color w:val="000000" w:themeColor="text1"/>
          <w:sz w:val="24"/>
          <w:szCs w:val="24"/>
        </w:rPr>
        <w:t xml:space="preserve"> the banking firm. J Monet Econ. </w:t>
      </w:r>
      <w:r w:rsidRPr="00A80A0C">
        <w:rPr>
          <w:color w:val="000000" w:themeColor="text1"/>
          <w:sz w:val="24"/>
          <w:szCs w:val="24"/>
        </w:rPr>
        <w:t>6(1), 1–37.</w:t>
      </w:r>
    </w:p>
    <w:p w14:paraId="7B5F5B26"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Barney, J. B., 1991. Firm resources and sustained competitive a</w:t>
      </w:r>
      <w:r w:rsidR="00A26C35" w:rsidRPr="00A80A0C">
        <w:rPr>
          <w:color w:val="000000" w:themeColor="text1"/>
          <w:sz w:val="24"/>
          <w:szCs w:val="24"/>
        </w:rPr>
        <w:t>dvantage. Journal of Management.</w:t>
      </w:r>
      <w:r w:rsidRPr="00A80A0C">
        <w:rPr>
          <w:color w:val="000000" w:themeColor="text1"/>
          <w:sz w:val="24"/>
          <w:szCs w:val="24"/>
        </w:rPr>
        <w:t xml:space="preserve"> 17(1), 99–120. </w:t>
      </w:r>
    </w:p>
    <w:p w14:paraId="1438BC37"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Birthal</w:t>
      </w:r>
      <w:proofErr w:type="spellEnd"/>
      <w:r w:rsidRPr="00A80A0C">
        <w:rPr>
          <w:color w:val="000000" w:themeColor="text1"/>
          <w:sz w:val="24"/>
          <w:szCs w:val="24"/>
        </w:rPr>
        <w:t xml:space="preserve">, P. S., Chand, R., Joshi, P., Saxena, R., </w:t>
      </w:r>
      <w:proofErr w:type="spellStart"/>
      <w:r w:rsidRPr="00A80A0C">
        <w:rPr>
          <w:color w:val="000000" w:themeColor="text1"/>
          <w:sz w:val="24"/>
          <w:szCs w:val="24"/>
        </w:rPr>
        <w:t>Rajkhowa</w:t>
      </w:r>
      <w:proofErr w:type="spellEnd"/>
      <w:r w:rsidRPr="00A80A0C">
        <w:rPr>
          <w:color w:val="000000" w:themeColor="text1"/>
          <w:sz w:val="24"/>
          <w:szCs w:val="24"/>
        </w:rPr>
        <w:t>, P., Khan, M. T., Khan, M. A., Chaudhary, K. R., 2017. Formal versus informal: efficiency, inclusiveness and financing of dairy value chains in Indian P</w:t>
      </w:r>
      <w:r w:rsidR="00A26C35" w:rsidRPr="00A80A0C">
        <w:rPr>
          <w:color w:val="000000" w:themeColor="text1"/>
          <w:sz w:val="24"/>
          <w:szCs w:val="24"/>
        </w:rPr>
        <w:t>unjab. Journal of Rural Studies.</w:t>
      </w:r>
      <w:r w:rsidRPr="00A80A0C">
        <w:rPr>
          <w:color w:val="000000" w:themeColor="text1"/>
          <w:sz w:val="24"/>
          <w:szCs w:val="24"/>
        </w:rPr>
        <w:t xml:space="preserve"> 54, 288-303.</w:t>
      </w:r>
    </w:p>
    <w:p w14:paraId="5F9943C0"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Bastos, R., </w:t>
      </w:r>
      <w:proofErr w:type="spellStart"/>
      <w:r w:rsidRPr="00A80A0C">
        <w:rPr>
          <w:color w:val="000000" w:themeColor="text1"/>
          <w:sz w:val="24"/>
          <w:szCs w:val="24"/>
        </w:rPr>
        <w:t>Pindado</w:t>
      </w:r>
      <w:proofErr w:type="spellEnd"/>
      <w:r w:rsidRPr="00A80A0C">
        <w:rPr>
          <w:color w:val="000000" w:themeColor="text1"/>
          <w:sz w:val="24"/>
          <w:szCs w:val="24"/>
        </w:rPr>
        <w:t>, J., 2013. Trade credit during a financial crisis: a panel data analysi</w:t>
      </w:r>
      <w:r w:rsidR="00A26C35" w:rsidRPr="00A80A0C">
        <w:rPr>
          <w:color w:val="000000" w:themeColor="text1"/>
          <w:sz w:val="24"/>
          <w:szCs w:val="24"/>
        </w:rPr>
        <w:t>s. Journal of Business Research.</w:t>
      </w:r>
      <w:r w:rsidRPr="00A80A0C">
        <w:rPr>
          <w:color w:val="000000" w:themeColor="text1"/>
          <w:sz w:val="24"/>
          <w:szCs w:val="24"/>
        </w:rPr>
        <w:t xml:space="preserve"> 66(5), 614-620.</w:t>
      </w:r>
    </w:p>
    <w:p w14:paraId="15C8F851"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Basu</w:t>
      </w:r>
      <w:proofErr w:type="spellEnd"/>
      <w:r w:rsidRPr="00A80A0C">
        <w:rPr>
          <w:color w:val="000000" w:themeColor="text1"/>
          <w:sz w:val="24"/>
          <w:szCs w:val="24"/>
        </w:rPr>
        <w:t xml:space="preserve">, P., Nair, S. K., 2012. Supply chain finance enabled early pay: unlocking trapped value in </w:t>
      </w:r>
      <w:r w:rsidRPr="00A80A0C">
        <w:rPr>
          <w:color w:val="000000" w:themeColor="text1"/>
          <w:sz w:val="24"/>
          <w:szCs w:val="24"/>
        </w:rPr>
        <w:lastRenderedPageBreak/>
        <w:t>B2B logistics. International Journal of L</w:t>
      </w:r>
      <w:r w:rsidR="00A26C35" w:rsidRPr="00A80A0C">
        <w:rPr>
          <w:color w:val="000000" w:themeColor="text1"/>
          <w:sz w:val="24"/>
          <w:szCs w:val="24"/>
        </w:rPr>
        <w:t>ogistics Systems and Management.</w:t>
      </w:r>
      <w:r w:rsidRPr="00A80A0C">
        <w:rPr>
          <w:color w:val="000000" w:themeColor="text1"/>
          <w:sz w:val="24"/>
          <w:szCs w:val="24"/>
        </w:rPr>
        <w:t xml:space="preserve"> 12(3), 334-353.</w:t>
      </w:r>
    </w:p>
    <w:p w14:paraId="59EAED8D" w14:textId="77777777" w:rsidR="00773A04" w:rsidRPr="00A80A0C" w:rsidRDefault="00773A04" w:rsidP="00773A04">
      <w:pPr>
        <w:ind w:left="480" w:hangingChars="200" w:hanging="480"/>
        <w:rPr>
          <w:color w:val="000000" w:themeColor="text1"/>
          <w:sz w:val="24"/>
          <w:szCs w:val="24"/>
        </w:rPr>
      </w:pPr>
      <w:proofErr w:type="spellStart"/>
      <w:r w:rsidRPr="00A80A0C">
        <w:rPr>
          <w:color w:val="000000" w:themeColor="text1"/>
          <w:sz w:val="24"/>
          <w:szCs w:val="24"/>
        </w:rPr>
        <w:t>Bensaou</w:t>
      </w:r>
      <w:proofErr w:type="spellEnd"/>
      <w:r w:rsidRPr="00A80A0C">
        <w:rPr>
          <w:color w:val="000000" w:themeColor="text1"/>
          <w:sz w:val="24"/>
          <w:szCs w:val="24"/>
        </w:rPr>
        <w:t>, M. &amp; Venkatraman, N., 1995. Configurations of interorganizational relationships: a comparison between U.S. and Japanese</w:t>
      </w:r>
      <w:r w:rsidR="00A26C35" w:rsidRPr="00A80A0C">
        <w:rPr>
          <w:color w:val="000000" w:themeColor="text1"/>
          <w:sz w:val="24"/>
          <w:szCs w:val="24"/>
        </w:rPr>
        <w:t xml:space="preserve"> automakers. Management Science.</w:t>
      </w:r>
      <w:r w:rsidRPr="00A80A0C">
        <w:rPr>
          <w:color w:val="000000" w:themeColor="text1"/>
          <w:sz w:val="24"/>
          <w:szCs w:val="24"/>
        </w:rPr>
        <w:t xml:space="preserve"> 41, 1471-1492.</w:t>
      </w:r>
    </w:p>
    <w:p w14:paraId="24A827EB" w14:textId="77777777" w:rsidR="00D5431C" w:rsidRPr="00A80A0C" w:rsidRDefault="00D5431C" w:rsidP="00D5431C">
      <w:pPr>
        <w:ind w:left="480" w:hangingChars="200" w:hanging="480"/>
        <w:rPr>
          <w:color w:val="000000" w:themeColor="text1"/>
          <w:sz w:val="24"/>
          <w:szCs w:val="24"/>
        </w:rPr>
      </w:pPr>
      <w:r w:rsidRPr="00A80A0C">
        <w:rPr>
          <w:color w:val="000000" w:themeColor="text1"/>
          <w:sz w:val="24"/>
          <w:szCs w:val="24"/>
        </w:rPr>
        <w:t>Bergh, D.D., 1998. Product-market uncertainty, portfolio restructuring, and performance: An information-processing and resource-based view. Journal of Management. 24(2), 135-155.</w:t>
      </w:r>
    </w:p>
    <w:p w14:paraId="62103936"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Blackman, I. D., Holland, C. P., Westcott, T., 2013. </w:t>
      </w:r>
      <w:bookmarkStart w:id="23" w:name="OLE_LINK3"/>
      <w:bookmarkStart w:id="24" w:name="OLE_LINK4"/>
      <w:r w:rsidRPr="00A80A0C">
        <w:rPr>
          <w:color w:val="000000" w:themeColor="text1"/>
          <w:sz w:val="24"/>
          <w:szCs w:val="24"/>
        </w:rPr>
        <w:t xml:space="preserve">Motorola's global financial supply chain strategy. </w:t>
      </w:r>
      <w:bookmarkEnd w:id="23"/>
      <w:bookmarkEnd w:id="24"/>
      <w:r w:rsidRPr="00A80A0C">
        <w:rPr>
          <w:color w:val="000000" w:themeColor="text1"/>
          <w:sz w:val="24"/>
          <w:szCs w:val="24"/>
        </w:rPr>
        <w:t>Supply Chain Manag</w:t>
      </w:r>
      <w:r w:rsidR="00A26C35" w:rsidRPr="00A80A0C">
        <w:rPr>
          <w:color w:val="000000" w:themeColor="text1"/>
          <w:sz w:val="24"/>
          <w:szCs w:val="24"/>
        </w:rPr>
        <w:t>ement: An International Journal.</w:t>
      </w:r>
      <w:r w:rsidRPr="00A80A0C">
        <w:rPr>
          <w:color w:val="000000" w:themeColor="text1"/>
          <w:sz w:val="24"/>
          <w:szCs w:val="24"/>
        </w:rPr>
        <w:t xml:space="preserve"> 18(2), 132-147.</w:t>
      </w:r>
    </w:p>
    <w:p w14:paraId="236FBA77"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Blasio, G. d., 2005. Does trade credit substitute bank credit? Evidence from firm</w:t>
      </w:r>
      <w:r w:rsidRPr="00A80A0C">
        <w:rPr>
          <w:rFonts w:eastAsia="SimSun"/>
          <w:color w:val="000000" w:themeColor="text1"/>
          <w:sz w:val="24"/>
          <w:szCs w:val="24"/>
        </w:rPr>
        <w:t>‐</w:t>
      </w:r>
      <w:r w:rsidR="00A26C35" w:rsidRPr="00A80A0C">
        <w:rPr>
          <w:color w:val="000000" w:themeColor="text1"/>
          <w:sz w:val="24"/>
          <w:szCs w:val="24"/>
        </w:rPr>
        <w:t>level data. Economic notes.</w:t>
      </w:r>
      <w:r w:rsidRPr="00A80A0C">
        <w:rPr>
          <w:color w:val="000000" w:themeColor="text1"/>
          <w:sz w:val="24"/>
          <w:szCs w:val="24"/>
        </w:rPr>
        <w:t xml:space="preserve"> 34(1), 85-112.</w:t>
      </w:r>
    </w:p>
    <w:p w14:paraId="105125A6"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Boissay</w:t>
      </w:r>
      <w:proofErr w:type="spellEnd"/>
      <w:r w:rsidRPr="00A80A0C">
        <w:rPr>
          <w:color w:val="000000" w:themeColor="text1"/>
          <w:sz w:val="24"/>
          <w:szCs w:val="24"/>
        </w:rPr>
        <w:t xml:space="preserve">, F., </w:t>
      </w:r>
      <w:proofErr w:type="spellStart"/>
      <w:r w:rsidRPr="00A80A0C">
        <w:rPr>
          <w:color w:val="000000" w:themeColor="text1"/>
          <w:sz w:val="24"/>
          <w:szCs w:val="24"/>
        </w:rPr>
        <w:t>Gropp</w:t>
      </w:r>
      <w:proofErr w:type="spellEnd"/>
      <w:r w:rsidRPr="00A80A0C">
        <w:rPr>
          <w:color w:val="000000" w:themeColor="text1"/>
          <w:sz w:val="24"/>
          <w:szCs w:val="24"/>
        </w:rPr>
        <w:t>, R., 2007. Trade credit defaults and liquidity provision by firms. European central bank.</w:t>
      </w:r>
    </w:p>
    <w:p w14:paraId="141E108C" w14:textId="436CAFB3"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Bougheas</w:t>
      </w:r>
      <w:proofErr w:type="spellEnd"/>
      <w:r w:rsidRPr="00A80A0C">
        <w:rPr>
          <w:color w:val="000000" w:themeColor="text1"/>
          <w:sz w:val="24"/>
          <w:szCs w:val="24"/>
        </w:rPr>
        <w:t xml:space="preserve">, S., </w:t>
      </w:r>
      <w:proofErr w:type="spellStart"/>
      <w:r w:rsidRPr="00A80A0C">
        <w:rPr>
          <w:color w:val="000000" w:themeColor="text1"/>
          <w:sz w:val="24"/>
          <w:szCs w:val="24"/>
        </w:rPr>
        <w:t>Mateut</w:t>
      </w:r>
      <w:proofErr w:type="spellEnd"/>
      <w:r w:rsidRPr="00A80A0C">
        <w:rPr>
          <w:color w:val="000000" w:themeColor="text1"/>
          <w:sz w:val="24"/>
          <w:szCs w:val="24"/>
        </w:rPr>
        <w:t xml:space="preserve">, S., </w:t>
      </w:r>
      <w:proofErr w:type="spellStart"/>
      <w:r w:rsidRPr="00A80A0C">
        <w:rPr>
          <w:color w:val="000000" w:themeColor="text1"/>
          <w:sz w:val="24"/>
          <w:szCs w:val="24"/>
        </w:rPr>
        <w:t>Mizen</w:t>
      </w:r>
      <w:proofErr w:type="spellEnd"/>
      <w:r w:rsidRPr="00A80A0C">
        <w:rPr>
          <w:color w:val="000000" w:themeColor="text1"/>
          <w:sz w:val="24"/>
          <w:szCs w:val="24"/>
        </w:rPr>
        <w:t xml:space="preserve">, P., 2009. </w:t>
      </w:r>
      <w:bookmarkStart w:id="25" w:name="OLE_LINK31"/>
      <w:bookmarkStart w:id="26" w:name="OLE_LINK32"/>
      <w:r w:rsidRPr="00A80A0C">
        <w:rPr>
          <w:color w:val="000000" w:themeColor="text1"/>
          <w:sz w:val="24"/>
          <w:szCs w:val="24"/>
        </w:rPr>
        <w:t>Corporate trade credit and inventories: New evidence of a trade-off from accounts payable and receivable</w:t>
      </w:r>
      <w:bookmarkEnd w:id="25"/>
      <w:bookmarkEnd w:id="26"/>
      <w:r w:rsidR="00A26C35" w:rsidRPr="00A80A0C">
        <w:rPr>
          <w:color w:val="000000" w:themeColor="text1"/>
          <w:sz w:val="24"/>
          <w:szCs w:val="24"/>
        </w:rPr>
        <w:t>. Journal of Banking &amp; Finance.</w:t>
      </w:r>
      <w:r w:rsidRPr="00A80A0C">
        <w:rPr>
          <w:color w:val="000000" w:themeColor="text1"/>
          <w:sz w:val="24"/>
          <w:szCs w:val="24"/>
        </w:rPr>
        <w:t xml:space="preserve"> 33(2), 300-307.</w:t>
      </w:r>
    </w:p>
    <w:p w14:paraId="3B9D2F62" w14:textId="129382F3" w:rsidR="00EB2DD9" w:rsidRPr="00A80A0C" w:rsidRDefault="00EB2DD9" w:rsidP="00EB2DD9">
      <w:pPr>
        <w:ind w:left="480" w:hangingChars="200" w:hanging="480"/>
        <w:rPr>
          <w:color w:val="000000" w:themeColor="text1"/>
          <w:sz w:val="24"/>
          <w:szCs w:val="24"/>
        </w:rPr>
      </w:pPr>
      <w:proofErr w:type="spellStart"/>
      <w:r w:rsidRPr="00A80A0C">
        <w:rPr>
          <w:color w:val="000000" w:themeColor="text1"/>
          <w:sz w:val="24"/>
          <w:szCs w:val="24"/>
        </w:rPr>
        <w:t>Brandes</w:t>
      </w:r>
      <w:proofErr w:type="spellEnd"/>
      <w:r w:rsidRPr="00A80A0C">
        <w:rPr>
          <w:color w:val="000000" w:themeColor="text1"/>
          <w:sz w:val="24"/>
          <w:szCs w:val="24"/>
        </w:rPr>
        <w:t xml:space="preserve">, O., </w:t>
      </w:r>
      <w:proofErr w:type="spellStart"/>
      <w:r w:rsidRPr="00A80A0C">
        <w:rPr>
          <w:color w:val="000000" w:themeColor="text1"/>
          <w:sz w:val="24"/>
          <w:szCs w:val="24"/>
        </w:rPr>
        <w:t>Brege</w:t>
      </w:r>
      <w:proofErr w:type="spellEnd"/>
      <w:r w:rsidRPr="00A80A0C">
        <w:rPr>
          <w:color w:val="000000" w:themeColor="text1"/>
          <w:sz w:val="24"/>
          <w:szCs w:val="24"/>
        </w:rPr>
        <w:t xml:space="preserve">, S. and </w:t>
      </w:r>
      <w:proofErr w:type="spellStart"/>
      <w:r w:rsidRPr="00A80A0C">
        <w:rPr>
          <w:color w:val="000000" w:themeColor="text1"/>
          <w:sz w:val="24"/>
          <w:szCs w:val="24"/>
        </w:rPr>
        <w:t>Brehmer</w:t>
      </w:r>
      <w:proofErr w:type="spellEnd"/>
      <w:r w:rsidRPr="00A80A0C">
        <w:rPr>
          <w:color w:val="000000" w:themeColor="text1"/>
          <w:sz w:val="24"/>
          <w:szCs w:val="24"/>
        </w:rPr>
        <w:t>, P.O., 2013. The strategic importance of supplier relationships in the automotive industry. International Journal of Engineering Business Management, 5(</w:t>
      </w:r>
      <w:proofErr w:type="spellStart"/>
      <w:r w:rsidRPr="00A80A0C">
        <w:rPr>
          <w:color w:val="000000" w:themeColor="text1"/>
          <w:sz w:val="24"/>
          <w:szCs w:val="24"/>
        </w:rPr>
        <w:t>Godište</w:t>
      </w:r>
      <w:proofErr w:type="spellEnd"/>
      <w:r w:rsidRPr="00A80A0C">
        <w:rPr>
          <w:color w:val="000000" w:themeColor="text1"/>
          <w:sz w:val="24"/>
          <w:szCs w:val="24"/>
        </w:rPr>
        <w:t xml:space="preserve"> 2013), pp.5-17.</w:t>
      </w:r>
    </w:p>
    <w:p w14:paraId="606D8A06" w14:textId="77777777" w:rsidR="00773A04" w:rsidRPr="00A80A0C" w:rsidRDefault="00773A04" w:rsidP="00773A04">
      <w:pPr>
        <w:ind w:left="480" w:hangingChars="200" w:hanging="480"/>
        <w:rPr>
          <w:color w:val="000000" w:themeColor="text1"/>
          <w:sz w:val="24"/>
          <w:szCs w:val="24"/>
        </w:rPr>
      </w:pPr>
      <w:r w:rsidRPr="00A80A0C">
        <w:rPr>
          <w:color w:val="000000" w:themeColor="text1"/>
          <w:sz w:val="24"/>
          <w:szCs w:val="24"/>
        </w:rPr>
        <w:t>Brealey, R. A.,</w:t>
      </w:r>
      <w:r w:rsidR="00C17B1B" w:rsidRPr="00A80A0C">
        <w:rPr>
          <w:color w:val="000000" w:themeColor="text1"/>
          <w:sz w:val="24"/>
          <w:szCs w:val="24"/>
        </w:rPr>
        <w:t xml:space="preserve"> </w:t>
      </w:r>
      <w:r w:rsidRPr="00A80A0C">
        <w:rPr>
          <w:color w:val="000000" w:themeColor="text1"/>
          <w:sz w:val="24"/>
          <w:szCs w:val="24"/>
        </w:rPr>
        <w:t>Myers, S. C. &amp; Allen, F., 2007. Principles of Corporate Finance, 9th ed., McGraw-Hill International Edition.</w:t>
      </w:r>
    </w:p>
    <w:p w14:paraId="6554E6BD"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Breza</w:t>
      </w:r>
      <w:proofErr w:type="spellEnd"/>
      <w:r w:rsidRPr="00A80A0C">
        <w:rPr>
          <w:color w:val="000000" w:themeColor="text1"/>
          <w:sz w:val="24"/>
          <w:szCs w:val="24"/>
        </w:rPr>
        <w:t>, E., Liberman, A., 2017. Financial contracting and organizational form: evidence from the regulation of trade</w:t>
      </w:r>
      <w:r w:rsidR="00A26C35" w:rsidRPr="00A80A0C">
        <w:rPr>
          <w:color w:val="000000" w:themeColor="text1"/>
          <w:sz w:val="24"/>
          <w:szCs w:val="24"/>
        </w:rPr>
        <w:t xml:space="preserve"> credit. The Journal of Finance.</w:t>
      </w:r>
      <w:r w:rsidRPr="00A80A0C">
        <w:rPr>
          <w:color w:val="000000" w:themeColor="text1"/>
          <w:sz w:val="24"/>
          <w:szCs w:val="24"/>
        </w:rPr>
        <w:t xml:space="preserve"> 72(1), 291-324.</w:t>
      </w:r>
    </w:p>
    <w:p w14:paraId="0524C358"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Busse</w:t>
      </w:r>
      <w:proofErr w:type="spellEnd"/>
      <w:r w:rsidRPr="00A80A0C">
        <w:rPr>
          <w:color w:val="000000" w:themeColor="text1"/>
          <w:sz w:val="24"/>
          <w:szCs w:val="24"/>
        </w:rPr>
        <w:t xml:space="preserve"> C, </w:t>
      </w:r>
      <w:proofErr w:type="spellStart"/>
      <w:r w:rsidRPr="00A80A0C">
        <w:rPr>
          <w:color w:val="000000" w:themeColor="text1"/>
          <w:sz w:val="24"/>
          <w:szCs w:val="24"/>
        </w:rPr>
        <w:t>Meinlschmidt</w:t>
      </w:r>
      <w:proofErr w:type="spellEnd"/>
      <w:r w:rsidRPr="00A80A0C">
        <w:rPr>
          <w:color w:val="000000" w:themeColor="text1"/>
          <w:sz w:val="24"/>
          <w:szCs w:val="24"/>
        </w:rPr>
        <w:t xml:space="preserve"> J, </w:t>
      </w:r>
      <w:proofErr w:type="spellStart"/>
      <w:r w:rsidRPr="00A80A0C">
        <w:rPr>
          <w:color w:val="000000" w:themeColor="text1"/>
          <w:sz w:val="24"/>
          <w:szCs w:val="24"/>
        </w:rPr>
        <w:t>Foerstl</w:t>
      </w:r>
      <w:proofErr w:type="spellEnd"/>
      <w:r w:rsidRPr="00A80A0C">
        <w:rPr>
          <w:color w:val="000000" w:themeColor="text1"/>
          <w:sz w:val="24"/>
          <w:szCs w:val="24"/>
        </w:rPr>
        <w:t xml:space="preserve"> K. Managing information processing needs in global supply chains: a prerequisite to sustainable supply chain management. Jou</w:t>
      </w:r>
      <w:r w:rsidR="00A26C35" w:rsidRPr="00A80A0C">
        <w:rPr>
          <w:color w:val="000000" w:themeColor="text1"/>
          <w:sz w:val="24"/>
          <w:szCs w:val="24"/>
        </w:rPr>
        <w:t>rnal of Supply Chain Management.</w:t>
      </w:r>
      <w:r w:rsidRPr="00A80A0C">
        <w:rPr>
          <w:color w:val="000000" w:themeColor="text1"/>
          <w:sz w:val="24"/>
          <w:szCs w:val="24"/>
        </w:rPr>
        <w:t xml:space="preserve"> 2017, 53(1), 87 -113.</w:t>
      </w:r>
    </w:p>
    <w:p w14:paraId="6E66C2E9" w14:textId="00490219"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Camerinelli</w:t>
      </w:r>
      <w:proofErr w:type="spellEnd"/>
      <w:r w:rsidRPr="00A80A0C">
        <w:rPr>
          <w:color w:val="000000" w:themeColor="text1"/>
          <w:sz w:val="24"/>
          <w:szCs w:val="24"/>
        </w:rPr>
        <w:t>, E. (2009). Supply chain finance. Journal of Payments Strategy &amp; Systems, 3(2), 114-128.</w:t>
      </w:r>
    </w:p>
    <w:p w14:paraId="0BE21808" w14:textId="7EC0CD7B" w:rsidR="0082574E" w:rsidRPr="00A80A0C" w:rsidRDefault="0082574E" w:rsidP="0082574E">
      <w:pPr>
        <w:ind w:left="480" w:hangingChars="200" w:hanging="480"/>
        <w:rPr>
          <w:color w:val="000000" w:themeColor="text1"/>
          <w:sz w:val="24"/>
          <w:szCs w:val="24"/>
        </w:rPr>
      </w:pPr>
      <w:proofErr w:type="spellStart"/>
      <w:r w:rsidRPr="00A80A0C">
        <w:rPr>
          <w:color w:val="000000" w:themeColor="text1"/>
          <w:sz w:val="24"/>
          <w:szCs w:val="24"/>
        </w:rPr>
        <w:t>Camerinelli</w:t>
      </w:r>
      <w:proofErr w:type="spellEnd"/>
      <w:r w:rsidRPr="00A80A0C">
        <w:rPr>
          <w:color w:val="000000" w:themeColor="text1"/>
          <w:sz w:val="24"/>
          <w:szCs w:val="24"/>
        </w:rPr>
        <w:t xml:space="preserve">, E. and </w:t>
      </w:r>
      <w:proofErr w:type="spellStart"/>
      <w:r w:rsidRPr="00A80A0C">
        <w:rPr>
          <w:color w:val="000000" w:themeColor="text1"/>
          <w:sz w:val="24"/>
          <w:szCs w:val="24"/>
        </w:rPr>
        <w:t>Schizas</w:t>
      </w:r>
      <w:proofErr w:type="spellEnd"/>
      <w:r w:rsidRPr="00A80A0C">
        <w:rPr>
          <w:color w:val="000000" w:themeColor="text1"/>
          <w:sz w:val="24"/>
          <w:szCs w:val="24"/>
        </w:rPr>
        <w:t xml:space="preserve">, E., 2014. A study of the business case for supply chain finance. The Association of Chartered Certified Accountants, </w:t>
      </w:r>
      <w:proofErr w:type="spellStart"/>
      <w:r w:rsidRPr="00A80A0C">
        <w:rPr>
          <w:color w:val="000000" w:themeColor="text1"/>
          <w:sz w:val="24"/>
          <w:szCs w:val="24"/>
        </w:rPr>
        <w:t>Studie</w:t>
      </w:r>
      <w:proofErr w:type="spellEnd"/>
      <w:r w:rsidRPr="00A80A0C">
        <w:rPr>
          <w:color w:val="000000" w:themeColor="text1"/>
          <w:sz w:val="24"/>
          <w:szCs w:val="24"/>
        </w:rPr>
        <w:t>.</w:t>
      </w:r>
    </w:p>
    <w:p w14:paraId="77504A78"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Caniato, F., Gelsomino, L. M., </w:t>
      </w:r>
      <w:proofErr w:type="spellStart"/>
      <w:r w:rsidRPr="00A80A0C">
        <w:rPr>
          <w:color w:val="000000" w:themeColor="text1"/>
          <w:sz w:val="24"/>
          <w:szCs w:val="24"/>
        </w:rPr>
        <w:t>Perego</w:t>
      </w:r>
      <w:proofErr w:type="spellEnd"/>
      <w:r w:rsidRPr="00A80A0C">
        <w:rPr>
          <w:color w:val="000000" w:themeColor="text1"/>
          <w:sz w:val="24"/>
          <w:szCs w:val="24"/>
        </w:rPr>
        <w:t xml:space="preserve">, A., Ronchi, S., 2016. </w:t>
      </w:r>
      <w:bookmarkStart w:id="27" w:name="OLE_LINK25"/>
      <w:bookmarkStart w:id="28" w:name="OLE_LINK28"/>
      <w:r w:rsidRPr="00A80A0C">
        <w:rPr>
          <w:color w:val="000000" w:themeColor="text1"/>
          <w:sz w:val="24"/>
          <w:szCs w:val="24"/>
        </w:rPr>
        <w:t>Does finance solve the supply chain financing problem</w:t>
      </w:r>
      <w:bookmarkEnd w:id="27"/>
      <w:bookmarkEnd w:id="28"/>
      <w:r w:rsidRPr="00A80A0C">
        <w:rPr>
          <w:color w:val="000000" w:themeColor="text1"/>
          <w:sz w:val="24"/>
          <w:szCs w:val="24"/>
        </w:rPr>
        <w:t>? Supply Chain Manag</w:t>
      </w:r>
      <w:r w:rsidR="00A26C35" w:rsidRPr="00A80A0C">
        <w:rPr>
          <w:color w:val="000000" w:themeColor="text1"/>
          <w:sz w:val="24"/>
          <w:szCs w:val="24"/>
        </w:rPr>
        <w:t>ement: An International Journal.</w:t>
      </w:r>
      <w:r w:rsidRPr="00A80A0C">
        <w:rPr>
          <w:color w:val="000000" w:themeColor="text1"/>
          <w:sz w:val="24"/>
          <w:szCs w:val="24"/>
        </w:rPr>
        <w:t xml:space="preserve"> 21(5), 534-549.</w:t>
      </w:r>
    </w:p>
    <w:p w14:paraId="5E45D81A"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Casterman</w:t>
      </w:r>
      <w:proofErr w:type="spellEnd"/>
      <w:r w:rsidRPr="00A80A0C">
        <w:rPr>
          <w:color w:val="000000" w:themeColor="text1"/>
          <w:sz w:val="24"/>
          <w:szCs w:val="24"/>
        </w:rPr>
        <w:t>, A., 2012. Modernising global trade finance practices. Journal of Payments Str</w:t>
      </w:r>
      <w:r w:rsidR="00A26C35" w:rsidRPr="00A80A0C">
        <w:rPr>
          <w:color w:val="000000" w:themeColor="text1"/>
          <w:sz w:val="24"/>
          <w:szCs w:val="24"/>
        </w:rPr>
        <w:t>ategy &amp; Systems.</w:t>
      </w:r>
      <w:r w:rsidRPr="00A80A0C">
        <w:rPr>
          <w:color w:val="000000" w:themeColor="text1"/>
          <w:sz w:val="24"/>
          <w:szCs w:val="24"/>
        </w:rPr>
        <w:t xml:space="preserve"> 6(3), 225-231.</w:t>
      </w:r>
    </w:p>
    <w:p w14:paraId="388036B0"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Carvalho, C. J. d., </w:t>
      </w:r>
      <w:proofErr w:type="spellStart"/>
      <w:r w:rsidRPr="00A80A0C">
        <w:rPr>
          <w:color w:val="000000" w:themeColor="text1"/>
          <w:sz w:val="24"/>
          <w:szCs w:val="24"/>
        </w:rPr>
        <w:t>Schiozer</w:t>
      </w:r>
      <w:proofErr w:type="spellEnd"/>
      <w:r w:rsidRPr="00A80A0C">
        <w:rPr>
          <w:color w:val="000000" w:themeColor="text1"/>
          <w:sz w:val="24"/>
          <w:szCs w:val="24"/>
        </w:rPr>
        <w:t xml:space="preserve">, R. F., 2015. Determinants of supply and demand for trade credit by micro, small and medium-sized enterprises. </w:t>
      </w:r>
      <w:proofErr w:type="spellStart"/>
      <w:r w:rsidRPr="00A80A0C">
        <w:rPr>
          <w:color w:val="000000" w:themeColor="text1"/>
          <w:sz w:val="24"/>
          <w:szCs w:val="24"/>
        </w:rPr>
        <w:t>R</w:t>
      </w:r>
      <w:r w:rsidR="00A26C35" w:rsidRPr="00A80A0C">
        <w:rPr>
          <w:color w:val="000000" w:themeColor="text1"/>
          <w:sz w:val="24"/>
          <w:szCs w:val="24"/>
        </w:rPr>
        <w:t>evista</w:t>
      </w:r>
      <w:proofErr w:type="spellEnd"/>
      <w:r w:rsidR="00A26C35" w:rsidRPr="00A80A0C">
        <w:rPr>
          <w:color w:val="000000" w:themeColor="text1"/>
          <w:sz w:val="24"/>
          <w:szCs w:val="24"/>
        </w:rPr>
        <w:t xml:space="preserve"> </w:t>
      </w:r>
      <w:proofErr w:type="spellStart"/>
      <w:r w:rsidR="00A26C35" w:rsidRPr="00A80A0C">
        <w:rPr>
          <w:color w:val="000000" w:themeColor="text1"/>
          <w:sz w:val="24"/>
          <w:szCs w:val="24"/>
        </w:rPr>
        <w:t>Contabilidade</w:t>
      </w:r>
      <w:proofErr w:type="spellEnd"/>
      <w:r w:rsidR="00A26C35" w:rsidRPr="00A80A0C">
        <w:rPr>
          <w:color w:val="000000" w:themeColor="text1"/>
          <w:sz w:val="24"/>
          <w:szCs w:val="24"/>
        </w:rPr>
        <w:t xml:space="preserve"> &amp; </w:t>
      </w:r>
      <w:proofErr w:type="spellStart"/>
      <w:r w:rsidR="00A26C35" w:rsidRPr="00A80A0C">
        <w:rPr>
          <w:color w:val="000000" w:themeColor="text1"/>
          <w:sz w:val="24"/>
          <w:szCs w:val="24"/>
        </w:rPr>
        <w:t>Finanças</w:t>
      </w:r>
      <w:proofErr w:type="spellEnd"/>
      <w:r w:rsidR="00A26C35" w:rsidRPr="00A80A0C">
        <w:rPr>
          <w:color w:val="000000" w:themeColor="text1"/>
          <w:sz w:val="24"/>
          <w:szCs w:val="24"/>
        </w:rPr>
        <w:t>.</w:t>
      </w:r>
      <w:r w:rsidRPr="00A80A0C">
        <w:rPr>
          <w:color w:val="000000" w:themeColor="text1"/>
          <w:sz w:val="24"/>
          <w:szCs w:val="24"/>
        </w:rPr>
        <w:t xml:space="preserve"> 26(68), 208-222.</w:t>
      </w:r>
    </w:p>
    <w:p w14:paraId="29BEBE3A"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Cavenaghi</w:t>
      </w:r>
      <w:proofErr w:type="spellEnd"/>
      <w:r w:rsidRPr="00A80A0C">
        <w:rPr>
          <w:color w:val="000000" w:themeColor="text1"/>
          <w:sz w:val="24"/>
          <w:szCs w:val="24"/>
        </w:rPr>
        <w:t xml:space="preserve">, E., 2014. Supply-chain finance: The new frontier in the world of payments. Journal </w:t>
      </w:r>
      <w:r w:rsidR="00A26C35" w:rsidRPr="00A80A0C">
        <w:rPr>
          <w:color w:val="000000" w:themeColor="text1"/>
          <w:sz w:val="24"/>
          <w:szCs w:val="24"/>
        </w:rPr>
        <w:t>of Payments Strategy &amp; Systems.</w:t>
      </w:r>
      <w:r w:rsidRPr="00A80A0C">
        <w:rPr>
          <w:color w:val="000000" w:themeColor="text1"/>
          <w:sz w:val="24"/>
          <w:szCs w:val="24"/>
        </w:rPr>
        <w:t xml:space="preserve"> 7(4), 290-293.</w:t>
      </w:r>
    </w:p>
    <w:p w14:paraId="15948B11" w14:textId="77777777" w:rsidR="00E432D1" w:rsidRPr="00A80A0C" w:rsidRDefault="00E432D1" w:rsidP="00E432D1">
      <w:pPr>
        <w:ind w:left="480" w:hangingChars="200" w:hanging="480"/>
        <w:rPr>
          <w:color w:val="000000" w:themeColor="text1"/>
          <w:sz w:val="24"/>
          <w:szCs w:val="24"/>
        </w:rPr>
      </w:pPr>
      <w:proofErr w:type="spellStart"/>
      <w:r w:rsidRPr="00A80A0C">
        <w:rPr>
          <w:color w:val="000000" w:themeColor="text1"/>
          <w:sz w:val="24"/>
          <w:szCs w:val="24"/>
        </w:rPr>
        <w:t>Chauffour</w:t>
      </w:r>
      <w:proofErr w:type="spellEnd"/>
      <w:r w:rsidRPr="00A80A0C">
        <w:rPr>
          <w:color w:val="000000" w:themeColor="text1"/>
          <w:sz w:val="24"/>
          <w:szCs w:val="24"/>
        </w:rPr>
        <w:t xml:space="preserve">, J. P. &amp; </w:t>
      </w:r>
      <w:proofErr w:type="spellStart"/>
      <w:r w:rsidRPr="00A80A0C">
        <w:rPr>
          <w:color w:val="000000" w:themeColor="text1"/>
          <w:sz w:val="24"/>
          <w:szCs w:val="24"/>
        </w:rPr>
        <w:t>Malouche</w:t>
      </w:r>
      <w:proofErr w:type="spellEnd"/>
      <w:r w:rsidRPr="00A80A0C">
        <w:rPr>
          <w:color w:val="000000" w:themeColor="text1"/>
          <w:sz w:val="24"/>
          <w:szCs w:val="24"/>
        </w:rPr>
        <w:t>, M., 2011. Trade Finance during the great trade collapse, Washington, D.C, World Bank.</w:t>
      </w:r>
    </w:p>
    <w:p w14:paraId="7EA7D666"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Chen, D., Liu, M., Ma, T., Martin, X., 2017. Accounting Quality and Tr</w:t>
      </w:r>
      <w:r w:rsidR="00A26C35" w:rsidRPr="00A80A0C">
        <w:rPr>
          <w:color w:val="000000" w:themeColor="text1"/>
          <w:sz w:val="24"/>
          <w:szCs w:val="24"/>
        </w:rPr>
        <w:t>ade Credit. Accounting Horizons.</w:t>
      </w:r>
      <w:r w:rsidRPr="00A80A0C">
        <w:rPr>
          <w:color w:val="000000" w:themeColor="text1"/>
          <w:sz w:val="24"/>
          <w:szCs w:val="24"/>
        </w:rPr>
        <w:t xml:space="preserve"> 31(3), 69-83.</w:t>
      </w:r>
    </w:p>
    <w:p w14:paraId="07D91559"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Chen, E., </w:t>
      </w:r>
      <w:proofErr w:type="spellStart"/>
      <w:r w:rsidRPr="00A80A0C">
        <w:rPr>
          <w:color w:val="000000" w:themeColor="text1"/>
          <w:sz w:val="24"/>
          <w:szCs w:val="24"/>
        </w:rPr>
        <w:t>Birthal</w:t>
      </w:r>
      <w:proofErr w:type="spellEnd"/>
      <w:r w:rsidRPr="00A80A0C">
        <w:rPr>
          <w:color w:val="000000" w:themeColor="text1"/>
          <w:sz w:val="24"/>
          <w:szCs w:val="24"/>
        </w:rPr>
        <w:t xml:space="preserve">, P. S., 2015. Innovations in financing of agri-food value chains in China and </w:t>
      </w:r>
      <w:r w:rsidRPr="00A80A0C">
        <w:rPr>
          <w:color w:val="000000" w:themeColor="text1"/>
          <w:sz w:val="24"/>
          <w:szCs w:val="24"/>
        </w:rPr>
        <w:lastRenderedPageBreak/>
        <w:t>India. Chi</w:t>
      </w:r>
      <w:r w:rsidR="00A26C35" w:rsidRPr="00A80A0C">
        <w:rPr>
          <w:color w:val="000000" w:themeColor="text1"/>
          <w:sz w:val="24"/>
          <w:szCs w:val="24"/>
        </w:rPr>
        <w:t>na Agricultural Economic Review.</w:t>
      </w:r>
      <w:r w:rsidRPr="00A80A0C">
        <w:rPr>
          <w:color w:val="000000" w:themeColor="text1"/>
          <w:sz w:val="24"/>
          <w:szCs w:val="24"/>
        </w:rPr>
        <w:t xml:space="preserve"> 7(4), 616-640.</w:t>
      </w:r>
    </w:p>
    <w:p w14:paraId="2E14A869"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Chen, Z., Fu, C., Zhang, Z., 2016. The impacts of microcredit in supply chain: evid</w:t>
      </w:r>
      <w:r w:rsidR="00A26C35" w:rsidRPr="00A80A0C">
        <w:rPr>
          <w:color w:val="000000" w:themeColor="text1"/>
          <w:sz w:val="24"/>
          <w:szCs w:val="24"/>
        </w:rPr>
        <w:t>ence from China. Anthropologist.</w:t>
      </w:r>
      <w:r w:rsidRPr="00A80A0C">
        <w:rPr>
          <w:color w:val="000000" w:themeColor="text1"/>
          <w:sz w:val="24"/>
          <w:szCs w:val="24"/>
        </w:rPr>
        <w:t xml:space="preserve"> 25(1-2), 86-94.</w:t>
      </w:r>
    </w:p>
    <w:p w14:paraId="698D9D02"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Claassen, M.J., Van </w:t>
      </w:r>
      <w:proofErr w:type="spellStart"/>
      <w:r w:rsidRPr="00A80A0C">
        <w:rPr>
          <w:color w:val="000000" w:themeColor="text1"/>
          <w:sz w:val="24"/>
          <w:szCs w:val="24"/>
        </w:rPr>
        <w:t>Weele</w:t>
      </w:r>
      <w:proofErr w:type="spellEnd"/>
      <w:r w:rsidRPr="00A80A0C">
        <w:rPr>
          <w:color w:val="000000" w:themeColor="text1"/>
          <w:sz w:val="24"/>
          <w:szCs w:val="24"/>
        </w:rPr>
        <w:t xml:space="preserve">, A.J., Van </w:t>
      </w:r>
      <w:proofErr w:type="spellStart"/>
      <w:r w:rsidRPr="00A80A0C">
        <w:rPr>
          <w:color w:val="000000" w:themeColor="text1"/>
          <w:sz w:val="24"/>
          <w:szCs w:val="24"/>
        </w:rPr>
        <w:t>Raaij</w:t>
      </w:r>
      <w:proofErr w:type="spellEnd"/>
      <w:r w:rsidRPr="00A80A0C">
        <w:rPr>
          <w:color w:val="000000" w:themeColor="text1"/>
          <w:sz w:val="24"/>
          <w:szCs w:val="24"/>
        </w:rPr>
        <w:t>, E.M., 2008, Performance outcomes and success factors of vendor managed inventory (VMI), Supply Chain Manag</w:t>
      </w:r>
      <w:r w:rsidR="00A26C35" w:rsidRPr="00A80A0C">
        <w:rPr>
          <w:color w:val="000000" w:themeColor="text1"/>
          <w:sz w:val="24"/>
          <w:szCs w:val="24"/>
        </w:rPr>
        <w:t>ement: An International Journal.</w:t>
      </w:r>
      <w:r w:rsidRPr="00A80A0C">
        <w:rPr>
          <w:color w:val="000000" w:themeColor="text1"/>
          <w:sz w:val="24"/>
          <w:szCs w:val="24"/>
        </w:rPr>
        <w:t xml:space="preserve"> 13(6), 406-414.</w:t>
      </w:r>
    </w:p>
    <w:p w14:paraId="78CD3FE6" w14:textId="77777777" w:rsidR="00E432D1" w:rsidRPr="00A80A0C" w:rsidRDefault="00E432D1" w:rsidP="00E432D1">
      <w:pPr>
        <w:ind w:left="480" w:hangingChars="200" w:hanging="480"/>
        <w:rPr>
          <w:color w:val="000000" w:themeColor="text1"/>
          <w:sz w:val="24"/>
          <w:szCs w:val="24"/>
        </w:rPr>
      </w:pPr>
      <w:r w:rsidRPr="00A80A0C">
        <w:rPr>
          <w:color w:val="000000" w:themeColor="text1"/>
          <w:sz w:val="24"/>
          <w:szCs w:val="24"/>
        </w:rPr>
        <w:t>Coco, G., 1999. Collateral, heterogeneity in risk attitude and the credit market equili</w:t>
      </w:r>
      <w:r w:rsidR="00A26C35" w:rsidRPr="00A80A0C">
        <w:rPr>
          <w:color w:val="000000" w:themeColor="text1"/>
          <w:sz w:val="24"/>
          <w:szCs w:val="24"/>
        </w:rPr>
        <w:t>brium. European Economic Review.</w:t>
      </w:r>
      <w:r w:rsidRPr="00A80A0C">
        <w:rPr>
          <w:color w:val="000000" w:themeColor="text1"/>
          <w:sz w:val="24"/>
          <w:szCs w:val="24"/>
        </w:rPr>
        <w:t xml:space="preserve"> 43, 559-574.</w:t>
      </w:r>
    </w:p>
    <w:p w14:paraId="75194327" w14:textId="3A5596BD"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Cohen, L. R., </w:t>
      </w:r>
      <w:proofErr w:type="spellStart"/>
      <w:r w:rsidRPr="00A80A0C">
        <w:rPr>
          <w:color w:val="000000" w:themeColor="text1"/>
          <w:sz w:val="24"/>
          <w:szCs w:val="24"/>
        </w:rPr>
        <w:t>Ryvkin</w:t>
      </w:r>
      <w:proofErr w:type="spellEnd"/>
      <w:r w:rsidRPr="00A80A0C">
        <w:rPr>
          <w:color w:val="000000" w:themeColor="text1"/>
          <w:sz w:val="24"/>
          <w:szCs w:val="24"/>
        </w:rPr>
        <w:t>, B., 2014. Global trade and commodity finance: the next emerging securitization asset class? Th</w:t>
      </w:r>
      <w:r w:rsidR="00A26C35" w:rsidRPr="00A80A0C">
        <w:rPr>
          <w:color w:val="000000" w:themeColor="text1"/>
          <w:sz w:val="24"/>
          <w:szCs w:val="24"/>
        </w:rPr>
        <w:t>e Journal of Structured Finance.</w:t>
      </w:r>
      <w:r w:rsidRPr="00A80A0C">
        <w:rPr>
          <w:color w:val="000000" w:themeColor="text1"/>
          <w:sz w:val="24"/>
          <w:szCs w:val="24"/>
        </w:rPr>
        <w:t xml:space="preserve"> 20(1), 131-137.</w:t>
      </w:r>
    </w:p>
    <w:p w14:paraId="00849526" w14:textId="0D9E01F4" w:rsidR="00444294" w:rsidRPr="00A80A0C" w:rsidRDefault="00444294" w:rsidP="00444294">
      <w:pPr>
        <w:ind w:left="480" w:hangingChars="200" w:hanging="480"/>
        <w:rPr>
          <w:color w:val="000000" w:themeColor="text1"/>
          <w:sz w:val="24"/>
          <w:szCs w:val="24"/>
        </w:rPr>
      </w:pPr>
      <w:r w:rsidRPr="00A80A0C">
        <w:rPr>
          <w:color w:val="000000" w:themeColor="text1"/>
          <w:sz w:val="24"/>
          <w:szCs w:val="24"/>
        </w:rPr>
        <w:t xml:space="preserve">Cooper, M.C., Lambert, D.M. and </w:t>
      </w:r>
      <w:proofErr w:type="spellStart"/>
      <w:r w:rsidRPr="00A80A0C">
        <w:rPr>
          <w:color w:val="000000" w:themeColor="text1"/>
          <w:sz w:val="24"/>
          <w:szCs w:val="24"/>
        </w:rPr>
        <w:t>Pagh</w:t>
      </w:r>
      <w:proofErr w:type="spellEnd"/>
      <w:r w:rsidRPr="00A80A0C">
        <w:rPr>
          <w:color w:val="000000" w:themeColor="text1"/>
          <w:sz w:val="24"/>
          <w:szCs w:val="24"/>
        </w:rPr>
        <w:t>, J.D., 1997. Supply chain management: more than a new name for logistics. The international journal of logistics management, 8(1), pp.1-14.</w:t>
      </w:r>
    </w:p>
    <w:p w14:paraId="65321EE2"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Cooper, C., 2015. Accounting for the fictitious: a Marxist contribution to understanding accounting's roles in the financial crisis. Critical Perspectives on</w:t>
      </w:r>
      <w:r w:rsidR="00A26C35" w:rsidRPr="00A80A0C">
        <w:rPr>
          <w:color w:val="000000" w:themeColor="text1"/>
          <w:sz w:val="24"/>
          <w:szCs w:val="24"/>
        </w:rPr>
        <w:t xml:space="preserve"> Accounting.</w:t>
      </w:r>
      <w:r w:rsidRPr="00A80A0C">
        <w:rPr>
          <w:color w:val="000000" w:themeColor="text1"/>
          <w:sz w:val="24"/>
          <w:szCs w:val="24"/>
        </w:rPr>
        <w:t xml:space="preserve"> 30, 63-82.</w:t>
      </w:r>
    </w:p>
    <w:p w14:paraId="4ED7BDB6"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Cowton</w:t>
      </w:r>
      <w:proofErr w:type="spellEnd"/>
      <w:r w:rsidRPr="00A80A0C">
        <w:rPr>
          <w:color w:val="000000" w:themeColor="text1"/>
          <w:sz w:val="24"/>
          <w:szCs w:val="24"/>
        </w:rPr>
        <w:t>, C. J., San-Jose, L., 2017. On the ethics of trade credit: understanding good payment practice in the supply ch</w:t>
      </w:r>
      <w:r w:rsidR="00A26C35" w:rsidRPr="00A80A0C">
        <w:rPr>
          <w:color w:val="000000" w:themeColor="text1"/>
          <w:sz w:val="24"/>
          <w:szCs w:val="24"/>
        </w:rPr>
        <w:t>ain. Journal of business ethics.</w:t>
      </w:r>
      <w:r w:rsidRPr="00A80A0C">
        <w:rPr>
          <w:color w:val="000000" w:themeColor="text1"/>
          <w:sz w:val="24"/>
          <w:szCs w:val="24"/>
        </w:rPr>
        <w:t xml:space="preserve"> 140(4), 673-685.</w:t>
      </w:r>
    </w:p>
    <w:p w14:paraId="4595C163"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Crook, T. R., Combs, J. G., 2007. Sources and consequences of bargaining power in supply chains. J</w:t>
      </w:r>
      <w:r w:rsidR="00A26C35" w:rsidRPr="00A80A0C">
        <w:rPr>
          <w:color w:val="000000" w:themeColor="text1"/>
          <w:sz w:val="24"/>
          <w:szCs w:val="24"/>
        </w:rPr>
        <w:t>ournal of Operations Management.</w:t>
      </w:r>
      <w:r w:rsidRPr="00A80A0C">
        <w:rPr>
          <w:color w:val="000000" w:themeColor="text1"/>
          <w:sz w:val="24"/>
          <w:szCs w:val="24"/>
        </w:rPr>
        <w:t xml:space="preserve"> 25(2), 546-555.</w:t>
      </w:r>
    </w:p>
    <w:p w14:paraId="1D28DDBD" w14:textId="77777777" w:rsidR="00E432D1" w:rsidRPr="00A80A0C" w:rsidRDefault="00E432D1" w:rsidP="00E432D1">
      <w:pPr>
        <w:ind w:left="480" w:hangingChars="200" w:hanging="480"/>
        <w:rPr>
          <w:color w:val="000000" w:themeColor="text1"/>
          <w:sz w:val="24"/>
          <w:szCs w:val="24"/>
        </w:rPr>
      </w:pPr>
      <w:r w:rsidRPr="00A80A0C">
        <w:rPr>
          <w:color w:val="000000" w:themeColor="text1"/>
          <w:sz w:val="24"/>
          <w:szCs w:val="24"/>
        </w:rPr>
        <w:t>Daft, R. L., Lengel, R. H. &amp; Trevino, L. K., 1987. Message equivocality, media selection, and manager performance: implications for inf</w:t>
      </w:r>
      <w:r w:rsidR="00A26C35" w:rsidRPr="00A80A0C">
        <w:rPr>
          <w:color w:val="000000" w:themeColor="text1"/>
          <w:sz w:val="24"/>
          <w:szCs w:val="24"/>
        </w:rPr>
        <w:t>ormation systems. Mis Quarterly.</w:t>
      </w:r>
      <w:r w:rsidRPr="00A80A0C">
        <w:rPr>
          <w:color w:val="000000" w:themeColor="text1"/>
          <w:sz w:val="24"/>
          <w:szCs w:val="24"/>
        </w:rPr>
        <w:t xml:space="preserve"> 11, 355-366.</w:t>
      </w:r>
    </w:p>
    <w:p w14:paraId="43CF6F48" w14:textId="77777777" w:rsidR="00E432D1" w:rsidRPr="00A80A0C" w:rsidRDefault="00E432D1" w:rsidP="00E432D1">
      <w:pPr>
        <w:ind w:left="480" w:hangingChars="200" w:hanging="480"/>
        <w:rPr>
          <w:color w:val="000000" w:themeColor="text1"/>
          <w:sz w:val="24"/>
          <w:szCs w:val="24"/>
        </w:rPr>
      </w:pPr>
      <w:r w:rsidRPr="00A80A0C">
        <w:rPr>
          <w:color w:val="000000" w:themeColor="text1"/>
          <w:sz w:val="24"/>
          <w:szCs w:val="24"/>
        </w:rPr>
        <w:t>Daft, R. L. &amp; Weick, K. E., 1984. Toward a model of organizations as interpretation systems. T</w:t>
      </w:r>
      <w:r w:rsidR="00A26C35" w:rsidRPr="00A80A0C">
        <w:rPr>
          <w:color w:val="000000" w:themeColor="text1"/>
          <w:sz w:val="24"/>
          <w:szCs w:val="24"/>
        </w:rPr>
        <w:t>he Academy of Management Review.</w:t>
      </w:r>
      <w:r w:rsidRPr="00A80A0C">
        <w:rPr>
          <w:color w:val="000000" w:themeColor="text1"/>
          <w:sz w:val="24"/>
          <w:szCs w:val="24"/>
        </w:rPr>
        <w:t xml:space="preserve"> 9, 284-295.</w:t>
      </w:r>
    </w:p>
    <w:p w14:paraId="07ECEBE9"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Deari</w:t>
      </w:r>
      <w:proofErr w:type="spellEnd"/>
      <w:r w:rsidRPr="00A80A0C">
        <w:rPr>
          <w:color w:val="000000" w:themeColor="text1"/>
          <w:sz w:val="24"/>
          <w:szCs w:val="24"/>
        </w:rPr>
        <w:t>, F., 2015. What determines the firm's net trade credit? Evidence from Macedonian listed firms. Journal</w:t>
      </w:r>
      <w:r w:rsidR="00A26C35" w:rsidRPr="00A80A0C">
        <w:rPr>
          <w:color w:val="000000" w:themeColor="text1"/>
          <w:sz w:val="24"/>
          <w:szCs w:val="24"/>
        </w:rPr>
        <w:t xml:space="preserve"> of Economic &amp; Social Studies.</w:t>
      </w:r>
      <w:r w:rsidRPr="00A80A0C">
        <w:rPr>
          <w:color w:val="000000" w:themeColor="text1"/>
          <w:sz w:val="24"/>
          <w:szCs w:val="24"/>
        </w:rPr>
        <w:t xml:space="preserve"> 5(2), 7-22.</w:t>
      </w:r>
    </w:p>
    <w:p w14:paraId="2722F973" w14:textId="77777777" w:rsidR="00E432D1" w:rsidRPr="00A80A0C" w:rsidRDefault="00E432D1" w:rsidP="00E432D1">
      <w:pPr>
        <w:ind w:left="480" w:hangingChars="200" w:hanging="480"/>
        <w:rPr>
          <w:color w:val="000000" w:themeColor="text1"/>
          <w:sz w:val="24"/>
          <w:szCs w:val="24"/>
        </w:rPr>
      </w:pPr>
      <w:proofErr w:type="spellStart"/>
      <w:r w:rsidRPr="00A80A0C">
        <w:rPr>
          <w:color w:val="000000" w:themeColor="text1"/>
          <w:sz w:val="24"/>
          <w:szCs w:val="24"/>
        </w:rPr>
        <w:t>Demertzis</w:t>
      </w:r>
      <w:proofErr w:type="spellEnd"/>
      <w:r w:rsidRPr="00A80A0C">
        <w:rPr>
          <w:color w:val="000000" w:themeColor="text1"/>
          <w:sz w:val="24"/>
          <w:szCs w:val="24"/>
        </w:rPr>
        <w:t xml:space="preserve">, M., </w:t>
      </w:r>
      <w:proofErr w:type="spellStart"/>
      <w:r w:rsidRPr="00A80A0C">
        <w:rPr>
          <w:color w:val="000000" w:themeColor="text1"/>
          <w:sz w:val="24"/>
          <w:szCs w:val="24"/>
        </w:rPr>
        <w:t>Merler</w:t>
      </w:r>
      <w:proofErr w:type="spellEnd"/>
      <w:r w:rsidRPr="00A80A0C">
        <w:rPr>
          <w:color w:val="000000" w:themeColor="text1"/>
          <w:sz w:val="24"/>
          <w:szCs w:val="24"/>
        </w:rPr>
        <w:t>, S. &amp; Wolff, G. B., 2017. Capital markets union and the fintech opportuni</w:t>
      </w:r>
      <w:r w:rsidR="00A26C35" w:rsidRPr="00A80A0C">
        <w:rPr>
          <w:color w:val="000000" w:themeColor="text1"/>
          <w:sz w:val="24"/>
          <w:szCs w:val="24"/>
        </w:rPr>
        <w:t>ty, Bruegel Policy Contribution.</w:t>
      </w:r>
      <w:r w:rsidRPr="00A80A0C">
        <w:rPr>
          <w:color w:val="000000" w:themeColor="text1"/>
          <w:sz w:val="24"/>
          <w:szCs w:val="24"/>
        </w:rPr>
        <w:t xml:space="preserve"> No. 2017/22. Bruegel, Brussels.</w:t>
      </w:r>
    </w:p>
    <w:p w14:paraId="03C88646"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Delk</w:t>
      </w:r>
      <w:proofErr w:type="spellEnd"/>
      <w:r w:rsidRPr="00A80A0C">
        <w:rPr>
          <w:color w:val="000000" w:themeColor="text1"/>
          <w:sz w:val="24"/>
          <w:szCs w:val="24"/>
        </w:rPr>
        <w:t>, J. W., 2000. International financial management concepts strengthen supply chain links. Production and Inventory Management Journal</w:t>
      </w:r>
      <w:r w:rsidR="00A26C35" w:rsidRPr="00A80A0C">
        <w:rPr>
          <w:color w:val="000000" w:themeColor="text1"/>
          <w:sz w:val="24"/>
          <w:szCs w:val="24"/>
        </w:rPr>
        <w:t>.</w:t>
      </w:r>
      <w:r w:rsidRPr="00A80A0C">
        <w:rPr>
          <w:color w:val="000000" w:themeColor="text1"/>
          <w:sz w:val="24"/>
          <w:szCs w:val="24"/>
        </w:rPr>
        <w:t xml:space="preserve"> 41(2), 59-63.</w:t>
      </w:r>
    </w:p>
    <w:p w14:paraId="3ED3E892"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Downing, J., Harper, M., 2008. Crossfire: Microfinance has upstaged enterprise development, and finance is now in danger of doing the same to value chain interventions. Enterpri</w:t>
      </w:r>
      <w:r w:rsidR="00A26C35" w:rsidRPr="00A80A0C">
        <w:rPr>
          <w:color w:val="000000" w:themeColor="text1"/>
          <w:sz w:val="24"/>
          <w:szCs w:val="24"/>
        </w:rPr>
        <w:t>se Development and Microfinance.</w:t>
      </w:r>
      <w:r w:rsidRPr="00A80A0C">
        <w:rPr>
          <w:color w:val="000000" w:themeColor="text1"/>
          <w:sz w:val="24"/>
          <w:szCs w:val="24"/>
        </w:rPr>
        <w:t xml:space="preserve"> 19(4), 267-272.</w:t>
      </w:r>
    </w:p>
    <w:p w14:paraId="628E0B45"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Drucker, P. F., 1962. The ec</w:t>
      </w:r>
      <w:r w:rsidR="00A26C35" w:rsidRPr="00A80A0C">
        <w:rPr>
          <w:color w:val="000000" w:themeColor="text1"/>
          <w:sz w:val="24"/>
          <w:szCs w:val="24"/>
        </w:rPr>
        <w:t>onomy’s dark continent. Fortune.</w:t>
      </w:r>
      <w:r w:rsidRPr="00A80A0C">
        <w:rPr>
          <w:color w:val="000000" w:themeColor="text1"/>
          <w:sz w:val="24"/>
          <w:szCs w:val="24"/>
        </w:rPr>
        <w:t xml:space="preserve"> 65(103), 265-270.</w:t>
      </w:r>
    </w:p>
    <w:p w14:paraId="7E5334EC"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Dunham, A., 1949. Inventory and accounts receivabl</w:t>
      </w:r>
      <w:r w:rsidR="00A26C35" w:rsidRPr="00A80A0C">
        <w:rPr>
          <w:color w:val="000000" w:themeColor="text1"/>
          <w:sz w:val="24"/>
          <w:szCs w:val="24"/>
        </w:rPr>
        <w:t>e financing. Harvard Law Review.</w:t>
      </w:r>
      <w:r w:rsidRPr="00A80A0C">
        <w:rPr>
          <w:color w:val="000000" w:themeColor="text1"/>
          <w:sz w:val="24"/>
          <w:szCs w:val="24"/>
        </w:rPr>
        <w:t xml:space="preserve"> 62(4), 588-615.</w:t>
      </w:r>
    </w:p>
    <w:p w14:paraId="59224049"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Dyckman</w:t>
      </w:r>
      <w:proofErr w:type="spellEnd"/>
      <w:r w:rsidRPr="00A80A0C">
        <w:rPr>
          <w:color w:val="000000" w:themeColor="text1"/>
          <w:sz w:val="24"/>
          <w:szCs w:val="24"/>
        </w:rPr>
        <w:t>, B., 2011. Supply chain finance: risk mitigation and revenue growth. Journal o</w:t>
      </w:r>
      <w:r w:rsidR="00A26C35" w:rsidRPr="00A80A0C">
        <w:rPr>
          <w:color w:val="000000" w:themeColor="text1"/>
          <w:sz w:val="24"/>
          <w:szCs w:val="24"/>
        </w:rPr>
        <w:t>f corporate treasury management.</w:t>
      </w:r>
      <w:r w:rsidRPr="00A80A0C">
        <w:rPr>
          <w:color w:val="000000" w:themeColor="text1"/>
          <w:sz w:val="24"/>
          <w:szCs w:val="24"/>
        </w:rPr>
        <w:t xml:space="preserve"> 4(2), 168-173.</w:t>
      </w:r>
    </w:p>
    <w:p w14:paraId="120928C8"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Eisenhardt, K. M., 1989. Agency theory: an assessment and review. Academy of man</w:t>
      </w:r>
      <w:r w:rsidR="00A26C35" w:rsidRPr="00A80A0C">
        <w:rPr>
          <w:color w:val="000000" w:themeColor="text1"/>
          <w:sz w:val="24"/>
          <w:szCs w:val="24"/>
        </w:rPr>
        <w:t>agement review.</w:t>
      </w:r>
      <w:r w:rsidRPr="00A80A0C">
        <w:rPr>
          <w:color w:val="000000" w:themeColor="text1"/>
          <w:sz w:val="24"/>
          <w:szCs w:val="24"/>
        </w:rPr>
        <w:t xml:space="preserve"> 14(1), 57-74.</w:t>
      </w:r>
    </w:p>
    <w:p w14:paraId="046E4897"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Eisenhardt, K.M., Martin, J.A., 2000. Dynamic capabilities: what are the</w:t>
      </w:r>
      <w:r w:rsidR="00A26C35" w:rsidRPr="00A80A0C">
        <w:rPr>
          <w:color w:val="000000" w:themeColor="text1"/>
          <w:sz w:val="24"/>
          <w:szCs w:val="24"/>
        </w:rPr>
        <w:t>y? Strategic Management Journal.</w:t>
      </w:r>
      <w:r w:rsidRPr="00A80A0C">
        <w:rPr>
          <w:color w:val="000000" w:themeColor="text1"/>
          <w:sz w:val="24"/>
          <w:szCs w:val="24"/>
        </w:rPr>
        <w:t xml:space="preserve"> 21(10-11), 1105–1121.</w:t>
      </w:r>
    </w:p>
    <w:p w14:paraId="15E38AB8" w14:textId="77777777" w:rsidR="00E432D1" w:rsidRPr="00A80A0C" w:rsidRDefault="00E432D1" w:rsidP="00E432D1">
      <w:pPr>
        <w:ind w:left="480" w:hangingChars="200" w:hanging="480"/>
        <w:rPr>
          <w:color w:val="000000" w:themeColor="text1"/>
          <w:sz w:val="24"/>
          <w:szCs w:val="24"/>
        </w:rPr>
      </w:pPr>
      <w:proofErr w:type="spellStart"/>
      <w:r w:rsidRPr="00A80A0C">
        <w:rPr>
          <w:color w:val="000000" w:themeColor="text1"/>
          <w:sz w:val="24"/>
          <w:szCs w:val="24"/>
        </w:rPr>
        <w:t>Ellram</w:t>
      </w:r>
      <w:proofErr w:type="spellEnd"/>
      <w:r w:rsidRPr="00A80A0C">
        <w:rPr>
          <w:color w:val="000000" w:themeColor="text1"/>
          <w:sz w:val="24"/>
          <w:szCs w:val="24"/>
        </w:rPr>
        <w:t xml:space="preserve">, L. M., Tate, W. L. &amp; </w:t>
      </w:r>
      <w:proofErr w:type="spellStart"/>
      <w:r w:rsidRPr="00A80A0C">
        <w:rPr>
          <w:color w:val="000000" w:themeColor="text1"/>
          <w:sz w:val="24"/>
          <w:szCs w:val="24"/>
        </w:rPr>
        <w:t>Billington</w:t>
      </w:r>
      <w:proofErr w:type="spellEnd"/>
      <w:r w:rsidRPr="00A80A0C">
        <w:rPr>
          <w:color w:val="000000" w:themeColor="text1"/>
          <w:sz w:val="24"/>
          <w:szCs w:val="24"/>
        </w:rPr>
        <w:t>, C., 2004. Understanding and managing the services supply chain. Jou</w:t>
      </w:r>
      <w:r w:rsidR="00A26C35" w:rsidRPr="00A80A0C">
        <w:rPr>
          <w:color w:val="000000" w:themeColor="text1"/>
          <w:sz w:val="24"/>
          <w:szCs w:val="24"/>
        </w:rPr>
        <w:t>rnal of Supply Chain Management.</w:t>
      </w:r>
      <w:r w:rsidRPr="00A80A0C">
        <w:rPr>
          <w:color w:val="000000" w:themeColor="text1"/>
          <w:sz w:val="24"/>
          <w:szCs w:val="24"/>
        </w:rPr>
        <w:t xml:space="preserve"> 40, 17-32.</w:t>
      </w:r>
    </w:p>
    <w:p w14:paraId="554D81B8"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Fabbri</w:t>
      </w:r>
      <w:proofErr w:type="spellEnd"/>
      <w:r w:rsidRPr="00A80A0C">
        <w:rPr>
          <w:color w:val="000000" w:themeColor="text1"/>
          <w:sz w:val="24"/>
          <w:szCs w:val="24"/>
        </w:rPr>
        <w:t xml:space="preserve">, D., </w:t>
      </w:r>
      <w:proofErr w:type="spellStart"/>
      <w:r w:rsidRPr="00A80A0C">
        <w:rPr>
          <w:color w:val="000000" w:themeColor="text1"/>
          <w:sz w:val="24"/>
          <w:szCs w:val="24"/>
        </w:rPr>
        <w:t>Klapper</w:t>
      </w:r>
      <w:proofErr w:type="spellEnd"/>
      <w:r w:rsidRPr="00A80A0C">
        <w:rPr>
          <w:color w:val="000000" w:themeColor="text1"/>
          <w:sz w:val="24"/>
          <w:szCs w:val="24"/>
        </w:rPr>
        <w:t>, L. F., 2016. Bargaining power and trade credi</w:t>
      </w:r>
      <w:r w:rsidR="00A26C35" w:rsidRPr="00A80A0C">
        <w:rPr>
          <w:color w:val="000000" w:themeColor="text1"/>
          <w:sz w:val="24"/>
          <w:szCs w:val="24"/>
        </w:rPr>
        <w:t>t. Journal of Corporate Finance.</w:t>
      </w:r>
      <w:r w:rsidRPr="00A80A0C">
        <w:rPr>
          <w:color w:val="000000" w:themeColor="text1"/>
          <w:sz w:val="24"/>
          <w:szCs w:val="24"/>
        </w:rPr>
        <w:t xml:space="preserve"> 41, 66-80.</w:t>
      </w:r>
    </w:p>
    <w:p w14:paraId="1976579F" w14:textId="77777777" w:rsidR="00E432D1" w:rsidRPr="00A80A0C" w:rsidRDefault="00E432D1" w:rsidP="00E432D1">
      <w:pPr>
        <w:ind w:left="480" w:hangingChars="200" w:hanging="480"/>
        <w:rPr>
          <w:color w:val="000000" w:themeColor="text1"/>
          <w:sz w:val="24"/>
          <w:szCs w:val="24"/>
        </w:rPr>
      </w:pPr>
      <w:r w:rsidRPr="00A80A0C">
        <w:rPr>
          <w:color w:val="000000" w:themeColor="text1"/>
          <w:sz w:val="24"/>
          <w:szCs w:val="24"/>
        </w:rPr>
        <w:lastRenderedPageBreak/>
        <w:t>Fan, H., Li, G.,</w:t>
      </w:r>
      <w:r w:rsidR="00A26C35" w:rsidRPr="00A80A0C">
        <w:rPr>
          <w:color w:val="000000" w:themeColor="text1"/>
          <w:sz w:val="24"/>
          <w:szCs w:val="24"/>
        </w:rPr>
        <w:t xml:space="preserve"> </w:t>
      </w:r>
      <w:r w:rsidRPr="00A80A0C">
        <w:rPr>
          <w:color w:val="000000" w:themeColor="text1"/>
          <w:sz w:val="24"/>
          <w:szCs w:val="24"/>
        </w:rPr>
        <w:t xml:space="preserve">Sun, H. &amp; Cheng, T. C. E., 2017. An information processing perspective on supply chain risk management: antecedents, mechanism, and consequences. International </w:t>
      </w:r>
      <w:r w:rsidR="00A26C35" w:rsidRPr="00A80A0C">
        <w:rPr>
          <w:color w:val="000000" w:themeColor="text1"/>
          <w:sz w:val="24"/>
          <w:szCs w:val="24"/>
        </w:rPr>
        <w:t>Journal of Production Economics.</w:t>
      </w:r>
      <w:r w:rsidRPr="00A80A0C">
        <w:rPr>
          <w:color w:val="000000" w:themeColor="text1"/>
          <w:sz w:val="24"/>
          <w:szCs w:val="24"/>
        </w:rPr>
        <w:t xml:space="preserve"> 185, 63-75.</w:t>
      </w:r>
    </w:p>
    <w:p w14:paraId="6C0C3830"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Fellenz</w:t>
      </w:r>
      <w:proofErr w:type="spellEnd"/>
      <w:r w:rsidRPr="00A80A0C">
        <w:rPr>
          <w:color w:val="000000" w:themeColor="text1"/>
          <w:sz w:val="24"/>
          <w:szCs w:val="24"/>
        </w:rPr>
        <w:t xml:space="preserve">, M. R., </w:t>
      </w:r>
      <w:proofErr w:type="spellStart"/>
      <w:r w:rsidRPr="00A80A0C">
        <w:rPr>
          <w:color w:val="000000" w:themeColor="text1"/>
          <w:sz w:val="24"/>
          <w:szCs w:val="24"/>
        </w:rPr>
        <w:t>Augustenborg</w:t>
      </w:r>
      <w:proofErr w:type="spellEnd"/>
      <w:r w:rsidRPr="00A80A0C">
        <w:rPr>
          <w:color w:val="000000" w:themeColor="text1"/>
          <w:sz w:val="24"/>
          <w:szCs w:val="24"/>
        </w:rPr>
        <w:t>, C., Brady, M., Greene, J., 2009. Requirements for an evolving model of supply chain finance: a technology and service providers perspecti</w:t>
      </w:r>
      <w:r w:rsidR="00A26C35" w:rsidRPr="00A80A0C">
        <w:rPr>
          <w:color w:val="000000" w:themeColor="text1"/>
          <w:sz w:val="24"/>
          <w:szCs w:val="24"/>
        </w:rPr>
        <w:t>ve. Communications of the IBIMA.</w:t>
      </w:r>
      <w:r w:rsidRPr="00A80A0C">
        <w:rPr>
          <w:color w:val="000000" w:themeColor="text1"/>
          <w:sz w:val="24"/>
          <w:szCs w:val="24"/>
        </w:rPr>
        <w:t xml:space="preserve"> 10(29), 227-235.</w:t>
      </w:r>
    </w:p>
    <w:p w14:paraId="2BD489F1"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Ferris, J. S., 1981. A transactions theory of trade credit use. The</w:t>
      </w:r>
      <w:r w:rsidR="00A26C35" w:rsidRPr="00A80A0C">
        <w:rPr>
          <w:color w:val="000000" w:themeColor="text1"/>
          <w:sz w:val="24"/>
          <w:szCs w:val="24"/>
        </w:rPr>
        <w:t xml:space="preserve"> Quarterly Journal of Economics.</w:t>
      </w:r>
      <w:r w:rsidRPr="00A80A0C">
        <w:rPr>
          <w:color w:val="000000" w:themeColor="text1"/>
          <w:sz w:val="24"/>
          <w:szCs w:val="24"/>
        </w:rPr>
        <w:t xml:space="preserve"> 96(2), 243-270.</w:t>
      </w:r>
    </w:p>
    <w:p w14:paraId="13BCA9D0"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Filbeck</w:t>
      </w:r>
      <w:proofErr w:type="spellEnd"/>
      <w:r w:rsidRPr="00A80A0C">
        <w:rPr>
          <w:color w:val="000000" w:themeColor="text1"/>
          <w:sz w:val="24"/>
          <w:szCs w:val="24"/>
        </w:rPr>
        <w:t>, G., Kumar, S., Liu, J., Zhao, X., 2016. Supply chain finance and financial contagion from disruptions: evidence from the automobile industry. International Journal of Physical Dist</w:t>
      </w:r>
      <w:r w:rsidR="00A26C35" w:rsidRPr="00A80A0C">
        <w:rPr>
          <w:color w:val="000000" w:themeColor="text1"/>
          <w:sz w:val="24"/>
          <w:szCs w:val="24"/>
        </w:rPr>
        <w:t>ribution &amp; Logistics Management.</w:t>
      </w:r>
      <w:r w:rsidRPr="00A80A0C">
        <w:rPr>
          <w:color w:val="000000" w:themeColor="text1"/>
          <w:sz w:val="24"/>
          <w:szCs w:val="24"/>
        </w:rPr>
        <w:t xml:space="preserve"> 46(4), 414-438.</w:t>
      </w:r>
    </w:p>
    <w:p w14:paraId="47CB3A13"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Fisman</w:t>
      </w:r>
      <w:proofErr w:type="spellEnd"/>
      <w:r w:rsidRPr="00A80A0C">
        <w:rPr>
          <w:color w:val="000000" w:themeColor="text1"/>
          <w:sz w:val="24"/>
          <w:szCs w:val="24"/>
        </w:rPr>
        <w:t>, R., 2001. Trade credit and productive efficiency in developin</w:t>
      </w:r>
      <w:r w:rsidR="00A26C35" w:rsidRPr="00A80A0C">
        <w:rPr>
          <w:color w:val="000000" w:themeColor="text1"/>
          <w:sz w:val="24"/>
          <w:szCs w:val="24"/>
        </w:rPr>
        <w:t>g countries. World Development.</w:t>
      </w:r>
      <w:r w:rsidRPr="00A80A0C">
        <w:rPr>
          <w:color w:val="000000" w:themeColor="text1"/>
          <w:sz w:val="24"/>
          <w:szCs w:val="24"/>
        </w:rPr>
        <w:t xml:space="preserve"> 29(2), 311-321.</w:t>
      </w:r>
    </w:p>
    <w:p w14:paraId="5A7FB681"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Fischer, M., </w:t>
      </w:r>
      <w:proofErr w:type="spellStart"/>
      <w:r w:rsidRPr="00A80A0C">
        <w:rPr>
          <w:color w:val="000000" w:themeColor="text1"/>
          <w:sz w:val="24"/>
          <w:szCs w:val="24"/>
        </w:rPr>
        <w:t>Himme</w:t>
      </w:r>
      <w:proofErr w:type="spellEnd"/>
      <w:r w:rsidRPr="00A80A0C">
        <w:rPr>
          <w:color w:val="000000" w:themeColor="text1"/>
          <w:sz w:val="24"/>
          <w:szCs w:val="24"/>
        </w:rPr>
        <w:t>, A., 2017. The financial brand value chain: how brand investments contribute to the financial health of firms. International J</w:t>
      </w:r>
      <w:r w:rsidR="00A26C35" w:rsidRPr="00A80A0C">
        <w:rPr>
          <w:color w:val="000000" w:themeColor="text1"/>
          <w:sz w:val="24"/>
          <w:szCs w:val="24"/>
        </w:rPr>
        <w:t>ournal of Research in Marketing.</w:t>
      </w:r>
      <w:r w:rsidRPr="00A80A0C">
        <w:rPr>
          <w:color w:val="000000" w:themeColor="text1"/>
          <w:sz w:val="24"/>
          <w:szCs w:val="24"/>
        </w:rPr>
        <w:t xml:space="preserve"> 34(1), 137-153.</w:t>
      </w:r>
    </w:p>
    <w:p w14:paraId="70895744" w14:textId="77777777" w:rsidR="00123AD1" w:rsidRPr="00A80A0C" w:rsidRDefault="00123AD1" w:rsidP="00123AD1">
      <w:pPr>
        <w:ind w:left="480" w:hangingChars="200" w:hanging="480"/>
        <w:rPr>
          <w:color w:val="000000" w:themeColor="text1"/>
          <w:sz w:val="24"/>
          <w:szCs w:val="24"/>
        </w:rPr>
      </w:pPr>
      <w:r w:rsidRPr="00A80A0C">
        <w:rPr>
          <w:color w:val="000000" w:themeColor="text1"/>
          <w:sz w:val="24"/>
          <w:szCs w:val="24"/>
        </w:rPr>
        <w:t>Galbraith, J.R., 1977. Organization design. Reading, MA: Addison-Wesley.</w:t>
      </w:r>
    </w:p>
    <w:p w14:paraId="5FE5B4D3"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Gargeya</w:t>
      </w:r>
      <w:proofErr w:type="spellEnd"/>
      <w:r w:rsidRPr="00A80A0C">
        <w:rPr>
          <w:color w:val="000000" w:themeColor="text1"/>
          <w:sz w:val="24"/>
          <w:szCs w:val="24"/>
        </w:rPr>
        <w:t>, V. B., Brady, C., 2005. Success and failure factors of adopting SAP in ERP system implementation. Busi</w:t>
      </w:r>
      <w:r w:rsidR="00A26C35" w:rsidRPr="00A80A0C">
        <w:rPr>
          <w:color w:val="000000" w:themeColor="text1"/>
          <w:sz w:val="24"/>
          <w:szCs w:val="24"/>
        </w:rPr>
        <w:t>ness Process Management Journal.</w:t>
      </w:r>
      <w:r w:rsidRPr="00A80A0C">
        <w:rPr>
          <w:color w:val="000000" w:themeColor="text1"/>
          <w:sz w:val="24"/>
          <w:szCs w:val="24"/>
        </w:rPr>
        <w:t xml:space="preserve"> 11, 501-516.</w:t>
      </w:r>
    </w:p>
    <w:p w14:paraId="0A56FCDD"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Gao, P., Schultz, P., Song, Z., 2017. Liquidity in a market for unique assets: specified pool and to – be – announced trading in the mortgage - backed Securities</w:t>
      </w:r>
      <w:r w:rsidR="00A26C35" w:rsidRPr="00A80A0C">
        <w:rPr>
          <w:color w:val="000000" w:themeColor="text1"/>
          <w:sz w:val="24"/>
          <w:szCs w:val="24"/>
        </w:rPr>
        <w:t xml:space="preserve"> market. The Journal of Finance.</w:t>
      </w:r>
      <w:r w:rsidRPr="00A80A0C">
        <w:rPr>
          <w:color w:val="000000" w:themeColor="text1"/>
          <w:sz w:val="24"/>
          <w:szCs w:val="24"/>
        </w:rPr>
        <w:t xml:space="preserve"> 72(3), 119-1170.</w:t>
      </w:r>
    </w:p>
    <w:p w14:paraId="462F6794"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Geerts</w:t>
      </w:r>
      <w:proofErr w:type="spellEnd"/>
      <w:r w:rsidRPr="00A80A0C">
        <w:rPr>
          <w:color w:val="000000" w:themeColor="text1"/>
          <w:sz w:val="24"/>
          <w:szCs w:val="24"/>
        </w:rPr>
        <w:t xml:space="preserve">, G. L., </w:t>
      </w:r>
      <w:proofErr w:type="spellStart"/>
      <w:r w:rsidRPr="00A80A0C">
        <w:rPr>
          <w:color w:val="000000" w:themeColor="text1"/>
          <w:sz w:val="24"/>
          <w:szCs w:val="24"/>
        </w:rPr>
        <w:t>O'leary</w:t>
      </w:r>
      <w:proofErr w:type="spellEnd"/>
      <w:r w:rsidRPr="00A80A0C">
        <w:rPr>
          <w:color w:val="000000" w:themeColor="text1"/>
          <w:sz w:val="24"/>
          <w:szCs w:val="24"/>
        </w:rPr>
        <w:t>, D. E., 2015. A note on an architecture for integrating cloud computing and enterprise systems using REA. International Journal of Acco</w:t>
      </w:r>
      <w:r w:rsidR="00A26C35" w:rsidRPr="00A80A0C">
        <w:rPr>
          <w:color w:val="000000" w:themeColor="text1"/>
          <w:sz w:val="24"/>
          <w:szCs w:val="24"/>
        </w:rPr>
        <w:t>unting Information Systems.</w:t>
      </w:r>
      <w:r w:rsidRPr="00A80A0C">
        <w:rPr>
          <w:color w:val="000000" w:themeColor="text1"/>
          <w:sz w:val="24"/>
          <w:szCs w:val="24"/>
        </w:rPr>
        <w:t xml:space="preserve"> 19, 59-67.</w:t>
      </w:r>
    </w:p>
    <w:p w14:paraId="23A56292"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Gelsomino, L. M., </w:t>
      </w:r>
      <w:proofErr w:type="spellStart"/>
      <w:r w:rsidRPr="00A80A0C">
        <w:rPr>
          <w:color w:val="000000" w:themeColor="text1"/>
          <w:sz w:val="24"/>
          <w:szCs w:val="24"/>
        </w:rPr>
        <w:t>Mangiaracina</w:t>
      </w:r>
      <w:proofErr w:type="spellEnd"/>
      <w:r w:rsidRPr="00A80A0C">
        <w:rPr>
          <w:color w:val="000000" w:themeColor="text1"/>
          <w:sz w:val="24"/>
          <w:szCs w:val="24"/>
        </w:rPr>
        <w:t xml:space="preserve">, R., </w:t>
      </w:r>
      <w:proofErr w:type="spellStart"/>
      <w:r w:rsidRPr="00A80A0C">
        <w:rPr>
          <w:color w:val="000000" w:themeColor="text1"/>
          <w:sz w:val="24"/>
          <w:szCs w:val="24"/>
        </w:rPr>
        <w:t>Perego</w:t>
      </w:r>
      <w:proofErr w:type="spellEnd"/>
      <w:r w:rsidRPr="00A80A0C">
        <w:rPr>
          <w:color w:val="000000" w:themeColor="text1"/>
          <w:sz w:val="24"/>
          <w:szCs w:val="24"/>
        </w:rPr>
        <w:t xml:space="preserve">, A., </w:t>
      </w:r>
      <w:proofErr w:type="spellStart"/>
      <w:r w:rsidRPr="00A80A0C">
        <w:rPr>
          <w:color w:val="000000" w:themeColor="text1"/>
          <w:sz w:val="24"/>
          <w:szCs w:val="24"/>
        </w:rPr>
        <w:t>Tumino</w:t>
      </w:r>
      <w:proofErr w:type="spellEnd"/>
      <w:r w:rsidRPr="00A80A0C">
        <w:rPr>
          <w:color w:val="000000" w:themeColor="text1"/>
          <w:sz w:val="24"/>
          <w:szCs w:val="24"/>
        </w:rPr>
        <w:t>, A., 2016. Supply chain finance: a literature review. International Journal of Physical Dist</w:t>
      </w:r>
      <w:r w:rsidR="00A26C35" w:rsidRPr="00A80A0C">
        <w:rPr>
          <w:color w:val="000000" w:themeColor="text1"/>
          <w:sz w:val="24"/>
          <w:szCs w:val="24"/>
        </w:rPr>
        <w:t>ribution &amp; Logistics Management.</w:t>
      </w:r>
      <w:r w:rsidRPr="00A80A0C">
        <w:rPr>
          <w:color w:val="000000" w:themeColor="text1"/>
          <w:sz w:val="24"/>
          <w:szCs w:val="24"/>
        </w:rPr>
        <w:t xml:space="preserve"> 46(4), 348-366.</w:t>
      </w:r>
    </w:p>
    <w:p w14:paraId="1AC351A9" w14:textId="15203D14"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Ghobadian</w:t>
      </w:r>
      <w:proofErr w:type="spellEnd"/>
      <w:r w:rsidRPr="00A80A0C">
        <w:rPr>
          <w:color w:val="000000" w:themeColor="text1"/>
          <w:sz w:val="24"/>
          <w:szCs w:val="24"/>
        </w:rPr>
        <w:t xml:space="preserve"> A, Liu J, </w:t>
      </w:r>
      <w:proofErr w:type="spellStart"/>
      <w:r w:rsidRPr="00A80A0C">
        <w:rPr>
          <w:color w:val="000000" w:themeColor="text1"/>
          <w:sz w:val="24"/>
          <w:szCs w:val="24"/>
        </w:rPr>
        <w:t>Stainer</w:t>
      </w:r>
      <w:proofErr w:type="spellEnd"/>
      <w:r w:rsidRPr="00A80A0C">
        <w:rPr>
          <w:color w:val="000000" w:themeColor="text1"/>
          <w:sz w:val="24"/>
          <w:szCs w:val="24"/>
        </w:rPr>
        <w:t xml:space="preserve"> A I., 2013. Case studies on EDI implementation. L</w:t>
      </w:r>
      <w:r w:rsidR="00A26C35" w:rsidRPr="00A80A0C">
        <w:rPr>
          <w:color w:val="000000" w:themeColor="text1"/>
          <w:sz w:val="24"/>
          <w:szCs w:val="24"/>
        </w:rPr>
        <w:t>ogistics Information Management.</w:t>
      </w:r>
      <w:r w:rsidRPr="00A80A0C">
        <w:rPr>
          <w:color w:val="000000" w:themeColor="text1"/>
          <w:sz w:val="24"/>
          <w:szCs w:val="24"/>
        </w:rPr>
        <w:t xml:space="preserve"> 7(1), 24-27.</w:t>
      </w:r>
    </w:p>
    <w:p w14:paraId="10D3ECAE" w14:textId="6DCC1761" w:rsidR="00EF6954" w:rsidRPr="00A80A0C" w:rsidRDefault="00EF6954" w:rsidP="00D80A9B">
      <w:pPr>
        <w:ind w:left="480" w:hangingChars="200" w:hanging="480"/>
        <w:rPr>
          <w:color w:val="000000" w:themeColor="text1"/>
          <w:sz w:val="24"/>
          <w:szCs w:val="24"/>
        </w:rPr>
      </w:pPr>
      <w:r w:rsidRPr="00A80A0C">
        <w:rPr>
          <w:color w:val="000000" w:themeColor="text1"/>
          <w:sz w:val="24"/>
          <w:szCs w:val="24"/>
        </w:rPr>
        <w:t xml:space="preserve">Global Trade Review, 2014. Volvo adopts </w:t>
      </w:r>
      <w:proofErr w:type="spellStart"/>
      <w:r w:rsidRPr="00A80A0C">
        <w:rPr>
          <w:color w:val="000000" w:themeColor="text1"/>
          <w:sz w:val="24"/>
          <w:szCs w:val="24"/>
        </w:rPr>
        <w:t>PrimeRevenue</w:t>
      </w:r>
      <w:proofErr w:type="spellEnd"/>
      <w:r w:rsidRPr="00A80A0C">
        <w:rPr>
          <w:color w:val="000000" w:themeColor="text1"/>
          <w:sz w:val="24"/>
          <w:szCs w:val="24"/>
        </w:rPr>
        <w:t xml:space="preserve"> solutions. </w:t>
      </w:r>
      <w:r w:rsidR="00544320" w:rsidRPr="00A80A0C">
        <w:rPr>
          <w:color w:val="000000" w:themeColor="text1"/>
          <w:sz w:val="24"/>
          <w:szCs w:val="24"/>
        </w:rPr>
        <w:t xml:space="preserve">Available at: </w:t>
      </w:r>
      <w:r w:rsidRPr="00A80A0C">
        <w:rPr>
          <w:color w:val="000000" w:themeColor="text1"/>
          <w:sz w:val="24"/>
          <w:szCs w:val="24"/>
        </w:rPr>
        <w:t>https://www.gtreview.com/news/europe/volvo-adopts-primerevenue-solutions/</w:t>
      </w:r>
      <w:r w:rsidR="00D80A9B" w:rsidRPr="00A80A0C">
        <w:rPr>
          <w:color w:val="000000" w:themeColor="text1"/>
          <w:sz w:val="24"/>
          <w:szCs w:val="24"/>
        </w:rPr>
        <w:t>. (accessed 09 April 2019)</w:t>
      </w:r>
    </w:p>
    <w:p w14:paraId="522072F8" w14:textId="5C6A0366"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Goel, V., Kaur, I., 2008. Strategic role of trade credit in chain coordination for the traditional farm business enterprises in Punjab, India. Journal of Internationa</w:t>
      </w:r>
      <w:r w:rsidR="00A26C35" w:rsidRPr="00A80A0C">
        <w:rPr>
          <w:color w:val="000000" w:themeColor="text1"/>
          <w:sz w:val="24"/>
          <w:szCs w:val="24"/>
        </w:rPr>
        <w:t>l Food &amp; Agribusiness Marketing.</w:t>
      </w:r>
      <w:r w:rsidRPr="00A80A0C">
        <w:rPr>
          <w:color w:val="000000" w:themeColor="text1"/>
          <w:sz w:val="24"/>
          <w:szCs w:val="24"/>
        </w:rPr>
        <w:t xml:space="preserve"> 20(2), 33-60.</w:t>
      </w:r>
    </w:p>
    <w:p w14:paraId="6A113E03" w14:textId="07FA081C" w:rsidR="002E6595" w:rsidRPr="00A80A0C" w:rsidRDefault="002E6595" w:rsidP="002E6595">
      <w:pPr>
        <w:ind w:left="480" w:hangingChars="200" w:hanging="480"/>
        <w:rPr>
          <w:color w:val="000000" w:themeColor="text1"/>
          <w:sz w:val="24"/>
          <w:szCs w:val="24"/>
        </w:rPr>
      </w:pPr>
      <w:proofErr w:type="spellStart"/>
      <w:r w:rsidRPr="00A80A0C">
        <w:rPr>
          <w:color w:val="000000" w:themeColor="text1"/>
          <w:sz w:val="24"/>
          <w:szCs w:val="24"/>
        </w:rPr>
        <w:t>Goerzen</w:t>
      </w:r>
      <w:proofErr w:type="spellEnd"/>
      <w:r w:rsidRPr="00A80A0C">
        <w:rPr>
          <w:color w:val="000000" w:themeColor="text1"/>
          <w:sz w:val="24"/>
          <w:szCs w:val="24"/>
        </w:rPr>
        <w:t>, A. and Makino, S., 2007. Multinational corporation internationalization in the service sector: a study of Japanese trading companies. Journal of international business studies, 38(7), pp.1149-1169.</w:t>
      </w:r>
    </w:p>
    <w:p w14:paraId="41E7853C"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Goldratt, E. M., Cox, J., 2016. The goal: a process of ongoing improvement: Routledge.</w:t>
      </w:r>
    </w:p>
    <w:p w14:paraId="69EF3346"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Gomm</w:t>
      </w:r>
      <w:proofErr w:type="spellEnd"/>
      <w:r w:rsidRPr="00A80A0C">
        <w:rPr>
          <w:color w:val="000000" w:themeColor="text1"/>
          <w:sz w:val="24"/>
          <w:szCs w:val="24"/>
        </w:rPr>
        <w:t>, M. L., 2010. Supply chain finance: applying finance theory to supply chain management to enhance finance in supply chains. International Journal of Logis</w:t>
      </w:r>
      <w:r w:rsidR="00A26C35" w:rsidRPr="00A80A0C">
        <w:rPr>
          <w:color w:val="000000" w:themeColor="text1"/>
          <w:sz w:val="24"/>
          <w:szCs w:val="24"/>
        </w:rPr>
        <w:t>tics: Research and Applications.</w:t>
      </w:r>
      <w:r w:rsidRPr="00A80A0C">
        <w:rPr>
          <w:color w:val="000000" w:themeColor="text1"/>
          <w:sz w:val="24"/>
          <w:szCs w:val="24"/>
        </w:rPr>
        <w:t xml:space="preserve"> 13(2), 133-142.</w:t>
      </w:r>
    </w:p>
    <w:p w14:paraId="188EF486" w14:textId="77777777" w:rsidR="00B1209D" w:rsidRPr="00A80A0C" w:rsidRDefault="00B1209D" w:rsidP="00FC7D81">
      <w:pPr>
        <w:ind w:left="480" w:hangingChars="200" w:hanging="480"/>
        <w:rPr>
          <w:color w:val="000000" w:themeColor="text1"/>
          <w:sz w:val="24"/>
          <w:szCs w:val="24"/>
        </w:rPr>
      </w:pPr>
      <w:r w:rsidRPr="00A80A0C">
        <w:rPr>
          <w:color w:val="000000" w:themeColor="text1"/>
          <w:sz w:val="24"/>
          <w:szCs w:val="24"/>
        </w:rPr>
        <w:t xml:space="preserve">Gong, Q., Yang, Y. and Wang, S., 2014, Information and decision-making delays in MRP, </w:t>
      </w:r>
      <w:r w:rsidRPr="00A80A0C">
        <w:rPr>
          <w:color w:val="000000" w:themeColor="text1"/>
          <w:sz w:val="24"/>
          <w:szCs w:val="24"/>
        </w:rPr>
        <w:lastRenderedPageBreak/>
        <w:t xml:space="preserve">KANBAN, and CONWIP, International Journal of </w:t>
      </w:r>
      <w:r w:rsidR="00A26C35" w:rsidRPr="00A80A0C">
        <w:rPr>
          <w:color w:val="000000" w:themeColor="text1"/>
          <w:sz w:val="24"/>
          <w:szCs w:val="24"/>
        </w:rPr>
        <w:t>Production Economics.</w:t>
      </w:r>
      <w:r w:rsidRPr="00A80A0C">
        <w:rPr>
          <w:color w:val="000000" w:themeColor="text1"/>
          <w:sz w:val="24"/>
          <w:szCs w:val="24"/>
        </w:rPr>
        <w:t xml:space="preserve"> 156(5), 208-213</w:t>
      </w:r>
      <w:r w:rsidR="00A26C35" w:rsidRPr="00A80A0C">
        <w:rPr>
          <w:color w:val="000000" w:themeColor="text1"/>
          <w:sz w:val="24"/>
          <w:szCs w:val="24"/>
        </w:rPr>
        <w:t>.</w:t>
      </w:r>
    </w:p>
    <w:p w14:paraId="3F478854"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Guariglia</w:t>
      </w:r>
      <w:proofErr w:type="spellEnd"/>
      <w:r w:rsidRPr="00A80A0C">
        <w:rPr>
          <w:color w:val="000000" w:themeColor="text1"/>
          <w:sz w:val="24"/>
          <w:szCs w:val="24"/>
        </w:rPr>
        <w:t xml:space="preserve">, A., </w:t>
      </w:r>
      <w:proofErr w:type="spellStart"/>
      <w:r w:rsidRPr="00A80A0C">
        <w:rPr>
          <w:color w:val="000000" w:themeColor="text1"/>
          <w:sz w:val="24"/>
          <w:szCs w:val="24"/>
        </w:rPr>
        <w:t>Mateut</w:t>
      </w:r>
      <w:proofErr w:type="spellEnd"/>
      <w:r w:rsidRPr="00A80A0C">
        <w:rPr>
          <w:color w:val="000000" w:themeColor="text1"/>
          <w:sz w:val="24"/>
          <w:szCs w:val="24"/>
        </w:rPr>
        <w:t>, S., 2006. Credit channel, trade credit channel, and inventory investment: evidence from a panel of UK firms. Journal of Banking &amp; Finan</w:t>
      </w:r>
      <w:r w:rsidR="00A26C35" w:rsidRPr="00A80A0C">
        <w:rPr>
          <w:color w:val="000000" w:themeColor="text1"/>
          <w:sz w:val="24"/>
          <w:szCs w:val="24"/>
        </w:rPr>
        <w:t>ce.</w:t>
      </w:r>
      <w:r w:rsidRPr="00A80A0C">
        <w:rPr>
          <w:color w:val="000000" w:themeColor="text1"/>
          <w:sz w:val="24"/>
          <w:szCs w:val="24"/>
        </w:rPr>
        <w:t xml:space="preserve"> 30(10), 2835-2856.</w:t>
      </w:r>
    </w:p>
    <w:p w14:paraId="3645DB94"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Gundogdu</w:t>
      </w:r>
      <w:proofErr w:type="spellEnd"/>
      <w:r w:rsidRPr="00A80A0C">
        <w:rPr>
          <w:color w:val="000000" w:themeColor="text1"/>
          <w:sz w:val="24"/>
          <w:szCs w:val="24"/>
        </w:rPr>
        <w:t>, A. S., 2010. Islamic structured trade finance: a case of cotton production in West Africa. International Journal of Islamic and Middle</w:t>
      </w:r>
      <w:r w:rsidR="00A26C35" w:rsidRPr="00A80A0C">
        <w:rPr>
          <w:color w:val="000000" w:themeColor="text1"/>
          <w:sz w:val="24"/>
          <w:szCs w:val="24"/>
        </w:rPr>
        <w:t xml:space="preserve"> Eastern Finance and Management.</w:t>
      </w:r>
      <w:r w:rsidRPr="00A80A0C">
        <w:rPr>
          <w:color w:val="000000" w:themeColor="text1"/>
          <w:sz w:val="24"/>
          <w:szCs w:val="24"/>
        </w:rPr>
        <w:t xml:space="preserve"> 3(1), 20-35.</w:t>
      </w:r>
    </w:p>
    <w:p w14:paraId="3105872C" w14:textId="6BB03E40" w:rsidR="00940D0B" w:rsidRPr="00A80A0C" w:rsidRDefault="00940D0B" w:rsidP="00940D0B">
      <w:pPr>
        <w:ind w:left="480" w:hangingChars="200" w:hanging="480"/>
        <w:rPr>
          <w:color w:val="000000" w:themeColor="text1"/>
          <w:sz w:val="24"/>
          <w:szCs w:val="24"/>
        </w:rPr>
      </w:pPr>
      <w:proofErr w:type="spellStart"/>
      <w:r w:rsidRPr="00A80A0C">
        <w:rPr>
          <w:color w:val="000000" w:themeColor="text1"/>
          <w:sz w:val="24"/>
          <w:szCs w:val="24"/>
        </w:rPr>
        <w:t>Hautala</w:t>
      </w:r>
      <w:proofErr w:type="spellEnd"/>
      <w:r w:rsidRPr="00A80A0C">
        <w:rPr>
          <w:color w:val="000000" w:themeColor="text1"/>
          <w:sz w:val="24"/>
          <w:szCs w:val="24"/>
        </w:rPr>
        <w:t xml:space="preserve">, P., Lorentz, H. and </w:t>
      </w:r>
      <w:proofErr w:type="spellStart"/>
      <w:r w:rsidRPr="00A80A0C">
        <w:rPr>
          <w:color w:val="000000" w:themeColor="text1"/>
          <w:sz w:val="24"/>
          <w:szCs w:val="24"/>
        </w:rPr>
        <w:t>Töyli</w:t>
      </w:r>
      <w:proofErr w:type="spellEnd"/>
      <w:r w:rsidRPr="00A80A0C">
        <w:rPr>
          <w:color w:val="000000" w:themeColor="text1"/>
          <w:sz w:val="24"/>
          <w:szCs w:val="24"/>
        </w:rPr>
        <w:t>, J., 2019. Value chain perspective on the use of trade credit during the 2006–2015 business cycle–evidence from Eurozone SMEs. International Journal of Logistics Research and Applications, 22(2), 204-227.</w:t>
      </w:r>
    </w:p>
    <w:p w14:paraId="63511429" w14:textId="2E4A5867" w:rsidR="00DF3B43" w:rsidRPr="00A80A0C" w:rsidRDefault="00DF3B43" w:rsidP="00DF3B43">
      <w:pPr>
        <w:ind w:left="480" w:hangingChars="200" w:hanging="480"/>
        <w:rPr>
          <w:color w:val="000000" w:themeColor="text1"/>
          <w:sz w:val="24"/>
          <w:szCs w:val="24"/>
        </w:rPr>
      </w:pPr>
      <w:r w:rsidRPr="00A80A0C">
        <w:rPr>
          <w:color w:val="000000" w:themeColor="text1"/>
          <w:sz w:val="24"/>
          <w:szCs w:val="24"/>
        </w:rPr>
        <w:t>Helper, S., 1991. Strategy and irreversibility in supplier relations: the case of the US automobile industry. Business history review, 65(4), pp.781-824.</w:t>
      </w:r>
    </w:p>
    <w:p w14:paraId="3C1F649F"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Hermes, N., </w:t>
      </w:r>
      <w:proofErr w:type="spellStart"/>
      <w:r w:rsidRPr="00A80A0C">
        <w:rPr>
          <w:color w:val="000000" w:themeColor="text1"/>
          <w:sz w:val="24"/>
          <w:szCs w:val="24"/>
        </w:rPr>
        <w:t>Lensink</w:t>
      </w:r>
      <w:proofErr w:type="spellEnd"/>
      <w:r w:rsidRPr="00A80A0C">
        <w:rPr>
          <w:color w:val="000000" w:themeColor="text1"/>
          <w:sz w:val="24"/>
          <w:szCs w:val="24"/>
        </w:rPr>
        <w:t>, R., Lutz, C., Thu, U. N. L., 2016. Trade credit use and competition in the value</w:t>
      </w:r>
      <w:r w:rsidR="00A26C35" w:rsidRPr="00A80A0C">
        <w:rPr>
          <w:color w:val="000000" w:themeColor="text1"/>
          <w:sz w:val="24"/>
          <w:szCs w:val="24"/>
        </w:rPr>
        <w:t xml:space="preserve"> chain. Economics of Transition.</w:t>
      </w:r>
      <w:r w:rsidRPr="00A80A0C">
        <w:rPr>
          <w:color w:val="000000" w:themeColor="text1"/>
          <w:sz w:val="24"/>
          <w:szCs w:val="24"/>
        </w:rPr>
        <w:t xml:space="preserve"> 24(4), 765-795.</w:t>
      </w:r>
    </w:p>
    <w:p w14:paraId="1B640619" w14:textId="77777777" w:rsidR="003A48A5" w:rsidRPr="00A80A0C" w:rsidRDefault="003A48A5" w:rsidP="003A48A5">
      <w:pPr>
        <w:ind w:left="480" w:hangingChars="200" w:hanging="480"/>
        <w:rPr>
          <w:color w:val="000000" w:themeColor="text1"/>
          <w:sz w:val="24"/>
          <w:szCs w:val="24"/>
        </w:rPr>
      </w:pPr>
      <w:r w:rsidRPr="00A80A0C">
        <w:rPr>
          <w:color w:val="000000" w:themeColor="text1"/>
          <w:sz w:val="24"/>
          <w:szCs w:val="24"/>
        </w:rPr>
        <w:t>He, Y. and Lai, K.K., 2012. Supply chain integration and service oriented transformation: Evidence from Chinese equipment manufacturers. International Journal of Production Economics. 135, 791-799.</w:t>
      </w:r>
    </w:p>
    <w:p w14:paraId="674ABADB" w14:textId="77777777" w:rsidR="00AD6F2D" w:rsidRPr="00A80A0C" w:rsidRDefault="00AD6F2D" w:rsidP="00AD6F2D">
      <w:pPr>
        <w:ind w:left="480" w:hangingChars="200" w:hanging="480"/>
        <w:rPr>
          <w:color w:val="000000" w:themeColor="text1"/>
          <w:sz w:val="24"/>
          <w:szCs w:val="24"/>
        </w:rPr>
      </w:pPr>
      <w:r w:rsidRPr="00A80A0C">
        <w:rPr>
          <w:color w:val="000000" w:themeColor="text1"/>
          <w:sz w:val="24"/>
          <w:szCs w:val="24"/>
        </w:rPr>
        <w:t xml:space="preserve">Hill, Q.W.L., &amp; </w:t>
      </w:r>
      <w:proofErr w:type="spellStart"/>
      <w:r w:rsidRPr="00A80A0C">
        <w:rPr>
          <w:color w:val="000000" w:themeColor="text1"/>
          <w:sz w:val="24"/>
          <w:szCs w:val="24"/>
        </w:rPr>
        <w:t>Hoskisson</w:t>
      </w:r>
      <w:proofErr w:type="spellEnd"/>
      <w:r w:rsidRPr="00A80A0C">
        <w:rPr>
          <w:color w:val="000000" w:themeColor="text1"/>
          <w:sz w:val="24"/>
          <w:szCs w:val="24"/>
        </w:rPr>
        <w:t>, R.E., 1987. Strategy and structure in the multiproduct firm. Academy of Management Review. 12, 331-341.</w:t>
      </w:r>
    </w:p>
    <w:p w14:paraId="38EF523A"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Hoberg</w:t>
      </w:r>
      <w:proofErr w:type="spellEnd"/>
      <w:r w:rsidRPr="00A80A0C">
        <w:rPr>
          <w:color w:val="000000" w:themeColor="text1"/>
          <w:sz w:val="24"/>
          <w:szCs w:val="24"/>
        </w:rPr>
        <w:t xml:space="preserve">, K., </w:t>
      </w:r>
      <w:proofErr w:type="spellStart"/>
      <w:r w:rsidRPr="00A80A0C">
        <w:rPr>
          <w:color w:val="000000" w:themeColor="text1"/>
          <w:sz w:val="24"/>
          <w:szCs w:val="24"/>
        </w:rPr>
        <w:t>Protopappa-Sieke</w:t>
      </w:r>
      <w:proofErr w:type="spellEnd"/>
      <w:r w:rsidRPr="00A80A0C">
        <w:rPr>
          <w:color w:val="000000" w:themeColor="text1"/>
          <w:sz w:val="24"/>
          <w:szCs w:val="24"/>
        </w:rPr>
        <w:t xml:space="preserve">, M., </w:t>
      </w:r>
      <w:proofErr w:type="spellStart"/>
      <w:r w:rsidRPr="00A80A0C">
        <w:rPr>
          <w:color w:val="000000" w:themeColor="text1"/>
          <w:sz w:val="24"/>
          <w:szCs w:val="24"/>
        </w:rPr>
        <w:t>Steinker</w:t>
      </w:r>
      <w:proofErr w:type="spellEnd"/>
      <w:r w:rsidRPr="00A80A0C">
        <w:rPr>
          <w:color w:val="000000" w:themeColor="text1"/>
          <w:sz w:val="24"/>
          <w:szCs w:val="24"/>
        </w:rPr>
        <w:t>, S., 2017. How do financial constraints and financing costs affect inventories? An empirical supply chain perspective. International Journal of Physical Dist</w:t>
      </w:r>
      <w:r w:rsidR="00A26C35" w:rsidRPr="00A80A0C">
        <w:rPr>
          <w:color w:val="000000" w:themeColor="text1"/>
          <w:sz w:val="24"/>
          <w:szCs w:val="24"/>
        </w:rPr>
        <w:t>ribution &amp; Logistics Management.</w:t>
      </w:r>
      <w:r w:rsidRPr="00A80A0C">
        <w:rPr>
          <w:color w:val="000000" w:themeColor="text1"/>
          <w:sz w:val="24"/>
          <w:szCs w:val="24"/>
        </w:rPr>
        <w:t xml:space="preserve"> 47(6), 516-535.</w:t>
      </w:r>
    </w:p>
    <w:p w14:paraId="50325FC6"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Hofmann, E., 2009. Inventory financing in supply chains: a logistics service provider-approach. International Journal of Physical Distribution &amp; Logistics M</w:t>
      </w:r>
      <w:r w:rsidR="00A26C35" w:rsidRPr="00A80A0C">
        <w:rPr>
          <w:color w:val="000000" w:themeColor="text1"/>
          <w:sz w:val="24"/>
          <w:szCs w:val="24"/>
        </w:rPr>
        <w:t>anagement.</w:t>
      </w:r>
      <w:r w:rsidRPr="00A80A0C">
        <w:rPr>
          <w:color w:val="000000" w:themeColor="text1"/>
          <w:sz w:val="24"/>
          <w:szCs w:val="24"/>
        </w:rPr>
        <w:t xml:space="preserve"> 39(9), 716-740.</w:t>
      </w:r>
    </w:p>
    <w:p w14:paraId="37910D91" w14:textId="77777777" w:rsidR="00E432D1" w:rsidRPr="00A80A0C" w:rsidRDefault="00E432D1" w:rsidP="00E432D1">
      <w:pPr>
        <w:ind w:left="480" w:hangingChars="200" w:hanging="480"/>
        <w:rPr>
          <w:color w:val="000000" w:themeColor="text1"/>
          <w:sz w:val="24"/>
          <w:szCs w:val="24"/>
        </w:rPr>
      </w:pPr>
      <w:r w:rsidRPr="00A80A0C">
        <w:rPr>
          <w:color w:val="000000" w:themeColor="text1"/>
          <w:sz w:val="24"/>
          <w:szCs w:val="24"/>
        </w:rPr>
        <w:t>Hofmann, E., 2011. Natural hedging as a risk prophylaxis and supplier financing instrument in automotive supply chains. Supply Chain Manag</w:t>
      </w:r>
      <w:r w:rsidR="00A26C35" w:rsidRPr="00A80A0C">
        <w:rPr>
          <w:color w:val="000000" w:themeColor="text1"/>
          <w:sz w:val="24"/>
          <w:szCs w:val="24"/>
        </w:rPr>
        <w:t>ement: An International Journal.</w:t>
      </w:r>
      <w:r w:rsidRPr="00A80A0C">
        <w:rPr>
          <w:color w:val="000000" w:themeColor="text1"/>
          <w:sz w:val="24"/>
          <w:szCs w:val="24"/>
        </w:rPr>
        <w:t xml:space="preserve"> 16(2), 128-141.</w:t>
      </w:r>
    </w:p>
    <w:p w14:paraId="52C236F6" w14:textId="77777777" w:rsidR="00E432D1" w:rsidRPr="00A80A0C" w:rsidRDefault="00E432D1" w:rsidP="00E432D1">
      <w:pPr>
        <w:ind w:left="480" w:hangingChars="200" w:hanging="480"/>
        <w:rPr>
          <w:color w:val="000000" w:themeColor="text1"/>
          <w:sz w:val="24"/>
          <w:szCs w:val="24"/>
        </w:rPr>
      </w:pPr>
      <w:r w:rsidRPr="00A80A0C">
        <w:rPr>
          <w:color w:val="000000" w:themeColor="text1"/>
          <w:sz w:val="24"/>
          <w:szCs w:val="24"/>
        </w:rPr>
        <w:t>Hofmann, E., Belin, O., 2011. Supply chain finance solutions: Springer.</w:t>
      </w:r>
    </w:p>
    <w:p w14:paraId="7FC3598C" w14:textId="77777777" w:rsidR="00E432D1" w:rsidRPr="00A80A0C" w:rsidRDefault="00E432D1" w:rsidP="00E432D1">
      <w:pPr>
        <w:ind w:left="480" w:hangingChars="200" w:hanging="480"/>
        <w:rPr>
          <w:color w:val="000000" w:themeColor="text1"/>
          <w:sz w:val="24"/>
          <w:szCs w:val="24"/>
        </w:rPr>
      </w:pPr>
      <w:r w:rsidRPr="00A80A0C">
        <w:rPr>
          <w:color w:val="000000" w:themeColor="text1"/>
          <w:sz w:val="24"/>
          <w:szCs w:val="24"/>
        </w:rPr>
        <w:t>Hofmann, E., Johnson, M., 2016. Guest editorial. International Journal of Physical Dist</w:t>
      </w:r>
      <w:r w:rsidR="00A26C35" w:rsidRPr="00A80A0C">
        <w:rPr>
          <w:color w:val="000000" w:themeColor="text1"/>
          <w:sz w:val="24"/>
          <w:szCs w:val="24"/>
        </w:rPr>
        <w:t>ribution &amp; Logistics Management.</w:t>
      </w:r>
      <w:r w:rsidRPr="00A80A0C">
        <w:rPr>
          <w:color w:val="000000" w:themeColor="text1"/>
          <w:sz w:val="24"/>
          <w:szCs w:val="24"/>
        </w:rPr>
        <w:t xml:space="preserve"> 46(4), 1-8.</w:t>
      </w:r>
    </w:p>
    <w:p w14:paraId="044F5C6E" w14:textId="77777777" w:rsidR="00E432D1" w:rsidRPr="00A80A0C" w:rsidRDefault="00E432D1" w:rsidP="00E432D1">
      <w:pPr>
        <w:ind w:left="480" w:hangingChars="200" w:hanging="480"/>
        <w:rPr>
          <w:color w:val="000000" w:themeColor="text1"/>
          <w:sz w:val="24"/>
          <w:szCs w:val="24"/>
        </w:rPr>
      </w:pPr>
      <w:r w:rsidRPr="00A80A0C">
        <w:rPr>
          <w:color w:val="000000" w:themeColor="text1"/>
          <w:sz w:val="24"/>
          <w:szCs w:val="24"/>
        </w:rPr>
        <w:t xml:space="preserve">Hofmann, E., </w:t>
      </w:r>
      <w:proofErr w:type="spellStart"/>
      <w:r w:rsidRPr="00A80A0C">
        <w:rPr>
          <w:color w:val="000000" w:themeColor="text1"/>
          <w:sz w:val="24"/>
          <w:szCs w:val="24"/>
        </w:rPr>
        <w:t>Kotzab</w:t>
      </w:r>
      <w:proofErr w:type="spellEnd"/>
      <w:r w:rsidRPr="00A80A0C">
        <w:rPr>
          <w:color w:val="000000" w:themeColor="text1"/>
          <w:sz w:val="24"/>
          <w:szCs w:val="24"/>
        </w:rPr>
        <w:t>, H., 2010. A supply chain</w:t>
      </w:r>
      <w:r w:rsidRPr="00A80A0C">
        <w:rPr>
          <w:rFonts w:eastAsia="SimSun"/>
          <w:color w:val="000000" w:themeColor="text1"/>
          <w:sz w:val="24"/>
          <w:szCs w:val="24"/>
        </w:rPr>
        <w:t xml:space="preserve"> - oriented approach of working capital management</w:t>
      </w:r>
      <w:r w:rsidR="00A26C35" w:rsidRPr="00A80A0C">
        <w:rPr>
          <w:color w:val="000000" w:themeColor="text1"/>
          <w:sz w:val="24"/>
          <w:szCs w:val="24"/>
        </w:rPr>
        <w:t>. Journal of Business Logistics.</w:t>
      </w:r>
      <w:r w:rsidRPr="00A80A0C">
        <w:rPr>
          <w:color w:val="000000" w:themeColor="text1"/>
          <w:sz w:val="24"/>
          <w:szCs w:val="24"/>
        </w:rPr>
        <w:t xml:space="preserve"> 31(2), 305-330.</w:t>
      </w:r>
    </w:p>
    <w:p w14:paraId="73999225" w14:textId="77777777" w:rsidR="00E432D1" w:rsidRPr="00A80A0C" w:rsidRDefault="00E432D1" w:rsidP="00E432D1">
      <w:pPr>
        <w:ind w:left="480" w:hangingChars="200" w:hanging="480"/>
        <w:rPr>
          <w:color w:val="000000" w:themeColor="text1"/>
          <w:sz w:val="24"/>
          <w:szCs w:val="24"/>
        </w:rPr>
      </w:pPr>
      <w:r w:rsidRPr="00A80A0C">
        <w:rPr>
          <w:color w:val="000000" w:themeColor="text1"/>
          <w:sz w:val="24"/>
          <w:szCs w:val="24"/>
        </w:rPr>
        <w:t xml:space="preserve">Hofmann, E., </w:t>
      </w:r>
      <w:proofErr w:type="spellStart"/>
      <w:r w:rsidRPr="00A80A0C">
        <w:rPr>
          <w:color w:val="000000" w:themeColor="text1"/>
          <w:sz w:val="24"/>
          <w:szCs w:val="24"/>
        </w:rPr>
        <w:t>Strewe</w:t>
      </w:r>
      <w:proofErr w:type="spellEnd"/>
      <w:r w:rsidRPr="00A80A0C">
        <w:rPr>
          <w:color w:val="000000" w:themeColor="text1"/>
          <w:sz w:val="24"/>
          <w:szCs w:val="24"/>
        </w:rPr>
        <w:t xml:space="preserve">, U. M. &amp; </w:t>
      </w:r>
      <w:proofErr w:type="spellStart"/>
      <w:r w:rsidRPr="00A80A0C">
        <w:rPr>
          <w:color w:val="000000" w:themeColor="text1"/>
          <w:sz w:val="24"/>
          <w:szCs w:val="24"/>
        </w:rPr>
        <w:t>Bosia</w:t>
      </w:r>
      <w:proofErr w:type="spellEnd"/>
      <w:r w:rsidRPr="00A80A0C">
        <w:rPr>
          <w:color w:val="000000" w:themeColor="text1"/>
          <w:sz w:val="24"/>
          <w:szCs w:val="24"/>
        </w:rPr>
        <w:t>, N., 2017. Supply chain finance and blockchain technology: the case of reverse securitisation, Springer.</w:t>
      </w:r>
    </w:p>
    <w:p w14:paraId="65887965"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Holdren</w:t>
      </w:r>
      <w:proofErr w:type="spellEnd"/>
      <w:r w:rsidRPr="00A80A0C">
        <w:rPr>
          <w:color w:val="000000" w:themeColor="text1"/>
          <w:sz w:val="24"/>
          <w:szCs w:val="24"/>
        </w:rPr>
        <w:t xml:space="preserve">, D. P., Hollingshead, C. A., 1999. Differential pricing of industrial services: the case of inventory financing. Journal of </w:t>
      </w:r>
      <w:r w:rsidR="00A26C35" w:rsidRPr="00A80A0C">
        <w:rPr>
          <w:color w:val="000000" w:themeColor="text1"/>
          <w:sz w:val="24"/>
          <w:szCs w:val="24"/>
        </w:rPr>
        <w:t>Business &amp; Industrial Marketing.</w:t>
      </w:r>
      <w:r w:rsidRPr="00A80A0C">
        <w:rPr>
          <w:color w:val="000000" w:themeColor="text1"/>
          <w:sz w:val="24"/>
          <w:szCs w:val="24"/>
        </w:rPr>
        <w:t xml:space="preserve"> 14(1), 7-16.</w:t>
      </w:r>
    </w:p>
    <w:p w14:paraId="3FA5FD85"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Houston, J. F., Lin, C., Zhu, Z., 2016. The financial implications of supply chain changes. Man</w:t>
      </w:r>
      <w:r w:rsidR="00A26C35" w:rsidRPr="00A80A0C">
        <w:rPr>
          <w:color w:val="000000" w:themeColor="text1"/>
          <w:sz w:val="24"/>
          <w:szCs w:val="24"/>
        </w:rPr>
        <w:t>agement Science.</w:t>
      </w:r>
      <w:r w:rsidRPr="00A80A0C">
        <w:rPr>
          <w:color w:val="000000" w:themeColor="text1"/>
          <w:sz w:val="24"/>
          <w:szCs w:val="24"/>
        </w:rPr>
        <w:t xml:space="preserve"> 62(9), 2520-2542.</w:t>
      </w:r>
    </w:p>
    <w:p w14:paraId="5DFBAB62"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Howorth, C., </w:t>
      </w:r>
      <w:proofErr w:type="spellStart"/>
      <w:r w:rsidRPr="00A80A0C">
        <w:rPr>
          <w:color w:val="000000" w:themeColor="text1"/>
          <w:sz w:val="24"/>
          <w:szCs w:val="24"/>
        </w:rPr>
        <w:t>Reber</w:t>
      </w:r>
      <w:proofErr w:type="spellEnd"/>
      <w:r w:rsidRPr="00A80A0C">
        <w:rPr>
          <w:color w:val="000000" w:themeColor="text1"/>
          <w:sz w:val="24"/>
          <w:szCs w:val="24"/>
        </w:rPr>
        <w:t>, B., 2003. Habitual late payment of trade credit: an empirical examination of UK small firms. Ma</w:t>
      </w:r>
      <w:r w:rsidR="00A26C35" w:rsidRPr="00A80A0C">
        <w:rPr>
          <w:color w:val="000000" w:themeColor="text1"/>
          <w:sz w:val="24"/>
          <w:szCs w:val="24"/>
        </w:rPr>
        <w:t>nagerial and Decision Economics.</w:t>
      </w:r>
      <w:r w:rsidRPr="00A80A0C">
        <w:rPr>
          <w:color w:val="000000" w:themeColor="text1"/>
          <w:sz w:val="24"/>
          <w:szCs w:val="24"/>
        </w:rPr>
        <w:t xml:space="preserve"> 24(6-7), 471-482.</w:t>
      </w:r>
    </w:p>
    <w:p w14:paraId="1AEAC72A"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Huff, J., Rogers, D. S., 2015. Funding the organization through supply chain finance: a longitudinal investigation. Supply Chain </w:t>
      </w:r>
      <w:r w:rsidR="00A26C35" w:rsidRPr="00A80A0C">
        <w:rPr>
          <w:color w:val="000000" w:themeColor="text1"/>
          <w:sz w:val="24"/>
          <w:szCs w:val="24"/>
        </w:rPr>
        <w:t>Forum: An International Journal.</w:t>
      </w:r>
      <w:r w:rsidRPr="00A80A0C">
        <w:rPr>
          <w:color w:val="000000" w:themeColor="text1"/>
          <w:sz w:val="24"/>
          <w:szCs w:val="24"/>
        </w:rPr>
        <w:t xml:space="preserve"> 16(3), 4-17.</w:t>
      </w:r>
    </w:p>
    <w:p w14:paraId="3BE753B3" w14:textId="77777777" w:rsidR="00992625" w:rsidRPr="00A80A0C" w:rsidRDefault="00992625" w:rsidP="00992625">
      <w:pPr>
        <w:ind w:left="480" w:hangingChars="200" w:hanging="480"/>
        <w:rPr>
          <w:color w:val="000000" w:themeColor="text1"/>
          <w:sz w:val="24"/>
          <w:szCs w:val="24"/>
        </w:rPr>
      </w:pPr>
      <w:proofErr w:type="spellStart"/>
      <w:r w:rsidRPr="00A80A0C">
        <w:rPr>
          <w:color w:val="000000" w:themeColor="text1"/>
          <w:sz w:val="24"/>
          <w:szCs w:val="24"/>
        </w:rPr>
        <w:t>Huo</w:t>
      </w:r>
      <w:proofErr w:type="spellEnd"/>
      <w:r w:rsidRPr="00A80A0C">
        <w:rPr>
          <w:color w:val="000000" w:themeColor="text1"/>
          <w:sz w:val="24"/>
          <w:szCs w:val="24"/>
        </w:rPr>
        <w:t xml:space="preserve">, B., Han, Z., Zhao, X., Zhou, H., Wood, C.H. and Xin, Z, 2013. The impact of institutional pressures on supplier integration and financial performance: Evidence from China. </w:t>
      </w:r>
      <w:r w:rsidRPr="00A80A0C">
        <w:rPr>
          <w:color w:val="000000" w:themeColor="text1"/>
          <w:sz w:val="24"/>
          <w:szCs w:val="24"/>
        </w:rPr>
        <w:lastRenderedPageBreak/>
        <w:t>International Journal of Production Economics. 146(1), 82-94.</w:t>
      </w:r>
    </w:p>
    <w:p w14:paraId="3482D1C5"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Iansiti</w:t>
      </w:r>
      <w:proofErr w:type="spellEnd"/>
      <w:r w:rsidRPr="00A80A0C">
        <w:rPr>
          <w:color w:val="000000" w:themeColor="text1"/>
          <w:sz w:val="24"/>
          <w:szCs w:val="24"/>
        </w:rPr>
        <w:t>, M., Lakhani, K. R., 2017. The truth about bloc</w:t>
      </w:r>
      <w:r w:rsidR="00A26C35" w:rsidRPr="00A80A0C">
        <w:rPr>
          <w:color w:val="000000" w:themeColor="text1"/>
          <w:sz w:val="24"/>
          <w:szCs w:val="24"/>
        </w:rPr>
        <w:t>kchain. Harvard Business Review.</w:t>
      </w:r>
      <w:r w:rsidRPr="00A80A0C">
        <w:rPr>
          <w:color w:val="000000" w:themeColor="text1"/>
          <w:sz w:val="24"/>
          <w:szCs w:val="24"/>
        </w:rPr>
        <w:t> 95(1), 118-127.</w:t>
      </w:r>
    </w:p>
    <w:p w14:paraId="19B640F2"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Isakson, S. R., 2014. Food and finance: the financial transformation of agro-food supply cha</w:t>
      </w:r>
      <w:r w:rsidR="00A26C35" w:rsidRPr="00A80A0C">
        <w:rPr>
          <w:color w:val="000000" w:themeColor="text1"/>
          <w:sz w:val="24"/>
          <w:szCs w:val="24"/>
        </w:rPr>
        <w:t>ins. Journal of Peasant Studies.</w:t>
      </w:r>
      <w:r w:rsidRPr="00A80A0C">
        <w:rPr>
          <w:color w:val="000000" w:themeColor="text1"/>
          <w:sz w:val="24"/>
          <w:szCs w:val="24"/>
        </w:rPr>
        <w:t xml:space="preserve"> 41(5), 749-775.</w:t>
      </w:r>
    </w:p>
    <w:p w14:paraId="7FE6373D" w14:textId="15A1F4BB"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Jiang, J., Jin, Y., Dong, C. Y., 2016. Research on the e-business logistics service mode based on branch storage and warehouse financing. International Journal of Ser</w:t>
      </w:r>
      <w:r w:rsidR="00A26C35" w:rsidRPr="00A80A0C">
        <w:rPr>
          <w:color w:val="000000" w:themeColor="text1"/>
          <w:sz w:val="24"/>
          <w:szCs w:val="24"/>
        </w:rPr>
        <w:t>vices Technology and Management.</w:t>
      </w:r>
      <w:r w:rsidRPr="00A80A0C">
        <w:rPr>
          <w:color w:val="000000" w:themeColor="text1"/>
          <w:sz w:val="24"/>
          <w:szCs w:val="24"/>
        </w:rPr>
        <w:t xml:space="preserve"> 22(3-5), 203-217.</w:t>
      </w:r>
    </w:p>
    <w:p w14:paraId="013662F5" w14:textId="77D61A0D" w:rsidR="001B52EE" w:rsidRPr="00A80A0C" w:rsidRDefault="001B52EE" w:rsidP="001B52EE">
      <w:pPr>
        <w:ind w:left="480" w:hangingChars="200" w:hanging="480"/>
        <w:rPr>
          <w:color w:val="000000" w:themeColor="text1"/>
          <w:sz w:val="24"/>
          <w:szCs w:val="24"/>
        </w:rPr>
      </w:pPr>
      <w:r w:rsidRPr="00A80A0C">
        <w:rPr>
          <w:color w:val="000000" w:themeColor="text1"/>
          <w:sz w:val="24"/>
          <w:szCs w:val="24"/>
        </w:rPr>
        <w:t>Johnsen, T.E., 2009. Supplier involvement in new product development and innovation: Taking stock and looking to the future. Journal of Purchasing and Supply Management, 15(3), pp.187-197.</w:t>
      </w:r>
    </w:p>
    <w:p w14:paraId="3DE20942"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Karyani</w:t>
      </w:r>
      <w:proofErr w:type="spellEnd"/>
      <w:r w:rsidRPr="00A80A0C">
        <w:rPr>
          <w:color w:val="000000" w:themeColor="text1"/>
          <w:sz w:val="24"/>
          <w:szCs w:val="24"/>
        </w:rPr>
        <w:t xml:space="preserve">, T., </w:t>
      </w:r>
      <w:proofErr w:type="spellStart"/>
      <w:r w:rsidRPr="00A80A0C">
        <w:rPr>
          <w:color w:val="000000" w:themeColor="text1"/>
          <w:sz w:val="24"/>
          <w:szCs w:val="24"/>
        </w:rPr>
        <w:t>Renaldi</w:t>
      </w:r>
      <w:proofErr w:type="spellEnd"/>
      <w:r w:rsidRPr="00A80A0C">
        <w:rPr>
          <w:color w:val="000000" w:themeColor="text1"/>
          <w:sz w:val="24"/>
          <w:szCs w:val="24"/>
        </w:rPr>
        <w:t xml:space="preserve">, E., </w:t>
      </w:r>
      <w:proofErr w:type="spellStart"/>
      <w:r w:rsidRPr="00A80A0C">
        <w:rPr>
          <w:color w:val="000000" w:themeColor="text1"/>
          <w:sz w:val="24"/>
          <w:szCs w:val="24"/>
        </w:rPr>
        <w:t>Sadeli</w:t>
      </w:r>
      <w:proofErr w:type="spellEnd"/>
      <w:r w:rsidRPr="00A80A0C">
        <w:rPr>
          <w:color w:val="000000" w:themeColor="text1"/>
          <w:sz w:val="24"/>
          <w:szCs w:val="24"/>
        </w:rPr>
        <w:t xml:space="preserve">, A. H., </w:t>
      </w:r>
      <w:proofErr w:type="spellStart"/>
      <w:r w:rsidRPr="00A80A0C">
        <w:rPr>
          <w:color w:val="000000" w:themeColor="text1"/>
          <w:sz w:val="24"/>
          <w:szCs w:val="24"/>
        </w:rPr>
        <w:t>Utami</w:t>
      </w:r>
      <w:proofErr w:type="spellEnd"/>
      <w:r w:rsidRPr="00A80A0C">
        <w:rPr>
          <w:color w:val="000000" w:themeColor="text1"/>
          <w:sz w:val="24"/>
          <w:szCs w:val="24"/>
        </w:rPr>
        <w:t xml:space="preserve">, H. N., 2015. Design of supply chain financing model of red chili commodity with structured market orientation. International Journal of Applied </w:t>
      </w:r>
      <w:r w:rsidR="00A26C35" w:rsidRPr="00A80A0C">
        <w:rPr>
          <w:color w:val="000000" w:themeColor="text1"/>
          <w:sz w:val="24"/>
          <w:szCs w:val="24"/>
        </w:rPr>
        <w:t>Business and Economics Research.</w:t>
      </w:r>
      <w:r w:rsidRPr="00A80A0C">
        <w:rPr>
          <w:color w:val="000000" w:themeColor="text1"/>
          <w:sz w:val="24"/>
          <w:szCs w:val="24"/>
        </w:rPr>
        <w:t xml:space="preserve"> 13(7), 6185-6198.</w:t>
      </w:r>
    </w:p>
    <w:p w14:paraId="238A0A9C"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Karyani</w:t>
      </w:r>
      <w:proofErr w:type="spellEnd"/>
      <w:r w:rsidRPr="00A80A0C">
        <w:rPr>
          <w:color w:val="000000" w:themeColor="text1"/>
          <w:sz w:val="24"/>
          <w:szCs w:val="24"/>
        </w:rPr>
        <w:t xml:space="preserve">, T., </w:t>
      </w:r>
      <w:proofErr w:type="spellStart"/>
      <w:r w:rsidRPr="00A80A0C">
        <w:rPr>
          <w:color w:val="000000" w:themeColor="text1"/>
          <w:sz w:val="24"/>
          <w:szCs w:val="24"/>
        </w:rPr>
        <w:t>Utami</w:t>
      </w:r>
      <w:proofErr w:type="spellEnd"/>
      <w:r w:rsidRPr="00A80A0C">
        <w:rPr>
          <w:color w:val="000000" w:themeColor="text1"/>
          <w:sz w:val="24"/>
          <w:szCs w:val="24"/>
        </w:rPr>
        <w:t xml:space="preserve">, H. N., </w:t>
      </w:r>
      <w:proofErr w:type="spellStart"/>
      <w:r w:rsidRPr="00A80A0C">
        <w:rPr>
          <w:color w:val="000000" w:themeColor="text1"/>
          <w:sz w:val="24"/>
          <w:szCs w:val="24"/>
        </w:rPr>
        <w:t>Sadeli</w:t>
      </w:r>
      <w:proofErr w:type="spellEnd"/>
      <w:r w:rsidRPr="00A80A0C">
        <w:rPr>
          <w:color w:val="000000" w:themeColor="text1"/>
          <w:sz w:val="24"/>
          <w:szCs w:val="24"/>
        </w:rPr>
        <w:t xml:space="preserve">, A. H., </w:t>
      </w:r>
      <w:proofErr w:type="spellStart"/>
      <w:r w:rsidRPr="00A80A0C">
        <w:rPr>
          <w:color w:val="000000" w:themeColor="text1"/>
          <w:sz w:val="24"/>
          <w:szCs w:val="24"/>
        </w:rPr>
        <w:t>Rasmikayati</w:t>
      </w:r>
      <w:proofErr w:type="spellEnd"/>
      <w:r w:rsidRPr="00A80A0C">
        <w:rPr>
          <w:color w:val="000000" w:themeColor="text1"/>
          <w:sz w:val="24"/>
          <w:szCs w:val="24"/>
        </w:rPr>
        <w:t>, E., 2016. Mango agricultural supply chain: actors, business process, and financing scheme. International Journal of Applied Business and Economi</w:t>
      </w:r>
      <w:r w:rsidR="00A26C35" w:rsidRPr="00A80A0C">
        <w:rPr>
          <w:color w:val="000000" w:themeColor="text1"/>
          <w:sz w:val="24"/>
          <w:szCs w:val="24"/>
        </w:rPr>
        <w:t>c Research.</w:t>
      </w:r>
      <w:r w:rsidRPr="00A80A0C">
        <w:rPr>
          <w:color w:val="000000" w:themeColor="text1"/>
          <w:sz w:val="24"/>
          <w:szCs w:val="24"/>
        </w:rPr>
        <w:t xml:space="preserve"> 14(11), 7751-7764.</w:t>
      </w:r>
    </w:p>
    <w:p w14:paraId="01C5D027"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Keifer</w:t>
      </w:r>
      <w:proofErr w:type="spellEnd"/>
      <w:r w:rsidRPr="00A80A0C">
        <w:rPr>
          <w:color w:val="000000" w:themeColor="text1"/>
          <w:sz w:val="24"/>
          <w:szCs w:val="24"/>
        </w:rPr>
        <w:t>, S., 2011. E-invoicing: the catalyst for financial supply chain efficiencies. Journal</w:t>
      </w:r>
      <w:r w:rsidR="00A26C35" w:rsidRPr="00A80A0C">
        <w:rPr>
          <w:color w:val="000000" w:themeColor="text1"/>
          <w:sz w:val="24"/>
          <w:szCs w:val="24"/>
        </w:rPr>
        <w:t xml:space="preserve"> of Payments Strategy &amp; Systems.</w:t>
      </w:r>
      <w:r w:rsidRPr="00A80A0C">
        <w:rPr>
          <w:color w:val="000000" w:themeColor="text1"/>
          <w:sz w:val="24"/>
          <w:szCs w:val="24"/>
        </w:rPr>
        <w:t xml:space="preserve"> 5(1), 38-51.</w:t>
      </w:r>
    </w:p>
    <w:p w14:paraId="1CCF149A"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Kim, Y. H., Henderson, D., 2015. Financial benefits and risks of dependency in triadic supply chain relationships. J</w:t>
      </w:r>
      <w:r w:rsidR="00A26C35" w:rsidRPr="00A80A0C">
        <w:rPr>
          <w:color w:val="000000" w:themeColor="text1"/>
          <w:sz w:val="24"/>
          <w:szCs w:val="24"/>
        </w:rPr>
        <w:t>ournal of Operations Management.</w:t>
      </w:r>
      <w:r w:rsidRPr="00A80A0C">
        <w:rPr>
          <w:color w:val="000000" w:themeColor="text1"/>
          <w:sz w:val="24"/>
          <w:szCs w:val="24"/>
        </w:rPr>
        <w:t xml:space="preserve"> 36, 115-129.</w:t>
      </w:r>
    </w:p>
    <w:p w14:paraId="4F5626C6"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Kopparthi</w:t>
      </w:r>
      <w:proofErr w:type="spellEnd"/>
      <w:r w:rsidRPr="00A80A0C">
        <w:rPr>
          <w:color w:val="000000" w:themeColor="text1"/>
          <w:sz w:val="24"/>
          <w:szCs w:val="24"/>
        </w:rPr>
        <w:t xml:space="preserve">, M. S., </w:t>
      </w:r>
      <w:proofErr w:type="spellStart"/>
      <w:r w:rsidRPr="00A80A0C">
        <w:rPr>
          <w:color w:val="000000" w:themeColor="text1"/>
          <w:sz w:val="24"/>
          <w:szCs w:val="24"/>
        </w:rPr>
        <w:t>Kagabo</w:t>
      </w:r>
      <w:proofErr w:type="spellEnd"/>
      <w:r w:rsidRPr="00A80A0C">
        <w:rPr>
          <w:color w:val="000000" w:themeColor="text1"/>
          <w:sz w:val="24"/>
          <w:szCs w:val="24"/>
        </w:rPr>
        <w:t>, N., 2012. Is value chain financing a solution to the problems and challenges of access to finance of small-scale farmer</w:t>
      </w:r>
      <w:r w:rsidR="00A26C35" w:rsidRPr="00A80A0C">
        <w:rPr>
          <w:color w:val="000000" w:themeColor="text1"/>
          <w:sz w:val="24"/>
          <w:szCs w:val="24"/>
        </w:rPr>
        <w:t>s in Rwanda? Managerial Finance.</w:t>
      </w:r>
      <w:r w:rsidRPr="00A80A0C">
        <w:rPr>
          <w:color w:val="000000" w:themeColor="text1"/>
          <w:sz w:val="24"/>
          <w:szCs w:val="24"/>
        </w:rPr>
        <w:t xml:space="preserve"> 38(10), 993-1004.</w:t>
      </w:r>
    </w:p>
    <w:p w14:paraId="371A47B5" w14:textId="77777777" w:rsidR="009F15AF" w:rsidRPr="00A80A0C" w:rsidRDefault="009F15AF" w:rsidP="009F15AF">
      <w:pPr>
        <w:ind w:left="480" w:hangingChars="200" w:hanging="480"/>
        <w:rPr>
          <w:color w:val="000000" w:themeColor="text1"/>
          <w:sz w:val="24"/>
          <w:szCs w:val="24"/>
        </w:rPr>
      </w:pPr>
      <w:proofErr w:type="spellStart"/>
      <w:r w:rsidRPr="00A80A0C">
        <w:rPr>
          <w:color w:val="000000" w:themeColor="text1"/>
          <w:sz w:val="24"/>
          <w:szCs w:val="24"/>
        </w:rPr>
        <w:t>Kreye</w:t>
      </w:r>
      <w:proofErr w:type="spellEnd"/>
      <w:r w:rsidRPr="00A80A0C">
        <w:rPr>
          <w:color w:val="000000" w:themeColor="text1"/>
          <w:sz w:val="24"/>
          <w:szCs w:val="24"/>
        </w:rPr>
        <w:t>, M., 2017. Relational uncertainty in service dyads. International Journal of Operational Production Management. 37(3), 363–381.</w:t>
      </w:r>
    </w:p>
    <w:p w14:paraId="063DB310"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Kumar, A., 2008. Value chain finance to develop the honey sub-sector in India. Enterpri</w:t>
      </w:r>
      <w:r w:rsidR="00A26C35" w:rsidRPr="00A80A0C">
        <w:rPr>
          <w:color w:val="000000" w:themeColor="text1"/>
          <w:sz w:val="24"/>
          <w:szCs w:val="24"/>
        </w:rPr>
        <w:t>se Development and Microfinance.</w:t>
      </w:r>
      <w:r w:rsidRPr="00A80A0C">
        <w:rPr>
          <w:color w:val="000000" w:themeColor="text1"/>
          <w:sz w:val="24"/>
          <w:szCs w:val="24"/>
        </w:rPr>
        <w:t xml:space="preserve"> 19(4), 317-330.</w:t>
      </w:r>
    </w:p>
    <w:p w14:paraId="080B2B28"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Kutsuna</w:t>
      </w:r>
      <w:proofErr w:type="spellEnd"/>
      <w:r w:rsidRPr="00A80A0C">
        <w:rPr>
          <w:color w:val="000000" w:themeColor="text1"/>
          <w:sz w:val="24"/>
          <w:szCs w:val="24"/>
        </w:rPr>
        <w:t xml:space="preserve">, K., Smith, J. K., Smith, R., Yamada, K., 2016. Supply-chain </w:t>
      </w:r>
      <w:proofErr w:type="spellStart"/>
      <w:r w:rsidRPr="00A80A0C">
        <w:rPr>
          <w:color w:val="000000" w:themeColor="text1"/>
          <w:sz w:val="24"/>
          <w:szCs w:val="24"/>
        </w:rPr>
        <w:t>spillover</w:t>
      </w:r>
      <w:proofErr w:type="spellEnd"/>
      <w:r w:rsidRPr="00A80A0C">
        <w:rPr>
          <w:color w:val="000000" w:themeColor="text1"/>
          <w:sz w:val="24"/>
          <w:szCs w:val="24"/>
        </w:rPr>
        <w:t xml:space="preserve"> effects of IPOs. Journal </w:t>
      </w:r>
      <w:r w:rsidR="00A26C35" w:rsidRPr="00A80A0C">
        <w:rPr>
          <w:color w:val="000000" w:themeColor="text1"/>
          <w:sz w:val="24"/>
          <w:szCs w:val="24"/>
        </w:rPr>
        <w:t>of Banking &amp; Finance.</w:t>
      </w:r>
      <w:r w:rsidRPr="00A80A0C">
        <w:rPr>
          <w:color w:val="000000" w:themeColor="text1"/>
          <w:sz w:val="24"/>
          <w:szCs w:val="24"/>
        </w:rPr>
        <w:t xml:space="preserve"> 64, 150-168.</w:t>
      </w:r>
    </w:p>
    <w:p w14:paraId="2F8355CE"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Kuhn, J. W., Lewin, D., McNulty, P. A. U. L., 1983. Neil W. Chamberlain: a retrospective analysis of his scholarly work and influence. British </w:t>
      </w:r>
      <w:r w:rsidR="00A26C35" w:rsidRPr="00A80A0C">
        <w:rPr>
          <w:color w:val="000000" w:themeColor="text1"/>
          <w:sz w:val="24"/>
          <w:szCs w:val="24"/>
        </w:rPr>
        <w:t>journal of industrial relations.</w:t>
      </w:r>
      <w:r w:rsidRPr="00A80A0C">
        <w:rPr>
          <w:color w:val="000000" w:themeColor="text1"/>
          <w:sz w:val="24"/>
          <w:szCs w:val="24"/>
        </w:rPr>
        <w:t> 21(2), 143-160.</w:t>
      </w:r>
    </w:p>
    <w:p w14:paraId="5C7F831F"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Leitess</w:t>
      </w:r>
      <w:proofErr w:type="spellEnd"/>
      <w:r w:rsidRPr="00A80A0C">
        <w:rPr>
          <w:color w:val="000000" w:themeColor="text1"/>
          <w:sz w:val="24"/>
          <w:szCs w:val="24"/>
        </w:rPr>
        <w:t xml:space="preserve">, E. F., </w:t>
      </w:r>
      <w:proofErr w:type="spellStart"/>
      <w:r w:rsidRPr="00A80A0C">
        <w:rPr>
          <w:color w:val="000000" w:themeColor="text1"/>
          <w:sz w:val="24"/>
          <w:szCs w:val="24"/>
        </w:rPr>
        <w:t>Leitess</w:t>
      </w:r>
      <w:proofErr w:type="spellEnd"/>
      <w:r w:rsidRPr="00A80A0C">
        <w:rPr>
          <w:color w:val="000000" w:themeColor="text1"/>
          <w:sz w:val="24"/>
          <w:szCs w:val="24"/>
        </w:rPr>
        <w:t xml:space="preserve">, S. N., 1999. Inventory financing under Revised Article 9. </w:t>
      </w:r>
      <w:r w:rsidR="00A26C35" w:rsidRPr="00A80A0C">
        <w:rPr>
          <w:color w:val="000000" w:themeColor="text1"/>
          <w:sz w:val="24"/>
          <w:szCs w:val="24"/>
        </w:rPr>
        <w:t>American Bankruptcy Law Journal.</w:t>
      </w:r>
      <w:r w:rsidRPr="00A80A0C">
        <w:rPr>
          <w:color w:val="000000" w:themeColor="text1"/>
          <w:sz w:val="24"/>
          <w:szCs w:val="24"/>
        </w:rPr>
        <w:t xml:space="preserve"> 73(1), 119-131.</w:t>
      </w:r>
    </w:p>
    <w:p w14:paraId="22D61A73" w14:textId="77777777" w:rsidR="00D576E8" w:rsidRPr="00A80A0C" w:rsidRDefault="00D576E8" w:rsidP="00D576E8">
      <w:pPr>
        <w:ind w:left="480" w:hangingChars="200" w:hanging="480"/>
        <w:rPr>
          <w:color w:val="000000" w:themeColor="text1"/>
          <w:sz w:val="24"/>
          <w:szCs w:val="24"/>
        </w:rPr>
      </w:pPr>
      <w:r w:rsidRPr="00A80A0C">
        <w:rPr>
          <w:color w:val="000000" w:themeColor="text1"/>
          <w:sz w:val="24"/>
          <w:szCs w:val="24"/>
        </w:rPr>
        <w:t>Li, S. and Chen, X., 2019. The role of supply chain finance in third-party logistics industry: a case study from China. International Journal of Logistics Research and Applications, 22(2), 154-171.</w:t>
      </w:r>
    </w:p>
    <w:p w14:paraId="0AC16D9F"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Liebl</w:t>
      </w:r>
      <w:proofErr w:type="spellEnd"/>
      <w:r w:rsidRPr="00A80A0C">
        <w:rPr>
          <w:color w:val="000000" w:themeColor="text1"/>
          <w:sz w:val="24"/>
          <w:szCs w:val="24"/>
        </w:rPr>
        <w:t xml:space="preserve">, J., Hartmann, E., </w:t>
      </w:r>
      <w:proofErr w:type="spellStart"/>
      <w:r w:rsidRPr="00A80A0C">
        <w:rPr>
          <w:color w:val="000000" w:themeColor="text1"/>
          <w:sz w:val="24"/>
          <w:szCs w:val="24"/>
        </w:rPr>
        <w:t>Feisel</w:t>
      </w:r>
      <w:proofErr w:type="spellEnd"/>
      <w:r w:rsidRPr="00A80A0C">
        <w:rPr>
          <w:color w:val="000000" w:themeColor="text1"/>
          <w:sz w:val="24"/>
          <w:szCs w:val="24"/>
        </w:rPr>
        <w:t>, E., 2016. Reverse factoring in the supply chain: objectives, antecedents and implementation barriers. International Journal of Physical Dist</w:t>
      </w:r>
      <w:r w:rsidR="00A26C35" w:rsidRPr="00A80A0C">
        <w:rPr>
          <w:color w:val="000000" w:themeColor="text1"/>
          <w:sz w:val="24"/>
          <w:szCs w:val="24"/>
        </w:rPr>
        <w:t>ribution &amp; Logistics Management.</w:t>
      </w:r>
      <w:r w:rsidRPr="00A80A0C">
        <w:rPr>
          <w:color w:val="000000" w:themeColor="text1"/>
          <w:sz w:val="24"/>
          <w:szCs w:val="24"/>
        </w:rPr>
        <w:t xml:space="preserve"> 46(4), 393-413.</w:t>
      </w:r>
    </w:p>
    <w:p w14:paraId="399716F2"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Ling-Yee, L., </w:t>
      </w:r>
      <w:proofErr w:type="spellStart"/>
      <w:r w:rsidRPr="00A80A0C">
        <w:rPr>
          <w:color w:val="000000" w:themeColor="text1"/>
          <w:sz w:val="24"/>
          <w:szCs w:val="24"/>
        </w:rPr>
        <w:t>Ogunmokun</w:t>
      </w:r>
      <w:proofErr w:type="spellEnd"/>
      <w:r w:rsidRPr="00A80A0C">
        <w:rPr>
          <w:color w:val="000000" w:themeColor="text1"/>
          <w:sz w:val="24"/>
          <w:szCs w:val="24"/>
        </w:rPr>
        <w:t xml:space="preserve">, G. O., 2001. Effect of export financing resources and supply-chain skills on export competitive advantages: implications for superior export performance. Journal </w:t>
      </w:r>
      <w:r w:rsidR="00A26C35" w:rsidRPr="00A80A0C">
        <w:rPr>
          <w:color w:val="000000" w:themeColor="text1"/>
          <w:sz w:val="24"/>
          <w:szCs w:val="24"/>
        </w:rPr>
        <w:t>of World Business.</w:t>
      </w:r>
      <w:r w:rsidRPr="00A80A0C">
        <w:rPr>
          <w:color w:val="000000" w:themeColor="text1"/>
          <w:sz w:val="24"/>
          <w:szCs w:val="24"/>
        </w:rPr>
        <w:t xml:space="preserve"> 36(3), 260-279.</w:t>
      </w:r>
    </w:p>
    <w:p w14:paraId="7BD3E8F1" w14:textId="77777777" w:rsidR="004B78C0" w:rsidRPr="00A80A0C" w:rsidRDefault="00871C0F" w:rsidP="00FC7D81">
      <w:pPr>
        <w:ind w:left="480" w:hangingChars="200" w:hanging="480"/>
        <w:rPr>
          <w:rFonts w:ascii="Arial" w:hAnsi="Arial" w:cs="Arial"/>
          <w:color w:val="000000" w:themeColor="text1"/>
          <w:sz w:val="20"/>
          <w:szCs w:val="20"/>
          <w:shd w:val="clear" w:color="auto" w:fill="FFFFFF"/>
        </w:rPr>
      </w:pPr>
      <w:r w:rsidRPr="00A80A0C">
        <w:rPr>
          <w:color w:val="000000" w:themeColor="text1"/>
          <w:sz w:val="24"/>
          <w:szCs w:val="24"/>
        </w:rPr>
        <w:lastRenderedPageBreak/>
        <w:t>Lipsey, R. G., 1957. The theory of customs unions: trade d</w:t>
      </w:r>
      <w:r w:rsidR="00A26C35" w:rsidRPr="00A80A0C">
        <w:rPr>
          <w:color w:val="000000" w:themeColor="text1"/>
          <w:sz w:val="24"/>
          <w:szCs w:val="24"/>
        </w:rPr>
        <w:t xml:space="preserve">iversion and welfare. </w:t>
      </w:r>
      <w:proofErr w:type="spellStart"/>
      <w:r w:rsidR="00A26C35" w:rsidRPr="00A80A0C">
        <w:rPr>
          <w:color w:val="000000" w:themeColor="text1"/>
          <w:sz w:val="24"/>
          <w:szCs w:val="24"/>
        </w:rPr>
        <w:t>Economica</w:t>
      </w:r>
      <w:proofErr w:type="spellEnd"/>
      <w:r w:rsidR="00A26C35" w:rsidRPr="00A80A0C">
        <w:rPr>
          <w:color w:val="000000" w:themeColor="text1"/>
          <w:sz w:val="24"/>
          <w:szCs w:val="24"/>
        </w:rPr>
        <w:t>.</w:t>
      </w:r>
      <w:r w:rsidRPr="00A80A0C">
        <w:rPr>
          <w:color w:val="000000" w:themeColor="text1"/>
          <w:sz w:val="24"/>
          <w:szCs w:val="24"/>
        </w:rPr>
        <w:t xml:space="preserve"> 24(93), 40-46.</w:t>
      </w:r>
      <w:r w:rsidR="004B78C0" w:rsidRPr="00A80A0C">
        <w:rPr>
          <w:rFonts w:ascii="Arial" w:hAnsi="Arial" w:cs="Arial"/>
          <w:color w:val="000000" w:themeColor="text1"/>
          <w:sz w:val="20"/>
          <w:szCs w:val="20"/>
          <w:shd w:val="clear" w:color="auto" w:fill="FFFFFF"/>
        </w:rPr>
        <w:t xml:space="preserve"> </w:t>
      </w:r>
    </w:p>
    <w:p w14:paraId="745825DE" w14:textId="18D9EFDE" w:rsidR="00871C0F" w:rsidRPr="00A80A0C" w:rsidRDefault="004B78C0" w:rsidP="004B78C0">
      <w:pPr>
        <w:ind w:left="480" w:hangingChars="200" w:hanging="480"/>
        <w:rPr>
          <w:color w:val="000000" w:themeColor="text1"/>
          <w:sz w:val="24"/>
          <w:szCs w:val="24"/>
        </w:rPr>
      </w:pPr>
      <w:r w:rsidRPr="00A80A0C">
        <w:rPr>
          <w:color w:val="000000" w:themeColor="text1"/>
          <w:sz w:val="24"/>
          <w:szCs w:val="24"/>
        </w:rPr>
        <w:t>Liu, H., Wei, S., Ke, W., Wei, K.K. and Hua, Z., 2016. The configuration between supply chain integration and information technology competency: A resource orchestration perspective. Journal of Operations Management, 44, pp.13-29.</w:t>
      </w:r>
    </w:p>
    <w:p w14:paraId="74B19B53"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Liu, X., Zhou, L., Wu, Y.-C. J., 2015. Supply chain finance in China: business innovation and theory development. S</w:t>
      </w:r>
      <w:r w:rsidR="00A26C35" w:rsidRPr="00A80A0C">
        <w:rPr>
          <w:color w:val="000000" w:themeColor="text1"/>
          <w:sz w:val="24"/>
          <w:szCs w:val="24"/>
        </w:rPr>
        <w:t>ustainability.</w:t>
      </w:r>
      <w:r w:rsidRPr="00A80A0C">
        <w:rPr>
          <w:color w:val="000000" w:themeColor="text1"/>
          <w:sz w:val="24"/>
          <w:szCs w:val="24"/>
        </w:rPr>
        <w:t xml:space="preserve"> 7(11), 14689-14709.</w:t>
      </w:r>
    </w:p>
    <w:p w14:paraId="5CA0ABB9"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Lorentz, H., </w:t>
      </w:r>
      <w:proofErr w:type="spellStart"/>
      <w:r w:rsidRPr="00A80A0C">
        <w:rPr>
          <w:color w:val="000000" w:themeColor="text1"/>
          <w:sz w:val="24"/>
          <w:szCs w:val="24"/>
        </w:rPr>
        <w:t>Solakivi</w:t>
      </w:r>
      <w:proofErr w:type="spellEnd"/>
      <w:r w:rsidRPr="00A80A0C">
        <w:rPr>
          <w:color w:val="000000" w:themeColor="text1"/>
          <w:sz w:val="24"/>
          <w:szCs w:val="24"/>
        </w:rPr>
        <w:t xml:space="preserve">, T., </w:t>
      </w:r>
      <w:proofErr w:type="spellStart"/>
      <w:r w:rsidRPr="00A80A0C">
        <w:rPr>
          <w:color w:val="000000" w:themeColor="text1"/>
          <w:sz w:val="24"/>
          <w:szCs w:val="24"/>
        </w:rPr>
        <w:t>Töyli</w:t>
      </w:r>
      <w:proofErr w:type="spellEnd"/>
      <w:r w:rsidRPr="00A80A0C">
        <w:rPr>
          <w:color w:val="000000" w:themeColor="text1"/>
          <w:sz w:val="24"/>
          <w:szCs w:val="24"/>
        </w:rPr>
        <w:t xml:space="preserve">, J., </w:t>
      </w:r>
      <w:proofErr w:type="spellStart"/>
      <w:r w:rsidRPr="00A80A0C">
        <w:rPr>
          <w:color w:val="000000" w:themeColor="text1"/>
          <w:sz w:val="24"/>
          <w:szCs w:val="24"/>
        </w:rPr>
        <w:t>Ojala</w:t>
      </w:r>
      <w:proofErr w:type="spellEnd"/>
      <w:r w:rsidRPr="00A80A0C">
        <w:rPr>
          <w:color w:val="000000" w:themeColor="text1"/>
          <w:sz w:val="24"/>
          <w:szCs w:val="24"/>
        </w:rPr>
        <w:t>, L., 2016. Trade credit dynamics during the phases of the business cycle–a value chain perspective. Supply Chain Manag</w:t>
      </w:r>
      <w:r w:rsidR="00A26C35" w:rsidRPr="00A80A0C">
        <w:rPr>
          <w:color w:val="000000" w:themeColor="text1"/>
          <w:sz w:val="24"/>
          <w:szCs w:val="24"/>
        </w:rPr>
        <w:t>ement: An International Journal.</w:t>
      </w:r>
      <w:r w:rsidRPr="00A80A0C">
        <w:rPr>
          <w:color w:val="000000" w:themeColor="text1"/>
          <w:sz w:val="24"/>
          <w:szCs w:val="24"/>
        </w:rPr>
        <w:t xml:space="preserve"> 21(3), 363-380.</w:t>
      </w:r>
    </w:p>
    <w:p w14:paraId="1AE8B9B1"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Martin, J., 2017. Suppliers' participation in supply chain finance practices: predictors and outcomes. International Journal </w:t>
      </w:r>
      <w:r w:rsidR="00A26C35" w:rsidRPr="00A80A0C">
        <w:rPr>
          <w:color w:val="000000" w:themeColor="text1"/>
          <w:sz w:val="24"/>
          <w:szCs w:val="24"/>
        </w:rPr>
        <w:t>of Integrated Supply Management.</w:t>
      </w:r>
      <w:r w:rsidRPr="00A80A0C">
        <w:rPr>
          <w:color w:val="000000" w:themeColor="text1"/>
          <w:sz w:val="24"/>
          <w:szCs w:val="24"/>
        </w:rPr>
        <w:t xml:space="preserve"> 11(2-3), 193-216.</w:t>
      </w:r>
    </w:p>
    <w:p w14:paraId="6D287AD6"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Martin, J., Hofmann, E., 2017. Involving financial service providers in supply chain finance practices: company needs and service requirements. Journal</w:t>
      </w:r>
      <w:r w:rsidR="00A26C35" w:rsidRPr="00A80A0C">
        <w:rPr>
          <w:color w:val="000000" w:themeColor="text1"/>
          <w:sz w:val="24"/>
          <w:szCs w:val="24"/>
        </w:rPr>
        <w:t xml:space="preserve"> of Applied Accounting Research.</w:t>
      </w:r>
      <w:r w:rsidRPr="00A80A0C">
        <w:rPr>
          <w:color w:val="000000" w:themeColor="text1"/>
          <w:sz w:val="24"/>
          <w:szCs w:val="24"/>
        </w:rPr>
        <w:t xml:space="preserve"> 18(1), 42-62.</w:t>
      </w:r>
    </w:p>
    <w:p w14:paraId="44FD6525"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Mateen, A., More, D., 2013. Applying TOC thinking process tools in managing challenges of supply chain finance: a case study. International Journal of Ser</w:t>
      </w:r>
      <w:r w:rsidR="00A26C35" w:rsidRPr="00A80A0C">
        <w:rPr>
          <w:color w:val="000000" w:themeColor="text1"/>
          <w:sz w:val="24"/>
          <w:szCs w:val="24"/>
        </w:rPr>
        <w:t>vices and Operations Management.</w:t>
      </w:r>
      <w:r w:rsidRPr="00A80A0C">
        <w:rPr>
          <w:color w:val="000000" w:themeColor="text1"/>
          <w:sz w:val="24"/>
          <w:szCs w:val="24"/>
        </w:rPr>
        <w:t xml:space="preserve"> 15(4), 389-410.</w:t>
      </w:r>
    </w:p>
    <w:p w14:paraId="481E0A97"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Mathis, F. J., </w:t>
      </w:r>
      <w:proofErr w:type="spellStart"/>
      <w:r w:rsidRPr="00A80A0C">
        <w:rPr>
          <w:color w:val="000000" w:themeColor="text1"/>
          <w:sz w:val="24"/>
          <w:szCs w:val="24"/>
        </w:rPr>
        <w:t>Cavinato</w:t>
      </w:r>
      <w:proofErr w:type="spellEnd"/>
      <w:r w:rsidRPr="00A80A0C">
        <w:rPr>
          <w:color w:val="000000" w:themeColor="text1"/>
          <w:sz w:val="24"/>
          <w:szCs w:val="24"/>
        </w:rPr>
        <w:t>, J., 2010. Financing the global supply chain: growing need for management action. Thunderbir</w:t>
      </w:r>
      <w:r w:rsidR="00A26C35" w:rsidRPr="00A80A0C">
        <w:rPr>
          <w:color w:val="000000" w:themeColor="text1"/>
          <w:sz w:val="24"/>
          <w:szCs w:val="24"/>
        </w:rPr>
        <w:t>d International Business Review.</w:t>
      </w:r>
      <w:r w:rsidRPr="00A80A0C">
        <w:rPr>
          <w:color w:val="000000" w:themeColor="text1"/>
          <w:sz w:val="24"/>
          <w:szCs w:val="24"/>
        </w:rPr>
        <w:t xml:space="preserve"> 52(6), 467-474.</w:t>
      </w:r>
    </w:p>
    <w:p w14:paraId="43892E01"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Mayer C, 1988. New issues in corporate finance. Eur Econ Rev, 32(5), 1167–1183.</w:t>
      </w:r>
    </w:p>
    <w:p w14:paraId="00B6AC77"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McAfee, A., Brynjolfsson, E., Davenport, T. H., Patil, D. J., Barton, D., 2012. Big data: the management revo</w:t>
      </w:r>
      <w:r w:rsidR="00A26C35" w:rsidRPr="00A80A0C">
        <w:rPr>
          <w:color w:val="000000" w:themeColor="text1"/>
          <w:sz w:val="24"/>
          <w:szCs w:val="24"/>
        </w:rPr>
        <w:t>lution. Harvard business review.</w:t>
      </w:r>
      <w:r w:rsidRPr="00A80A0C">
        <w:rPr>
          <w:color w:val="000000" w:themeColor="text1"/>
          <w:sz w:val="24"/>
          <w:szCs w:val="24"/>
        </w:rPr>
        <w:t> 90(10), 60-68.</w:t>
      </w:r>
    </w:p>
    <w:p w14:paraId="7B030B5F"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McGuigan, N., Sin, S., Kern, T., 2016. Sourcing sustainable finance in a globally competitive market: an instructional case.</w:t>
      </w:r>
      <w:r w:rsidR="00A26C35" w:rsidRPr="00A80A0C">
        <w:rPr>
          <w:color w:val="000000" w:themeColor="text1"/>
          <w:sz w:val="24"/>
          <w:szCs w:val="24"/>
        </w:rPr>
        <w:t xml:space="preserve"> Issues in Accounting Education.</w:t>
      </w:r>
      <w:r w:rsidRPr="00A80A0C">
        <w:rPr>
          <w:color w:val="000000" w:themeColor="text1"/>
          <w:sz w:val="24"/>
          <w:szCs w:val="24"/>
        </w:rPr>
        <w:t xml:space="preserve"> 32(1), 43-58.</w:t>
      </w:r>
    </w:p>
    <w:p w14:paraId="3ED839EB"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Meijer, C.R.W., </w:t>
      </w:r>
      <w:proofErr w:type="spellStart"/>
      <w:r w:rsidRPr="00A80A0C">
        <w:rPr>
          <w:color w:val="000000" w:themeColor="text1"/>
          <w:sz w:val="24"/>
          <w:szCs w:val="24"/>
        </w:rPr>
        <w:t>Bruijn</w:t>
      </w:r>
      <w:proofErr w:type="spellEnd"/>
      <w:r w:rsidRPr="00A80A0C">
        <w:rPr>
          <w:color w:val="000000" w:themeColor="text1"/>
          <w:sz w:val="24"/>
          <w:szCs w:val="24"/>
        </w:rPr>
        <w:t>, M., 2013, Cross-border supply-chain finance: an important offering in transaction banking, Journal of Payments Strat</w:t>
      </w:r>
      <w:r w:rsidR="00A26C35" w:rsidRPr="00A80A0C">
        <w:rPr>
          <w:color w:val="000000" w:themeColor="text1"/>
          <w:sz w:val="24"/>
          <w:szCs w:val="24"/>
        </w:rPr>
        <w:t>egy &amp; Systems.</w:t>
      </w:r>
      <w:r w:rsidRPr="00A80A0C">
        <w:rPr>
          <w:color w:val="000000" w:themeColor="text1"/>
          <w:sz w:val="24"/>
          <w:szCs w:val="24"/>
        </w:rPr>
        <w:t xml:space="preserve"> 7(4), 304-318.</w:t>
      </w:r>
    </w:p>
    <w:p w14:paraId="0832BBE0"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Middelberg</w:t>
      </w:r>
      <w:proofErr w:type="spellEnd"/>
      <w:r w:rsidRPr="00A80A0C">
        <w:rPr>
          <w:color w:val="000000" w:themeColor="text1"/>
          <w:sz w:val="24"/>
          <w:szCs w:val="24"/>
        </w:rPr>
        <w:t>, S. L., 2017. Value chain financing: evidence from Zambia on smallholder access to finance for mechanization. Enterpri</w:t>
      </w:r>
      <w:r w:rsidR="00A26C35" w:rsidRPr="00A80A0C">
        <w:rPr>
          <w:color w:val="000000" w:themeColor="text1"/>
          <w:sz w:val="24"/>
          <w:szCs w:val="24"/>
        </w:rPr>
        <w:t>se Development and Microfinance.</w:t>
      </w:r>
      <w:r w:rsidRPr="00A80A0C">
        <w:rPr>
          <w:color w:val="000000" w:themeColor="text1"/>
          <w:sz w:val="24"/>
          <w:szCs w:val="24"/>
        </w:rPr>
        <w:t xml:space="preserve"> 28(1-2), 112-129.</w:t>
      </w:r>
    </w:p>
    <w:p w14:paraId="1D5E2923"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Mihov</w:t>
      </w:r>
      <w:proofErr w:type="spellEnd"/>
      <w:r w:rsidRPr="00A80A0C">
        <w:rPr>
          <w:color w:val="000000" w:themeColor="text1"/>
          <w:sz w:val="24"/>
          <w:szCs w:val="24"/>
        </w:rPr>
        <w:t>, A., Naranjo, A., 2017. Customer-base concentration and the transmission of idiosyncratic volatility along the vertical chai</w:t>
      </w:r>
      <w:r w:rsidR="00A26C35" w:rsidRPr="00A80A0C">
        <w:rPr>
          <w:color w:val="000000" w:themeColor="text1"/>
          <w:sz w:val="24"/>
          <w:szCs w:val="24"/>
        </w:rPr>
        <w:t>n. Journal of Empirical Finance.</w:t>
      </w:r>
      <w:r w:rsidRPr="00A80A0C">
        <w:rPr>
          <w:color w:val="000000" w:themeColor="text1"/>
          <w:sz w:val="24"/>
          <w:szCs w:val="24"/>
        </w:rPr>
        <w:t xml:space="preserve"> 40, 73-100.</w:t>
      </w:r>
    </w:p>
    <w:p w14:paraId="405CF65C"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Modigliani, F., Miller, M. H., 1958. The cost of capital, corporation finance and the theory of investment. The American econom</w:t>
      </w:r>
      <w:r w:rsidR="00A26C35" w:rsidRPr="00A80A0C">
        <w:rPr>
          <w:color w:val="000000" w:themeColor="text1"/>
          <w:sz w:val="24"/>
          <w:szCs w:val="24"/>
        </w:rPr>
        <w:t>ic review.</w:t>
      </w:r>
      <w:r w:rsidRPr="00A80A0C">
        <w:rPr>
          <w:color w:val="000000" w:themeColor="text1"/>
          <w:sz w:val="24"/>
          <w:szCs w:val="24"/>
        </w:rPr>
        <w:t xml:space="preserve"> 48(3), 261-297.</w:t>
      </w:r>
    </w:p>
    <w:p w14:paraId="49640EAC"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Milder, B., 2008. Closing the gap: reaching the missing middle and rural poor through value chain finance. Enterpri</w:t>
      </w:r>
      <w:r w:rsidR="00A26C35" w:rsidRPr="00A80A0C">
        <w:rPr>
          <w:color w:val="000000" w:themeColor="text1"/>
          <w:sz w:val="24"/>
          <w:szCs w:val="24"/>
        </w:rPr>
        <w:t>se Development and Microfinance.</w:t>
      </w:r>
      <w:r w:rsidRPr="00A80A0C">
        <w:rPr>
          <w:color w:val="000000" w:themeColor="text1"/>
          <w:sz w:val="24"/>
          <w:szCs w:val="24"/>
        </w:rPr>
        <w:t xml:space="preserve"> 19(4), 301-316.</w:t>
      </w:r>
    </w:p>
    <w:p w14:paraId="1E93C1DD" w14:textId="1569A8DF"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Miller, C., 2008. A baker's dozen lessons of value chain financing in agriculture. Enterpri</w:t>
      </w:r>
      <w:r w:rsidR="00A26C35" w:rsidRPr="00A80A0C">
        <w:rPr>
          <w:color w:val="000000" w:themeColor="text1"/>
          <w:sz w:val="24"/>
          <w:szCs w:val="24"/>
        </w:rPr>
        <w:t>se Development and Microfinance.</w:t>
      </w:r>
      <w:r w:rsidRPr="00A80A0C">
        <w:rPr>
          <w:color w:val="000000" w:themeColor="text1"/>
          <w:sz w:val="24"/>
          <w:szCs w:val="24"/>
        </w:rPr>
        <w:t xml:space="preserve"> 19(4), 273-280.</w:t>
      </w:r>
    </w:p>
    <w:p w14:paraId="11802C1C" w14:textId="166B91E5" w:rsidR="00C35CFC" w:rsidRPr="00A80A0C" w:rsidRDefault="00C35CFC" w:rsidP="00C35CFC">
      <w:pPr>
        <w:ind w:left="480" w:hangingChars="200" w:hanging="480"/>
        <w:rPr>
          <w:color w:val="000000" w:themeColor="text1"/>
          <w:sz w:val="24"/>
          <w:szCs w:val="24"/>
        </w:rPr>
      </w:pPr>
      <w:proofErr w:type="spellStart"/>
      <w:r w:rsidRPr="00A80A0C">
        <w:rPr>
          <w:color w:val="000000" w:themeColor="text1"/>
          <w:sz w:val="24"/>
          <w:szCs w:val="24"/>
        </w:rPr>
        <w:t>Morash</w:t>
      </w:r>
      <w:proofErr w:type="spellEnd"/>
      <w:r w:rsidRPr="00A80A0C">
        <w:rPr>
          <w:color w:val="000000" w:themeColor="text1"/>
          <w:sz w:val="24"/>
          <w:szCs w:val="24"/>
        </w:rPr>
        <w:t>, E.A. and Clinton, S.R., 1998. Supply chain integration: customer value through collaborative closeness versus operational excellence. Journal of Marketing Theory and Practice, 6(4), pp.104-120.</w:t>
      </w:r>
    </w:p>
    <w:p w14:paraId="25810BE9"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More, D., </w:t>
      </w:r>
      <w:proofErr w:type="spellStart"/>
      <w:r w:rsidRPr="00A80A0C">
        <w:rPr>
          <w:color w:val="000000" w:themeColor="text1"/>
          <w:sz w:val="24"/>
          <w:szCs w:val="24"/>
        </w:rPr>
        <w:t>Basu</w:t>
      </w:r>
      <w:proofErr w:type="spellEnd"/>
      <w:r w:rsidRPr="00A80A0C">
        <w:rPr>
          <w:color w:val="000000" w:themeColor="text1"/>
          <w:sz w:val="24"/>
          <w:szCs w:val="24"/>
        </w:rPr>
        <w:t>, P., 2013, Challenges of supply chain finance: a detailed study and a hierarchical model based on the experiences of an Indian firm, Business Process Management Journ</w:t>
      </w:r>
      <w:r w:rsidR="00A26C35" w:rsidRPr="00A80A0C">
        <w:rPr>
          <w:color w:val="000000" w:themeColor="text1"/>
          <w:sz w:val="24"/>
          <w:szCs w:val="24"/>
        </w:rPr>
        <w:t>al. 19(4),</w:t>
      </w:r>
      <w:r w:rsidRPr="00A80A0C">
        <w:rPr>
          <w:color w:val="000000" w:themeColor="text1"/>
          <w:sz w:val="24"/>
          <w:szCs w:val="24"/>
        </w:rPr>
        <w:t xml:space="preserve"> 624-647.</w:t>
      </w:r>
    </w:p>
    <w:p w14:paraId="62B2AE34"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lastRenderedPageBreak/>
        <w:t>Mueller, D. C., 1976. Public choice: A survey.</w:t>
      </w:r>
      <w:r w:rsidR="00A26C35" w:rsidRPr="00A80A0C">
        <w:rPr>
          <w:color w:val="000000" w:themeColor="text1"/>
          <w:sz w:val="24"/>
          <w:szCs w:val="24"/>
        </w:rPr>
        <w:t> Journal of Economic Literature.</w:t>
      </w:r>
      <w:r w:rsidRPr="00A80A0C">
        <w:rPr>
          <w:color w:val="000000" w:themeColor="text1"/>
          <w:sz w:val="24"/>
          <w:szCs w:val="24"/>
        </w:rPr>
        <w:t> 14(2), 395-433.</w:t>
      </w:r>
    </w:p>
    <w:p w14:paraId="7BD1E272"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Myers, S. C., </w:t>
      </w:r>
      <w:proofErr w:type="spellStart"/>
      <w:r w:rsidRPr="00A80A0C">
        <w:rPr>
          <w:color w:val="000000" w:themeColor="text1"/>
          <w:sz w:val="24"/>
          <w:szCs w:val="24"/>
        </w:rPr>
        <w:t>Majluf</w:t>
      </w:r>
      <w:proofErr w:type="spellEnd"/>
      <w:r w:rsidRPr="00A80A0C">
        <w:rPr>
          <w:color w:val="000000" w:themeColor="text1"/>
          <w:sz w:val="24"/>
          <w:szCs w:val="24"/>
        </w:rPr>
        <w:t>, N. S., 1984. Corporate financing and investment decisions when firms have information that investors do not have. Journ</w:t>
      </w:r>
      <w:r w:rsidR="00A26C35" w:rsidRPr="00A80A0C">
        <w:rPr>
          <w:color w:val="000000" w:themeColor="text1"/>
          <w:sz w:val="24"/>
          <w:szCs w:val="24"/>
        </w:rPr>
        <w:t>al of financial economics.</w:t>
      </w:r>
      <w:r w:rsidRPr="00A80A0C">
        <w:rPr>
          <w:color w:val="000000" w:themeColor="text1"/>
          <w:sz w:val="24"/>
          <w:szCs w:val="24"/>
        </w:rPr>
        <w:t xml:space="preserve"> 13(2), 187-221.</w:t>
      </w:r>
    </w:p>
    <w:p w14:paraId="3DE91C49"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Nelson R </w:t>
      </w:r>
      <w:proofErr w:type="spellStart"/>
      <w:r w:rsidRPr="00A80A0C">
        <w:rPr>
          <w:color w:val="000000" w:themeColor="text1"/>
          <w:sz w:val="24"/>
          <w:szCs w:val="24"/>
        </w:rPr>
        <w:t>R</w:t>
      </w:r>
      <w:proofErr w:type="spellEnd"/>
      <w:r w:rsidRPr="00A80A0C">
        <w:rPr>
          <w:color w:val="000000" w:themeColor="text1"/>
          <w:sz w:val="24"/>
          <w:szCs w:val="24"/>
        </w:rPr>
        <w:t>., 1991. Why do firms differ, and how does it matter? Strategic Managemen</w:t>
      </w:r>
      <w:r w:rsidR="00A26C35" w:rsidRPr="00A80A0C">
        <w:rPr>
          <w:color w:val="000000" w:themeColor="text1"/>
          <w:sz w:val="24"/>
          <w:szCs w:val="24"/>
        </w:rPr>
        <w:t>t Journal.</w:t>
      </w:r>
      <w:r w:rsidRPr="00A80A0C">
        <w:rPr>
          <w:color w:val="000000" w:themeColor="text1"/>
          <w:sz w:val="24"/>
          <w:szCs w:val="24"/>
        </w:rPr>
        <w:t xml:space="preserve"> Winter Special Issue, 12, 61–74.</w:t>
      </w:r>
    </w:p>
    <w:p w14:paraId="32EEF383"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Ng, C. K., Smith, J. K., Smith, R. L., 1999. Evidence on the determinants of credit terms used in interfir</w:t>
      </w:r>
      <w:r w:rsidR="00A26C35" w:rsidRPr="00A80A0C">
        <w:rPr>
          <w:color w:val="000000" w:themeColor="text1"/>
          <w:sz w:val="24"/>
          <w:szCs w:val="24"/>
        </w:rPr>
        <w:t>m trade. The journal of finance.</w:t>
      </w:r>
      <w:r w:rsidRPr="00A80A0C">
        <w:rPr>
          <w:color w:val="000000" w:themeColor="text1"/>
          <w:sz w:val="24"/>
          <w:szCs w:val="24"/>
        </w:rPr>
        <w:t xml:space="preserve"> 54(3), 1109-1129.</w:t>
      </w:r>
    </w:p>
    <w:p w14:paraId="1400BE03"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Oliveira, M., </w:t>
      </w:r>
      <w:proofErr w:type="spellStart"/>
      <w:r w:rsidRPr="00A80A0C">
        <w:rPr>
          <w:color w:val="000000" w:themeColor="text1"/>
          <w:sz w:val="24"/>
          <w:szCs w:val="24"/>
        </w:rPr>
        <w:t>Kadapakkam</w:t>
      </w:r>
      <w:proofErr w:type="spellEnd"/>
      <w:r w:rsidRPr="00A80A0C">
        <w:rPr>
          <w:color w:val="000000" w:themeColor="text1"/>
          <w:sz w:val="24"/>
          <w:szCs w:val="24"/>
        </w:rPr>
        <w:t xml:space="preserve">, P.-R., </w:t>
      </w:r>
      <w:proofErr w:type="spellStart"/>
      <w:r w:rsidRPr="00A80A0C">
        <w:rPr>
          <w:color w:val="000000" w:themeColor="text1"/>
          <w:sz w:val="24"/>
          <w:szCs w:val="24"/>
        </w:rPr>
        <w:t>Beyhaghi</w:t>
      </w:r>
      <w:proofErr w:type="spellEnd"/>
      <w:r w:rsidRPr="00A80A0C">
        <w:rPr>
          <w:color w:val="000000" w:themeColor="text1"/>
          <w:sz w:val="24"/>
          <w:szCs w:val="24"/>
        </w:rPr>
        <w:t>, M., 2017. Effects of customer financial distress on supplier capital structur</w:t>
      </w:r>
      <w:r w:rsidR="00A26C35" w:rsidRPr="00A80A0C">
        <w:rPr>
          <w:color w:val="000000" w:themeColor="text1"/>
          <w:sz w:val="24"/>
          <w:szCs w:val="24"/>
        </w:rPr>
        <w:t>e. Journal of Corporate Finance.</w:t>
      </w:r>
      <w:r w:rsidRPr="00A80A0C">
        <w:rPr>
          <w:color w:val="000000" w:themeColor="text1"/>
          <w:sz w:val="24"/>
          <w:szCs w:val="24"/>
        </w:rPr>
        <w:t xml:space="preserve"> 42, 131-149.</w:t>
      </w:r>
    </w:p>
    <w:p w14:paraId="7B862F42"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Passi</w:t>
      </w:r>
      <w:proofErr w:type="spellEnd"/>
      <w:r w:rsidRPr="00A80A0C">
        <w:rPr>
          <w:color w:val="000000" w:themeColor="text1"/>
          <w:sz w:val="24"/>
          <w:szCs w:val="24"/>
        </w:rPr>
        <w:t>, L. F., 2012. CBI’S support to the supply chain finance: the Italian experience. Journal</w:t>
      </w:r>
      <w:r w:rsidR="00A26C35" w:rsidRPr="00A80A0C">
        <w:rPr>
          <w:color w:val="000000" w:themeColor="text1"/>
          <w:sz w:val="24"/>
          <w:szCs w:val="24"/>
        </w:rPr>
        <w:t xml:space="preserve"> of Payments Strategy &amp; Systems.</w:t>
      </w:r>
      <w:r w:rsidRPr="00A80A0C">
        <w:rPr>
          <w:color w:val="000000" w:themeColor="text1"/>
          <w:sz w:val="24"/>
          <w:szCs w:val="24"/>
        </w:rPr>
        <w:t xml:space="preserve"> 6(3), 260-275.</w:t>
      </w:r>
    </w:p>
    <w:p w14:paraId="65D003B1"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Patil, S., Jha, A. K., 2016. Role of financial agencies in integrating small farmers into a sustainable value chain: a synthesis-based on successful value chain fin</w:t>
      </w:r>
      <w:r w:rsidR="00A26C35" w:rsidRPr="00A80A0C">
        <w:rPr>
          <w:color w:val="000000" w:themeColor="text1"/>
          <w:sz w:val="24"/>
          <w:szCs w:val="24"/>
        </w:rPr>
        <w:t>ancing efforts. Current Science.</w:t>
      </w:r>
      <w:r w:rsidRPr="00A80A0C">
        <w:rPr>
          <w:color w:val="000000" w:themeColor="text1"/>
          <w:sz w:val="24"/>
          <w:szCs w:val="24"/>
        </w:rPr>
        <w:t xml:space="preserve"> 110(11), 2082.</w:t>
      </w:r>
    </w:p>
    <w:p w14:paraId="782A7BEF" w14:textId="77777777" w:rsidR="00123AD1" w:rsidRPr="00A80A0C" w:rsidRDefault="00123AD1" w:rsidP="00123AD1">
      <w:pPr>
        <w:ind w:left="480" w:hangingChars="200" w:hanging="480"/>
        <w:rPr>
          <w:color w:val="000000" w:themeColor="text1"/>
          <w:sz w:val="24"/>
          <w:szCs w:val="24"/>
        </w:rPr>
      </w:pPr>
      <w:proofErr w:type="spellStart"/>
      <w:r w:rsidRPr="00A80A0C">
        <w:rPr>
          <w:color w:val="000000" w:themeColor="text1"/>
          <w:sz w:val="24"/>
          <w:szCs w:val="24"/>
        </w:rPr>
        <w:t>Pfohl</w:t>
      </w:r>
      <w:proofErr w:type="spellEnd"/>
      <w:r w:rsidRPr="00A80A0C">
        <w:rPr>
          <w:color w:val="000000" w:themeColor="text1"/>
          <w:sz w:val="24"/>
          <w:szCs w:val="24"/>
        </w:rPr>
        <w:t xml:space="preserve">, H.-C., </w:t>
      </w:r>
      <w:proofErr w:type="spellStart"/>
      <w:r w:rsidRPr="00A80A0C">
        <w:rPr>
          <w:color w:val="000000" w:themeColor="text1"/>
          <w:sz w:val="24"/>
          <w:szCs w:val="24"/>
        </w:rPr>
        <w:t>Gomm</w:t>
      </w:r>
      <w:proofErr w:type="spellEnd"/>
      <w:r w:rsidRPr="00A80A0C">
        <w:rPr>
          <w:color w:val="000000" w:themeColor="text1"/>
          <w:sz w:val="24"/>
          <w:szCs w:val="24"/>
        </w:rPr>
        <w:t>, M., 2009. Supply chain finance: optimizing financial flows in supply chains. Logistics research. 1(3-4), 149-161.</w:t>
      </w:r>
    </w:p>
    <w:p w14:paraId="10E1697A" w14:textId="77777777" w:rsidR="00123AD1" w:rsidRPr="00A80A0C" w:rsidRDefault="00123AD1" w:rsidP="00123AD1">
      <w:pPr>
        <w:ind w:left="480" w:hangingChars="200" w:hanging="480"/>
        <w:rPr>
          <w:color w:val="000000" w:themeColor="text1"/>
          <w:sz w:val="24"/>
          <w:szCs w:val="24"/>
        </w:rPr>
      </w:pPr>
      <w:r w:rsidRPr="00A80A0C">
        <w:rPr>
          <w:color w:val="000000" w:themeColor="text1"/>
          <w:sz w:val="24"/>
          <w:szCs w:val="24"/>
        </w:rPr>
        <w:t xml:space="preserve">Pfeffer, J., </w:t>
      </w:r>
      <w:proofErr w:type="spellStart"/>
      <w:r w:rsidRPr="00A80A0C">
        <w:rPr>
          <w:color w:val="000000" w:themeColor="text1"/>
          <w:sz w:val="24"/>
          <w:szCs w:val="24"/>
        </w:rPr>
        <w:t>Salancik</w:t>
      </w:r>
      <w:proofErr w:type="spellEnd"/>
      <w:r w:rsidRPr="00A80A0C">
        <w:rPr>
          <w:color w:val="000000" w:themeColor="text1"/>
          <w:sz w:val="24"/>
          <w:szCs w:val="24"/>
        </w:rPr>
        <w:t>, G. R., 2003. The external control of organizations: a resource dependence perspective. Stanford University Press.</w:t>
      </w:r>
    </w:p>
    <w:p w14:paraId="3298254B"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Popa, V., 2013. The financial supply chain management: a new solution for supply chain </w:t>
      </w:r>
      <w:r w:rsidR="00A26C35" w:rsidRPr="00A80A0C">
        <w:rPr>
          <w:color w:val="000000" w:themeColor="text1"/>
          <w:sz w:val="24"/>
          <w:szCs w:val="24"/>
        </w:rPr>
        <w:t xml:space="preserve">resilience. </w:t>
      </w:r>
      <w:proofErr w:type="spellStart"/>
      <w:r w:rsidR="00A26C35" w:rsidRPr="00A80A0C">
        <w:rPr>
          <w:color w:val="000000" w:themeColor="text1"/>
          <w:sz w:val="24"/>
          <w:szCs w:val="24"/>
        </w:rPr>
        <w:t>Amfiteatru</w:t>
      </w:r>
      <w:proofErr w:type="spellEnd"/>
      <w:r w:rsidR="00A26C35" w:rsidRPr="00A80A0C">
        <w:rPr>
          <w:color w:val="000000" w:themeColor="text1"/>
          <w:sz w:val="24"/>
          <w:szCs w:val="24"/>
        </w:rPr>
        <w:t xml:space="preserve"> Economic.</w:t>
      </w:r>
      <w:r w:rsidRPr="00A80A0C">
        <w:rPr>
          <w:color w:val="000000" w:themeColor="text1"/>
          <w:sz w:val="24"/>
          <w:szCs w:val="24"/>
        </w:rPr>
        <w:t xml:space="preserve"> 15(33), 140-153.</w:t>
      </w:r>
    </w:p>
    <w:p w14:paraId="11DB7C06" w14:textId="77777777" w:rsidR="00850480" w:rsidRPr="00A80A0C" w:rsidRDefault="00850480" w:rsidP="00850480">
      <w:pPr>
        <w:ind w:left="480" w:hangingChars="200" w:hanging="480"/>
        <w:rPr>
          <w:color w:val="000000" w:themeColor="text1"/>
          <w:sz w:val="24"/>
          <w:szCs w:val="24"/>
        </w:rPr>
      </w:pPr>
      <w:proofErr w:type="spellStart"/>
      <w:r w:rsidRPr="00A80A0C">
        <w:rPr>
          <w:color w:val="000000" w:themeColor="text1"/>
          <w:sz w:val="24"/>
          <w:szCs w:val="24"/>
        </w:rPr>
        <w:t>Prajogo</w:t>
      </w:r>
      <w:proofErr w:type="spellEnd"/>
      <w:r w:rsidRPr="00A80A0C">
        <w:rPr>
          <w:color w:val="000000" w:themeColor="text1"/>
          <w:sz w:val="24"/>
          <w:szCs w:val="24"/>
        </w:rPr>
        <w:t xml:space="preserve">, D. and </w:t>
      </w:r>
      <w:proofErr w:type="spellStart"/>
      <w:r w:rsidRPr="00A80A0C">
        <w:rPr>
          <w:color w:val="000000" w:themeColor="text1"/>
          <w:sz w:val="24"/>
          <w:szCs w:val="24"/>
        </w:rPr>
        <w:t>Olhager</w:t>
      </w:r>
      <w:proofErr w:type="spellEnd"/>
      <w:r w:rsidRPr="00A80A0C">
        <w:rPr>
          <w:color w:val="000000" w:themeColor="text1"/>
          <w:sz w:val="24"/>
          <w:szCs w:val="24"/>
        </w:rPr>
        <w:t>, J., 2012. Supply chain integration and performance: The effects of long-term relationships, information technology and sharing, and logistics integration. International Journal of Production Economics. 135(1), 514-522.</w:t>
      </w:r>
    </w:p>
    <w:p w14:paraId="2C31BA7D" w14:textId="77777777" w:rsidR="00123AD1" w:rsidRPr="00A80A0C" w:rsidRDefault="00123AD1" w:rsidP="00123AD1">
      <w:pPr>
        <w:ind w:left="480" w:hangingChars="200" w:hanging="480"/>
        <w:rPr>
          <w:color w:val="000000" w:themeColor="text1"/>
          <w:sz w:val="24"/>
          <w:szCs w:val="24"/>
        </w:rPr>
      </w:pPr>
      <w:proofErr w:type="spellStart"/>
      <w:r w:rsidRPr="00A80A0C">
        <w:rPr>
          <w:color w:val="000000" w:themeColor="text1"/>
          <w:sz w:val="24"/>
          <w:szCs w:val="24"/>
        </w:rPr>
        <w:t>Premkumar</w:t>
      </w:r>
      <w:proofErr w:type="spellEnd"/>
      <w:r w:rsidRPr="00A80A0C">
        <w:rPr>
          <w:color w:val="000000" w:themeColor="text1"/>
          <w:sz w:val="24"/>
          <w:szCs w:val="24"/>
        </w:rPr>
        <w:t xml:space="preserve">, G.P., 2000. </w:t>
      </w:r>
      <w:proofErr w:type="spellStart"/>
      <w:r w:rsidRPr="00A80A0C">
        <w:rPr>
          <w:color w:val="000000" w:themeColor="text1"/>
          <w:sz w:val="24"/>
          <w:szCs w:val="24"/>
        </w:rPr>
        <w:t>Interorganization</w:t>
      </w:r>
      <w:proofErr w:type="spellEnd"/>
      <w:r w:rsidRPr="00A80A0C">
        <w:rPr>
          <w:color w:val="000000" w:themeColor="text1"/>
          <w:sz w:val="24"/>
          <w:szCs w:val="24"/>
        </w:rPr>
        <w:t xml:space="preserve"> systems and supply chain management: an information processing perspective. Information System Management. 17 (3), 56–68.</w:t>
      </w:r>
    </w:p>
    <w:p w14:paraId="0ACC0BC1"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Pfeffer, J., </w:t>
      </w:r>
      <w:proofErr w:type="spellStart"/>
      <w:r w:rsidRPr="00A80A0C">
        <w:rPr>
          <w:color w:val="000000" w:themeColor="text1"/>
          <w:sz w:val="24"/>
          <w:szCs w:val="24"/>
        </w:rPr>
        <w:t>Salancik</w:t>
      </w:r>
      <w:proofErr w:type="spellEnd"/>
      <w:r w:rsidRPr="00A80A0C">
        <w:rPr>
          <w:color w:val="000000" w:themeColor="text1"/>
          <w:sz w:val="24"/>
          <w:szCs w:val="24"/>
        </w:rPr>
        <w:t>, G. R., 2003. The external control of organizations: a resource dependence perspective. Stanford University Press.</w:t>
      </w:r>
    </w:p>
    <w:p w14:paraId="50EBA362"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Raddatz, C., 2010. Credit chains and sectoral </w:t>
      </w:r>
      <w:proofErr w:type="spellStart"/>
      <w:r w:rsidRPr="00A80A0C">
        <w:rPr>
          <w:color w:val="000000" w:themeColor="text1"/>
          <w:sz w:val="24"/>
          <w:szCs w:val="24"/>
        </w:rPr>
        <w:t>comovement</w:t>
      </w:r>
      <w:proofErr w:type="spellEnd"/>
      <w:r w:rsidRPr="00A80A0C">
        <w:rPr>
          <w:color w:val="000000" w:themeColor="text1"/>
          <w:sz w:val="24"/>
          <w:szCs w:val="24"/>
        </w:rPr>
        <w:t>: does the use of trade credit amplify sectoral shocks? The Review of Economics and Statistics</w:t>
      </w:r>
      <w:r w:rsidR="00A26C35" w:rsidRPr="00A80A0C">
        <w:rPr>
          <w:color w:val="000000" w:themeColor="text1"/>
          <w:sz w:val="24"/>
          <w:szCs w:val="24"/>
        </w:rPr>
        <w:t>.</w:t>
      </w:r>
      <w:r w:rsidRPr="00A80A0C">
        <w:rPr>
          <w:color w:val="000000" w:themeColor="text1"/>
          <w:sz w:val="24"/>
          <w:szCs w:val="24"/>
        </w:rPr>
        <w:t xml:space="preserve"> 92(4), 985-1003.</w:t>
      </w:r>
    </w:p>
    <w:p w14:paraId="7AE7D03F" w14:textId="77777777" w:rsidR="00EB1C2A" w:rsidRPr="00A80A0C" w:rsidRDefault="00EB1C2A" w:rsidP="00EB1C2A">
      <w:pPr>
        <w:ind w:left="480" w:hangingChars="200" w:hanging="480"/>
        <w:rPr>
          <w:color w:val="000000" w:themeColor="text1"/>
          <w:sz w:val="24"/>
          <w:szCs w:val="24"/>
        </w:rPr>
      </w:pPr>
      <w:r w:rsidRPr="00A80A0C">
        <w:rPr>
          <w:color w:val="000000" w:themeColor="text1"/>
          <w:sz w:val="24"/>
          <w:szCs w:val="24"/>
        </w:rPr>
        <w:t xml:space="preserve">Rai, A., </w:t>
      </w:r>
      <w:proofErr w:type="spellStart"/>
      <w:r w:rsidRPr="00A80A0C">
        <w:rPr>
          <w:color w:val="000000" w:themeColor="text1"/>
          <w:sz w:val="24"/>
          <w:szCs w:val="24"/>
        </w:rPr>
        <w:t>Patnayakuni</w:t>
      </w:r>
      <w:proofErr w:type="spellEnd"/>
      <w:r w:rsidRPr="00A80A0C">
        <w:rPr>
          <w:color w:val="000000" w:themeColor="text1"/>
          <w:sz w:val="24"/>
          <w:szCs w:val="24"/>
        </w:rPr>
        <w:t>, R. and Seth, N., 2006. Firm performance impacts of digitally enabled supply chain integration capabilities. MIS Quarterly. 30(2), 225-246.</w:t>
      </w:r>
    </w:p>
    <w:p w14:paraId="2A2D0570"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Randall, W. S., Theodore Farris, M., 2009. Supply chain financing: using cash-to-cash variables to strengthen the supply chain. International Journal of Physical Dist</w:t>
      </w:r>
      <w:r w:rsidR="00A26C35" w:rsidRPr="00A80A0C">
        <w:rPr>
          <w:color w:val="000000" w:themeColor="text1"/>
          <w:sz w:val="24"/>
          <w:szCs w:val="24"/>
        </w:rPr>
        <w:t>ribution &amp; Logistics Management.</w:t>
      </w:r>
      <w:r w:rsidRPr="00A80A0C">
        <w:rPr>
          <w:color w:val="000000" w:themeColor="text1"/>
          <w:sz w:val="24"/>
          <w:szCs w:val="24"/>
        </w:rPr>
        <w:t xml:space="preserve"> 39(8), 669-689.</w:t>
      </w:r>
    </w:p>
    <w:p w14:paraId="1C36599B"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Rogers, E. M., 2010. Diffusion of innovations: Simon and Schuster.</w:t>
      </w:r>
    </w:p>
    <w:p w14:paraId="6C184076"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Rogers, D. S., Leuschner, R., 2015. Supply chain finance special issue editorial note, Supply Chain </w:t>
      </w:r>
      <w:r w:rsidR="00A26C35" w:rsidRPr="00A80A0C">
        <w:rPr>
          <w:color w:val="000000" w:themeColor="text1"/>
          <w:sz w:val="24"/>
          <w:szCs w:val="24"/>
        </w:rPr>
        <w:t>Forum: An International Journal.</w:t>
      </w:r>
      <w:r w:rsidRPr="00A80A0C">
        <w:rPr>
          <w:color w:val="000000" w:themeColor="text1"/>
          <w:sz w:val="24"/>
          <w:szCs w:val="24"/>
        </w:rPr>
        <w:t xml:space="preserve"> 16(3), 2-3.</w:t>
      </w:r>
    </w:p>
    <w:p w14:paraId="796DCEB3" w14:textId="77777777" w:rsidR="00A6289B" w:rsidRPr="00A80A0C" w:rsidRDefault="00A6289B" w:rsidP="00A6289B">
      <w:pPr>
        <w:ind w:left="480" w:hangingChars="200" w:hanging="480"/>
        <w:rPr>
          <w:color w:val="000000" w:themeColor="text1"/>
          <w:sz w:val="24"/>
          <w:szCs w:val="24"/>
        </w:rPr>
      </w:pPr>
      <w:r w:rsidRPr="00A80A0C">
        <w:rPr>
          <w:color w:val="000000" w:themeColor="text1"/>
          <w:sz w:val="24"/>
          <w:szCs w:val="24"/>
        </w:rPr>
        <w:t>Rogers, P. R., Miller, A. &amp; Judge, W. Q., 1999. Using information-processing theory to understand planning/performance relationships in the context of strateg</w:t>
      </w:r>
      <w:r w:rsidR="00A26C35" w:rsidRPr="00A80A0C">
        <w:rPr>
          <w:color w:val="000000" w:themeColor="text1"/>
          <w:sz w:val="24"/>
          <w:szCs w:val="24"/>
        </w:rPr>
        <w:t>y. Strategic Management Journal.</w:t>
      </w:r>
      <w:r w:rsidRPr="00A80A0C">
        <w:rPr>
          <w:color w:val="000000" w:themeColor="text1"/>
          <w:sz w:val="24"/>
          <w:szCs w:val="24"/>
        </w:rPr>
        <w:t xml:space="preserve"> 20, 567-577.</w:t>
      </w:r>
    </w:p>
    <w:p w14:paraId="049F8F29"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Schäfer, H., Baumann, S., 2014. Managing </w:t>
      </w:r>
      <w:proofErr w:type="spellStart"/>
      <w:r w:rsidRPr="00A80A0C">
        <w:rPr>
          <w:color w:val="000000" w:themeColor="text1"/>
          <w:sz w:val="24"/>
          <w:szCs w:val="24"/>
        </w:rPr>
        <w:t>behavioral</w:t>
      </w:r>
      <w:proofErr w:type="spellEnd"/>
      <w:r w:rsidRPr="00A80A0C">
        <w:rPr>
          <w:color w:val="000000" w:themeColor="text1"/>
          <w:sz w:val="24"/>
          <w:szCs w:val="24"/>
        </w:rPr>
        <w:t xml:space="preserve"> risks in logistics-based networks: a project finance approach. IUP Jou</w:t>
      </w:r>
      <w:r w:rsidR="00A26C35" w:rsidRPr="00A80A0C">
        <w:rPr>
          <w:color w:val="000000" w:themeColor="text1"/>
          <w:sz w:val="24"/>
          <w:szCs w:val="24"/>
        </w:rPr>
        <w:t>rnal of Supply Chain Management.</w:t>
      </w:r>
      <w:r w:rsidRPr="00A80A0C">
        <w:rPr>
          <w:color w:val="000000" w:themeColor="text1"/>
          <w:sz w:val="24"/>
          <w:szCs w:val="24"/>
        </w:rPr>
        <w:t xml:space="preserve"> 11(1), 18-35.</w:t>
      </w:r>
    </w:p>
    <w:p w14:paraId="7843BB2F" w14:textId="77777777" w:rsidR="00BE1DB5" w:rsidRPr="00A80A0C" w:rsidRDefault="00BE1DB5" w:rsidP="00BE1DB5">
      <w:pPr>
        <w:ind w:left="480" w:hangingChars="200" w:hanging="480"/>
        <w:rPr>
          <w:color w:val="000000" w:themeColor="text1"/>
          <w:sz w:val="24"/>
          <w:szCs w:val="24"/>
        </w:rPr>
      </w:pPr>
      <w:proofErr w:type="spellStart"/>
      <w:r w:rsidRPr="00A80A0C">
        <w:rPr>
          <w:color w:val="000000" w:themeColor="text1"/>
          <w:sz w:val="24"/>
          <w:szCs w:val="24"/>
        </w:rPr>
        <w:t>Schwieterman</w:t>
      </w:r>
      <w:proofErr w:type="spellEnd"/>
      <w:r w:rsidRPr="00A80A0C">
        <w:rPr>
          <w:color w:val="000000" w:themeColor="text1"/>
          <w:sz w:val="24"/>
          <w:szCs w:val="24"/>
        </w:rPr>
        <w:t xml:space="preserve">, M.A., Goldsby, T.J. and Croxton, K.L., 2018. Customer and Supplier Portfolios: </w:t>
      </w:r>
      <w:r w:rsidRPr="00A80A0C">
        <w:rPr>
          <w:color w:val="000000" w:themeColor="text1"/>
          <w:sz w:val="24"/>
          <w:szCs w:val="24"/>
        </w:rPr>
        <w:lastRenderedPageBreak/>
        <w:t>Can Credit Risks Be Managed through Supply Chain Relationships? Journal of Business Logistics, 39(2), 123-137.</w:t>
      </w:r>
    </w:p>
    <w:p w14:paraId="5970E91E"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Seifert, R. W., Seifert, D., 2011. Financing the chain</w:t>
      </w:r>
      <w:r w:rsidR="00A26C35" w:rsidRPr="00A80A0C">
        <w:rPr>
          <w:color w:val="000000" w:themeColor="text1"/>
          <w:sz w:val="24"/>
          <w:szCs w:val="24"/>
        </w:rPr>
        <w:t>. International commerce review.</w:t>
      </w:r>
      <w:r w:rsidRPr="00A80A0C">
        <w:rPr>
          <w:color w:val="000000" w:themeColor="text1"/>
          <w:sz w:val="24"/>
          <w:szCs w:val="24"/>
        </w:rPr>
        <w:t xml:space="preserve"> 10(1), 32-44.</w:t>
      </w:r>
    </w:p>
    <w:p w14:paraId="5BAC053B"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Seifert, D., Seifert, R. W., </w:t>
      </w:r>
      <w:proofErr w:type="spellStart"/>
      <w:r w:rsidRPr="00A80A0C">
        <w:rPr>
          <w:color w:val="000000" w:themeColor="text1"/>
          <w:sz w:val="24"/>
          <w:szCs w:val="24"/>
        </w:rPr>
        <w:t>Protopappa-Sieke</w:t>
      </w:r>
      <w:proofErr w:type="spellEnd"/>
      <w:r w:rsidRPr="00A80A0C">
        <w:rPr>
          <w:color w:val="000000" w:themeColor="text1"/>
          <w:sz w:val="24"/>
          <w:szCs w:val="24"/>
        </w:rPr>
        <w:t xml:space="preserve">, M., 2013. A review of trade credit literature: opportunities for research in operations. European </w:t>
      </w:r>
      <w:r w:rsidR="00A26C35" w:rsidRPr="00A80A0C">
        <w:rPr>
          <w:color w:val="000000" w:themeColor="text1"/>
          <w:sz w:val="24"/>
          <w:szCs w:val="24"/>
        </w:rPr>
        <w:t>Journal of Operational Research.</w:t>
      </w:r>
      <w:r w:rsidRPr="00A80A0C">
        <w:rPr>
          <w:color w:val="000000" w:themeColor="text1"/>
          <w:sz w:val="24"/>
          <w:szCs w:val="24"/>
        </w:rPr>
        <w:t xml:space="preserve"> 231(2), 245-256.</w:t>
      </w:r>
    </w:p>
    <w:p w14:paraId="71518066"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Su, Y., Zhong, B., 2016. The credit risk assessment model of internet supply chain finance: multi-criteria decision-making model with the principle of variable weight. Journal</w:t>
      </w:r>
      <w:r w:rsidR="00A26C35" w:rsidRPr="00A80A0C">
        <w:rPr>
          <w:color w:val="000000" w:themeColor="text1"/>
          <w:sz w:val="24"/>
          <w:szCs w:val="24"/>
        </w:rPr>
        <w:t xml:space="preserve"> of Computer and Communications.</w:t>
      </w:r>
      <w:r w:rsidRPr="00A80A0C">
        <w:rPr>
          <w:color w:val="000000" w:themeColor="text1"/>
          <w:sz w:val="24"/>
          <w:szCs w:val="24"/>
        </w:rPr>
        <w:t xml:space="preserve"> 4(16), 1-11.</w:t>
      </w:r>
    </w:p>
    <w:p w14:paraId="5EB7AC55"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Silvestro, R., </w:t>
      </w:r>
      <w:proofErr w:type="spellStart"/>
      <w:r w:rsidRPr="00A80A0C">
        <w:rPr>
          <w:color w:val="000000" w:themeColor="text1"/>
          <w:sz w:val="24"/>
          <w:szCs w:val="24"/>
        </w:rPr>
        <w:t>Lustrato</w:t>
      </w:r>
      <w:proofErr w:type="spellEnd"/>
      <w:r w:rsidRPr="00A80A0C">
        <w:rPr>
          <w:color w:val="000000" w:themeColor="text1"/>
          <w:sz w:val="24"/>
          <w:szCs w:val="24"/>
        </w:rPr>
        <w:t>, P., 2014. Integrating financial and physical supply chains: the role of banks in enabling supply chain integration, International Journal of Operations &amp; P</w:t>
      </w:r>
      <w:r w:rsidR="00A26C35" w:rsidRPr="00A80A0C">
        <w:rPr>
          <w:color w:val="000000" w:themeColor="text1"/>
          <w:sz w:val="24"/>
          <w:szCs w:val="24"/>
        </w:rPr>
        <w:t>roduction Management.</w:t>
      </w:r>
      <w:r w:rsidRPr="00A80A0C">
        <w:rPr>
          <w:color w:val="000000" w:themeColor="text1"/>
          <w:sz w:val="24"/>
          <w:szCs w:val="24"/>
        </w:rPr>
        <w:t xml:space="preserve"> 34(3), 298-324.</w:t>
      </w:r>
    </w:p>
    <w:p w14:paraId="475B2CA5" w14:textId="77777777" w:rsidR="00A6289B" w:rsidRPr="00A80A0C" w:rsidRDefault="00A6289B" w:rsidP="00A6289B">
      <w:pPr>
        <w:ind w:left="480" w:hangingChars="200" w:hanging="480"/>
        <w:rPr>
          <w:color w:val="000000" w:themeColor="text1"/>
          <w:sz w:val="24"/>
          <w:szCs w:val="24"/>
        </w:rPr>
      </w:pPr>
      <w:r w:rsidRPr="00A80A0C">
        <w:rPr>
          <w:color w:val="000000" w:themeColor="text1"/>
          <w:sz w:val="24"/>
          <w:szCs w:val="24"/>
        </w:rPr>
        <w:t xml:space="preserve">Son, V. N., </w:t>
      </w:r>
      <w:proofErr w:type="spellStart"/>
      <w:r w:rsidRPr="00A80A0C">
        <w:rPr>
          <w:color w:val="000000" w:themeColor="text1"/>
          <w:sz w:val="24"/>
          <w:szCs w:val="24"/>
        </w:rPr>
        <w:t>Schinckus</w:t>
      </w:r>
      <w:proofErr w:type="spellEnd"/>
      <w:r w:rsidRPr="00A80A0C">
        <w:rPr>
          <w:color w:val="000000" w:themeColor="text1"/>
          <w:sz w:val="24"/>
          <w:szCs w:val="24"/>
        </w:rPr>
        <w:t>, C. &amp; Chong, F., 2017. A post-Marxist approach in development finance: PMF or production mutualisation fund model applied to agriculture. Research in I</w:t>
      </w:r>
      <w:r w:rsidR="00A26C35" w:rsidRPr="00A80A0C">
        <w:rPr>
          <w:color w:val="000000" w:themeColor="text1"/>
          <w:sz w:val="24"/>
          <w:szCs w:val="24"/>
        </w:rPr>
        <w:t>nternational Business &amp; Finance.</w:t>
      </w:r>
      <w:r w:rsidRPr="00A80A0C">
        <w:rPr>
          <w:color w:val="000000" w:themeColor="text1"/>
          <w:sz w:val="24"/>
          <w:szCs w:val="24"/>
        </w:rPr>
        <w:t xml:space="preserve"> 40, 94-104.</w:t>
      </w:r>
    </w:p>
    <w:p w14:paraId="0FCC81C6" w14:textId="77777777" w:rsidR="00A6289B" w:rsidRPr="00A80A0C" w:rsidRDefault="00A6289B" w:rsidP="00A6289B">
      <w:pPr>
        <w:ind w:left="480" w:hangingChars="200" w:hanging="480"/>
        <w:rPr>
          <w:color w:val="000000" w:themeColor="text1"/>
          <w:sz w:val="24"/>
          <w:szCs w:val="24"/>
        </w:rPr>
      </w:pPr>
      <w:r w:rsidRPr="00A80A0C">
        <w:rPr>
          <w:color w:val="000000" w:themeColor="text1"/>
          <w:sz w:val="24"/>
          <w:szCs w:val="24"/>
        </w:rPr>
        <w:t>Song, H., Yu, K. &amp; Lu, Q., 2018. Financial service providers and banks’ role in helping SMEs to access finance. International Journal of Physical Distri</w:t>
      </w:r>
      <w:r w:rsidR="00A26C35" w:rsidRPr="00A80A0C">
        <w:rPr>
          <w:color w:val="000000" w:themeColor="text1"/>
          <w:sz w:val="24"/>
          <w:szCs w:val="24"/>
        </w:rPr>
        <w:t>bution and Logistics Management.</w:t>
      </w:r>
      <w:r w:rsidRPr="00A80A0C">
        <w:rPr>
          <w:color w:val="000000" w:themeColor="text1"/>
          <w:sz w:val="24"/>
          <w:szCs w:val="24"/>
        </w:rPr>
        <w:t xml:space="preserve"> 48, 69-92.</w:t>
      </w:r>
    </w:p>
    <w:p w14:paraId="339B3583"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Soundarrajan</w:t>
      </w:r>
      <w:proofErr w:type="spellEnd"/>
      <w:r w:rsidRPr="00A80A0C">
        <w:rPr>
          <w:color w:val="000000" w:themeColor="text1"/>
          <w:sz w:val="24"/>
          <w:szCs w:val="24"/>
        </w:rPr>
        <w:t>, P., Vivek, N., 2015. A study on the agricultural value chain financing in Indi</w:t>
      </w:r>
      <w:r w:rsidR="00A26C35" w:rsidRPr="00A80A0C">
        <w:rPr>
          <w:color w:val="000000" w:themeColor="text1"/>
          <w:sz w:val="24"/>
          <w:szCs w:val="24"/>
        </w:rPr>
        <w:t>a. Agricultural Economics—Czech.</w:t>
      </w:r>
      <w:r w:rsidRPr="00A80A0C">
        <w:rPr>
          <w:color w:val="000000" w:themeColor="text1"/>
          <w:sz w:val="24"/>
          <w:szCs w:val="24"/>
        </w:rPr>
        <w:t xml:space="preserve"> 1, 31-38.</w:t>
      </w:r>
    </w:p>
    <w:p w14:paraId="6460BF59"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Sousa, A. R., Flippen, S., 2005. Financing LNG projects throughout the value c</w:t>
      </w:r>
      <w:r w:rsidR="00A26C35" w:rsidRPr="00A80A0C">
        <w:rPr>
          <w:color w:val="000000" w:themeColor="text1"/>
          <w:sz w:val="24"/>
          <w:szCs w:val="24"/>
        </w:rPr>
        <w:t>hain. Natural Gas &amp; Electricity.</w:t>
      </w:r>
      <w:r w:rsidRPr="00A80A0C">
        <w:rPr>
          <w:color w:val="000000" w:themeColor="text1"/>
          <w:sz w:val="24"/>
          <w:szCs w:val="24"/>
        </w:rPr>
        <w:t xml:space="preserve"> 22(4), 15-19.</w:t>
      </w:r>
    </w:p>
    <w:p w14:paraId="6E99B496"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Sugirin</w:t>
      </w:r>
      <w:proofErr w:type="spellEnd"/>
      <w:r w:rsidRPr="00A80A0C">
        <w:rPr>
          <w:color w:val="000000" w:themeColor="text1"/>
          <w:sz w:val="24"/>
          <w:szCs w:val="24"/>
        </w:rPr>
        <w:t>, M., 2009. Financial supply chain management. Journal o</w:t>
      </w:r>
      <w:r w:rsidR="00A26C35" w:rsidRPr="00A80A0C">
        <w:rPr>
          <w:color w:val="000000" w:themeColor="text1"/>
          <w:sz w:val="24"/>
          <w:szCs w:val="24"/>
        </w:rPr>
        <w:t>f Corporate Treasury Management.</w:t>
      </w:r>
      <w:r w:rsidRPr="00A80A0C">
        <w:rPr>
          <w:color w:val="000000" w:themeColor="text1"/>
          <w:sz w:val="24"/>
          <w:szCs w:val="24"/>
        </w:rPr>
        <w:t xml:space="preserve"> 2(3), 237-240.</w:t>
      </w:r>
    </w:p>
    <w:p w14:paraId="19B1D6FB"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Stern, J. M., Chew, D. H., 2003. The revolution in corporate finance: Wiley-Blackwell.</w:t>
      </w:r>
    </w:p>
    <w:p w14:paraId="569111A8"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Swamy, V., Dharani, M. 2016. </w:t>
      </w:r>
      <w:proofErr w:type="spellStart"/>
      <w:r w:rsidRPr="00A80A0C">
        <w:rPr>
          <w:color w:val="000000" w:themeColor="text1"/>
          <w:sz w:val="24"/>
          <w:szCs w:val="24"/>
        </w:rPr>
        <w:t>Analyzing</w:t>
      </w:r>
      <w:proofErr w:type="spellEnd"/>
      <w:r w:rsidRPr="00A80A0C">
        <w:rPr>
          <w:color w:val="000000" w:themeColor="text1"/>
          <w:sz w:val="24"/>
          <w:szCs w:val="24"/>
        </w:rPr>
        <w:t xml:space="preserve"> the agricultural value chain financing: approaches and tools in India. Agri</w:t>
      </w:r>
      <w:r w:rsidR="00A26C35" w:rsidRPr="00A80A0C">
        <w:rPr>
          <w:color w:val="000000" w:themeColor="text1"/>
          <w:sz w:val="24"/>
          <w:szCs w:val="24"/>
        </w:rPr>
        <w:t>cultural Finance Review.</w:t>
      </w:r>
      <w:r w:rsidRPr="00A80A0C">
        <w:rPr>
          <w:color w:val="000000" w:themeColor="text1"/>
          <w:sz w:val="24"/>
          <w:szCs w:val="24"/>
        </w:rPr>
        <w:t xml:space="preserve"> 76(2), 211-232.</w:t>
      </w:r>
    </w:p>
    <w:p w14:paraId="165F35E5" w14:textId="77777777" w:rsidR="00A6289B" w:rsidRPr="00A80A0C" w:rsidRDefault="00A6289B" w:rsidP="00A6289B">
      <w:pPr>
        <w:ind w:left="480" w:hangingChars="200" w:hanging="480"/>
        <w:rPr>
          <w:color w:val="000000" w:themeColor="text1"/>
          <w:sz w:val="24"/>
          <w:szCs w:val="24"/>
        </w:rPr>
      </w:pPr>
      <w:r w:rsidRPr="00A80A0C">
        <w:rPr>
          <w:color w:val="000000" w:themeColor="text1"/>
          <w:sz w:val="24"/>
          <w:szCs w:val="24"/>
        </w:rPr>
        <w:t xml:space="preserve">Templar, S., </w:t>
      </w:r>
      <w:proofErr w:type="spellStart"/>
      <w:r w:rsidRPr="00A80A0C">
        <w:rPr>
          <w:color w:val="000000" w:themeColor="text1"/>
          <w:sz w:val="24"/>
          <w:szCs w:val="24"/>
        </w:rPr>
        <w:t>Cosse</w:t>
      </w:r>
      <w:proofErr w:type="spellEnd"/>
      <w:r w:rsidRPr="00A80A0C">
        <w:rPr>
          <w:color w:val="000000" w:themeColor="text1"/>
          <w:sz w:val="24"/>
          <w:szCs w:val="24"/>
        </w:rPr>
        <w:t xml:space="preserve">, M., </w:t>
      </w:r>
      <w:proofErr w:type="spellStart"/>
      <w:r w:rsidRPr="00A80A0C">
        <w:rPr>
          <w:color w:val="000000" w:themeColor="text1"/>
          <w:sz w:val="24"/>
          <w:szCs w:val="24"/>
        </w:rPr>
        <w:t>Camerinelli</w:t>
      </w:r>
      <w:proofErr w:type="spellEnd"/>
      <w:r w:rsidRPr="00A80A0C">
        <w:rPr>
          <w:color w:val="000000" w:themeColor="text1"/>
          <w:sz w:val="24"/>
          <w:szCs w:val="24"/>
        </w:rPr>
        <w:t>, E. And Findlay, C. An investigation into current supply chain finance practices in business: a case study approach. Proceedings of the Logistics Research Network (LRN) Conference, 2012 Cranfield.</w:t>
      </w:r>
    </w:p>
    <w:p w14:paraId="5DA36031"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Thompson, J. D., 1967. Organizations in action: Social science bases of administrative theory: Transaction publishers.</w:t>
      </w:r>
    </w:p>
    <w:p w14:paraId="5FAE1503"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Trautmann</w:t>
      </w:r>
      <w:proofErr w:type="spellEnd"/>
      <w:r w:rsidRPr="00A80A0C">
        <w:rPr>
          <w:color w:val="000000" w:themeColor="text1"/>
          <w:sz w:val="24"/>
          <w:szCs w:val="24"/>
        </w:rPr>
        <w:t xml:space="preserve">, G., </w:t>
      </w:r>
      <w:proofErr w:type="spellStart"/>
      <w:r w:rsidRPr="00A80A0C">
        <w:rPr>
          <w:color w:val="000000" w:themeColor="text1"/>
          <w:sz w:val="24"/>
          <w:szCs w:val="24"/>
        </w:rPr>
        <w:t>Turkulainen</w:t>
      </w:r>
      <w:proofErr w:type="spellEnd"/>
      <w:r w:rsidRPr="00A80A0C">
        <w:rPr>
          <w:color w:val="000000" w:themeColor="text1"/>
          <w:sz w:val="24"/>
          <w:szCs w:val="24"/>
        </w:rPr>
        <w:t>, V., Hartmann, E., Bals, L., 2009. Integration in the global sourcing organization—an information processing perspective. Jou</w:t>
      </w:r>
      <w:r w:rsidR="00A26C35" w:rsidRPr="00A80A0C">
        <w:rPr>
          <w:color w:val="000000" w:themeColor="text1"/>
          <w:sz w:val="24"/>
          <w:szCs w:val="24"/>
        </w:rPr>
        <w:t>rnal of Supply Chain Management.</w:t>
      </w:r>
      <w:r w:rsidRPr="00A80A0C">
        <w:rPr>
          <w:color w:val="000000" w:themeColor="text1"/>
          <w:sz w:val="24"/>
          <w:szCs w:val="24"/>
        </w:rPr>
        <w:t xml:space="preserve"> 45(2), 57–74.</w:t>
      </w:r>
    </w:p>
    <w:p w14:paraId="3468EC6E" w14:textId="77777777" w:rsidR="00A6289B" w:rsidRPr="00A80A0C" w:rsidRDefault="00A6289B" w:rsidP="00A6289B">
      <w:pPr>
        <w:ind w:left="480" w:hangingChars="200" w:hanging="480"/>
        <w:rPr>
          <w:color w:val="000000" w:themeColor="text1"/>
          <w:sz w:val="24"/>
          <w:szCs w:val="24"/>
        </w:rPr>
      </w:pPr>
      <w:proofErr w:type="spellStart"/>
      <w:r w:rsidRPr="00A80A0C">
        <w:rPr>
          <w:color w:val="000000" w:themeColor="text1"/>
          <w:sz w:val="24"/>
          <w:szCs w:val="24"/>
        </w:rPr>
        <w:t>Trentin</w:t>
      </w:r>
      <w:proofErr w:type="spellEnd"/>
      <w:r w:rsidRPr="00A80A0C">
        <w:rPr>
          <w:color w:val="000000" w:themeColor="text1"/>
          <w:sz w:val="24"/>
          <w:szCs w:val="24"/>
        </w:rPr>
        <w:t>, A.,</w:t>
      </w:r>
      <w:r w:rsidR="00C17B1B" w:rsidRPr="00A80A0C">
        <w:rPr>
          <w:color w:val="000000" w:themeColor="text1"/>
          <w:sz w:val="24"/>
          <w:szCs w:val="24"/>
        </w:rPr>
        <w:t xml:space="preserve"> </w:t>
      </w:r>
      <w:r w:rsidRPr="00A80A0C">
        <w:rPr>
          <w:color w:val="000000" w:themeColor="text1"/>
          <w:sz w:val="24"/>
          <w:szCs w:val="24"/>
        </w:rPr>
        <w:t xml:space="preserve">Forza, C. &amp; </w:t>
      </w:r>
      <w:proofErr w:type="spellStart"/>
      <w:r w:rsidRPr="00A80A0C">
        <w:rPr>
          <w:color w:val="000000" w:themeColor="text1"/>
          <w:sz w:val="24"/>
          <w:szCs w:val="24"/>
        </w:rPr>
        <w:t>Perin</w:t>
      </w:r>
      <w:proofErr w:type="spellEnd"/>
      <w:r w:rsidRPr="00A80A0C">
        <w:rPr>
          <w:color w:val="000000" w:themeColor="text1"/>
          <w:sz w:val="24"/>
          <w:szCs w:val="24"/>
        </w:rPr>
        <w:t xml:space="preserve">, E., 2012. Organisation design strategies for mass customisation: an information-processing-view perspective. International Journal of Production </w:t>
      </w:r>
      <w:r w:rsidR="00A26C35" w:rsidRPr="00A80A0C">
        <w:rPr>
          <w:color w:val="000000" w:themeColor="text1"/>
          <w:sz w:val="24"/>
          <w:szCs w:val="24"/>
        </w:rPr>
        <w:t>Research.</w:t>
      </w:r>
      <w:r w:rsidRPr="00A80A0C">
        <w:rPr>
          <w:color w:val="000000" w:themeColor="text1"/>
          <w:sz w:val="24"/>
          <w:szCs w:val="24"/>
        </w:rPr>
        <w:t xml:space="preserve"> 50, 3860-3877.</w:t>
      </w:r>
    </w:p>
    <w:p w14:paraId="384317B8"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Tsai, C.-H., </w:t>
      </w:r>
      <w:proofErr w:type="spellStart"/>
      <w:r w:rsidRPr="00A80A0C">
        <w:rPr>
          <w:color w:val="000000" w:themeColor="text1"/>
          <w:sz w:val="24"/>
          <w:szCs w:val="24"/>
        </w:rPr>
        <w:t>Kuan</w:t>
      </w:r>
      <w:proofErr w:type="spellEnd"/>
      <w:r w:rsidRPr="00A80A0C">
        <w:rPr>
          <w:color w:val="000000" w:themeColor="text1"/>
          <w:sz w:val="24"/>
          <w:szCs w:val="24"/>
        </w:rPr>
        <w:t>-Jung, P., 2017. The FinTech revolution and financial regulation: the case of online supply-chain financing. A</w:t>
      </w:r>
      <w:r w:rsidR="00A26C35" w:rsidRPr="00A80A0C">
        <w:rPr>
          <w:color w:val="000000" w:themeColor="text1"/>
          <w:sz w:val="24"/>
          <w:szCs w:val="24"/>
        </w:rPr>
        <w:t>sian Journal of Law and Society.</w:t>
      </w:r>
      <w:r w:rsidRPr="00A80A0C">
        <w:rPr>
          <w:color w:val="000000" w:themeColor="text1"/>
          <w:sz w:val="24"/>
          <w:szCs w:val="24"/>
        </w:rPr>
        <w:t xml:space="preserve"> 4(1), 109-132.</w:t>
      </w:r>
    </w:p>
    <w:p w14:paraId="00F1CCEF"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Tushman</w:t>
      </w:r>
      <w:proofErr w:type="spellEnd"/>
      <w:r w:rsidRPr="00A80A0C">
        <w:rPr>
          <w:color w:val="000000" w:themeColor="text1"/>
          <w:sz w:val="24"/>
          <w:szCs w:val="24"/>
        </w:rPr>
        <w:t>, M. L., Nadler, D. A., 1978. Information processing as an integrating concept in organizational desig</w:t>
      </w:r>
      <w:r w:rsidR="00A26C35" w:rsidRPr="00A80A0C">
        <w:rPr>
          <w:color w:val="000000" w:themeColor="text1"/>
          <w:sz w:val="24"/>
          <w:szCs w:val="24"/>
        </w:rPr>
        <w:t>n. Academy of management review.</w:t>
      </w:r>
      <w:r w:rsidRPr="00A80A0C">
        <w:rPr>
          <w:color w:val="000000" w:themeColor="text1"/>
          <w:sz w:val="24"/>
          <w:szCs w:val="24"/>
        </w:rPr>
        <w:t xml:space="preserve"> 3(3), 613-624.</w:t>
      </w:r>
    </w:p>
    <w:p w14:paraId="574F8D31" w14:textId="77777777" w:rsidR="00A6289B" w:rsidRPr="00A80A0C" w:rsidRDefault="00A6289B" w:rsidP="00A6289B">
      <w:pPr>
        <w:ind w:left="480" w:hangingChars="200" w:hanging="480"/>
        <w:rPr>
          <w:color w:val="000000" w:themeColor="text1"/>
          <w:sz w:val="24"/>
          <w:szCs w:val="24"/>
        </w:rPr>
      </w:pPr>
      <w:proofErr w:type="spellStart"/>
      <w:r w:rsidRPr="00A80A0C">
        <w:rPr>
          <w:color w:val="000000" w:themeColor="text1"/>
          <w:sz w:val="24"/>
          <w:szCs w:val="24"/>
        </w:rPr>
        <w:t>Voordeckers</w:t>
      </w:r>
      <w:proofErr w:type="spellEnd"/>
      <w:r w:rsidRPr="00A80A0C">
        <w:rPr>
          <w:color w:val="000000" w:themeColor="text1"/>
          <w:sz w:val="24"/>
          <w:szCs w:val="24"/>
        </w:rPr>
        <w:t xml:space="preserve">, W. &amp; </w:t>
      </w:r>
      <w:proofErr w:type="spellStart"/>
      <w:r w:rsidRPr="00A80A0C">
        <w:rPr>
          <w:color w:val="000000" w:themeColor="text1"/>
          <w:sz w:val="24"/>
          <w:szCs w:val="24"/>
        </w:rPr>
        <w:t>Steijvers</w:t>
      </w:r>
      <w:proofErr w:type="spellEnd"/>
      <w:r w:rsidRPr="00A80A0C">
        <w:rPr>
          <w:color w:val="000000" w:themeColor="text1"/>
          <w:sz w:val="24"/>
          <w:szCs w:val="24"/>
        </w:rPr>
        <w:t xml:space="preserve">, T., 2006. Business collateral and personal commitments in SME </w:t>
      </w:r>
      <w:r w:rsidRPr="00A80A0C">
        <w:rPr>
          <w:color w:val="000000" w:themeColor="text1"/>
          <w:sz w:val="24"/>
          <w:szCs w:val="24"/>
        </w:rPr>
        <w:lastRenderedPageBreak/>
        <w:t>lendin</w:t>
      </w:r>
      <w:r w:rsidR="00A26C35" w:rsidRPr="00A80A0C">
        <w:rPr>
          <w:color w:val="000000" w:themeColor="text1"/>
          <w:sz w:val="24"/>
          <w:szCs w:val="24"/>
        </w:rPr>
        <w:t>g. Journal of Banking &amp; Finance.</w:t>
      </w:r>
      <w:r w:rsidRPr="00A80A0C">
        <w:rPr>
          <w:color w:val="000000" w:themeColor="text1"/>
          <w:sz w:val="24"/>
          <w:szCs w:val="24"/>
        </w:rPr>
        <w:t xml:space="preserve"> 30, 3067-3086.</w:t>
      </w:r>
    </w:p>
    <w:p w14:paraId="21E87CA0"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Wandfluh</w:t>
      </w:r>
      <w:proofErr w:type="spellEnd"/>
      <w:r w:rsidRPr="00A80A0C">
        <w:rPr>
          <w:color w:val="000000" w:themeColor="text1"/>
          <w:sz w:val="24"/>
          <w:szCs w:val="24"/>
        </w:rPr>
        <w:t xml:space="preserve">, M., Hofmann, E., </w:t>
      </w:r>
      <w:proofErr w:type="spellStart"/>
      <w:r w:rsidRPr="00A80A0C">
        <w:rPr>
          <w:color w:val="000000" w:themeColor="text1"/>
          <w:sz w:val="24"/>
          <w:szCs w:val="24"/>
        </w:rPr>
        <w:t>Schoensleben</w:t>
      </w:r>
      <w:proofErr w:type="spellEnd"/>
      <w:r w:rsidRPr="00A80A0C">
        <w:rPr>
          <w:color w:val="000000" w:themeColor="text1"/>
          <w:sz w:val="24"/>
          <w:szCs w:val="24"/>
        </w:rPr>
        <w:t>, P., 2016. Financing buyer–supplier dyads: an empirical analysis on financial collaboration in the supply chain. International Journal of Logi</w:t>
      </w:r>
      <w:r w:rsidR="00A26C35" w:rsidRPr="00A80A0C">
        <w:rPr>
          <w:color w:val="000000" w:themeColor="text1"/>
          <w:sz w:val="24"/>
          <w:szCs w:val="24"/>
        </w:rPr>
        <w:t>stics Research and Applications.</w:t>
      </w:r>
      <w:r w:rsidRPr="00A80A0C">
        <w:rPr>
          <w:color w:val="000000" w:themeColor="text1"/>
          <w:sz w:val="24"/>
          <w:szCs w:val="24"/>
        </w:rPr>
        <w:t xml:space="preserve"> 19(3), 200-217.</w:t>
      </w:r>
    </w:p>
    <w:p w14:paraId="6F01D3AC"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Wang E T G., 2003. Effect of the fit between information processing requirements and capacity on organizational performance. International Jo</w:t>
      </w:r>
      <w:r w:rsidR="00A26C35" w:rsidRPr="00A80A0C">
        <w:rPr>
          <w:color w:val="000000" w:themeColor="text1"/>
          <w:sz w:val="24"/>
          <w:szCs w:val="24"/>
        </w:rPr>
        <w:t>urnal of Information Management.</w:t>
      </w:r>
      <w:r w:rsidR="00A75E28" w:rsidRPr="00A80A0C">
        <w:rPr>
          <w:color w:val="000000" w:themeColor="text1"/>
          <w:sz w:val="24"/>
          <w:szCs w:val="24"/>
        </w:rPr>
        <w:t xml:space="preserve"> 23(3), </w:t>
      </w:r>
      <w:r w:rsidRPr="00A80A0C">
        <w:rPr>
          <w:color w:val="000000" w:themeColor="text1"/>
          <w:sz w:val="24"/>
          <w:szCs w:val="24"/>
        </w:rPr>
        <w:t>239-247.</w:t>
      </w:r>
    </w:p>
    <w:p w14:paraId="34226D9D" w14:textId="77777777" w:rsidR="00A75E28" w:rsidRPr="00A80A0C" w:rsidRDefault="00A75E28" w:rsidP="00FC7D81">
      <w:pPr>
        <w:ind w:left="480" w:hangingChars="200" w:hanging="480"/>
        <w:rPr>
          <w:color w:val="000000" w:themeColor="text1"/>
          <w:sz w:val="24"/>
          <w:szCs w:val="24"/>
        </w:rPr>
      </w:pPr>
      <w:r w:rsidRPr="00A80A0C">
        <w:rPr>
          <w:color w:val="000000" w:themeColor="text1"/>
          <w:sz w:val="24"/>
          <w:szCs w:val="24"/>
        </w:rPr>
        <w:t xml:space="preserve">Wong, C.W.Y., Lai, K.H., Cheng, T.C.E. and </w:t>
      </w:r>
      <w:proofErr w:type="spellStart"/>
      <w:r w:rsidRPr="00A80A0C">
        <w:rPr>
          <w:color w:val="000000" w:themeColor="text1"/>
          <w:sz w:val="24"/>
          <w:szCs w:val="24"/>
        </w:rPr>
        <w:t>Lun</w:t>
      </w:r>
      <w:proofErr w:type="spellEnd"/>
      <w:r w:rsidRPr="00A80A0C">
        <w:rPr>
          <w:color w:val="000000" w:themeColor="text1"/>
          <w:sz w:val="24"/>
          <w:szCs w:val="24"/>
        </w:rPr>
        <w:t>, Y.H.V., 2015. The role of IT-enabled collaborative decision making in inter-organizational information integration to improve customer service performance. International Journal of Production Economics. 159, 56-65.</w:t>
      </w:r>
    </w:p>
    <w:p w14:paraId="27D3EAE4"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Wood, R. J., 2013. Acquisition financing of inventory: explaining the diversity. Oxford Univers</w:t>
      </w:r>
      <w:r w:rsidR="00A26C35" w:rsidRPr="00A80A0C">
        <w:rPr>
          <w:color w:val="000000" w:themeColor="text1"/>
          <w:sz w:val="24"/>
          <w:szCs w:val="24"/>
        </w:rPr>
        <w:t>ity Commonwealth Law Journal.</w:t>
      </w:r>
      <w:r w:rsidRPr="00A80A0C">
        <w:rPr>
          <w:color w:val="000000" w:themeColor="text1"/>
          <w:sz w:val="24"/>
          <w:szCs w:val="24"/>
        </w:rPr>
        <w:t xml:space="preserve"> 13(1), 49-73.</w:t>
      </w:r>
    </w:p>
    <w:p w14:paraId="07E6F1EA"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Wuttke</w:t>
      </w:r>
      <w:proofErr w:type="spellEnd"/>
      <w:r w:rsidRPr="00A80A0C">
        <w:rPr>
          <w:color w:val="000000" w:themeColor="text1"/>
          <w:sz w:val="24"/>
          <w:szCs w:val="24"/>
        </w:rPr>
        <w:t xml:space="preserve">, D. A., Blome, C., </w:t>
      </w:r>
      <w:proofErr w:type="spellStart"/>
      <w:r w:rsidRPr="00A80A0C">
        <w:rPr>
          <w:color w:val="000000" w:themeColor="text1"/>
          <w:sz w:val="24"/>
          <w:szCs w:val="24"/>
        </w:rPr>
        <w:t>Foerstl</w:t>
      </w:r>
      <w:proofErr w:type="spellEnd"/>
      <w:r w:rsidRPr="00A80A0C">
        <w:rPr>
          <w:color w:val="000000" w:themeColor="text1"/>
          <w:sz w:val="24"/>
          <w:szCs w:val="24"/>
        </w:rPr>
        <w:t>, K., Henke, M., 2013a. Managing the innovation adoption of supply chain finance–empirical evidence from six European case studies</w:t>
      </w:r>
      <w:r w:rsidR="00A26C35" w:rsidRPr="00A80A0C">
        <w:rPr>
          <w:color w:val="000000" w:themeColor="text1"/>
          <w:sz w:val="24"/>
          <w:szCs w:val="24"/>
        </w:rPr>
        <w:t>. Journal of Business Logistics.</w:t>
      </w:r>
      <w:r w:rsidRPr="00A80A0C">
        <w:rPr>
          <w:color w:val="000000" w:themeColor="text1"/>
          <w:sz w:val="24"/>
          <w:szCs w:val="24"/>
        </w:rPr>
        <w:t xml:space="preserve"> 34(2), 148-166.</w:t>
      </w:r>
    </w:p>
    <w:p w14:paraId="41DB639E" w14:textId="77777777" w:rsidR="00871C0F" w:rsidRPr="00A80A0C" w:rsidRDefault="00871C0F" w:rsidP="00FC7D81">
      <w:pPr>
        <w:ind w:left="480" w:hangingChars="200" w:hanging="480"/>
        <w:rPr>
          <w:color w:val="000000" w:themeColor="text1"/>
          <w:sz w:val="24"/>
          <w:szCs w:val="24"/>
        </w:rPr>
      </w:pPr>
      <w:proofErr w:type="spellStart"/>
      <w:r w:rsidRPr="00A80A0C">
        <w:rPr>
          <w:color w:val="000000" w:themeColor="text1"/>
          <w:sz w:val="24"/>
          <w:szCs w:val="24"/>
        </w:rPr>
        <w:t>Wuttke</w:t>
      </w:r>
      <w:proofErr w:type="spellEnd"/>
      <w:r w:rsidRPr="00A80A0C">
        <w:rPr>
          <w:color w:val="000000" w:themeColor="text1"/>
          <w:sz w:val="24"/>
          <w:szCs w:val="24"/>
        </w:rPr>
        <w:t xml:space="preserve">, D. A., Blome, C., Henke, M., 2013b. Focusing the financial flow of supply chains: An empirical investigation of financial supply chain management. International </w:t>
      </w:r>
      <w:r w:rsidR="00A26C35" w:rsidRPr="00A80A0C">
        <w:rPr>
          <w:color w:val="000000" w:themeColor="text1"/>
          <w:sz w:val="24"/>
          <w:szCs w:val="24"/>
        </w:rPr>
        <w:t>Journal of Production Economics.</w:t>
      </w:r>
      <w:r w:rsidRPr="00A80A0C">
        <w:rPr>
          <w:color w:val="000000" w:themeColor="text1"/>
          <w:sz w:val="24"/>
          <w:szCs w:val="24"/>
        </w:rPr>
        <w:t xml:space="preserve"> 145(2), 773-789.</w:t>
      </w:r>
    </w:p>
    <w:p w14:paraId="1889746D" w14:textId="77777777" w:rsidR="005D5A70" w:rsidRPr="00A80A0C" w:rsidRDefault="005D5A70" w:rsidP="005D5A70">
      <w:pPr>
        <w:ind w:left="480" w:hangingChars="200" w:hanging="480"/>
        <w:rPr>
          <w:color w:val="000000" w:themeColor="text1"/>
          <w:sz w:val="24"/>
          <w:szCs w:val="24"/>
        </w:rPr>
      </w:pPr>
      <w:r w:rsidRPr="00A80A0C">
        <w:rPr>
          <w:color w:val="000000" w:themeColor="text1"/>
          <w:sz w:val="24"/>
          <w:szCs w:val="24"/>
        </w:rPr>
        <w:t>Xu, X.H., Chen, X.F., Jia, F., Brown, S., Gong, Y. and Xu, Y.F., 2018. Supply chain finance: A systematic literature review and bibliometric analysis. International Journal of Production Economics. 204, 160-173.</w:t>
      </w:r>
    </w:p>
    <w:p w14:paraId="6C442CC5"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 xml:space="preserve">Yuan, S.-T., 2007. The trade card financial supply chain solution. International Journal </w:t>
      </w:r>
      <w:r w:rsidR="00A26C35" w:rsidRPr="00A80A0C">
        <w:rPr>
          <w:color w:val="000000" w:themeColor="text1"/>
          <w:sz w:val="24"/>
          <w:szCs w:val="24"/>
        </w:rPr>
        <w:t>of Cases on Electronic Commerce.</w:t>
      </w:r>
      <w:r w:rsidRPr="00A80A0C">
        <w:rPr>
          <w:color w:val="000000" w:themeColor="text1"/>
          <w:sz w:val="24"/>
          <w:szCs w:val="24"/>
        </w:rPr>
        <w:t xml:space="preserve"> 3(1), 48-70.</w:t>
      </w:r>
    </w:p>
    <w:p w14:paraId="0E768418" w14:textId="77777777" w:rsidR="00871C0F" w:rsidRPr="00A80A0C" w:rsidRDefault="00871C0F" w:rsidP="00FC7D81">
      <w:pPr>
        <w:ind w:left="480" w:hangingChars="200" w:hanging="480"/>
        <w:rPr>
          <w:color w:val="000000" w:themeColor="text1"/>
          <w:sz w:val="24"/>
          <w:szCs w:val="24"/>
        </w:rPr>
      </w:pPr>
      <w:r w:rsidRPr="00A80A0C">
        <w:rPr>
          <w:color w:val="000000" w:themeColor="text1"/>
          <w:sz w:val="24"/>
          <w:szCs w:val="24"/>
        </w:rPr>
        <w:t>Zhao, X., Yeung, K., Huang, Q., Song, X., 2015. Improving the predictability of business failure of supply chain finance clients by using external big dataset. Indus</w:t>
      </w:r>
      <w:r w:rsidR="00A26C35" w:rsidRPr="00A80A0C">
        <w:rPr>
          <w:color w:val="000000" w:themeColor="text1"/>
          <w:sz w:val="24"/>
          <w:szCs w:val="24"/>
        </w:rPr>
        <w:t>trial Management &amp; Data Systems.</w:t>
      </w:r>
      <w:r w:rsidRPr="00A80A0C">
        <w:rPr>
          <w:color w:val="000000" w:themeColor="text1"/>
          <w:sz w:val="24"/>
          <w:szCs w:val="24"/>
        </w:rPr>
        <w:t xml:space="preserve"> 115(9), 1683-1703.</w:t>
      </w:r>
    </w:p>
    <w:p w14:paraId="73B65060" w14:textId="77777777" w:rsidR="00871C0F" w:rsidRPr="00A80A0C" w:rsidRDefault="00871C0F" w:rsidP="00FC7D81">
      <w:pPr>
        <w:spacing w:line="360" w:lineRule="auto"/>
        <w:ind w:firstLineChars="200" w:firstLine="480"/>
        <w:rPr>
          <w:color w:val="000000" w:themeColor="text1"/>
          <w:sz w:val="24"/>
          <w:szCs w:val="24"/>
        </w:rPr>
      </w:pPr>
    </w:p>
    <w:p w14:paraId="6F984CD0" w14:textId="77777777" w:rsidR="00A80A0C" w:rsidRPr="00A80A0C" w:rsidRDefault="00A80A0C" w:rsidP="00A80A0C">
      <w:pPr>
        <w:ind w:firstLineChars="200" w:firstLine="480"/>
        <w:rPr>
          <w:color w:val="000000" w:themeColor="text1"/>
          <w:sz w:val="24"/>
        </w:rPr>
      </w:pPr>
    </w:p>
    <w:p w14:paraId="40C7B2EF" w14:textId="77777777" w:rsidR="00A80A0C" w:rsidRPr="00A80A0C" w:rsidRDefault="00A80A0C" w:rsidP="00A80A0C">
      <w:pPr>
        <w:jc w:val="center"/>
        <w:rPr>
          <w:color w:val="000000" w:themeColor="text1"/>
          <w:sz w:val="24"/>
          <w:szCs w:val="24"/>
        </w:rPr>
      </w:pPr>
      <w:r w:rsidRPr="00A80A0C">
        <w:rPr>
          <w:b/>
          <w:color w:val="000000" w:themeColor="text1"/>
          <w:sz w:val="24"/>
          <w:szCs w:val="24"/>
        </w:rPr>
        <w:t>Table 1.</w:t>
      </w:r>
      <w:r w:rsidRPr="00A80A0C">
        <w:rPr>
          <w:color w:val="000000" w:themeColor="text1"/>
          <w:sz w:val="24"/>
          <w:szCs w:val="24"/>
        </w:rPr>
        <w:t xml:space="preserve"> Journals contributing two or more papers to SCF from </w:t>
      </w:r>
      <w:r w:rsidRPr="00A80A0C">
        <w:rPr>
          <w:color w:val="000000" w:themeColor="text1"/>
          <w:kern w:val="0"/>
          <w:sz w:val="24"/>
          <w:szCs w:val="24"/>
        </w:rPr>
        <w:t>information processing theory</w:t>
      </w:r>
    </w:p>
    <w:tbl>
      <w:tblPr>
        <w:tblW w:w="8505" w:type="dxa"/>
        <w:jc w:val="center"/>
        <w:tblLook w:val="04A0" w:firstRow="1" w:lastRow="0" w:firstColumn="1" w:lastColumn="0" w:noHBand="0" w:noVBand="1"/>
      </w:tblPr>
      <w:tblGrid>
        <w:gridCol w:w="7088"/>
        <w:gridCol w:w="1417"/>
      </w:tblGrid>
      <w:tr w:rsidR="00A80A0C" w:rsidRPr="00A80A0C" w14:paraId="5E1893F3" w14:textId="77777777" w:rsidTr="00D25A13">
        <w:trPr>
          <w:trHeight w:val="285"/>
          <w:jc w:val="center"/>
        </w:trPr>
        <w:tc>
          <w:tcPr>
            <w:tcW w:w="7088" w:type="dxa"/>
            <w:tcBorders>
              <w:top w:val="single" w:sz="4" w:space="0" w:color="auto"/>
              <w:left w:val="nil"/>
              <w:bottom w:val="single" w:sz="4" w:space="0" w:color="auto"/>
              <w:right w:val="nil"/>
            </w:tcBorders>
            <w:shd w:val="clear" w:color="auto" w:fill="auto"/>
            <w:noWrap/>
            <w:vAlign w:val="center"/>
            <w:hideMark/>
          </w:tcPr>
          <w:p w14:paraId="48285FE7"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Journal</w:t>
            </w:r>
          </w:p>
        </w:tc>
        <w:tc>
          <w:tcPr>
            <w:tcW w:w="1417" w:type="dxa"/>
            <w:tcBorders>
              <w:top w:val="single" w:sz="4" w:space="0" w:color="auto"/>
              <w:left w:val="nil"/>
              <w:bottom w:val="single" w:sz="4" w:space="0" w:color="auto"/>
              <w:right w:val="nil"/>
            </w:tcBorders>
            <w:shd w:val="clear" w:color="auto" w:fill="auto"/>
            <w:noWrap/>
            <w:vAlign w:val="bottom"/>
            <w:hideMark/>
          </w:tcPr>
          <w:p w14:paraId="4FF3FC08" w14:textId="77777777" w:rsidR="00A80A0C" w:rsidRPr="00A80A0C" w:rsidRDefault="00A80A0C" w:rsidP="00D25A13">
            <w:pPr>
              <w:widowControl/>
              <w:jc w:val="center"/>
              <w:rPr>
                <w:color w:val="000000" w:themeColor="text1"/>
                <w:sz w:val="24"/>
                <w:szCs w:val="24"/>
              </w:rPr>
            </w:pPr>
            <w:r w:rsidRPr="00A80A0C">
              <w:rPr>
                <w:rFonts w:hint="eastAsia"/>
                <w:color w:val="000000" w:themeColor="text1"/>
                <w:sz w:val="24"/>
                <w:szCs w:val="24"/>
              </w:rPr>
              <w:t>The number of papers</w:t>
            </w:r>
          </w:p>
        </w:tc>
      </w:tr>
      <w:tr w:rsidR="00A80A0C" w:rsidRPr="00A80A0C" w14:paraId="6A56626D" w14:textId="77777777" w:rsidTr="00D25A13">
        <w:trPr>
          <w:trHeight w:val="300"/>
          <w:jc w:val="center"/>
        </w:trPr>
        <w:tc>
          <w:tcPr>
            <w:tcW w:w="7088" w:type="dxa"/>
            <w:tcBorders>
              <w:top w:val="nil"/>
              <w:left w:val="nil"/>
              <w:bottom w:val="nil"/>
              <w:right w:val="nil"/>
            </w:tcBorders>
            <w:shd w:val="clear" w:color="auto" w:fill="auto"/>
            <w:noWrap/>
            <w:vAlign w:val="bottom"/>
            <w:hideMark/>
          </w:tcPr>
          <w:p w14:paraId="6FF0B155"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International Journal of Physical Distribution &amp; Logistics management</w:t>
            </w:r>
          </w:p>
        </w:tc>
        <w:tc>
          <w:tcPr>
            <w:tcW w:w="1417" w:type="dxa"/>
            <w:tcBorders>
              <w:top w:val="nil"/>
              <w:left w:val="nil"/>
              <w:bottom w:val="nil"/>
              <w:right w:val="nil"/>
            </w:tcBorders>
            <w:shd w:val="clear" w:color="auto" w:fill="auto"/>
            <w:noWrap/>
            <w:vAlign w:val="bottom"/>
            <w:hideMark/>
          </w:tcPr>
          <w:p w14:paraId="7FD004D5" w14:textId="77777777" w:rsidR="00A80A0C" w:rsidRPr="00A80A0C" w:rsidRDefault="00A80A0C" w:rsidP="00D25A13">
            <w:pPr>
              <w:widowControl/>
              <w:jc w:val="center"/>
              <w:rPr>
                <w:color w:val="000000" w:themeColor="text1"/>
                <w:sz w:val="24"/>
                <w:szCs w:val="24"/>
              </w:rPr>
            </w:pPr>
            <w:r w:rsidRPr="00A80A0C">
              <w:rPr>
                <w:color w:val="000000" w:themeColor="text1"/>
                <w:sz w:val="22"/>
              </w:rPr>
              <w:t>5</w:t>
            </w:r>
          </w:p>
        </w:tc>
      </w:tr>
      <w:tr w:rsidR="00A80A0C" w:rsidRPr="00A80A0C" w14:paraId="13F2D31C" w14:textId="77777777" w:rsidTr="00D25A13">
        <w:trPr>
          <w:trHeight w:val="300"/>
          <w:jc w:val="center"/>
        </w:trPr>
        <w:tc>
          <w:tcPr>
            <w:tcW w:w="7088" w:type="dxa"/>
            <w:tcBorders>
              <w:top w:val="nil"/>
              <w:left w:val="nil"/>
              <w:bottom w:val="nil"/>
              <w:right w:val="nil"/>
            </w:tcBorders>
            <w:shd w:val="clear" w:color="auto" w:fill="auto"/>
            <w:noWrap/>
            <w:vAlign w:val="bottom"/>
            <w:hideMark/>
          </w:tcPr>
          <w:p w14:paraId="0F0AE3F7"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Journal of Payments Strategy &amp; Systems</w:t>
            </w:r>
          </w:p>
        </w:tc>
        <w:tc>
          <w:tcPr>
            <w:tcW w:w="1417" w:type="dxa"/>
            <w:tcBorders>
              <w:top w:val="nil"/>
              <w:left w:val="nil"/>
              <w:bottom w:val="nil"/>
              <w:right w:val="nil"/>
            </w:tcBorders>
            <w:shd w:val="clear" w:color="auto" w:fill="auto"/>
            <w:noWrap/>
            <w:vAlign w:val="bottom"/>
            <w:hideMark/>
          </w:tcPr>
          <w:p w14:paraId="2FD83194" w14:textId="77777777" w:rsidR="00A80A0C" w:rsidRPr="00A80A0C" w:rsidRDefault="00A80A0C" w:rsidP="00D25A13">
            <w:pPr>
              <w:widowControl/>
              <w:jc w:val="center"/>
              <w:rPr>
                <w:color w:val="000000" w:themeColor="text1"/>
                <w:sz w:val="24"/>
                <w:szCs w:val="24"/>
              </w:rPr>
            </w:pPr>
            <w:r w:rsidRPr="00A80A0C">
              <w:rPr>
                <w:color w:val="000000" w:themeColor="text1"/>
                <w:sz w:val="22"/>
              </w:rPr>
              <w:t>5</w:t>
            </w:r>
          </w:p>
        </w:tc>
      </w:tr>
      <w:tr w:rsidR="00A80A0C" w:rsidRPr="00A80A0C" w14:paraId="2DCF3693" w14:textId="77777777" w:rsidTr="00D25A13">
        <w:trPr>
          <w:trHeight w:val="300"/>
          <w:jc w:val="center"/>
        </w:trPr>
        <w:tc>
          <w:tcPr>
            <w:tcW w:w="7088" w:type="dxa"/>
            <w:tcBorders>
              <w:top w:val="nil"/>
              <w:left w:val="nil"/>
              <w:bottom w:val="nil"/>
              <w:right w:val="nil"/>
            </w:tcBorders>
            <w:shd w:val="clear" w:color="auto" w:fill="auto"/>
            <w:noWrap/>
            <w:vAlign w:val="bottom"/>
            <w:hideMark/>
          </w:tcPr>
          <w:p w14:paraId="65999291"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Supply Chain Management: An International Journal</w:t>
            </w:r>
          </w:p>
        </w:tc>
        <w:tc>
          <w:tcPr>
            <w:tcW w:w="1417" w:type="dxa"/>
            <w:tcBorders>
              <w:top w:val="nil"/>
              <w:left w:val="nil"/>
              <w:bottom w:val="nil"/>
              <w:right w:val="nil"/>
            </w:tcBorders>
            <w:shd w:val="clear" w:color="auto" w:fill="auto"/>
            <w:noWrap/>
            <w:vAlign w:val="bottom"/>
            <w:hideMark/>
          </w:tcPr>
          <w:p w14:paraId="4F98A3C2" w14:textId="77777777" w:rsidR="00A80A0C" w:rsidRPr="00A80A0C" w:rsidRDefault="00A80A0C" w:rsidP="00D25A13">
            <w:pPr>
              <w:widowControl/>
              <w:jc w:val="center"/>
              <w:rPr>
                <w:color w:val="000000" w:themeColor="text1"/>
                <w:sz w:val="24"/>
                <w:szCs w:val="24"/>
              </w:rPr>
            </w:pPr>
            <w:r w:rsidRPr="00A80A0C">
              <w:rPr>
                <w:color w:val="000000" w:themeColor="text1"/>
                <w:sz w:val="22"/>
              </w:rPr>
              <w:t>4</w:t>
            </w:r>
          </w:p>
        </w:tc>
      </w:tr>
      <w:tr w:rsidR="00A80A0C" w:rsidRPr="00A80A0C" w14:paraId="462FB84B" w14:textId="77777777" w:rsidTr="00D25A13">
        <w:trPr>
          <w:trHeight w:val="300"/>
          <w:jc w:val="center"/>
        </w:trPr>
        <w:tc>
          <w:tcPr>
            <w:tcW w:w="7088" w:type="dxa"/>
            <w:tcBorders>
              <w:top w:val="nil"/>
              <w:left w:val="nil"/>
              <w:bottom w:val="nil"/>
              <w:right w:val="nil"/>
            </w:tcBorders>
            <w:shd w:val="clear" w:color="auto" w:fill="auto"/>
            <w:noWrap/>
            <w:vAlign w:val="bottom"/>
          </w:tcPr>
          <w:p w14:paraId="016D6ADD"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International Journal of Logistics-Research and Applications</w:t>
            </w:r>
          </w:p>
        </w:tc>
        <w:tc>
          <w:tcPr>
            <w:tcW w:w="1417" w:type="dxa"/>
            <w:tcBorders>
              <w:top w:val="nil"/>
              <w:left w:val="nil"/>
              <w:bottom w:val="nil"/>
              <w:right w:val="nil"/>
            </w:tcBorders>
            <w:shd w:val="clear" w:color="auto" w:fill="auto"/>
            <w:noWrap/>
            <w:vAlign w:val="bottom"/>
          </w:tcPr>
          <w:p w14:paraId="5DA9625F" w14:textId="77777777" w:rsidR="00A80A0C" w:rsidRPr="00A80A0C" w:rsidRDefault="00A80A0C" w:rsidP="00D25A13">
            <w:pPr>
              <w:widowControl/>
              <w:jc w:val="center"/>
              <w:rPr>
                <w:color w:val="000000" w:themeColor="text1"/>
                <w:sz w:val="22"/>
              </w:rPr>
            </w:pPr>
            <w:r w:rsidRPr="00A80A0C">
              <w:rPr>
                <w:color w:val="000000" w:themeColor="text1"/>
                <w:sz w:val="22"/>
              </w:rPr>
              <w:t>4</w:t>
            </w:r>
          </w:p>
        </w:tc>
      </w:tr>
      <w:tr w:rsidR="00A80A0C" w:rsidRPr="00A80A0C" w14:paraId="4EBE7C1F" w14:textId="77777777" w:rsidTr="00D25A13">
        <w:trPr>
          <w:trHeight w:val="300"/>
          <w:jc w:val="center"/>
        </w:trPr>
        <w:tc>
          <w:tcPr>
            <w:tcW w:w="7088" w:type="dxa"/>
            <w:tcBorders>
              <w:top w:val="nil"/>
              <w:left w:val="nil"/>
              <w:bottom w:val="nil"/>
              <w:right w:val="nil"/>
            </w:tcBorders>
            <w:shd w:val="clear" w:color="auto" w:fill="auto"/>
            <w:noWrap/>
            <w:vAlign w:val="bottom"/>
          </w:tcPr>
          <w:p w14:paraId="2FBDFC20"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Journal of Business Logistics</w:t>
            </w:r>
          </w:p>
        </w:tc>
        <w:tc>
          <w:tcPr>
            <w:tcW w:w="1417" w:type="dxa"/>
            <w:tcBorders>
              <w:top w:val="nil"/>
              <w:left w:val="nil"/>
              <w:bottom w:val="nil"/>
              <w:right w:val="nil"/>
            </w:tcBorders>
            <w:shd w:val="clear" w:color="auto" w:fill="auto"/>
            <w:noWrap/>
            <w:vAlign w:val="bottom"/>
          </w:tcPr>
          <w:p w14:paraId="267E1A2A" w14:textId="77777777" w:rsidR="00A80A0C" w:rsidRPr="00A80A0C" w:rsidRDefault="00A80A0C" w:rsidP="00D25A13">
            <w:pPr>
              <w:widowControl/>
              <w:jc w:val="center"/>
              <w:rPr>
                <w:color w:val="000000" w:themeColor="text1"/>
                <w:sz w:val="22"/>
              </w:rPr>
            </w:pPr>
            <w:r w:rsidRPr="00A80A0C">
              <w:rPr>
                <w:color w:val="000000" w:themeColor="text1"/>
                <w:sz w:val="22"/>
              </w:rPr>
              <w:t>3</w:t>
            </w:r>
          </w:p>
        </w:tc>
      </w:tr>
      <w:tr w:rsidR="00A80A0C" w:rsidRPr="00A80A0C" w14:paraId="583BEE2B" w14:textId="77777777" w:rsidTr="00D25A13">
        <w:trPr>
          <w:trHeight w:val="300"/>
          <w:jc w:val="center"/>
        </w:trPr>
        <w:tc>
          <w:tcPr>
            <w:tcW w:w="7088" w:type="dxa"/>
            <w:tcBorders>
              <w:top w:val="nil"/>
              <w:left w:val="nil"/>
              <w:bottom w:val="nil"/>
              <w:right w:val="nil"/>
            </w:tcBorders>
            <w:shd w:val="clear" w:color="auto" w:fill="auto"/>
            <w:noWrap/>
            <w:vAlign w:val="bottom"/>
            <w:hideMark/>
          </w:tcPr>
          <w:p w14:paraId="7CAC9A4F"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Enterprise Development and Microfinance</w:t>
            </w:r>
          </w:p>
        </w:tc>
        <w:tc>
          <w:tcPr>
            <w:tcW w:w="1417" w:type="dxa"/>
            <w:tcBorders>
              <w:top w:val="nil"/>
              <w:left w:val="nil"/>
              <w:bottom w:val="nil"/>
              <w:right w:val="nil"/>
            </w:tcBorders>
            <w:shd w:val="clear" w:color="auto" w:fill="auto"/>
            <w:noWrap/>
            <w:vAlign w:val="bottom"/>
            <w:hideMark/>
          </w:tcPr>
          <w:p w14:paraId="04A8BBDE" w14:textId="77777777" w:rsidR="00A80A0C" w:rsidRPr="00A80A0C" w:rsidRDefault="00A80A0C" w:rsidP="00D25A13">
            <w:pPr>
              <w:widowControl/>
              <w:jc w:val="center"/>
              <w:rPr>
                <w:color w:val="000000" w:themeColor="text1"/>
                <w:sz w:val="24"/>
                <w:szCs w:val="24"/>
              </w:rPr>
            </w:pPr>
            <w:r w:rsidRPr="00A80A0C">
              <w:rPr>
                <w:color w:val="000000" w:themeColor="text1"/>
                <w:sz w:val="22"/>
              </w:rPr>
              <w:t>2</w:t>
            </w:r>
          </w:p>
        </w:tc>
      </w:tr>
      <w:tr w:rsidR="00A80A0C" w:rsidRPr="00A80A0C" w14:paraId="114F324A" w14:textId="77777777" w:rsidTr="00D25A13">
        <w:trPr>
          <w:trHeight w:val="300"/>
          <w:jc w:val="center"/>
        </w:trPr>
        <w:tc>
          <w:tcPr>
            <w:tcW w:w="7088" w:type="dxa"/>
            <w:tcBorders>
              <w:top w:val="nil"/>
              <w:left w:val="nil"/>
              <w:bottom w:val="nil"/>
              <w:right w:val="nil"/>
            </w:tcBorders>
            <w:shd w:val="clear" w:color="auto" w:fill="auto"/>
            <w:noWrap/>
            <w:vAlign w:val="bottom"/>
            <w:hideMark/>
          </w:tcPr>
          <w:p w14:paraId="0E2CBC25"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International Journal of Applied Business and Economic Research</w:t>
            </w:r>
          </w:p>
        </w:tc>
        <w:tc>
          <w:tcPr>
            <w:tcW w:w="1417" w:type="dxa"/>
            <w:tcBorders>
              <w:top w:val="nil"/>
              <w:left w:val="nil"/>
              <w:bottom w:val="nil"/>
              <w:right w:val="nil"/>
            </w:tcBorders>
            <w:shd w:val="clear" w:color="auto" w:fill="auto"/>
            <w:noWrap/>
            <w:vAlign w:val="bottom"/>
            <w:hideMark/>
          </w:tcPr>
          <w:p w14:paraId="653A86B8" w14:textId="77777777" w:rsidR="00A80A0C" w:rsidRPr="00A80A0C" w:rsidRDefault="00A80A0C" w:rsidP="00D25A13">
            <w:pPr>
              <w:widowControl/>
              <w:jc w:val="center"/>
              <w:rPr>
                <w:color w:val="000000" w:themeColor="text1"/>
                <w:sz w:val="24"/>
                <w:szCs w:val="24"/>
              </w:rPr>
            </w:pPr>
            <w:r w:rsidRPr="00A80A0C">
              <w:rPr>
                <w:color w:val="000000" w:themeColor="text1"/>
                <w:sz w:val="22"/>
              </w:rPr>
              <w:t>2</w:t>
            </w:r>
          </w:p>
        </w:tc>
      </w:tr>
      <w:tr w:rsidR="00A80A0C" w:rsidRPr="00A80A0C" w14:paraId="3AB528E4" w14:textId="77777777" w:rsidTr="00D25A13">
        <w:trPr>
          <w:trHeight w:val="300"/>
          <w:jc w:val="center"/>
        </w:trPr>
        <w:tc>
          <w:tcPr>
            <w:tcW w:w="7088" w:type="dxa"/>
            <w:tcBorders>
              <w:top w:val="nil"/>
              <w:left w:val="nil"/>
              <w:bottom w:val="nil"/>
              <w:right w:val="nil"/>
            </w:tcBorders>
            <w:shd w:val="clear" w:color="auto" w:fill="auto"/>
            <w:noWrap/>
            <w:vAlign w:val="bottom"/>
            <w:hideMark/>
          </w:tcPr>
          <w:p w14:paraId="2648F483"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Journal of Banking and Finance</w:t>
            </w:r>
          </w:p>
        </w:tc>
        <w:tc>
          <w:tcPr>
            <w:tcW w:w="1417" w:type="dxa"/>
            <w:tcBorders>
              <w:top w:val="nil"/>
              <w:left w:val="nil"/>
              <w:bottom w:val="nil"/>
              <w:right w:val="nil"/>
            </w:tcBorders>
            <w:shd w:val="clear" w:color="auto" w:fill="auto"/>
            <w:noWrap/>
            <w:vAlign w:val="bottom"/>
            <w:hideMark/>
          </w:tcPr>
          <w:p w14:paraId="57D8FED5" w14:textId="77777777" w:rsidR="00A80A0C" w:rsidRPr="00A80A0C" w:rsidRDefault="00A80A0C" w:rsidP="00D25A13">
            <w:pPr>
              <w:widowControl/>
              <w:jc w:val="center"/>
              <w:rPr>
                <w:color w:val="000000" w:themeColor="text1"/>
                <w:sz w:val="24"/>
                <w:szCs w:val="24"/>
              </w:rPr>
            </w:pPr>
            <w:r w:rsidRPr="00A80A0C">
              <w:rPr>
                <w:color w:val="000000" w:themeColor="text1"/>
                <w:sz w:val="22"/>
              </w:rPr>
              <w:t>2</w:t>
            </w:r>
          </w:p>
        </w:tc>
      </w:tr>
      <w:tr w:rsidR="00A80A0C" w:rsidRPr="00A80A0C" w14:paraId="65AE43FD" w14:textId="77777777" w:rsidTr="00D25A13">
        <w:trPr>
          <w:trHeight w:val="300"/>
          <w:jc w:val="center"/>
        </w:trPr>
        <w:tc>
          <w:tcPr>
            <w:tcW w:w="7088" w:type="dxa"/>
            <w:tcBorders>
              <w:top w:val="nil"/>
              <w:left w:val="nil"/>
              <w:bottom w:val="nil"/>
              <w:right w:val="nil"/>
            </w:tcBorders>
            <w:shd w:val="clear" w:color="auto" w:fill="auto"/>
            <w:noWrap/>
            <w:vAlign w:val="bottom"/>
            <w:hideMark/>
          </w:tcPr>
          <w:p w14:paraId="52EE81CD"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Journal of Corporate Finance</w:t>
            </w:r>
          </w:p>
        </w:tc>
        <w:tc>
          <w:tcPr>
            <w:tcW w:w="1417" w:type="dxa"/>
            <w:tcBorders>
              <w:top w:val="nil"/>
              <w:left w:val="nil"/>
              <w:bottom w:val="nil"/>
              <w:right w:val="nil"/>
            </w:tcBorders>
            <w:shd w:val="clear" w:color="auto" w:fill="auto"/>
            <w:noWrap/>
            <w:vAlign w:val="bottom"/>
            <w:hideMark/>
          </w:tcPr>
          <w:p w14:paraId="22F6808C" w14:textId="77777777" w:rsidR="00A80A0C" w:rsidRPr="00A80A0C" w:rsidRDefault="00A80A0C" w:rsidP="00D25A13">
            <w:pPr>
              <w:widowControl/>
              <w:jc w:val="center"/>
              <w:rPr>
                <w:color w:val="000000" w:themeColor="text1"/>
                <w:sz w:val="24"/>
                <w:szCs w:val="24"/>
              </w:rPr>
            </w:pPr>
            <w:r w:rsidRPr="00A80A0C">
              <w:rPr>
                <w:color w:val="000000" w:themeColor="text1"/>
                <w:sz w:val="22"/>
              </w:rPr>
              <w:t>2</w:t>
            </w:r>
          </w:p>
        </w:tc>
      </w:tr>
      <w:tr w:rsidR="00A80A0C" w:rsidRPr="00A80A0C" w14:paraId="58CFDDE1" w14:textId="77777777" w:rsidTr="00D25A13">
        <w:trPr>
          <w:trHeight w:val="300"/>
          <w:jc w:val="center"/>
        </w:trPr>
        <w:tc>
          <w:tcPr>
            <w:tcW w:w="7088" w:type="dxa"/>
            <w:tcBorders>
              <w:top w:val="nil"/>
              <w:left w:val="nil"/>
              <w:right w:val="nil"/>
            </w:tcBorders>
            <w:shd w:val="clear" w:color="auto" w:fill="auto"/>
            <w:noWrap/>
            <w:vAlign w:val="bottom"/>
            <w:hideMark/>
          </w:tcPr>
          <w:p w14:paraId="69732589"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Journal of Corporate Treasury Management</w:t>
            </w:r>
          </w:p>
        </w:tc>
        <w:tc>
          <w:tcPr>
            <w:tcW w:w="1417" w:type="dxa"/>
            <w:tcBorders>
              <w:top w:val="nil"/>
              <w:left w:val="nil"/>
              <w:right w:val="nil"/>
            </w:tcBorders>
            <w:shd w:val="clear" w:color="auto" w:fill="auto"/>
            <w:noWrap/>
            <w:vAlign w:val="bottom"/>
            <w:hideMark/>
          </w:tcPr>
          <w:p w14:paraId="0173F6CE" w14:textId="77777777" w:rsidR="00A80A0C" w:rsidRPr="00A80A0C" w:rsidRDefault="00A80A0C" w:rsidP="00D25A13">
            <w:pPr>
              <w:widowControl/>
              <w:jc w:val="center"/>
              <w:rPr>
                <w:color w:val="000000" w:themeColor="text1"/>
                <w:sz w:val="24"/>
                <w:szCs w:val="24"/>
              </w:rPr>
            </w:pPr>
            <w:r w:rsidRPr="00A80A0C">
              <w:rPr>
                <w:color w:val="000000" w:themeColor="text1"/>
                <w:sz w:val="22"/>
              </w:rPr>
              <w:t>2</w:t>
            </w:r>
          </w:p>
        </w:tc>
      </w:tr>
      <w:tr w:rsidR="00A80A0C" w:rsidRPr="00A80A0C" w14:paraId="2E4E277F" w14:textId="77777777" w:rsidTr="00D25A13">
        <w:trPr>
          <w:trHeight w:val="300"/>
          <w:jc w:val="center"/>
        </w:trPr>
        <w:tc>
          <w:tcPr>
            <w:tcW w:w="7088" w:type="dxa"/>
            <w:tcBorders>
              <w:top w:val="nil"/>
              <w:left w:val="nil"/>
              <w:bottom w:val="single" w:sz="4" w:space="0" w:color="auto"/>
              <w:right w:val="nil"/>
            </w:tcBorders>
            <w:shd w:val="clear" w:color="auto" w:fill="auto"/>
            <w:noWrap/>
            <w:vAlign w:val="bottom"/>
            <w:hideMark/>
          </w:tcPr>
          <w:p w14:paraId="397FDE8D" w14:textId="77777777" w:rsidR="00A80A0C" w:rsidRPr="00A80A0C" w:rsidRDefault="00A80A0C" w:rsidP="00D25A13">
            <w:pPr>
              <w:widowControl/>
              <w:jc w:val="left"/>
              <w:rPr>
                <w:color w:val="000000" w:themeColor="text1"/>
                <w:sz w:val="24"/>
                <w:szCs w:val="24"/>
              </w:rPr>
            </w:pPr>
            <w:r w:rsidRPr="00A80A0C">
              <w:rPr>
                <w:rFonts w:hint="eastAsia"/>
                <w:color w:val="000000" w:themeColor="text1"/>
                <w:sz w:val="24"/>
                <w:szCs w:val="24"/>
              </w:rPr>
              <w:t>Journal of Finance</w:t>
            </w:r>
          </w:p>
        </w:tc>
        <w:tc>
          <w:tcPr>
            <w:tcW w:w="1417" w:type="dxa"/>
            <w:tcBorders>
              <w:top w:val="nil"/>
              <w:left w:val="nil"/>
              <w:bottom w:val="single" w:sz="4" w:space="0" w:color="auto"/>
              <w:right w:val="nil"/>
            </w:tcBorders>
            <w:shd w:val="clear" w:color="auto" w:fill="auto"/>
            <w:noWrap/>
            <w:vAlign w:val="bottom"/>
            <w:hideMark/>
          </w:tcPr>
          <w:p w14:paraId="7989960B" w14:textId="77777777" w:rsidR="00A80A0C" w:rsidRPr="00A80A0C" w:rsidRDefault="00A80A0C" w:rsidP="00D25A13">
            <w:pPr>
              <w:widowControl/>
              <w:jc w:val="center"/>
              <w:rPr>
                <w:color w:val="000000" w:themeColor="text1"/>
                <w:sz w:val="24"/>
                <w:szCs w:val="24"/>
              </w:rPr>
            </w:pPr>
            <w:r w:rsidRPr="00A80A0C">
              <w:rPr>
                <w:color w:val="000000" w:themeColor="text1"/>
                <w:sz w:val="22"/>
              </w:rPr>
              <w:t>2</w:t>
            </w:r>
          </w:p>
        </w:tc>
      </w:tr>
    </w:tbl>
    <w:p w14:paraId="074E0496" w14:textId="77777777" w:rsidR="00A80A0C" w:rsidRPr="00A80A0C" w:rsidRDefault="00A80A0C" w:rsidP="00A80A0C">
      <w:pPr>
        <w:rPr>
          <w:color w:val="000000" w:themeColor="text1"/>
          <w:szCs w:val="21"/>
        </w:rPr>
      </w:pPr>
    </w:p>
    <w:p w14:paraId="5712B2FA" w14:textId="77777777" w:rsidR="00A80A0C" w:rsidRPr="00A80A0C" w:rsidRDefault="00A80A0C" w:rsidP="00A80A0C">
      <w:pPr>
        <w:widowControl/>
        <w:jc w:val="left"/>
        <w:rPr>
          <w:b/>
          <w:color w:val="000000" w:themeColor="text1"/>
          <w:kern w:val="0"/>
        </w:rPr>
        <w:sectPr w:rsidR="00A80A0C" w:rsidRPr="00A80A0C">
          <w:pgSz w:w="11906" w:h="16838"/>
          <w:pgMar w:top="1440" w:right="1440" w:bottom="1440" w:left="1440" w:header="851" w:footer="992" w:gutter="0"/>
          <w:cols w:space="720"/>
          <w:docGrid w:type="lines" w:linePitch="312"/>
        </w:sectPr>
      </w:pPr>
    </w:p>
    <w:p w14:paraId="0368FB6A" w14:textId="77777777" w:rsidR="00A80A0C" w:rsidRPr="00A80A0C" w:rsidRDefault="00A80A0C" w:rsidP="00A80A0C">
      <w:pPr>
        <w:snapToGrid w:val="0"/>
        <w:spacing w:beforeLines="30" w:before="93" w:afterLines="20" w:after="62" w:line="200" w:lineRule="exact"/>
        <w:rPr>
          <w:b/>
          <w:color w:val="000000" w:themeColor="text1"/>
        </w:rPr>
      </w:pPr>
    </w:p>
    <w:p w14:paraId="6D81B5C5" w14:textId="77777777" w:rsidR="00A80A0C" w:rsidRPr="00A80A0C" w:rsidRDefault="00A80A0C" w:rsidP="00A80A0C">
      <w:pPr>
        <w:snapToGrid w:val="0"/>
        <w:spacing w:beforeLines="30" w:before="93" w:afterLines="20" w:after="62" w:line="200" w:lineRule="exact"/>
        <w:jc w:val="center"/>
        <w:rPr>
          <w:color w:val="000000" w:themeColor="text1"/>
        </w:rPr>
      </w:pPr>
      <w:r w:rsidRPr="00A80A0C">
        <w:rPr>
          <w:b/>
          <w:color w:val="000000" w:themeColor="text1"/>
        </w:rPr>
        <w:t>Table 2.</w:t>
      </w:r>
      <w:r w:rsidRPr="00A80A0C">
        <w:rPr>
          <w:color w:val="000000" w:themeColor="text1"/>
        </w:rPr>
        <w:t xml:space="preserve"> The application of theories in SCF papers</w:t>
      </w:r>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4678"/>
        <w:gridCol w:w="3828"/>
        <w:gridCol w:w="2409"/>
      </w:tblGrid>
      <w:tr w:rsidR="00A80A0C" w:rsidRPr="00A80A0C" w14:paraId="04A5A480" w14:textId="77777777" w:rsidTr="00D25A13">
        <w:trPr>
          <w:jc w:val="center"/>
        </w:trPr>
        <w:tc>
          <w:tcPr>
            <w:tcW w:w="2693" w:type="dxa"/>
            <w:tcBorders>
              <w:top w:val="single" w:sz="4" w:space="0" w:color="auto"/>
              <w:left w:val="nil"/>
              <w:bottom w:val="single" w:sz="4" w:space="0" w:color="auto"/>
              <w:right w:val="nil"/>
            </w:tcBorders>
            <w:vAlign w:val="center"/>
            <w:hideMark/>
          </w:tcPr>
          <w:p w14:paraId="24274379" w14:textId="77777777" w:rsidR="00A80A0C" w:rsidRPr="00A80A0C" w:rsidRDefault="00A80A0C" w:rsidP="00D25A13">
            <w:pPr>
              <w:snapToGrid w:val="0"/>
              <w:spacing w:beforeLines="30" w:before="93" w:afterLines="20" w:after="62" w:line="200" w:lineRule="exact"/>
              <w:jc w:val="center"/>
              <w:rPr>
                <w:b/>
                <w:color w:val="000000" w:themeColor="text1"/>
                <w:szCs w:val="21"/>
              </w:rPr>
            </w:pPr>
            <w:r w:rsidRPr="00A80A0C">
              <w:rPr>
                <w:b/>
                <w:color w:val="000000" w:themeColor="text1"/>
                <w:szCs w:val="21"/>
              </w:rPr>
              <w:t>Theory</w:t>
            </w:r>
          </w:p>
        </w:tc>
        <w:tc>
          <w:tcPr>
            <w:tcW w:w="4678" w:type="dxa"/>
            <w:tcBorders>
              <w:top w:val="single" w:sz="4" w:space="0" w:color="auto"/>
              <w:left w:val="nil"/>
              <w:bottom w:val="single" w:sz="4" w:space="0" w:color="auto"/>
              <w:right w:val="nil"/>
            </w:tcBorders>
            <w:vAlign w:val="center"/>
            <w:hideMark/>
          </w:tcPr>
          <w:p w14:paraId="11544B02" w14:textId="77777777" w:rsidR="00A80A0C" w:rsidRPr="00A80A0C" w:rsidRDefault="00A80A0C" w:rsidP="00D25A13">
            <w:pPr>
              <w:snapToGrid w:val="0"/>
              <w:spacing w:beforeLines="30" w:before="93" w:afterLines="20" w:after="62" w:line="200" w:lineRule="exact"/>
              <w:jc w:val="center"/>
              <w:rPr>
                <w:b/>
                <w:color w:val="000000" w:themeColor="text1"/>
                <w:szCs w:val="21"/>
              </w:rPr>
            </w:pPr>
            <w:r w:rsidRPr="00A80A0C">
              <w:rPr>
                <w:b/>
                <w:color w:val="000000" w:themeColor="text1"/>
                <w:szCs w:val="21"/>
              </w:rPr>
              <w:t>Definition</w:t>
            </w:r>
          </w:p>
        </w:tc>
        <w:tc>
          <w:tcPr>
            <w:tcW w:w="3828" w:type="dxa"/>
            <w:tcBorders>
              <w:top w:val="single" w:sz="4" w:space="0" w:color="auto"/>
              <w:left w:val="nil"/>
              <w:bottom w:val="single" w:sz="4" w:space="0" w:color="auto"/>
              <w:right w:val="nil"/>
            </w:tcBorders>
            <w:vAlign w:val="center"/>
            <w:hideMark/>
          </w:tcPr>
          <w:p w14:paraId="69CE3B3B" w14:textId="77777777" w:rsidR="00A80A0C" w:rsidRPr="00A80A0C" w:rsidRDefault="00A80A0C" w:rsidP="00D25A13">
            <w:pPr>
              <w:snapToGrid w:val="0"/>
              <w:spacing w:beforeLines="30" w:before="93" w:afterLines="20" w:after="62" w:line="200" w:lineRule="exact"/>
              <w:jc w:val="center"/>
              <w:rPr>
                <w:b/>
                <w:color w:val="000000" w:themeColor="text1"/>
                <w:szCs w:val="21"/>
              </w:rPr>
            </w:pPr>
            <w:r w:rsidRPr="00A80A0C">
              <w:rPr>
                <w:b/>
                <w:color w:val="000000" w:themeColor="text1"/>
                <w:szCs w:val="21"/>
              </w:rPr>
              <w:t>Application</w:t>
            </w:r>
          </w:p>
        </w:tc>
        <w:tc>
          <w:tcPr>
            <w:tcW w:w="2409" w:type="dxa"/>
            <w:tcBorders>
              <w:top w:val="single" w:sz="4" w:space="0" w:color="auto"/>
              <w:left w:val="nil"/>
              <w:bottom w:val="single" w:sz="4" w:space="0" w:color="auto"/>
              <w:right w:val="nil"/>
            </w:tcBorders>
            <w:vAlign w:val="center"/>
            <w:hideMark/>
          </w:tcPr>
          <w:p w14:paraId="27C3266B" w14:textId="77777777" w:rsidR="00A80A0C" w:rsidRPr="00A80A0C" w:rsidRDefault="00A80A0C" w:rsidP="00D25A13">
            <w:pPr>
              <w:snapToGrid w:val="0"/>
              <w:spacing w:beforeLines="30" w:before="93" w:afterLines="20" w:after="62" w:line="200" w:lineRule="exact"/>
              <w:jc w:val="center"/>
              <w:rPr>
                <w:b/>
                <w:color w:val="000000" w:themeColor="text1"/>
                <w:szCs w:val="21"/>
              </w:rPr>
            </w:pPr>
            <w:r w:rsidRPr="00A80A0C">
              <w:rPr>
                <w:b/>
                <w:color w:val="000000" w:themeColor="text1"/>
                <w:szCs w:val="21"/>
              </w:rPr>
              <w:t>Reference</w:t>
            </w:r>
          </w:p>
        </w:tc>
      </w:tr>
      <w:tr w:rsidR="00A80A0C" w:rsidRPr="00A80A0C" w14:paraId="11207BB2" w14:textId="77777777" w:rsidTr="00D25A13">
        <w:trPr>
          <w:jc w:val="center"/>
        </w:trPr>
        <w:tc>
          <w:tcPr>
            <w:tcW w:w="2693" w:type="dxa"/>
            <w:tcBorders>
              <w:top w:val="single" w:sz="4" w:space="0" w:color="auto"/>
              <w:left w:val="nil"/>
              <w:bottom w:val="nil"/>
              <w:right w:val="nil"/>
            </w:tcBorders>
            <w:vAlign w:val="center"/>
          </w:tcPr>
          <w:p w14:paraId="61A47CDE" w14:textId="77777777" w:rsidR="00A80A0C" w:rsidRPr="00A80A0C" w:rsidRDefault="00A80A0C" w:rsidP="00D25A13">
            <w:pPr>
              <w:snapToGrid w:val="0"/>
              <w:spacing w:beforeLines="30" w:before="93" w:afterLines="50" w:after="156" w:line="200" w:lineRule="exact"/>
              <w:rPr>
                <w:b/>
                <w:color w:val="000000" w:themeColor="text1"/>
                <w:szCs w:val="21"/>
              </w:rPr>
            </w:pPr>
            <w:r w:rsidRPr="00A80A0C">
              <w:rPr>
                <w:color w:val="000000" w:themeColor="text1"/>
                <w:szCs w:val="21"/>
              </w:rPr>
              <w:t>Resource dependence theory</w:t>
            </w:r>
          </w:p>
        </w:tc>
        <w:tc>
          <w:tcPr>
            <w:tcW w:w="4678" w:type="dxa"/>
            <w:tcBorders>
              <w:top w:val="single" w:sz="4" w:space="0" w:color="auto"/>
              <w:left w:val="nil"/>
              <w:bottom w:val="nil"/>
              <w:right w:val="nil"/>
            </w:tcBorders>
            <w:vAlign w:val="center"/>
          </w:tcPr>
          <w:p w14:paraId="7E573D97"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 xml:space="preserve">Resource dependence theory (RDT) examines how the external resources of organisations affect the behaviour of the organisation (Pfeffer and </w:t>
            </w:r>
            <w:proofErr w:type="spellStart"/>
            <w:r w:rsidRPr="00A80A0C">
              <w:rPr>
                <w:color w:val="000000" w:themeColor="text1"/>
                <w:szCs w:val="21"/>
              </w:rPr>
              <w:t>Salancik</w:t>
            </w:r>
            <w:proofErr w:type="spellEnd"/>
            <w:r w:rsidRPr="00A80A0C">
              <w:rPr>
                <w:color w:val="000000" w:themeColor="text1"/>
                <w:szCs w:val="21"/>
              </w:rPr>
              <w:t>, 1978).</w:t>
            </w:r>
          </w:p>
        </w:tc>
        <w:tc>
          <w:tcPr>
            <w:tcW w:w="3828" w:type="dxa"/>
            <w:tcBorders>
              <w:top w:val="single" w:sz="4" w:space="0" w:color="auto"/>
              <w:left w:val="nil"/>
              <w:bottom w:val="nil"/>
              <w:right w:val="nil"/>
            </w:tcBorders>
            <w:vAlign w:val="center"/>
          </w:tcPr>
          <w:p w14:paraId="73E2CE1A"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 xml:space="preserve">This theory can be used to identify factors which contribute to export competitive advantage (Ling-Yee and </w:t>
            </w:r>
            <w:proofErr w:type="spellStart"/>
            <w:r w:rsidRPr="00A80A0C">
              <w:rPr>
                <w:color w:val="000000" w:themeColor="text1"/>
                <w:szCs w:val="21"/>
              </w:rPr>
              <w:t>Ogunmokun</w:t>
            </w:r>
            <w:proofErr w:type="spellEnd"/>
            <w:r w:rsidRPr="00A80A0C">
              <w:rPr>
                <w:color w:val="000000" w:themeColor="text1"/>
                <w:szCs w:val="21"/>
              </w:rPr>
              <w:t>, 2001), the mechanism of trade credit (Lorentz et al., 2016) and the financial benefits and risks of resource dependency of suppliers and customers in supply chain triads.  (Kim and Henderson, 2015).</w:t>
            </w:r>
          </w:p>
        </w:tc>
        <w:tc>
          <w:tcPr>
            <w:tcW w:w="2409" w:type="dxa"/>
            <w:tcBorders>
              <w:top w:val="single" w:sz="4" w:space="0" w:color="auto"/>
              <w:left w:val="nil"/>
              <w:bottom w:val="nil"/>
              <w:right w:val="nil"/>
            </w:tcBorders>
            <w:vAlign w:val="center"/>
          </w:tcPr>
          <w:p w14:paraId="5F09AC36" w14:textId="77777777" w:rsidR="00A80A0C" w:rsidRPr="00A80A0C" w:rsidRDefault="00A80A0C" w:rsidP="00D25A13">
            <w:pPr>
              <w:snapToGrid w:val="0"/>
              <w:spacing w:beforeLines="30" w:before="93" w:afterLines="50" w:after="156" w:line="200" w:lineRule="exact"/>
              <w:jc w:val="left"/>
              <w:rPr>
                <w:color w:val="000000" w:themeColor="text1"/>
                <w:szCs w:val="21"/>
              </w:rPr>
            </w:pPr>
            <w:r w:rsidRPr="00A80A0C">
              <w:rPr>
                <w:color w:val="000000" w:themeColor="text1"/>
                <w:szCs w:val="21"/>
              </w:rPr>
              <w:t xml:space="preserve">Lorentz et al. (2016); Li and </w:t>
            </w:r>
            <w:proofErr w:type="spellStart"/>
            <w:r w:rsidRPr="00A80A0C">
              <w:rPr>
                <w:color w:val="000000" w:themeColor="text1"/>
                <w:szCs w:val="21"/>
              </w:rPr>
              <w:t>Ogunmokun</w:t>
            </w:r>
            <w:proofErr w:type="spellEnd"/>
            <w:r w:rsidRPr="00A80A0C">
              <w:rPr>
                <w:color w:val="000000" w:themeColor="text1"/>
                <w:szCs w:val="21"/>
              </w:rPr>
              <w:t xml:space="preserve"> (2001); Kim and Henderson (2015); Li and Chen (2018); </w:t>
            </w:r>
            <w:proofErr w:type="spellStart"/>
            <w:r w:rsidRPr="00A80A0C">
              <w:rPr>
                <w:color w:val="000000" w:themeColor="text1"/>
                <w:szCs w:val="21"/>
              </w:rPr>
              <w:t>Schwieterman</w:t>
            </w:r>
            <w:proofErr w:type="spellEnd"/>
            <w:r w:rsidRPr="00A80A0C">
              <w:rPr>
                <w:color w:val="000000" w:themeColor="text1"/>
                <w:szCs w:val="21"/>
              </w:rPr>
              <w:t xml:space="preserve"> et al. (2018)</w:t>
            </w:r>
          </w:p>
        </w:tc>
      </w:tr>
      <w:tr w:rsidR="00A80A0C" w:rsidRPr="00A80A0C" w14:paraId="5F2EDE8B" w14:textId="77777777" w:rsidTr="00D25A13">
        <w:trPr>
          <w:jc w:val="center"/>
        </w:trPr>
        <w:tc>
          <w:tcPr>
            <w:tcW w:w="2693" w:type="dxa"/>
            <w:tcBorders>
              <w:top w:val="nil"/>
              <w:left w:val="nil"/>
              <w:bottom w:val="nil"/>
              <w:right w:val="nil"/>
            </w:tcBorders>
            <w:vAlign w:val="center"/>
          </w:tcPr>
          <w:p w14:paraId="26361A9B" w14:textId="77777777" w:rsidR="00A80A0C" w:rsidRPr="00A80A0C" w:rsidRDefault="00A80A0C" w:rsidP="00D25A13">
            <w:pPr>
              <w:snapToGrid w:val="0"/>
              <w:spacing w:beforeLines="30" w:before="93" w:afterLines="50" w:after="156" w:line="200" w:lineRule="exact"/>
              <w:rPr>
                <w:color w:val="000000" w:themeColor="text1"/>
                <w:szCs w:val="21"/>
              </w:rPr>
            </w:pPr>
            <w:r w:rsidRPr="00A80A0C">
              <w:rPr>
                <w:color w:val="000000" w:themeColor="text1"/>
                <w:szCs w:val="21"/>
              </w:rPr>
              <w:t>Principle agent theory</w:t>
            </w:r>
          </w:p>
        </w:tc>
        <w:tc>
          <w:tcPr>
            <w:tcW w:w="4678" w:type="dxa"/>
            <w:tcBorders>
              <w:top w:val="nil"/>
              <w:left w:val="nil"/>
              <w:bottom w:val="nil"/>
              <w:right w:val="nil"/>
            </w:tcBorders>
            <w:vAlign w:val="center"/>
          </w:tcPr>
          <w:p w14:paraId="04A775F8"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Principle agency problem occurs when one person or entity is able to make decision on behalf of another person or entity (Eisenhardt, 1989).</w:t>
            </w:r>
          </w:p>
        </w:tc>
        <w:tc>
          <w:tcPr>
            <w:tcW w:w="3828" w:type="dxa"/>
            <w:tcBorders>
              <w:top w:val="nil"/>
              <w:left w:val="nil"/>
              <w:bottom w:val="nil"/>
              <w:right w:val="nil"/>
            </w:tcBorders>
            <w:vAlign w:val="center"/>
          </w:tcPr>
          <w:p w14:paraId="27654D6A"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This theory is used to explain the role of principals and agents in financing a buyer-supplier dyad (</w:t>
            </w:r>
            <w:proofErr w:type="spellStart"/>
            <w:r w:rsidRPr="00A80A0C">
              <w:rPr>
                <w:color w:val="000000" w:themeColor="text1"/>
                <w:szCs w:val="21"/>
              </w:rPr>
              <w:t>Pfohl</w:t>
            </w:r>
            <w:proofErr w:type="spellEnd"/>
            <w:r w:rsidRPr="00A80A0C">
              <w:rPr>
                <w:color w:val="000000" w:themeColor="text1"/>
                <w:szCs w:val="21"/>
              </w:rPr>
              <w:t xml:space="preserve"> and </w:t>
            </w:r>
            <w:proofErr w:type="spellStart"/>
            <w:r w:rsidRPr="00A80A0C">
              <w:rPr>
                <w:color w:val="000000" w:themeColor="text1"/>
                <w:szCs w:val="21"/>
              </w:rPr>
              <w:t>Gomm</w:t>
            </w:r>
            <w:proofErr w:type="spellEnd"/>
            <w:r w:rsidRPr="00A80A0C">
              <w:rPr>
                <w:color w:val="000000" w:themeColor="text1"/>
                <w:szCs w:val="21"/>
              </w:rPr>
              <w:t xml:space="preserve">, 2009; </w:t>
            </w:r>
            <w:proofErr w:type="spellStart"/>
            <w:r w:rsidRPr="00A80A0C">
              <w:rPr>
                <w:color w:val="000000" w:themeColor="text1"/>
                <w:szCs w:val="21"/>
              </w:rPr>
              <w:t>Wandfluh</w:t>
            </w:r>
            <w:proofErr w:type="spellEnd"/>
            <w:r w:rsidRPr="00A80A0C">
              <w:rPr>
                <w:color w:val="000000" w:themeColor="text1"/>
                <w:szCs w:val="21"/>
              </w:rPr>
              <w:t xml:space="preserve">, Hofmann, and </w:t>
            </w:r>
            <w:proofErr w:type="spellStart"/>
            <w:r w:rsidRPr="00A80A0C">
              <w:rPr>
                <w:color w:val="000000" w:themeColor="text1"/>
                <w:szCs w:val="21"/>
              </w:rPr>
              <w:t>Schoensleben</w:t>
            </w:r>
            <w:proofErr w:type="spellEnd"/>
            <w:r w:rsidRPr="00A80A0C">
              <w:rPr>
                <w:color w:val="000000" w:themeColor="text1"/>
                <w:szCs w:val="21"/>
              </w:rPr>
              <w:t>, 2016), the value of co-operative financing models (</w:t>
            </w:r>
            <w:proofErr w:type="spellStart"/>
            <w:r w:rsidRPr="00A80A0C">
              <w:rPr>
                <w:color w:val="000000" w:themeColor="text1"/>
                <w:szCs w:val="21"/>
              </w:rPr>
              <w:t>Gomm</w:t>
            </w:r>
            <w:proofErr w:type="spellEnd"/>
            <w:r w:rsidRPr="00A80A0C">
              <w:rPr>
                <w:color w:val="000000" w:themeColor="text1"/>
                <w:szCs w:val="21"/>
              </w:rPr>
              <w:t>, 2010) and the factors of late payment of trade credit (de Carvalho, 2015).</w:t>
            </w:r>
          </w:p>
        </w:tc>
        <w:tc>
          <w:tcPr>
            <w:tcW w:w="2409" w:type="dxa"/>
            <w:tcBorders>
              <w:top w:val="nil"/>
              <w:left w:val="nil"/>
              <w:bottom w:val="nil"/>
              <w:right w:val="nil"/>
            </w:tcBorders>
            <w:vAlign w:val="center"/>
          </w:tcPr>
          <w:p w14:paraId="74579653" w14:textId="77777777" w:rsidR="00A80A0C" w:rsidRPr="00A80A0C" w:rsidRDefault="00A80A0C" w:rsidP="00D25A13">
            <w:pPr>
              <w:snapToGrid w:val="0"/>
              <w:spacing w:beforeLines="30" w:before="93" w:afterLines="50" w:after="156" w:line="200" w:lineRule="exact"/>
              <w:jc w:val="left"/>
              <w:rPr>
                <w:color w:val="000000" w:themeColor="text1"/>
                <w:szCs w:val="21"/>
              </w:rPr>
            </w:pPr>
            <w:proofErr w:type="spellStart"/>
            <w:r w:rsidRPr="00A80A0C">
              <w:rPr>
                <w:color w:val="000000" w:themeColor="text1"/>
                <w:szCs w:val="21"/>
              </w:rPr>
              <w:t>Wandfluh</w:t>
            </w:r>
            <w:proofErr w:type="spellEnd"/>
            <w:r w:rsidRPr="00A80A0C">
              <w:rPr>
                <w:color w:val="000000" w:themeColor="text1"/>
                <w:szCs w:val="21"/>
              </w:rPr>
              <w:t xml:space="preserve"> et al. (2016); </w:t>
            </w:r>
            <w:proofErr w:type="spellStart"/>
            <w:r w:rsidRPr="00A80A0C">
              <w:rPr>
                <w:color w:val="000000" w:themeColor="text1"/>
                <w:szCs w:val="21"/>
              </w:rPr>
              <w:t>Gomm</w:t>
            </w:r>
            <w:proofErr w:type="spellEnd"/>
            <w:r w:rsidRPr="00A80A0C">
              <w:rPr>
                <w:color w:val="000000" w:themeColor="text1"/>
                <w:szCs w:val="21"/>
              </w:rPr>
              <w:t xml:space="preserve"> (2010); </w:t>
            </w:r>
            <w:proofErr w:type="spellStart"/>
            <w:r w:rsidRPr="00A80A0C">
              <w:rPr>
                <w:color w:val="000000" w:themeColor="text1"/>
                <w:szCs w:val="21"/>
              </w:rPr>
              <w:t>Pfohl</w:t>
            </w:r>
            <w:proofErr w:type="spellEnd"/>
            <w:r w:rsidRPr="00A80A0C">
              <w:rPr>
                <w:color w:val="000000" w:themeColor="text1"/>
                <w:szCs w:val="21"/>
              </w:rPr>
              <w:t xml:space="preserve"> and </w:t>
            </w:r>
            <w:proofErr w:type="spellStart"/>
            <w:r w:rsidRPr="00A80A0C">
              <w:rPr>
                <w:color w:val="000000" w:themeColor="text1"/>
                <w:szCs w:val="21"/>
              </w:rPr>
              <w:t>Gomm</w:t>
            </w:r>
            <w:proofErr w:type="spellEnd"/>
            <w:r w:rsidRPr="00A80A0C">
              <w:rPr>
                <w:color w:val="000000" w:themeColor="text1"/>
                <w:szCs w:val="21"/>
              </w:rPr>
              <w:t xml:space="preserve"> (2009); de Carvalho (2015)</w:t>
            </w:r>
          </w:p>
        </w:tc>
      </w:tr>
      <w:tr w:rsidR="00A80A0C" w:rsidRPr="00A80A0C" w14:paraId="636D2DDC" w14:textId="77777777" w:rsidTr="00D25A13">
        <w:trPr>
          <w:jc w:val="center"/>
        </w:trPr>
        <w:tc>
          <w:tcPr>
            <w:tcW w:w="2693" w:type="dxa"/>
            <w:tcBorders>
              <w:top w:val="nil"/>
              <w:left w:val="nil"/>
              <w:bottom w:val="nil"/>
              <w:right w:val="nil"/>
            </w:tcBorders>
            <w:vAlign w:val="center"/>
            <w:hideMark/>
          </w:tcPr>
          <w:p w14:paraId="241C6605" w14:textId="77777777" w:rsidR="00A80A0C" w:rsidRPr="00A80A0C" w:rsidRDefault="00A80A0C" w:rsidP="00D25A13">
            <w:pPr>
              <w:snapToGrid w:val="0"/>
              <w:spacing w:beforeLines="30" w:before="93" w:afterLines="50" w:after="156" w:line="200" w:lineRule="exact"/>
              <w:rPr>
                <w:b/>
                <w:color w:val="000000" w:themeColor="text1"/>
                <w:szCs w:val="21"/>
              </w:rPr>
            </w:pPr>
            <w:r w:rsidRPr="00A80A0C">
              <w:rPr>
                <w:color w:val="000000" w:themeColor="text1"/>
                <w:szCs w:val="21"/>
              </w:rPr>
              <w:t>Barging power theory</w:t>
            </w:r>
          </w:p>
        </w:tc>
        <w:tc>
          <w:tcPr>
            <w:tcW w:w="4678" w:type="dxa"/>
            <w:tcBorders>
              <w:top w:val="nil"/>
              <w:left w:val="nil"/>
              <w:bottom w:val="nil"/>
              <w:right w:val="nil"/>
            </w:tcBorders>
            <w:vAlign w:val="center"/>
            <w:hideMark/>
          </w:tcPr>
          <w:p w14:paraId="70829A64"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Barging power is the relative ability of parties in a situation to exert influence over each other (Kuhn et al., 1983).</w:t>
            </w:r>
          </w:p>
        </w:tc>
        <w:tc>
          <w:tcPr>
            <w:tcW w:w="3828" w:type="dxa"/>
            <w:tcBorders>
              <w:top w:val="nil"/>
              <w:left w:val="nil"/>
              <w:bottom w:val="nil"/>
              <w:right w:val="nil"/>
            </w:tcBorders>
            <w:vAlign w:val="center"/>
            <w:hideMark/>
          </w:tcPr>
          <w:p w14:paraId="5D69E098"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 xml:space="preserve">This theory is used to explore the impact of the bargaining power on financing behaviour, such as financing leverage (Oliveira, </w:t>
            </w:r>
            <w:proofErr w:type="spellStart"/>
            <w:r w:rsidRPr="00A80A0C">
              <w:rPr>
                <w:color w:val="000000" w:themeColor="text1"/>
                <w:szCs w:val="21"/>
              </w:rPr>
              <w:t>Kadapakkam</w:t>
            </w:r>
            <w:proofErr w:type="spellEnd"/>
            <w:r w:rsidRPr="00A80A0C">
              <w:rPr>
                <w:color w:val="000000" w:themeColor="text1"/>
                <w:szCs w:val="21"/>
              </w:rPr>
              <w:t xml:space="preserve">, and </w:t>
            </w:r>
            <w:proofErr w:type="spellStart"/>
            <w:r w:rsidRPr="00A80A0C">
              <w:rPr>
                <w:color w:val="000000" w:themeColor="text1"/>
                <w:szCs w:val="21"/>
              </w:rPr>
              <w:t>Beyhaghi</w:t>
            </w:r>
            <w:proofErr w:type="spellEnd"/>
            <w:r w:rsidRPr="00A80A0C">
              <w:rPr>
                <w:color w:val="000000" w:themeColor="text1"/>
                <w:szCs w:val="21"/>
              </w:rPr>
              <w:t>, 2017) and the access to trade credit (</w:t>
            </w:r>
            <w:proofErr w:type="spellStart"/>
            <w:r w:rsidRPr="00A80A0C">
              <w:rPr>
                <w:color w:val="000000" w:themeColor="text1"/>
                <w:szCs w:val="21"/>
              </w:rPr>
              <w:t>Breza</w:t>
            </w:r>
            <w:proofErr w:type="spellEnd"/>
            <w:r w:rsidRPr="00A80A0C">
              <w:rPr>
                <w:color w:val="000000" w:themeColor="text1"/>
                <w:szCs w:val="21"/>
              </w:rPr>
              <w:t xml:space="preserve"> and Liberman, 2017; </w:t>
            </w:r>
            <w:proofErr w:type="spellStart"/>
            <w:r w:rsidRPr="00A80A0C">
              <w:rPr>
                <w:color w:val="000000" w:themeColor="text1"/>
                <w:szCs w:val="21"/>
              </w:rPr>
              <w:t>Fabbri</w:t>
            </w:r>
            <w:proofErr w:type="spellEnd"/>
            <w:r w:rsidRPr="00A80A0C">
              <w:rPr>
                <w:color w:val="000000" w:themeColor="text1"/>
                <w:szCs w:val="21"/>
              </w:rPr>
              <w:t xml:space="preserve"> and </w:t>
            </w:r>
            <w:proofErr w:type="spellStart"/>
            <w:r w:rsidRPr="00A80A0C">
              <w:rPr>
                <w:color w:val="000000" w:themeColor="text1"/>
                <w:szCs w:val="21"/>
              </w:rPr>
              <w:t>Klapper</w:t>
            </w:r>
            <w:proofErr w:type="spellEnd"/>
            <w:r w:rsidRPr="00A80A0C">
              <w:rPr>
                <w:color w:val="000000" w:themeColor="text1"/>
                <w:szCs w:val="21"/>
              </w:rPr>
              <w:t>, 2016).</w:t>
            </w:r>
          </w:p>
        </w:tc>
        <w:tc>
          <w:tcPr>
            <w:tcW w:w="2409" w:type="dxa"/>
            <w:tcBorders>
              <w:top w:val="nil"/>
              <w:left w:val="nil"/>
              <w:bottom w:val="nil"/>
              <w:right w:val="nil"/>
            </w:tcBorders>
            <w:vAlign w:val="center"/>
            <w:hideMark/>
          </w:tcPr>
          <w:p w14:paraId="41DA0135" w14:textId="77777777" w:rsidR="00A80A0C" w:rsidRPr="00A80A0C" w:rsidRDefault="00A80A0C" w:rsidP="00D25A13">
            <w:pPr>
              <w:snapToGrid w:val="0"/>
              <w:spacing w:beforeLines="30" w:before="93" w:afterLines="50" w:after="156" w:line="200" w:lineRule="exact"/>
              <w:jc w:val="left"/>
              <w:rPr>
                <w:color w:val="000000" w:themeColor="text1"/>
                <w:szCs w:val="21"/>
              </w:rPr>
            </w:pPr>
            <w:r w:rsidRPr="00A80A0C">
              <w:rPr>
                <w:color w:val="000000" w:themeColor="text1"/>
                <w:szCs w:val="21"/>
              </w:rPr>
              <w:t xml:space="preserve">Oliveira et al. (2017); </w:t>
            </w:r>
            <w:proofErr w:type="spellStart"/>
            <w:r w:rsidRPr="00A80A0C">
              <w:rPr>
                <w:color w:val="000000" w:themeColor="text1"/>
                <w:szCs w:val="21"/>
              </w:rPr>
              <w:t>Breza</w:t>
            </w:r>
            <w:proofErr w:type="spellEnd"/>
            <w:r w:rsidRPr="00A80A0C">
              <w:rPr>
                <w:color w:val="000000" w:themeColor="text1"/>
                <w:szCs w:val="21"/>
              </w:rPr>
              <w:t xml:space="preserve"> and Liberman (2017); </w:t>
            </w:r>
            <w:proofErr w:type="spellStart"/>
            <w:r w:rsidRPr="00A80A0C">
              <w:rPr>
                <w:color w:val="000000" w:themeColor="text1"/>
                <w:szCs w:val="21"/>
              </w:rPr>
              <w:t>Fabbri</w:t>
            </w:r>
            <w:proofErr w:type="spellEnd"/>
            <w:r w:rsidRPr="00A80A0C">
              <w:rPr>
                <w:color w:val="000000" w:themeColor="text1"/>
                <w:szCs w:val="21"/>
              </w:rPr>
              <w:t xml:space="preserve"> and </w:t>
            </w:r>
            <w:proofErr w:type="spellStart"/>
            <w:r w:rsidRPr="00A80A0C">
              <w:rPr>
                <w:color w:val="000000" w:themeColor="text1"/>
                <w:szCs w:val="21"/>
              </w:rPr>
              <w:t>Klapper</w:t>
            </w:r>
            <w:proofErr w:type="spellEnd"/>
            <w:r w:rsidRPr="00A80A0C">
              <w:rPr>
                <w:color w:val="000000" w:themeColor="text1"/>
                <w:szCs w:val="21"/>
              </w:rPr>
              <w:t xml:space="preserve"> (2016); </w:t>
            </w:r>
          </w:p>
        </w:tc>
      </w:tr>
      <w:tr w:rsidR="00A80A0C" w:rsidRPr="00A80A0C" w14:paraId="0E7AA6CE" w14:textId="77777777" w:rsidTr="00D25A13">
        <w:trPr>
          <w:jc w:val="center"/>
        </w:trPr>
        <w:tc>
          <w:tcPr>
            <w:tcW w:w="2693" w:type="dxa"/>
            <w:tcBorders>
              <w:top w:val="nil"/>
              <w:left w:val="nil"/>
              <w:bottom w:val="nil"/>
              <w:right w:val="nil"/>
            </w:tcBorders>
            <w:vAlign w:val="center"/>
          </w:tcPr>
          <w:p w14:paraId="6E85486E" w14:textId="77777777" w:rsidR="00A80A0C" w:rsidRPr="00A80A0C" w:rsidRDefault="00A80A0C" w:rsidP="00D25A13">
            <w:pPr>
              <w:snapToGrid w:val="0"/>
              <w:spacing w:beforeLines="30" w:before="93" w:afterLines="50" w:after="156" w:line="200" w:lineRule="exact"/>
              <w:rPr>
                <w:b/>
                <w:color w:val="000000" w:themeColor="text1"/>
                <w:szCs w:val="21"/>
              </w:rPr>
            </w:pPr>
            <w:r w:rsidRPr="00A80A0C">
              <w:rPr>
                <w:color w:val="000000" w:themeColor="text1"/>
                <w:szCs w:val="21"/>
              </w:rPr>
              <w:t>Pecking order theory</w:t>
            </w:r>
          </w:p>
        </w:tc>
        <w:tc>
          <w:tcPr>
            <w:tcW w:w="4678" w:type="dxa"/>
            <w:tcBorders>
              <w:top w:val="nil"/>
              <w:left w:val="nil"/>
              <w:bottom w:val="nil"/>
              <w:right w:val="nil"/>
            </w:tcBorders>
            <w:vAlign w:val="center"/>
          </w:tcPr>
          <w:p w14:paraId="0A38994D"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 xml:space="preserve">The financing sources of a firm include internal funds, debt and new equity. A company firstly prefers internal funds, then debt and lastly equity (Myers and </w:t>
            </w:r>
            <w:proofErr w:type="spellStart"/>
            <w:r w:rsidRPr="00A80A0C">
              <w:rPr>
                <w:color w:val="000000" w:themeColor="text1"/>
                <w:szCs w:val="21"/>
              </w:rPr>
              <w:t>Majluf</w:t>
            </w:r>
            <w:proofErr w:type="spellEnd"/>
            <w:r w:rsidRPr="00A80A0C">
              <w:rPr>
                <w:color w:val="000000" w:themeColor="text1"/>
                <w:szCs w:val="21"/>
              </w:rPr>
              <w:t>, 1984).</w:t>
            </w:r>
          </w:p>
        </w:tc>
        <w:tc>
          <w:tcPr>
            <w:tcW w:w="3828" w:type="dxa"/>
            <w:tcBorders>
              <w:top w:val="nil"/>
              <w:left w:val="nil"/>
              <w:bottom w:val="nil"/>
              <w:right w:val="nil"/>
            </w:tcBorders>
            <w:vAlign w:val="center"/>
          </w:tcPr>
          <w:p w14:paraId="385DE3D5"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This theory is adopted to investigate the determinant factor of supply and demand for trade credit.</w:t>
            </w:r>
          </w:p>
        </w:tc>
        <w:tc>
          <w:tcPr>
            <w:tcW w:w="2409" w:type="dxa"/>
            <w:tcBorders>
              <w:top w:val="nil"/>
              <w:left w:val="nil"/>
              <w:bottom w:val="nil"/>
              <w:right w:val="nil"/>
            </w:tcBorders>
            <w:vAlign w:val="center"/>
          </w:tcPr>
          <w:p w14:paraId="04FA3973" w14:textId="77777777" w:rsidR="00A80A0C" w:rsidRPr="00A80A0C" w:rsidRDefault="00A80A0C" w:rsidP="00D25A13">
            <w:pPr>
              <w:snapToGrid w:val="0"/>
              <w:spacing w:beforeLines="30" w:before="93" w:afterLines="50" w:after="156" w:line="200" w:lineRule="exact"/>
              <w:jc w:val="left"/>
              <w:rPr>
                <w:color w:val="000000" w:themeColor="text1"/>
                <w:szCs w:val="21"/>
              </w:rPr>
            </w:pPr>
            <w:r w:rsidRPr="00A80A0C">
              <w:rPr>
                <w:color w:val="000000" w:themeColor="text1"/>
                <w:szCs w:val="21"/>
              </w:rPr>
              <w:t xml:space="preserve">de Carvalho and </w:t>
            </w:r>
            <w:proofErr w:type="spellStart"/>
            <w:r w:rsidRPr="00A80A0C">
              <w:rPr>
                <w:color w:val="000000" w:themeColor="text1"/>
                <w:szCs w:val="21"/>
              </w:rPr>
              <w:t>Schiozer</w:t>
            </w:r>
            <w:proofErr w:type="spellEnd"/>
            <w:r w:rsidRPr="00A80A0C">
              <w:rPr>
                <w:color w:val="000000" w:themeColor="text1"/>
                <w:szCs w:val="21"/>
              </w:rPr>
              <w:t xml:space="preserve">. (2015); Lee et al. (2018) </w:t>
            </w:r>
          </w:p>
        </w:tc>
      </w:tr>
      <w:tr w:rsidR="00A80A0C" w:rsidRPr="00A80A0C" w14:paraId="1848A401" w14:textId="77777777" w:rsidTr="00D25A13">
        <w:trPr>
          <w:jc w:val="center"/>
        </w:trPr>
        <w:tc>
          <w:tcPr>
            <w:tcW w:w="2693" w:type="dxa"/>
            <w:tcBorders>
              <w:top w:val="nil"/>
              <w:left w:val="nil"/>
              <w:bottom w:val="nil"/>
              <w:right w:val="nil"/>
            </w:tcBorders>
            <w:vAlign w:val="center"/>
            <w:hideMark/>
          </w:tcPr>
          <w:p w14:paraId="125DDEE4" w14:textId="77777777" w:rsidR="00A80A0C" w:rsidRPr="00A80A0C" w:rsidRDefault="00A80A0C" w:rsidP="00D25A13">
            <w:pPr>
              <w:snapToGrid w:val="0"/>
              <w:spacing w:beforeLines="30" w:before="93" w:afterLines="50" w:after="156" w:line="200" w:lineRule="exact"/>
              <w:rPr>
                <w:b/>
                <w:color w:val="000000" w:themeColor="text1"/>
                <w:szCs w:val="21"/>
              </w:rPr>
            </w:pPr>
            <w:r w:rsidRPr="00A80A0C">
              <w:rPr>
                <w:color w:val="000000" w:themeColor="text1"/>
                <w:szCs w:val="21"/>
              </w:rPr>
              <w:t>Transaction cost theory</w:t>
            </w:r>
          </w:p>
        </w:tc>
        <w:tc>
          <w:tcPr>
            <w:tcW w:w="4678" w:type="dxa"/>
            <w:tcBorders>
              <w:top w:val="nil"/>
              <w:left w:val="nil"/>
              <w:bottom w:val="nil"/>
              <w:right w:val="nil"/>
            </w:tcBorders>
            <w:vAlign w:val="center"/>
            <w:hideMark/>
          </w:tcPr>
          <w:p w14:paraId="363C9131"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Transaction cost theory explores how an entity uses different organisational forms to coordinate transactions (Coase, 1937).</w:t>
            </w:r>
          </w:p>
        </w:tc>
        <w:tc>
          <w:tcPr>
            <w:tcW w:w="3828" w:type="dxa"/>
            <w:tcBorders>
              <w:top w:val="nil"/>
              <w:left w:val="nil"/>
              <w:bottom w:val="nil"/>
              <w:right w:val="nil"/>
            </w:tcBorders>
            <w:vAlign w:val="center"/>
            <w:hideMark/>
          </w:tcPr>
          <w:p w14:paraId="4C9ADFC3"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TCE can be used to set theoretical context for SCF (</w:t>
            </w:r>
            <w:proofErr w:type="spellStart"/>
            <w:r w:rsidRPr="00A80A0C">
              <w:rPr>
                <w:color w:val="000000" w:themeColor="text1"/>
                <w:szCs w:val="21"/>
              </w:rPr>
              <w:t>Wuttke</w:t>
            </w:r>
            <w:proofErr w:type="spellEnd"/>
            <w:r w:rsidRPr="00A80A0C">
              <w:rPr>
                <w:color w:val="000000" w:themeColor="text1"/>
                <w:szCs w:val="21"/>
              </w:rPr>
              <w:t xml:space="preserve">, </w:t>
            </w:r>
            <w:proofErr w:type="spellStart"/>
            <w:r w:rsidRPr="00A80A0C">
              <w:rPr>
                <w:color w:val="000000" w:themeColor="text1"/>
                <w:szCs w:val="21"/>
              </w:rPr>
              <w:t>Blome</w:t>
            </w:r>
            <w:proofErr w:type="spellEnd"/>
            <w:r w:rsidRPr="00A80A0C">
              <w:rPr>
                <w:color w:val="000000" w:themeColor="text1"/>
                <w:szCs w:val="21"/>
              </w:rPr>
              <w:t>, and Henke, 2013) and explain the use of trade credit (Ferris, 1981).</w:t>
            </w:r>
          </w:p>
        </w:tc>
        <w:tc>
          <w:tcPr>
            <w:tcW w:w="2409" w:type="dxa"/>
            <w:tcBorders>
              <w:top w:val="nil"/>
              <w:left w:val="nil"/>
              <w:bottom w:val="nil"/>
              <w:right w:val="nil"/>
            </w:tcBorders>
            <w:vAlign w:val="center"/>
            <w:hideMark/>
          </w:tcPr>
          <w:p w14:paraId="6C87294F" w14:textId="77777777" w:rsidR="00A80A0C" w:rsidRPr="00A80A0C" w:rsidRDefault="00A80A0C" w:rsidP="00D25A13">
            <w:pPr>
              <w:snapToGrid w:val="0"/>
              <w:spacing w:beforeLines="30" w:before="93" w:afterLines="50" w:after="156" w:line="200" w:lineRule="exact"/>
              <w:jc w:val="left"/>
              <w:rPr>
                <w:color w:val="000000" w:themeColor="text1"/>
                <w:szCs w:val="21"/>
              </w:rPr>
            </w:pPr>
            <w:proofErr w:type="spellStart"/>
            <w:r w:rsidRPr="00A80A0C">
              <w:rPr>
                <w:color w:val="000000" w:themeColor="text1"/>
                <w:szCs w:val="21"/>
              </w:rPr>
              <w:t>Wuttke</w:t>
            </w:r>
            <w:proofErr w:type="spellEnd"/>
            <w:r w:rsidRPr="00A80A0C">
              <w:rPr>
                <w:color w:val="000000" w:themeColor="text1"/>
                <w:szCs w:val="21"/>
              </w:rPr>
              <w:t xml:space="preserve"> et al. (2013)</w:t>
            </w:r>
          </w:p>
        </w:tc>
      </w:tr>
      <w:tr w:rsidR="00A80A0C" w:rsidRPr="00A80A0C" w14:paraId="69442EB4" w14:textId="77777777" w:rsidTr="00D25A13">
        <w:trPr>
          <w:jc w:val="center"/>
        </w:trPr>
        <w:tc>
          <w:tcPr>
            <w:tcW w:w="2693" w:type="dxa"/>
            <w:tcBorders>
              <w:top w:val="nil"/>
              <w:left w:val="nil"/>
              <w:bottom w:val="nil"/>
              <w:right w:val="nil"/>
            </w:tcBorders>
            <w:vAlign w:val="center"/>
            <w:hideMark/>
          </w:tcPr>
          <w:p w14:paraId="35C867D9" w14:textId="77777777" w:rsidR="00A80A0C" w:rsidRPr="00A80A0C" w:rsidRDefault="00A80A0C" w:rsidP="00D25A13">
            <w:pPr>
              <w:snapToGrid w:val="0"/>
              <w:spacing w:beforeLines="30" w:before="93" w:afterLines="50" w:after="156" w:line="200" w:lineRule="exact"/>
              <w:rPr>
                <w:b/>
                <w:color w:val="000000" w:themeColor="text1"/>
                <w:szCs w:val="21"/>
              </w:rPr>
            </w:pPr>
            <w:r w:rsidRPr="00A80A0C">
              <w:rPr>
                <w:color w:val="000000" w:themeColor="text1"/>
                <w:szCs w:val="21"/>
              </w:rPr>
              <w:t>Diversion theory</w:t>
            </w:r>
          </w:p>
        </w:tc>
        <w:tc>
          <w:tcPr>
            <w:tcW w:w="4678" w:type="dxa"/>
            <w:tcBorders>
              <w:top w:val="nil"/>
              <w:left w:val="nil"/>
              <w:bottom w:val="nil"/>
              <w:right w:val="nil"/>
            </w:tcBorders>
            <w:vAlign w:val="center"/>
            <w:hideMark/>
          </w:tcPr>
          <w:p w14:paraId="6444AD1F"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 xml:space="preserve">By forming a free trade agreement, trade can be diverted from a more efficient exporter to a less </w:t>
            </w:r>
            <w:r w:rsidRPr="00A80A0C">
              <w:rPr>
                <w:color w:val="000000" w:themeColor="text1"/>
                <w:szCs w:val="21"/>
              </w:rPr>
              <w:lastRenderedPageBreak/>
              <w:t>efficient one (Lipsey, 1957).</w:t>
            </w:r>
          </w:p>
        </w:tc>
        <w:tc>
          <w:tcPr>
            <w:tcW w:w="3828" w:type="dxa"/>
            <w:tcBorders>
              <w:top w:val="nil"/>
              <w:left w:val="nil"/>
              <w:bottom w:val="nil"/>
              <w:right w:val="nil"/>
            </w:tcBorders>
            <w:vAlign w:val="center"/>
            <w:hideMark/>
          </w:tcPr>
          <w:p w14:paraId="39B26E6E"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lastRenderedPageBreak/>
              <w:t xml:space="preserve">Compared to firms purchase more standard inputs, firms which buy a higher proportion </w:t>
            </w:r>
            <w:r w:rsidRPr="00A80A0C">
              <w:rPr>
                <w:color w:val="000000" w:themeColor="text1"/>
                <w:szCs w:val="21"/>
              </w:rPr>
              <w:lastRenderedPageBreak/>
              <w:t>of differentiated inputs have more trade credit.</w:t>
            </w:r>
          </w:p>
        </w:tc>
        <w:tc>
          <w:tcPr>
            <w:tcW w:w="2409" w:type="dxa"/>
            <w:tcBorders>
              <w:top w:val="nil"/>
              <w:left w:val="nil"/>
              <w:bottom w:val="nil"/>
              <w:right w:val="nil"/>
            </w:tcBorders>
            <w:vAlign w:val="center"/>
            <w:hideMark/>
          </w:tcPr>
          <w:p w14:paraId="0D434895" w14:textId="77777777" w:rsidR="00A80A0C" w:rsidRPr="00A80A0C" w:rsidRDefault="00A80A0C" w:rsidP="00D25A13">
            <w:pPr>
              <w:snapToGrid w:val="0"/>
              <w:spacing w:beforeLines="30" w:before="93" w:afterLines="50" w:after="156" w:line="200" w:lineRule="exact"/>
              <w:jc w:val="left"/>
              <w:rPr>
                <w:color w:val="000000" w:themeColor="text1"/>
                <w:szCs w:val="21"/>
              </w:rPr>
            </w:pPr>
            <w:proofErr w:type="spellStart"/>
            <w:r w:rsidRPr="00A80A0C">
              <w:rPr>
                <w:color w:val="000000" w:themeColor="text1"/>
                <w:szCs w:val="21"/>
              </w:rPr>
              <w:lastRenderedPageBreak/>
              <w:t>Mateut</w:t>
            </w:r>
            <w:proofErr w:type="spellEnd"/>
            <w:r w:rsidRPr="00A80A0C">
              <w:rPr>
                <w:color w:val="000000" w:themeColor="text1"/>
                <w:szCs w:val="21"/>
              </w:rPr>
              <w:t xml:space="preserve"> et al. (2015)</w:t>
            </w:r>
          </w:p>
        </w:tc>
      </w:tr>
      <w:tr w:rsidR="00A80A0C" w:rsidRPr="00A80A0C" w14:paraId="24472285" w14:textId="77777777" w:rsidTr="00D25A13">
        <w:trPr>
          <w:jc w:val="center"/>
        </w:trPr>
        <w:tc>
          <w:tcPr>
            <w:tcW w:w="2693" w:type="dxa"/>
            <w:tcBorders>
              <w:top w:val="nil"/>
              <w:left w:val="nil"/>
              <w:bottom w:val="nil"/>
              <w:right w:val="nil"/>
            </w:tcBorders>
            <w:vAlign w:val="center"/>
            <w:hideMark/>
          </w:tcPr>
          <w:p w14:paraId="77C0A087" w14:textId="77777777" w:rsidR="00A80A0C" w:rsidRPr="00A80A0C" w:rsidRDefault="00A80A0C" w:rsidP="00D25A13">
            <w:pPr>
              <w:snapToGrid w:val="0"/>
              <w:spacing w:beforeLines="30" w:before="93" w:afterLines="50" w:after="156" w:line="200" w:lineRule="exact"/>
              <w:rPr>
                <w:b/>
                <w:color w:val="000000" w:themeColor="text1"/>
                <w:szCs w:val="21"/>
              </w:rPr>
            </w:pPr>
            <w:r w:rsidRPr="00A80A0C">
              <w:rPr>
                <w:color w:val="000000" w:themeColor="text1"/>
              </w:rPr>
              <w:t>Innovation adoption theory</w:t>
            </w:r>
          </w:p>
        </w:tc>
        <w:tc>
          <w:tcPr>
            <w:tcW w:w="4678" w:type="dxa"/>
            <w:tcBorders>
              <w:top w:val="nil"/>
              <w:left w:val="nil"/>
              <w:bottom w:val="nil"/>
              <w:right w:val="nil"/>
            </w:tcBorders>
            <w:vAlign w:val="center"/>
            <w:hideMark/>
          </w:tcPr>
          <w:p w14:paraId="33DB65E3"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Innovation process can be divided into initiation and implementation. Initiation includes agenda setting and matching. Implementation includes redefining, clarifying and routinizing (Rogers, 2010).</w:t>
            </w:r>
          </w:p>
        </w:tc>
        <w:tc>
          <w:tcPr>
            <w:tcW w:w="3828" w:type="dxa"/>
            <w:tcBorders>
              <w:top w:val="nil"/>
              <w:left w:val="nil"/>
              <w:bottom w:val="nil"/>
              <w:right w:val="nil"/>
            </w:tcBorders>
            <w:vAlign w:val="center"/>
            <w:hideMark/>
          </w:tcPr>
          <w:p w14:paraId="02E07F46" w14:textId="77777777" w:rsidR="00A80A0C" w:rsidRPr="00A80A0C" w:rsidRDefault="00A80A0C" w:rsidP="00D25A13">
            <w:pPr>
              <w:snapToGrid w:val="0"/>
              <w:spacing w:beforeLines="30" w:before="93" w:afterLines="50" w:after="156" w:line="200" w:lineRule="exact"/>
              <w:rPr>
                <w:color w:val="000000" w:themeColor="text1"/>
                <w:szCs w:val="21"/>
              </w:rPr>
            </w:pPr>
            <w:r w:rsidRPr="00A80A0C">
              <w:rPr>
                <w:color w:val="000000" w:themeColor="text1"/>
                <w:szCs w:val="21"/>
              </w:rPr>
              <w:t>The innovation process can be used to account for the upstream SCF innovation.</w:t>
            </w:r>
          </w:p>
        </w:tc>
        <w:tc>
          <w:tcPr>
            <w:tcW w:w="2409" w:type="dxa"/>
            <w:tcBorders>
              <w:top w:val="nil"/>
              <w:left w:val="nil"/>
              <w:bottom w:val="nil"/>
              <w:right w:val="nil"/>
            </w:tcBorders>
            <w:vAlign w:val="center"/>
            <w:hideMark/>
          </w:tcPr>
          <w:p w14:paraId="797F50AE" w14:textId="77777777" w:rsidR="00A80A0C" w:rsidRPr="00A80A0C" w:rsidRDefault="00A80A0C" w:rsidP="00D25A13">
            <w:pPr>
              <w:snapToGrid w:val="0"/>
              <w:spacing w:beforeLines="30" w:before="93" w:afterLines="50" w:after="156" w:line="200" w:lineRule="exact"/>
              <w:jc w:val="left"/>
              <w:rPr>
                <w:color w:val="000000" w:themeColor="text1"/>
                <w:szCs w:val="21"/>
              </w:rPr>
            </w:pPr>
            <w:proofErr w:type="spellStart"/>
            <w:r w:rsidRPr="00A80A0C">
              <w:rPr>
                <w:color w:val="000000" w:themeColor="text1"/>
                <w:szCs w:val="21"/>
              </w:rPr>
              <w:t>Wuttke</w:t>
            </w:r>
            <w:proofErr w:type="spellEnd"/>
            <w:r w:rsidRPr="00A80A0C">
              <w:rPr>
                <w:color w:val="000000" w:themeColor="text1"/>
                <w:szCs w:val="21"/>
              </w:rPr>
              <w:t xml:space="preserve"> et al. (2013)</w:t>
            </w:r>
          </w:p>
        </w:tc>
      </w:tr>
      <w:tr w:rsidR="00A80A0C" w:rsidRPr="00A80A0C" w14:paraId="3B5CB98B" w14:textId="77777777" w:rsidTr="00D25A13">
        <w:trPr>
          <w:jc w:val="center"/>
        </w:trPr>
        <w:tc>
          <w:tcPr>
            <w:tcW w:w="2693" w:type="dxa"/>
            <w:tcBorders>
              <w:top w:val="nil"/>
              <w:left w:val="nil"/>
              <w:bottom w:val="nil"/>
              <w:right w:val="nil"/>
            </w:tcBorders>
            <w:vAlign w:val="center"/>
            <w:hideMark/>
          </w:tcPr>
          <w:p w14:paraId="580403BC" w14:textId="77777777" w:rsidR="00A80A0C" w:rsidRPr="00A80A0C" w:rsidRDefault="00A80A0C" w:rsidP="00D25A13">
            <w:pPr>
              <w:snapToGrid w:val="0"/>
              <w:spacing w:beforeLines="30" w:before="93" w:afterLines="50" w:after="156" w:line="200" w:lineRule="exact"/>
              <w:rPr>
                <w:b/>
                <w:color w:val="000000" w:themeColor="text1"/>
                <w:szCs w:val="21"/>
              </w:rPr>
            </w:pPr>
            <w:r w:rsidRPr="00A80A0C">
              <w:rPr>
                <w:color w:val="000000" w:themeColor="text1"/>
                <w:szCs w:val="21"/>
              </w:rPr>
              <w:t>Inventory theory</w:t>
            </w:r>
          </w:p>
        </w:tc>
        <w:tc>
          <w:tcPr>
            <w:tcW w:w="4678" w:type="dxa"/>
            <w:tcBorders>
              <w:top w:val="nil"/>
              <w:left w:val="nil"/>
              <w:bottom w:val="nil"/>
              <w:right w:val="nil"/>
            </w:tcBorders>
            <w:vAlign w:val="center"/>
            <w:hideMark/>
          </w:tcPr>
          <w:p w14:paraId="2D101EB6"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It is used to design production/inventory system to minimize costs (Arrow, 1958).</w:t>
            </w:r>
          </w:p>
        </w:tc>
        <w:tc>
          <w:tcPr>
            <w:tcW w:w="3828" w:type="dxa"/>
            <w:tcBorders>
              <w:top w:val="nil"/>
              <w:left w:val="nil"/>
              <w:bottom w:val="nil"/>
              <w:right w:val="nil"/>
            </w:tcBorders>
            <w:vAlign w:val="center"/>
            <w:hideMark/>
          </w:tcPr>
          <w:p w14:paraId="5E76F6AB" w14:textId="77777777" w:rsidR="00A80A0C" w:rsidRPr="00A80A0C" w:rsidRDefault="00A80A0C" w:rsidP="00D25A13">
            <w:pPr>
              <w:snapToGrid w:val="0"/>
              <w:spacing w:beforeLines="30" w:before="93" w:afterLines="50" w:after="156" w:line="200" w:lineRule="exact"/>
              <w:rPr>
                <w:color w:val="000000" w:themeColor="text1"/>
                <w:szCs w:val="21"/>
              </w:rPr>
            </w:pPr>
            <w:r w:rsidRPr="00A80A0C">
              <w:rPr>
                <w:color w:val="000000" w:themeColor="text1"/>
                <w:szCs w:val="21"/>
              </w:rPr>
              <w:t xml:space="preserve">This theory can be used to illustrate firms’ SCF benefits. </w:t>
            </w:r>
          </w:p>
        </w:tc>
        <w:tc>
          <w:tcPr>
            <w:tcW w:w="2409" w:type="dxa"/>
            <w:tcBorders>
              <w:top w:val="nil"/>
              <w:left w:val="nil"/>
              <w:bottom w:val="nil"/>
              <w:right w:val="nil"/>
            </w:tcBorders>
            <w:vAlign w:val="center"/>
            <w:hideMark/>
          </w:tcPr>
          <w:p w14:paraId="14E1F410" w14:textId="77777777" w:rsidR="00A80A0C" w:rsidRPr="00A80A0C" w:rsidRDefault="00A80A0C" w:rsidP="00D25A13">
            <w:pPr>
              <w:snapToGrid w:val="0"/>
              <w:spacing w:beforeLines="30" w:before="93" w:afterLines="50" w:after="156" w:line="200" w:lineRule="exact"/>
              <w:jc w:val="left"/>
              <w:rPr>
                <w:color w:val="000000" w:themeColor="text1"/>
                <w:szCs w:val="21"/>
              </w:rPr>
            </w:pPr>
            <w:r w:rsidRPr="00A80A0C">
              <w:rPr>
                <w:color w:val="000000" w:themeColor="text1"/>
                <w:szCs w:val="21"/>
              </w:rPr>
              <w:t>Huff and Rogers (2015)</w:t>
            </w:r>
          </w:p>
        </w:tc>
      </w:tr>
      <w:tr w:rsidR="00A80A0C" w:rsidRPr="00A80A0C" w14:paraId="29D2E315" w14:textId="77777777" w:rsidTr="00D25A13">
        <w:trPr>
          <w:jc w:val="center"/>
        </w:trPr>
        <w:tc>
          <w:tcPr>
            <w:tcW w:w="2693" w:type="dxa"/>
            <w:tcBorders>
              <w:top w:val="nil"/>
              <w:left w:val="nil"/>
              <w:bottom w:val="nil"/>
              <w:right w:val="nil"/>
            </w:tcBorders>
            <w:vAlign w:val="center"/>
            <w:hideMark/>
          </w:tcPr>
          <w:p w14:paraId="6F46D805" w14:textId="77777777" w:rsidR="00A80A0C" w:rsidRPr="00A80A0C" w:rsidRDefault="00A80A0C" w:rsidP="00D25A13">
            <w:pPr>
              <w:snapToGrid w:val="0"/>
              <w:spacing w:beforeLines="30" w:before="93" w:afterLines="50" w:after="156" w:line="200" w:lineRule="exact"/>
              <w:rPr>
                <w:b/>
                <w:color w:val="000000" w:themeColor="text1"/>
                <w:szCs w:val="21"/>
              </w:rPr>
            </w:pPr>
            <w:r w:rsidRPr="00A80A0C">
              <w:rPr>
                <w:color w:val="000000" w:themeColor="text1"/>
                <w:szCs w:val="21"/>
              </w:rPr>
              <w:t>Task interdependence</w:t>
            </w:r>
          </w:p>
        </w:tc>
        <w:tc>
          <w:tcPr>
            <w:tcW w:w="4678" w:type="dxa"/>
            <w:tcBorders>
              <w:top w:val="nil"/>
              <w:left w:val="nil"/>
              <w:bottom w:val="nil"/>
              <w:right w:val="nil"/>
            </w:tcBorders>
            <w:vAlign w:val="center"/>
            <w:hideMark/>
          </w:tcPr>
          <w:p w14:paraId="0BDA1F72"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Task interdependence can be pooled (Using standardised coordination to discrete contribution), reciprocal (inputting and outputting mutually) and sequential (one unit’s output is another one’s input, but the dependency is not reciprocated) (Thompson, 1967).</w:t>
            </w:r>
          </w:p>
        </w:tc>
        <w:tc>
          <w:tcPr>
            <w:tcW w:w="3828" w:type="dxa"/>
            <w:tcBorders>
              <w:top w:val="nil"/>
              <w:left w:val="nil"/>
              <w:bottom w:val="nil"/>
              <w:right w:val="nil"/>
            </w:tcBorders>
            <w:vAlign w:val="center"/>
            <w:hideMark/>
          </w:tcPr>
          <w:p w14:paraId="49F513FB" w14:textId="77777777" w:rsidR="00A80A0C" w:rsidRPr="00A80A0C" w:rsidRDefault="00A80A0C" w:rsidP="00D25A13">
            <w:pPr>
              <w:snapToGrid w:val="0"/>
              <w:spacing w:beforeLines="30" w:before="93" w:afterLines="50" w:after="156" w:line="200" w:lineRule="exact"/>
              <w:rPr>
                <w:color w:val="000000" w:themeColor="text1"/>
                <w:szCs w:val="21"/>
              </w:rPr>
            </w:pPr>
            <w:r w:rsidRPr="00A80A0C">
              <w:rPr>
                <w:color w:val="000000" w:themeColor="text1"/>
                <w:szCs w:val="21"/>
              </w:rPr>
              <w:t xml:space="preserve">Task interdependence and resource dependence theory can be combined to explore the determinants of trade credit in supply chain. </w:t>
            </w:r>
          </w:p>
        </w:tc>
        <w:tc>
          <w:tcPr>
            <w:tcW w:w="2409" w:type="dxa"/>
            <w:tcBorders>
              <w:top w:val="nil"/>
              <w:left w:val="nil"/>
              <w:bottom w:val="nil"/>
              <w:right w:val="nil"/>
            </w:tcBorders>
            <w:vAlign w:val="center"/>
            <w:hideMark/>
          </w:tcPr>
          <w:p w14:paraId="5A0C6D88" w14:textId="77777777" w:rsidR="00A80A0C" w:rsidRPr="00A80A0C" w:rsidRDefault="00A80A0C" w:rsidP="00D25A13">
            <w:pPr>
              <w:snapToGrid w:val="0"/>
              <w:spacing w:beforeLines="30" w:before="93" w:afterLines="50" w:after="156" w:line="200" w:lineRule="exact"/>
              <w:jc w:val="left"/>
              <w:rPr>
                <w:color w:val="000000" w:themeColor="text1"/>
                <w:szCs w:val="21"/>
              </w:rPr>
            </w:pPr>
            <w:r w:rsidRPr="00A80A0C">
              <w:rPr>
                <w:color w:val="000000" w:themeColor="text1"/>
                <w:szCs w:val="21"/>
              </w:rPr>
              <w:t>Lorentz et al. (2016)</w:t>
            </w:r>
          </w:p>
        </w:tc>
      </w:tr>
      <w:tr w:rsidR="00A80A0C" w:rsidRPr="00A80A0C" w14:paraId="2A5276CE" w14:textId="77777777" w:rsidTr="00D25A13">
        <w:trPr>
          <w:jc w:val="center"/>
        </w:trPr>
        <w:tc>
          <w:tcPr>
            <w:tcW w:w="2693" w:type="dxa"/>
            <w:tcBorders>
              <w:top w:val="nil"/>
              <w:left w:val="nil"/>
              <w:bottom w:val="single" w:sz="4" w:space="0" w:color="auto"/>
              <w:right w:val="nil"/>
            </w:tcBorders>
            <w:vAlign w:val="center"/>
            <w:hideMark/>
          </w:tcPr>
          <w:p w14:paraId="1A5E6CF4" w14:textId="77777777" w:rsidR="00A80A0C" w:rsidRPr="00A80A0C" w:rsidRDefault="00A80A0C" w:rsidP="00D25A13">
            <w:pPr>
              <w:snapToGrid w:val="0"/>
              <w:spacing w:beforeLines="30" w:before="93" w:afterLines="50" w:after="156" w:line="200" w:lineRule="exact"/>
              <w:rPr>
                <w:b/>
                <w:color w:val="000000" w:themeColor="text1"/>
                <w:szCs w:val="21"/>
              </w:rPr>
            </w:pPr>
            <w:r w:rsidRPr="00A80A0C">
              <w:rPr>
                <w:color w:val="000000" w:themeColor="text1"/>
                <w:szCs w:val="21"/>
              </w:rPr>
              <w:t>System theory</w:t>
            </w:r>
          </w:p>
        </w:tc>
        <w:tc>
          <w:tcPr>
            <w:tcW w:w="4678" w:type="dxa"/>
            <w:tcBorders>
              <w:top w:val="nil"/>
              <w:left w:val="nil"/>
              <w:bottom w:val="single" w:sz="4" w:space="0" w:color="auto"/>
              <w:right w:val="nil"/>
            </w:tcBorders>
            <w:vAlign w:val="center"/>
            <w:hideMark/>
          </w:tcPr>
          <w:p w14:paraId="33869BB1" w14:textId="77777777" w:rsidR="00A80A0C" w:rsidRPr="00A80A0C" w:rsidRDefault="00A80A0C" w:rsidP="00D25A13">
            <w:pPr>
              <w:snapToGrid w:val="0"/>
              <w:spacing w:beforeLines="30" w:before="93" w:after="20" w:line="200" w:lineRule="exact"/>
              <w:rPr>
                <w:color w:val="000000" w:themeColor="text1"/>
                <w:szCs w:val="21"/>
              </w:rPr>
            </w:pPr>
            <w:r w:rsidRPr="00A80A0C">
              <w:rPr>
                <w:color w:val="000000" w:themeColor="text1"/>
                <w:szCs w:val="21"/>
              </w:rPr>
              <w:t>Stove-piped decision aimed at maximizing a particular transaction in a single function can result in sub-optimized outcomes that influence overall firm performance negatively (Drucker, 1962).</w:t>
            </w:r>
          </w:p>
        </w:tc>
        <w:tc>
          <w:tcPr>
            <w:tcW w:w="3828" w:type="dxa"/>
            <w:tcBorders>
              <w:top w:val="nil"/>
              <w:left w:val="nil"/>
              <w:bottom w:val="single" w:sz="4" w:space="0" w:color="auto"/>
              <w:right w:val="nil"/>
            </w:tcBorders>
            <w:vAlign w:val="center"/>
            <w:hideMark/>
          </w:tcPr>
          <w:p w14:paraId="4E0FA0FA" w14:textId="77777777" w:rsidR="00A80A0C" w:rsidRPr="00A80A0C" w:rsidRDefault="00A80A0C" w:rsidP="00D25A13">
            <w:pPr>
              <w:snapToGrid w:val="0"/>
              <w:spacing w:beforeLines="30" w:before="93" w:afterLines="50" w:after="156" w:line="200" w:lineRule="exact"/>
              <w:rPr>
                <w:color w:val="000000" w:themeColor="text1"/>
                <w:szCs w:val="21"/>
              </w:rPr>
            </w:pPr>
            <w:r w:rsidRPr="00A80A0C">
              <w:rPr>
                <w:color w:val="000000" w:themeColor="text1"/>
                <w:szCs w:val="21"/>
              </w:rPr>
              <w:t>System theory can be used to study inter-firm flows of cash.</w:t>
            </w:r>
          </w:p>
        </w:tc>
        <w:tc>
          <w:tcPr>
            <w:tcW w:w="2409" w:type="dxa"/>
            <w:tcBorders>
              <w:top w:val="nil"/>
              <w:left w:val="nil"/>
              <w:bottom w:val="single" w:sz="4" w:space="0" w:color="auto"/>
              <w:right w:val="nil"/>
            </w:tcBorders>
            <w:vAlign w:val="center"/>
            <w:hideMark/>
          </w:tcPr>
          <w:p w14:paraId="489F8231" w14:textId="77777777" w:rsidR="00A80A0C" w:rsidRPr="00A80A0C" w:rsidRDefault="00A80A0C" w:rsidP="00D25A13">
            <w:pPr>
              <w:snapToGrid w:val="0"/>
              <w:spacing w:beforeLines="30" w:before="93" w:afterLines="50" w:after="156" w:line="200" w:lineRule="exact"/>
              <w:jc w:val="left"/>
              <w:rPr>
                <w:color w:val="000000" w:themeColor="text1"/>
                <w:szCs w:val="21"/>
              </w:rPr>
            </w:pPr>
            <w:r w:rsidRPr="00A80A0C">
              <w:rPr>
                <w:color w:val="000000" w:themeColor="text1"/>
                <w:szCs w:val="21"/>
              </w:rPr>
              <w:t>Randall and Farris (2009)</w:t>
            </w:r>
          </w:p>
        </w:tc>
      </w:tr>
    </w:tbl>
    <w:p w14:paraId="38A490FB" w14:textId="77777777" w:rsidR="00A80A0C" w:rsidRPr="00A80A0C" w:rsidRDefault="00A80A0C" w:rsidP="00A80A0C">
      <w:pPr>
        <w:widowControl/>
        <w:jc w:val="left"/>
        <w:rPr>
          <w:color w:val="000000" w:themeColor="text1"/>
          <w:kern w:val="0"/>
        </w:rPr>
        <w:sectPr w:rsidR="00A80A0C" w:rsidRPr="00A80A0C">
          <w:pgSz w:w="16838" w:h="11906" w:orient="landscape"/>
          <w:pgMar w:top="1800" w:right="1440" w:bottom="1800" w:left="1440" w:header="851" w:footer="992" w:gutter="0"/>
          <w:cols w:space="720"/>
          <w:docGrid w:type="lines" w:linePitch="312"/>
        </w:sectPr>
      </w:pPr>
    </w:p>
    <w:p w14:paraId="1C5AC65A" w14:textId="77777777" w:rsidR="00A80A0C" w:rsidRPr="00A80A0C" w:rsidRDefault="00A80A0C" w:rsidP="00A80A0C">
      <w:pPr>
        <w:ind w:firstLineChars="200" w:firstLine="480"/>
        <w:rPr>
          <w:color w:val="000000" w:themeColor="text1"/>
          <w:sz w:val="24"/>
        </w:rPr>
      </w:pPr>
    </w:p>
    <w:p w14:paraId="61782404" w14:textId="77777777" w:rsidR="00A80A0C" w:rsidRPr="00A80A0C" w:rsidRDefault="00A80A0C" w:rsidP="00A80A0C">
      <w:pPr>
        <w:ind w:firstLineChars="200" w:firstLine="480"/>
        <w:rPr>
          <w:color w:val="000000" w:themeColor="text1"/>
          <w:sz w:val="24"/>
        </w:rPr>
      </w:pPr>
    </w:p>
    <w:p w14:paraId="590A8591" w14:textId="77777777" w:rsidR="00A80A0C" w:rsidRPr="00A80A0C" w:rsidRDefault="00A80A0C" w:rsidP="00A80A0C">
      <w:pPr>
        <w:ind w:firstLineChars="200" w:firstLine="420"/>
        <w:rPr>
          <w:color w:val="000000" w:themeColor="text1"/>
          <w:sz w:val="24"/>
        </w:rPr>
      </w:pPr>
      <w:r w:rsidRPr="00A80A0C">
        <w:rPr>
          <w:noProof/>
          <w:color w:val="000000" w:themeColor="text1"/>
        </w:rPr>
        <mc:AlternateContent>
          <mc:Choice Requires="wpc">
            <w:drawing>
              <wp:inline distT="0" distB="0" distL="0" distR="0" wp14:anchorId="359F6327" wp14:editId="3EAB9AEC">
                <wp:extent cx="5140960" cy="2695699"/>
                <wp:effectExtent l="0" t="0" r="0" b="0"/>
                <wp:docPr id="45" name="画布 4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9" name="圆角矩形 49"/>
                        <wps:cNvSpPr/>
                        <wps:spPr>
                          <a:xfrm>
                            <a:off x="1735068" y="168250"/>
                            <a:ext cx="1558574" cy="479282"/>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3250394" w14:textId="77777777" w:rsidR="00A80A0C" w:rsidRPr="000A04D4" w:rsidRDefault="00A80A0C" w:rsidP="00A80A0C">
                              <w:pPr>
                                <w:jc w:val="center"/>
                              </w:pPr>
                              <w:r w:rsidRPr="000A04D4">
                                <w:rPr>
                                  <w:rFonts w:hint="eastAsia"/>
                                </w:rPr>
                                <w:t xml:space="preserve">Key </w:t>
                              </w:r>
                              <w:r w:rsidRPr="000A04D4">
                                <w:t>W</w:t>
                              </w:r>
                              <w:r w:rsidRPr="000A04D4">
                                <w:rPr>
                                  <w:rFonts w:hint="eastAsia"/>
                                </w:rPr>
                                <w:t xml:space="preserve">ords </w:t>
                              </w:r>
                              <w:r w:rsidRPr="000A04D4">
                                <w:t>of</w:t>
                              </w:r>
                              <w:r w:rsidRPr="000A04D4">
                                <w:rPr>
                                  <w:rFonts w:hint="eastAsia"/>
                                </w:rPr>
                                <w:t xml:space="preserve"> SCF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圆角矩形 50"/>
                        <wps:cNvSpPr/>
                        <wps:spPr>
                          <a:xfrm>
                            <a:off x="192568" y="962970"/>
                            <a:ext cx="1980000" cy="1555827"/>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D9EE67E" w14:textId="77777777" w:rsidR="00A80A0C" w:rsidRPr="000A04D4" w:rsidRDefault="00A80A0C" w:rsidP="00A80A0C">
                              <w:pPr>
                                <w:pStyle w:val="NormalWeb"/>
                                <w:spacing w:before="0" w:beforeAutospacing="0" w:after="0" w:afterAutospacing="0" w:line="200" w:lineRule="exact"/>
                                <w:ind w:firstLineChars="50" w:firstLine="105"/>
                                <w:jc w:val="center"/>
                                <w:rPr>
                                  <w:rFonts w:ascii="Times New Roman" w:eastAsiaTheme="minorEastAsia" w:hAnsi="Times New Roman" w:cs="Times New Roman"/>
                                  <w:b/>
                                  <w:kern w:val="2"/>
                                  <w:sz w:val="21"/>
                                  <w:szCs w:val="21"/>
                                  <w:lang w:val="en-GB"/>
                                </w:rPr>
                              </w:pPr>
                              <w:r w:rsidRPr="000A04D4">
                                <w:rPr>
                                  <w:rFonts w:ascii="Times New Roman" w:eastAsiaTheme="minorEastAsia" w:hAnsi="Times New Roman" w:cs="Times New Roman"/>
                                  <w:b/>
                                  <w:kern w:val="2"/>
                                  <w:sz w:val="21"/>
                                  <w:szCs w:val="21"/>
                                  <w:lang w:val="en-GB"/>
                                </w:rPr>
                                <w:t>Key words about “supply chain”</w:t>
                              </w:r>
                            </w:p>
                            <w:p w14:paraId="43FD2AF8" w14:textId="77777777" w:rsidR="00A80A0C" w:rsidRPr="000A04D4" w:rsidRDefault="00A80A0C" w:rsidP="00A80A0C">
                              <w:pPr>
                                <w:pStyle w:val="NormalWeb"/>
                                <w:spacing w:before="0" w:beforeAutospacing="0" w:after="0" w:afterAutospacing="0" w:line="200" w:lineRule="exact"/>
                                <w:ind w:firstLineChars="50" w:firstLine="105"/>
                                <w:jc w:val="both"/>
                                <w:rPr>
                                  <w:rFonts w:ascii="Times New Roman" w:eastAsiaTheme="minorEastAsia" w:hAnsi="Times New Roman" w:cs="Times New Roman"/>
                                  <w:kern w:val="2"/>
                                  <w:sz w:val="21"/>
                                  <w:szCs w:val="21"/>
                                  <w:lang w:val="en-GB"/>
                                </w:rPr>
                              </w:pPr>
                            </w:p>
                            <w:p w14:paraId="62663299" w14:textId="77777777" w:rsidR="00A80A0C" w:rsidRPr="000A04D4" w:rsidRDefault="00A80A0C" w:rsidP="00A80A0C">
                              <w:pPr>
                                <w:pStyle w:val="NormalWeb"/>
                                <w:spacing w:before="0" w:beforeAutospacing="0" w:after="0" w:afterAutospacing="0" w:line="200" w:lineRule="exact"/>
                                <w:rPr>
                                  <w:rFonts w:ascii="Times New Roman" w:hAnsi="Times New Roman" w:cs="Times New Roman"/>
                                  <w:sz w:val="21"/>
                                  <w:szCs w:val="21"/>
                                </w:rPr>
                              </w:pPr>
                              <w:r w:rsidRPr="000A04D4">
                                <w:rPr>
                                  <w:rFonts w:ascii="Times New Roman" w:hAnsi="Times New Roman" w:cs="Times New Roman"/>
                                  <w:sz w:val="21"/>
                                  <w:szCs w:val="21"/>
                                </w:rPr>
                                <w:t>“supply chain”, “logistics”, “value chain”, “sourcing”, “inventory”, “procurement” and “purchasing”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2" name="圆角矩形 52"/>
                        <wps:cNvSpPr/>
                        <wps:spPr>
                          <a:xfrm>
                            <a:off x="2900879" y="962845"/>
                            <a:ext cx="1980000" cy="1556068"/>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F1D30BC" w14:textId="77777777" w:rsidR="00A80A0C" w:rsidRPr="000A04D4" w:rsidRDefault="00A80A0C" w:rsidP="00A80A0C">
                              <w:pPr>
                                <w:pStyle w:val="NormalWeb"/>
                                <w:spacing w:before="0" w:beforeAutospacing="0" w:after="0" w:afterAutospacing="0" w:line="200" w:lineRule="exact"/>
                                <w:ind w:firstLineChars="50" w:firstLine="105"/>
                                <w:jc w:val="center"/>
                                <w:rPr>
                                  <w:rFonts w:ascii="Times New Roman" w:eastAsiaTheme="minorEastAsia" w:hAnsi="Times New Roman" w:cs="Times New Roman"/>
                                  <w:b/>
                                  <w:kern w:val="2"/>
                                  <w:sz w:val="21"/>
                                  <w:szCs w:val="21"/>
                                  <w:lang w:val="en-GB"/>
                                </w:rPr>
                              </w:pPr>
                              <w:r w:rsidRPr="000A04D4">
                                <w:rPr>
                                  <w:rFonts w:ascii="Times New Roman" w:eastAsiaTheme="minorEastAsia" w:hAnsi="Times New Roman" w:cs="Times New Roman"/>
                                  <w:b/>
                                  <w:kern w:val="2"/>
                                  <w:sz w:val="21"/>
                                  <w:szCs w:val="21"/>
                                  <w:lang w:val="en-GB"/>
                                </w:rPr>
                                <w:t>Key words about “finance”</w:t>
                              </w:r>
                            </w:p>
                            <w:p w14:paraId="2DE37CF5" w14:textId="77777777" w:rsidR="00A80A0C" w:rsidRPr="000A04D4" w:rsidRDefault="00A80A0C" w:rsidP="00A80A0C">
                              <w:pPr>
                                <w:pStyle w:val="NormalWeb"/>
                                <w:spacing w:before="0" w:beforeAutospacing="0" w:after="0" w:afterAutospacing="0" w:line="200" w:lineRule="exact"/>
                                <w:ind w:firstLineChars="50" w:firstLine="105"/>
                                <w:rPr>
                                  <w:rFonts w:ascii="Times New Roman" w:eastAsiaTheme="minorEastAsia" w:hAnsi="Times New Roman" w:cs="Times New Roman"/>
                                  <w:b/>
                                  <w:kern w:val="2"/>
                                  <w:sz w:val="21"/>
                                  <w:szCs w:val="21"/>
                                  <w:lang w:val="en-GB"/>
                                </w:rPr>
                              </w:pPr>
                            </w:p>
                            <w:p w14:paraId="0B3D829F" w14:textId="77777777" w:rsidR="00A80A0C" w:rsidRPr="000A04D4" w:rsidRDefault="00A80A0C" w:rsidP="00A80A0C">
                              <w:pPr>
                                <w:pStyle w:val="NormalWeb"/>
                                <w:spacing w:before="0" w:beforeAutospacing="0" w:after="0" w:afterAutospacing="0" w:line="200" w:lineRule="exact"/>
                                <w:rPr>
                                  <w:rFonts w:ascii="Times New Roman" w:hAnsi="Times New Roman" w:cs="Times New Roman"/>
                                  <w:sz w:val="21"/>
                                  <w:szCs w:val="21"/>
                                </w:rPr>
                              </w:pPr>
                              <w:r w:rsidRPr="000A04D4">
                                <w:rPr>
                                  <w:rFonts w:ascii="Times New Roman" w:hAnsi="Times New Roman" w:cs="Times New Roman"/>
                                  <w:sz w:val="21"/>
                                  <w:szCs w:val="21"/>
                                </w:rPr>
                                <w:t>“finance”, “financing”, “trade credit”, “bank credit”, “early payment”, “dela* payment”, “advanc* payment”, “capital constraint”, “financial constraint”, “factoring”, “limited liability” and “cash conversion cycle”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3" name="肘形连接符 53"/>
                        <wps:cNvCnPr>
                          <a:stCxn id="49" idx="2"/>
                          <a:endCxn id="50" idx="0"/>
                        </wps:cNvCnPr>
                        <wps:spPr>
                          <a:xfrm rot="5400000">
                            <a:off x="1690743" y="139358"/>
                            <a:ext cx="315438" cy="1331787"/>
                          </a:xfrm>
                          <a:prstGeom prst="bentConnector3">
                            <a:avLst/>
                          </a:prstGeom>
                          <a:ln w="9525">
                            <a:tailEnd type="triangle"/>
                          </a:ln>
                        </wps:spPr>
                        <wps:style>
                          <a:lnRef idx="1">
                            <a:schemeClr val="dk1"/>
                          </a:lnRef>
                          <a:fillRef idx="0">
                            <a:schemeClr val="dk1"/>
                          </a:fillRef>
                          <a:effectRef idx="0">
                            <a:schemeClr val="dk1"/>
                          </a:effectRef>
                          <a:fontRef idx="minor">
                            <a:schemeClr val="tx1"/>
                          </a:fontRef>
                        </wps:style>
                        <wps:bodyPr/>
                      </wps:wsp>
                      <wps:wsp>
                        <wps:cNvPr id="54" name="肘形连接符 54"/>
                        <wps:cNvCnPr/>
                        <wps:spPr>
                          <a:xfrm>
                            <a:off x="2513960" y="798064"/>
                            <a:ext cx="1376919" cy="156199"/>
                          </a:xfrm>
                          <a:prstGeom prst="bentConnector2">
                            <a:avLst/>
                          </a:prstGeom>
                          <a:ln w="9525">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359F6327" id="画布 45" o:spid="_x0000_s1026" editas="canvas" style="width:404.8pt;height:212.25pt;mso-position-horizontal-relative:char;mso-position-vertical-relative:line" coordsize="51409,269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1409;height:26955;visibility:visible;mso-wrap-style:square">
                  <v:fill o:detectmouseclick="t"/>
                  <v:path o:connecttype="none"/>
                </v:shape>
                <v:roundrect id="圆角矩形 49" o:spid="_x0000_s1028" style="position:absolute;left:17350;top:1682;width:15586;height:4793;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" fillcolor="white [3201]" strokecolor="black [3213]" strokeweight="1pt">
                  <v:stroke joinstyle="miter"/>
                  <v:textbox>
                    <w:txbxContent>
                      <w:p w14:paraId="03250394" w14:textId="77777777" w:rsidR="00A80A0C" w:rsidRPr="000A04D4" w:rsidRDefault="00A80A0C" w:rsidP="00A80A0C">
                        <w:pPr>
                          <w:jc w:val="center"/>
                        </w:pPr>
                        <w:r w:rsidRPr="000A04D4">
                          <w:rPr>
                            <w:rFonts w:hint="eastAsia"/>
                          </w:rPr>
                          <w:t xml:space="preserve">Key </w:t>
                        </w:r>
                        <w:r w:rsidRPr="000A04D4">
                          <w:t>W</w:t>
                        </w:r>
                        <w:r w:rsidRPr="000A04D4">
                          <w:rPr>
                            <w:rFonts w:hint="eastAsia"/>
                          </w:rPr>
                          <w:t xml:space="preserve">ords </w:t>
                        </w:r>
                        <w:r w:rsidRPr="000A04D4">
                          <w:t>of</w:t>
                        </w:r>
                        <w:r w:rsidRPr="000A04D4">
                          <w:rPr>
                            <w:rFonts w:hint="eastAsia"/>
                          </w:rPr>
                          <w:t xml:space="preserve"> SCF</w:t>
                        </w:r>
                      </w:p>
                    </w:txbxContent>
                  </v:textbox>
                </v:roundrect>
                <v:roundrect id="圆角矩形 50" o:spid="_x0000_s1029" style="position:absolute;left:1925;top:9629;width:19800;height:15558;visibility:visible;mso-wrap-style:square;v-text-anchor:top"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" fillcolor="white [3201]" strokecolor="black [3213]" strokeweight="1pt">
                  <v:stroke joinstyle="miter"/>
                  <v:textbox>
                    <w:txbxContent>
                      <w:p w14:paraId="2D9EE67E" w14:textId="77777777" w:rsidR="00A80A0C" w:rsidRPr="000A04D4" w:rsidRDefault="00A80A0C" w:rsidP="00A80A0C">
                        <w:pPr>
                          <w:pStyle w:val="NormalWeb"/>
                          <w:spacing w:before="0" w:beforeAutospacing="0" w:after="0" w:afterAutospacing="0" w:line="200" w:lineRule="exact"/>
                          <w:ind w:firstLineChars="50" w:firstLine="105"/>
                          <w:jc w:val="center"/>
                          <w:rPr>
                            <w:rFonts w:ascii="Times New Roman" w:eastAsiaTheme="minorEastAsia" w:hAnsi="Times New Roman" w:cs="Times New Roman"/>
                            <w:b/>
                            <w:kern w:val="2"/>
                            <w:sz w:val="21"/>
                            <w:szCs w:val="21"/>
                            <w:lang w:val="en-GB"/>
                          </w:rPr>
                        </w:pPr>
                        <w:r w:rsidRPr="000A04D4">
                          <w:rPr>
                            <w:rFonts w:ascii="Times New Roman" w:eastAsiaTheme="minorEastAsia" w:hAnsi="Times New Roman" w:cs="Times New Roman"/>
                            <w:b/>
                            <w:kern w:val="2"/>
                            <w:sz w:val="21"/>
                            <w:szCs w:val="21"/>
                            <w:lang w:val="en-GB"/>
                          </w:rPr>
                          <w:t>Key words about “supply chain”</w:t>
                        </w:r>
                      </w:p>
                      <w:p w14:paraId="43FD2AF8" w14:textId="77777777" w:rsidR="00A80A0C" w:rsidRPr="000A04D4" w:rsidRDefault="00A80A0C" w:rsidP="00A80A0C">
                        <w:pPr>
                          <w:pStyle w:val="NormalWeb"/>
                          <w:spacing w:before="0" w:beforeAutospacing="0" w:after="0" w:afterAutospacing="0" w:line="200" w:lineRule="exact"/>
                          <w:ind w:firstLineChars="50" w:firstLine="105"/>
                          <w:jc w:val="both"/>
                          <w:rPr>
                            <w:rFonts w:ascii="Times New Roman" w:eastAsiaTheme="minorEastAsia" w:hAnsi="Times New Roman" w:cs="Times New Roman"/>
                            <w:kern w:val="2"/>
                            <w:sz w:val="21"/>
                            <w:szCs w:val="21"/>
                            <w:lang w:val="en-GB"/>
                          </w:rPr>
                        </w:pPr>
                      </w:p>
                      <w:p w14:paraId="62663299" w14:textId="77777777" w:rsidR="00A80A0C" w:rsidRPr="000A04D4" w:rsidRDefault="00A80A0C" w:rsidP="00A80A0C">
                        <w:pPr>
                          <w:pStyle w:val="NormalWeb"/>
                          <w:spacing w:before="0" w:beforeAutospacing="0" w:after="0" w:afterAutospacing="0" w:line="200" w:lineRule="exact"/>
                          <w:rPr>
                            <w:rFonts w:ascii="Times New Roman" w:hAnsi="Times New Roman" w:cs="Times New Roman"/>
                            <w:sz w:val="21"/>
                            <w:szCs w:val="21"/>
                          </w:rPr>
                        </w:pPr>
                        <w:r w:rsidRPr="000A04D4">
                          <w:rPr>
                            <w:rFonts w:ascii="Times New Roman" w:hAnsi="Times New Roman" w:cs="Times New Roman"/>
                            <w:sz w:val="21"/>
                            <w:szCs w:val="21"/>
                          </w:rPr>
                          <w:t>“supply chain”, “logistics”, “value chain”, “sourcing”, “inventory”, “procurement” and “purchasing”</w:t>
                        </w:r>
                      </w:p>
                    </w:txbxContent>
                  </v:textbox>
                </v:roundrect>
                <v:roundrect id="圆角矩形 52" o:spid="_x0000_s1030" style="position:absolute;left:29008;top:9628;width:19800;height:15561;visibility:visible;mso-wrap-style:square;v-text-anchor:top"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" fillcolor="white [3201]" strokecolor="black [3213]" strokeweight="1pt">
                  <v:stroke joinstyle="miter"/>
                  <v:textbox>
                    <w:txbxContent>
                      <w:p w14:paraId="4F1D30BC" w14:textId="77777777" w:rsidR="00A80A0C" w:rsidRPr="000A04D4" w:rsidRDefault="00A80A0C" w:rsidP="00A80A0C">
                        <w:pPr>
                          <w:pStyle w:val="NormalWeb"/>
                          <w:spacing w:before="0" w:beforeAutospacing="0" w:after="0" w:afterAutospacing="0" w:line="200" w:lineRule="exact"/>
                          <w:ind w:firstLineChars="50" w:firstLine="105"/>
                          <w:jc w:val="center"/>
                          <w:rPr>
                            <w:rFonts w:ascii="Times New Roman" w:eastAsiaTheme="minorEastAsia" w:hAnsi="Times New Roman" w:cs="Times New Roman"/>
                            <w:b/>
                            <w:kern w:val="2"/>
                            <w:sz w:val="21"/>
                            <w:szCs w:val="21"/>
                            <w:lang w:val="en-GB"/>
                          </w:rPr>
                        </w:pPr>
                        <w:r w:rsidRPr="000A04D4">
                          <w:rPr>
                            <w:rFonts w:ascii="Times New Roman" w:eastAsiaTheme="minorEastAsia" w:hAnsi="Times New Roman" w:cs="Times New Roman"/>
                            <w:b/>
                            <w:kern w:val="2"/>
                            <w:sz w:val="21"/>
                            <w:szCs w:val="21"/>
                            <w:lang w:val="en-GB"/>
                          </w:rPr>
                          <w:t>Key words about “finance”</w:t>
                        </w:r>
                      </w:p>
                      <w:p w14:paraId="2DE37CF5" w14:textId="77777777" w:rsidR="00A80A0C" w:rsidRPr="000A04D4" w:rsidRDefault="00A80A0C" w:rsidP="00A80A0C">
                        <w:pPr>
                          <w:pStyle w:val="NormalWeb"/>
                          <w:spacing w:before="0" w:beforeAutospacing="0" w:after="0" w:afterAutospacing="0" w:line="200" w:lineRule="exact"/>
                          <w:ind w:firstLineChars="50" w:firstLine="105"/>
                          <w:rPr>
                            <w:rFonts w:ascii="Times New Roman" w:eastAsiaTheme="minorEastAsia" w:hAnsi="Times New Roman" w:cs="Times New Roman"/>
                            <w:b/>
                            <w:kern w:val="2"/>
                            <w:sz w:val="21"/>
                            <w:szCs w:val="21"/>
                            <w:lang w:val="en-GB"/>
                          </w:rPr>
                        </w:pPr>
                      </w:p>
                      <w:p w14:paraId="0B3D829F" w14:textId="77777777" w:rsidR="00A80A0C" w:rsidRPr="000A04D4" w:rsidRDefault="00A80A0C" w:rsidP="00A80A0C">
                        <w:pPr>
                          <w:pStyle w:val="NormalWeb"/>
                          <w:spacing w:before="0" w:beforeAutospacing="0" w:after="0" w:afterAutospacing="0" w:line="200" w:lineRule="exact"/>
                          <w:rPr>
                            <w:rFonts w:ascii="Times New Roman" w:hAnsi="Times New Roman" w:cs="Times New Roman"/>
                            <w:sz w:val="21"/>
                            <w:szCs w:val="21"/>
                          </w:rPr>
                        </w:pPr>
                        <w:r w:rsidRPr="000A04D4">
                          <w:rPr>
                            <w:rFonts w:ascii="Times New Roman" w:hAnsi="Times New Roman" w:cs="Times New Roman"/>
                            <w:sz w:val="21"/>
                            <w:szCs w:val="21"/>
                          </w:rPr>
                          <w:t>“finance”, “financing”, “trade credit”, “bank credit”, “early payment”, “dela* payment”, “advanc* payment”, “capital constraint”, “financial constraint”, “factoring”, “limited liability” and “cash conversion cycle”</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肘形连接符 53" o:spid="_x0000_s1031" type="#_x0000_t34" style="position:absolute;left:16907;top:1393;width:3154;height:13318;rotation:90;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" strokecolor="black [3200]">
                  <v:stroke endarrow="block"/>
                </v:shape>
                <v:shapetype id="_x0000_t33" coordsize="21600,21600" o:spt="33" o:oned="t" path="m,l21600,r,21600e" filled="f">
                  <v:stroke joinstyle="miter"/>
                  <v:path arrowok="t" fillok="f" o:connecttype="none"/>
                  <o:lock v:ext="edit" shapetype="t"/>
                </v:shapetype>
                <v:shape id="肘形连接符 54" o:spid="_x0000_s1032" type="#_x0000_t33" style="position:absolute;left:25139;top:7980;width:13769;height:1562;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" strokecolor="black [3200]">
                  <v:stroke endarrow="block"/>
                </v:shape>
                <w10:anchorlock/>
              </v:group>
            </w:pict>
          </mc:Fallback>
        </mc:AlternateContent>
      </w:r>
    </w:p>
    <w:p w14:paraId="03B2FCE5" w14:textId="77777777" w:rsidR="00A80A0C" w:rsidRPr="00A80A0C" w:rsidRDefault="00A80A0C" w:rsidP="00A80A0C">
      <w:pPr>
        <w:jc w:val="center"/>
        <w:rPr>
          <w:color w:val="000000" w:themeColor="text1"/>
          <w:szCs w:val="21"/>
        </w:rPr>
      </w:pPr>
      <w:r w:rsidRPr="00A80A0C">
        <w:rPr>
          <w:rFonts w:hint="eastAsia"/>
          <w:b/>
          <w:color w:val="000000" w:themeColor="text1"/>
          <w:szCs w:val="21"/>
        </w:rPr>
        <w:t>Figure 1</w:t>
      </w:r>
      <w:r w:rsidRPr="00A80A0C">
        <w:rPr>
          <w:b/>
          <w:color w:val="000000" w:themeColor="text1"/>
          <w:szCs w:val="21"/>
        </w:rPr>
        <w:t>.</w:t>
      </w:r>
      <w:r w:rsidRPr="00A80A0C">
        <w:rPr>
          <w:color w:val="000000" w:themeColor="text1"/>
          <w:szCs w:val="21"/>
        </w:rPr>
        <w:t xml:space="preserve"> Combination of</w:t>
      </w:r>
      <w:r w:rsidRPr="00A80A0C">
        <w:rPr>
          <w:rFonts w:hint="eastAsia"/>
          <w:color w:val="000000" w:themeColor="text1"/>
          <w:szCs w:val="21"/>
        </w:rPr>
        <w:t xml:space="preserve"> </w:t>
      </w:r>
      <w:r w:rsidRPr="00A80A0C">
        <w:rPr>
          <w:color w:val="000000" w:themeColor="text1"/>
          <w:szCs w:val="21"/>
        </w:rPr>
        <w:t>SCF Keywords</w:t>
      </w:r>
    </w:p>
    <w:p w14:paraId="049CA247" w14:textId="77777777" w:rsidR="00A80A0C" w:rsidRPr="00A80A0C" w:rsidRDefault="00A80A0C" w:rsidP="00A80A0C">
      <w:pPr>
        <w:rPr>
          <w:color w:val="000000" w:themeColor="text1"/>
        </w:rPr>
      </w:pPr>
    </w:p>
    <w:p w14:paraId="080A4368" w14:textId="77777777" w:rsidR="00A80A0C" w:rsidRPr="00A80A0C" w:rsidRDefault="00A80A0C" w:rsidP="00A80A0C">
      <w:pPr>
        <w:ind w:firstLineChars="200" w:firstLine="480"/>
        <w:rPr>
          <w:color w:val="000000" w:themeColor="text1"/>
          <w:sz w:val="24"/>
        </w:rPr>
      </w:pPr>
    </w:p>
    <w:p w14:paraId="0CC89672" w14:textId="77777777" w:rsidR="00A80A0C" w:rsidRPr="00A80A0C" w:rsidRDefault="00A80A0C" w:rsidP="00A80A0C">
      <w:pPr>
        <w:rPr>
          <w:color w:val="000000" w:themeColor="text1"/>
        </w:rPr>
      </w:pPr>
    </w:p>
    <w:p w14:paraId="06404698" w14:textId="77777777" w:rsidR="00A80A0C" w:rsidRPr="00A80A0C" w:rsidRDefault="00A80A0C" w:rsidP="00A80A0C">
      <w:pPr>
        <w:rPr>
          <w:color w:val="000000" w:themeColor="text1"/>
        </w:rPr>
        <w:sectPr w:rsidR="00A80A0C" w:rsidRPr="00A80A0C">
          <w:pgSz w:w="11906" w:h="16838"/>
          <w:pgMar w:top="1440" w:right="1800" w:bottom="1440" w:left="1800" w:header="851" w:footer="992" w:gutter="0"/>
          <w:cols w:space="425"/>
          <w:docGrid w:type="lines" w:linePitch="312"/>
        </w:sectPr>
      </w:pPr>
    </w:p>
    <w:p w14:paraId="6AE0EB04" w14:textId="77777777" w:rsidR="00A80A0C" w:rsidRPr="00A80A0C" w:rsidRDefault="00A80A0C" w:rsidP="00A80A0C">
      <w:pPr>
        <w:rPr>
          <w:color w:val="000000" w:themeColor="text1"/>
        </w:rPr>
      </w:pPr>
      <w:r w:rsidRPr="00A80A0C">
        <w:rPr>
          <w:noProof/>
          <w:color w:val="000000" w:themeColor="text1"/>
        </w:rPr>
        <w:lastRenderedPageBreak/>
        <mc:AlternateContent>
          <mc:Choice Requires="wpc">
            <w:drawing>
              <wp:inline distT="0" distB="0" distL="0" distR="0" wp14:anchorId="58631BB6" wp14:editId="6D2AF5FF">
                <wp:extent cx="8045874" cy="4519046"/>
                <wp:effectExtent l="0" t="0" r="12700" b="0"/>
                <wp:docPr id="29" name="画布 2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0" name="文本框 30"/>
                        <wps:cNvSpPr txBox="1"/>
                        <wps:spPr>
                          <a:xfrm>
                            <a:off x="3024625" y="137988"/>
                            <a:ext cx="2132966" cy="667175"/>
                          </a:xfrm>
                          <a:prstGeom prst="rect">
                            <a:avLst/>
                          </a:prstGeom>
                          <a:ln w="28575"/>
                        </wps:spPr>
                        <wps:style>
                          <a:lnRef idx="2">
                            <a:schemeClr val="dk1"/>
                          </a:lnRef>
                          <a:fillRef idx="1">
                            <a:schemeClr val="lt1"/>
                          </a:fillRef>
                          <a:effectRef idx="0">
                            <a:schemeClr val="dk1"/>
                          </a:effectRef>
                          <a:fontRef idx="minor">
                            <a:schemeClr val="dk1"/>
                          </a:fontRef>
                        </wps:style>
                        <wps:txbx>
                          <w:txbxContent>
                            <w:p w14:paraId="1EE364BD" w14:textId="77777777" w:rsidR="00A80A0C" w:rsidRPr="005C5800" w:rsidRDefault="00A80A0C" w:rsidP="00A80A0C">
                              <w:pPr>
                                <w:jc w:val="center"/>
                                <w:rPr>
                                  <w:b/>
                                  <w:sz w:val="20"/>
                                  <w:szCs w:val="20"/>
                                </w:rPr>
                              </w:pPr>
                              <w:r>
                                <w:rPr>
                                  <w:b/>
                                  <w:sz w:val="20"/>
                                  <w:szCs w:val="20"/>
                                </w:rPr>
                                <w:t>Databases</w:t>
                              </w:r>
                            </w:p>
                            <w:p w14:paraId="149C64DB" w14:textId="77777777" w:rsidR="00A80A0C" w:rsidRPr="00FE21C7" w:rsidRDefault="00A80A0C" w:rsidP="00A80A0C">
                              <w:pPr>
                                <w:jc w:val="center"/>
                                <w:rPr>
                                  <w:sz w:val="20"/>
                                  <w:szCs w:val="20"/>
                                </w:rPr>
                              </w:pPr>
                              <w:r w:rsidRPr="005C5800">
                                <w:rPr>
                                  <w:sz w:val="20"/>
                                  <w:szCs w:val="20"/>
                                </w:rPr>
                                <w:t>WoS, EBSCO and Scopus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 name="文本框 30"/>
                        <wps:cNvSpPr txBox="1"/>
                        <wps:spPr>
                          <a:xfrm>
                            <a:off x="3016674" y="1060715"/>
                            <a:ext cx="2133598" cy="719996"/>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B954FB7" w14:textId="77777777" w:rsidR="00A80A0C" w:rsidRDefault="00A80A0C" w:rsidP="00A80A0C">
                              <w:pPr>
                                <w:jc w:val="center"/>
                                <w:rPr>
                                  <w:b/>
                                  <w:sz w:val="20"/>
                                  <w:szCs w:val="20"/>
                                </w:rPr>
                              </w:pPr>
                              <w:r w:rsidRPr="00E521D7">
                                <w:rPr>
                                  <w:b/>
                                  <w:sz w:val="20"/>
                                  <w:szCs w:val="20"/>
                                </w:rPr>
                                <w:t>Data collection</w:t>
                              </w:r>
                            </w:p>
                            <w:p w14:paraId="2A202348" w14:textId="77777777" w:rsidR="00A80A0C" w:rsidRPr="009F6922" w:rsidRDefault="00A80A0C" w:rsidP="00A80A0C">
                              <w:pPr>
                                <w:jc w:val="center"/>
                                <w:rPr>
                                  <w:sz w:val="20"/>
                                </w:rPr>
                              </w:pPr>
                              <w:r w:rsidRPr="009F6922">
                                <w:rPr>
                                  <w:sz w:val="20"/>
                                </w:rPr>
                                <w:t>WoS (</w:t>
                              </w:r>
                              <w:r>
                                <w:rPr>
                                  <w:sz w:val="20"/>
                                </w:rPr>
                                <w:t>3238</w:t>
                              </w:r>
                              <w:r w:rsidRPr="009F6922">
                                <w:rPr>
                                  <w:sz w:val="20"/>
                                </w:rPr>
                                <w:t>), EBSCO (14</w:t>
                              </w:r>
                              <w:r>
                                <w:rPr>
                                  <w:sz w:val="20"/>
                                </w:rPr>
                                <w:t>53</w:t>
                              </w:r>
                              <w:r w:rsidRPr="009F6922">
                                <w:rPr>
                                  <w:sz w:val="20"/>
                                </w:rPr>
                                <w:t>) and Scopus (</w:t>
                              </w:r>
                              <w:r>
                                <w:rPr>
                                  <w:sz w:val="20"/>
                                </w:rPr>
                                <w:t>3311</w:t>
                              </w:r>
                              <w:r w:rsidRPr="009F6922">
                                <w:rPr>
                                  <w:sz w:val="20"/>
                                </w:rPr>
                                <w:t>)</w:t>
                              </w:r>
                            </w:p>
                            <w:p w14:paraId="2DF6481D" w14:textId="77777777" w:rsidR="00A80A0C" w:rsidRPr="00E521D7" w:rsidRDefault="00A80A0C" w:rsidP="00A80A0C">
                              <w:pPr>
                                <w:jc w:val="center"/>
                                <w:rPr>
                                  <w:b/>
                                  <w:sz w:val="20"/>
                                  <w:szCs w:val="20"/>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 name="文本框 30"/>
                        <wps:cNvSpPr txBox="1"/>
                        <wps:spPr>
                          <a:xfrm>
                            <a:off x="3016514" y="2724544"/>
                            <a:ext cx="2133599" cy="708769"/>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6105A5" w14:textId="77777777" w:rsidR="00A80A0C" w:rsidRDefault="00A80A0C" w:rsidP="00A80A0C">
                              <w:pPr>
                                <w:jc w:val="center"/>
                                <w:rPr>
                                  <w:b/>
                                  <w:sz w:val="20"/>
                                  <w:szCs w:val="20"/>
                                </w:rPr>
                              </w:pPr>
                              <w:r w:rsidRPr="00E521D7">
                                <w:rPr>
                                  <w:b/>
                                  <w:sz w:val="20"/>
                                  <w:szCs w:val="20"/>
                                </w:rPr>
                                <w:t>Title</w:t>
                              </w:r>
                              <w:r>
                                <w:rPr>
                                  <w:b/>
                                  <w:sz w:val="20"/>
                                  <w:szCs w:val="20"/>
                                </w:rPr>
                                <w:t xml:space="preserve">, </w:t>
                              </w:r>
                              <w:r w:rsidRPr="00E521D7">
                                <w:rPr>
                                  <w:b/>
                                  <w:sz w:val="20"/>
                                  <w:szCs w:val="20"/>
                                </w:rPr>
                                <w:t xml:space="preserve">abstract </w:t>
                              </w:r>
                              <w:r>
                                <w:rPr>
                                  <w:b/>
                                  <w:sz w:val="20"/>
                                  <w:szCs w:val="20"/>
                                </w:rPr>
                                <w:t>and c</w:t>
                              </w:r>
                              <w:r w:rsidRPr="005C5800">
                                <w:rPr>
                                  <w:b/>
                                  <w:sz w:val="20"/>
                                  <w:szCs w:val="20"/>
                                </w:rPr>
                                <w:t>ontent</w:t>
                              </w:r>
                              <w:r w:rsidRPr="00E521D7">
                                <w:rPr>
                                  <w:b/>
                                  <w:sz w:val="20"/>
                                  <w:szCs w:val="20"/>
                                </w:rPr>
                                <w:t xml:space="preserve"> evaluation</w:t>
                              </w:r>
                            </w:p>
                            <w:p w14:paraId="6822477B" w14:textId="77777777" w:rsidR="00A80A0C" w:rsidRPr="00F86589" w:rsidRDefault="00A80A0C" w:rsidP="00A80A0C">
                              <w:pPr>
                                <w:jc w:val="center"/>
                                <w:rPr>
                                  <w:sz w:val="20"/>
                                  <w:szCs w:val="20"/>
                                </w:rPr>
                              </w:pPr>
                              <w:r>
                                <w:rPr>
                                  <w:sz w:val="20"/>
                                  <w:szCs w:val="20"/>
                                </w:rPr>
                                <w:t>617</w:t>
                              </w:r>
                              <w:r w:rsidRPr="00F86589">
                                <w:rPr>
                                  <w:sz w:val="20"/>
                                  <w:szCs w:val="20"/>
                                </w:rPr>
                                <w:t xml:space="preserve"> papers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 name="文本框 30"/>
                        <wps:cNvSpPr txBox="1"/>
                        <wps:spPr>
                          <a:xfrm>
                            <a:off x="3016671" y="3646063"/>
                            <a:ext cx="2133599" cy="504951"/>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E99AA8" w14:textId="77777777" w:rsidR="00A80A0C" w:rsidRDefault="00A80A0C" w:rsidP="00A80A0C">
                              <w:pPr>
                                <w:jc w:val="center"/>
                                <w:rPr>
                                  <w:b/>
                                  <w:sz w:val="20"/>
                                  <w:szCs w:val="20"/>
                                </w:rPr>
                              </w:pPr>
                              <w:r w:rsidRPr="005C5800">
                                <w:rPr>
                                  <w:b/>
                                  <w:sz w:val="20"/>
                                  <w:szCs w:val="20"/>
                                </w:rPr>
                                <w:t>Content evaluation</w:t>
                              </w:r>
                            </w:p>
                            <w:p w14:paraId="24DEF43A" w14:textId="77777777" w:rsidR="00A80A0C" w:rsidRPr="00F86589" w:rsidRDefault="00A80A0C" w:rsidP="00A80A0C">
                              <w:pPr>
                                <w:jc w:val="center"/>
                                <w:rPr>
                                  <w:sz w:val="20"/>
                                  <w:szCs w:val="20"/>
                                </w:rPr>
                              </w:pPr>
                              <w:r>
                                <w:rPr>
                                  <w:sz w:val="20"/>
                                  <w:szCs w:val="20"/>
                                </w:rPr>
                                <w:t>71</w:t>
                              </w:r>
                              <w:r w:rsidRPr="00F86589">
                                <w:rPr>
                                  <w:sz w:val="20"/>
                                  <w:szCs w:val="20"/>
                                </w:rPr>
                                <w:t xml:space="preserve"> papers</w:t>
                              </w:r>
                            </w:p>
                            <w:p w14:paraId="184C1CB4" w14:textId="77777777" w:rsidR="00A80A0C" w:rsidRPr="005C5800" w:rsidRDefault="00A80A0C" w:rsidP="00A80A0C">
                              <w:pPr>
                                <w:jc w:val="center"/>
                                <w:rPr>
                                  <w:b/>
                                  <w:sz w:val="20"/>
                                  <w:szCs w:val="20"/>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9" name="文本框 30"/>
                        <wps:cNvSpPr txBox="1"/>
                        <wps:spPr>
                          <a:xfrm>
                            <a:off x="5551623" y="0"/>
                            <a:ext cx="2491639" cy="248875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847E363" w14:textId="77777777" w:rsidR="00A80A0C" w:rsidRPr="0055194B" w:rsidRDefault="00A80A0C" w:rsidP="00A80A0C">
                              <w:pPr>
                                <w:pStyle w:val="NormalWeb"/>
                                <w:spacing w:before="0" w:beforeAutospacing="0" w:after="0" w:afterAutospacing="0"/>
                                <w:rPr>
                                  <w:rFonts w:ascii="Times New Roman" w:hAnsi="Times New Roman" w:cs="Times New Roman"/>
                                  <w:b/>
                                  <w:sz w:val="20"/>
                                  <w:szCs w:val="18"/>
                                </w:rPr>
                              </w:pPr>
                              <w:r w:rsidRPr="0055194B">
                                <w:rPr>
                                  <w:rFonts w:ascii="Times New Roman" w:hAnsi="Times New Roman" w:cs="Times New Roman"/>
                                  <w:b/>
                                  <w:sz w:val="20"/>
                                  <w:szCs w:val="18"/>
                                </w:rPr>
                                <w:t>Subject area and source type selection</w:t>
                              </w:r>
                            </w:p>
                            <w:p w14:paraId="48EB0CE1" w14:textId="77777777" w:rsidR="00A80A0C" w:rsidRPr="007D28AE" w:rsidRDefault="00A80A0C" w:rsidP="00A80A0C">
                              <w:pPr>
                                <w:rPr>
                                  <w:rFonts w:eastAsia="SimSun"/>
                                  <w:bCs/>
                                  <w:kern w:val="0"/>
                                  <w:sz w:val="20"/>
                                  <w:szCs w:val="20"/>
                                  <w:lang w:val="en-US"/>
                                </w:rPr>
                              </w:pPr>
                              <w:r w:rsidRPr="00E521D7">
                                <w:rPr>
                                  <w:b/>
                                  <w:sz w:val="20"/>
                                  <w:szCs w:val="18"/>
                                </w:rPr>
                                <w:t>WoS:</w:t>
                              </w:r>
                              <w:r>
                                <w:rPr>
                                  <w:sz w:val="20"/>
                                  <w:szCs w:val="18"/>
                                </w:rPr>
                                <w:t xml:space="preserve"> </w:t>
                              </w:r>
                              <w:r w:rsidRPr="007D28AE">
                                <w:rPr>
                                  <w:rFonts w:eastAsia="SimSun"/>
                                  <w:bCs/>
                                  <w:kern w:val="0"/>
                                  <w:sz w:val="20"/>
                                  <w:szCs w:val="20"/>
                                  <w:lang w:val="en-US"/>
                                </w:rPr>
                                <w:t>Academic journal in Operations research management science, Management, Economics, Business, Business Finance, Social Science Interdisciplinary and Multidisciplinary Science</w:t>
                              </w:r>
                            </w:p>
                            <w:p w14:paraId="7C59EB40" w14:textId="77777777" w:rsidR="00A80A0C" w:rsidRPr="007D28AE" w:rsidRDefault="00A80A0C" w:rsidP="00A80A0C">
                              <w:pPr>
                                <w:rPr>
                                  <w:rFonts w:eastAsia="SimSun"/>
                                  <w:bCs/>
                                  <w:kern w:val="0"/>
                                  <w:sz w:val="20"/>
                                  <w:szCs w:val="20"/>
                                  <w:lang w:val="en-US"/>
                                </w:rPr>
                              </w:pPr>
                              <w:r w:rsidRPr="007D28AE">
                                <w:rPr>
                                  <w:rFonts w:eastAsia="SimSun"/>
                                  <w:b/>
                                  <w:bCs/>
                                  <w:kern w:val="0"/>
                                  <w:sz w:val="20"/>
                                  <w:szCs w:val="20"/>
                                  <w:lang w:val="en-US"/>
                                </w:rPr>
                                <w:t>EBSCO:</w:t>
                              </w:r>
                              <w:r w:rsidRPr="007D28AE">
                                <w:rPr>
                                  <w:rFonts w:eastAsia="SimSun"/>
                                  <w:bCs/>
                                  <w:kern w:val="0"/>
                                  <w:sz w:val="20"/>
                                  <w:szCs w:val="20"/>
                                  <w:lang w:val="en-US"/>
                                </w:rPr>
                                <w:t xml:space="preserve">  Academic Journal</w:t>
                              </w:r>
                            </w:p>
                            <w:p w14:paraId="20A2FC73" w14:textId="77777777" w:rsidR="00A80A0C" w:rsidRDefault="00A80A0C" w:rsidP="00A80A0C">
                              <w:pPr>
                                <w:rPr>
                                  <w:sz w:val="20"/>
                                  <w:szCs w:val="20"/>
                                </w:rPr>
                              </w:pPr>
                              <w:r w:rsidRPr="00E521D7">
                                <w:rPr>
                                  <w:b/>
                                  <w:sz w:val="20"/>
                                  <w:szCs w:val="20"/>
                                </w:rPr>
                                <w:t>Scopus:</w:t>
                              </w:r>
                              <w:r>
                                <w:rPr>
                                  <w:sz w:val="20"/>
                                  <w:szCs w:val="20"/>
                                </w:rPr>
                                <w:t xml:space="preserve"> </w:t>
                              </w:r>
                              <w:r w:rsidRPr="007D28AE">
                                <w:rPr>
                                  <w:rFonts w:eastAsia="SimSun"/>
                                  <w:bCs/>
                                  <w:kern w:val="0"/>
                                  <w:sz w:val="20"/>
                                  <w:szCs w:val="20"/>
                                  <w:lang w:val="en-US"/>
                                </w:rPr>
                                <w:t>Academic Journal in Business, management and accounting, social science, economics, econometrics and finance, Decision science, and Multidisciplinary</w:t>
                              </w:r>
                            </w:p>
                            <w:p w14:paraId="27BB878B" w14:textId="77777777" w:rsidR="00A80A0C" w:rsidRPr="0055194B" w:rsidRDefault="00A80A0C" w:rsidP="00A80A0C">
                              <w:pPr>
                                <w:rPr>
                                  <w:sz w:val="20"/>
                                  <w:szCs w:val="20"/>
                                </w:rPr>
                              </w:pPr>
                              <w:r w:rsidRPr="00740AC3">
                                <w:rPr>
                                  <w:b/>
                                  <w:sz w:val="20"/>
                                  <w:szCs w:val="20"/>
                                </w:rPr>
                                <w:t>Time:</w:t>
                              </w:r>
                              <w:r>
                                <w:rPr>
                                  <w:sz w:val="20"/>
                                  <w:szCs w:val="20"/>
                                </w:rPr>
                                <w:t xml:space="preserve"> 2000 – 2018</w:t>
                              </w:r>
                            </w:p>
                            <w:p w14:paraId="604BA913" w14:textId="77777777" w:rsidR="00A80A0C" w:rsidRPr="00006FCC" w:rsidRDefault="00A80A0C" w:rsidP="00A80A0C">
                              <w:pPr>
                                <w:pStyle w:val="NormalWeb"/>
                                <w:spacing w:before="0" w:beforeAutospacing="0" w:after="0" w:afterAutospacing="0"/>
                                <w:rPr>
                                  <w:rFonts w:ascii="Times New Roman" w:hAnsi="Times New Roman" w:cs="Times New Roman"/>
                                  <w:sz w:val="20"/>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0" name="Straight Arrow Connector 40"/>
                        <wps:cNvCnPr/>
                        <wps:spPr>
                          <a:xfrm flipH="1">
                            <a:off x="4197682" y="936367"/>
                            <a:ext cx="135394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2" name="文本框 30"/>
                        <wps:cNvSpPr txBox="1"/>
                        <wps:spPr>
                          <a:xfrm>
                            <a:off x="3016512" y="2021033"/>
                            <a:ext cx="2140919" cy="532386"/>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497CD1F" w14:textId="77777777" w:rsidR="00A80A0C" w:rsidRDefault="00A80A0C" w:rsidP="00A80A0C">
                              <w:pPr>
                                <w:pStyle w:val="NormalWeb"/>
                                <w:spacing w:before="0" w:beforeAutospacing="0" w:after="0" w:afterAutospacing="0"/>
                                <w:jc w:val="center"/>
                                <w:rPr>
                                  <w:rFonts w:ascii="Times New Roman" w:hAnsi="Times New Roman" w:cs="Times New Roman"/>
                                  <w:b/>
                                  <w:sz w:val="20"/>
                                  <w:szCs w:val="20"/>
                                </w:rPr>
                              </w:pPr>
                              <w:r w:rsidRPr="00141ACA">
                                <w:rPr>
                                  <w:rFonts w:ascii="Times New Roman" w:hAnsi="Times New Roman" w:cs="Times New Roman"/>
                                  <w:b/>
                                  <w:sz w:val="20"/>
                                  <w:szCs w:val="20"/>
                                </w:rPr>
                                <w:t>Duplicates exclusion</w:t>
                              </w:r>
                            </w:p>
                            <w:p w14:paraId="5EA50E47" w14:textId="77777777" w:rsidR="00A80A0C" w:rsidRPr="00952914" w:rsidRDefault="00A80A0C" w:rsidP="00A80A0C">
                              <w:pPr>
                                <w:pStyle w:val="NormalWeb"/>
                                <w:spacing w:before="0" w:beforeAutospacing="0" w:after="0" w:afterAutospacing="0"/>
                                <w:jc w:val="center"/>
                                <w:rPr>
                                  <w:rFonts w:ascii="Times New Roman" w:hAnsi="Times New Roman" w:cs="Times New Roman"/>
                                  <w:sz w:val="20"/>
                                  <w:szCs w:val="20"/>
                                </w:rPr>
                              </w:pPr>
                              <w:r w:rsidRPr="00952914">
                                <w:rPr>
                                  <w:rFonts w:ascii="Times New Roman" w:hAnsi="Times New Roman" w:cs="Times New Roman"/>
                                  <w:sz w:val="20"/>
                                  <w:szCs w:val="20"/>
                                </w:rPr>
                                <w:t xml:space="preserve">Left </w:t>
                              </w:r>
                              <w:r>
                                <w:rPr>
                                  <w:rFonts w:ascii="Times New Roman" w:hAnsi="Times New Roman" w:cs="Times New Roman"/>
                                  <w:sz w:val="20"/>
                                  <w:szCs w:val="20"/>
                                </w:rPr>
                                <w:t>4322 papers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4" name="文本框 30"/>
                        <wps:cNvSpPr txBox="1"/>
                        <wps:spPr>
                          <a:xfrm>
                            <a:off x="0" y="1647645"/>
                            <a:ext cx="2491105" cy="233940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56FAED" w14:textId="77777777" w:rsidR="00A80A0C" w:rsidRDefault="00A80A0C" w:rsidP="00A80A0C">
                              <w:pPr>
                                <w:pStyle w:val="NormalWeb"/>
                                <w:spacing w:before="0" w:beforeAutospacing="0" w:after="0" w:afterAutospacing="0"/>
                                <w:rPr>
                                  <w:rFonts w:ascii="Times New Roman" w:hAnsi="Times New Roman" w:cs="Times New Roman"/>
                                  <w:b/>
                                  <w:bCs/>
                                  <w:sz w:val="20"/>
                                  <w:szCs w:val="20"/>
                                </w:rPr>
                              </w:pPr>
                              <w:r>
                                <w:rPr>
                                  <w:rFonts w:ascii="Times New Roman" w:hAnsi="Times New Roman" w:cs="Times New Roman"/>
                                  <w:b/>
                                  <w:bCs/>
                                  <w:sz w:val="20"/>
                                  <w:szCs w:val="20"/>
                                </w:rPr>
                                <w:t>Inclusion criteria:</w:t>
                              </w:r>
                            </w:p>
                            <w:p w14:paraId="16E52034" w14:textId="77777777" w:rsidR="00A80A0C" w:rsidRDefault="00A80A0C" w:rsidP="00A80A0C">
                              <w:pPr>
                                <w:pStyle w:val="NormalWeb"/>
                                <w:spacing w:before="0" w:beforeAutospacing="0" w:after="0" w:afterAutospacing="0"/>
                                <w:rPr>
                                  <w:rFonts w:ascii="Times New Roman" w:hAnsi="Times New Roman" w:cs="Times New Roman"/>
                                  <w:b/>
                                  <w:bCs/>
                                  <w:sz w:val="20"/>
                                  <w:szCs w:val="20"/>
                                </w:rPr>
                              </w:pPr>
                              <w:r w:rsidRPr="000D642B">
                                <w:rPr>
                                  <w:rFonts w:ascii="Times New Roman" w:hAnsi="Times New Roman" w:cs="Times New Roman" w:hint="eastAsia"/>
                                  <w:bCs/>
                                  <w:sz w:val="20"/>
                                  <w:szCs w:val="20"/>
                                </w:rPr>
                                <w:t>Focus</w:t>
                              </w:r>
                              <w:r>
                                <w:rPr>
                                  <w:rFonts w:ascii="Times New Roman" w:hAnsi="Times New Roman" w:cs="Times New Roman"/>
                                  <w:bCs/>
                                  <w:sz w:val="20"/>
                                  <w:szCs w:val="20"/>
                                </w:rPr>
                                <w:t>ing</w:t>
                              </w:r>
                              <w:r w:rsidRPr="000D642B">
                                <w:rPr>
                                  <w:rFonts w:ascii="Times New Roman" w:hAnsi="Times New Roman" w:cs="Times New Roman" w:hint="eastAsia"/>
                                  <w:bCs/>
                                  <w:sz w:val="20"/>
                                  <w:szCs w:val="20"/>
                                </w:rPr>
                                <w:t xml:space="preserve"> on</w:t>
                              </w:r>
                              <w:r>
                                <w:rPr>
                                  <w:rFonts w:ascii="Times New Roman" w:hAnsi="Times New Roman" w:cs="Times New Roman"/>
                                  <w:bCs/>
                                  <w:sz w:val="20"/>
                                  <w:szCs w:val="20"/>
                                </w:rPr>
                                <w:t xml:space="preserve"> financing behavior based</w:t>
                              </w:r>
                              <w:r w:rsidRPr="000D642B">
                                <w:rPr>
                                  <w:rFonts w:ascii="Times New Roman" w:hAnsi="Times New Roman" w:cs="Times New Roman" w:hint="eastAsia"/>
                                  <w:bCs/>
                                  <w:sz w:val="20"/>
                                  <w:szCs w:val="20"/>
                                </w:rPr>
                                <w:t xml:space="preserve"> </w:t>
                              </w:r>
                              <w:r>
                                <w:rPr>
                                  <w:rFonts w:ascii="Times New Roman" w:hAnsi="Times New Roman" w:cs="Times New Roman"/>
                                  <w:bCs/>
                                  <w:sz w:val="20"/>
                                  <w:szCs w:val="20"/>
                                </w:rPr>
                                <w:t>on s</w:t>
                              </w:r>
                              <w:r w:rsidRPr="000D642B">
                                <w:rPr>
                                  <w:rFonts w:ascii="Times New Roman" w:hAnsi="Times New Roman" w:cs="Times New Roman" w:hint="eastAsia"/>
                                  <w:bCs/>
                                  <w:sz w:val="20"/>
                                  <w:szCs w:val="20"/>
                                </w:rPr>
                                <w:t xml:space="preserve">upply </w:t>
                              </w:r>
                              <w:r>
                                <w:rPr>
                                  <w:rFonts w:ascii="Times New Roman" w:hAnsi="Times New Roman" w:cs="Times New Roman"/>
                                  <w:bCs/>
                                  <w:sz w:val="20"/>
                                  <w:szCs w:val="20"/>
                                </w:rPr>
                                <w:t>c</w:t>
                              </w:r>
                              <w:r w:rsidRPr="000D642B">
                                <w:rPr>
                                  <w:rFonts w:ascii="Times New Roman" w:hAnsi="Times New Roman" w:cs="Times New Roman" w:hint="eastAsia"/>
                                  <w:bCs/>
                                  <w:sz w:val="20"/>
                                  <w:szCs w:val="20"/>
                                </w:rPr>
                                <w:t>hain</w:t>
                              </w:r>
                              <w:r>
                                <w:rPr>
                                  <w:rFonts w:ascii="Times New Roman" w:hAnsi="Times New Roman" w:cs="Times New Roman" w:hint="eastAsia"/>
                                  <w:bCs/>
                                  <w:sz w:val="20"/>
                                  <w:szCs w:val="20"/>
                                </w:rPr>
                                <w:t>.</w:t>
                              </w:r>
                            </w:p>
                            <w:p w14:paraId="6F113704" w14:textId="77777777" w:rsidR="00A80A0C" w:rsidRPr="002B0AE4" w:rsidRDefault="00A80A0C" w:rsidP="00A80A0C">
                              <w:pPr>
                                <w:pStyle w:val="NormalWeb"/>
                                <w:spacing w:before="0" w:beforeAutospacing="0" w:after="0" w:afterAutospacing="0"/>
                                <w:rPr>
                                  <w:rFonts w:ascii="Times New Roman" w:hAnsi="Times New Roman" w:cs="Times New Roman"/>
                                  <w:bCs/>
                                  <w:sz w:val="20"/>
                                  <w:szCs w:val="20"/>
                                </w:rPr>
                              </w:pPr>
                              <w:r>
                                <w:rPr>
                                  <w:rFonts w:ascii="Times New Roman" w:hAnsi="Times New Roman" w:cs="Times New Roman"/>
                                  <w:bCs/>
                                  <w:sz w:val="20"/>
                                  <w:szCs w:val="20"/>
                                </w:rPr>
                                <w:t>Involving</w:t>
                              </w:r>
                              <w:r w:rsidRPr="002B0AE4">
                                <w:rPr>
                                  <w:rFonts w:ascii="Times New Roman" w:hAnsi="Times New Roman" w:cs="Times New Roman"/>
                                  <w:bCs/>
                                  <w:sz w:val="20"/>
                                  <w:szCs w:val="20"/>
                                </w:rPr>
                                <w:t xml:space="preserve"> </w:t>
                              </w:r>
                              <w:r>
                                <w:rPr>
                                  <w:rFonts w:ascii="Times New Roman" w:hAnsi="Times New Roman" w:cs="Times New Roman"/>
                                  <w:bCs/>
                                  <w:sz w:val="20"/>
                                  <w:szCs w:val="20"/>
                                </w:rPr>
                                <w:t xml:space="preserve">SCF </w:t>
                              </w:r>
                              <w:r w:rsidRPr="002B0AE4">
                                <w:rPr>
                                  <w:rFonts w:ascii="Times New Roman" w:hAnsi="Times New Roman" w:cs="Times New Roman"/>
                                  <w:bCs/>
                                  <w:sz w:val="20"/>
                                  <w:szCs w:val="20"/>
                                </w:rPr>
                                <w:t>information processing requirements,</w:t>
                              </w:r>
                              <w:r>
                                <w:rPr>
                                  <w:rFonts w:ascii="Times New Roman" w:hAnsi="Times New Roman" w:cs="Times New Roman"/>
                                  <w:bCs/>
                                  <w:sz w:val="20"/>
                                  <w:szCs w:val="20"/>
                                </w:rPr>
                                <w:t xml:space="preserve"> </w:t>
                              </w:r>
                              <w:r w:rsidRPr="002B0AE4">
                                <w:rPr>
                                  <w:rFonts w:ascii="Times New Roman" w:hAnsi="Times New Roman" w:cs="Times New Roman"/>
                                  <w:bCs/>
                                  <w:sz w:val="20"/>
                                  <w:szCs w:val="20"/>
                                </w:rPr>
                                <w:t xml:space="preserve">factors effect </w:t>
                              </w:r>
                              <w:r>
                                <w:rPr>
                                  <w:rFonts w:ascii="Times New Roman" w:hAnsi="Times New Roman" w:cs="Times New Roman"/>
                                  <w:bCs/>
                                  <w:sz w:val="20"/>
                                  <w:szCs w:val="20"/>
                                </w:rPr>
                                <w:t xml:space="preserve">SCF </w:t>
                              </w:r>
                              <w:r w:rsidRPr="002B0AE4">
                                <w:rPr>
                                  <w:rFonts w:ascii="Times New Roman" w:hAnsi="Times New Roman" w:cs="Times New Roman"/>
                                  <w:bCs/>
                                  <w:sz w:val="20"/>
                                  <w:szCs w:val="20"/>
                                </w:rPr>
                                <w:t>information processing capacities</w:t>
                              </w:r>
                              <w:r>
                                <w:rPr>
                                  <w:rFonts w:ascii="Times New Roman" w:hAnsi="Times New Roman" w:cs="Times New Roman"/>
                                  <w:bCs/>
                                  <w:sz w:val="20"/>
                                  <w:szCs w:val="20"/>
                                </w:rPr>
                                <w:t>, and</w:t>
                              </w:r>
                              <w:r w:rsidRPr="002B0AE4">
                                <w:rPr>
                                  <w:rFonts w:ascii="Times New Roman" w:hAnsi="Times New Roman" w:cs="Times New Roman"/>
                                  <w:bCs/>
                                  <w:sz w:val="20"/>
                                  <w:szCs w:val="20"/>
                                </w:rPr>
                                <w:t xml:space="preserve"> SCF capabilities</w:t>
                              </w:r>
                              <w:r>
                                <w:rPr>
                                  <w:rFonts w:ascii="Times New Roman" w:hAnsi="Times New Roman" w:cs="Times New Roman"/>
                                  <w:bCs/>
                                  <w:sz w:val="20"/>
                                  <w:szCs w:val="20"/>
                                </w:rPr>
                                <w:t>.</w:t>
                              </w:r>
                            </w:p>
                            <w:p w14:paraId="02788347" w14:textId="77777777" w:rsidR="00A80A0C" w:rsidRDefault="00A80A0C" w:rsidP="00A80A0C">
                              <w:pPr>
                                <w:pStyle w:val="NormalWeb"/>
                                <w:spacing w:before="0" w:beforeAutospacing="0" w:after="0" w:afterAutospacing="0"/>
                                <w:rPr>
                                  <w:rFonts w:ascii="Times New Roman" w:hAnsi="Times New Roman" w:cs="Times New Roman"/>
                                  <w:b/>
                                  <w:bCs/>
                                  <w:sz w:val="20"/>
                                  <w:szCs w:val="20"/>
                                </w:rPr>
                              </w:pPr>
                              <w:r>
                                <w:rPr>
                                  <w:rFonts w:ascii="Times New Roman" w:hAnsi="Times New Roman" w:cs="Times New Roman"/>
                                  <w:b/>
                                  <w:bCs/>
                                  <w:sz w:val="20"/>
                                  <w:szCs w:val="20"/>
                                </w:rPr>
                                <w:t>Exclusion criteria:</w:t>
                              </w:r>
                            </w:p>
                            <w:p w14:paraId="6450E0C8" w14:textId="77777777" w:rsidR="00A80A0C" w:rsidRPr="000D642B" w:rsidRDefault="00A80A0C" w:rsidP="00A80A0C">
                              <w:pPr>
                                <w:pStyle w:val="NormalWeb"/>
                                <w:spacing w:before="0" w:beforeAutospacing="0" w:after="0" w:afterAutospacing="0"/>
                                <w:rPr>
                                  <w:rFonts w:ascii="Times New Roman" w:hAnsi="Times New Roman" w:cs="Times New Roman"/>
                                  <w:bCs/>
                                  <w:sz w:val="20"/>
                                  <w:szCs w:val="20"/>
                                </w:rPr>
                              </w:pPr>
                              <w:r w:rsidRPr="000D642B">
                                <w:rPr>
                                  <w:rFonts w:ascii="Times New Roman" w:hAnsi="Times New Roman" w:cs="Times New Roman"/>
                                  <w:bCs/>
                                  <w:sz w:val="20"/>
                                  <w:szCs w:val="20"/>
                                </w:rPr>
                                <w:t>Focus</w:t>
                              </w:r>
                              <w:r>
                                <w:rPr>
                                  <w:rFonts w:ascii="Times New Roman" w:hAnsi="Times New Roman" w:cs="Times New Roman"/>
                                  <w:bCs/>
                                  <w:sz w:val="20"/>
                                  <w:szCs w:val="20"/>
                                </w:rPr>
                                <w:t>ing</w:t>
                              </w:r>
                              <w:r w:rsidRPr="000D642B">
                                <w:rPr>
                                  <w:rFonts w:ascii="Times New Roman" w:hAnsi="Times New Roman" w:cs="Times New Roman"/>
                                  <w:bCs/>
                                  <w:sz w:val="20"/>
                                  <w:szCs w:val="20"/>
                                </w:rPr>
                                <w:t xml:space="preserve"> on supply chain behavior but no financing behavior.</w:t>
                              </w:r>
                            </w:p>
                            <w:p w14:paraId="0DCC3606" w14:textId="77777777" w:rsidR="00A80A0C" w:rsidRPr="0047197F" w:rsidRDefault="00A80A0C" w:rsidP="00A80A0C">
                              <w:pPr>
                                <w:pStyle w:val="NormalWeb"/>
                                <w:spacing w:before="0" w:beforeAutospacing="0" w:after="0" w:afterAutospacing="0"/>
                                <w:rPr>
                                  <w:rFonts w:ascii="Times New Roman" w:hAnsi="Times New Roman" w:cs="Times New Roman"/>
                                  <w:bCs/>
                                  <w:sz w:val="20"/>
                                  <w:szCs w:val="20"/>
                                </w:rPr>
                              </w:pPr>
                              <w:r>
                                <w:rPr>
                                  <w:rFonts w:ascii="Times New Roman" w:hAnsi="Times New Roman" w:cs="Times New Roman"/>
                                  <w:bCs/>
                                  <w:sz w:val="20"/>
                                  <w:szCs w:val="20"/>
                                </w:rPr>
                                <w:t>Focusing on financing behavior based on single firm</w:t>
                              </w:r>
                              <w:r w:rsidRPr="000D642B">
                                <w:rPr>
                                  <w:rFonts w:ascii="Times New Roman" w:hAnsi="Times New Roman" w:cs="Times New Roman"/>
                                  <w:bCs/>
                                  <w:sz w:val="20"/>
                                  <w:szCs w:val="20"/>
                                </w:rPr>
                                <w:t>.</w:t>
                              </w:r>
                            </w:p>
                            <w:p w14:paraId="6E4134BB" w14:textId="77777777" w:rsidR="00A80A0C" w:rsidRPr="000D642B" w:rsidRDefault="00A80A0C" w:rsidP="00A80A0C">
                              <w:pPr>
                                <w:pStyle w:val="NormalWeb"/>
                                <w:spacing w:before="0" w:beforeAutospacing="0" w:after="0" w:afterAutospacing="0"/>
                                <w:rPr>
                                  <w:rFonts w:ascii="Times New Roman" w:hAnsi="Times New Roman" w:cs="Times New Roman"/>
                                  <w:bCs/>
                                  <w:sz w:val="20"/>
                                  <w:szCs w:val="20"/>
                                </w:rPr>
                              </w:pPr>
                            </w:p>
                            <w:p w14:paraId="5690DEBF" w14:textId="77777777" w:rsidR="00A80A0C" w:rsidRPr="008E19CE" w:rsidRDefault="00A80A0C" w:rsidP="00A80A0C">
                              <w:pPr>
                                <w:pStyle w:val="NormalWeb"/>
                                <w:spacing w:before="0" w:beforeAutospacing="0" w:after="0" w:afterAutospacing="0"/>
                                <w:rPr>
                                  <w:rFonts w:ascii="Times New Roman" w:hAnsi="Times New Roman" w:cs="Times New Roman"/>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6" name="Straight Arrow Connector 46"/>
                        <wps:cNvCnPr/>
                        <wps:spPr>
                          <a:xfrm>
                            <a:off x="2536166" y="3055207"/>
                            <a:ext cx="42765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1" name="下箭头 41"/>
                        <wps:cNvSpPr/>
                        <wps:spPr>
                          <a:xfrm>
                            <a:off x="4022465" y="3469181"/>
                            <a:ext cx="94891" cy="155412"/>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 name="下箭头 154"/>
                        <wps:cNvSpPr/>
                        <wps:spPr>
                          <a:xfrm>
                            <a:off x="4022465" y="2569600"/>
                            <a:ext cx="94615" cy="15494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7" name="下箭头 157"/>
                        <wps:cNvSpPr/>
                        <wps:spPr>
                          <a:xfrm>
                            <a:off x="4022465" y="1824422"/>
                            <a:ext cx="94615" cy="15430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8" name="下箭头 158"/>
                        <wps:cNvSpPr/>
                        <wps:spPr>
                          <a:xfrm>
                            <a:off x="4022465" y="855789"/>
                            <a:ext cx="94615" cy="15430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58631BB6" id="画布 29" o:spid="_x0000_s1033" editas="canvas" style="width:633.55pt;height:355.85pt;mso-position-horizontal-relative:char;mso-position-vertical-relative:line" coordsize="80454,4518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">
                <v:shape id="_x0000_s1034" type="#_x0000_t75" style="position:absolute;width:80454;height:45186;visibility:visible;mso-wrap-style:square">
                  <v:fill o:detectmouseclick="t"/>
                  <v:path o:connecttype="none"/>
                </v:shape>
                <v:shapetype id="_x0000_t202" coordsize="21600,21600" o:spt="202" path="m,l,21600r21600,l21600,xe">
                  <v:stroke joinstyle="miter"/>
                  <v:path gradientshapeok="t" o:connecttype="rect"/>
                </v:shapetype>
                <v:shape id="文本框 30" o:spid="_x0000_s1035" type="#_x0000_t202" style="position:absolute;left:30246;top:1379;width:21329;height:66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" fillcolor="white [3201]" strokecolor="black [3200]" strokeweight="2.25pt">
                  <v:textbox>
                    <w:txbxContent>
                      <w:p w14:paraId="1EE364BD" w14:textId="77777777" w:rsidR="00A80A0C" w:rsidRPr="005C5800" w:rsidRDefault="00A80A0C" w:rsidP="00A80A0C">
                        <w:pPr>
                          <w:jc w:val="center"/>
                          <w:rPr>
                            <w:b/>
                            <w:sz w:val="20"/>
                            <w:szCs w:val="20"/>
                          </w:rPr>
                        </w:pPr>
                        <w:r>
                          <w:rPr>
                            <w:b/>
                            <w:sz w:val="20"/>
                            <w:szCs w:val="20"/>
                          </w:rPr>
                          <w:t>Databases</w:t>
                        </w:r>
                      </w:p>
                      <w:p w14:paraId="149C64DB" w14:textId="77777777" w:rsidR="00A80A0C" w:rsidRPr="00FE21C7" w:rsidRDefault="00A80A0C" w:rsidP="00A80A0C">
                        <w:pPr>
                          <w:jc w:val="center"/>
                          <w:rPr>
                            <w:sz w:val="20"/>
                            <w:szCs w:val="20"/>
                          </w:rPr>
                        </w:pPr>
                        <w:r w:rsidRPr="005C5800">
                          <w:rPr>
                            <w:sz w:val="20"/>
                            <w:szCs w:val="20"/>
                          </w:rPr>
                          <w:t>WoS, EBSCO and Scopus</w:t>
                        </w:r>
                      </w:p>
                    </w:txbxContent>
                  </v:textbox>
                </v:shape>
                <v:shape id="文本框 30" o:spid="_x0000_s1036" type="#_x0000_t202" style="position:absolute;left:30166;top:10607;width:21336;height:7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" fillcolor="white [3201]" strokeweight="2.25pt">
                  <v:textbox>
                    <w:txbxContent>
                      <w:p w14:paraId="7B954FB7" w14:textId="77777777" w:rsidR="00A80A0C" w:rsidRDefault="00A80A0C" w:rsidP="00A80A0C">
                        <w:pPr>
                          <w:jc w:val="center"/>
                          <w:rPr>
                            <w:b/>
                            <w:sz w:val="20"/>
                            <w:szCs w:val="20"/>
                          </w:rPr>
                        </w:pPr>
                        <w:r w:rsidRPr="00E521D7">
                          <w:rPr>
                            <w:b/>
                            <w:sz w:val="20"/>
                            <w:szCs w:val="20"/>
                          </w:rPr>
                          <w:t>Data collection</w:t>
                        </w:r>
                      </w:p>
                      <w:p w14:paraId="2A202348" w14:textId="77777777" w:rsidR="00A80A0C" w:rsidRPr="009F6922" w:rsidRDefault="00A80A0C" w:rsidP="00A80A0C">
                        <w:pPr>
                          <w:jc w:val="center"/>
                          <w:rPr>
                            <w:sz w:val="20"/>
                          </w:rPr>
                        </w:pPr>
                        <w:r w:rsidRPr="009F6922">
                          <w:rPr>
                            <w:sz w:val="20"/>
                          </w:rPr>
                          <w:t>WoS (</w:t>
                        </w:r>
                        <w:r>
                          <w:rPr>
                            <w:sz w:val="20"/>
                          </w:rPr>
                          <w:t>3238</w:t>
                        </w:r>
                        <w:r w:rsidRPr="009F6922">
                          <w:rPr>
                            <w:sz w:val="20"/>
                          </w:rPr>
                          <w:t>), EBSCO (14</w:t>
                        </w:r>
                        <w:r>
                          <w:rPr>
                            <w:sz w:val="20"/>
                          </w:rPr>
                          <w:t>53</w:t>
                        </w:r>
                        <w:r w:rsidRPr="009F6922">
                          <w:rPr>
                            <w:sz w:val="20"/>
                          </w:rPr>
                          <w:t>) and Scopus (</w:t>
                        </w:r>
                        <w:r>
                          <w:rPr>
                            <w:sz w:val="20"/>
                          </w:rPr>
                          <w:t>3311</w:t>
                        </w:r>
                        <w:r w:rsidRPr="009F6922">
                          <w:rPr>
                            <w:sz w:val="20"/>
                          </w:rPr>
                          <w:t>)</w:t>
                        </w:r>
                      </w:p>
                      <w:p w14:paraId="2DF6481D" w14:textId="77777777" w:rsidR="00A80A0C" w:rsidRPr="00E521D7" w:rsidRDefault="00A80A0C" w:rsidP="00A80A0C">
                        <w:pPr>
                          <w:jc w:val="center"/>
                          <w:rPr>
                            <w:b/>
                            <w:sz w:val="20"/>
                            <w:szCs w:val="20"/>
                          </w:rPr>
                        </w:pPr>
                      </w:p>
                    </w:txbxContent>
                  </v:textbox>
                </v:shape>
                <v:shape id="文本框 30" o:spid="_x0000_s1037" type="#_x0000_t202" style="position:absolute;left:30165;top:27245;width:21336;height:708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" fillcolor="white [3201]" strokeweight="2.25pt">
                  <v:textbox>
                    <w:txbxContent>
                      <w:p w14:paraId="1F6105A5" w14:textId="77777777" w:rsidR="00A80A0C" w:rsidRDefault="00A80A0C" w:rsidP="00A80A0C">
                        <w:pPr>
                          <w:jc w:val="center"/>
                          <w:rPr>
                            <w:b/>
                            <w:sz w:val="20"/>
                            <w:szCs w:val="20"/>
                          </w:rPr>
                        </w:pPr>
                        <w:r w:rsidRPr="00E521D7">
                          <w:rPr>
                            <w:b/>
                            <w:sz w:val="20"/>
                            <w:szCs w:val="20"/>
                          </w:rPr>
                          <w:t>Title</w:t>
                        </w:r>
                        <w:r>
                          <w:rPr>
                            <w:b/>
                            <w:sz w:val="20"/>
                            <w:szCs w:val="20"/>
                          </w:rPr>
                          <w:t xml:space="preserve">, </w:t>
                        </w:r>
                        <w:r w:rsidRPr="00E521D7">
                          <w:rPr>
                            <w:b/>
                            <w:sz w:val="20"/>
                            <w:szCs w:val="20"/>
                          </w:rPr>
                          <w:t xml:space="preserve">abstract </w:t>
                        </w:r>
                        <w:r>
                          <w:rPr>
                            <w:b/>
                            <w:sz w:val="20"/>
                            <w:szCs w:val="20"/>
                          </w:rPr>
                          <w:t>and c</w:t>
                        </w:r>
                        <w:r w:rsidRPr="005C5800">
                          <w:rPr>
                            <w:b/>
                            <w:sz w:val="20"/>
                            <w:szCs w:val="20"/>
                          </w:rPr>
                          <w:t>ontent</w:t>
                        </w:r>
                        <w:r w:rsidRPr="00E521D7">
                          <w:rPr>
                            <w:b/>
                            <w:sz w:val="20"/>
                            <w:szCs w:val="20"/>
                          </w:rPr>
                          <w:t xml:space="preserve"> evaluation</w:t>
                        </w:r>
                      </w:p>
                      <w:p w14:paraId="6822477B" w14:textId="77777777" w:rsidR="00A80A0C" w:rsidRPr="00F86589" w:rsidRDefault="00A80A0C" w:rsidP="00A80A0C">
                        <w:pPr>
                          <w:jc w:val="center"/>
                          <w:rPr>
                            <w:sz w:val="20"/>
                            <w:szCs w:val="20"/>
                          </w:rPr>
                        </w:pPr>
                        <w:r>
                          <w:rPr>
                            <w:sz w:val="20"/>
                            <w:szCs w:val="20"/>
                          </w:rPr>
                          <w:t>617</w:t>
                        </w:r>
                        <w:r w:rsidRPr="00F86589">
                          <w:rPr>
                            <w:sz w:val="20"/>
                            <w:szCs w:val="20"/>
                          </w:rPr>
                          <w:t xml:space="preserve"> papers</w:t>
                        </w:r>
                      </w:p>
                    </w:txbxContent>
                  </v:textbox>
                </v:shape>
                <v:shape id="文本框 30" o:spid="_x0000_s1038" type="#_x0000_t202" style="position:absolute;left:30166;top:36460;width:21336;height:50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" fillcolor="white [3201]" strokeweight="2.25pt">
                  <v:textbox>
                    <w:txbxContent>
                      <w:p w14:paraId="28E99AA8" w14:textId="77777777" w:rsidR="00A80A0C" w:rsidRDefault="00A80A0C" w:rsidP="00A80A0C">
                        <w:pPr>
                          <w:jc w:val="center"/>
                          <w:rPr>
                            <w:b/>
                            <w:sz w:val="20"/>
                            <w:szCs w:val="20"/>
                          </w:rPr>
                        </w:pPr>
                        <w:r w:rsidRPr="005C5800">
                          <w:rPr>
                            <w:b/>
                            <w:sz w:val="20"/>
                            <w:szCs w:val="20"/>
                          </w:rPr>
                          <w:t>Content evaluation</w:t>
                        </w:r>
                      </w:p>
                      <w:p w14:paraId="24DEF43A" w14:textId="77777777" w:rsidR="00A80A0C" w:rsidRPr="00F86589" w:rsidRDefault="00A80A0C" w:rsidP="00A80A0C">
                        <w:pPr>
                          <w:jc w:val="center"/>
                          <w:rPr>
                            <w:sz w:val="20"/>
                            <w:szCs w:val="20"/>
                          </w:rPr>
                        </w:pPr>
                        <w:r>
                          <w:rPr>
                            <w:sz w:val="20"/>
                            <w:szCs w:val="20"/>
                          </w:rPr>
                          <w:t>71</w:t>
                        </w:r>
                        <w:r w:rsidRPr="00F86589">
                          <w:rPr>
                            <w:sz w:val="20"/>
                            <w:szCs w:val="20"/>
                          </w:rPr>
                          <w:t xml:space="preserve"> papers</w:t>
                        </w:r>
                      </w:p>
                      <w:p w14:paraId="184C1CB4" w14:textId="77777777" w:rsidR="00A80A0C" w:rsidRPr="005C5800" w:rsidRDefault="00A80A0C" w:rsidP="00A80A0C">
                        <w:pPr>
                          <w:jc w:val="center"/>
                          <w:rPr>
                            <w:b/>
                            <w:sz w:val="20"/>
                            <w:szCs w:val="20"/>
                          </w:rPr>
                        </w:pPr>
                      </w:p>
                    </w:txbxContent>
                  </v:textbox>
                </v:shape>
                <v:shape id="文本框 30" o:spid="_x0000_s1039" type="#_x0000_t202" style="position:absolute;left:55516;width:24916;height:2488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" fillcolor="white [3201]" strokeweight=".5pt">
                  <v:textbox>
                    <w:txbxContent>
                      <w:p w14:paraId="0847E363" w14:textId="77777777" w:rsidR="00A80A0C" w:rsidRPr="0055194B" w:rsidRDefault="00A80A0C" w:rsidP="00A80A0C">
                        <w:pPr>
                          <w:pStyle w:val="NormalWeb"/>
                          <w:spacing w:before="0" w:beforeAutospacing="0" w:after="0" w:afterAutospacing="0"/>
                          <w:rPr>
                            <w:rFonts w:ascii="Times New Roman" w:hAnsi="Times New Roman" w:cs="Times New Roman"/>
                            <w:b/>
                            <w:sz w:val="20"/>
                            <w:szCs w:val="18"/>
                          </w:rPr>
                        </w:pPr>
                        <w:r w:rsidRPr="0055194B">
                          <w:rPr>
                            <w:rFonts w:ascii="Times New Roman" w:hAnsi="Times New Roman" w:cs="Times New Roman"/>
                            <w:b/>
                            <w:sz w:val="20"/>
                            <w:szCs w:val="18"/>
                          </w:rPr>
                          <w:t>Subject area and source type selection</w:t>
                        </w:r>
                      </w:p>
                      <w:p w14:paraId="48EB0CE1" w14:textId="77777777" w:rsidR="00A80A0C" w:rsidRPr="007D28AE" w:rsidRDefault="00A80A0C" w:rsidP="00A80A0C">
                        <w:pPr>
                          <w:rPr>
                            <w:rFonts w:eastAsia="SimSun"/>
                            <w:bCs/>
                            <w:kern w:val="0"/>
                            <w:sz w:val="20"/>
                            <w:szCs w:val="20"/>
                            <w:lang w:val="en-US"/>
                          </w:rPr>
                        </w:pPr>
                        <w:r w:rsidRPr="00E521D7">
                          <w:rPr>
                            <w:b/>
                            <w:sz w:val="20"/>
                            <w:szCs w:val="18"/>
                          </w:rPr>
                          <w:t>WoS:</w:t>
                        </w:r>
                        <w:r>
                          <w:rPr>
                            <w:sz w:val="20"/>
                            <w:szCs w:val="18"/>
                          </w:rPr>
                          <w:t xml:space="preserve"> </w:t>
                        </w:r>
                        <w:r w:rsidRPr="007D28AE">
                          <w:rPr>
                            <w:rFonts w:eastAsia="SimSun"/>
                            <w:bCs/>
                            <w:kern w:val="0"/>
                            <w:sz w:val="20"/>
                            <w:szCs w:val="20"/>
                            <w:lang w:val="en-US"/>
                          </w:rPr>
                          <w:t>Academic journal in Operations research management science, Management, Economics, Business, Business Finance, Social Science Interdisciplinary and Multidisciplinary Science</w:t>
                        </w:r>
                      </w:p>
                      <w:p w14:paraId="7C59EB40" w14:textId="77777777" w:rsidR="00A80A0C" w:rsidRPr="007D28AE" w:rsidRDefault="00A80A0C" w:rsidP="00A80A0C">
                        <w:pPr>
                          <w:rPr>
                            <w:rFonts w:eastAsia="SimSun"/>
                            <w:bCs/>
                            <w:kern w:val="0"/>
                            <w:sz w:val="20"/>
                            <w:szCs w:val="20"/>
                            <w:lang w:val="en-US"/>
                          </w:rPr>
                        </w:pPr>
                        <w:r w:rsidRPr="007D28AE">
                          <w:rPr>
                            <w:rFonts w:eastAsia="SimSun"/>
                            <w:b/>
                            <w:bCs/>
                            <w:kern w:val="0"/>
                            <w:sz w:val="20"/>
                            <w:szCs w:val="20"/>
                            <w:lang w:val="en-US"/>
                          </w:rPr>
                          <w:t>EBSCO:</w:t>
                        </w:r>
                        <w:r w:rsidRPr="007D28AE">
                          <w:rPr>
                            <w:rFonts w:eastAsia="SimSun"/>
                            <w:bCs/>
                            <w:kern w:val="0"/>
                            <w:sz w:val="20"/>
                            <w:szCs w:val="20"/>
                            <w:lang w:val="en-US"/>
                          </w:rPr>
                          <w:t xml:space="preserve">  Academic Journal</w:t>
                        </w:r>
                      </w:p>
                      <w:p w14:paraId="20A2FC73" w14:textId="77777777" w:rsidR="00A80A0C" w:rsidRDefault="00A80A0C" w:rsidP="00A80A0C">
                        <w:pPr>
                          <w:rPr>
                            <w:sz w:val="20"/>
                            <w:szCs w:val="20"/>
                          </w:rPr>
                        </w:pPr>
                        <w:r w:rsidRPr="00E521D7">
                          <w:rPr>
                            <w:b/>
                            <w:sz w:val="20"/>
                            <w:szCs w:val="20"/>
                          </w:rPr>
                          <w:t>Scopus:</w:t>
                        </w:r>
                        <w:r>
                          <w:rPr>
                            <w:sz w:val="20"/>
                            <w:szCs w:val="20"/>
                          </w:rPr>
                          <w:t xml:space="preserve"> </w:t>
                        </w:r>
                        <w:r w:rsidRPr="007D28AE">
                          <w:rPr>
                            <w:rFonts w:eastAsia="SimSun"/>
                            <w:bCs/>
                            <w:kern w:val="0"/>
                            <w:sz w:val="20"/>
                            <w:szCs w:val="20"/>
                            <w:lang w:val="en-US"/>
                          </w:rPr>
                          <w:t>Academic Journal in Business, management and accounting, social science, economics, econometrics and finance, Decision science, and Multidisciplinary</w:t>
                        </w:r>
                      </w:p>
                      <w:p w14:paraId="27BB878B" w14:textId="77777777" w:rsidR="00A80A0C" w:rsidRPr="0055194B" w:rsidRDefault="00A80A0C" w:rsidP="00A80A0C">
                        <w:pPr>
                          <w:rPr>
                            <w:sz w:val="20"/>
                            <w:szCs w:val="20"/>
                          </w:rPr>
                        </w:pPr>
                        <w:r w:rsidRPr="00740AC3">
                          <w:rPr>
                            <w:b/>
                            <w:sz w:val="20"/>
                            <w:szCs w:val="20"/>
                          </w:rPr>
                          <w:t>Time:</w:t>
                        </w:r>
                        <w:r>
                          <w:rPr>
                            <w:sz w:val="20"/>
                            <w:szCs w:val="20"/>
                          </w:rPr>
                          <w:t xml:space="preserve"> 2000 – 2018</w:t>
                        </w:r>
                      </w:p>
                      <w:p w14:paraId="604BA913" w14:textId="77777777" w:rsidR="00A80A0C" w:rsidRPr="00006FCC" w:rsidRDefault="00A80A0C" w:rsidP="00A80A0C">
                        <w:pPr>
                          <w:pStyle w:val="NormalWeb"/>
                          <w:spacing w:before="0" w:beforeAutospacing="0" w:after="0" w:afterAutospacing="0"/>
                          <w:rPr>
                            <w:rFonts w:ascii="Times New Roman" w:hAnsi="Times New Roman" w:cs="Times New Roman"/>
                            <w:sz w:val="20"/>
                          </w:rPr>
                        </w:pPr>
                      </w:p>
                    </w:txbxContent>
                  </v:textbox>
                </v:shape>
                <v:shapetype id="_x0000_t32" coordsize="21600,21600" o:spt="32" o:oned="t" path="m,l21600,21600e" filled="f">
                  <v:path arrowok="t" fillok="f" o:connecttype="none"/>
                  <o:lock v:ext="edit" shapetype="t"/>
                </v:shapetype>
                <v:shape id="Straight Arrow Connector 40" o:spid="_x0000_s1040" type="#_x0000_t32" style="position:absolute;left:41976;top:9363;width:13540;height:0;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" strokecolor="black [3200]" strokeweight=".5pt">
                  <v:stroke endarrow="block" joinstyle="miter"/>
                </v:shape>
                <v:shape id="文本框 30" o:spid="_x0000_s1041" type="#_x0000_t202" style="position:absolute;left:30165;top:20210;width:21409;height:532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" fillcolor="white [3201]" strokeweight="2.25pt">
                  <v:textbox>
                    <w:txbxContent>
                      <w:p w14:paraId="5497CD1F" w14:textId="77777777" w:rsidR="00A80A0C" w:rsidRDefault="00A80A0C" w:rsidP="00A80A0C">
                        <w:pPr>
                          <w:pStyle w:val="NormalWeb"/>
                          <w:spacing w:before="0" w:beforeAutospacing="0" w:after="0" w:afterAutospacing="0"/>
                          <w:jc w:val="center"/>
                          <w:rPr>
                            <w:rFonts w:ascii="Times New Roman" w:hAnsi="Times New Roman" w:cs="Times New Roman"/>
                            <w:b/>
                            <w:sz w:val="20"/>
                            <w:szCs w:val="20"/>
                          </w:rPr>
                        </w:pPr>
                        <w:r w:rsidRPr="00141ACA">
                          <w:rPr>
                            <w:rFonts w:ascii="Times New Roman" w:hAnsi="Times New Roman" w:cs="Times New Roman"/>
                            <w:b/>
                            <w:sz w:val="20"/>
                            <w:szCs w:val="20"/>
                          </w:rPr>
                          <w:t>Duplicates exclusion</w:t>
                        </w:r>
                      </w:p>
                      <w:p w14:paraId="5EA50E47" w14:textId="77777777" w:rsidR="00A80A0C" w:rsidRPr="00952914" w:rsidRDefault="00A80A0C" w:rsidP="00A80A0C">
                        <w:pPr>
                          <w:pStyle w:val="NormalWeb"/>
                          <w:spacing w:before="0" w:beforeAutospacing="0" w:after="0" w:afterAutospacing="0"/>
                          <w:jc w:val="center"/>
                          <w:rPr>
                            <w:rFonts w:ascii="Times New Roman" w:hAnsi="Times New Roman" w:cs="Times New Roman"/>
                            <w:sz w:val="20"/>
                            <w:szCs w:val="20"/>
                          </w:rPr>
                        </w:pPr>
                        <w:r w:rsidRPr="00952914">
                          <w:rPr>
                            <w:rFonts w:ascii="Times New Roman" w:hAnsi="Times New Roman" w:cs="Times New Roman"/>
                            <w:sz w:val="20"/>
                            <w:szCs w:val="20"/>
                          </w:rPr>
                          <w:t xml:space="preserve">Left </w:t>
                        </w:r>
                        <w:r>
                          <w:rPr>
                            <w:rFonts w:ascii="Times New Roman" w:hAnsi="Times New Roman" w:cs="Times New Roman"/>
                            <w:sz w:val="20"/>
                            <w:szCs w:val="20"/>
                          </w:rPr>
                          <w:t>4322 papers</w:t>
                        </w:r>
                      </w:p>
                    </w:txbxContent>
                  </v:textbox>
                </v:shape>
                <v:shape id="文本框 30" o:spid="_x0000_s1042" type="#_x0000_t202" style="position:absolute;top:16476;width:24911;height:2339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" fillcolor="white [3201]" strokeweight=".5pt">
                  <v:textbox>
                    <w:txbxContent>
                      <w:p w14:paraId="0F56FAED" w14:textId="77777777" w:rsidR="00A80A0C" w:rsidRDefault="00A80A0C" w:rsidP="00A80A0C">
                        <w:pPr>
                          <w:pStyle w:val="NormalWeb"/>
                          <w:spacing w:before="0" w:beforeAutospacing="0" w:after="0" w:afterAutospacing="0"/>
                          <w:rPr>
                            <w:rFonts w:ascii="Times New Roman" w:hAnsi="Times New Roman" w:cs="Times New Roman"/>
                            <w:b/>
                            <w:bCs/>
                            <w:sz w:val="20"/>
                            <w:szCs w:val="20"/>
                          </w:rPr>
                        </w:pPr>
                        <w:r>
                          <w:rPr>
                            <w:rFonts w:ascii="Times New Roman" w:hAnsi="Times New Roman" w:cs="Times New Roman"/>
                            <w:b/>
                            <w:bCs/>
                            <w:sz w:val="20"/>
                            <w:szCs w:val="20"/>
                          </w:rPr>
                          <w:t>Inclusion criteria:</w:t>
                        </w:r>
                      </w:p>
                      <w:p w14:paraId="16E52034" w14:textId="77777777" w:rsidR="00A80A0C" w:rsidRDefault="00A80A0C" w:rsidP="00A80A0C">
                        <w:pPr>
                          <w:pStyle w:val="NormalWeb"/>
                          <w:spacing w:before="0" w:beforeAutospacing="0" w:after="0" w:afterAutospacing="0"/>
                          <w:rPr>
                            <w:rFonts w:ascii="Times New Roman" w:hAnsi="Times New Roman" w:cs="Times New Roman"/>
                            <w:b/>
                            <w:bCs/>
                            <w:sz w:val="20"/>
                            <w:szCs w:val="20"/>
                          </w:rPr>
                        </w:pPr>
                        <w:r w:rsidRPr="000D642B">
                          <w:rPr>
                            <w:rFonts w:ascii="Times New Roman" w:hAnsi="Times New Roman" w:cs="Times New Roman" w:hint="eastAsia"/>
                            <w:bCs/>
                            <w:sz w:val="20"/>
                            <w:szCs w:val="20"/>
                          </w:rPr>
                          <w:t>Focus</w:t>
                        </w:r>
                        <w:r>
                          <w:rPr>
                            <w:rFonts w:ascii="Times New Roman" w:hAnsi="Times New Roman" w:cs="Times New Roman"/>
                            <w:bCs/>
                            <w:sz w:val="20"/>
                            <w:szCs w:val="20"/>
                          </w:rPr>
                          <w:t>ing</w:t>
                        </w:r>
                        <w:r w:rsidRPr="000D642B">
                          <w:rPr>
                            <w:rFonts w:ascii="Times New Roman" w:hAnsi="Times New Roman" w:cs="Times New Roman" w:hint="eastAsia"/>
                            <w:bCs/>
                            <w:sz w:val="20"/>
                            <w:szCs w:val="20"/>
                          </w:rPr>
                          <w:t xml:space="preserve"> on</w:t>
                        </w:r>
                        <w:r>
                          <w:rPr>
                            <w:rFonts w:ascii="Times New Roman" w:hAnsi="Times New Roman" w:cs="Times New Roman"/>
                            <w:bCs/>
                            <w:sz w:val="20"/>
                            <w:szCs w:val="20"/>
                          </w:rPr>
                          <w:t xml:space="preserve"> financing behavior based</w:t>
                        </w:r>
                        <w:r w:rsidRPr="000D642B">
                          <w:rPr>
                            <w:rFonts w:ascii="Times New Roman" w:hAnsi="Times New Roman" w:cs="Times New Roman" w:hint="eastAsia"/>
                            <w:bCs/>
                            <w:sz w:val="20"/>
                            <w:szCs w:val="20"/>
                          </w:rPr>
                          <w:t xml:space="preserve"> </w:t>
                        </w:r>
                        <w:r>
                          <w:rPr>
                            <w:rFonts w:ascii="Times New Roman" w:hAnsi="Times New Roman" w:cs="Times New Roman"/>
                            <w:bCs/>
                            <w:sz w:val="20"/>
                            <w:szCs w:val="20"/>
                          </w:rPr>
                          <w:t>on s</w:t>
                        </w:r>
                        <w:r w:rsidRPr="000D642B">
                          <w:rPr>
                            <w:rFonts w:ascii="Times New Roman" w:hAnsi="Times New Roman" w:cs="Times New Roman" w:hint="eastAsia"/>
                            <w:bCs/>
                            <w:sz w:val="20"/>
                            <w:szCs w:val="20"/>
                          </w:rPr>
                          <w:t xml:space="preserve">upply </w:t>
                        </w:r>
                        <w:r>
                          <w:rPr>
                            <w:rFonts w:ascii="Times New Roman" w:hAnsi="Times New Roman" w:cs="Times New Roman"/>
                            <w:bCs/>
                            <w:sz w:val="20"/>
                            <w:szCs w:val="20"/>
                          </w:rPr>
                          <w:t>c</w:t>
                        </w:r>
                        <w:r w:rsidRPr="000D642B">
                          <w:rPr>
                            <w:rFonts w:ascii="Times New Roman" w:hAnsi="Times New Roman" w:cs="Times New Roman" w:hint="eastAsia"/>
                            <w:bCs/>
                            <w:sz w:val="20"/>
                            <w:szCs w:val="20"/>
                          </w:rPr>
                          <w:t>hain</w:t>
                        </w:r>
                        <w:r>
                          <w:rPr>
                            <w:rFonts w:ascii="Times New Roman" w:hAnsi="Times New Roman" w:cs="Times New Roman" w:hint="eastAsia"/>
                            <w:bCs/>
                            <w:sz w:val="20"/>
                            <w:szCs w:val="20"/>
                          </w:rPr>
                          <w:t>.</w:t>
                        </w:r>
                      </w:p>
                      <w:p w14:paraId="6F113704" w14:textId="77777777" w:rsidR="00A80A0C" w:rsidRPr="002B0AE4" w:rsidRDefault="00A80A0C" w:rsidP="00A80A0C">
                        <w:pPr>
                          <w:pStyle w:val="NormalWeb"/>
                          <w:spacing w:before="0" w:beforeAutospacing="0" w:after="0" w:afterAutospacing="0"/>
                          <w:rPr>
                            <w:rFonts w:ascii="Times New Roman" w:hAnsi="Times New Roman" w:cs="Times New Roman"/>
                            <w:bCs/>
                            <w:sz w:val="20"/>
                            <w:szCs w:val="20"/>
                          </w:rPr>
                        </w:pPr>
                        <w:r>
                          <w:rPr>
                            <w:rFonts w:ascii="Times New Roman" w:hAnsi="Times New Roman" w:cs="Times New Roman"/>
                            <w:bCs/>
                            <w:sz w:val="20"/>
                            <w:szCs w:val="20"/>
                          </w:rPr>
                          <w:t>Involving</w:t>
                        </w:r>
                        <w:r w:rsidRPr="002B0AE4">
                          <w:rPr>
                            <w:rFonts w:ascii="Times New Roman" w:hAnsi="Times New Roman" w:cs="Times New Roman"/>
                            <w:bCs/>
                            <w:sz w:val="20"/>
                            <w:szCs w:val="20"/>
                          </w:rPr>
                          <w:t xml:space="preserve"> </w:t>
                        </w:r>
                        <w:r>
                          <w:rPr>
                            <w:rFonts w:ascii="Times New Roman" w:hAnsi="Times New Roman" w:cs="Times New Roman"/>
                            <w:bCs/>
                            <w:sz w:val="20"/>
                            <w:szCs w:val="20"/>
                          </w:rPr>
                          <w:t xml:space="preserve">SCF </w:t>
                        </w:r>
                        <w:r w:rsidRPr="002B0AE4">
                          <w:rPr>
                            <w:rFonts w:ascii="Times New Roman" w:hAnsi="Times New Roman" w:cs="Times New Roman"/>
                            <w:bCs/>
                            <w:sz w:val="20"/>
                            <w:szCs w:val="20"/>
                          </w:rPr>
                          <w:t>information processing requirements,</w:t>
                        </w:r>
                        <w:r>
                          <w:rPr>
                            <w:rFonts w:ascii="Times New Roman" w:hAnsi="Times New Roman" w:cs="Times New Roman"/>
                            <w:bCs/>
                            <w:sz w:val="20"/>
                            <w:szCs w:val="20"/>
                          </w:rPr>
                          <w:t xml:space="preserve"> </w:t>
                        </w:r>
                        <w:r w:rsidRPr="002B0AE4">
                          <w:rPr>
                            <w:rFonts w:ascii="Times New Roman" w:hAnsi="Times New Roman" w:cs="Times New Roman"/>
                            <w:bCs/>
                            <w:sz w:val="20"/>
                            <w:szCs w:val="20"/>
                          </w:rPr>
                          <w:t xml:space="preserve">factors effect </w:t>
                        </w:r>
                        <w:r>
                          <w:rPr>
                            <w:rFonts w:ascii="Times New Roman" w:hAnsi="Times New Roman" w:cs="Times New Roman"/>
                            <w:bCs/>
                            <w:sz w:val="20"/>
                            <w:szCs w:val="20"/>
                          </w:rPr>
                          <w:t xml:space="preserve">SCF </w:t>
                        </w:r>
                        <w:r w:rsidRPr="002B0AE4">
                          <w:rPr>
                            <w:rFonts w:ascii="Times New Roman" w:hAnsi="Times New Roman" w:cs="Times New Roman"/>
                            <w:bCs/>
                            <w:sz w:val="20"/>
                            <w:szCs w:val="20"/>
                          </w:rPr>
                          <w:t>information processing capacities</w:t>
                        </w:r>
                        <w:r>
                          <w:rPr>
                            <w:rFonts w:ascii="Times New Roman" w:hAnsi="Times New Roman" w:cs="Times New Roman"/>
                            <w:bCs/>
                            <w:sz w:val="20"/>
                            <w:szCs w:val="20"/>
                          </w:rPr>
                          <w:t>, and</w:t>
                        </w:r>
                        <w:r w:rsidRPr="002B0AE4">
                          <w:rPr>
                            <w:rFonts w:ascii="Times New Roman" w:hAnsi="Times New Roman" w:cs="Times New Roman"/>
                            <w:bCs/>
                            <w:sz w:val="20"/>
                            <w:szCs w:val="20"/>
                          </w:rPr>
                          <w:t xml:space="preserve"> SCF capabilities</w:t>
                        </w:r>
                        <w:r>
                          <w:rPr>
                            <w:rFonts w:ascii="Times New Roman" w:hAnsi="Times New Roman" w:cs="Times New Roman"/>
                            <w:bCs/>
                            <w:sz w:val="20"/>
                            <w:szCs w:val="20"/>
                          </w:rPr>
                          <w:t>.</w:t>
                        </w:r>
                      </w:p>
                      <w:p w14:paraId="02788347" w14:textId="77777777" w:rsidR="00A80A0C" w:rsidRDefault="00A80A0C" w:rsidP="00A80A0C">
                        <w:pPr>
                          <w:pStyle w:val="NormalWeb"/>
                          <w:spacing w:before="0" w:beforeAutospacing="0" w:after="0" w:afterAutospacing="0"/>
                          <w:rPr>
                            <w:rFonts w:ascii="Times New Roman" w:hAnsi="Times New Roman" w:cs="Times New Roman"/>
                            <w:b/>
                            <w:bCs/>
                            <w:sz w:val="20"/>
                            <w:szCs w:val="20"/>
                          </w:rPr>
                        </w:pPr>
                        <w:r>
                          <w:rPr>
                            <w:rFonts w:ascii="Times New Roman" w:hAnsi="Times New Roman" w:cs="Times New Roman"/>
                            <w:b/>
                            <w:bCs/>
                            <w:sz w:val="20"/>
                            <w:szCs w:val="20"/>
                          </w:rPr>
                          <w:t>Exclusion criteria:</w:t>
                        </w:r>
                      </w:p>
                      <w:p w14:paraId="6450E0C8" w14:textId="77777777" w:rsidR="00A80A0C" w:rsidRPr="000D642B" w:rsidRDefault="00A80A0C" w:rsidP="00A80A0C">
                        <w:pPr>
                          <w:pStyle w:val="NormalWeb"/>
                          <w:spacing w:before="0" w:beforeAutospacing="0" w:after="0" w:afterAutospacing="0"/>
                          <w:rPr>
                            <w:rFonts w:ascii="Times New Roman" w:hAnsi="Times New Roman" w:cs="Times New Roman"/>
                            <w:bCs/>
                            <w:sz w:val="20"/>
                            <w:szCs w:val="20"/>
                          </w:rPr>
                        </w:pPr>
                        <w:r w:rsidRPr="000D642B">
                          <w:rPr>
                            <w:rFonts w:ascii="Times New Roman" w:hAnsi="Times New Roman" w:cs="Times New Roman"/>
                            <w:bCs/>
                            <w:sz w:val="20"/>
                            <w:szCs w:val="20"/>
                          </w:rPr>
                          <w:t>Focus</w:t>
                        </w:r>
                        <w:r>
                          <w:rPr>
                            <w:rFonts w:ascii="Times New Roman" w:hAnsi="Times New Roman" w:cs="Times New Roman"/>
                            <w:bCs/>
                            <w:sz w:val="20"/>
                            <w:szCs w:val="20"/>
                          </w:rPr>
                          <w:t>ing</w:t>
                        </w:r>
                        <w:r w:rsidRPr="000D642B">
                          <w:rPr>
                            <w:rFonts w:ascii="Times New Roman" w:hAnsi="Times New Roman" w:cs="Times New Roman"/>
                            <w:bCs/>
                            <w:sz w:val="20"/>
                            <w:szCs w:val="20"/>
                          </w:rPr>
                          <w:t xml:space="preserve"> on supply chain behavior but no financing behavior.</w:t>
                        </w:r>
                      </w:p>
                      <w:p w14:paraId="0DCC3606" w14:textId="77777777" w:rsidR="00A80A0C" w:rsidRPr="0047197F" w:rsidRDefault="00A80A0C" w:rsidP="00A80A0C">
                        <w:pPr>
                          <w:pStyle w:val="NormalWeb"/>
                          <w:spacing w:before="0" w:beforeAutospacing="0" w:after="0" w:afterAutospacing="0"/>
                          <w:rPr>
                            <w:rFonts w:ascii="Times New Roman" w:hAnsi="Times New Roman" w:cs="Times New Roman"/>
                            <w:bCs/>
                            <w:sz w:val="20"/>
                            <w:szCs w:val="20"/>
                          </w:rPr>
                        </w:pPr>
                        <w:r>
                          <w:rPr>
                            <w:rFonts w:ascii="Times New Roman" w:hAnsi="Times New Roman" w:cs="Times New Roman"/>
                            <w:bCs/>
                            <w:sz w:val="20"/>
                            <w:szCs w:val="20"/>
                          </w:rPr>
                          <w:t>Focusing on financing behavior based on single firm</w:t>
                        </w:r>
                        <w:r w:rsidRPr="000D642B">
                          <w:rPr>
                            <w:rFonts w:ascii="Times New Roman" w:hAnsi="Times New Roman" w:cs="Times New Roman"/>
                            <w:bCs/>
                            <w:sz w:val="20"/>
                            <w:szCs w:val="20"/>
                          </w:rPr>
                          <w:t>.</w:t>
                        </w:r>
                      </w:p>
                      <w:p w14:paraId="6E4134BB" w14:textId="77777777" w:rsidR="00A80A0C" w:rsidRPr="000D642B" w:rsidRDefault="00A80A0C" w:rsidP="00A80A0C">
                        <w:pPr>
                          <w:pStyle w:val="NormalWeb"/>
                          <w:spacing w:before="0" w:beforeAutospacing="0" w:after="0" w:afterAutospacing="0"/>
                          <w:rPr>
                            <w:rFonts w:ascii="Times New Roman" w:hAnsi="Times New Roman" w:cs="Times New Roman"/>
                            <w:bCs/>
                            <w:sz w:val="20"/>
                            <w:szCs w:val="20"/>
                          </w:rPr>
                        </w:pPr>
                      </w:p>
                      <w:p w14:paraId="5690DEBF" w14:textId="77777777" w:rsidR="00A80A0C" w:rsidRPr="008E19CE" w:rsidRDefault="00A80A0C" w:rsidP="00A80A0C">
                        <w:pPr>
                          <w:pStyle w:val="NormalWeb"/>
                          <w:spacing w:before="0" w:beforeAutospacing="0" w:after="0" w:afterAutospacing="0"/>
                          <w:rPr>
                            <w:rFonts w:ascii="Times New Roman" w:hAnsi="Times New Roman" w:cs="Times New Roman"/>
                          </w:rPr>
                        </w:pPr>
                      </w:p>
                    </w:txbxContent>
                  </v:textbox>
                </v:shape>
                <v:shape id="Straight Arrow Connector 46" o:spid="_x0000_s1043" type="#_x0000_t32" style="position:absolute;left:25361;top:30552;width:4277;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" strokecolor="black [3200]" strokeweight=".5pt">
                  <v:stroke endarrow="block" joinstyle="miter"/>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下箭头 41" o:spid="_x0000_s1044" type="#_x0000_t67" style="position:absolute;left:40224;top:34691;width:949;height:155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" adj="15006" fillcolor="black [3200]" strokecolor="black [1600]" strokeweight="1pt"/>
                <v:shape id="下箭头 154" o:spid="_x0000_s1045" type="#_x0000_t67" style="position:absolute;left:40224;top:25696;width:946;height:154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" adj="15005" fillcolor="black [3200]" strokecolor="black [1600]" strokeweight="1pt"/>
                <v:shape id="下箭头 157" o:spid="_x0000_s1046" type="#_x0000_t67" style="position:absolute;left:40224;top:18244;width:946;height:154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" adj="14978" fillcolor="black [3200]" strokecolor="black [1600]" strokeweight="1pt"/>
                <v:shape id="下箭头 158" o:spid="_x0000_s1047" type="#_x0000_t67" style="position:absolute;left:40224;top:8557;width:946;height:154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" adj="14978" fillcolor="black [3200]" strokecolor="black [1600]" strokeweight="1pt"/>
                <w10:anchorlock/>
              </v:group>
            </w:pict>
          </mc:Fallback>
        </mc:AlternateContent>
      </w:r>
    </w:p>
    <w:p w14:paraId="51A4E253" w14:textId="77777777" w:rsidR="00A80A0C" w:rsidRPr="00A80A0C" w:rsidRDefault="00A80A0C" w:rsidP="00A80A0C">
      <w:pPr>
        <w:jc w:val="center"/>
        <w:rPr>
          <w:color w:val="000000" w:themeColor="text1"/>
        </w:rPr>
      </w:pPr>
      <w:r w:rsidRPr="00A80A0C">
        <w:rPr>
          <w:rFonts w:hint="eastAsia"/>
          <w:b/>
          <w:color w:val="000000" w:themeColor="text1"/>
        </w:rPr>
        <w:t xml:space="preserve">Figure </w:t>
      </w:r>
      <w:r w:rsidRPr="00A80A0C">
        <w:rPr>
          <w:b/>
          <w:color w:val="000000" w:themeColor="text1"/>
        </w:rPr>
        <w:t>2</w:t>
      </w:r>
      <w:r w:rsidRPr="00A80A0C">
        <w:rPr>
          <w:rFonts w:hint="eastAsia"/>
          <w:b/>
          <w:color w:val="000000" w:themeColor="text1"/>
        </w:rPr>
        <w:t>.</w:t>
      </w:r>
      <w:r w:rsidRPr="00A80A0C">
        <w:rPr>
          <w:color w:val="000000" w:themeColor="text1"/>
        </w:rPr>
        <w:t xml:space="preserve"> Selection procedure</w:t>
      </w:r>
    </w:p>
    <w:p w14:paraId="3D8B7D51" w14:textId="77777777" w:rsidR="00A80A0C" w:rsidRPr="00A80A0C" w:rsidRDefault="00A80A0C" w:rsidP="00A80A0C">
      <w:pPr>
        <w:rPr>
          <w:color w:val="000000" w:themeColor="text1"/>
        </w:rPr>
        <w:sectPr w:rsidR="00A80A0C" w:rsidRPr="00A80A0C" w:rsidSect="009111F4">
          <w:pgSz w:w="16838" w:h="11906" w:orient="landscape"/>
          <w:pgMar w:top="1797" w:right="1440" w:bottom="1797" w:left="1440" w:header="851" w:footer="992" w:gutter="0"/>
          <w:cols w:space="425"/>
          <w:docGrid w:type="linesAndChars" w:linePitch="312"/>
        </w:sectPr>
      </w:pPr>
    </w:p>
    <w:p w14:paraId="2B536D3C" w14:textId="77777777" w:rsidR="00A80A0C" w:rsidRPr="00A80A0C" w:rsidRDefault="00A80A0C" w:rsidP="00A80A0C">
      <w:pPr>
        <w:jc w:val="center"/>
        <w:rPr>
          <w:color w:val="000000" w:themeColor="text1"/>
          <w:sz w:val="18"/>
        </w:rPr>
      </w:pPr>
    </w:p>
    <w:p w14:paraId="3A926459" w14:textId="77777777" w:rsidR="00A80A0C" w:rsidRPr="00A80A0C" w:rsidRDefault="00A80A0C" w:rsidP="00A80A0C">
      <w:pPr>
        <w:rPr>
          <w:color w:val="000000" w:themeColor="text1"/>
        </w:rPr>
      </w:pPr>
    </w:p>
    <w:p w14:paraId="1D208419" w14:textId="77777777" w:rsidR="00A80A0C" w:rsidRPr="00A80A0C" w:rsidRDefault="00A80A0C" w:rsidP="00A80A0C">
      <w:pPr>
        <w:jc w:val="center"/>
        <w:rPr>
          <w:color w:val="000000" w:themeColor="text1"/>
        </w:rPr>
      </w:pPr>
      <w:r w:rsidRPr="00A80A0C">
        <w:rPr>
          <w:noProof/>
          <w:color w:val="000000" w:themeColor="text1"/>
        </w:rPr>
        <w:drawing>
          <wp:inline distT="0" distB="0" distL="0" distR="0" wp14:anchorId="242C3285" wp14:editId="4E9AEDF5">
            <wp:extent cx="4572000" cy="2743200"/>
            <wp:effectExtent l="0" t="0" r="0" b="0"/>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3787DCA" w14:textId="77777777" w:rsidR="00A80A0C" w:rsidRPr="00A80A0C" w:rsidRDefault="00A80A0C" w:rsidP="00A80A0C">
      <w:pPr>
        <w:jc w:val="center"/>
        <w:rPr>
          <w:color w:val="000000" w:themeColor="text1"/>
          <w:sz w:val="24"/>
        </w:rPr>
      </w:pPr>
      <w:r w:rsidRPr="00A80A0C">
        <w:rPr>
          <w:rFonts w:hint="eastAsia"/>
          <w:b/>
          <w:color w:val="000000" w:themeColor="text1"/>
        </w:rPr>
        <w:t xml:space="preserve">Figure </w:t>
      </w:r>
      <w:r w:rsidRPr="00A80A0C">
        <w:rPr>
          <w:b/>
          <w:color w:val="000000" w:themeColor="text1"/>
        </w:rPr>
        <w:t>3</w:t>
      </w:r>
      <w:r w:rsidRPr="00A80A0C">
        <w:rPr>
          <w:rFonts w:hint="eastAsia"/>
          <w:b/>
          <w:color w:val="000000" w:themeColor="text1"/>
        </w:rPr>
        <w:t>.</w:t>
      </w:r>
      <w:r w:rsidRPr="00A80A0C">
        <w:rPr>
          <w:color w:val="000000" w:themeColor="text1"/>
        </w:rPr>
        <w:t xml:space="preserve"> The trend of SCF papers</w:t>
      </w:r>
    </w:p>
    <w:p w14:paraId="407E6588" w14:textId="77777777" w:rsidR="00A80A0C" w:rsidRPr="00A80A0C" w:rsidRDefault="00A80A0C" w:rsidP="00A80A0C">
      <w:pPr>
        <w:rPr>
          <w:color w:val="000000" w:themeColor="text1"/>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37"/>
        <w:gridCol w:w="2872"/>
        <w:gridCol w:w="2703"/>
      </w:tblGrid>
      <w:tr w:rsidR="00A80A0C" w:rsidRPr="00A80A0C" w14:paraId="2F2AF064" w14:textId="77777777" w:rsidTr="00D25A13">
        <w:trPr>
          <w:jc w:val="center"/>
        </w:trPr>
        <w:tc>
          <w:tcPr>
            <w:tcW w:w="2150" w:type="dxa"/>
          </w:tcPr>
          <w:p w14:paraId="4C09E042" w14:textId="77777777" w:rsidR="00A80A0C" w:rsidRPr="00A80A0C" w:rsidRDefault="00A80A0C" w:rsidP="00D25A13">
            <w:pPr>
              <w:jc w:val="center"/>
              <w:rPr>
                <w:color w:val="000000" w:themeColor="text1"/>
              </w:rPr>
            </w:pPr>
            <w:r w:rsidRPr="00A80A0C">
              <w:rPr>
                <w:noProof/>
                <w:color w:val="000000" w:themeColor="text1"/>
              </w:rPr>
              <w:drawing>
                <wp:inline distT="0" distB="0" distL="0" distR="0" wp14:anchorId="28A7C172" wp14:editId="46B50C67">
                  <wp:extent cx="1777042" cy="2613660"/>
                  <wp:effectExtent l="0" t="0" r="0" b="0"/>
                  <wp:docPr id="1" name="图表 1">
                    <a:extLst xmlns:a="http://schemas.openxmlformats.org/drawingml/2006/main">
                      <a:ext uri="{FF2B5EF4-FFF2-40B4-BE49-F238E27FC236}">
                        <a16:creationId xmlns:a16="http://schemas.microsoft.com/office/drawing/2014/main" id="{00000000-0008-0000-02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c>
          <w:tcPr>
            <w:tcW w:w="3186" w:type="dxa"/>
          </w:tcPr>
          <w:p w14:paraId="31ED1340" w14:textId="77777777" w:rsidR="00A80A0C" w:rsidRPr="00A80A0C" w:rsidRDefault="00A80A0C" w:rsidP="00D25A13">
            <w:pPr>
              <w:jc w:val="center"/>
              <w:rPr>
                <w:color w:val="000000" w:themeColor="text1"/>
              </w:rPr>
            </w:pPr>
            <w:r w:rsidRPr="00A80A0C">
              <w:rPr>
                <w:noProof/>
                <w:color w:val="000000" w:themeColor="text1"/>
              </w:rPr>
              <w:drawing>
                <wp:inline distT="0" distB="0" distL="0" distR="0" wp14:anchorId="2AA9AB07" wp14:editId="4A12FCB1">
                  <wp:extent cx="1871345" cy="2596551"/>
                  <wp:effectExtent l="0" t="0" r="0" b="0"/>
                  <wp:docPr id="15" name="图表 15">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c>
          <w:tcPr>
            <w:tcW w:w="2976" w:type="dxa"/>
          </w:tcPr>
          <w:p w14:paraId="6F085ED4" w14:textId="77777777" w:rsidR="00A80A0C" w:rsidRPr="00A80A0C" w:rsidRDefault="00A80A0C" w:rsidP="00D25A13">
            <w:pPr>
              <w:jc w:val="center"/>
              <w:rPr>
                <w:color w:val="000000" w:themeColor="text1"/>
              </w:rPr>
            </w:pPr>
            <w:r w:rsidRPr="00A80A0C">
              <w:rPr>
                <w:noProof/>
                <w:color w:val="000000" w:themeColor="text1"/>
              </w:rPr>
              <w:drawing>
                <wp:inline distT="0" distB="0" distL="0" distR="0" wp14:anchorId="5574E146" wp14:editId="7FF32580">
                  <wp:extent cx="1747520" cy="2638425"/>
                  <wp:effectExtent l="0" t="0" r="5080" b="0"/>
                  <wp:docPr id="11" name="Chart 11">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r>
    </w:tbl>
    <w:p w14:paraId="1D54EC18" w14:textId="77777777" w:rsidR="00A80A0C" w:rsidRPr="00A80A0C" w:rsidRDefault="00A80A0C" w:rsidP="00A80A0C">
      <w:pPr>
        <w:jc w:val="center"/>
        <w:rPr>
          <w:color w:val="000000" w:themeColor="text1"/>
        </w:rPr>
      </w:pPr>
      <w:r w:rsidRPr="00A80A0C">
        <w:rPr>
          <w:rFonts w:hint="eastAsia"/>
          <w:b/>
          <w:color w:val="000000" w:themeColor="text1"/>
        </w:rPr>
        <w:t xml:space="preserve">Figure </w:t>
      </w:r>
      <w:r w:rsidRPr="00A80A0C">
        <w:rPr>
          <w:b/>
          <w:color w:val="000000" w:themeColor="text1"/>
        </w:rPr>
        <w:t>4.</w:t>
      </w:r>
      <w:r w:rsidRPr="00A80A0C">
        <w:rPr>
          <w:color w:val="000000" w:themeColor="text1"/>
        </w:rPr>
        <w:t xml:space="preserve"> Distribution of papers by research method, theoretical application and research school</w:t>
      </w:r>
    </w:p>
    <w:p w14:paraId="5DF21E4C" w14:textId="77777777" w:rsidR="00A80A0C" w:rsidRPr="00A80A0C" w:rsidRDefault="00A80A0C" w:rsidP="00A80A0C">
      <w:pPr>
        <w:jc w:val="left"/>
        <w:rPr>
          <w:color w:val="000000" w:themeColor="text1"/>
        </w:rPr>
      </w:pPr>
      <w:r w:rsidRPr="00A80A0C">
        <w:rPr>
          <w:color w:val="000000" w:themeColor="text1"/>
        </w:rPr>
        <w:t xml:space="preserve">(Note: the number in the third figure is 68 because one literature review paper is </w:t>
      </w:r>
      <w:proofErr w:type="gramStart"/>
      <w:r w:rsidRPr="00A80A0C">
        <w:rPr>
          <w:color w:val="000000" w:themeColor="text1"/>
        </w:rPr>
        <w:t>classifies</w:t>
      </w:r>
      <w:proofErr w:type="gramEnd"/>
      <w:r w:rsidRPr="00A80A0C">
        <w:rPr>
          <w:color w:val="000000" w:themeColor="text1"/>
        </w:rPr>
        <w:t xml:space="preserve"> into financial chain school, and another three papers don’t belong to any school.)</w:t>
      </w:r>
    </w:p>
    <w:p w14:paraId="2C8131B0" w14:textId="77777777" w:rsidR="00A80A0C" w:rsidRPr="00A80A0C" w:rsidRDefault="00A80A0C" w:rsidP="00A80A0C">
      <w:pPr>
        <w:rPr>
          <w:color w:val="000000" w:themeColor="text1"/>
          <w:sz w:val="24"/>
        </w:rPr>
      </w:pPr>
    </w:p>
    <w:p w14:paraId="735BEBE0" w14:textId="77777777" w:rsidR="00A80A0C" w:rsidRPr="00A80A0C" w:rsidRDefault="00A80A0C" w:rsidP="00A80A0C">
      <w:pPr>
        <w:rPr>
          <w:color w:val="000000" w:themeColor="text1"/>
          <w:sz w:val="24"/>
        </w:rPr>
      </w:pPr>
    </w:p>
    <w:p w14:paraId="2874E065" w14:textId="77777777" w:rsidR="00A80A0C" w:rsidRPr="00A80A0C" w:rsidRDefault="00A80A0C" w:rsidP="00A80A0C">
      <w:pPr>
        <w:rPr>
          <w:color w:val="000000" w:themeColor="text1"/>
        </w:rPr>
      </w:pPr>
    </w:p>
    <w:p w14:paraId="26D14B73" w14:textId="77777777" w:rsidR="00A80A0C" w:rsidRPr="00A80A0C" w:rsidRDefault="00A80A0C" w:rsidP="00A80A0C">
      <w:pPr>
        <w:rPr>
          <w:color w:val="000000" w:themeColor="text1"/>
        </w:rPr>
      </w:pPr>
    </w:p>
    <w:p w14:paraId="46483C90" w14:textId="77777777" w:rsidR="00A80A0C" w:rsidRPr="00A80A0C" w:rsidRDefault="00A80A0C" w:rsidP="00A80A0C">
      <w:pPr>
        <w:rPr>
          <w:color w:val="000000" w:themeColor="text1"/>
        </w:rPr>
      </w:pPr>
    </w:p>
    <w:p w14:paraId="5C484C95" w14:textId="77777777" w:rsidR="00A80A0C" w:rsidRPr="00A80A0C" w:rsidRDefault="00A80A0C" w:rsidP="00A80A0C">
      <w:pPr>
        <w:rPr>
          <w:color w:val="000000" w:themeColor="text1"/>
        </w:rPr>
      </w:pPr>
    </w:p>
    <w:p w14:paraId="5CAEDC06" w14:textId="77777777" w:rsidR="00A80A0C" w:rsidRPr="00A80A0C" w:rsidRDefault="00A80A0C" w:rsidP="00A80A0C">
      <w:pPr>
        <w:rPr>
          <w:color w:val="000000" w:themeColor="text1"/>
        </w:rPr>
      </w:pPr>
    </w:p>
    <w:p w14:paraId="3B3BC199" w14:textId="77777777" w:rsidR="00A80A0C" w:rsidRPr="00A80A0C" w:rsidRDefault="00A80A0C" w:rsidP="00A80A0C">
      <w:pPr>
        <w:rPr>
          <w:color w:val="000000" w:themeColor="text1"/>
        </w:rPr>
      </w:pPr>
    </w:p>
    <w:p w14:paraId="7E7EE83D" w14:textId="77777777" w:rsidR="00A80A0C" w:rsidRPr="00A80A0C" w:rsidRDefault="00A80A0C" w:rsidP="00A80A0C">
      <w:pPr>
        <w:rPr>
          <w:color w:val="000000" w:themeColor="text1"/>
        </w:rPr>
      </w:pPr>
    </w:p>
    <w:p w14:paraId="65A06E4F" w14:textId="77777777" w:rsidR="00A80A0C" w:rsidRPr="00A80A0C" w:rsidRDefault="00A80A0C" w:rsidP="00A80A0C">
      <w:pPr>
        <w:rPr>
          <w:color w:val="000000" w:themeColor="text1"/>
        </w:rPr>
        <w:sectPr w:rsidR="00A80A0C" w:rsidRPr="00A80A0C" w:rsidSect="00D80EED">
          <w:pgSz w:w="11906" w:h="16838"/>
          <w:pgMar w:top="1440" w:right="1797" w:bottom="1440" w:left="1797" w:header="851" w:footer="992" w:gutter="0"/>
          <w:cols w:space="425"/>
          <w:docGrid w:type="linesAndChars" w:linePitch="312"/>
        </w:sectPr>
      </w:pPr>
    </w:p>
    <w:p w14:paraId="56B4BA2B" w14:textId="77777777" w:rsidR="00A80A0C" w:rsidRPr="00A80A0C" w:rsidRDefault="00A80A0C" w:rsidP="00A80A0C">
      <w:pPr>
        <w:ind w:firstLineChars="750" w:firstLine="1575"/>
        <w:rPr>
          <w:color w:val="000000" w:themeColor="text1"/>
        </w:rPr>
      </w:pPr>
      <w:r w:rsidRPr="00A80A0C">
        <w:rPr>
          <w:noProof/>
          <w:color w:val="000000" w:themeColor="text1"/>
        </w:rPr>
        <w:lastRenderedPageBreak/>
        <mc:AlternateContent>
          <mc:Choice Requires="wpc">
            <w:drawing>
              <wp:inline distT="0" distB="0" distL="0" distR="0" wp14:anchorId="2DF28EFF" wp14:editId="4D648AE7">
                <wp:extent cx="6789713" cy="2924191"/>
                <wp:effectExtent l="0" t="0" r="11430" b="9525"/>
                <wp:docPr id="90" name="画布 9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 name="文本框 4"/>
                        <wps:cNvSpPr txBox="1">
                          <a:spLocks noChangeArrowheads="1"/>
                        </wps:cNvSpPr>
                        <wps:spPr bwMode="auto">
                          <a:xfrm>
                            <a:off x="1457966" y="817966"/>
                            <a:ext cx="853904" cy="882905"/>
                          </a:xfrm>
                          <a:prstGeom prst="rect">
                            <a:avLst/>
                          </a:prstGeom>
                          <a:solidFill>
                            <a:schemeClr val="lt1">
                              <a:lumMod val="100000"/>
                              <a:lumOff val="0"/>
                            </a:schemeClr>
                          </a:solidFill>
                          <a:ln w="12700">
                            <a:solidFill>
                              <a:srgbClr val="000000"/>
                            </a:solidFill>
                            <a:miter lim="800000"/>
                            <a:headEnd/>
                            <a:tailEnd/>
                          </a:ln>
                        </wps:spPr>
                        <wps:txbx>
                          <w:txbxContent>
                            <w:p w14:paraId="2FC939D8" w14:textId="77777777" w:rsidR="00A80A0C" w:rsidRPr="001908EA" w:rsidRDefault="00A80A0C" w:rsidP="00A80A0C">
                              <w:pPr>
                                <w:jc w:val="center"/>
                                <w:rPr>
                                  <w:sz w:val="20"/>
                                  <w:szCs w:val="20"/>
                                </w:rPr>
                              </w:pPr>
                              <w:r w:rsidRPr="001908EA">
                                <w:rPr>
                                  <w:sz w:val="20"/>
                                  <w:szCs w:val="20"/>
                                </w:rPr>
                                <w:t>Uncertainty facing the set of subunits</w:t>
                              </w:r>
                            </w:p>
                          </w:txbxContent>
                        </wps:txbx>
                        <wps:bodyPr rot="0" vert="horz" wrap="square" lIns="91440" tIns="45720" rIns="91440" bIns="45720" anchor="t" anchorCtr="0" upright="1">
                          <a:noAutofit/>
                        </wps:bodyPr>
                      </wps:wsp>
                      <wps:wsp>
                        <wps:cNvPr id="12" name="文本框 4"/>
                        <wps:cNvSpPr txBox="1">
                          <a:spLocks noChangeArrowheads="1"/>
                        </wps:cNvSpPr>
                        <wps:spPr bwMode="auto">
                          <a:xfrm>
                            <a:off x="0" y="0"/>
                            <a:ext cx="1065530" cy="516876"/>
                          </a:xfrm>
                          <a:prstGeom prst="rect">
                            <a:avLst/>
                          </a:prstGeom>
                          <a:solidFill>
                            <a:schemeClr val="lt1">
                              <a:lumMod val="100000"/>
                              <a:lumOff val="0"/>
                            </a:schemeClr>
                          </a:solidFill>
                          <a:ln w="12700">
                            <a:solidFill>
                              <a:srgbClr val="000000"/>
                            </a:solidFill>
                            <a:miter lim="800000"/>
                            <a:headEnd/>
                            <a:tailEnd/>
                          </a:ln>
                        </wps:spPr>
                        <wps:txbx>
                          <w:txbxContent>
                            <w:p w14:paraId="4C83FA63" w14:textId="77777777" w:rsidR="00A80A0C" w:rsidRPr="001908EA" w:rsidRDefault="00A80A0C" w:rsidP="00A80A0C">
                              <w:pPr>
                                <w:pStyle w:val="NormalWeb"/>
                                <w:spacing w:before="0" w:beforeAutospacing="0" w:after="0" w:afterAutospacing="0"/>
                                <w:jc w:val="center"/>
                                <w:rPr>
                                  <w:rFonts w:ascii="Times New Roman" w:eastAsiaTheme="minorEastAsia" w:hAnsi="Times New Roman" w:cs="Times New Roman"/>
                                  <w:kern w:val="2"/>
                                  <w:sz w:val="20"/>
                                  <w:szCs w:val="20"/>
                                  <w:lang w:val="en-GB"/>
                                </w:rPr>
                              </w:pPr>
                              <w:r w:rsidRPr="001908EA">
                                <w:rPr>
                                  <w:rFonts w:ascii="Times New Roman" w:eastAsiaTheme="minorEastAsia" w:hAnsi="Times New Roman" w:cs="Times New Roman"/>
                                  <w:kern w:val="2"/>
                                  <w:sz w:val="20"/>
                                  <w:szCs w:val="20"/>
                                  <w:lang w:val="en-GB"/>
                                </w:rPr>
                                <w:t xml:space="preserve">Subunit </w:t>
                              </w:r>
                              <w:r w:rsidRPr="001908EA">
                                <w:rPr>
                                  <w:rFonts w:ascii="Times New Roman" w:eastAsiaTheme="minorEastAsia" w:hAnsi="Times New Roman" w:cs="Times New Roman" w:hint="eastAsia"/>
                                  <w:kern w:val="2"/>
                                  <w:sz w:val="20"/>
                                  <w:szCs w:val="20"/>
                                  <w:lang w:val="en-GB"/>
                                </w:rPr>
                                <w:t>t</w:t>
                              </w:r>
                              <w:r w:rsidRPr="001908EA">
                                <w:rPr>
                                  <w:rFonts w:ascii="Times New Roman" w:eastAsiaTheme="minorEastAsia" w:hAnsi="Times New Roman" w:cs="Times New Roman"/>
                                  <w:kern w:val="2"/>
                                  <w:sz w:val="20"/>
                                  <w:szCs w:val="20"/>
                                  <w:lang w:val="en-GB"/>
                                </w:rPr>
                                <w:t>ask characteristics</w:t>
                              </w:r>
                            </w:p>
                          </w:txbxContent>
                        </wps:txbx>
                        <wps:bodyPr rot="0" vert="horz" wrap="square" lIns="91440" tIns="45720" rIns="91440" bIns="45720" anchor="t" anchorCtr="0" upright="1">
                          <a:noAutofit/>
                        </wps:bodyPr>
                      </wps:wsp>
                      <wps:wsp>
                        <wps:cNvPr id="13" name="文本框 4"/>
                        <wps:cNvSpPr txBox="1">
                          <a:spLocks noChangeArrowheads="1"/>
                        </wps:cNvSpPr>
                        <wps:spPr bwMode="auto">
                          <a:xfrm>
                            <a:off x="15902" y="1006905"/>
                            <a:ext cx="1065530" cy="503883"/>
                          </a:xfrm>
                          <a:prstGeom prst="rect">
                            <a:avLst/>
                          </a:prstGeom>
                          <a:solidFill>
                            <a:schemeClr val="lt1">
                              <a:lumMod val="100000"/>
                              <a:lumOff val="0"/>
                            </a:schemeClr>
                          </a:solidFill>
                          <a:ln w="12700">
                            <a:solidFill>
                              <a:srgbClr val="000000"/>
                            </a:solidFill>
                            <a:miter lim="800000"/>
                            <a:headEnd/>
                            <a:tailEnd/>
                          </a:ln>
                        </wps:spPr>
                        <wps:txbx>
                          <w:txbxContent>
                            <w:p w14:paraId="1A798118" w14:textId="77777777" w:rsidR="00A80A0C" w:rsidRPr="001908EA" w:rsidRDefault="00A80A0C" w:rsidP="00A80A0C">
                              <w:pPr>
                                <w:pStyle w:val="NormalWeb"/>
                                <w:spacing w:before="0" w:beforeAutospacing="0" w:after="0" w:afterAutospacing="0"/>
                                <w:jc w:val="center"/>
                                <w:rPr>
                                  <w:rFonts w:ascii="Times New Roman" w:hAnsi="Times New Roman"/>
                                  <w:sz w:val="20"/>
                                  <w:szCs w:val="20"/>
                                  <w:lang w:val="en-GB"/>
                                </w:rPr>
                              </w:pPr>
                              <w:r w:rsidRPr="001908EA">
                                <w:rPr>
                                  <w:rFonts w:ascii="Times New Roman" w:hAnsi="Times New Roman"/>
                                  <w:sz w:val="20"/>
                                  <w:szCs w:val="20"/>
                                  <w:lang w:val="en-GB"/>
                                </w:rPr>
                                <w:t>Subunit task environment</w:t>
                              </w:r>
                            </w:p>
                          </w:txbxContent>
                        </wps:txbx>
                        <wps:bodyPr rot="0" vert="horz" wrap="square" lIns="91440" tIns="45720" rIns="91440" bIns="45720" anchor="t" anchorCtr="0" upright="1">
                          <a:noAutofit/>
                        </wps:bodyPr>
                      </wps:wsp>
                      <wps:wsp>
                        <wps:cNvPr id="14" name="文本框 4"/>
                        <wps:cNvSpPr txBox="1">
                          <a:spLocks noChangeArrowheads="1"/>
                        </wps:cNvSpPr>
                        <wps:spPr bwMode="auto">
                          <a:xfrm>
                            <a:off x="0" y="2002799"/>
                            <a:ext cx="1107134" cy="512704"/>
                          </a:xfrm>
                          <a:prstGeom prst="rect">
                            <a:avLst/>
                          </a:prstGeom>
                          <a:solidFill>
                            <a:schemeClr val="lt1">
                              <a:lumMod val="100000"/>
                              <a:lumOff val="0"/>
                            </a:schemeClr>
                          </a:solidFill>
                          <a:ln w="12700">
                            <a:solidFill>
                              <a:srgbClr val="000000"/>
                            </a:solidFill>
                            <a:miter lim="800000"/>
                            <a:headEnd/>
                            <a:tailEnd/>
                          </a:ln>
                        </wps:spPr>
                        <wps:txbx>
                          <w:txbxContent>
                            <w:p w14:paraId="1BD387D5" w14:textId="77777777" w:rsidR="00A80A0C" w:rsidRPr="001908EA" w:rsidRDefault="00A80A0C" w:rsidP="00A80A0C">
                              <w:pPr>
                                <w:pStyle w:val="NormalWeb"/>
                                <w:spacing w:before="0" w:beforeAutospacing="0" w:after="0" w:afterAutospacing="0"/>
                                <w:jc w:val="center"/>
                                <w:rPr>
                                  <w:rFonts w:ascii="Times New Roman" w:hAnsi="Times New Roman"/>
                                  <w:sz w:val="20"/>
                                  <w:szCs w:val="20"/>
                                  <w:lang w:val="en-GB"/>
                                </w:rPr>
                              </w:pPr>
                              <w:r w:rsidRPr="001908EA">
                                <w:rPr>
                                  <w:rFonts w:ascii="Times New Roman" w:hAnsi="Times New Roman"/>
                                  <w:sz w:val="20"/>
                                  <w:szCs w:val="20"/>
                                  <w:lang w:val="en-GB"/>
                                </w:rPr>
                                <w:t>Inter-unit task interdependence</w:t>
                              </w:r>
                            </w:p>
                          </w:txbxContent>
                        </wps:txbx>
                        <wps:bodyPr rot="0" vert="horz" wrap="square" lIns="91440" tIns="45720" rIns="91440" bIns="45720" anchor="t" anchorCtr="0" upright="1">
                          <a:noAutofit/>
                        </wps:bodyPr>
                      </wps:wsp>
                      <wps:wsp>
                        <wps:cNvPr id="18" name="文本框 26"/>
                        <wps:cNvSpPr txBox="1">
                          <a:spLocks noChangeArrowheads="1"/>
                        </wps:cNvSpPr>
                        <wps:spPr bwMode="auto">
                          <a:xfrm>
                            <a:off x="3994390" y="1090214"/>
                            <a:ext cx="672491" cy="264160"/>
                          </a:xfrm>
                          <a:prstGeom prst="rect">
                            <a:avLst/>
                          </a:prstGeom>
                          <a:noFill/>
                          <a:ln>
                            <a:noFill/>
                          </a:ln>
                          <a:extLst>
                            <a:ext uri="{909E8E84-426E-40dd-AFC4-6F175D3DCCD1}">
                              <a14:hiddenFill xmlns:mo="http://schemas.microsoft.com/office/mac/office/2008/main" xmlns:mv="urn:schemas-microsoft-com:mac:vml" xmlns="" xmlns:o="urn:schemas-microsoft-com:office:office" xmlns:v="urn:schemas-microsoft-com:vml" xmlns:w10="urn:schemas-microsoft-com:office:word" xmlns:w="http://schemas.openxmlformats.org/wordprocessingml/2006/main" xmlns:a14="http://schemas.microsoft.com/office/drawing/2010/main" xmlns:lc="http://schemas.openxmlformats.org/drawingml/2006/lockedCanvas">
                                <a:solidFill>
                                  <a:srgbClr val="FFFFFF"/>
                                </a:solidFill>
                              </a14:hiddenFill>
                            </a:ext>
                            <a:ext uri="{91240B29-F687-4f45-9708-019B960494DF}">
                              <a14:hiddenLine xmlns:mo="http://schemas.microsoft.com/office/mac/office/2008/main" xmlns:mv="urn:schemas-microsoft-com:mac:vml" xmlns="" xmlns:o="urn:schemas-microsoft-com:office:office" xmlns:v="urn:schemas-microsoft-com:vml" xmlns:w10="urn:schemas-microsoft-com:office:word" xmlns:w="http://schemas.openxmlformats.org/wordprocessingml/2006/main" xmlns:a14="http://schemas.microsoft.com/office/drawing/2010/main" xmlns:lc="http://schemas.openxmlformats.org/drawingml/2006/lockedCanvas" w="6350">
                                <a:solidFill>
                                  <a:srgbClr val="000000"/>
                                </a:solidFill>
                                <a:miter lim="800000"/>
                                <a:headEnd/>
                                <a:tailEnd/>
                              </a14:hiddenLine>
                            </a:ext>
                          </a:extLst>
                        </wps:spPr>
                        <wps:txbx>
                          <w:txbxContent>
                            <w:p w14:paraId="5A122023" w14:textId="77777777" w:rsidR="00A80A0C" w:rsidRPr="001908EA" w:rsidRDefault="00A80A0C" w:rsidP="00A80A0C">
                              <w:pPr>
                                <w:pStyle w:val="NormalWeb"/>
                                <w:spacing w:before="0" w:beforeAutospacing="0" w:after="0" w:afterAutospacing="0"/>
                                <w:jc w:val="both"/>
                              </w:pPr>
                              <w:r w:rsidRPr="001908EA">
                                <w:rPr>
                                  <w:rFonts w:ascii="Times New Roman" w:hAnsi="Times New Roman"/>
                                  <w:bCs/>
                                  <w:kern w:val="2"/>
                                  <w:sz w:val="21"/>
                                  <w:szCs w:val="21"/>
                                  <w:lang w:val="en-GB"/>
                                </w:rPr>
                                <w:t>“Fit</w:t>
                              </w:r>
                              <w:r>
                                <w:rPr>
                                  <w:rFonts w:ascii="Times New Roman" w:hAnsi="Times New Roman"/>
                                  <w:bCs/>
                                  <w:kern w:val="2"/>
                                  <w:sz w:val="21"/>
                                  <w:szCs w:val="21"/>
                                  <w:lang w:val="en-GB"/>
                                </w:rPr>
                                <w:t>”</w:t>
                              </w:r>
                            </w:p>
                          </w:txbxContent>
                        </wps:txbx>
                        <wps:bodyPr rot="0" vert="horz" wrap="square" lIns="91440" tIns="45720" rIns="91440" bIns="45720" anchor="t" anchorCtr="0" upright="1">
                          <a:noAutofit/>
                        </wps:bodyPr>
                      </wps:wsp>
                      <wps:wsp>
                        <wps:cNvPr id="20" name="直接箭头连接符 20"/>
                        <wps:cNvCnPr/>
                        <wps:spPr>
                          <a:xfrm>
                            <a:off x="1081276" y="1258847"/>
                            <a:ext cx="376517" cy="9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 name="直接箭头连接符 21"/>
                        <wps:cNvCnPr/>
                        <wps:spPr>
                          <a:xfrm>
                            <a:off x="1065530" y="258438"/>
                            <a:ext cx="376017" cy="10004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 name="直接箭头连接符 22"/>
                        <wps:cNvCnPr/>
                        <wps:spPr>
                          <a:xfrm flipV="1">
                            <a:off x="1107134" y="1258838"/>
                            <a:ext cx="334758" cy="100031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9" name="文本框 4"/>
                        <wps:cNvSpPr txBox="1">
                          <a:spLocks noChangeArrowheads="1"/>
                        </wps:cNvSpPr>
                        <wps:spPr bwMode="auto">
                          <a:xfrm>
                            <a:off x="2658674" y="818217"/>
                            <a:ext cx="1321981" cy="882650"/>
                          </a:xfrm>
                          <a:prstGeom prst="rect">
                            <a:avLst/>
                          </a:prstGeom>
                          <a:solidFill>
                            <a:schemeClr val="lt1">
                              <a:lumMod val="100000"/>
                              <a:lumOff val="0"/>
                            </a:schemeClr>
                          </a:solidFill>
                          <a:ln w="12700">
                            <a:solidFill>
                              <a:srgbClr val="000000"/>
                            </a:solidFill>
                            <a:miter lim="800000"/>
                            <a:headEnd/>
                            <a:tailEnd/>
                          </a:ln>
                        </wps:spPr>
                        <wps:txbx>
                          <w:txbxContent>
                            <w:p w14:paraId="1E13C3BD" w14:textId="77777777" w:rsidR="00A80A0C" w:rsidRPr="00D069AF" w:rsidRDefault="00A80A0C" w:rsidP="00A80A0C">
                              <w:pPr>
                                <w:pStyle w:val="NormalWeb"/>
                                <w:spacing w:before="0" w:beforeAutospacing="0" w:after="0" w:afterAutospacing="0"/>
                                <w:jc w:val="center"/>
                              </w:pPr>
                              <w:r w:rsidRPr="00D069AF">
                                <w:rPr>
                                  <w:rFonts w:ascii="Times New Roman" w:hAnsi="Times New Roman"/>
                                  <w:bCs/>
                                  <w:kern w:val="2"/>
                                  <w:sz w:val="20"/>
                                  <w:szCs w:val="20"/>
                                  <w:lang w:val="en-GB"/>
                                </w:rPr>
                                <w:t>Information</w:t>
                              </w:r>
                            </w:p>
                            <w:p w14:paraId="7748E3E0" w14:textId="77777777" w:rsidR="00A80A0C" w:rsidRPr="00D069AF" w:rsidRDefault="00A80A0C" w:rsidP="00A80A0C">
                              <w:pPr>
                                <w:pStyle w:val="NormalWeb"/>
                                <w:spacing w:before="0" w:beforeAutospacing="0" w:after="0" w:afterAutospacing="0"/>
                                <w:jc w:val="center"/>
                              </w:pPr>
                              <w:r w:rsidRPr="00D069AF">
                                <w:rPr>
                                  <w:rFonts w:ascii="Times New Roman" w:hAnsi="Times New Roman"/>
                                  <w:bCs/>
                                  <w:kern w:val="2"/>
                                  <w:sz w:val="20"/>
                                  <w:szCs w:val="20"/>
                                  <w:lang w:val="en-GB"/>
                                </w:rPr>
                                <w:t>processing requirements facing organizations</w:t>
                              </w:r>
                            </w:p>
                          </w:txbxContent>
                        </wps:txbx>
                        <wps:bodyPr rot="0" vert="horz" wrap="square" lIns="91440" tIns="45720" rIns="91440" bIns="45720" anchor="t" anchorCtr="0" upright="1">
                          <a:noAutofit/>
                        </wps:bodyPr>
                      </wps:wsp>
                      <wps:wsp>
                        <wps:cNvPr id="110" name="文本框 4"/>
                        <wps:cNvSpPr txBox="1">
                          <a:spLocks noChangeArrowheads="1"/>
                        </wps:cNvSpPr>
                        <wps:spPr bwMode="auto">
                          <a:xfrm>
                            <a:off x="4487535" y="818221"/>
                            <a:ext cx="869461" cy="882650"/>
                          </a:xfrm>
                          <a:prstGeom prst="rect">
                            <a:avLst/>
                          </a:prstGeom>
                          <a:solidFill>
                            <a:schemeClr val="lt1">
                              <a:lumMod val="100000"/>
                              <a:lumOff val="0"/>
                            </a:schemeClr>
                          </a:solidFill>
                          <a:ln w="12700">
                            <a:solidFill>
                              <a:srgbClr val="000000"/>
                            </a:solidFill>
                            <a:miter lim="800000"/>
                            <a:headEnd/>
                            <a:tailEnd/>
                          </a:ln>
                        </wps:spPr>
                        <wps:txbx>
                          <w:txbxContent>
                            <w:p w14:paraId="3A2B3E84" w14:textId="77777777" w:rsidR="00A80A0C" w:rsidRDefault="00A80A0C" w:rsidP="00A80A0C">
                              <w:pPr>
                                <w:pStyle w:val="NormalWeb"/>
                                <w:spacing w:before="0" w:beforeAutospacing="0" w:after="0" w:afterAutospacing="0"/>
                                <w:jc w:val="center"/>
                              </w:pPr>
                              <w:r>
                                <w:rPr>
                                  <w:rFonts w:ascii="Times New Roman" w:hAnsi="Times New Roman"/>
                                  <w:sz w:val="20"/>
                                  <w:szCs w:val="20"/>
                                  <w:lang w:val="en-GB"/>
                                </w:rPr>
                                <w:t>Information</w:t>
                              </w:r>
                            </w:p>
                            <w:p w14:paraId="280A1789" w14:textId="77777777" w:rsidR="00A80A0C" w:rsidRDefault="00A80A0C" w:rsidP="00A80A0C">
                              <w:pPr>
                                <w:pStyle w:val="NormalWeb"/>
                                <w:spacing w:before="0" w:beforeAutospacing="0" w:after="0" w:afterAutospacing="0"/>
                                <w:jc w:val="center"/>
                              </w:pPr>
                              <w:r>
                                <w:rPr>
                                  <w:rFonts w:ascii="Times New Roman" w:hAnsi="Times New Roman"/>
                                  <w:sz w:val="20"/>
                                  <w:szCs w:val="20"/>
                                  <w:lang w:val="en-GB"/>
                                </w:rPr>
                                <w:t>processing capacities of structure</w:t>
                              </w:r>
                            </w:p>
                          </w:txbxContent>
                        </wps:txbx>
                        <wps:bodyPr rot="0" vert="horz" wrap="square" lIns="91440" tIns="45720" rIns="91440" bIns="45720" anchor="t" anchorCtr="0" upright="1">
                          <a:noAutofit/>
                        </wps:bodyPr>
                      </wps:wsp>
                      <wps:wsp>
                        <wps:cNvPr id="111" name="文本框 4"/>
                        <wps:cNvSpPr txBox="1">
                          <a:spLocks noChangeArrowheads="1"/>
                        </wps:cNvSpPr>
                        <wps:spPr bwMode="auto">
                          <a:xfrm>
                            <a:off x="5730240" y="1182992"/>
                            <a:ext cx="1059180" cy="882650"/>
                          </a:xfrm>
                          <a:prstGeom prst="rect">
                            <a:avLst/>
                          </a:prstGeom>
                          <a:solidFill>
                            <a:schemeClr val="lt1">
                              <a:lumMod val="100000"/>
                              <a:lumOff val="0"/>
                            </a:schemeClr>
                          </a:solidFill>
                          <a:ln w="12700">
                            <a:solidFill>
                              <a:srgbClr val="000000"/>
                            </a:solidFill>
                            <a:miter lim="800000"/>
                            <a:headEnd/>
                            <a:tailEnd/>
                          </a:ln>
                        </wps:spPr>
                        <wps:txbx>
                          <w:txbxContent>
                            <w:p w14:paraId="72F3E7FC" w14:textId="77777777" w:rsidR="00A80A0C" w:rsidRDefault="00A80A0C" w:rsidP="00A80A0C">
                              <w:pPr>
                                <w:pStyle w:val="NormalWeb"/>
                                <w:spacing w:before="0" w:beforeAutospacing="0" w:after="0" w:afterAutospacing="0"/>
                                <w:jc w:val="center"/>
                              </w:pPr>
                              <w:r>
                                <w:rPr>
                                  <w:rFonts w:ascii="Times New Roman" w:hAnsi="Times New Roman"/>
                                  <w:sz w:val="20"/>
                                  <w:szCs w:val="20"/>
                                  <w:lang w:val="en-GB"/>
                                </w:rPr>
                                <w:t>Feasible set of coordination and control mechanisms</w:t>
                              </w:r>
                            </w:p>
                          </w:txbxContent>
                        </wps:txbx>
                        <wps:bodyPr rot="0" vert="horz" wrap="square" lIns="91440" tIns="45720" rIns="91440" bIns="45720" anchor="t" anchorCtr="0" upright="1">
                          <a:noAutofit/>
                        </wps:bodyPr>
                      </wps:wsp>
                      <wps:wsp>
                        <wps:cNvPr id="112" name="文本框 4"/>
                        <wps:cNvSpPr txBox="1">
                          <a:spLocks noChangeArrowheads="1"/>
                        </wps:cNvSpPr>
                        <wps:spPr bwMode="auto">
                          <a:xfrm>
                            <a:off x="5730286" y="103517"/>
                            <a:ext cx="980809" cy="882650"/>
                          </a:xfrm>
                          <a:prstGeom prst="rect">
                            <a:avLst/>
                          </a:prstGeom>
                          <a:solidFill>
                            <a:schemeClr val="lt1">
                              <a:lumMod val="100000"/>
                              <a:lumOff val="0"/>
                            </a:schemeClr>
                          </a:solidFill>
                          <a:ln w="12700">
                            <a:solidFill>
                              <a:srgbClr val="000000"/>
                            </a:solidFill>
                            <a:miter lim="800000"/>
                            <a:headEnd/>
                            <a:tailEnd/>
                          </a:ln>
                        </wps:spPr>
                        <wps:txbx>
                          <w:txbxContent>
                            <w:p w14:paraId="2F2AE96F" w14:textId="77777777" w:rsidR="00A80A0C" w:rsidRDefault="00A80A0C" w:rsidP="00A80A0C">
                              <w:pPr>
                                <w:pStyle w:val="NormalWeb"/>
                                <w:spacing w:before="0" w:beforeAutospacing="0" w:after="0" w:afterAutospacing="0"/>
                                <w:jc w:val="center"/>
                              </w:pPr>
                              <w:r>
                                <w:rPr>
                                  <w:rFonts w:ascii="Times New Roman" w:hAnsi="Times New Roman"/>
                                  <w:sz w:val="20"/>
                                  <w:szCs w:val="20"/>
                                  <w:lang w:val="en-GB"/>
                                </w:rPr>
                                <w:t>Organismic or mechanistic design of subunits</w:t>
                              </w:r>
                            </w:p>
                          </w:txbxContent>
                        </wps:txbx>
                        <wps:bodyPr rot="0" vert="horz" wrap="square" lIns="91440" tIns="45720" rIns="91440" bIns="45720" anchor="t" anchorCtr="0" upright="1">
                          <a:noAutofit/>
                        </wps:bodyPr>
                      </wps:wsp>
                      <wps:wsp>
                        <wps:cNvPr id="113" name="文本框 4"/>
                        <wps:cNvSpPr txBox="1">
                          <a:spLocks noChangeArrowheads="1"/>
                        </wps:cNvSpPr>
                        <wps:spPr bwMode="auto">
                          <a:xfrm>
                            <a:off x="3321160" y="2039849"/>
                            <a:ext cx="1949570" cy="882015"/>
                          </a:xfrm>
                          <a:prstGeom prst="rect">
                            <a:avLst/>
                          </a:prstGeom>
                          <a:solidFill>
                            <a:schemeClr val="lt1">
                              <a:lumMod val="100000"/>
                              <a:lumOff val="0"/>
                            </a:schemeClr>
                          </a:solidFill>
                          <a:ln w="12700">
                            <a:solidFill>
                              <a:srgbClr val="000000"/>
                            </a:solidFill>
                            <a:miter lim="800000"/>
                            <a:headEnd/>
                            <a:tailEnd/>
                          </a:ln>
                        </wps:spPr>
                        <wps:txbx>
                          <w:txbxContent>
                            <w:p w14:paraId="5F4C6371" w14:textId="77777777" w:rsidR="00A80A0C" w:rsidRDefault="00A80A0C" w:rsidP="00A80A0C">
                              <w:pPr>
                                <w:pStyle w:val="NormalWeb"/>
                                <w:spacing w:before="0" w:beforeAutospacing="0" w:after="0" w:afterAutospacing="0"/>
                                <w:jc w:val="center"/>
                              </w:pPr>
                              <w:r>
                                <w:rPr>
                                  <w:rFonts w:ascii="Times New Roman" w:hAnsi="Times New Roman"/>
                                  <w:sz w:val="20"/>
                                  <w:szCs w:val="20"/>
                                  <w:lang w:val="en-GB"/>
                                </w:rPr>
                                <w:t>Effectiveness is a function of matching information processing capacities with information processing requirements</w:t>
                              </w:r>
                            </w:p>
                          </w:txbxContent>
                        </wps:txbx>
                        <wps:bodyPr rot="0" vert="horz" wrap="square" lIns="91440" tIns="45720" rIns="91440" bIns="45720" anchor="t" anchorCtr="0" upright="1">
                          <a:noAutofit/>
                        </wps:bodyPr>
                      </wps:wsp>
                      <wpg:wgp>
                        <wpg:cNvPr id="99" name="组合 99"/>
                        <wpg:cNvGrpSpPr/>
                        <wpg:grpSpPr>
                          <a:xfrm>
                            <a:off x="2320506" y="457200"/>
                            <a:ext cx="3409780" cy="1582649"/>
                            <a:chOff x="2320506" y="457200"/>
                            <a:chExt cx="3409780" cy="1582649"/>
                          </a:xfrm>
                        </wpg:grpSpPr>
                        <wps:wsp>
                          <wps:cNvPr id="91" name="直接箭头连接符 91"/>
                          <wps:cNvCnPr/>
                          <wps:spPr>
                            <a:xfrm flipV="1">
                              <a:off x="2320506" y="1258831"/>
                              <a:ext cx="327804" cy="9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2" name="直接箭头连接符 92"/>
                          <wps:cNvCnPr/>
                          <wps:spPr>
                            <a:xfrm flipH="1">
                              <a:off x="5365630" y="457200"/>
                              <a:ext cx="364656" cy="8195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7" name="直接箭头连接符 97"/>
                          <wps:cNvCnPr>
                            <a:stCxn id="111" idx="1"/>
                            <a:endCxn id="110" idx="3"/>
                          </wps:cNvCnPr>
                          <wps:spPr>
                            <a:xfrm flipH="1" flipV="1">
                              <a:off x="5356764" y="1259540"/>
                              <a:ext cx="373229" cy="36476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8" name="直接箭头连接符 98"/>
                          <wps:cNvCnPr/>
                          <wps:spPr>
                            <a:xfrm flipH="1" flipV="1">
                              <a:off x="4226944" y="1367009"/>
                              <a:ext cx="8626" cy="6728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2DF28EFF" id="画布 90" o:spid="_x0000_s1048" editas="canvas" style="width:534.6pt;height:230.25pt;mso-position-horizontal-relative:char;mso-position-vertical-relative:line" coordsize="67894,2924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">
                <v:shape id="_x0000_s1049" type="#_x0000_t75" style="position:absolute;width:67894;height:29241;visibility:visible;mso-wrap-style:square">
                  <v:fill o:detectmouseclick="t"/>
                  <v:path o:connecttype="none"/>
                </v:shape>
                <v:shape id="文本框 4" o:spid="_x0000_s1050" type="#_x0000_t202" style="position:absolute;left:14579;top:8179;width:8539;height:88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" fillcolor="white [3201]" strokeweight="1pt">
                  <v:textbox>
                    <w:txbxContent>
                      <w:p w14:paraId="2FC939D8" w14:textId="77777777" w:rsidR="00A80A0C" w:rsidRPr="001908EA" w:rsidRDefault="00A80A0C" w:rsidP="00A80A0C">
                        <w:pPr>
                          <w:jc w:val="center"/>
                          <w:rPr>
                            <w:sz w:val="20"/>
                            <w:szCs w:val="20"/>
                          </w:rPr>
                        </w:pPr>
                        <w:r w:rsidRPr="001908EA">
                          <w:rPr>
                            <w:sz w:val="20"/>
                            <w:szCs w:val="20"/>
                          </w:rPr>
                          <w:t>Uncertainty facing the set of subunits</w:t>
                        </w:r>
                      </w:p>
                    </w:txbxContent>
                  </v:textbox>
                </v:shape>
                <v:shape id="文本框 4" o:spid="_x0000_s1051" type="#_x0000_t202" style="position:absolute;width:10655;height:51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" fillcolor="white [3201]" strokeweight="1pt">
                  <v:textbox>
                    <w:txbxContent>
                      <w:p w14:paraId="4C83FA63" w14:textId="77777777" w:rsidR="00A80A0C" w:rsidRPr="001908EA" w:rsidRDefault="00A80A0C" w:rsidP="00A80A0C">
                        <w:pPr>
                          <w:pStyle w:val="NormalWeb"/>
                          <w:spacing w:before="0" w:beforeAutospacing="0" w:after="0" w:afterAutospacing="0"/>
                          <w:jc w:val="center"/>
                          <w:rPr>
                            <w:rFonts w:ascii="Times New Roman" w:eastAsiaTheme="minorEastAsia" w:hAnsi="Times New Roman" w:cs="Times New Roman"/>
                            <w:kern w:val="2"/>
                            <w:sz w:val="20"/>
                            <w:szCs w:val="20"/>
                            <w:lang w:val="en-GB"/>
                          </w:rPr>
                        </w:pPr>
                        <w:r w:rsidRPr="001908EA">
                          <w:rPr>
                            <w:rFonts w:ascii="Times New Roman" w:eastAsiaTheme="minorEastAsia" w:hAnsi="Times New Roman" w:cs="Times New Roman"/>
                            <w:kern w:val="2"/>
                            <w:sz w:val="20"/>
                            <w:szCs w:val="20"/>
                            <w:lang w:val="en-GB"/>
                          </w:rPr>
                          <w:t xml:space="preserve">Subunit </w:t>
                        </w:r>
                        <w:r w:rsidRPr="001908EA">
                          <w:rPr>
                            <w:rFonts w:ascii="Times New Roman" w:eastAsiaTheme="minorEastAsia" w:hAnsi="Times New Roman" w:cs="Times New Roman" w:hint="eastAsia"/>
                            <w:kern w:val="2"/>
                            <w:sz w:val="20"/>
                            <w:szCs w:val="20"/>
                            <w:lang w:val="en-GB"/>
                          </w:rPr>
                          <w:t>t</w:t>
                        </w:r>
                        <w:r w:rsidRPr="001908EA">
                          <w:rPr>
                            <w:rFonts w:ascii="Times New Roman" w:eastAsiaTheme="minorEastAsia" w:hAnsi="Times New Roman" w:cs="Times New Roman"/>
                            <w:kern w:val="2"/>
                            <w:sz w:val="20"/>
                            <w:szCs w:val="20"/>
                            <w:lang w:val="en-GB"/>
                          </w:rPr>
                          <w:t>ask characteristics</w:t>
                        </w:r>
                      </w:p>
                    </w:txbxContent>
                  </v:textbox>
                </v:shape>
                <v:shape id="文本框 4" o:spid="_x0000_s1052" type="#_x0000_t202" style="position:absolute;left:159;top:10069;width:10655;height:50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" fillcolor="white [3201]" strokeweight="1pt">
                  <v:textbox>
                    <w:txbxContent>
                      <w:p w14:paraId="1A798118" w14:textId="77777777" w:rsidR="00A80A0C" w:rsidRPr="001908EA" w:rsidRDefault="00A80A0C" w:rsidP="00A80A0C">
                        <w:pPr>
                          <w:pStyle w:val="NormalWeb"/>
                          <w:spacing w:before="0" w:beforeAutospacing="0" w:after="0" w:afterAutospacing="0"/>
                          <w:jc w:val="center"/>
                          <w:rPr>
                            <w:rFonts w:ascii="Times New Roman" w:hAnsi="Times New Roman"/>
                            <w:sz w:val="20"/>
                            <w:szCs w:val="20"/>
                            <w:lang w:val="en-GB"/>
                          </w:rPr>
                        </w:pPr>
                        <w:r w:rsidRPr="001908EA">
                          <w:rPr>
                            <w:rFonts w:ascii="Times New Roman" w:hAnsi="Times New Roman"/>
                            <w:sz w:val="20"/>
                            <w:szCs w:val="20"/>
                            <w:lang w:val="en-GB"/>
                          </w:rPr>
                          <w:t>Subunit task environment</w:t>
                        </w:r>
                      </w:p>
                    </w:txbxContent>
                  </v:textbox>
                </v:shape>
                <v:shape id="文本框 4" o:spid="_x0000_s1053" type="#_x0000_t202" style="position:absolute;top:20027;width:11071;height:512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" fillcolor="white [3201]" strokeweight="1pt">
                  <v:textbox>
                    <w:txbxContent>
                      <w:p w14:paraId="1BD387D5" w14:textId="77777777" w:rsidR="00A80A0C" w:rsidRPr="001908EA" w:rsidRDefault="00A80A0C" w:rsidP="00A80A0C">
                        <w:pPr>
                          <w:pStyle w:val="NormalWeb"/>
                          <w:spacing w:before="0" w:beforeAutospacing="0" w:after="0" w:afterAutospacing="0"/>
                          <w:jc w:val="center"/>
                          <w:rPr>
                            <w:rFonts w:ascii="Times New Roman" w:hAnsi="Times New Roman"/>
                            <w:sz w:val="20"/>
                            <w:szCs w:val="20"/>
                            <w:lang w:val="en-GB"/>
                          </w:rPr>
                        </w:pPr>
                        <w:r w:rsidRPr="001908EA">
                          <w:rPr>
                            <w:rFonts w:ascii="Times New Roman" w:hAnsi="Times New Roman"/>
                            <w:sz w:val="20"/>
                            <w:szCs w:val="20"/>
                            <w:lang w:val="en-GB"/>
                          </w:rPr>
                          <w:t>Inter-unit task interdependence</w:t>
                        </w:r>
                      </w:p>
                    </w:txbxContent>
                  </v:textbox>
                </v:shape>
                <v:shape id="文本框 26" o:spid="_x0000_s1054" type="#_x0000_t202" style="position:absolute;left:39943;top:10902;width:6725;height:264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" filled="f" stroked="f">
                  <v:textbox>
                    <w:txbxContent>
                      <w:p w14:paraId="5A122023" w14:textId="77777777" w:rsidR="00A80A0C" w:rsidRPr="001908EA" w:rsidRDefault="00A80A0C" w:rsidP="00A80A0C">
                        <w:pPr>
                          <w:pStyle w:val="NormalWeb"/>
                          <w:spacing w:before="0" w:beforeAutospacing="0" w:after="0" w:afterAutospacing="0"/>
                          <w:jc w:val="both"/>
                        </w:pPr>
                        <w:r w:rsidRPr="001908EA">
                          <w:rPr>
                            <w:rFonts w:ascii="Times New Roman" w:hAnsi="Times New Roman"/>
                            <w:bCs/>
                            <w:kern w:val="2"/>
                            <w:sz w:val="21"/>
                            <w:szCs w:val="21"/>
                            <w:lang w:val="en-GB"/>
                          </w:rPr>
                          <w:t>“Fit</w:t>
                        </w:r>
                        <w:r>
                          <w:rPr>
                            <w:rFonts w:ascii="Times New Roman" w:hAnsi="Times New Roman"/>
                            <w:bCs/>
                            <w:kern w:val="2"/>
                            <w:sz w:val="21"/>
                            <w:szCs w:val="21"/>
                            <w:lang w:val="en-GB"/>
                          </w:rPr>
                          <w:t>”</w:t>
                        </w:r>
                      </w:p>
                    </w:txbxContent>
                  </v:textbox>
                </v:shape>
                <v:shape id="直接箭头连接符 20" o:spid="_x0000_s1055" type="#_x0000_t32" style="position:absolute;left:10812;top:12588;width:3765;height:1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" strokecolor="black [3200]" strokeweight=".5pt">
                  <v:stroke endarrow="block" joinstyle="miter"/>
                </v:shape>
                <v:shape id="直接箭头连接符 21" o:spid="_x0000_s1056" type="#_x0000_t32" style="position:absolute;left:10655;top:2584;width:3760;height:10004;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" strokecolor="black [3200]" strokeweight=".5pt">
                  <v:stroke endarrow="block" joinstyle="miter"/>
                </v:shape>
                <v:shape id="直接箭头连接符 22" o:spid="_x0000_s1057" type="#_x0000_t32" style="position:absolute;left:11071;top:12588;width:3347;height:10003;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" strokecolor="black [3200]" strokeweight=".5pt">
                  <v:stroke endarrow="block" joinstyle="miter"/>
                </v:shape>
                <v:shape id="文本框 4" o:spid="_x0000_s1058" type="#_x0000_t202" style="position:absolute;left:26586;top:8182;width:13220;height:88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" fillcolor="white [3201]" strokeweight="1pt">
                  <v:textbox>
                    <w:txbxContent>
                      <w:p w14:paraId="1E13C3BD" w14:textId="77777777" w:rsidR="00A80A0C" w:rsidRPr="00D069AF" w:rsidRDefault="00A80A0C" w:rsidP="00A80A0C">
                        <w:pPr>
                          <w:pStyle w:val="NormalWeb"/>
                          <w:spacing w:before="0" w:beforeAutospacing="0" w:after="0" w:afterAutospacing="0"/>
                          <w:jc w:val="center"/>
                        </w:pPr>
                        <w:r w:rsidRPr="00D069AF">
                          <w:rPr>
                            <w:rFonts w:ascii="Times New Roman" w:hAnsi="Times New Roman"/>
                            <w:bCs/>
                            <w:kern w:val="2"/>
                            <w:sz w:val="20"/>
                            <w:szCs w:val="20"/>
                            <w:lang w:val="en-GB"/>
                          </w:rPr>
                          <w:t>Information</w:t>
                        </w:r>
                      </w:p>
                      <w:p w14:paraId="7748E3E0" w14:textId="77777777" w:rsidR="00A80A0C" w:rsidRPr="00D069AF" w:rsidRDefault="00A80A0C" w:rsidP="00A80A0C">
                        <w:pPr>
                          <w:pStyle w:val="NormalWeb"/>
                          <w:spacing w:before="0" w:beforeAutospacing="0" w:after="0" w:afterAutospacing="0"/>
                          <w:jc w:val="center"/>
                        </w:pPr>
                        <w:r w:rsidRPr="00D069AF">
                          <w:rPr>
                            <w:rFonts w:ascii="Times New Roman" w:hAnsi="Times New Roman"/>
                            <w:bCs/>
                            <w:kern w:val="2"/>
                            <w:sz w:val="20"/>
                            <w:szCs w:val="20"/>
                            <w:lang w:val="en-GB"/>
                          </w:rPr>
                          <w:t>processing requirements facing organizations</w:t>
                        </w:r>
                      </w:p>
                    </w:txbxContent>
                  </v:textbox>
                </v:shape>
                <v:shape id="文本框 4" o:spid="_x0000_s1059" type="#_x0000_t202" style="position:absolute;left:44875;top:8182;width:8694;height:88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" fillcolor="white [3201]" strokeweight="1pt">
                  <v:textbox>
                    <w:txbxContent>
                      <w:p w14:paraId="3A2B3E84" w14:textId="77777777" w:rsidR="00A80A0C" w:rsidRDefault="00A80A0C" w:rsidP="00A80A0C">
                        <w:pPr>
                          <w:pStyle w:val="NormalWeb"/>
                          <w:spacing w:before="0" w:beforeAutospacing="0" w:after="0" w:afterAutospacing="0"/>
                          <w:jc w:val="center"/>
                        </w:pPr>
                        <w:r>
                          <w:rPr>
                            <w:rFonts w:ascii="Times New Roman" w:hAnsi="Times New Roman"/>
                            <w:sz w:val="20"/>
                            <w:szCs w:val="20"/>
                            <w:lang w:val="en-GB"/>
                          </w:rPr>
                          <w:t>Information</w:t>
                        </w:r>
                      </w:p>
                      <w:p w14:paraId="280A1789" w14:textId="77777777" w:rsidR="00A80A0C" w:rsidRDefault="00A80A0C" w:rsidP="00A80A0C">
                        <w:pPr>
                          <w:pStyle w:val="NormalWeb"/>
                          <w:spacing w:before="0" w:beforeAutospacing="0" w:after="0" w:afterAutospacing="0"/>
                          <w:jc w:val="center"/>
                        </w:pPr>
                        <w:r>
                          <w:rPr>
                            <w:rFonts w:ascii="Times New Roman" w:hAnsi="Times New Roman"/>
                            <w:sz w:val="20"/>
                            <w:szCs w:val="20"/>
                            <w:lang w:val="en-GB"/>
                          </w:rPr>
                          <w:t>processing capacities of structure</w:t>
                        </w:r>
                      </w:p>
                    </w:txbxContent>
                  </v:textbox>
                </v:shape>
                <v:shape id="文本框 4" o:spid="_x0000_s1060" type="#_x0000_t202" style="position:absolute;left:57302;top:11829;width:10592;height:882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" fillcolor="white [3201]" strokeweight="1pt">
                  <v:textbox>
                    <w:txbxContent>
                      <w:p w14:paraId="72F3E7FC" w14:textId="77777777" w:rsidR="00A80A0C" w:rsidRDefault="00A80A0C" w:rsidP="00A80A0C">
                        <w:pPr>
                          <w:pStyle w:val="NormalWeb"/>
                          <w:spacing w:before="0" w:beforeAutospacing="0" w:after="0" w:afterAutospacing="0"/>
                          <w:jc w:val="center"/>
                        </w:pPr>
                        <w:r>
                          <w:rPr>
                            <w:rFonts w:ascii="Times New Roman" w:hAnsi="Times New Roman"/>
                            <w:sz w:val="20"/>
                            <w:szCs w:val="20"/>
                            <w:lang w:val="en-GB"/>
                          </w:rPr>
                          <w:t>Feasible set of coordination and control mechanisms</w:t>
                        </w:r>
                      </w:p>
                    </w:txbxContent>
                  </v:textbox>
                </v:shape>
                <v:shape id="文本框 4" o:spid="_x0000_s1061" type="#_x0000_t202" style="position:absolute;left:57302;top:1035;width:9808;height:88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" fillcolor="white [3201]" strokeweight="1pt">
                  <v:textbox>
                    <w:txbxContent>
                      <w:p w14:paraId="2F2AE96F" w14:textId="77777777" w:rsidR="00A80A0C" w:rsidRDefault="00A80A0C" w:rsidP="00A80A0C">
                        <w:pPr>
                          <w:pStyle w:val="NormalWeb"/>
                          <w:spacing w:before="0" w:beforeAutospacing="0" w:after="0" w:afterAutospacing="0"/>
                          <w:jc w:val="center"/>
                        </w:pPr>
                        <w:r>
                          <w:rPr>
                            <w:rFonts w:ascii="Times New Roman" w:hAnsi="Times New Roman"/>
                            <w:sz w:val="20"/>
                            <w:szCs w:val="20"/>
                            <w:lang w:val="en-GB"/>
                          </w:rPr>
                          <w:t>Organismic or mechanistic design of subunits</w:t>
                        </w:r>
                      </w:p>
                    </w:txbxContent>
                  </v:textbox>
                </v:shape>
                <v:shape id="文本框 4" o:spid="_x0000_s1062" type="#_x0000_t202" style="position:absolute;left:33211;top:20398;width:19496;height:88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" fillcolor="white [3201]" strokeweight="1pt">
                  <v:textbox>
                    <w:txbxContent>
                      <w:p w14:paraId="5F4C6371" w14:textId="77777777" w:rsidR="00A80A0C" w:rsidRDefault="00A80A0C" w:rsidP="00A80A0C">
                        <w:pPr>
                          <w:pStyle w:val="NormalWeb"/>
                          <w:spacing w:before="0" w:beforeAutospacing="0" w:after="0" w:afterAutospacing="0"/>
                          <w:jc w:val="center"/>
                        </w:pPr>
                        <w:r>
                          <w:rPr>
                            <w:rFonts w:ascii="Times New Roman" w:hAnsi="Times New Roman"/>
                            <w:sz w:val="20"/>
                            <w:szCs w:val="20"/>
                            <w:lang w:val="en-GB"/>
                          </w:rPr>
                          <w:t>Effectiveness is a function of matching information processing capacities with information processing requirements</w:t>
                        </w:r>
                      </w:p>
                    </w:txbxContent>
                  </v:textbox>
                </v:shape>
                <v:group id="组合 99" o:spid="_x0000_s1063" style="position:absolute;left:23205;top:4572;width:34097;height:15826" coordorigin="23205,4572" coordsize="34097,158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">
                  <v:shape id="直接箭头连接符 91" o:spid="_x0000_s1064" type="#_x0000_t32" style="position:absolute;left:23205;top:12588;width:3278;height:10;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" strokecolor="black [3200]" strokeweight=".5pt">
                    <v:stroke endarrow="block" joinstyle="miter"/>
                  </v:shape>
                  <v:shape id="直接箭头连接符 92" o:spid="_x0000_s1065" type="#_x0000_t32" style="position:absolute;left:53656;top:4572;width:3646;height:8195;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" strokecolor="black [3200]" strokeweight=".5pt">
                    <v:stroke endarrow="block" joinstyle="miter"/>
                  </v:shape>
                  <v:shape id="直接箭头连接符 97" o:spid="_x0000_s1066" type="#_x0000_t32" style="position:absolute;left:53567;top:12595;width:3732;height:3648;flip:x 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" strokecolor="black [3200]" strokeweight=".5pt">
                    <v:stroke endarrow="block" joinstyle="miter"/>
                  </v:shape>
                  <v:shape id="直接箭头连接符 98" o:spid="_x0000_s1067" type="#_x0000_t32" style="position:absolute;left:42269;top:13670;width:86;height:6728;flip:x 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" strokecolor="black [3200]" strokeweight=".5pt">
                    <v:stroke endarrow="block" joinstyle="miter"/>
                  </v:shape>
                </v:group>
                <w10:anchorlock/>
              </v:group>
            </w:pict>
          </mc:Fallback>
        </mc:AlternateContent>
      </w:r>
    </w:p>
    <w:p w14:paraId="6E56EBEB" w14:textId="77777777" w:rsidR="00A80A0C" w:rsidRPr="00A80A0C" w:rsidRDefault="00A80A0C" w:rsidP="00A80A0C">
      <w:pPr>
        <w:rPr>
          <w:color w:val="000000" w:themeColor="text1"/>
        </w:rPr>
      </w:pPr>
    </w:p>
    <w:p w14:paraId="17A59095" w14:textId="77777777" w:rsidR="00A80A0C" w:rsidRPr="00A80A0C" w:rsidRDefault="00A80A0C" w:rsidP="00A80A0C">
      <w:pPr>
        <w:tabs>
          <w:tab w:val="left" w:pos="3780"/>
        </w:tabs>
        <w:rPr>
          <w:color w:val="000000" w:themeColor="text1"/>
          <w:szCs w:val="21"/>
        </w:rPr>
      </w:pPr>
      <w:r w:rsidRPr="00A80A0C">
        <w:rPr>
          <w:color w:val="000000" w:themeColor="text1"/>
        </w:rPr>
        <w:tab/>
      </w:r>
      <w:r w:rsidRPr="00A80A0C">
        <w:rPr>
          <w:rFonts w:hint="eastAsia"/>
          <w:b/>
          <w:color w:val="000000" w:themeColor="text1"/>
          <w:szCs w:val="21"/>
        </w:rPr>
        <w:t xml:space="preserve">Figure </w:t>
      </w:r>
      <w:r w:rsidRPr="00A80A0C">
        <w:rPr>
          <w:b/>
          <w:color w:val="000000" w:themeColor="text1"/>
          <w:szCs w:val="21"/>
        </w:rPr>
        <w:t>5</w:t>
      </w:r>
      <w:r w:rsidRPr="00A80A0C">
        <w:rPr>
          <w:rFonts w:hint="eastAsia"/>
          <w:b/>
          <w:color w:val="000000" w:themeColor="text1"/>
          <w:szCs w:val="21"/>
        </w:rPr>
        <w:t xml:space="preserve">. </w:t>
      </w:r>
      <w:r w:rsidRPr="00A80A0C">
        <w:rPr>
          <w:color w:val="000000" w:themeColor="text1"/>
          <w:szCs w:val="21"/>
        </w:rPr>
        <w:t xml:space="preserve">The information processing model. (Source: </w:t>
      </w:r>
      <w:proofErr w:type="spellStart"/>
      <w:r w:rsidRPr="00A80A0C">
        <w:rPr>
          <w:color w:val="000000" w:themeColor="text1"/>
          <w:szCs w:val="21"/>
        </w:rPr>
        <w:t>Tushman</w:t>
      </w:r>
      <w:proofErr w:type="spellEnd"/>
      <w:r w:rsidRPr="00A80A0C">
        <w:rPr>
          <w:color w:val="000000" w:themeColor="text1"/>
          <w:szCs w:val="21"/>
        </w:rPr>
        <w:t xml:space="preserve"> and Nadler (1978))</w:t>
      </w:r>
    </w:p>
    <w:p w14:paraId="45A8617F" w14:textId="77777777" w:rsidR="00A80A0C" w:rsidRPr="00A80A0C" w:rsidRDefault="00A80A0C" w:rsidP="00A80A0C">
      <w:pPr>
        <w:tabs>
          <w:tab w:val="left" w:pos="3247"/>
        </w:tabs>
        <w:rPr>
          <w:color w:val="000000" w:themeColor="text1"/>
        </w:rPr>
      </w:pPr>
    </w:p>
    <w:p w14:paraId="67B115E8" w14:textId="77777777" w:rsidR="00A80A0C" w:rsidRPr="00A80A0C" w:rsidRDefault="00A80A0C" w:rsidP="00A80A0C">
      <w:pPr>
        <w:tabs>
          <w:tab w:val="left" w:pos="3247"/>
        </w:tabs>
        <w:rPr>
          <w:color w:val="000000" w:themeColor="text1"/>
        </w:rPr>
        <w:sectPr w:rsidR="00A80A0C" w:rsidRPr="00A80A0C" w:rsidSect="00A9189C">
          <w:pgSz w:w="16838" w:h="11906" w:orient="landscape"/>
          <w:pgMar w:top="1797" w:right="1440" w:bottom="1797" w:left="1440" w:header="851" w:footer="992" w:gutter="0"/>
          <w:cols w:space="425"/>
          <w:docGrid w:type="lines" w:linePitch="312"/>
        </w:sectPr>
      </w:pPr>
      <w:r w:rsidRPr="00A80A0C">
        <w:rPr>
          <w:color w:val="000000" w:themeColor="text1"/>
        </w:rPr>
        <w:tab/>
      </w:r>
    </w:p>
    <w:p w14:paraId="0FA25E25" w14:textId="77777777" w:rsidR="00A80A0C" w:rsidRPr="00A80A0C" w:rsidRDefault="00A80A0C" w:rsidP="00A80A0C">
      <w:pPr>
        <w:spacing w:line="20" w:lineRule="atLeast"/>
        <w:rPr>
          <w:color w:val="000000" w:themeColor="text1"/>
          <w:sz w:val="20"/>
        </w:rPr>
      </w:pPr>
      <w:r w:rsidRPr="00A80A0C">
        <w:rPr>
          <w:noProof/>
          <w:color w:val="000000" w:themeColor="text1"/>
        </w:rPr>
        <w:lastRenderedPageBreak/>
        <mc:AlternateContent>
          <mc:Choice Requires="wpc">
            <w:drawing>
              <wp:inline distT="0" distB="0" distL="0" distR="0" wp14:anchorId="25319796" wp14:editId="7A911CE5">
                <wp:extent cx="8686300" cy="3795246"/>
                <wp:effectExtent l="0" t="0" r="19685" b="15240"/>
                <wp:docPr id="25" name="画布 2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4" name="文本框 16"/>
                        <wps:cNvSpPr txBox="1">
                          <a:spLocks noChangeArrowheads="1"/>
                        </wps:cNvSpPr>
                        <wps:spPr bwMode="auto">
                          <a:xfrm>
                            <a:off x="6931369" y="1053186"/>
                            <a:ext cx="1755431" cy="2328545"/>
                          </a:xfrm>
                          <a:prstGeom prst="rect">
                            <a:avLst/>
                          </a:prstGeom>
                          <a:solidFill>
                            <a:schemeClr val="lt1">
                              <a:lumMod val="100000"/>
                              <a:lumOff val="0"/>
                            </a:schemeClr>
                          </a:solidFill>
                          <a:ln w="12700">
                            <a:solidFill>
                              <a:srgbClr val="000000"/>
                            </a:solidFill>
                            <a:prstDash val="dash"/>
                            <a:miter lim="800000"/>
                            <a:headEnd/>
                            <a:tailEnd/>
                          </a:ln>
                        </wps:spPr>
                        <wps:txbx>
                          <w:txbxContent>
                            <w:p w14:paraId="78762054" w14:textId="77777777" w:rsidR="00A80A0C" w:rsidRDefault="00A80A0C" w:rsidP="00A80A0C">
                              <w:pPr>
                                <w:pStyle w:val="NormalWeb"/>
                                <w:spacing w:before="0" w:beforeAutospacing="0" w:after="0" w:afterAutospacing="0"/>
                              </w:pPr>
                              <w:r>
                                <w:rPr>
                                  <w:rFonts w:ascii="Times New Roman" w:hAnsi="Times New Roman"/>
                                  <w:kern w:val="2"/>
                                  <w:sz w:val="20"/>
                                  <w:szCs w:val="20"/>
                                  <w:lang w:val="en-GB"/>
                                </w:rPr>
                                <w:t xml:space="preserve">                                    </w:t>
                              </w:r>
                            </w:p>
                          </w:txbxContent>
                        </wps:txbx>
                        <wps:bodyPr rot="0" vert="horz" wrap="square" lIns="91440" tIns="45720" rIns="91440" bIns="45720" anchor="ctr" anchorCtr="0" upright="1">
                          <a:noAutofit/>
                        </wps:bodyPr>
                      </wps:wsp>
                      <wps:wsp>
                        <wps:cNvPr id="3" name="文本框 4"/>
                        <wps:cNvSpPr txBox="1">
                          <a:spLocks noChangeArrowheads="1"/>
                        </wps:cNvSpPr>
                        <wps:spPr bwMode="auto">
                          <a:xfrm>
                            <a:off x="3792772" y="818370"/>
                            <a:ext cx="1066117" cy="882905"/>
                          </a:xfrm>
                          <a:prstGeom prst="rect">
                            <a:avLst/>
                          </a:prstGeom>
                          <a:solidFill>
                            <a:schemeClr val="lt1">
                              <a:lumMod val="100000"/>
                              <a:lumOff val="0"/>
                            </a:schemeClr>
                          </a:solidFill>
                          <a:ln w="12700">
                            <a:solidFill>
                              <a:srgbClr val="000000"/>
                            </a:solidFill>
                            <a:miter lim="800000"/>
                            <a:headEnd/>
                            <a:tailEnd/>
                          </a:ln>
                        </wps:spPr>
                        <wps:txbx>
                          <w:txbxContent>
                            <w:p w14:paraId="6AA99C11" w14:textId="77777777" w:rsidR="00A80A0C" w:rsidRDefault="00A80A0C" w:rsidP="00A80A0C">
                              <w:pPr>
                                <w:jc w:val="center"/>
                                <w:rPr>
                                  <w:b/>
                                  <w:sz w:val="20"/>
                                  <w:szCs w:val="20"/>
                                </w:rPr>
                              </w:pPr>
                              <w:r w:rsidRPr="00523D38">
                                <w:rPr>
                                  <w:b/>
                                  <w:sz w:val="20"/>
                                  <w:szCs w:val="20"/>
                                </w:rPr>
                                <w:t xml:space="preserve">SCF </w:t>
                              </w:r>
                              <w:r>
                                <w:rPr>
                                  <w:b/>
                                  <w:sz w:val="20"/>
                                  <w:szCs w:val="20"/>
                                </w:rPr>
                                <w:t>providers’ i</w:t>
                              </w:r>
                              <w:r w:rsidRPr="00523D38">
                                <w:rPr>
                                  <w:b/>
                                  <w:sz w:val="20"/>
                                  <w:szCs w:val="20"/>
                                </w:rPr>
                                <w:t>nformation</w:t>
                              </w:r>
                            </w:p>
                            <w:p w14:paraId="07D53383" w14:textId="77777777" w:rsidR="00A80A0C" w:rsidRPr="00523D38" w:rsidRDefault="00A80A0C" w:rsidP="00A80A0C">
                              <w:pPr>
                                <w:jc w:val="center"/>
                                <w:rPr>
                                  <w:b/>
                                  <w:sz w:val="20"/>
                                  <w:szCs w:val="20"/>
                                </w:rPr>
                              </w:pPr>
                              <w:r w:rsidRPr="00523D38">
                                <w:rPr>
                                  <w:b/>
                                  <w:sz w:val="20"/>
                                  <w:szCs w:val="20"/>
                                </w:rPr>
                                <w:t>processing requirements</w:t>
                              </w:r>
                            </w:p>
                          </w:txbxContent>
                        </wps:txbx>
                        <wps:bodyPr rot="0" vert="horz" wrap="square" lIns="91440" tIns="45720" rIns="91440" bIns="45720" anchor="t" anchorCtr="0" upright="1">
                          <a:noAutofit/>
                        </wps:bodyPr>
                      </wps:wsp>
                      <wps:wsp>
                        <wps:cNvPr id="5" name="文本框 4"/>
                        <wps:cNvSpPr txBox="1">
                          <a:spLocks noChangeArrowheads="1"/>
                        </wps:cNvSpPr>
                        <wps:spPr bwMode="auto">
                          <a:xfrm>
                            <a:off x="3800723" y="2790100"/>
                            <a:ext cx="1066117" cy="970916"/>
                          </a:xfrm>
                          <a:prstGeom prst="rect">
                            <a:avLst/>
                          </a:prstGeom>
                          <a:solidFill>
                            <a:schemeClr val="lt1">
                              <a:lumMod val="100000"/>
                              <a:lumOff val="0"/>
                            </a:schemeClr>
                          </a:solidFill>
                          <a:ln w="12700">
                            <a:solidFill>
                              <a:srgbClr val="000000"/>
                            </a:solidFill>
                            <a:miter lim="800000"/>
                            <a:headEnd/>
                            <a:tailEnd/>
                          </a:ln>
                        </wps:spPr>
                        <wps:txbx>
                          <w:txbxContent>
                            <w:p w14:paraId="5C5B8B24" w14:textId="77777777" w:rsidR="00A80A0C" w:rsidRPr="00523D38" w:rsidRDefault="00A80A0C" w:rsidP="00A80A0C">
                              <w:pPr>
                                <w:jc w:val="center"/>
                                <w:rPr>
                                  <w:b/>
                                  <w:sz w:val="20"/>
                                  <w:szCs w:val="20"/>
                                </w:rPr>
                              </w:pPr>
                              <w:r w:rsidRPr="00523D38">
                                <w:rPr>
                                  <w:b/>
                                  <w:sz w:val="20"/>
                                  <w:szCs w:val="20"/>
                                </w:rPr>
                                <w:t xml:space="preserve">SCF </w:t>
                              </w:r>
                              <w:r>
                                <w:rPr>
                                  <w:b/>
                                  <w:sz w:val="20"/>
                                  <w:szCs w:val="20"/>
                                </w:rPr>
                                <w:t>providers’ i</w:t>
                              </w:r>
                              <w:r w:rsidRPr="00523D38">
                                <w:rPr>
                                  <w:b/>
                                  <w:sz w:val="20"/>
                                  <w:szCs w:val="20"/>
                                </w:rPr>
                                <w:t>nformation</w:t>
                              </w:r>
                            </w:p>
                            <w:p w14:paraId="3EF5C051" w14:textId="77777777" w:rsidR="00A80A0C" w:rsidRPr="00523D38" w:rsidRDefault="00A80A0C" w:rsidP="00A80A0C">
                              <w:pPr>
                                <w:jc w:val="center"/>
                                <w:rPr>
                                  <w:b/>
                                  <w:sz w:val="20"/>
                                  <w:szCs w:val="20"/>
                                </w:rPr>
                              </w:pPr>
                              <w:r w:rsidRPr="00523D38">
                                <w:rPr>
                                  <w:b/>
                                  <w:sz w:val="20"/>
                                  <w:szCs w:val="20"/>
                                </w:rPr>
                                <w:t>processing capa</w:t>
                              </w:r>
                              <w:r>
                                <w:rPr>
                                  <w:b/>
                                  <w:sz w:val="20"/>
                                  <w:szCs w:val="20"/>
                                </w:rPr>
                                <w:t>city</w:t>
                              </w:r>
                            </w:p>
                          </w:txbxContent>
                        </wps:txbx>
                        <wps:bodyPr rot="0" vert="horz" wrap="square" lIns="91440" tIns="45720" rIns="91440" bIns="45720" anchor="t" anchorCtr="0" upright="1">
                          <a:noAutofit/>
                        </wps:bodyPr>
                      </wps:wsp>
                      <wps:wsp>
                        <wps:cNvPr id="95" name="文本框 4"/>
                        <wps:cNvSpPr txBox="1">
                          <a:spLocks noChangeArrowheads="1"/>
                        </wps:cNvSpPr>
                        <wps:spPr bwMode="auto">
                          <a:xfrm>
                            <a:off x="2334806" y="8"/>
                            <a:ext cx="1065530" cy="516876"/>
                          </a:xfrm>
                          <a:prstGeom prst="rect">
                            <a:avLst/>
                          </a:prstGeom>
                          <a:solidFill>
                            <a:schemeClr val="lt1">
                              <a:lumMod val="100000"/>
                              <a:lumOff val="0"/>
                            </a:schemeClr>
                          </a:solidFill>
                          <a:ln w="12700">
                            <a:solidFill>
                              <a:srgbClr val="000000"/>
                            </a:solidFill>
                            <a:miter lim="800000"/>
                            <a:headEnd/>
                            <a:tailEnd/>
                          </a:ln>
                        </wps:spPr>
                        <wps:txbx>
                          <w:txbxContent>
                            <w:p w14:paraId="441F65E3" w14:textId="77777777" w:rsidR="00A80A0C" w:rsidRPr="008E0F1D" w:rsidRDefault="00A80A0C" w:rsidP="00A80A0C">
                              <w:pPr>
                                <w:pStyle w:val="NormalWeb"/>
                                <w:spacing w:before="0" w:beforeAutospacing="0" w:after="0" w:afterAutospacing="0"/>
                                <w:jc w:val="center"/>
                                <w:rPr>
                                  <w:rFonts w:ascii="Times New Roman" w:eastAsiaTheme="minorEastAsia" w:hAnsi="Times New Roman" w:cs="Times New Roman"/>
                                  <w:b/>
                                  <w:kern w:val="2"/>
                                  <w:sz w:val="20"/>
                                  <w:szCs w:val="20"/>
                                  <w:lang w:val="en-GB"/>
                                </w:rPr>
                              </w:pPr>
                              <w:r w:rsidRPr="008E0F1D">
                                <w:rPr>
                                  <w:rFonts w:ascii="Times New Roman" w:eastAsiaTheme="minorEastAsia" w:hAnsi="Times New Roman" w:cs="Times New Roman"/>
                                  <w:b/>
                                  <w:kern w:val="2"/>
                                  <w:sz w:val="20"/>
                                  <w:szCs w:val="20"/>
                                  <w:lang w:val="en-GB"/>
                                </w:rPr>
                                <w:t xml:space="preserve">SCF </w:t>
                              </w:r>
                              <w:r w:rsidRPr="008E0F1D">
                                <w:rPr>
                                  <w:rFonts w:ascii="Times New Roman" w:eastAsiaTheme="minorEastAsia" w:hAnsi="Times New Roman" w:cs="Times New Roman" w:hint="eastAsia"/>
                                  <w:b/>
                                  <w:kern w:val="2"/>
                                  <w:sz w:val="20"/>
                                  <w:szCs w:val="20"/>
                                  <w:lang w:val="en-GB"/>
                                </w:rPr>
                                <w:t>t</w:t>
                              </w:r>
                              <w:r w:rsidRPr="008E0F1D">
                                <w:rPr>
                                  <w:rFonts w:ascii="Times New Roman" w:eastAsiaTheme="minorEastAsia" w:hAnsi="Times New Roman" w:cs="Times New Roman"/>
                                  <w:b/>
                                  <w:kern w:val="2"/>
                                  <w:sz w:val="20"/>
                                  <w:szCs w:val="20"/>
                                  <w:lang w:val="en-GB"/>
                                </w:rPr>
                                <w:t>ask characteristics</w:t>
                              </w:r>
                            </w:p>
                          </w:txbxContent>
                        </wps:txbx>
                        <wps:bodyPr rot="0" vert="horz" wrap="square" lIns="91440" tIns="45720" rIns="91440" bIns="45720" anchor="t" anchorCtr="0" upright="1">
                          <a:noAutofit/>
                        </wps:bodyPr>
                      </wps:wsp>
                      <wps:wsp>
                        <wps:cNvPr id="137" name="文本框 4"/>
                        <wps:cNvSpPr txBox="1">
                          <a:spLocks noChangeArrowheads="1"/>
                        </wps:cNvSpPr>
                        <wps:spPr bwMode="auto">
                          <a:xfrm>
                            <a:off x="2350708" y="1006913"/>
                            <a:ext cx="1065530" cy="503883"/>
                          </a:xfrm>
                          <a:prstGeom prst="rect">
                            <a:avLst/>
                          </a:prstGeom>
                          <a:solidFill>
                            <a:schemeClr val="lt1">
                              <a:lumMod val="100000"/>
                              <a:lumOff val="0"/>
                            </a:schemeClr>
                          </a:solidFill>
                          <a:ln w="12700">
                            <a:solidFill>
                              <a:srgbClr val="000000"/>
                            </a:solidFill>
                            <a:miter lim="800000"/>
                            <a:headEnd/>
                            <a:tailEnd/>
                          </a:ln>
                        </wps:spPr>
                        <wps:txbx>
                          <w:txbxContent>
                            <w:p w14:paraId="755BB43B" w14:textId="77777777" w:rsidR="00A80A0C" w:rsidRPr="008E0F1D" w:rsidRDefault="00A80A0C" w:rsidP="00A80A0C">
                              <w:pPr>
                                <w:pStyle w:val="NormalWeb"/>
                                <w:spacing w:before="0" w:beforeAutospacing="0" w:after="0" w:afterAutospacing="0"/>
                                <w:jc w:val="center"/>
                                <w:rPr>
                                  <w:rFonts w:ascii="Times New Roman" w:hAnsi="Times New Roman"/>
                                  <w:b/>
                                  <w:sz w:val="20"/>
                                  <w:szCs w:val="20"/>
                                  <w:lang w:val="en-GB"/>
                                </w:rPr>
                              </w:pPr>
                              <w:r w:rsidRPr="008E0F1D">
                                <w:rPr>
                                  <w:rFonts w:ascii="Times New Roman" w:hAnsi="Times New Roman"/>
                                  <w:b/>
                                  <w:sz w:val="20"/>
                                  <w:szCs w:val="20"/>
                                  <w:lang w:val="en-GB"/>
                                </w:rPr>
                                <w:t>SCF task environment</w:t>
                              </w:r>
                            </w:p>
                          </w:txbxContent>
                        </wps:txbx>
                        <wps:bodyPr rot="0" vert="horz" wrap="square" lIns="91440" tIns="45720" rIns="91440" bIns="45720" anchor="t" anchorCtr="0" upright="1">
                          <a:noAutofit/>
                        </wps:bodyPr>
                      </wps:wsp>
                      <wps:wsp>
                        <wps:cNvPr id="140" name="文本框 4"/>
                        <wps:cNvSpPr txBox="1">
                          <a:spLocks noChangeArrowheads="1"/>
                        </wps:cNvSpPr>
                        <wps:spPr bwMode="auto">
                          <a:xfrm>
                            <a:off x="2334806" y="2002807"/>
                            <a:ext cx="1107134" cy="512704"/>
                          </a:xfrm>
                          <a:prstGeom prst="rect">
                            <a:avLst/>
                          </a:prstGeom>
                          <a:solidFill>
                            <a:schemeClr val="lt1">
                              <a:lumMod val="100000"/>
                              <a:lumOff val="0"/>
                            </a:schemeClr>
                          </a:solidFill>
                          <a:ln w="12700">
                            <a:solidFill>
                              <a:srgbClr val="000000"/>
                            </a:solidFill>
                            <a:miter lim="800000"/>
                            <a:headEnd/>
                            <a:tailEnd/>
                          </a:ln>
                        </wps:spPr>
                        <wps:txbx>
                          <w:txbxContent>
                            <w:p w14:paraId="511CD96A" w14:textId="77777777" w:rsidR="00A80A0C" w:rsidRPr="008E0F1D" w:rsidRDefault="00A80A0C" w:rsidP="00A80A0C">
                              <w:pPr>
                                <w:pStyle w:val="NormalWeb"/>
                                <w:spacing w:before="0" w:beforeAutospacing="0" w:after="0" w:afterAutospacing="0"/>
                                <w:jc w:val="center"/>
                                <w:rPr>
                                  <w:rFonts w:ascii="Times New Roman" w:hAnsi="Times New Roman"/>
                                  <w:b/>
                                  <w:sz w:val="20"/>
                                  <w:szCs w:val="20"/>
                                  <w:lang w:val="en-GB"/>
                                </w:rPr>
                              </w:pPr>
                              <w:r w:rsidRPr="008E0F1D">
                                <w:rPr>
                                  <w:rFonts w:ascii="Times New Roman" w:hAnsi="Times New Roman"/>
                                  <w:b/>
                                  <w:sz w:val="20"/>
                                  <w:szCs w:val="20"/>
                                  <w:lang w:val="en-GB"/>
                                </w:rPr>
                                <w:t>SCF task interdependenc</w:t>
                              </w:r>
                              <w:r>
                                <w:rPr>
                                  <w:rFonts w:ascii="Times New Roman" w:hAnsi="Times New Roman"/>
                                  <w:b/>
                                  <w:sz w:val="20"/>
                                  <w:szCs w:val="20"/>
                                  <w:lang w:val="en-GB"/>
                                </w:rPr>
                                <w:t>e</w:t>
                              </w:r>
                            </w:p>
                          </w:txbxContent>
                        </wps:txbx>
                        <wps:bodyPr rot="0" vert="horz" wrap="square" lIns="91440" tIns="45720" rIns="91440" bIns="45720" anchor="t" anchorCtr="0" upright="1">
                          <a:noAutofit/>
                        </wps:bodyPr>
                      </wps:wsp>
                      <wps:wsp>
                        <wps:cNvPr id="141" name="文本框 4"/>
                        <wps:cNvSpPr txBox="1">
                          <a:spLocks noChangeArrowheads="1"/>
                        </wps:cNvSpPr>
                        <wps:spPr bwMode="auto">
                          <a:xfrm>
                            <a:off x="0" y="0"/>
                            <a:ext cx="2096459" cy="508933"/>
                          </a:xfrm>
                          <a:prstGeom prst="rect">
                            <a:avLst/>
                          </a:prstGeom>
                          <a:solidFill>
                            <a:schemeClr val="lt1">
                              <a:lumMod val="100000"/>
                              <a:lumOff val="0"/>
                            </a:schemeClr>
                          </a:solidFill>
                          <a:ln w="6350">
                            <a:solidFill>
                              <a:srgbClr val="000000"/>
                            </a:solidFill>
                            <a:miter lim="800000"/>
                            <a:headEnd/>
                            <a:tailEnd/>
                          </a:ln>
                        </wps:spPr>
                        <wps:txbx>
                          <w:txbxContent>
                            <w:p w14:paraId="1CD1E38C" w14:textId="77777777" w:rsidR="00A80A0C" w:rsidRDefault="00A80A0C" w:rsidP="00A80A0C">
                              <w:pPr>
                                <w:pStyle w:val="NormalWeb"/>
                                <w:spacing w:before="0" w:beforeAutospacing="0" w:after="0" w:afterAutospacing="0"/>
                                <w:jc w:val="both"/>
                                <w:rPr>
                                  <w:rFonts w:ascii="Times New Roman" w:hAnsi="Times New Roman"/>
                                  <w:sz w:val="20"/>
                                  <w:szCs w:val="20"/>
                                  <w:lang w:val="en-GB"/>
                                </w:rPr>
                              </w:pPr>
                              <w:r w:rsidRPr="00A201A9">
                                <w:rPr>
                                  <w:rFonts w:ascii="Times New Roman" w:hAnsi="Times New Roman"/>
                                  <w:b/>
                                  <w:sz w:val="20"/>
                                  <w:szCs w:val="20"/>
                                  <w:lang w:val="en-GB"/>
                                </w:rPr>
                                <w:t>Collateral management</w:t>
                              </w:r>
                              <w:r>
                                <w:rPr>
                                  <w:rFonts w:ascii="Times New Roman" w:hAnsi="Times New Roman"/>
                                  <w:sz w:val="20"/>
                                  <w:szCs w:val="20"/>
                                  <w:lang w:val="en-GB"/>
                                </w:rPr>
                                <w:t>:</w:t>
                              </w:r>
                            </w:p>
                            <w:p w14:paraId="3B1337FE" w14:textId="77777777" w:rsidR="00A80A0C" w:rsidRPr="008050AE" w:rsidRDefault="00A80A0C" w:rsidP="00A80A0C">
                              <w:pPr>
                                <w:pStyle w:val="NormalWeb"/>
                                <w:spacing w:before="0" w:beforeAutospacing="0" w:after="0" w:afterAutospacing="0"/>
                                <w:rPr>
                                  <w:rFonts w:ascii="Times New Roman" w:hAnsi="Times New Roman"/>
                                  <w:sz w:val="20"/>
                                  <w:szCs w:val="20"/>
                                  <w:lang w:val="en-GB"/>
                                </w:rPr>
                              </w:pPr>
                              <w:r>
                                <w:rPr>
                                  <w:rFonts w:ascii="Times New Roman" w:hAnsi="Times New Roman"/>
                                  <w:sz w:val="20"/>
                                  <w:szCs w:val="20"/>
                                  <w:lang w:val="en-GB"/>
                                </w:rPr>
                                <w:t>Duration</w:t>
                              </w:r>
                              <w:r>
                                <w:rPr>
                                  <w:rFonts w:ascii="Times New Roman" w:hAnsi="Times New Roman" w:hint="eastAsia"/>
                                  <w:sz w:val="20"/>
                                  <w:szCs w:val="20"/>
                                  <w:lang w:val="en-GB"/>
                                </w:rPr>
                                <w:t xml:space="preserve">, </w:t>
                              </w:r>
                              <w:r w:rsidRPr="00FD5F2A">
                                <w:rPr>
                                  <w:rFonts w:ascii="Times New Roman" w:hAnsi="Times New Roman" w:hint="eastAsia"/>
                                  <w:sz w:val="20"/>
                                  <w:szCs w:val="20"/>
                                  <w:lang w:val="en-GB"/>
                                </w:rPr>
                                <w:t>V</w:t>
                              </w:r>
                              <w:r w:rsidRPr="00FD5F2A">
                                <w:rPr>
                                  <w:rFonts w:ascii="Times New Roman" w:hAnsi="Times New Roman"/>
                                  <w:sz w:val="20"/>
                                  <w:szCs w:val="20"/>
                                  <w:lang w:val="en-GB"/>
                                </w:rPr>
                                <w:t>olume</w:t>
                              </w:r>
                              <w:r>
                                <w:rPr>
                                  <w:rFonts w:ascii="Times New Roman" w:hAnsi="Times New Roman" w:hint="eastAsia"/>
                                  <w:sz w:val="20"/>
                                  <w:szCs w:val="20"/>
                                  <w:lang w:val="en-GB"/>
                                </w:rPr>
                                <w:t xml:space="preserve">, </w:t>
                              </w:r>
                              <w:r w:rsidRPr="008050AE">
                                <w:rPr>
                                  <w:rFonts w:ascii="Times New Roman" w:hAnsi="Times New Roman"/>
                                  <w:sz w:val="20"/>
                                  <w:szCs w:val="20"/>
                                  <w:lang w:val="en-GB"/>
                                </w:rPr>
                                <w:t>Capital cost rates</w:t>
                              </w:r>
                            </w:p>
                          </w:txbxContent>
                        </wps:txbx>
                        <wps:bodyPr rot="0" vert="horz" wrap="square" lIns="91440" tIns="45720" rIns="91440" bIns="45720" anchor="ctr" anchorCtr="0" upright="1">
                          <a:noAutofit/>
                        </wps:bodyPr>
                      </wps:wsp>
                      <wps:wsp>
                        <wps:cNvPr id="142" name="文本框 4"/>
                        <wps:cNvSpPr txBox="1">
                          <a:spLocks noChangeArrowheads="1"/>
                        </wps:cNvSpPr>
                        <wps:spPr bwMode="auto">
                          <a:xfrm>
                            <a:off x="0" y="609031"/>
                            <a:ext cx="2104410" cy="1275477"/>
                          </a:xfrm>
                          <a:prstGeom prst="rect">
                            <a:avLst/>
                          </a:prstGeom>
                          <a:solidFill>
                            <a:schemeClr val="lt1">
                              <a:lumMod val="100000"/>
                              <a:lumOff val="0"/>
                            </a:schemeClr>
                          </a:solidFill>
                          <a:ln w="6350">
                            <a:solidFill>
                              <a:srgbClr val="000000"/>
                            </a:solidFill>
                            <a:miter lim="800000"/>
                            <a:headEnd/>
                            <a:tailEnd/>
                          </a:ln>
                        </wps:spPr>
                        <wps:txbx>
                          <w:txbxContent>
                            <w:p w14:paraId="26145A2D" w14:textId="77777777" w:rsidR="00A80A0C" w:rsidRDefault="00A80A0C" w:rsidP="00A80A0C">
                              <w:pPr>
                                <w:pStyle w:val="NormalWeb"/>
                                <w:spacing w:before="0" w:beforeAutospacing="0" w:after="0" w:afterAutospacing="0"/>
                                <w:rPr>
                                  <w:rFonts w:ascii="Times New Roman" w:hAnsi="Times New Roman"/>
                                  <w:sz w:val="20"/>
                                  <w:szCs w:val="20"/>
                                  <w:lang w:val="en-GB"/>
                                </w:rPr>
                              </w:pPr>
                              <w:r w:rsidRPr="00A201A9">
                                <w:rPr>
                                  <w:rFonts w:ascii="Times New Roman" w:hAnsi="Times New Roman"/>
                                  <w:b/>
                                  <w:sz w:val="20"/>
                                  <w:szCs w:val="20"/>
                                  <w:lang w:val="en-GB"/>
                                </w:rPr>
                                <w:t>SC</w:t>
                              </w:r>
                              <w:r>
                                <w:rPr>
                                  <w:rFonts w:ascii="Times New Roman" w:hAnsi="Times New Roman"/>
                                  <w:b/>
                                  <w:sz w:val="20"/>
                                  <w:szCs w:val="20"/>
                                  <w:lang w:val="en-GB"/>
                                </w:rPr>
                                <w:t xml:space="preserve"> </w:t>
                              </w:r>
                              <w:r w:rsidRPr="00A201A9">
                                <w:rPr>
                                  <w:rFonts w:ascii="Times New Roman" w:hAnsi="Times New Roman"/>
                                  <w:b/>
                                  <w:sz w:val="20"/>
                                  <w:szCs w:val="20"/>
                                  <w:lang w:val="en-GB"/>
                                </w:rPr>
                                <w:t>environment</w:t>
                              </w:r>
                              <w:r>
                                <w:rPr>
                                  <w:rFonts w:ascii="Times New Roman" w:hAnsi="Times New Roman"/>
                                  <w:sz w:val="20"/>
                                  <w:szCs w:val="20"/>
                                  <w:lang w:val="en-GB"/>
                                </w:rPr>
                                <w:t>:</w:t>
                              </w:r>
                            </w:p>
                            <w:p w14:paraId="75D428EA" w14:textId="77777777" w:rsidR="00A80A0C" w:rsidRDefault="00A80A0C" w:rsidP="00A80A0C">
                              <w:pPr>
                                <w:pStyle w:val="NormalWeb"/>
                                <w:spacing w:before="0" w:beforeAutospacing="0" w:after="0" w:afterAutospacing="0"/>
                                <w:rPr>
                                  <w:rFonts w:ascii="Times New Roman" w:hAnsi="Times New Roman"/>
                                  <w:sz w:val="20"/>
                                  <w:szCs w:val="20"/>
                                  <w:lang w:val="en-GB"/>
                                </w:rPr>
                              </w:pPr>
                              <w:r>
                                <w:rPr>
                                  <w:rFonts w:ascii="Times New Roman" w:hAnsi="Times New Roman"/>
                                  <w:sz w:val="20"/>
                                  <w:szCs w:val="20"/>
                                  <w:lang w:val="en-GB"/>
                                </w:rPr>
                                <w:t>Partners’ c</w:t>
                              </w:r>
                              <w:r w:rsidRPr="00915AE2">
                                <w:rPr>
                                  <w:rFonts w:ascii="Times New Roman" w:hAnsi="Times New Roman"/>
                                  <w:sz w:val="20"/>
                                  <w:szCs w:val="20"/>
                                  <w:lang w:val="en-GB"/>
                                </w:rPr>
                                <w:t>redit</w:t>
                              </w:r>
                              <w:r>
                                <w:rPr>
                                  <w:rFonts w:ascii="Times New Roman" w:hAnsi="Times New Roman"/>
                                  <w:sz w:val="20"/>
                                  <w:szCs w:val="20"/>
                                  <w:lang w:val="en-GB"/>
                                </w:rPr>
                                <w:t xml:space="preserve"> factors</w:t>
                              </w:r>
                            </w:p>
                            <w:p w14:paraId="67329E87" w14:textId="77777777" w:rsidR="00A80A0C" w:rsidRDefault="00A80A0C" w:rsidP="00A80A0C">
                              <w:pPr>
                                <w:pStyle w:val="NormalWeb"/>
                                <w:spacing w:before="0" w:beforeAutospacing="0" w:after="0" w:afterAutospacing="0"/>
                                <w:rPr>
                                  <w:rFonts w:ascii="Times New Roman" w:hAnsi="Times New Roman"/>
                                  <w:sz w:val="20"/>
                                  <w:szCs w:val="20"/>
                                  <w:lang w:val="en-GB"/>
                                </w:rPr>
                              </w:pPr>
                              <w:r>
                                <w:rPr>
                                  <w:rFonts w:ascii="Times New Roman" w:hAnsi="Times New Roman"/>
                                  <w:sz w:val="20"/>
                                  <w:szCs w:val="20"/>
                                  <w:lang w:val="en-GB"/>
                                </w:rPr>
                                <w:t>Operational factors</w:t>
                              </w:r>
                            </w:p>
                            <w:p w14:paraId="1BF89542" w14:textId="77777777" w:rsidR="00A80A0C" w:rsidRDefault="00A80A0C" w:rsidP="00A80A0C">
                              <w:pPr>
                                <w:pStyle w:val="NormalWeb"/>
                                <w:spacing w:before="0" w:beforeAutospacing="0" w:after="0" w:afterAutospacing="0"/>
                                <w:rPr>
                                  <w:rFonts w:ascii="Times New Roman" w:hAnsi="Times New Roman"/>
                                  <w:sz w:val="20"/>
                                  <w:szCs w:val="20"/>
                                  <w:lang w:val="en-GB"/>
                                </w:rPr>
                              </w:pPr>
                              <w:r>
                                <w:rPr>
                                  <w:rFonts w:ascii="Times New Roman" w:hAnsi="Times New Roman"/>
                                  <w:b/>
                                  <w:sz w:val="20"/>
                                  <w:szCs w:val="20"/>
                                  <w:lang w:val="en-GB"/>
                                </w:rPr>
                                <w:t xml:space="preserve">Macro </w:t>
                              </w:r>
                              <w:r w:rsidRPr="00A201A9">
                                <w:rPr>
                                  <w:rFonts w:ascii="Times New Roman" w:hAnsi="Times New Roman"/>
                                  <w:b/>
                                  <w:sz w:val="20"/>
                                  <w:szCs w:val="20"/>
                                  <w:lang w:val="en-GB"/>
                                </w:rPr>
                                <w:t>environment</w:t>
                              </w:r>
                              <w:r>
                                <w:rPr>
                                  <w:rFonts w:ascii="Times New Roman" w:hAnsi="Times New Roman"/>
                                  <w:sz w:val="20"/>
                                  <w:szCs w:val="20"/>
                                  <w:lang w:val="en-GB"/>
                                </w:rPr>
                                <w:t>:</w:t>
                              </w:r>
                            </w:p>
                            <w:p w14:paraId="2A82D441" w14:textId="77777777" w:rsidR="00A80A0C" w:rsidRPr="00F17362" w:rsidRDefault="00A80A0C" w:rsidP="00A80A0C">
                              <w:pPr>
                                <w:pStyle w:val="NormalWeb"/>
                                <w:spacing w:before="0" w:beforeAutospacing="0" w:after="0" w:afterAutospacing="0"/>
                                <w:rPr>
                                  <w:rFonts w:ascii="Times New Roman" w:hAnsi="Times New Roman"/>
                                  <w:sz w:val="20"/>
                                  <w:szCs w:val="20"/>
                                  <w:lang w:val="en-GB"/>
                                </w:rPr>
                              </w:pPr>
                              <w:r>
                                <w:rPr>
                                  <w:rFonts w:ascii="Times New Roman" w:hAnsi="Times New Roman"/>
                                  <w:sz w:val="20"/>
                                  <w:szCs w:val="20"/>
                                  <w:lang w:val="en-GB"/>
                                </w:rPr>
                                <w:t>Political</w:t>
                              </w:r>
                              <w:r>
                                <w:rPr>
                                  <w:rFonts w:ascii="Times New Roman" w:hAnsi="Times New Roman" w:hint="eastAsia"/>
                                  <w:sz w:val="20"/>
                                  <w:szCs w:val="20"/>
                                  <w:lang w:val="en-GB"/>
                                </w:rPr>
                                <w:t xml:space="preserve">, </w:t>
                              </w:r>
                              <w:r>
                                <w:rPr>
                                  <w:rFonts w:ascii="Times New Roman" w:hAnsi="Times New Roman"/>
                                  <w:sz w:val="20"/>
                                  <w:szCs w:val="20"/>
                                  <w:lang w:val="en-GB"/>
                                </w:rPr>
                                <w:t>Economic</w:t>
                              </w:r>
                              <w:r>
                                <w:rPr>
                                  <w:rFonts w:ascii="Times New Roman" w:hAnsi="Times New Roman" w:hint="eastAsia"/>
                                  <w:sz w:val="20"/>
                                  <w:szCs w:val="20"/>
                                  <w:lang w:val="en-GB"/>
                                </w:rPr>
                                <w:t xml:space="preserve">, </w:t>
                              </w:r>
                              <w:r w:rsidRPr="00E5335D">
                                <w:rPr>
                                  <w:rFonts w:ascii="Times New Roman" w:hAnsi="Times New Roman"/>
                                  <w:sz w:val="20"/>
                                  <w:szCs w:val="20"/>
                                  <w:lang w:val="en-GB"/>
                                </w:rPr>
                                <w:t>Technol</w:t>
                              </w:r>
                              <w:r>
                                <w:rPr>
                                  <w:rFonts w:ascii="Times New Roman" w:hAnsi="Times New Roman"/>
                                  <w:sz w:val="20"/>
                                  <w:szCs w:val="20"/>
                                  <w:lang w:val="en-GB"/>
                                </w:rPr>
                                <w:t>ogical</w:t>
                              </w:r>
                              <w:r>
                                <w:rPr>
                                  <w:rFonts w:ascii="Times New Roman" w:hAnsi="Times New Roman" w:hint="eastAsia"/>
                                  <w:sz w:val="20"/>
                                  <w:szCs w:val="20"/>
                                  <w:lang w:val="en-GB"/>
                                </w:rPr>
                                <w:t xml:space="preserve">, </w:t>
                              </w:r>
                              <w:r>
                                <w:rPr>
                                  <w:rFonts w:ascii="Times New Roman" w:hAnsi="Times New Roman"/>
                                  <w:sz w:val="20"/>
                                  <w:szCs w:val="20"/>
                                  <w:lang w:val="en-GB"/>
                                </w:rPr>
                                <w:t>Natural</w:t>
                              </w:r>
                              <w:r>
                                <w:rPr>
                                  <w:rFonts w:ascii="Times New Roman" w:hAnsi="Times New Roman" w:hint="eastAsia"/>
                                  <w:sz w:val="20"/>
                                  <w:szCs w:val="20"/>
                                  <w:lang w:val="en-GB"/>
                                </w:rPr>
                                <w:t xml:space="preserve">, </w:t>
                              </w:r>
                              <w:r>
                                <w:rPr>
                                  <w:rFonts w:ascii="Times New Roman" w:hAnsi="Times New Roman"/>
                                  <w:sz w:val="20"/>
                                  <w:szCs w:val="20"/>
                                  <w:lang w:val="en-GB"/>
                                </w:rPr>
                                <w:t>L</w:t>
                              </w:r>
                              <w:r w:rsidRPr="00E5335D">
                                <w:rPr>
                                  <w:rFonts w:ascii="Times New Roman" w:hAnsi="Times New Roman"/>
                                  <w:sz w:val="20"/>
                                  <w:szCs w:val="20"/>
                                  <w:lang w:val="en-GB"/>
                                </w:rPr>
                                <w:t>egal</w:t>
                              </w:r>
                            </w:p>
                          </w:txbxContent>
                        </wps:txbx>
                        <wps:bodyPr rot="0" vert="horz" wrap="square" lIns="91440" tIns="45720" rIns="91440" bIns="45720" anchor="ctr" anchorCtr="0" upright="1">
                          <a:noAutofit/>
                        </wps:bodyPr>
                      </wps:wsp>
                      <wps:wsp>
                        <wps:cNvPr id="148" name="文本框 4"/>
                        <wps:cNvSpPr txBox="1">
                          <a:spLocks noChangeArrowheads="1"/>
                        </wps:cNvSpPr>
                        <wps:spPr bwMode="auto">
                          <a:xfrm>
                            <a:off x="0" y="2002805"/>
                            <a:ext cx="2112361" cy="509707"/>
                          </a:xfrm>
                          <a:prstGeom prst="rect">
                            <a:avLst/>
                          </a:prstGeom>
                          <a:solidFill>
                            <a:schemeClr val="lt1">
                              <a:lumMod val="100000"/>
                              <a:lumOff val="0"/>
                            </a:schemeClr>
                          </a:solidFill>
                          <a:ln w="6350">
                            <a:solidFill>
                              <a:srgbClr val="000000"/>
                            </a:solidFill>
                            <a:miter lim="800000"/>
                            <a:headEnd/>
                            <a:tailEnd/>
                          </a:ln>
                        </wps:spPr>
                        <wps:txbx>
                          <w:txbxContent>
                            <w:p w14:paraId="6B3C7963" w14:textId="77777777" w:rsidR="00A80A0C" w:rsidRPr="00A201A9" w:rsidRDefault="00A80A0C" w:rsidP="00A80A0C">
                              <w:pPr>
                                <w:pStyle w:val="NormalWeb"/>
                                <w:spacing w:before="0" w:beforeAutospacing="0" w:after="0" w:afterAutospacing="0"/>
                                <w:jc w:val="center"/>
                                <w:rPr>
                                  <w:b/>
                                </w:rPr>
                              </w:pPr>
                              <w:r w:rsidRPr="00A201A9">
                                <w:rPr>
                                  <w:rFonts w:ascii="Times New Roman" w:hAnsi="Times New Roman"/>
                                  <w:b/>
                                  <w:sz w:val="20"/>
                                  <w:szCs w:val="20"/>
                                  <w:lang w:val="en-GB"/>
                                </w:rPr>
                                <w:t>Intra-organisational collaboration</w:t>
                              </w:r>
                            </w:p>
                            <w:p w14:paraId="0A09B119" w14:textId="77777777" w:rsidR="00A80A0C" w:rsidRPr="00A201A9" w:rsidRDefault="00A80A0C" w:rsidP="00A80A0C">
                              <w:pPr>
                                <w:pStyle w:val="NormalWeb"/>
                                <w:spacing w:before="0" w:beforeAutospacing="0" w:after="0" w:afterAutospacing="0"/>
                                <w:jc w:val="center"/>
                                <w:rPr>
                                  <w:rFonts w:ascii="Times New Roman" w:hAnsi="Times New Roman"/>
                                  <w:b/>
                                  <w:kern w:val="2"/>
                                  <w:sz w:val="20"/>
                                  <w:szCs w:val="20"/>
                                  <w:lang w:val="en-GB"/>
                                </w:rPr>
                              </w:pPr>
                              <w:r w:rsidRPr="00A201A9">
                                <w:rPr>
                                  <w:rFonts w:ascii="Times New Roman" w:hAnsi="Times New Roman"/>
                                  <w:b/>
                                  <w:kern w:val="2"/>
                                  <w:sz w:val="20"/>
                                  <w:szCs w:val="20"/>
                                  <w:lang w:val="en-GB"/>
                                </w:rPr>
                                <w:t>Inter-organisational collaboration</w:t>
                              </w:r>
                            </w:p>
                          </w:txbxContent>
                        </wps:txbx>
                        <wps:bodyPr rot="0" vert="horz" wrap="square" lIns="91440" tIns="45720" rIns="91440" bIns="45720" anchor="ctr" anchorCtr="0" upright="1">
                          <a:noAutofit/>
                        </wps:bodyPr>
                      </wps:wsp>
                      <wps:wsp>
                        <wps:cNvPr id="149" name="文本框 26"/>
                        <wps:cNvSpPr txBox="1">
                          <a:spLocks noChangeArrowheads="1"/>
                        </wps:cNvSpPr>
                        <wps:spPr bwMode="auto">
                          <a:xfrm>
                            <a:off x="4155653" y="2056557"/>
                            <a:ext cx="381000" cy="264160"/>
                          </a:xfrm>
                          <a:prstGeom prst="rect">
                            <a:avLst/>
                          </a:prstGeom>
                          <a:noFill/>
                          <a:ln>
                            <a:noFill/>
                          </a:ln>
                          <a:extLst>
                            <a:ext uri="{909E8E84-426E-40dd-AFC4-6F175D3DCCD1}">
                              <a14:hiddenFill xmlns:mo="http://schemas.microsoft.com/office/mac/office/2008/main" xmlns:mv="urn:schemas-microsoft-com:mac:vml" xmlns="" xmlns:o="urn:schemas-microsoft-com:office:office" xmlns:v="urn:schemas-microsoft-com:vml" xmlns:w10="urn:schemas-microsoft-com:office:word" xmlns:w="http://schemas.openxmlformats.org/wordprocessingml/2006/main" xmlns:a14="http://schemas.microsoft.com/office/drawing/2010/main" xmlns:lc="http://schemas.openxmlformats.org/drawingml/2006/lockedCanvas">
                                <a:solidFill>
                                  <a:srgbClr val="FFFFFF"/>
                                </a:solidFill>
                              </a14:hiddenFill>
                            </a:ext>
                            <a:ext uri="{91240B29-F687-4f45-9708-019B960494DF}">
                              <a14:hiddenLine xmlns:mo="http://schemas.microsoft.com/office/mac/office/2008/main" xmlns:mv="urn:schemas-microsoft-com:mac:vml" xmlns="" xmlns:o="urn:schemas-microsoft-com:office:office" xmlns:v="urn:schemas-microsoft-com:vml" xmlns:w10="urn:schemas-microsoft-com:office:word" xmlns:w="http://schemas.openxmlformats.org/wordprocessingml/2006/main" xmlns:a14="http://schemas.microsoft.com/office/drawing/2010/main" xmlns:lc="http://schemas.openxmlformats.org/drawingml/2006/lockedCanvas" w="6350">
                                <a:solidFill>
                                  <a:srgbClr val="000000"/>
                                </a:solidFill>
                                <a:miter lim="800000"/>
                                <a:headEnd/>
                                <a:tailEnd/>
                              </a14:hiddenLine>
                            </a:ext>
                          </a:extLst>
                        </wps:spPr>
                        <wps:txbx>
                          <w:txbxContent>
                            <w:p w14:paraId="76E3BE8D" w14:textId="77777777" w:rsidR="00A80A0C" w:rsidRDefault="00A80A0C" w:rsidP="00A80A0C">
                              <w:pPr>
                                <w:pStyle w:val="NormalWeb"/>
                                <w:spacing w:before="0" w:beforeAutospacing="0" w:after="0" w:afterAutospacing="0"/>
                                <w:jc w:val="both"/>
                              </w:pPr>
                              <w:r>
                                <w:rPr>
                                  <w:rFonts w:ascii="Times New Roman" w:hAnsi="Times New Roman"/>
                                  <w:b/>
                                  <w:bCs/>
                                  <w:kern w:val="2"/>
                                  <w:sz w:val="21"/>
                                  <w:szCs w:val="21"/>
                                  <w:lang w:val="en-GB"/>
                                </w:rPr>
                                <w:t>Fit</w:t>
                              </w:r>
                            </w:p>
                          </w:txbxContent>
                        </wps:txbx>
                        <wps:bodyPr rot="0" vert="horz" wrap="square" lIns="91440" tIns="45720" rIns="91440" bIns="45720" anchor="t" anchorCtr="0" upright="1">
                          <a:noAutofit/>
                        </wps:bodyPr>
                      </wps:wsp>
                      <wps:wsp>
                        <wps:cNvPr id="150" name="文本框 16"/>
                        <wps:cNvSpPr txBox="1">
                          <a:spLocks noChangeArrowheads="1"/>
                        </wps:cNvSpPr>
                        <wps:spPr bwMode="auto">
                          <a:xfrm>
                            <a:off x="5054116" y="1057097"/>
                            <a:ext cx="1536465" cy="2328795"/>
                          </a:xfrm>
                          <a:prstGeom prst="rect">
                            <a:avLst/>
                          </a:prstGeom>
                          <a:solidFill>
                            <a:schemeClr val="lt1">
                              <a:lumMod val="100000"/>
                              <a:lumOff val="0"/>
                            </a:schemeClr>
                          </a:solidFill>
                          <a:ln w="12700">
                            <a:solidFill>
                              <a:srgbClr val="000000"/>
                            </a:solidFill>
                            <a:prstDash val="dash"/>
                            <a:miter lim="800000"/>
                            <a:headEnd/>
                            <a:tailEnd/>
                          </a:ln>
                        </wps:spPr>
                        <wps:txbx>
                          <w:txbxContent>
                            <w:p w14:paraId="469905AC" w14:textId="77777777" w:rsidR="00A80A0C" w:rsidRPr="00E15F77" w:rsidRDefault="00A80A0C" w:rsidP="00A80A0C">
                              <w:pPr>
                                <w:jc w:val="left"/>
                                <w:rPr>
                                  <w:sz w:val="20"/>
                                </w:rPr>
                              </w:pPr>
                              <w:r>
                                <w:rPr>
                                  <w:rFonts w:hint="eastAsia"/>
                                  <w:sz w:val="20"/>
                                </w:rPr>
                                <w:t xml:space="preserve">                                    </w:t>
                              </w:r>
                            </w:p>
                          </w:txbxContent>
                        </wps:txbx>
                        <wps:bodyPr rot="0" vert="horz" wrap="square" lIns="91440" tIns="45720" rIns="91440" bIns="45720" anchor="ctr" anchorCtr="0" upright="1">
                          <a:noAutofit/>
                        </wps:bodyPr>
                      </wps:wsp>
                      <wps:wsp>
                        <wps:cNvPr id="66" name="直接箭头连接符 66"/>
                        <wps:cNvCnPr>
                          <a:stCxn id="137" idx="3"/>
                          <a:endCxn id="3" idx="1"/>
                        </wps:cNvCnPr>
                        <wps:spPr>
                          <a:xfrm>
                            <a:off x="3416082" y="1258855"/>
                            <a:ext cx="376517" cy="9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9" name="直接箭头连接符 69"/>
                        <wps:cNvCnPr>
                          <a:stCxn id="95" idx="3"/>
                        </wps:cNvCnPr>
                        <wps:spPr>
                          <a:xfrm>
                            <a:off x="3400336" y="258446"/>
                            <a:ext cx="376017" cy="10004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2" name="直接箭头连接符 72"/>
                        <wps:cNvCnPr>
                          <a:stCxn id="140" idx="3"/>
                        </wps:cNvCnPr>
                        <wps:spPr>
                          <a:xfrm flipV="1">
                            <a:off x="3441940" y="1258846"/>
                            <a:ext cx="334758" cy="100031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4" name="直接连接符 74"/>
                        <wps:cNvCnPr/>
                        <wps:spPr>
                          <a:xfrm>
                            <a:off x="2112263" y="1240453"/>
                            <a:ext cx="222327" cy="0"/>
                          </a:xfrm>
                          <a:prstGeom prst="line">
                            <a:avLst/>
                          </a:prstGeom>
                        </wps:spPr>
                        <wps:style>
                          <a:lnRef idx="1">
                            <a:schemeClr val="dk1"/>
                          </a:lnRef>
                          <a:fillRef idx="0">
                            <a:schemeClr val="dk1"/>
                          </a:fillRef>
                          <a:effectRef idx="0">
                            <a:schemeClr val="dk1"/>
                          </a:effectRef>
                          <a:fontRef idx="minor">
                            <a:schemeClr val="tx1"/>
                          </a:fontRef>
                        </wps:style>
                        <wps:bodyPr/>
                      </wps:wsp>
                      <wps:wsp>
                        <wps:cNvPr id="75" name="直接连接符 75"/>
                        <wps:cNvCnPr>
                          <a:endCxn id="140" idx="1"/>
                        </wps:cNvCnPr>
                        <wps:spPr>
                          <a:xfrm>
                            <a:off x="2122998" y="2259157"/>
                            <a:ext cx="211808" cy="1"/>
                          </a:xfrm>
                          <a:prstGeom prst="line">
                            <a:avLst/>
                          </a:prstGeom>
                        </wps:spPr>
                        <wps:style>
                          <a:lnRef idx="1">
                            <a:schemeClr val="dk1"/>
                          </a:lnRef>
                          <a:fillRef idx="0">
                            <a:schemeClr val="dk1"/>
                          </a:fillRef>
                          <a:effectRef idx="0">
                            <a:schemeClr val="dk1"/>
                          </a:effectRef>
                          <a:fontRef idx="minor">
                            <a:schemeClr val="tx1"/>
                          </a:fontRef>
                        </wps:style>
                        <wps:bodyPr/>
                      </wps:wsp>
                      <wps:wsp>
                        <wps:cNvPr id="77" name="直接连接符 77"/>
                        <wps:cNvCnPr>
                          <a:endCxn id="95" idx="1"/>
                        </wps:cNvCnPr>
                        <wps:spPr>
                          <a:xfrm>
                            <a:off x="2104312" y="258446"/>
                            <a:ext cx="230386" cy="0"/>
                          </a:xfrm>
                          <a:prstGeom prst="line">
                            <a:avLst/>
                          </a:prstGeom>
                        </wps:spPr>
                        <wps:style>
                          <a:lnRef idx="1">
                            <a:schemeClr val="dk1"/>
                          </a:lnRef>
                          <a:fillRef idx="0">
                            <a:schemeClr val="dk1"/>
                          </a:fillRef>
                          <a:effectRef idx="0">
                            <a:schemeClr val="dk1"/>
                          </a:effectRef>
                          <a:fontRef idx="minor">
                            <a:schemeClr val="tx1"/>
                          </a:fontRef>
                        </wps:style>
                        <wps:bodyPr/>
                      </wps:wsp>
                      <wps:wsp>
                        <wps:cNvPr id="79" name="直接箭头连接符 79"/>
                        <wps:cNvCnPr>
                          <a:endCxn id="5" idx="1"/>
                        </wps:cNvCnPr>
                        <wps:spPr>
                          <a:xfrm flipV="1">
                            <a:off x="3453030" y="3275558"/>
                            <a:ext cx="347519" cy="12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0" name="直接箭头连接符 80"/>
                        <wps:cNvCnPr>
                          <a:stCxn id="3" idx="2"/>
                        </wps:cNvCnPr>
                        <wps:spPr>
                          <a:xfrm flipH="1">
                            <a:off x="4325510" y="1701275"/>
                            <a:ext cx="124" cy="34225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1" name="直接箭头连接符 81"/>
                        <wps:cNvCnPr>
                          <a:stCxn id="5" idx="0"/>
                        </wps:cNvCnPr>
                        <wps:spPr>
                          <a:xfrm flipH="1" flipV="1">
                            <a:off x="4333461" y="2377489"/>
                            <a:ext cx="123" cy="41261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2" name="直接箭头连接符 82"/>
                        <wps:cNvCnPr/>
                        <wps:spPr>
                          <a:xfrm>
                            <a:off x="4536446" y="2202560"/>
                            <a:ext cx="50468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1" name="文本框 99"/>
                        <wps:cNvSpPr txBox="1"/>
                        <wps:spPr>
                          <a:xfrm>
                            <a:off x="3452880" y="2986859"/>
                            <a:ext cx="413385" cy="3105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3A9467D"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3" name="文本框 99"/>
                        <wps:cNvSpPr txBox="1"/>
                        <wps:spPr>
                          <a:xfrm>
                            <a:off x="3495694" y="426539"/>
                            <a:ext cx="413385" cy="3105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BFDD4FD"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1a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5" name="文本框 99"/>
                        <wps:cNvSpPr txBox="1"/>
                        <wps:spPr>
                          <a:xfrm>
                            <a:off x="3379703" y="959277"/>
                            <a:ext cx="412750" cy="3105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D794F2A"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1b</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 name="文本框 99"/>
                        <wps:cNvSpPr txBox="1"/>
                        <wps:spPr>
                          <a:xfrm>
                            <a:off x="3503574" y="1840459"/>
                            <a:ext cx="412115" cy="3105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3BABC44"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1c</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9" name="文本框 99"/>
                        <wps:cNvSpPr txBox="1"/>
                        <wps:spPr>
                          <a:xfrm>
                            <a:off x="4641656" y="1885586"/>
                            <a:ext cx="412750" cy="3105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B5DE04"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0" name="文本框 99"/>
                        <wps:cNvSpPr txBox="1"/>
                        <wps:spPr>
                          <a:xfrm>
                            <a:off x="6616237" y="1461332"/>
                            <a:ext cx="412115" cy="3105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C75F021"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4a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1" name="文本框 16"/>
                        <wps:cNvSpPr txBox="1">
                          <a:spLocks noChangeArrowheads="1"/>
                        </wps:cNvSpPr>
                        <wps:spPr bwMode="auto">
                          <a:xfrm>
                            <a:off x="0" y="2789453"/>
                            <a:ext cx="3452880" cy="1006169"/>
                          </a:xfrm>
                          <a:prstGeom prst="rect">
                            <a:avLst/>
                          </a:prstGeom>
                          <a:solidFill>
                            <a:schemeClr val="lt1">
                              <a:lumMod val="100000"/>
                              <a:lumOff val="0"/>
                            </a:schemeClr>
                          </a:solidFill>
                          <a:ln w="12700">
                            <a:solidFill>
                              <a:srgbClr val="000000"/>
                            </a:solidFill>
                            <a:miter lim="800000"/>
                            <a:headEnd/>
                            <a:tailEnd/>
                          </a:ln>
                        </wps:spPr>
                        <wps:txbx>
                          <w:txbxContent>
                            <w:p w14:paraId="52BC4116" w14:textId="77777777" w:rsidR="00A80A0C" w:rsidRDefault="00A80A0C" w:rsidP="00A80A0C">
                              <w:pPr>
                                <w:pStyle w:val="NormalWeb"/>
                                <w:spacing w:before="0" w:beforeAutospacing="0" w:after="0" w:afterAutospacing="0"/>
                                <w:jc w:val="center"/>
                              </w:pPr>
                              <w:r>
                                <w:rPr>
                                  <w:rFonts w:ascii="Times New Roman" w:hAnsi="Times New Roman"/>
                                  <w:b/>
                                  <w:bCs/>
                                  <w:kern w:val="2"/>
                                  <w:sz w:val="20"/>
                                  <w:szCs w:val="20"/>
                                  <w:lang w:val="en-GB"/>
                                </w:rPr>
                                <w:t>Mechanisms for improving information processing capacity</w:t>
                              </w:r>
                            </w:p>
                            <w:p w14:paraId="1B19D963" w14:textId="77777777" w:rsidR="00A80A0C" w:rsidRPr="007703A0" w:rsidRDefault="00A80A0C" w:rsidP="00A80A0C">
                              <w:pPr>
                                <w:pStyle w:val="ListParagraph"/>
                                <w:numPr>
                                  <w:ilvl w:val="0"/>
                                  <w:numId w:val="6"/>
                                </w:numPr>
                                <w:ind w:left="170" w:firstLineChars="0" w:hanging="170"/>
                                <w:jc w:val="left"/>
                                <w:rPr>
                                  <w:sz w:val="20"/>
                                  <w:szCs w:val="20"/>
                                </w:rPr>
                              </w:pPr>
                              <w:r>
                                <w:rPr>
                                  <w:sz w:val="20"/>
                                  <w:szCs w:val="20"/>
                                </w:rPr>
                                <w:t>Organization structure design mechanisms</w:t>
                              </w:r>
                            </w:p>
                            <w:p w14:paraId="49B57020" w14:textId="77777777" w:rsidR="00A80A0C" w:rsidRPr="007703A0" w:rsidRDefault="00A80A0C" w:rsidP="00A80A0C">
                              <w:pPr>
                                <w:pStyle w:val="ListParagraph"/>
                                <w:numPr>
                                  <w:ilvl w:val="0"/>
                                  <w:numId w:val="6"/>
                                </w:numPr>
                                <w:ind w:left="170" w:firstLineChars="0" w:hanging="170"/>
                                <w:jc w:val="left"/>
                                <w:rPr>
                                  <w:sz w:val="20"/>
                                  <w:szCs w:val="20"/>
                                </w:rPr>
                              </w:pPr>
                              <w:r>
                                <w:rPr>
                                  <w:sz w:val="20"/>
                                  <w:szCs w:val="20"/>
                                </w:rPr>
                                <w:t>Coordination and control mechanisms</w:t>
                              </w:r>
                            </w:p>
                            <w:p w14:paraId="509B4833" w14:textId="77777777" w:rsidR="00A80A0C" w:rsidRPr="007703A0" w:rsidRDefault="00A80A0C" w:rsidP="00A80A0C">
                              <w:pPr>
                                <w:pStyle w:val="ListParagraph"/>
                                <w:numPr>
                                  <w:ilvl w:val="0"/>
                                  <w:numId w:val="6"/>
                                </w:numPr>
                                <w:ind w:left="170" w:firstLineChars="0" w:hanging="170"/>
                                <w:jc w:val="left"/>
                                <w:rPr>
                                  <w:sz w:val="20"/>
                                  <w:szCs w:val="20"/>
                                </w:rPr>
                              </w:pPr>
                              <w:r>
                                <w:rPr>
                                  <w:sz w:val="20"/>
                                  <w:szCs w:val="20"/>
                                </w:rPr>
                                <w:t>Information technology mechanisms</w:t>
                              </w:r>
                            </w:p>
                          </w:txbxContent>
                        </wps:txbx>
                        <wps:bodyPr rot="0" vert="horz" wrap="square" lIns="91440" tIns="45720" rIns="91440" bIns="45720" anchor="ctr" anchorCtr="0" upright="1">
                          <a:noAutofit/>
                        </wps:bodyPr>
                      </wps:wsp>
                      <wps:wsp>
                        <wps:cNvPr id="2" name="文本框 2"/>
                        <wps:cNvSpPr txBox="1"/>
                        <wps:spPr>
                          <a:xfrm>
                            <a:off x="5191906" y="1530083"/>
                            <a:ext cx="1287482" cy="472372"/>
                          </a:xfrm>
                          <a:prstGeom prst="rect">
                            <a:avLst/>
                          </a:prstGeom>
                          <a:solidFill>
                            <a:schemeClr val="lt1"/>
                          </a:solidFill>
                          <a:ln w="6350">
                            <a:solidFill>
                              <a:prstClr val="black"/>
                            </a:solidFill>
                          </a:ln>
                        </wps:spPr>
                        <wps:txbx>
                          <w:txbxContent>
                            <w:p w14:paraId="25FD4BA9" w14:textId="77777777" w:rsidR="00A80A0C" w:rsidRPr="00E15F77" w:rsidRDefault="00A80A0C" w:rsidP="00A80A0C">
                              <w:pPr>
                                <w:jc w:val="left"/>
                                <w:rPr>
                                  <w:sz w:val="20"/>
                                  <w:szCs w:val="20"/>
                                </w:rPr>
                              </w:pPr>
                              <w:r w:rsidRPr="00E15F77">
                                <w:rPr>
                                  <w:sz w:val="20"/>
                                  <w:szCs w:val="20"/>
                                </w:rPr>
                                <w:t>Map financial network structure</w:t>
                              </w:r>
                            </w:p>
                            <w:p w14:paraId="014C6B0A" w14:textId="77777777" w:rsidR="00A80A0C" w:rsidRDefault="00A80A0C" w:rsidP="00A80A0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 name="文本框 2"/>
                        <wps:cNvSpPr txBox="1"/>
                        <wps:spPr>
                          <a:xfrm>
                            <a:off x="5192203" y="2137104"/>
                            <a:ext cx="1287558" cy="441950"/>
                          </a:xfrm>
                          <a:prstGeom prst="rect">
                            <a:avLst/>
                          </a:prstGeom>
                          <a:solidFill>
                            <a:schemeClr val="lt1"/>
                          </a:solidFill>
                          <a:ln w="6350">
                            <a:solidFill>
                              <a:prstClr val="black"/>
                            </a:solidFill>
                          </a:ln>
                        </wps:spPr>
                        <wps:txbx>
                          <w:txbxContent>
                            <w:p w14:paraId="4F1B35BC" w14:textId="77777777" w:rsidR="00A80A0C" w:rsidRPr="00E15F77" w:rsidRDefault="00A80A0C" w:rsidP="00A80A0C">
                              <w:pPr>
                                <w:pStyle w:val="NormalWeb"/>
                                <w:spacing w:before="0" w:beforeAutospacing="0" w:after="0" w:afterAutospacing="0"/>
                                <w:rPr>
                                  <w:rFonts w:ascii="Times New Roman" w:eastAsiaTheme="minorEastAsia" w:hAnsi="Times New Roman" w:cs="Times New Roman"/>
                                  <w:kern w:val="2"/>
                                  <w:sz w:val="20"/>
                                  <w:szCs w:val="20"/>
                                  <w:lang w:val="en-GB"/>
                                </w:rPr>
                              </w:pPr>
                              <w:r w:rsidRPr="00E15F77">
                                <w:rPr>
                                  <w:rFonts w:ascii="Times New Roman" w:eastAsiaTheme="minorEastAsia" w:hAnsi="Times New Roman" w:cs="Times New Roman"/>
                                  <w:kern w:val="2"/>
                                  <w:sz w:val="20"/>
                                  <w:szCs w:val="20"/>
                                  <w:lang w:val="en-GB"/>
                                </w:rPr>
                                <w:t>Design financial business process structure</w:t>
                              </w:r>
                            </w:p>
                            <w:p w14:paraId="61E94124" w14:textId="77777777" w:rsidR="00A80A0C" w:rsidRPr="00E15F77" w:rsidRDefault="00A80A0C" w:rsidP="00A80A0C">
                              <w:pPr>
                                <w:pStyle w:val="NormalWeb"/>
                                <w:spacing w:before="0" w:beforeAutospacing="0" w:after="0" w:afterAutospacing="0"/>
                                <w:jc w:val="both"/>
                                <w:rPr>
                                  <w:rFonts w:ascii="Times New Roman" w:eastAsiaTheme="minorEastAsia" w:hAnsi="Times New Roman" w:cs="Times New Roman"/>
                                  <w:kern w:val="2"/>
                                  <w:sz w:val="20"/>
                                  <w:szCs w:val="20"/>
                                  <w:lang w:val="en-GB"/>
                                </w:rPr>
                              </w:pPr>
                              <w:r w:rsidRPr="00E15F77">
                                <w:rPr>
                                  <w:rFonts w:ascii="Times New Roman" w:eastAsiaTheme="minorEastAsia" w:hAnsi="Times New Roman" w:cs="Times New Roman"/>
                                  <w:kern w:val="2"/>
                                  <w:sz w:val="20"/>
                                  <w:szCs w:val="20"/>
                                  <w:lang w:val="en-GB"/>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8" name="文本框 2"/>
                        <wps:cNvSpPr txBox="1"/>
                        <wps:spPr>
                          <a:xfrm>
                            <a:off x="5192204" y="2696160"/>
                            <a:ext cx="1298105" cy="477512"/>
                          </a:xfrm>
                          <a:prstGeom prst="rect">
                            <a:avLst/>
                          </a:prstGeom>
                          <a:solidFill>
                            <a:schemeClr val="lt1"/>
                          </a:solidFill>
                          <a:ln w="6350">
                            <a:solidFill>
                              <a:prstClr val="black"/>
                            </a:solidFill>
                          </a:ln>
                        </wps:spPr>
                        <wps:txbx>
                          <w:txbxContent>
                            <w:p w14:paraId="3B9E271A" w14:textId="77777777" w:rsidR="00A80A0C" w:rsidRPr="00E15F77" w:rsidRDefault="00A80A0C" w:rsidP="00A80A0C">
                              <w:pPr>
                                <w:pStyle w:val="NormalWeb"/>
                                <w:spacing w:before="0" w:beforeAutospacing="0" w:after="0" w:afterAutospacing="0"/>
                                <w:rPr>
                                  <w:rFonts w:ascii="Times New Roman" w:eastAsiaTheme="minorEastAsia" w:hAnsi="Times New Roman" w:cs="Times New Roman"/>
                                  <w:kern w:val="2"/>
                                  <w:sz w:val="20"/>
                                  <w:szCs w:val="20"/>
                                  <w:lang w:val="en-GB"/>
                                </w:rPr>
                              </w:pPr>
                              <w:r w:rsidRPr="00E15F77">
                                <w:rPr>
                                  <w:rFonts w:ascii="Times New Roman" w:eastAsiaTheme="minorEastAsia" w:hAnsi="Times New Roman" w:cs="Times New Roman"/>
                                  <w:kern w:val="2"/>
                                  <w:sz w:val="20"/>
                                  <w:szCs w:val="20"/>
                                  <w:lang w:val="en-GB"/>
                                </w:rPr>
                                <w:t>Share financial information systems structure</w:t>
                              </w:r>
                            </w:p>
                            <w:p w14:paraId="3D4EE710" w14:textId="77777777" w:rsidR="00A80A0C" w:rsidRPr="00E15F77" w:rsidRDefault="00A80A0C" w:rsidP="00A80A0C">
                              <w:pPr>
                                <w:pStyle w:val="NormalWeb"/>
                                <w:spacing w:before="0" w:beforeAutospacing="0" w:after="0" w:afterAutospacing="0"/>
                                <w:jc w:val="both"/>
                                <w:rPr>
                                  <w:rFonts w:ascii="Times New Roman" w:eastAsiaTheme="minorEastAsia" w:hAnsi="Times New Roman" w:cs="Times New Roman"/>
                                  <w:kern w:val="2"/>
                                  <w:sz w:val="20"/>
                                  <w:szCs w:val="20"/>
                                  <w:lang w:val="en-GB"/>
                                </w:rPr>
                              </w:pPr>
                              <w:r w:rsidRPr="00E15F77">
                                <w:rPr>
                                  <w:rFonts w:ascii="Times New Roman" w:eastAsiaTheme="minorEastAsia" w:hAnsi="Times New Roman" w:cs="Times New Roman"/>
                                  <w:kern w:val="2"/>
                                  <w:sz w:val="20"/>
                                  <w:szCs w:val="20"/>
                                  <w:lang w:val="en-GB"/>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9" name="文本框 2"/>
                        <wps:cNvSpPr txBox="1"/>
                        <wps:spPr>
                          <a:xfrm>
                            <a:off x="5157100" y="1134845"/>
                            <a:ext cx="1287145" cy="309330"/>
                          </a:xfrm>
                          <a:prstGeom prst="rect">
                            <a:avLst/>
                          </a:prstGeom>
                          <a:solidFill>
                            <a:schemeClr val="lt1"/>
                          </a:solidFill>
                          <a:ln w="6350">
                            <a:noFill/>
                          </a:ln>
                        </wps:spPr>
                        <wps:txbx>
                          <w:txbxContent>
                            <w:p w14:paraId="6F659BE4" w14:textId="77777777" w:rsidR="00A80A0C" w:rsidRPr="00E15F77" w:rsidRDefault="00A80A0C" w:rsidP="00A80A0C">
                              <w:pPr>
                                <w:pStyle w:val="NormalWeb"/>
                                <w:spacing w:before="0" w:beforeAutospacing="0" w:after="0" w:afterAutospacing="0"/>
                                <w:jc w:val="center"/>
                                <w:rPr>
                                  <w:rFonts w:ascii="Times New Roman" w:hAnsi="Times New Roman"/>
                                  <w:b/>
                                  <w:bCs/>
                                  <w:sz w:val="20"/>
                                  <w:szCs w:val="20"/>
                                  <w:lang w:val="en-GB"/>
                                </w:rPr>
                              </w:pPr>
                              <w:r>
                                <w:rPr>
                                  <w:rFonts w:ascii="Times New Roman" w:hAnsi="Times New Roman"/>
                                  <w:b/>
                                  <w:bCs/>
                                  <w:sz w:val="20"/>
                                  <w:szCs w:val="20"/>
                                  <w:lang w:val="en-GB"/>
                                </w:rPr>
                                <w:t>SCF capabilities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 name="文本框 10"/>
                        <wps:cNvSpPr txBox="1"/>
                        <wps:spPr>
                          <a:xfrm>
                            <a:off x="7108178" y="1593928"/>
                            <a:ext cx="1441029" cy="336431"/>
                          </a:xfrm>
                          <a:prstGeom prst="rect">
                            <a:avLst/>
                          </a:prstGeom>
                          <a:solidFill>
                            <a:schemeClr val="lt1"/>
                          </a:solidFill>
                          <a:ln w="6350">
                            <a:solidFill>
                              <a:prstClr val="black"/>
                            </a:solidFill>
                          </a:ln>
                        </wps:spPr>
                        <wps:txbx>
                          <w:txbxContent>
                            <w:p w14:paraId="16A0C682" w14:textId="77777777" w:rsidR="00A80A0C" w:rsidRDefault="00A80A0C" w:rsidP="00A80A0C">
                              <w:r w:rsidRPr="00BE6017">
                                <w:rPr>
                                  <w:sz w:val="20"/>
                                  <w:szCs w:val="20"/>
                                </w:rPr>
                                <w:t>Operational integration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1" name="文本框 10"/>
                        <wps:cNvSpPr txBox="1"/>
                        <wps:spPr>
                          <a:xfrm>
                            <a:off x="7108178" y="2192751"/>
                            <a:ext cx="1440815" cy="335915"/>
                          </a:xfrm>
                          <a:prstGeom prst="rect">
                            <a:avLst/>
                          </a:prstGeom>
                          <a:solidFill>
                            <a:schemeClr val="lt1"/>
                          </a:solidFill>
                          <a:ln w="6350">
                            <a:solidFill>
                              <a:prstClr val="black"/>
                            </a:solidFill>
                          </a:ln>
                        </wps:spPr>
                        <wps:txbx>
                          <w:txbxContent>
                            <w:p w14:paraId="6C9A5C9F" w14:textId="77777777" w:rsidR="00A80A0C" w:rsidRDefault="00A80A0C" w:rsidP="00A80A0C">
                              <w:pPr>
                                <w:pStyle w:val="NormalWeb"/>
                                <w:spacing w:before="0" w:beforeAutospacing="0" w:after="0" w:afterAutospacing="0"/>
                                <w:jc w:val="both"/>
                              </w:pPr>
                              <w:r>
                                <w:rPr>
                                  <w:rFonts w:ascii="Times New Roman" w:hAnsi="Times New Roman"/>
                                  <w:kern w:val="2"/>
                                  <w:sz w:val="20"/>
                                  <w:szCs w:val="20"/>
                                  <w:lang w:val="en-GB"/>
                                </w:rPr>
                                <w:t>Process integration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 name="文本框 10"/>
                        <wps:cNvSpPr txBox="1"/>
                        <wps:spPr>
                          <a:xfrm>
                            <a:off x="7109024" y="2757839"/>
                            <a:ext cx="1440180" cy="335280"/>
                          </a:xfrm>
                          <a:prstGeom prst="rect">
                            <a:avLst/>
                          </a:prstGeom>
                          <a:solidFill>
                            <a:schemeClr val="lt1"/>
                          </a:solidFill>
                          <a:ln w="6350">
                            <a:solidFill>
                              <a:prstClr val="black"/>
                            </a:solidFill>
                          </a:ln>
                        </wps:spPr>
                        <wps:txbx>
                          <w:txbxContent>
                            <w:p w14:paraId="4BC0F28C" w14:textId="77777777" w:rsidR="00A80A0C" w:rsidRDefault="00A80A0C" w:rsidP="00A80A0C">
                              <w:pPr>
                                <w:pStyle w:val="NormalWeb"/>
                                <w:spacing w:before="0" w:beforeAutospacing="0" w:after="0" w:afterAutospacing="0"/>
                                <w:jc w:val="both"/>
                              </w:pPr>
                              <w:r>
                                <w:rPr>
                                  <w:rFonts w:ascii="Times New Roman" w:hAnsi="Times New Roman"/>
                                  <w:sz w:val="20"/>
                                  <w:szCs w:val="20"/>
                                  <w:lang w:val="en-GB"/>
                                </w:rPr>
                                <w:t>Information integration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3" name="文本框 10"/>
                        <wps:cNvSpPr txBox="1"/>
                        <wps:spPr>
                          <a:xfrm>
                            <a:off x="7037922" y="1133892"/>
                            <a:ext cx="1531149" cy="335915"/>
                          </a:xfrm>
                          <a:prstGeom prst="rect">
                            <a:avLst/>
                          </a:prstGeom>
                          <a:solidFill>
                            <a:schemeClr val="lt1"/>
                          </a:solidFill>
                          <a:ln w="6350">
                            <a:noFill/>
                          </a:ln>
                        </wps:spPr>
                        <wps:txbx>
                          <w:txbxContent>
                            <w:p w14:paraId="76C12E51" w14:textId="77777777" w:rsidR="00A80A0C" w:rsidRPr="00E15F77" w:rsidRDefault="00A80A0C" w:rsidP="00A80A0C">
                              <w:pPr>
                                <w:pStyle w:val="NormalWeb"/>
                                <w:spacing w:before="0" w:beforeAutospacing="0" w:after="0" w:afterAutospacing="0"/>
                                <w:jc w:val="both"/>
                                <w:rPr>
                                  <w:rFonts w:ascii="Times New Roman" w:hAnsi="Times New Roman"/>
                                  <w:b/>
                                  <w:bCs/>
                                  <w:sz w:val="20"/>
                                  <w:szCs w:val="20"/>
                                  <w:lang w:val="en-GB"/>
                                </w:rPr>
                              </w:pPr>
                              <w:r w:rsidRPr="00E15F77">
                                <w:rPr>
                                  <w:rFonts w:ascii="Times New Roman" w:hAnsi="Times New Roman"/>
                                  <w:b/>
                                  <w:bCs/>
                                  <w:sz w:val="20"/>
                                  <w:szCs w:val="20"/>
                                  <w:lang w:val="en-GB"/>
                                </w:rPr>
                                <w:t>Financial SC integration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1" name="直接箭头连接符 71"/>
                        <wps:cNvCnPr/>
                        <wps:spPr>
                          <a:xfrm>
                            <a:off x="6489471" y="1767454"/>
                            <a:ext cx="61869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3" name="直接箭头连接符 83"/>
                        <wps:cNvCnPr/>
                        <wps:spPr>
                          <a:xfrm>
                            <a:off x="6490319" y="2343988"/>
                            <a:ext cx="61849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4" name="直接箭头连接符 84"/>
                        <wps:cNvCnPr/>
                        <wps:spPr>
                          <a:xfrm>
                            <a:off x="6489490" y="2927709"/>
                            <a:ext cx="61849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6" name="文本框 99"/>
                        <wps:cNvSpPr txBox="1"/>
                        <wps:spPr>
                          <a:xfrm>
                            <a:off x="6606679" y="2067422"/>
                            <a:ext cx="411480" cy="3098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D16077E"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4b</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7" name="文本框 99"/>
                        <wps:cNvSpPr txBox="1"/>
                        <wps:spPr>
                          <a:xfrm>
                            <a:off x="6606944" y="2655749"/>
                            <a:ext cx="410845" cy="3092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01CED1A"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4c</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25319796" id="画布 25" o:spid="_x0000_s1068" editas="canvas" style="width:683.95pt;height:298.85pt;mso-position-horizontal-relative:char;mso-position-vertical-relative:line" coordsize="86861,3794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">
                <v:shape id="_x0000_s1069" type="#_x0000_t75" style="position:absolute;width:86861;height:37947;visibility:visible;mso-wrap-style:square">
                  <v:fill o:detectmouseclick="t"/>
                  <v:path o:connecttype="none"/>
                </v:shape>
                <v:shape id="文本框 16" o:spid="_x0000_s1070" type="#_x0000_t202" style="position:absolute;left:69313;top:10531;width:17555;height:2328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" fillcolor="white [3201]" strokeweight="1pt">
                  <v:stroke dashstyle="dash"/>
                  <v:textbox>
                    <w:txbxContent>
                      <w:p w14:paraId="78762054" w14:textId="77777777" w:rsidR="00A80A0C" w:rsidRDefault="00A80A0C" w:rsidP="00A80A0C">
                        <w:pPr>
                          <w:pStyle w:val="NormalWeb"/>
                          <w:spacing w:before="0" w:beforeAutospacing="0" w:after="0" w:afterAutospacing="0"/>
                        </w:pPr>
                        <w:r>
                          <w:rPr>
                            <w:rFonts w:ascii="Times New Roman" w:hAnsi="Times New Roman"/>
                            <w:kern w:val="2"/>
                            <w:sz w:val="20"/>
                            <w:szCs w:val="20"/>
                            <w:lang w:val="en-GB"/>
                          </w:rPr>
                          <w:t xml:space="preserve">                                    </w:t>
                        </w:r>
                      </w:p>
                    </w:txbxContent>
                  </v:textbox>
                </v:shape>
                <v:shape id="文本框 4" o:spid="_x0000_s1071" type="#_x0000_t202" style="position:absolute;left:37927;top:8183;width:10661;height:88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" fillcolor="white [3201]" strokeweight="1pt">
                  <v:textbox>
                    <w:txbxContent>
                      <w:p w14:paraId="6AA99C11" w14:textId="77777777" w:rsidR="00A80A0C" w:rsidRDefault="00A80A0C" w:rsidP="00A80A0C">
                        <w:pPr>
                          <w:jc w:val="center"/>
                          <w:rPr>
                            <w:b/>
                            <w:sz w:val="20"/>
                            <w:szCs w:val="20"/>
                          </w:rPr>
                        </w:pPr>
                        <w:r w:rsidRPr="00523D38">
                          <w:rPr>
                            <w:b/>
                            <w:sz w:val="20"/>
                            <w:szCs w:val="20"/>
                          </w:rPr>
                          <w:t xml:space="preserve">SCF </w:t>
                        </w:r>
                        <w:r>
                          <w:rPr>
                            <w:b/>
                            <w:sz w:val="20"/>
                            <w:szCs w:val="20"/>
                          </w:rPr>
                          <w:t>providers’ i</w:t>
                        </w:r>
                        <w:r w:rsidRPr="00523D38">
                          <w:rPr>
                            <w:b/>
                            <w:sz w:val="20"/>
                            <w:szCs w:val="20"/>
                          </w:rPr>
                          <w:t>nformation</w:t>
                        </w:r>
                      </w:p>
                      <w:p w14:paraId="07D53383" w14:textId="77777777" w:rsidR="00A80A0C" w:rsidRPr="00523D38" w:rsidRDefault="00A80A0C" w:rsidP="00A80A0C">
                        <w:pPr>
                          <w:jc w:val="center"/>
                          <w:rPr>
                            <w:b/>
                            <w:sz w:val="20"/>
                            <w:szCs w:val="20"/>
                          </w:rPr>
                        </w:pPr>
                        <w:r w:rsidRPr="00523D38">
                          <w:rPr>
                            <w:b/>
                            <w:sz w:val="20"/>
                            <w:szCs w:val="20"/>
                          </w:rPr>
                          <w:t>processing requirements</w:t>
                        </w:r>
                      </w:p>
                    </w:txbxContent>
                  </v:textbox>
                </v:shape>
                <v:shape id="文本框 4" o:spid="_x0000_s1072" type="#_x0000_t202" style="position:absolute;left:38007;top:27901;width:10661;height:97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" fillcolor="white [3201]" strokeweight="1pt">
                  <v:textbox>
                    <w:txbxContent>
                      <w:p w14:paraId="5C5B8B24" w14:textId="77777777" w:rsidR="00A80A0C" w:rsidRPr="00523D38" w:rsidRDefault="00A80A0C" w:rsidP="00A80A0C">
                        <w:pPr>
                          <w:jc w:val="center"/>
                          <w:rPr>
                            <w:b/>
                            <w:sz w:val="20"/>
                            <w:szCs w:val="20"/>
                          </w:rPr>
                        </w:pPr>
                        <w:r w:rsidRPr="00523D38">
                          <w:rPr>
                            <w:b/>
                            <w:sz w:val="20"/>
                            <w:szCs w:val="20"/>
                          </w:rPr>
                          <w:t xml:space="preserve">SCF </w:t>
                        </w:r>
                        <w:r>
                          <w:rPr>
                            <w:b/>
                            <w:sz w:val="20"/>
                            <w:szCs w:val="20"/>
                          </w:rPr>
                          <w:t>providers’ i</w:t>
                        </w:r>
                        <w:r w:rsidRPr="00523D38">
                          <w:rPr>
                            <w:b/>
                            <w:sz w:val="20"/>
                            <w:szCs w:val="20"/>
                          </w:rPr>
                          <w:t>nformation</w:t>
                        </w:r>
                      </w:p>
                      <w:p w14:paraId="3EF5C051" w14:textId="77777777" w:rsidR="00A80A0C" w:rsidRPr="00523D38" w:rsidRDefault="00A80A0C" w:rsidP="00A80A0C">
                        <w:pPr>
                          <w:jc w:val="center"/>
                          <w:rPr>
                            <w:b/>
                            <w:sz w:val="20"/>
                            <w:szCs w:val="20"/>
                          </w:rPr>
                        </w:pPr>
                        <w:r w:rsidRPr="00523D38">
                          <w:rPr>
                            <w:b/>
                            <w:sz w:val="20"/>
                            <w:szCs w:val="20"/>
                          </w:rPr>
                          <w:t>processing capa</w:t>
                        </w:r>
                        <w:r>
                          <w:rPr>
                            <w:b/>
                            <w:sz w:val="20"/>
                            <w:szCs w:val="20"/>
                          </w:rPr>
                          <w:t>city</w:t>
                        </w:r>
                      </w:p>
                    </w:txbxContent>
                  </v:textbox>
                </v:shape>
                <v:shape id="文本框 4" o:spid="_x0000_s1073" type="#_x0000_t202" style="position:absolute;left:23348;width:10655;height:51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" fillcolor="white [3201]" strokeweight="1pt">
                  <v:textbox>
                    <w:txbxContent>
                      <w:p w14:paraId="441F65E3" w14:textId="77777777" w:rsidR="00A80A0C" w:rsidRPr="008E0F1D" w:rsidRDefault="00A80A0C" w:rsidP="00A80A0C">
                        <w:pPr>
                          <w:pStyle w:val="NormalWeb"/>
                          <w:spacing w:before="0" w:beforeAutospacing="0" w:after="0" w:afterAutospacing="0"/>
                          <w:jc w:val="center"/>
                          <w:rPr>
                            <w:rFonts w:ascii="Times New Roman" w:eastAsiaTheme="minorEastAsia" w:hAnsi="Times New Roman" w:cs="Times New Roman"/>
                            <w:b/>
                            <w:kern w:val="2"/>
                            <w:sz w:val="20"/>
                            <w:szCs w:val="20"/>
                            <w:lang w:val="en-GB"/>
                          </w:rPr>
                        </w:pPr>
                        <w:r w:rsidRPr="008E0F1D">
                          <w:rPr>
                            <w:rFonts w:ascii="Times New Roman" w:eastAsiaTheme="minorEastAsia" w:hAnsi="Times New Roman" w:cs="Times New Roman"/>
                            <w:b/>
                            <w:kern w:val="2"/>
                            <w:sz w:val="20"/>
                            <w:szCs w:val="20"/>
                            <w:lang w:val="en-GB"/>
                          </w:rPr>
                          <w:t xml:space="preserve">SCF </w:t>
                        </w:r>
                        <w:r w:rsidRPr="008E0F1D">
                          <w:rPr>
                            <w:rFonts w:ascii="Times New Roman" w:eastAsiaTheme="minorEastAsia" w:hAnsi="Times New Roman" w:cs="Times New Roman" w:hint="eastAsia"/>
                            <w:b/>
                            <w:kern w:val="2"/>
                            <w:sz w:val="20"/>
                            <w:szCs w:val="20"/>
                            <w:lang w:val="en-GB"/>
                          </w:rPr>
                          <w:t>t</w:t>
                        </w:r>
                        <w:r w:rsidRPr="008E0F1D">
                          <w:rPr>
                            <w:rFonts w:ascii="Times New Roman" w:eastAsiaTheme="minorEastAsia" w:hAnsi="Times New Roman" w:cs="Times New Roman"/>
                            <w:b/>
                            <w:kern w:val="2"/>
                            <w:sz w:val="20"/>
                            <w:szCs w:val="20"/>
                            <w:lang w:val="en-GB"/>
                          </w:rPr>
                          <w:t>ask characteristics</w:t>
                        </w:r>
                      </w:p>
                    </w:txbxContent>
                  </v:textbox>
                </v:shape>
                <v:shape id="文本框 4" o:spid="_x0000_s1074" type="#_x0000_t202" style="position:absolute;left:23507;top:10069;width:10655;height:50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" fillcolor="white [3201]" strokeweight="1pt">
                  <v:textbox>
                    <w:txbxContent>
                      <w:p w14:paraId="755BB43B" w14:textId="77777777" w:rsidR="00A80A0C" w:rsidRPr="008E0F1D" w:rsidRDefault="00A80A0C" w:rsidP="00A80A0C">
                        <w:pPr>
                          <w:pStyle w:val="NormalWeb"/>
                          <w:spacing w:before="0" w:beforeAutospacing="0" w:after="0" w:afterAutospacing="0"/>
                          <w:jc w:val="center"/>
                          <w:rPr>
                            <w:rFonts w:ascii="Times New Roman" w:hAnsi="Times New Roman"/>
                            <w:b/>
                            <w:sz w:val="20"/>
                            <w:szCs w:val="20"/>
                            <w:lang w:val="en-GB"/>
                          </w:rPr>
                        </w:pPr>
                        <w:r w:rsidRPr="008E0F1D">
                          <w:rPr>
                            <w:rFonts w:ascii="Times New Roman" w:hAnsi="Times New Roman"/>
                            <w:b/>
                            <w:sz w:val="20"/>
                            <w:szCs w:val="20"/>
                            <w:lang w:val="en-GB"/>
                          </w:rPr>
                          <w:t>SCF task environment</w:t>
                        </w:r>
                      </w:p>
                    </w:txbxContent>
                  </v:textbox>
                </v:shape>
                <v:shape id="文本框 4" o:spid="_x0000_s1075" type="#_x0000_t202" style="position:absolute;left:23348;top:20028;width:11071;height:512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" fillcolor="white [3201]" strokeweight="1pt">
                  <v:textbox>
                    <w:txbxContent>
                      <w:p w14:paraId="511CD96A" w14:textId="77777777" w:rsidR="00A80A0C" w:rsidRPr="008E0F1D" w:rsidRDefault="00A80A0C" w:rsidP="00A80A0C">
                        <w:pPr>
                          <w:pStyle w:val="NormalWeb"/>
                          <w:spacing w:before="0" w:beforeAutospacing="0" w:after="0" w:afterAutospacing="0"/>
                          <w:jc w:val="center"/>
                          <w:rPr>
                            <w:rFonts w:ascii="Times New Roman" w:hAnsi="Times New Roman"/>
                            <w:b/>
                            <w:sz w:val="20"/>
                            <w:szCs w:val="20"/>
                            <w:lang w:val="en-GB"/>
                          </w:rPr>
                        </w:pPr>
                        <w:r w:rsidRPr="008E0F1D">
                          <w:rPr>
                            <w:rFonts w:ascii="Times New Roman" w:hAnsi="Times New Roman"/>
                            <w:b/>
                            <w:sz w:val="20"/>
                            <w:szCs w:val="20"/>
                            <w:lang w:val="en-GB"/>
                          </w:rPr>
                          <w:t>SCF task interdependenc</w:t>
                        </w:r>
                        <w:r>
                          <w:rPr>
                            <w:rFonts w:ascii="Times New Roman" w:hAnsi="Times New Roman"/>
                            <w:b/>
                            <w:sz w:val="20"/>
                            <w:szCs w:val="20"/>
                            <w:lang w:val="en-GB"/>
                          </w:rPr>
                          <w:t>e</w:t>
                        </w:r>
                      </w:p>
                    </w:txbxContent>
                  </v:textbox>
                </v:shape>
                <v:shape id="文本框 4" o:spid="_x0000_s1076" type="#_x0000_t202" style="position:absolute;width:20964;height:508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" fillcolor="white [3201]" strokeweight=".5pt">
                  <v:textbox>
                    <w:txbxContent>
                      <w:p w14:paraId="1CD1E38C" w14:textId="77777777" w:rsidR="00A80A0C" w:rsidRDefault="00A80A0C" w:rsidP="00A80A0C">
                        <w:pPr>
                          <w:pStyle w:val="NormalWeb"/>
                          <w:spacing w:before="0" w:beforeAutospacing="0" w:after="0" w:afterAutospacing="0"/>
                          <w:jc w:val="both"/>
                          <w:rPr>
                            <w:rFonts w:ascii="Times New Roman" w:hAnsi="Times New Roman"/>
                            <w:sz w:val="20"/>
                            <w:szCs w:val="20"/>
                            <w:lang w:val="en-GB"/>
                          </w:rPr>
                        </w:pPr>
                        <w:r w:rsidRPr="00A201A9">
                          <w:rPr>
                            <w:rFonts w:ascii="Times New Roman" w:hAnsi="Times New Roman"/>
                            <w:b/>
                            <w:sz w:val="20"/>
                            <w:szCs w:val="20"/>
                            <w:lang w:val="en-GB"/>
                          </w:rPr>
                          <w:t>Collateral management</w:t>
                        </w:r>
                        <w:r>
                          <w:rPr>
                            <w:rFonts w:ascii="Times New Roman" w:hAnsi="Times New Roman"/>
                            <w:sz w:val="20"/>
                            <w:szCs w:val="20"/>
                            <w:lang w:val="en-GB"/>
                          </w:rPr>
                          <w:t>:</w:t>
                        </w:r>
                      </w:p>
                      <w:p w14:paraId="3B1337FE" w14:textId="77777777" w:rsidR="00A80A0C" w:rsidRPr="008050AE" w:rsidRDefault="00A80A0C" w:rsidP="00A80A0C">
                        <w:pPr>
                          <w:pStyle w:val="NormalWeb"/>
                          <w:spacing w:before="0" w:beforeAutospacing="0" w:after="0" w:afterAutospacing="0"/>
                          <w:rPr>
                            <w:rFonts w:ascii="Times New Roman" w:hAnsi="Times New Roman"/>
                            <w:sz w:val="20"/>
                            <w:szCs w:val="20"/>
                            <w:lang w:val="en-GB"/>
                          </w:rPr>
                        </w:pPr>
                        <w:r>
                          <w:rPr>
                            <w:rFonts w:ascii="Times New Roman" w:hAnsi="Times New Roman"/>
                            <w:sz w:val="20"/>
                            <w:szCs w:val="20"/>
                            <w:lang w:val="en-GB"/>
                          </w:rPr>
                          <w:t>Duration</w:t>
                        </w:r>
                        <w:r>
                          <w:rPr>
                            <w:rFonts w:ascii="Times New Roman" w:hAnsi="Times New Roman" w:hint="eastAsia"/>
                            <w:sz w:val="20"/>
                            <w:szCs w:val="20"/>
                            <w:lang w:val="en-GB"/>
                          </w:rPr>
                          <w:t xml:space="preserve">, </w:t>
                        </w:r>
                        <w:r w:rsidRPr="00FD5F2A">
                          <w:rPr>
                            <w:rFonts w:ascii="Times New Roman" w:hAnsi="Times New Roman" w:hint="eastAsia"/>
                            <w:sz w:val="20"/>
                            <w:szCs w:val="20"/>
                            <w:lang w:val="en-GB"/>
                          </w:rPr>
                          <w:t>V</w:t>
                        </w:r>
                        <w:r w:rsidRPr="00FD5F2A">
                          <w:rPr>
                            <w:rFonts w:ascii="Times New Roman" w:hAnsi="Times New Roman"/>
                            <w:sz w:val="20"/>
                            <w:szCs w:val="20"/>
                            <w:lang w:val="en-GB"/>
                          </w:rPr>
                          <w:t>olume</w:t>
                        </w:r>
                        <w:r>
                          <w:rPr>
                            <w:rFonts w:ascii="Times New Roman" w:hAnsi="Times New Roman" w:hint="eastAsia"/>
                            <w:sz w:val="20"/>
                            <w:szCs w:val="20"/>
                            <w:lang w:val="en-GB"/>
                          </w:rPr>
                          <w:t xml:space="preserve">, </w:t>
                        </w:r>
                        <w:r w:rsidRPr="008050AE">
                          <w:rPr>
                            <w:rFonts w:ascii="Times New Roman" w:hAnsi="Times New Roman"/>
                            <w:sz w:val="20"/>
                            <w:szCs w:val="20"/>
                            <w:lang w:val="en-GB"/>
                          </w:rPr>
                          <w:t>Capital cost rates</w:t>
                        </w:r>
                      </w:p>
                    </w:txbxContent>
                  </v:textbox>
                </v:shape>
                <v:shape id="文本框 4" o:spid="_x0000_s1077" type="#_x0000_t202" style="position:absolute;top:6090;width:21044;height:127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" fillcolor="white [3201]" strokeweight=".5pt">
                  <v:textbox>
                    <w:txbxContent>
                      <w:p w14:paraId="26145A2D" w14:textId="77777777" w:rsidR="00A80A0C" w:rsidRDefault="00A80A0C" w:rsidP="00A80A0C">
                        <w:pPr>
                          <w:pStyle w:val="NormalWeb"/>
                          <w:spacing w:before="0" w:beforeAutospacing="0" w:after="0" w:afterAutospacing="0"/>
                          <w:rPr>
                            <w:rFonts w:ascii="Times New Roman" w:hAnsi="Times New Roman"/>
                            <w:sz w:val="20"/>
                            <w:szCs w:val="20"/>
                            <w:lang w:val="en-GB"/>
                          </w:rPr>
                        </w:pPr>
                        <w:r w:rsidRPr="00A201A9">
                          <w:rPr>
                            <w:rFonts w:ascii="Times New Roman" w:hAnsi="Times New Roman"/>
                            <w:b/>
                            <w:sz w:val="20"/>
                            <w:szCs w:val="20"/>
                            <w:lang w:val="en-GB"/>
                          </w:rPr>
                          <w:t>SC</w:t>
                        </w:r>
                        <w:r>
                          <w:rPr>
                            <w:rFonts w:ascii="Times New Roman" w:hAnsi="Times New Roman"/>
                            <w:b/>
                            <w:sz w:val="20"/>
                            <w:szCs w:val="20"/>
                            <w:lang w:val="en-GB"/>
                          </w:rPr>
                          <w:t xml:space="preserve"> </w:t>
                        </w:r>
                        <w:r w:rsidRPr="00A201A9">
                          <w:rPr>
                            <w:rFonts w:ascii="Times New Roman" w:hAnsi="Times New Roman"/>
                            <w:b/>
                            <w:sz w:val="20"/>
                            <w:szCs w:val="20"/>
                            <w:lang w:val="en-GB"/>
                          </w:rPr>
                          <w:t>environment</w:t>
                        </w:r>
                        <w:r>
                          <w:rPr>
                            <w:rFonts w:ascii="Times New Roman" w:hAnsi="Times New Roman"/>
                            <w:sz w:val="20"/>
                            <w:szCs w:val="20"/>
                            <w:lang w:val="en-GB"/>
                          </w:rPr>
                          <w:t>:</w:t>
                        </w:r>
                      </w:p>
                      <w:p w14:paraId="75D428EA" w14:textId="77777777" w:rsidR="00A80A0C" w:rsidRDefault="00A80A0C" w:rsidP="00A80A0C">
                        <w:pPr>
                          <w:pStyle w:val="NormalWeb"/>
                          <w:spacing w:before="0" w:beforeAutospacing="0" w:after="0" w:afterAutospacing="0"/>
                          <w:rPr>
                            <w:rFonts w:ascii="Times New Roman" w:hAnsi="Times New Roman"/>
                            <w:sz w:val="20"/>
                            <w:szCs w:val="20"/>
                            <w:lang w:val="en-GB"/>
                          </w:rPr>
                        </w:pPr>
                        <w:r>
                          <w:rPr>
                            <w:rFonts w:ascii="Times New Roman" w:hAnsi="Times New Roman"/>
                            <w:sz w:val="20"/>
                            <w:szCs w:val="20"/>
                            <w:lang w:val="en-GB"/>
                          </w:rPr>
                          <w:t>Partners’ c</w:t>
                        </w:r>
                        <w:r w:rsidRPr="00915AE2">
                          <w:rPr>
                            <w:rFonts w:ascii="Times New Roman" w:hAnsi="Times New Roman"/>
                            <w:sz w:val="20"/>
                            <w:szCs w:val="20"/>
                            <w:lang w:val="en-GB"/>
                          </w:rPr>
                          <w:t>redit</w:t>
                        </w:r>
                        <w:r>
                          <w:rPr>
                            <w:rFonts w:ascii="Times New Roman" w:hAnsi="Times New Roman"/>
                            <w:sz w:val="20"/>
                            <w:szCs w:val="20"/>
                            <w:lang w:val="en-GB"/>
                          </w:rPr>
                          <w:t xml:space="preserve"> factors</w:t>
                        </w:r>
                      </w:p>
                      <w:p w14:paraId="67329E87" w14:textId="77777777" w:rsidR="00A80A0C" w:rsidRDefault="00A80A0C" w:rsidP="00A80A0C">
                        <w:pPr>
                          <w:pStyle w:val="NormalWeb"/>
                          <w:spacing w:before="0" w:beforeAutospacing="0" w:after="0" w:afterAutospacing="0"/>
                          <w:rPr>
                            <w:rFonts w:ascii="Times New Roman" w:hAnsi="Times New Roman"/>
                            <w:sz w:val="20"/>
                            <w:szCs w:val="20"/>
                            <w:lang w:val="en-GB"/>
                          </w:rPr>
                        </w:pPr>
                        <w:r>
                          <w:rPr>
                            <w:rFonts w:ascii="Times New Roman" w:hAnsi="Times New Roman"/>
                            <w:sz w:val="20"/>
                            <w:szCs w:val="20"/>
                            <w:lang w:val="en-GB"/>
                          </w:rPr>
                          <w:t>Operational factors</w:t>
                        </w:r>
                      </w:p>
                      <w:p w14:paraId="1BF89542" w14:textId="77777777" w:rsidR="00A80A0C" w:rsidRDefault="00A80A0C" w:rsidP="00A80A0C">
                        <w:pPr>
                          <w:pStyle w:val="NormalWeb"/>
                          <w:spacing w:before="0" w:beforeAutospacing="0" w:after="0" w:afterAutospacing="0"/>
                          <w:rPr>
                            <w:rFonts w:ascii="Times New Roman" w:hAnsi="Times New Roman"/>
                            <w:sz w:val="20"/>
                            <w:szCs w:val="20"/>
                            <w:lang w:val="en-GB"/>
                          </w:rPr>
                        </w:pPr>
                        <w:r>
                          <w:rPr>
                            <w:rFonts w:ascii="Times New Roman" w:hAnsi="Times New Roman"/>
                            <w:b/>
                            <w:sz w:val="20"/>
                            <w:szCs w:val="20"/>
                            <w:lang w:val="en-GB"/>
                          </w:rPr>
                          <w:t xml:space="preserve">Macro </w:t>
                        </w:r>
                        <w:r w:rsidRPr="00A201A9">
                          <w:rPr>
                            <w:rFonts w:ascii="Times New Roman" w:hAnsi="Times New Roman"/>
                            <w:b/>
                            <w:sz w:val="20"/>
                            <w:szCs w:val="20"/>
                            <w:lang w:val="en-GB"/>
                          </w:rPr>
                          <w:t>environment</w:t>
                        </w:r>
                        <w:r>
                          <w:rPr>
                            <w:rFonts w:ascii="Times New Roman" w:hAnsi="Times New Roman"/>
                            <w:sz w:val="20"/>
                            <w:szCs w:val="20"/>
                            <w:lang w:val="en-GB"/>
                          </w:rPr>
                          <w:t>:</w:t>
                        </w:r>
                      </w:p>
                      <w:p w14:paraId="2A82D441" w14:textId="77777777" w:rsidR="00A80A0C" w:rsidRPr="00F17362" w:rsidRDefault="00A80A0C" w:rsidP="00A80A0C">
                        <w:pPr>
                          <w:pStyle w:val="NormalWeb"/>
                          <w:spacing w:before="0" w:beforeAutospacing="0" w:after="0" w:afterAutospacing="0"/>
                          <w:rPr>
                            <w:rFonts w:ascii="Times New Roman" w:hAnsi="Times New Roman"/>
                            <w:sz w:val="20"/>
                            <w:szCs w:val="20"/>
                            <w:lang w:val="en-GB"/>
                          </w:rPr>
                        </w:pPr>
                        <w:r>
                          <w:rPr>
                            <w:rFonts w:ascii="Times New Roman" w:hAnsi="Times New Roman"/>
                            <w:sz w:val="20"/>
                            <w:szCs w:val="20"/>
                            <w:lang w:val="en-GB"/>
                          </w:rPr>
                          <w:t>Political</w:t>
                        </w:r>
                        <w:r>
                          <w:rPr>
                            <w:rFonts w:ascii="Times New Roman" w:hAnsi="Times New Roman" w:hint="eastAsia"/>
                            <w:sz w:val="20"/>
                            <w:szCs w:val="20"/>
                            <w:lang w:val="en-GB"/>
                          </w:rPr>
                          <w:t xml:space="preserve">, </w:t>
                        </w:r>
                        <w:r>
                          <w:rPr>
                            <w:rFonts w:ascii="Times New Roman" w:hAnsi="Times New Roman"/>
                            <w:sz w:val="20"/>
                            <w:szCs w:val="20"/>
                            <w:lang w:val="en-GB"/>
                          </w:rPr>
                          <w:t>Economic</w:t>
                        </w:r>
                        <w:r>
                          <w:rPr>
                            <w:rFonts w:ascii="Times New Roman" w:hAnsi="Times New Roman" w:hint="eastAsia"/>
                            <w:sz w:val="20"/>
                            <w:szCs w:val="20"/>
                            <w:lang w:val="en-GB"/>
                          </w:rPr>
                          <w:t xml:space="preserve">, </w:t>
                        </w:r>
                        <w:r w:rsidRPr="00E5335D">
                          <w:rPr>
                            <w:rFonts w:ascii="Times New Roman" w:hAnsi="Times New Roman"/>
                            <w:sz w:val="20"/>
                            <w:szCs w:val="20"/>
                            <w:lang w:val="en-GB"/>
                          </w:rPr>
                          <w:t>Technol</w:t>
                        </w:r>
                        <w:r>
                          <w:rPr>
                            <w:rFonts w:ascii="Times New Roman" w:hAnsi="Times New Roman"/>
                            <w:sz w:val="20"/>
                            <w:szCs w:val="20"/>
                            <w:lang w:val="en-GB"/>
                          </w:rPr>
                          <w:t>ogical</w:t>
                        </w:r>
                        <w:r>
                          <w:rPr>
                            <w:rFonts w:ascii="Times New Roman" w:hAnsi="Times New Roman" w:hint="eastAsia"/>
                            <w:sz w:val="20"/>
                            <w:szCs w:val="20"/>
                            <w:lang w:val="en-GB"/>
                          </w:rPr>
                          <w:t xml:space="preserve">, </w:t>
                        </w:r>
                        <w:r>
                          <w:rPr>
                            <w:rFonts w:ascii="Times New Roman" w:hAnsi="Times New Roman"/>
                            <w:sz w:val="20"/>
                            <w:szCs w:val="20"/>
                            <w:lang w:val="en-GB"/>
                          </w:rPr>
                          <w:t>Natural</w:t>
                        </w:r>
                        <w:r>
                          <w:rPr>
                            <w:rFonts w:ascii="Times New Roman" w:hAnsi="Times New Roman" w:hint="eastAsia"/>
                            <w:sz w:val="20"/>
                            <w:szCs w:val="20"/>
                            <w:lang w:val="en-GB"/>
                          </w:rPr>
                          <w:t xml:space="preserve">, </w:t>
                        </w:r>
                        <w:r>
                          <w:rPr>
                            <w:rFonts w:ascii="Times New Roman" w:hAnsi="Times New Roman"/>
                            <w:sz w:val="20"/>
                            <w:szCs w:val="20"/>
                            <w:lang w:val="en-GB"/>
                          </w:rPr>
                          <w:t>L</w:t>
                        </w:r>
                        <w:r w:rsidRPr="00E5335D">
                          <w:rPr>
                            <w:rFonts w:ascii="Times New Roman" w:hAnsi="Times New Roman"/>
                            <w:sz w:val="20"/>
                            <w:szCs w:val="20"/>
                            <w:lang w:val="en-GB"/>
                          </w:rPr>
                          <w:t>egal</w:t>
                        </w:r>
                      </w:p>
                    </w:txbxContent>
                  </v:textbox>
                </v:shape>
                <v:shape id="文本框 4" o:spid="_x0000_s1078" type="#_x0000_t202" style="position:absolute;top:20028;width:21123;height:509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" fillcolor="white [3201]" strokeweight=".5pt">
                  <v:textbox>
                    <w:txbxContent>
                      <w:p w14:paraId="6B3C7963" w14:textId="77777777" w:rsidR="00A80A0C" w:rsidRPr="00A201A9" w:rsidRDefault="00A80A0C" w:rsidP="00A80A0C">
                        <w:pPr>
                          <w:pStyle w:val="NormalWeb"/>
                          <w:spacing w:before="0" w:beforeAutospacing="0" w:after="0" w:afterAutospacing="0"/>
                          <w:jc w:val="center"/>
                          <w:rPr>
                            <w:b/>
                          </w:rPr>
                        </w:pPr>
                        <w:r w:rsidRPr="00A201A9">
                          <w:rPr>
                            <w:rFonts w:ascii="Times New Roman" w:hAnsi="Times New Roman"/>
                            <w:b/>
                            <w:sz w:val="20"/>
                            <w:szCs w:val="20"/>
                            <w:lang w:val="en-GB"/>
                          </w:rPr>
                          <w:t>Intra-organisational collaboration</w:t>
                        </w:r>
                      </w:p>
                      <w:p w14:paraId="0A09B119" w14:textId="77777777" w:rsidR="00A80A0C" w:rsidRPr="00A201A9" w:rsidRDefault="00A80A0C" w:rsidP="00A80A0C">
                        <w:pPr>
                          <w:pStyle w:val="NormalWeb"/>
                          <w:spacing w:before="0" w:beforeAutospacing="0" w:after="0" w:afterAutospacing="0"/>
                          <w:jc w:val="center"/>
                          <w:rPr>
                            <w:rFonts w:ascii="Times New Roman" w:hAnsi="Times New Roman"/>
                            <w:b/>
                            <w:kern w:val="2"/>
                            <w:sz w:val="20"/>
                            <w:szCs w:val="20"/>
                            <w:lang w:val="en-GB"/>
                          </w:rPr>
                        </w:pPr>
                        <w:r w:rsidRPr="00A201A9">
                          <w:rPr>
                            <w:rFonts w:ascii="Times New Roman" w:hAnsi="Times New Roman"/>
                            <w:b/>
                            <w:kern w:val="2"/>
                            <w:sz w:val="20"/>
                            <w:szCs w:val="20"/>
                            <w:lang w:val="en-GB"/>
                          </w:rPr>
                          <w:t>Inter-organisational collaboration</w:t>
                        </w:r>
                      </w:p>
                    </w:txbxContent>
                  </v:textbox>
                </v:shape>
                <v:shape id="文本框 26" o:spid="_x0000_s1079" type="#_x0000_t202" style="position:absolute;left:41556;top:20565;width:3810;height:26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" filled="f" stroked="f">
                  <v:textbox>
                    <w:txbxContent>
                      <w:p w14:paraId="76E3BE8D" w14:textId="77777777" w:rsidR="00A80A0C" w:rsidRDefault="00A80A0C" w:rsidP="00A80A0C">
                        <w:pPr>
                          <w:pStyle w:val="NormalWeb"/>
                          <w:spacing w:before="0" w:beforeAutospacing="0" w:after="0" w:afterAutospacing="0"/>
                          <w:jc w:val="both"/>
                        </w:pPr>
                        <w:r>
                          <w:rPr>
                            <w:rFonts w:ascii="Times New Roman" w:hAnsi="Times New Roman"/>
                            <w:b/>
                            <w:bCs/>
                            <w:kern w:val="2"/>
                            <w:sz w:val="21"/>
                            <w:szCs w:val="21"/>
                            <w:lang w:val="en-GB"/>
                          </w:rPr>
                          <w:t>Fit</w:t>
                        </w:r>
                      </w:p>
                    </w:txbxContent>
                  </v:textbox>
                </v:shape>
                <v:shape id="文本框 16" o:spid="_x0000_s1080" type="#_x0000_t202" style="position:absolute;left:50541;top:10570;width:15364;height:23288;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" fillcolor="white [3201]" strokeweight="1pt">
                  <v:stroke dashstyle="dash"/>
                  <v:textbox>
                    <w:txbxContent>
                      <w:p w14:paraId="469905AC" w14:textId="77777777" w:rsidR="00A80A0C" w:rsidRPr="00E15F77" w:rsidRDefault="00A80A0C" w:rsidP="00A80A0C">
                        <w:pPr>
                          <w:jc w:val="left"/>
                          <w:rPr>
                            <w:sz w:val="20"/>
                          </w:rPr>
                        </w:pPr>
                        <w:r>
                          <w:rPr>
                            <w:rFonts w:hint="eastAsia"/>
                            <w:sz w:val="20"/>
                          </w:rPr>
                          <w:t xml:space="preserve">                                    </w:t>
                        </w:r>
                      </w:p>
                    </w:txbxContent>
                  </v:textbox>
                </v:shape>
                <v:shape id="直接箭头连接符 66" o:spid="_x0000_s1081" type="#_x0000_t32" style="position:absolute;left:34160;top:12588;width:3765;height:1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" strokecolor="black [3200]" strokeweight=".5pt">
                  <v:stroke endarrow="block" joinstyle="miter"/>
                </v:shape>
                <v:shape id="直接箭头连接符 69" o:spid="_x0000_s1082" type="#_x0000_t32" style="position:absolute;left:34003;top:2584;width:3760;height:10004;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" strokecolor="black [3200]" strokeweight=".5pt">
                  <v:stroke endarrow="block" joinstyle="miter"/>
                </v:shape>
                <v:shape id="直接箭头连接符 72" o:spid="_x0000_s1083" type="#_x0000_t32" style="position:absolute;left:34419;top:12588;width:3347;height:10003;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" strokecolor="black [3200]" strokeweight=".5pt">
                  <v:stroke endarrow="block" joinstyle="miter"/>
                </v:shape>
                <v:line id="直接连接符 74" o:spid="_x0000_s1084" style="position:absolute;visibility:visible;mso-wrap-style:square" from="21122,12404" to="23345,1240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" strokecolor="black [3200]" strokeweight=".5pt">
                  <v:stroke joinstyle="miter"/>
                </v:line>
                <v:line id="直接连接符 75" o:spid="_x0000_s1085" style="position:absolute;visibility:visible;mso-wrap-style:square" from="21229,22591" to="23348,225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" strokecolor="black [3200]" strokeweight=".5pt">
                  <v:stroke joinstyle="miter"/>
                </v:line>
                <v:line id="直接连接符 77" o:spid="_x0000_s1086" style="position:absolute;visibility:visible;mso-wrap-style:square" from="21043,2584" to="23346,2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" strokecolor="black [3200]" strokeweight=".5pt">
                  <v:stroke joinstyle="miter"/>
                </v:line>
                <v:shape id="直接箭头连接符 79" o:spid="_x0000_s1087" type="#_x0000_t32" style="position:absolute;left:34530;top:32755;width:3475;height:12;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" strokecolor="black [3200]" strokeweight=".5pt">
                  <v:stroke endarrow="block" joinstyle="miter"/>
                </v:shape>
                <v:shape id="直接箭头连接符 80" o:spid="_x0000_s1088" type="#_x0000_t32" style="position:absolute;left:43255;top:17012;width:1;height:3423;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" strokecolor="black [3200]" strokeweight=".5pt">
                  <v:stroke endarrow="block" joinstyle="miter"/>
                </v:shape>
                <v:shape id="直接箭头连接符 81" o:spid="_x0000_s1089" type="#_x0000_t32" style="position:absolute;left:43334;top:23774;width:1;height:4127;flip:x 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" strokecolor="black [3200]" strokeweight=".5pt">
                  <v:stroke endarrow="block" joinstyle="miter"/>
                </v:shape>
                <v:shape id="直接箭头连接符 82" o:spid="_x0000_s1090" type="#_x0000_t32" style="position:absolute;left:45364;top:22025;width:5047;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" strokecolor="black [3200]" strokeweight=".5pt">
                  <v:stroke endarrow="block" joinstyle="miter"/>
                </v:shape>
                <v:shape id="文本框 99" o:spid="_x0000_s1091" type="#_x0000_t202" style="position:absolute;left:34528;top:29868;width:4134;height:310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" filled="f" stroked="f" strokeweight=".5pt">
                  <v:textbox>
                    <w:txbxContent>
                      <w:p w14:paraId="53A9467D"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2</w:t>
                        </w:r>
                      </w:p>
                    </w:txbxContent>
                  </v:textbox>
                </v:shape>
                <v:shape id="文本框 99" o:spid="_x0000_s1092" type="#_x0000_t202" style="position:absolute;left:34956;top:4265;width:4134;height:310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" filled="f" stroked="f" strokeweight=".5pt">
                  <v:textbox>
                    <w:txbxContent>
                      <w:p w14:paraId="0BFDD4FD"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1a</w:t>
                        </w:r>
                      </w:p>
                    </w:txbxContent>
                  </v:textbox>
                </v:shape>
                <v:shape id="文本框 99" o:spid="_x0000_s1093" type="#_x0000_t202" style="position:absolute;left:33797;top:9592;width:4127;height:310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" filled="f" stroked="f" strokeweight=".5pt">
                  <v:textbox>
                    <w:txbxContent>
                      <w:p w14:paraId="7D794F2A"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1b</w:t>
                        </w:r>
                      </w:p>
                    </w:txbxContent>
                  </v:textbox>
                </v:shape>
                <v:shape id="文本框 99" o:spid="_x0000_s1094" type="#_x0000_t202" style="position:absolute;left:35035;top:18404;width:4121;height:310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" filled="f" stroked="f" strokeweight=".5pt">
                  <v:textbox>
                    <w:txbxContent>
                      <w:p w14:paraId="53BABC44"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1c</w:t>
                        </w:r>
                      </w:p>
                    </w:txbxContent>
                  </v:textbox>
                </v:shape>
                <v:shape id="文本框 99" o:spid="_x0000_s1095" type="#_x0000_t202" style="position:absolute;left:46416;top:18855;width:4128;height:310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" filled="f" stroked="f" strokeweight=".5pt">
                  <v:textbox>
                    <w:txbxContent>
                      <w:p w14:paraId="3FB5DE04"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3</w:t>
                        </w:r>
                      </w:p>
                    </w:txbxContent>
                  </v:textbox>
                </v:shape>
                <v:shape id="文本框 99" o:spid="_x0000_s1096" type="#_x0000_t202" style="position:absolute;left:66162;top:14613;width:4121;height:310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" filled="f" stroked="f" strokeweight=".5pt">
                  <v:textbox>
                    <w:txbxContent>
                      <w:p w14:paraId="5C75F021"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4a</w:t>
                        </w:r>
                      </w:p>
                    </w:txbxContent>
                  </v:textbox>
                </v:shape>
                <v:shape id="文本框 16" o:spid="_x0000_s1097" type="#_x0000_t202" style="position:absolute;top:27894;width:34528;height:1006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" fillcolor="white [3201]" strokeweight="1pt">
                  <v:textbox>
                    <w:txbxContent>
                      <w:p w14:paraId="52BC4116" w14:textId="77777777" w:rsidR="00A80A0C" w:rsidRDefault="00A80A0C" w:rsidP="00A80A0C">
                        <w:pPr>
                          <w:pStyle w:val="NormalWeb"/>
                          <w:spacing w:before="0" w:beforeAutospacing="0" w:after="0" w:afterAutospacing="0"/>
                          <w:jc w:val="center"/>
                        </w:pPr>
                        <w:r>
                          <w:rPr>
                            <w:rFonts w:ascii="Times New Roman" w:hAnsi="Times New Roman"/>
                            <w:b/>
                            <w:bCs/>
                            <w:kern w:val="2"/>
                            <w:sz w:val="20"/>
                            <w:szCs w:val="20"/>
                            <w:lang w:val="en-GB"/>
                          </w:rPr>
                          <w:t>Mechanisms for improving information processing capacity</w:t>
                        </w:r>
                      </w:p>
                      <w:p w14:paraId="1B19D963" w14:textId="77777777" w:rsidR="00A80A0C" w:rsidRPr="007703A0" w:rsidRDefault="00A80A0C" w:rsidP="00A80A0C">
                        <w:pPr>
                          <w:pStyle w:val="ListParagraph"/>
                          <w:numPr>
                            <w:ilvl w:val="0"/>
                            <w:numId w:val="6"/>
                          </w:numPr>
                          <w:ind w:left="170" w:firstLineChars="0" w:hanging="170"/>
                          <w:jc w:val="left"/>
                          <w:rPr>
                            <w:sz w:val="20"/>
                            <w:szCs w:val="20"/>
                          </w:rPr>
                        </w:pPr>
                        <w:r>
                          <w:rPr>
                            <w:sz w:val="20"/>
                            <w:szCs w:val="20"/>
                          </w:rPr>
                          <w:t>Organization structure design mechanisms</w:t>
                        </w:r>
                      </w:p>
                      <w:p w14:paraId="49B57020" w14:textId="77777777" w:rsidR="00A80A0C" w:rsidRPr="007703A0" w:rsidRDefault="00A80A0C" w:rsidP="00A80A0C">
                        <w:pPr>
                          <w:pStyle w:val="ListParagraph"/>
                          <w:numPr>
                            <w:ilvl w:val="0"/>
                            <w:numId w:val="6"/>
                          </w:numPr>
                          <w:ind w:left="170" w:firstLineChars="0" w:hanging="170"/>
                          <w:jc w:val="left"/>
                          <w:rPr>
                            <w:sz w:val="20"/>
                            <w:szCs w:val="20"/>
                          </w:rPr>
                        </w:pPr>
                        <w:r>
                          <w:rPr>
                            <w:sz w:val="20"/>
                            <w:szCs w:val="20"/>
                          </w:rPr>
                          <w:t>Coordination and control mechanisms</w:t>
                        </w:r>
                      </w:p>
                      <w:p w14:paraId="509B4833" w14:textId="77777777" w:rsidR="00A80A0C" w:rsidRPr="007703A0" w:rsidRDefault="00A80A0C" w:rsidP="00A80A0C">
                        <w:pPr>
                          <w:pStyle w:val="ListParagraph"/>
                          <w:numPr>
                            <w:ilvl w:val="0"/>
                            <w:numId w:val="6"/>
                          </w:numPr>
                          <w:ind w:left="170" w:firstLineChars="0" w:hanging="170"/>
                          <w:jc w:val="left"/>
                          <w:rPr>
                            <w:sz w:val="20"/>
                            <w:szCs w:val="20"/>
                          </w:rPr>
                        </w:pPr>
                        <w:r>
                          <w:rPr>
                            <w:sz w:val="20"/>
                            <w:szCs w:val="20"/>
                          </w:rPr>
                          <w:t>Information technology mechanisms</w:t>
                        </w:r>
                      </w:p>
                    </w:txbxContent>
                  </v:textbox>
                </v:shape>
                <v:shape id="文本框 2" o:spid="_x0000_s1098" type="#_x0000_t202" style="position:absolute;left:51919;top:15300;width:12874;height:472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" fillcolor="white [3201]" strokeweight=".5pt">
                  <v:textbox>
                    <w:txbxContent>
                      <w:p w14:paraId="25FD4BA9" w14:textId="77777777" w:rsidR="00A80A0C" w:rsidRPr="00E15F77" w:rsidRDefault="00A80A0C" w:rsidP="00A80A0C">
                        <w:pPr>
                          <w:jc w:val="left"/>
                          <w:rPr>
                            <w:sz w:val="20"/>
                            <w:szCs w:val="20"/>
                          </w:rPr>
                        </w:pPr>
                        <w:r w:rsidRPr="00E15F77">
                          <w:rPr>
                            <w:sz w:val="20"/>
                            <w:szCs w:val="20"/>
                          </w:rPr>
                          <w:t>Map financial network structure</w:t>
                        </w:r>
                      </w:p>
                      <w:p w14:paraId="014C6B0A" w14:textId="77777777" w:rsidR="00A80A0C" w:rsidRDefault="00A80A0C" w:rsidP="00A80A0C"/>
                    </w:txbxContent>
                  </v:textbox>
                </v:shape>
                <v:shape id="文本框 2" o:spid="_x0000_s1099" type="#_x0000_t202" style="position:absolute;left:51922;top:21371;width:12875;height:44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" fillcolor="white [3201]" strokeweight=".5pt">
                  <v:textbox>
                    <w:txbxContent>
                      <w:p w14:paraId="4F1B35BC" w14:textId="77777777" w:rsidR="00A80A0C" w:rsidRPr="00E15F77" w:rsidRDefault="00A80A0C" w:rsidP="00A80A0C">
                        <w:pPr>
                          <w:pStyle w:val="NormalWeb"/>
                          <w:spacing w:before="0" w:beforeAutospacing="0" w:after="0" w:afterAutospacing="0"/>
                          <w:rPr>
                            <w:rFonts w:ascii="Times New Roman" w:eastAsiaTheme="minorEastAsia" w:hAnsi="Times New Roman" w:cs="Times New Roman"/>
                            <w:kern w:val="2"/>
                            <w:sz w:val="20"/>
                            <w:szCs w:val="20"/>
                            <w:lang w:val="en-GB"/>
                          </w:rPr>
                        </w:pPr>
                        <w:r w:rsidRPr="00E15F77">
                          <w:rPr>
                            <w:rFonts w:ascii="Times New Roman" w:eastAsiaTheme="minorEastAsia" w:hAnsi="Times New Roman" w:cs="Times New Roman"/>
                            <w:kern w:val="2"/>
                            <w:sz w:val="20"/>
                            <w:szCs w:val="20"/>
                            <w:lang w:val="en-GB"/>
                          </w:rPr>
                          <w:t>Design financial business process structure</w:t>
                        </w:r>
                      </w:p>
                      <w:p w14:paraId="61E94124" w14:textId="77777777" w:rsidR="00A80A0C" w:rsidRPr="00E15F77" w:rsidRDefault="00A80A0C" w:rsidP="00A80A0C">
                        <w:pPr>
                          <w:pStyle w:val="NormalWeb"/>
                          <w:spacing w:before="0" w:beforeAutospacing="0" w:after="0" w:afterAutospacing="0"/>
                          <w:jc w:val="both"/>
                          <w:rPr>
                            <w:rFonts w:ascii="Times New Roman" w:eastAsiaTheme="minorEastAsia" w:hAnsi="Times New Roman" w:cs="Times New Roman"/>
                            <w:kern w:val="2"/>
                            <w:sz w:val="20"/>
                            <w:szCs w:val="20"/>
                            <w:lang w:val="en-GB"/>
                          </w:rPr>
                        </w:pPr>
                        <w:r w:rsidRPr="00E15F77">
                          <w:rPr>
                            <w:rFonts w:ascii="Times New Roman" w:eastAsiaTheme="minorEastAsia" w:hAnsi="Times New Roman" w:cs="Times New Roman"/>
                            <w:kern w:val="2"/>
                            <w:sz w:val="20"/>
                            <w:szCs w:val="20"/>
                            <w:lang w:val="en-GB"/>
                          </w:rPr>
                          <w:t> </w:t>
                        </w:r>
                      </w:p>
                    </w:txbxContent>
                  </v:textbox>
                </v:shape>
                <v:shape id="文本框 2" o:spid="_x0000_s1100" type="#_x0000_t202" style="position:absolute;left:51922;top:26961;width:12981;height:47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" fillcolor="white [3201]" strokeweight=".5pt">
                  <v:textbox>
                    <w:txbxContent>
                      <w:p w14:paraId="3B9E271A" w14:textId="77777777" w:rsidR="00A80A0C" w:rsidRPr="00E15F77" w:rsidRDefault="00A80A0C" w:rsidP="00A80A0C">
                        <w:pPr>
                          <w:pStyle w:val="NormalWeb"/>
                          <w:spacing w:before="0" w:beforeAutospacing="0" w:after="0" w:afterAutospacing="0"/>
                          <w:rPr>
                            <w:rFonts w:ascii="Times New Roman" w:eastAsiaTheme="minorEastAsia" w:hAnsi="Times New Roman" w:cs="Times New Roman"/>
                            <w:kern w:val="2"/>
                            <w:sz w:val="20"/>
                            <w:szCs w:val="20"/>
                            <w:lang w:val="en-GB"/>
                          </w:rPr>
                        </w:pPr>
                        <w:r w:rsidRPr="00E15F77">
                          <w:rPr>
                            <w:rFonts w:ascii="Times New Roman" w:eastAsiaTheme="minorEastAsia" w:hAnsi="Times New Roman" w:cs="Times New Roman"/>
                            <w:kern w:val="2"/>
                            <w:sz w:val="20"/>
                            <w:szCs w:val="20"/>
                            <w:lang w:val="en-GB"/>
                          </w:rPr>
                          <w:t>Share financial information systems structure</w:t>
                        </w:r>
                      </w:p>
                      <w:p w14:paraId="3D4EE710" w14:textId="77777777" w:rsidR="00A80A0C" w:rsidRPr="00E15F77" w:rsidRDefault="00A80A0C" w:rsidP="00A80A0C">
                        <w:pPr>
                          <w:pStyle w:val="NormalWeb"/>
                          <w:spacing w:before="0" w:beforeAutospacing="0" w:after="0" w:afterAutospacing="0"/>
                          <w:jc w:val="both"/>
                          <w:rPr>
                            <w:rFonts w:ascii="Times New Roman" w:eastAsiaTheme="minorEastAsia" w:hAnsi="Times New Roman" w:cs="Times New Roman"/>
                            <w:kern w:val="2"/>
                            <w:sz w:val="20"/>
                            <w:szCs w:val="20"/>
                            <w:lang w:val="en-GB"/>
                          </w:rPr>
                        </w:pPr>
                        <w:r w:rsidRPr="00E15F77">
                          <w:rPr>
                            <w:rFonts w:ascii="Times New Roman" w:eastAsiaTheme="minorEastAsia" w:hAnsi="Times New Roman" w:cs="Times New Roman"/>
                            <w:kern w:val="2"/>
                            <w:sz w:val="20"/>
                            <w:szCs w:val="20"/>
                            <w:lang w:val="en-GB"/>
                          </w:rPr>
                          <w:t> </w:t>
                        </w:r>
                      </w:p>
                    </w:txbxContent>
                  </v:textbox>
                </v:shape>
                <v:shape id="文本框 2" o:spid="_x0000_s1101" type="#_x0000_t202" style="position:absolute;left:51571;top:11348;width:12871;height:30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" fillcolor="white [3201]" stroked="f" strokeweight=".5pt">
                  <v:textbox>
                    <w:txbxContent>
                      <w:p w14:paraId="6F659BE4" w14:textId="77777777" w:rsidR="00A80A0C" w:rsidRPr="00E15F77" w:rsidRDefault="00A80A0C" w:rsidP="00A80A0C">
                        <w:pPr>
                          <w:pStyle w:val="NormalWeb"/>
                          <w:spacing w:before="0" w:beforeAutospacing="0" w:after="0" w:afterAutospacing="0"/>
                          <w:jc w:val="center"/>
                          <w:rPr>
                            <w:rFonts w:ascii="Times New Roman" w:hAnsi="Times New Roman"/>
                            <w:b/>
                            <w:bCs/>
                            <w:sz w:val="20"/>
                            <w:szCs w:val="20"/>
                            <w:lang w:val="en-GB"/>
                          </w:rPr>
                        </w:pPr>
                        <w:r>
                          <w:rPr>
                            <w:rFonts w:ascii="Times New Roman" w:hAnsi="Times New Roman"/>
                            <w:b/>
                            <w:bCs/>
                            <w:sz w:val="20"/>
                            <w:szCs w:val="20"/>
                            <w:lang w:val="en-GB"/>
                          </w:rPr>
                          <w:t>SCF capabilities</w:t>
                        </w:r>
                      </w:p>
                    </w:txbxContent>
                  </v:textbox>
                </v:shape>
                <v:shape id="文本框 10" o:spid="_x0000_s1102" type="#_x0000_t202" style="position:absolute;left:71081;top:15939;width:14411;height:336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" fillcolor="white [3201]" strokeweight=".5pt">
                  <v:textbox>
                    <w:txbxContent>
                      <w:p w14:paraId="16A0C682" w14:textId="77777777" w:rsidR="00A80A0C" w:rsidRDefault="00A80A0C" w:rsidP="00A80A0C">
                        <w:r w:rsidRPr="00BE6017">
                          <w:rPr>
                            <w:sz w:val="20"/>
                            <w:szCs w:val="20"/>
                          </w:rPr>
                          <w:t>Operational integration</w:t>
                        </w:r>
                      </w:p>
                    </w:txbxContent>
                  </v:textbox>
                </v:shape>
                <v:shape id="文本框 10" o:spid="_x0000_s1103" type="#_x0000_t202" style="position:absolute;left:71081;top:21927;width:14408;height:335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" fillcolor="white [3201]" strokeweight=".5pt">
                  <v:textbox>
                    <w:txbxContent>
                      <w:p w14:paraId="6C9A5C9F" w14:textId="77777777" w:rsidR="00A80A0C" w:rsidRDefault="00A80A0C" w:rsidP="00A80A0C">
                        <w:pPr>
                          <w:pStyle w:val="NormalWeb"/>
                          <w:spacing w:before="0" w:beforeAutospacing="0" w:after="0" w:afterAutospacing="0"/>
                          <w:jc w:val="both"/>
                        </w:pPr>
                        <w:r>
                          <w:rPr>
                            <w:rFonts w:ascii="Times New Roman" w:hAnsi="Times New Roman"/>
                            <w:kern w:val="2"/>
                            <w:sz w:val="20"/>
                            <w:szCs w:val="20"/>
                            <w:lang w:val="en-GB"/>
                          </w:rPr>
                          <w:t>Process integration</w:t>
                        </w:r>
                      </w:p>
                    </w:txbxContent>
                  </v:textbox>
                </v:shape>
                <v:shape id="文本框 10" o:spid="_x0000_s1104" type="#_x0000_t202" style="position:absolute;left:71090;top:27578;width:14402;height:33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" fillcolor="white [3201]" strokeweight=".5pt">
                  <v:textbox>
                    <w:txbxContent>
                      <w:p w14:paraId="4BC0F28C" w14:textId="77777777" w:rsidR="00A80A0C" w:rsidRDefault="00A80A0C" w:rsidP="00A80A0C">
                        <w:pPr>
                          <w:pStyle w:val="NormalWeb"/>
                          <w:spacing w:before="0" w:beforeAutospacing="0" w:after="0" w:afterAutospacing="0"/>
                          <w:jc w:val="both"/>
                        </w:pPr>
                        <w:r>
                          <w:rPr>
                            <w:rFonts w:ascii="Times New Roman" w:hAnsi="Times New Roman"/>
                            <w:sz w:val="20"/>
                            <w:szCs w:val="20"/>
                            <w:lang w:val="en-GB"/>
                          </w:rPr>
                          <w:t>Information integration</w:t>
                        </w:r>
                      </w:p>
                    </w:txbxContent>
                  </v:textbox>
                </v:shape>
                <v:shape id="文本框 10" o:spid="_x0000_s1105" type="#_x0000_t202" style="position:absolute;left:70379;top:11338;width:15311;height:33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" fillcolor="white [3201]" stroked="f" strokeweight=".5pt">
                  <v:textbox>
                    <w:txbxContent>
                      <w:p w14:paraId="76C12E51" w14:textId="77777777" w:rsidR="00A80A0C" w:rsidRPr="00E15F77" w:rsidRDefault="00A80A0C" w:rsidP="00A80A0C">
                        <w:pPr>
                          <w:pStyle w:val="NormalWeb"/>
                          <w:spacing w:before="0" w:beforeAutospacing="0" w:after="0" w:afterAutospacing="0"/>
                          <w:jc w:val="both"/>
                          <w:rPr>
                            <w:rFonts w:ascii="Times New Roman" w:hAnsi="Times New Roman"/>
                            <w:b/>
                            <w:bCs/>
                            <w:sz w:val="20"/>
                            <w:szCs w:val="20"/>
                            <w:lang w:val="en-GB"/>
                          </w:rPr>
                        </w:pPr>
                        <w:r w:rsidRPr="00E15F77">
                          <w:rPr>
                            <w:rFonts w:ascii="Times New Roman" w:hAnsi="Times New Roman"/>
                            <w:b/>
                            <w:bCs/>
                            <w:sz w:val="20"/>
                            <w:szCs w:val="20"/>
                            <w:lang w:val="en-GB"/>
                          </w:rPr>
                          <w:t>Financial SC integration</w:t>
                        </w:r>
                      </w:p>
                    </w:txbxContent>
                  </v:textbox>
                </v:shape>
                <v:shape id="直接箭头连接符 71" o:spid="_x0000_s1106" type="#_x0000_t32" style="position:absolute;left:64894;top:17674;width:6187;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" strokecolor="black [3200]" strokeweight=".5pt">
                  <v:stroke endarrow="block" joinstyle="miter"/>
                </v:shape>
                <v:shape id="直接箭头连接符 83" o:spid="_x0000_s1107" type="#_x0000_t32" style="position:absolute;left:64903;top:23439;width:6185;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" strokecolor="black [3200]" strokeweight=".5pt">
                  <v:stroke endarrow="block" joinstyle="miter"/>
                </v:shape>
                <v:shape id="直接箭头连接符 84" o:spid="_x0000_s1108" type="#_x0000_t32" style="position:absolute;left:64894;top:29277;width:6185;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" strokecolor="black [3200]" strokeweight=".5pt">
                  <v:stroke endarrow="block" joinstyle="miter"/>
                </v:shape>
                <v:shape id="文本框 99" o:spid="_x0000_s1109" type="#_x0000_t202" style="position:absolute;left:66066;top:20674;width:4115;height:30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" filled="f" stroked="f" strokeweight=".5pt">
                  <v:textbox>
                    <w:txbxContent>
                      <w:p w14:paraId="5D16077E"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4b</w:t>
                        </w:r>
                      </w:p>
                    </w:txbxContent>
                  </v:textbox>
                </v:shape>
                <v:shape id="文本框 99" o:spid="_x0000_s1110" type="#_x0000_t202" style="position:absolute;left:66069;top:26557;width:4108;height:309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" filled="f" stroked="f" strokeweight=".5pt">
                  <v:textbox>
                    <w:txbxContent>
                      <w:p w14:paraId="401CED1A" w14:textId="77777777" w:rsidR="00A80A0C" w:rsidRDefault="00A80A0C" w:rsidP="00A80A0C">
                        <w:pPr>
                          <w:pStyle w:val="NormalWeb"/>
                          <w:spacing w:before="0" w:beforeAutospacing="0" w:after="0" w:afterAutospacing="0" w:line="240" w:lineRule="exact"/>
                          <w:jc w:val="both"/>
                        </w:pPr>
                        <w:r>
                          <w:rPr>
                            <w:rFonts w:ascii="Times New Roman" w:hAnsi="Times New Roman"/>
                            <w:sz w:val="21"/>
                            <w:szCs w:val="21"/>
                          </w:rPr>
                          <w:t>P</w:t>
                        </w:r>
                        <w:r>
                          <w:rPr>
                            <w:rFonts w:ascii="Times New Roman" w:hAnsi="Times New Roman"/>
                            <w:position w:val="-5"/>
                            <w:sz w:val="21"/>
                            <w:szCs w:val="21"/>
                            <w:vertAlign w:val="subscript"/>
                          </w:rPr>
                          <w:t>4c</w:t>
                        </w:r>
                      </w:p>
                    </w:txbxContent>
                  </v:textbox>
                </v:shape>
                <w10:anchorlock/>
              </v:group>
            </w:pict>
          </mc:Fallback>
        </mc:AlternateContent>
      </w:r>
    </w:p>
    <w:p w14:paraId="63026464" w14:textId="77777777" w:rsidR="00A80A0C" w:rsidRPr="00A80A0C" w:rsidRDefault="00A80A0C" w:rsidP="00A80A0C">
      <w:pPr>
        <w:rPr>
          <w:color w:val="000000" w:themeColor="text1"/>
          <w:sz w:val="20"/>
        </w:rPr>
      </w:pPr>
    </w:p>
    <w:p w14:paraId="6DD23DF2" w14:textId="77777777" w:rsidR="00A80A0C" w:rsidRPr="00A80A0C" w:rsidRDefault="00A80A0C" w:rsidP="00A80A0C">
      <w:pPr>
        <w:tabs>
          <w:tab w:val="left" w:pos="2940"/>
        </w:tabs>
        <w:jc w:val="center"/>
        <w:rPr>
          <w:color w:val="000000" w:themeColor="text1"/>
          <w:sz w:val="20"/>
        </w:rPr>
      </w:pPr>
      <w:r w:rsidRPr="00A80A0C">
        <w:rPr>
          <w:rFonts w:hint="eastAsia"/>
          <w:b/>
          <w:color w:val="000000" w:themeColor="text1"/>
          <w:szCs w:val="21"/>
        </w:rPr>
        <w:t xml:space="preserve">Figure </w:t>
      </w:r>
      <w:r w:rsidRPr="00A80A0C">
        <w:rPr>
          <w:b/>
          <w:color w:val="000000" w:themeColor="text1"/>
          <w:szCs w:val="21"/>
        </w:rPr>
        <w:t>6</w:t>
      </w:r>
      <w:r w:rsidRPr="00A80A0C">
        <w:rPr>
          <w:rFonts w:hint="eastAsia"/>
          <w:b/>
          <w:color w:val="000000" w:themeColor="text1"/>
          <w:szCs w:val="21"/>
        </w:rPr>
        <w:t xml:space="preserve">. </w:t>
      </w:r>
      <w:r w:rsidRPr="00A80A0C">
        <w:rPr>
          <w:rFonts w:hint="eastAsia"/>
          <w:color w:val="000000" w:themeColor="text1"/>
          <w:szCs w:val="21"/>
        </w:rPr>
        <w:t>The conceptual framework of SCF</w:t>
      </w:r>
      <w:r w:rsidRPr="00A80A0C">
        <w:rPr>
          <w:color w:val="000000" w:themeColor="text1"/>
          <w:szCs w:val="21"/>
        </w:rPr>
        <w:t xml:space="preserve"> based on IPT</w:t>
      </w:r>
    </w:p>
    <w:p w14:paraId="343673E7" w14:textId="77777777" w:rsidR="00871C0F" w:rsidRPr="00A80A0C" w:rsidRDefault="00871C0F" w:rsidP="00FC7D81">
      <w:pPr>
        <w:spacing w:line="360" w:lineRule="auto"/>
        <w:ind w:firstLineChars="200" w:firstLine="480"/>
        <w:rPr>
          <w:color w:val="000000" w:themeColor="text1"/>
          <w:sz w:val="24"/>
          <w:szCs w:val="24"/>
        </w:rPr>
      </w:pPr>
    </w:p>
    <w:sectPr w:rsidR="00871C0F" w:rsidRPr="00A80A0C" w:rsidSect="00773A04">
      <w:footerReference w:type="default" r:id="rId12"/>
      <w:pgSz w:w="11906" w:h="16838"/>
      <w:pgMar w:top="1440" w:right="1440" w:bottom="144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45FB7A" w14:textId="77777777" w:rsidR="00017555" w:rsidRDefault="00017555">
      <w:r>
        <w:separator/>
      </w:r>
    </w:p>
  </w:endnote>
  <w:endnote w:type="continuationSeparator" w:id="0">
    <w:p w14:paraId="778A87C6" w14:textId="77777777" w:rsidR="00017555" w:rsidRDefault="000175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DengXian Light">
    <w:panose1 w:val="02010600030101010101"/>
    <w:charset w:val="86"/>
    <w:family w:val="auto"/>
    <w:pitch w:val="variable"/>
    <w:sig w:usb0="A00002BF" w:usb1="38CF7CFA" w:usb2="00000016" w:usb3="00000000" w:csb0="0004000F" w:csb1="00000000"/>
  </w:font>
  <w:font w:name="Segoe UI">
    <w:panose1 w:val="020B0604020202020204"/>
    <w:charset w:val="00"/>
    <w:family w:val="swiss"/>
    <w:pitch w:val="variable"/>
    <w:sig w:usb0="E10022FF" w:usb1="C000E47F" w:usb2="00000029" w:usb3="00000000" w:csb0="000001DF" w:csb1="00000000"/>
  </w:font>
  <w:font w:name="Code2000">
    <w:altName w:val="Times New Roman"/>
    <w:panose1 w:val="020B0604020202020204"/>
    <w:charset w:val="00"/>
    <w:family w:val="roman"/>
    <w:notTrueType/>
    <w:pitch w:val="default"/>
  </w:font>
  <w:font w:name="AdvPS8588">
    <w:altName w:val="Times New Roman"/>
    <w:panose1 w:val="020B06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icrosoft YaHei">
    <w:panose1 w:val="020B0503020204020204"/>
    <w:charset w:val="86"/>
    <w:family w:val="swiss"/>
    <w:pitch w:val="variable"/>
    <w:sig w:usb0="80000287" w:usb1="28CF3C52" w:usb2="00000016" w:usb3="00000000" w:csb0="0004001F" w:csb1="00000000"/>
  </w:font>
  <w:font w:name="Microsoft YaHei UI">
    <w:altName w:val="Microsoft YaHei"/>
    <w:panose1 w:val="020B0604020202020204"/>
    <w:charset w:val="86"/>
    <w:family w:val="swiss"/>
    <w:pitch w:val="variable"/>
    <w:sig w:usb0="80000287" w:usb1="28CF3C52" w:usb2="00000016" w:usb3="00000000" w:csb0="0004001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2476167"/>
      <w:docPartObj>
        <w:docPartGallery w:val="Page Numbers (Bottom of Page)"/>
        <w:docPartUnique/>
      </w:docPartObj>
    </w:sdtPr>
    <w:sdtEndPr>
      <w:rPr>
        <w:sz w:val="21"/>
      </w:rPr>
    </w:sdtEndPr>
    <w:sdtContent>
      <w:p w14:paraId="0D77C000" w14:textId="77777777" w:rsidR="002B7AB5" w:rsidRPr="00DC7BF6" w:rsidRDefault="002B7AB5">
        <w:pPr>
          <w:pStyle w:val="Footer"/>
          <w:jc w:val="center"/>
          <w:rPr>
            <w:sz w:val="21"/>
          </w:rPr>
        </w:pPr>
        <w:r w:rsidRPr="00DC7BF6">
          <w:rPr>
            <w:sz w:val="21"/>
          </w:rPr>
          <w:fldChar w:fldCharType="begin"/>
        </w:r>
        <w:r w:rsidRPr="00DC7BF6">
          <w:rPr>
            <w:sz w:val="21"/>
          </w:rPr>
          <w:instrText>PAGE   \* MERGEFORMAT</w:instrText>
        </w:r>
        <w:r w:rsidRPr="00DC7BF6">
          <w:rPr>
            <w:sz w:val="21"/>
          </w:rPr>
          <w:fldChar w:fldCharType="separate"/>
        </w:r>
        <w:r w:rsidR="00D03E2E" w:rsidRPr="00D03E2E">
          <w:rPr>
            <w:noProof/>
            <w:sz w:val="21"/>
            <w:lang w:val="zh-CN"/>
          </w:rPr>
          <w:t>34</w:t>
        </w:r>
        <w:r w:rsidRPr="00DC7BF6">
          <w:rPr>
            <w:sz w:val="21"/>
          </w:rPr>
          <w:fldChar w:fldCharType="end"/>
        </w:r>
      </w:p>
    </w:sdtContent>
  </w:sdt>
  <w:p w14:paraId="460D8130" w14:textId="77777777" w:rsidR="002B7AB5" w:rsidRDefault="002B7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91EB87" w14:textId="77777777" w:rsidR="00017555" w:rsidRDefault="00017555">
      <w:r>
        <w:separator/>
      </w:r>
    </w:p>
  </w:footnote>
  <w:footnote w:type="continuationSeparator" w:id="0">
    <w:p w14:paraId="6A9B2C0E" w14:textId="77777777" w:rsidR="00017555" w:rsidRDefault="000175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0F42B0"/>
    <w:multiLevelType w:val="multilevel"/>
    <w:tmpl w:val="8070A5F0"/>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i/>
      </w:rPr>
    </w:lvl>
    <w:lvl w:ilvl="2">
      <w:start w:val="1"/>
      <w:numFmt w:val="decimal"/>
      <w:isLgl/>
      <w:lvlText w:val="%1.%2.%3"/>
      <w:lvlJc w:val="left"/>
      <w:pPr>
        <w:ind w:left="720" w:hanging="720"/>
      </w:pPr>
      <w:rPr>
        <w:rFonts w:hint="default"/>
        <w:i/>
      </w:rPr>
    </w:lvl>
    <w:lvl w:ilvl="3">
      <w:start w:val="1"/>
      <w:numFmt w:val="decimal"/>
      <w:isLgl/>
      <w:lvlText w:val="%1.%2.%3.%4"/>
      <w:lvlJc w:val="left"/>
      <w:pPr>
        <w:ind w:left="720" w:hanging="720"/>
      </w:pPr>
      <w:rPr>
        <w:rFonts w:hint="default"/>
        <w:i/>
      </w:rPr>
    </w:lvl>
    <w:lvl w:ilvl="4">
      <w:start w:val="1"/>
      <w:numFmt w:val="decimal"/>
      <w:isLgl/>
      <w:lvlText w:val="%1.%2.%3.%4.%5"/>
      <w:lvlJc w:val="left"/>
      <w:pPr>
        <w:ind w:left="1080" w:hanging="1080"/>
      </w:pPr>
      <w:rPr>
        <w:rFonts w:hint="default"/>
        <w:i/>
      </w:rPr>
    </w:lvl>
    <w:lvl w:ilvl="5">
      <w:start w:val="1"/>
      <w:numFmt w:val="decimal"/>
      <w:isLgl/>
      <w:lvlText w:val="%1.%2.%3.%4.%5.%6"/>
      <w:lvlJc w:val="left"/>
      <w:pPr>
        <w:ind w:left="1080" w:hanging="1080"/>
      </w:pPr>
      <w:rPr>
        <w:rFonts w:hint="default"/>
        <w:i/>
      </w:rPr>
    </w:lvl>
    <w:lvl w:ilvl="6">
      <w:start w:val="1"/>
      <w:numFmt w:val="decimal"/>
      <w:isLgl/>
      <w:lvlText w:val="%1.%2.%3.%4.%5.%6.%7"/>
      <w:lvlJc w:val="left"/>
      <w:pPr>
        <w:ind w:left="1440" w:hanging="1440"/>
      </w:pPr>
      <w:rPr>
        <w:rFonts w:hint="default"/>
        <w:i/>
      </w:rPr>
    </w:lvl>
    <w:lvl w:ilvl="7">
      <w:start w:val="1"/>
      <w:numFmt w:val="decimal"/>
      <w:isLgl/>
      <w:lvlText w:val="%1.%2.%3.%4.%5.%6.%7.%8"/>
      <w:lvlJc w:val="left"/>
      <w:pPr>
        <w:ind w:left="1440" w:hanging="1440"/>
      </w:pPr>
      <w:rPr>
        <w:rFonts w:hint="default"/>
        <w:i/>
      </w:rPr>
    </w:lvl>
    <w:lvl w:ilvl="8">
      <w:start w:val="1"/>
      <w:numFmt w:val="decimal"/>
      <w:isLgl/>
      <w:lvlText w:val="%1.%2.%3.%4.%5.%6.%7.%8.%9"/>
      <w:lvlJc w:val="left"/>
      <w:pPr>
        <w:ind w:left="1800" w:hanging="1800"/>
      </w:pPr>
      <w:rPr>
        <w:rFonts w:hint="default"/>
        <w:i/>
      </w:rPr>
    </w:lvl>
  </w:abstractNum>
  <w:abstractNum w:abstractNumId="1" w15:restartNumberingAfterBreak="0">
    <w:nsid w:val="1D0F79C8"/>
    <w:multiLevelType w:val="multilevel"/>
    <w:tmpl w:val="720CA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6860FE"/>
    <w:multiLevelType w:val="hybridMultilevel"/>
    <w:tmpl w:val="7422C19A"/>
    <w:lvl w:ilvl="0" w:tplc="85D0F65E">
      <w:start w:val="1"/>
      <w:numFmt w:val="bullet"/>
      <w:lvlText w:val="•"/>
      <w:lvlJc w:val="left"/>
      <w:pPr>
        <w:ind w:left="420" w:hanging="420"/>
      </w:pPr>
      <w:rPr>
        <w:rFonts w:ascii="DengXian" w:eastAsia="DengXian" w:hAnsi="DengXian"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2B0217DD"/>
    <w:multiLevelType w:val="multilevel"/>
    <w:tmpl w:val="45E6FE14"/>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5CC0AC7"/>
    <w:multiLevelType w:val="multilevel"/>
    <w:tmpl w:val="667C379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7A2074C"/>
    <w:multiLevelType w:val="multilevel"/>
    <w:tmpl w:val="53904CB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A64596"/>
    <w:multiLevelType w:val="multilevel"/>
    <w:tmpl w:val="BB60D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7C753E6"/>
    <w:multiLevelType w:val="hybridMultilevel"/>
    <w:tmpl w:val="3692DEA4"/>
    <w:lvl w:ilvl="0" w:tplc="6290A28A">
      <w:start w:val="1"/>
      <w:numFmt w:val="decimal"/>
      <w:lvlText w:val="%1."/>
      <w:lvlJc w:val="left"/>
      <w:pPr>
        <w:ind w:left="9433" w:hanging="36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54D52C29"/>
    <w:multiLevelType w:val="hybridMultilevel"/>
    <w:tmpl w:val="507AB3B6"/>
    <w:lvl w:ilvl="0" w:tplc="AF1C61A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5AB234C1"/>
    <w:multiLevelType w:val="hybridMultilevel"/>
    <w:tmpl w:val="1528193E"/>
    <w:lvl w:ilvl="0" w:tplc="C4265A6A">
      <w:start w:val="1"/>
      <w:numFmt w:val="decimal"/>
      <w:lvlText w:val="%1."/>
      <w:lvlJc w:val="center"/>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6C7B7AE4"/>
    <w:multiLevelType w:val="multilevel"/>
    <w:tmpl w:val="856853E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CB500E1"/>
    <w:multiLevelType w:val="multilevel"/>
    <w:tmpl w:val="BA54A39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4"/>
  </w:num>
  <w:num w:numId="3">
    <w:abstractNumId w:val="10"/>
  </w:num>
  <w:num w:numId="4">
    <w:abstractNumId w:val="7"/>
  </w:num>
  <w:num w:numId="5">
    <w:abstractNumId w:val="9"/>
  </w:num>
  <w:num w:numId="6">
    <w:abstractNumId w:val="2"/>
  </w:num>
  <w:num w:numId="7">
    <w:abstractNumId w:val="3"/>
  </w:num>
  <w:num w:numId="8">
    <w:abstractNumId w:val="6"/>
  </w:num>
  <w:num w:numId="9">
    <w:abstractNumId w:val="5"/>
  </w:num>
  <w:num w:numId="10">
    <w:abstractNumId w:val="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1"/>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3"/>
  <w:bordersDoNotSurroundHeader/>
  <w:bordersDoNotSurroundFooter/>
  <w:proofState w:spelling="clean" w:grammar="clean"/>
  <w:doNotTrackMove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871C0F"/>
    <w:rsid w:val="000130C7"/>
    <w:rsid w:val="00017555"/>
    <w:rsid w:val="00024A08"/>
    <w:rsid w:val="000345DF"/>
    <w:rsid w:val="00036858"/>
    <w:rsid w:val="00036B33"/>
    <w:rsid w:val="000471DF"/>
    <w:rsid w:val="0007690B"/>
    <w:rsid w:val="000905CE"/>
    <w:rsid w:val="000929D8"/>
    <w:rsid w:val="00092B03"/>
    <w:rsid w:val="000A3BFB"/>
    <w:rsid w:val="000B0D3E"/>
    <w:rsid w:val="000B2645"/>
    <w:rsid w:val="000C601F"/>
    <w:rsid w:val="000C740B"/>
    <w:rsid w:val="000D0A4B"/>
    <w:rsid w:val="000D120A"/>
    <w:rsid w:val="000D56DA"/>
    <w:rsid w:val="000E781C"/>
    <w:rsid w:val="000F0F35"/>
    <w:rsid w:val="000F3F11"/>
    <w:rsid w:val="0010285C"/>
    <w:rsid w:val="00116E39"/>
    <w:rsid w:val="00123AD1"/>
    <w:rsid w:val="00124F96"/>
    <w:rsid w:val="001315CF"/>
    <w:rsid w:val="001317A0"/>
    <w:rsid w:val="00134FCF"/>
    <w:rsid w:val="00135F4A"/>
    <w:rsid w:val="00141AD4"/>
    <w:rsid w:val="001545B5"/>
    <w:rsid w:val="00160D67"/>
    <w:rsid w:val="0016517A"/>
    <w:rsid w:val="00167059"/>
    <w:rsid w:val="00170534"/>
    <w:rsid w:val="00173810"/>
    <w:rsid w:val="00180C87"/>
    <w:rsid w:val="00187A3B"/>
    <w:rsid w:val="00197BDC"/>
    <w:rsid w:val="001B52EE"/>
    <w:rsid w:val="001B6052"/>
    <w:rsid w:val="001C055A"/>
    <w:rsid w:val="001C7709"/>
    <w:rsid w:val="001D24A4"/>
    <w:rsid w:val="001E53E7"/>
    <w:rsid w:val="001F5F81"/>
    <w:rsid w:val="001F63FE"/>
    <w:rsid w:val="00201582"/>
    <w:rsid w:val="0021572C"/>
    <w:rsid w:val="002221B1"/>
    <w:rsid w:val="002274CD"/>
    <w:rsid w:val="00233785"/>
    <w:rsid w:val="002505B3"/>
    <w:rsid w:val="002544F8"/>
    <w:rsid w:val="00261AD9"/>
    <w:rsid w:val="002758D1"/>
    <w:rsid w:val="0028704A"/>
    <w:rsid w:val="00290935"/>
    <w:rsid w:val="002B3963"/>
    <w:rsid w:val="002B4A3F"/>
    <w:rsid w:val="002B7AB5"/>
    <w:rsid w:val="002C0786"/>
    <w:rsid w:val="002D2796"/>
    <w:rsid w:val="002E31FB"/>
    <w:rsid w:val="002E6595"/>
    <w:rsid w:val="002F4EDF"/>
    <w:rsid w:val="002F58AE"/>
    <w:rsid w:val="00301612"/>
    <w:rsid w:val="00302616"/>
    <w:rsid w:val="00310026"/>
    <w:rsid w:val="003147EA"/>
    <w:rsid w:val="00332733"/>
    <w:rsid w:val="00342CBB"/>
    <w:rsid w:val="00342ED5"/>
    <w:rsid w:val="0034515E"/>
    <w:rsid w:val="00350974"/>
    <w:rsid w:val="0035243F"/>
    <w:rsid w:val="00353C6C"/>
    <w:rsid w:val="00367F68"/>
    <w:rsid w:val="00372A16"/>
    <w:rsid w:val="00372DA3"/>
    <w:rsid w:val="0037564C"/>
    <w:rsid w:val="00391EE1"/>
    <w:rsid w:val="003A48A5"/>
    <w:rsid w:val="003A6372"/>
    <w:rsid w:val="003B4C5F"/>
    <w:rsid w:val="003D4C81"/>
    <w:rsid w:val="003D62D4"/>
    <w:rsid w:val="003E44D5"/>
    <w:rsid w:val="003F3F61"/>
    <w:rsid w:val="003F6F8D"/>
    <w:rsid w:val="00402FB7"/>
    <w:rsid w:val="00413714"/>
    <w:rsid w:val="00422D90"/>
    <w:rsid w:val="00432E85"/>
    <w:rsid w:val="004332C6"/>
    <w:rsid w:val="00441E77"/>
    <w:rsid w:val="00444294"/>
    <w:rsid w:val="00450FD1"/>
    <w:rsid w:val="004522C7"/>
    <w:rsid w:val="00452A73"/>
    <w:rsid w:val="00460B73"/>
    <w:rsid w:val="00462F3F"/>
    <w:rsid w:val="00473A4D"/>
    <w:rsid w:val="00474B6C"/>
    <w:rsid w:val="004841C8"/>
    <w:rsid w:val="0049128D"/>
    <w:rsid w:val="00494AF5"/>
    <w:rsid w:val="004953AB"/>
    <w:rsid w:val="004A4CB5"/>
    <w:rsid w:val="004B05B9"/>
    <w:rsid w:val="004B14F9"/>
    <w:rsid w:val="004B1553"/>
    <w:rsid w:val="004B46E8"/>
    <w:rsid w:val="004B4DF4"/>
    <w:rsid w:val="004B6719"/>
    <w:rsid w:val="004B78C0"/>
    <w:rsid w:val="004C0F0E"/>
    <w:rsid w:val="004C22A9"/>
    <w:rsid w:val="004C5725"/>
    <w:rsid w:val="004D3ED2"/>
    <w:rsid w:val="004E05BB"/>
    <w:rsid w:val="004E28F8"/>
    <w:rsid w:val="004E51A2"/>
    <w:rsid w:val="004E744B"/>
    <w:rsid w:val="00501E61"/>
    <w:rsid w:val="00507F7C"/>
    <w:rsid w:val="00510C93"/>
    <w:rsid w:val="00520936"/>
    <w:rsid w:val="00523EB3"/>
    <w:rsid w:val="005304CA"/>
    <w:rsid w:val="00544320"/>
    <w:rsid w:val="00550D61"/>
    <w:rsid w:val="00554E56"/>
    <w:rsid w:val="00555221"/>
    <w:rsid w:val="0057232E"/>
    <w:rsid w:val="00580D13"/>
    <w:rsid w:val="0058204D"/>
    <w:rsid w:val="00590549"/>
    <w:rsid w:val="00590BB1"/>
    <w:rsid w:val="005A577F"/>
    <w:rsid w:val="005C4283"/>
    <w:rsid w:val="005C589E"/>
    <w:rsid w:val="005D5A70"/>
    <w:rsid w:val="005E39B5"/>
    <w:rsid w:val="005E5A9D"/>
    <w:rsid w:val="005F6743"/>
    <w:rsid w:val="006015BE"/>
    <w:rsid w:val="0060203A"/>
    <w:rsid w:val="00605D8F"/>
    <w:rsid w:val="00607072"/>
    <w:rsid w:val="00620B75"/>
    <w:rsid w:val="0062571C"/>
    <w:rsid w:val="00632C93"/>
    <w:rsid w:val="0063416B"/>
    <w:rsid w:val="0063631D"/>
    <w:rsid w:val="006453DB"/>
    <w:rsid w:val="00645FFF"/>
    <w:rsid w:val="0066056D"/>
    <w:rsid w:val="00661A49"/>
    <w:rsid w:val="006776ED"/>
    <w:rsid w:val="00681DB5"/>
    <w:rsid w:val="00683934"/>
    <w:rsid w:val="006A1537"/>
    <w:rsid w:val="006A3AB6"/>
    <w:rsid w:val="006A6CBB"/>
    <w:rsid w:val="006C035E"/>
    <w:rsid w:val="006C623F"/>
    <w:rsid w:val="006C7128"/>
    <w:rsid w:val="006D06C6"/>
    <w:rsid w:val="006D1A57"/>
    <w:rsid w:val="006E1D98"/>
    <w:rsid w:val="006F7536"/>
    <w:rsid w:val="007005C6"/>
    <w:rsid w:val="007023F1"/>
    <w:rsid w:val="00702AC4"/>
    <w:rsid w:val="0071256E"/>
    <w:rsid w:val="0071343E"/>
    <w:rsid w:val="0071500B"/>
    <w:rsid w:val="00726E5B"/>
    <w:rsid w:val="007367C8"/>
    <w:rsid w:val="007419A6"/>
    <w:rsid w:val="00743A1A"/>
    <w:rsid w:val="00743A9C"/>
    <w:rsid w:val="00756A82"/>
    <w:rsid w:val="00770657"/>
    <w:rsid w:val="0077250F"/>
    <w:rsid w:val="00773A04"/>
    <w:rsid w:val="00781BF8"/>
    <w:rsid w:val="00782B61"/>
    <w:rsid w:val="007966B4"/>
    <w:rsid w:val="007A60D7"/>
    <w:rsid w:val="007B563A"/>
    <w:rsid w:val="007C16E6"/>
    <w:rsid w:val="007C3776"/>
    <w:rsid w:val="007C742E"/>
    <w:rsid w:val="007D399D"/>
    <w:rsid w:val="007D39F8"/>
    <w:rsid w:val="007D4879"/>
    <w:rsid w:val="007E05FB"/>
    <w:rsid w:val="007E24F0"/>
    <w:rsid w:val="007E263A"/>
    <w:rsid w:val="007E7E63"/>
    <w:rsid w:val="007F13FE"/>
    <w:rsid w:val="00801164"/>
    <w:rsid w:val="00812302"/>
    <w:rsid w:val="00814C50"/>
    <w:rsid w:val="0082160A"/>
    <w:rsid w:val="00824637"/>
    <w:rsid w:val="0082574E"/>
    <w:rsid w:val="00825E62"/>
    <w:rsid w:val="00831174"/>
    <w:rsid w:val="00832FB0"/>
    <w:rsid w:val="00837ECB"/>
    <w:rsid w:val="008404C7"/>
    <w:rsid w:val="00840C25"/>
    <w:rsid w:val="00843B57"/>
    <w:rsid w:val="00850480"/>
    <w:rsid w:val="00850E80"/>
    <w:rsid w:val="00856271"/>
    <w:rsid w:val="008601A4"/>
    <w:rsid w:val="00860AAC"/>
    <w:rsid w:val="00860D53"/>
    <w:rsid w:val="00861F85"/>
    <w:rsid w:val="00867C30"/>
    <w:rsid w:val="008706BE"/>
    <w:rsid w:val="00871C0F"/>
    <w:rsid w:val="008767D6"/>
    <w:rsid w:val="00886E78"/>
    <w:rsid w:val="00886F16"/>
    <w:rsid w:val="008879D9"/>
    <w:rsid w:val="008916F9"/>
    <w:rsid w:val="008A6CA6"/>
    <w:rsid w:val="008B1A55"/>
    <w:rsid w:val="008B73BB"/>
    <w:rsid w:val="008C48AA"/>
    <w:rsid w:val="008D1419"/>
    <w:rsid w:val="008D19B8"/>
    <w:rsid w:val="008D31E8"/>
    <w:rsid w:val="008F0404"/>
    <w:rsid w:val="008F4D45"/>
    <w:rsid w:val="00904903"/>
    <w:rsid w:val="00912B78"/>
    <w:rsid w:val="00913240"/>
    <w:rsid w:val="00915E5A"/>
    <w:rsid w:val="009249C3"/>
    <w:rsid w:val="009271EC"/>
    <w:rsid w:val="00930B3A"/>
    <w:rsid w:val="00934B3E"/>
    <w:rsid w:val="00936F19"/>
    <w:rsid w:val="00940D0B"/>
    <w:rsid w:val="00942EEE"/>
    <w:rsid w:val="00947ABA"/>
    <w:rsid w:val="00952BFB"/>
    <w:rsid w:val="00957ABF"/>
    <w:rsid w:val="00960ED7"/>
    <w:rsid w:val="0097625A"/>
    <w:rsid w:val="00976DA1"/>
    <w:rsid w:val="00981C01"/>
    <w:rsid w:val="009840B3"/>
    <w:rsid w:val="00992625"/>
    <w:rsid w:val="00993E6F"/>
    <w:rsid w:val="009A4E2E"/>
    <w:rsid w:val="009B24A0"/>
    <w:rsid w:val="009B4552"/>
    <w:rsid w:val="009B4608"/>
    <w:rsid w:val="009B63A0"/>
    <w:rsid w:val="009B71C1"/>
    <w:rsid w:val="009D11F0"/>
    <w:rsid w:val="009D1E04"/>
    <w:rsid w:val="009D723F"/>
    <w:rsid w:val="009E764C"/>
    <w:rsid w:val="009E7686"/>
    <w:rsid w:val="009F15AF"/>
    <w:rsid w:val="009F22CE"/>
    <w:rsid w:val="00A011A1"/>
    <w:rsid w:val="00A01CF5"/>
    <w:rsid w:val="00A04A13"/>
    <w:rsid w:val="00A25828"/>
    <w:rsid w:val="00A26C35"/>
    <w:rsid w:val="00A27D73"/>
    <w:rsid w:val="00A30FA8"/>
    <w:rsid w:val="00A4145C"/>
    <w:rsid w:val="00A41B79"/>
    <w:rsid w:val="00A4245B"/>
    <w:rsid w:val="00A43190"/>
    <w:rsid w:val="00A60F95"/>
    <w:rsid w:val="00A6289B"/>
    <w:rsid w:val="00A63E0D"/>
    <w:rsid w:val="00A67BAD"/>
    <w:rsid w:val="00A7392F"/>
    <w:rsid w:val="00A74543"/>
    <w:rsid w:val="00A75E28"/>
    <w:rsid w:val="00A76483"/>
    <w:rsid w:val="00A77E60"/>
    <w:rsid w:val="00A80A0C"/>
    <w:rsid w:val="00A811EC"/>
    <w:rsid w:val="00A83C43"/>
    <w:rsid w:val="00AA00E4"/>
    <w:rsid w:val="00AB1980"/>
    <w:rsid w:val="00AC03C0"/>
    <w:rsid w:val="00AC55B2"/>
    <w:rsid w:val="00AC601E"/>
    <w:rsid w:val="00AC6578"/>
    <w:rsid w:val="00AD1D1E"/>
    <w:rsid w:val="00AD3AD0"/>
    <w:rsid w:val="00AD68AE"/>
    <w:rsid w:val="00AD6F2D"/>
    <w:rsid w:val="00AD7C99"/>
    <w:rsid w:val="00AE0F5C"/>
    <w:rsid w:val="00AE25F1"/>
    <w:rsid w:val="00AE45A7"/>
    <w:rsid w:val="00B01A58"/>
    <w:rsid w:val="00B064ED"/>
    <w:rsid w:val="00B1209D"/>
    <w:rsid w:val="00B2006D"/>
    <w:rsid w:val="00B3676D"/>
    <w:rsid w:val="00B41FC0"/>
    <w:rsid w:val="00B438B0"/>
    <w:rsid w:val="00B601B6"/>
    <w:rsid w:val="00B62AA1"/>
    <w:rsid w:val="00B676D5"/>
    <w:rsid w:val="00B85F94"/>
    <w:rsid w:val="00B9187A"/>
    <w:rsid w:val="00B975FB"/>
    <w:rsid w:val="00BC7EB2"/>
    <w:rsid w:val="00BD2AEB"/>
    <w:rsid w:val="00BD45C6"/>
    <w:rsid w:val="00BD4B48"/>
    <w:rsid w:val="00BE15E9"/>
    <w:rsid w:val="00BE1DB5"/>
    <w:rsid w:val="00BE3ED0"/>
    <w:rsid w:val="00BE44CB"/>
    <w:rsid w:val="00BF1E78"/>
    <w:rsid w:val="00BF3B5A"/>
    <w:rsid w:val="00C04271"/>
    <w:rsid w:val="00C072E3"/>
    <w:rsid w:val="00C120AF"/>
    <w:rsid w:val="00C13EF3"/>
    <w:rsid w:val="00C14624"/>
    <w:rsid w:val="00C17B1B"/>
    <w:rsid w:val="00C20067"/>
    <w:rsid w:val="00C24428"/>
    <w:rsid w:val="00C353AE"/>
    <w:rsid w:val="00C35CFC"/>
    <w:rsid w:val="00C42832"/>
    <w:rsid w:val="00C44077"/>
    <w:rsid w:val="00C5316A"/>
    <w:rsid w:val="00C536E1"/>
    <w:rsid w:val="00C544E6"/>
    <w:rsid w:val="00C878D9"/>
    <w:rsid w:val="00CA233C"/>
    <w:rsid w:val="00CB2458"/>
    <w:rsid w:val="00CC1984"/>
    <w:rsid w:val="00CC1ADE"/>
    <w:rsid w:val="00CC5AAC"/>
    <w:rsid w:val="00CD57CB"/>
    <w:rsid w:val="00CE0988"/>
    <w:rsid w:val="00CE448B"/>
    <w:rsid w:val="00CE53B0"/>
    <w:rsid w:val="00CE78BF"/>
    <w:rsid w:val="00CF79A5"/>
    <w:rsid w:val="00D03E06"/>
    <w:rsid w:val="00D03E2E"/>
    <w:rsid w:val="00D04846"/>
    <w:rsid w:val="00D05510"/>
    <w:rsid w:val="00D100B5"/>
    <w:rsid w:val="00D10DF3"/>
    <w:rsid w:val="00D158C6"/>
    <w:rsid w:val="00D17495"/>
    <w:rsid w:val="00D23874"/>
    <w:rsid w:val="00D2543F"/>
    <w:rsid w:val="00D33BAC"/>
    <w:rsid w:val="00D5431C"/>
    <w:rsid w:val="00D55A1E"/>
    <w:rsid w:val="00D576E8"/>
    <w:rsid w:val="00D72481"/>
    <w:rsid w:val="00D80A9B"/>
    <w:rsid w:val="00D818CC"/>
    <w:rsid w:val="00D8334F"/>
    <w:rsid w:val="00D83690"/>
    <w:rsid w:val="00D84257"/>
    <w:rsid w:val="00D8799C"/>
    <w:rsid w:val="00D921B8"/>
    <w:rsid w:val="00D92B64"/>
    <w:rsid w:val="00D95C91"/>
    <w:rsid w:val="00DA1FAD"/>
    <w:rsid w:val="00DA4C49"/>
    <w:rsid w:val="00DB0870"/>
    <w:rsid w:val="00DB3581"/>
    <w:rsid w:val="00DC6DB0"/>
    <w:rsid w:val="00DC7E76"/>
    <w:rsid w:val="00DD3D21"/>
    <w:rsid w:val="00DD3D6B"/>
    <w:rsid w:val="00DD3F3B"/>
    <w:rsid w:val="00DD49C0"/>
    <w:rsid w:val="00DD5B29"/>
    <w:rsid w:val="00DE5E33"/>
    <w:rsid w:val="00DF2940"/>
    <w:rsid w:val="00DF3B43"/>
    <w:rsid w:val="00E02243"/>
    <w:rsid w:val="00E03361"/>
    <w:rsid w:val="00E04313"/>
    <w:rsid w:val="00E40467"/>
    <w:rsid w:val="00E4086E"/>
    <w:rsid w:val="00E432D1"/>
    <w:rsid w:val="00E46A79"/>
    <w:rsid w:val="00E5017B"/>
    <w:rsid w:val="00E512D4"/>
    <w:rsid w:val="00E52021"/>
    <w:rsid w:val="00E53A5F"/>
    <w:rsid w:val="00E54265"/>
    <w:rsid w:val="00E608F5"/>
    <w:rsid w:val="00E71E80"/>
    <w:rsid w:val="00E8481B"/>
    <w:rsid w:val="00E93914"/>
    <w:rsid w:val="00E97BA6"/>
    <w:rsid w:val="00EA2681"/>
    <w:rsid w:val="00EA73A0"/>
    <w:rsid w:val="00EB1C2A"/>
    <w:rsid w:val="00EB2DD9"/>
    <w:rsid w:val="00EC09A3"/>
    <w:rsid w:val="00EC5816"/>
    <w:rsid w:val="00EC74C1"/>
    <w:rsid w:val="00ED47AE"/>
    <w:rsid w:val="00EF3BD4"/>
    <w:rsid w:val="00EF5D25"/>
    <w:rsid w:val="00EF6954"/>
    <w:rsid w:val="00F07EF9"/>
    <w:rsid w:val="00F124AC"/>
    <w:rsid w:val="00F127C8"/>
    <w:rsid w:val="00F15910"/>
    <w:rsid w:val="00F17B78"/>
    <w:rsid w:val="00F21A0D"/>
    <w:rsid w:val="00F2739B"/>
    <w:rsid w:val="00F32F77"/>
    <w:rsid w:val="00F33896"/>
    <w:rsid w:val="00F33EA0"/>
    <w:rsid w:val="00F35B92"/>
    <w:rsid w:val="00F40608"/>
    <w:rsid w:val="00F42163"/>
    <w:rsid w:val="00F500D1"/>
    <w:rsid w:val="00F55134"/>
    <w:rsid w:val="00F57FFC"/>
    <w:rsid w:val="00F62253"/>
    <w:rsid w:val="00F65D29"/>
    <w:rsid w:val="00F721DA"/>
    <w:rsid w:val="00F75E96"/>
    <w:rsid w:val="00F8285E"/>
    <w:rsid w:val="00F870B9"/>
    <w:rsid w:val="00F921E1"/>
    <w:rsid w:val="00F93B27"/>
    <w:rsid w:val="00FA40D4"/>
    <w:rsid w:val="00FA67C9"/>
    <w:rsid w:val="00FB69E1"/>
    <w:rsid w:val="00FC2D6C"/>
    <w:rsid w:val="00FC7D81"/>
    <w:rsid w:val="00FD1F87"/>
    <w:rsid w:val="00FD2BED"/>
    <w:rsid w:val="00FD483D"/>
    <w:rsid w:val="00FE67CF"/>
    <w:rsid w:val="00FF47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FF9FD4"/>
  <w15:chartTrackingRefBased/>
  <w15:docId w15:val="{4E905E67-AA3F-465D-A92D-07386774B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56271"/>
    <w:pPr>
      <w:widowControl w:val="0"/>
      <w:jc w:val="both"/>
    </w:pPr>
    <w:rPr>
      <w:rFonts w:ascii="Times New Roman" w:hAnsi="Times New Roman" w:cs="Times New Roman"/>
      <w:lang w:val="en-GB"/>
    </w:rPr>
  </w:style>
  <w:style w:type="paragraph" w:styleId="Heading1">
    <w:name w:val="heading 1"/>
    <w:basedOn w:val="ListParagraph"/>
    <w:next w:val="Normal"/>
    <w:link w:val="Heading1Char"/>
    <w:uiPriority w:val="9"/>
    <w:qFormat/>
    <w:rsid w:val="00871C0F"/>
    <w:pPr>
      <w:ind w:left="360" w:firstLineChars="0" w:firstLine="0"/>
      <w:outlineLvl w:val="0"/>
    </w:pPr>
    <w:rPr>
      <w:b/>
      <w:sz w:val="24"/>
    </w:rPr>
  </w:style>
  <w:style w:type="paragraph" w:styleId="Heading2">
    <w:name w:val="heading 2"/>
    <w:basedOn w:val="Normal"/>
    <w:next w:val="Normal"/>
    <w:link w:val="Heading2Char"/>
    <w:uiPriority w:val="9"/>
    <w:unhideWhenUsed/>
    <w:qFormat/>
    <w:rsid w:val="00871C0F"/>
    <w:pPr>
      <w:outlineLvl w:val="1"/>
    </w:pPr>
    <w:rPr>
      <w:i/>
      <w:sz w:val="24"/>
    </w:rPr>
  </w:style>
  <w:style w:type="paragraph" w:styleId="Heading3">
    <w:name w:val="heading 3"/>
    <w:basedOn w:val="Normal"/>
    <w:next w:val="Normal"/>
    <w:link w:val="Heading3Char"/>
    <w:uiPriority w:val="9"/>
    <w:unhideWhenUsed/>
    <w:qFormat/>
    <w:rsid w:val="00871C0F"/>
    <w:pPr>
      <w:outlineLvl w:val="2"/>
    </w:pPr>
    <w:rPr>
      <w:i/>
      <w:sz w:val="24"/>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1C0F"/>
    <w:rPr>
      <w:rFonts w:ascii="Times New Roman" w:hAnsi="Times New Roman" w:cs="Times New Roman"/>
      <w:b/>
      <w:sz w:val="24"/>
      <w:lang w:val="en-GB"/>
    </w:rPr>
  </w:style>
  <w:style w:type="character" w:customStyle="1" w:styleId="Heading2Char">
    <w:name w:val="Heading 2 Char"/>
    <w:basedOn w:val="DefaultParagraphFont"/>
    <w:link w:val="Heading2"/>
    <w:uiPriority w:val="9"/>
    <w:rsid w:val="00871C0F"/>
    <w:rPr>
      <w:rFonts w:ascii="Times New Roman" w:hAnsi="Times New Roman" w:cs="Times New Roman"/>
      <w:i/>
      <w:sz w:val="24"/>
      <w:lang w:val="en-GB"/>
    </w:rPr>
  </w:style>
  <w:style w:type="character" w:customStyle="1" w:styleId="Heading3Char">
    <w:name w:val="Heading 3 Char"/>
    <w:basedOn w:val="DefaultParagraphFont"/>
    <w:link w:val="Heading3"/>
    <w:uiPriority w:val="9"/>
    <w:rsid w:val="00871C0F"/>
    <w:rPr>
      <w:rFonts w:ascii="Times New Roman" w:hAnsi="Times New Roman" w:cs="Times New Roman"/>
      <w:i/>
      <w:sz w:val="24"/>
      <w:szCs w:val="21"/>
      <w:lang w:val="en-GB"/>
    </w:rPr>
  </w:style>
  <w:style w:type="paragraph" w:styleId="Header">
    <w:name w:val="header"/>
    <w:basedOn w:val="Normal"/>
    <w:link w:val="HeaderChar"/>
    <w:uiPriority w:val="99"/>
    <w:unhideWhenUsed/>
    <w:rsid w:val="00871C0F"/>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871C0F"/>
    <w:rPr>
      <w:rFonts w:ascii="Times New Roman" w:hAnsi="Times New Roman" w:cs="Times New Roman"/>
      <w:sz w:val="18"/>
      <w:szCs w:val="18"/>
      <w:lang w:val="en-GB"/>
    </w:rPr>
  </w:style>
  <w:style w:type="paragraph" w:styleId="Footer">
    <w:name w:val="footer"/>
    <w:basedOn w:val="Normal"/>
    <w:link w:val="FooterChar"/>
    <w:uiPriority w:val="99"/>
    <w:unhideWhenUsed/>
    <w:rsid w:val="00871C0F"/>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871C0F"/>
    <w:rPr>
      <w:rFonts w:ascii="Times New Roman" w:hAnsi="Times New Roman" w:cs="Times New Roman"/>
      <w:sz w:val="18"/>
      <w:szCs w:val="18"/>
      <w:lang w:val="en-GB"/>
    </w:rPr>
  </w:style>
  <w:style w:type="paragraph" w:styleId="ListParagraph">
    <w:name w:val="List Paragraph"/>
    <w:basedOn w:val="Normal"/>
    <w:uiPriority w:val="34"/>
    <w:qFormat/>
    <w:rsid w:val="00871C0F"/>
    <w:pPr>
      <w:ind w:firstLineChars="200" w:firstLine="420"/>
    </w:pPr>
  </w:style>
  <w:style w:type="paragraph" w:styleId="NormalWeb">
    <w:name w:val="Normal (Web)"/>
    <w:basedOn w:val="Normal"/>
    <w:uiPriority w:val="99"/>
    <w:unhideWhenUsed/>
    <w:rsid w:val="00871C0F"/>
    <w:pPr>
      <w:widowControl/>
      <w:spacing w:before="100" w:beforeAutospacing="1" w:after="100" w:afterAutospacing="1"/>
      <w:jc w:val="left"/>
    </w:pPr>
    <w:rPr>
      <w:rFonts w:ascii="SimSun" w:eastAsia="SimSun" w:hAnsi="SimSun" w:cs="SimSun"/>
      <w:kern w:val="0"/>
      <w:sz w:val="24"/>
      <w:szCs w:val="24"/>
      <w:lang w:val="en-US"/>
    </w:rPr>
  </w:style>
  <w:style w:type="table" w:customStyle="1" w:styleId="51">
    <w:name w:val="无格式表格 51"/>
    <w:basedOn w:val="TableNormal"/>
    <w:uiPriority w:val="45"/>
    <w:rsid w:val="00871C0F"/>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
    <w:name w:val="Table Grid"/>
    <w:basedOn w:val="TableNormal"/>
    <w:uiPriority w:val="39"/>
    <w:rsid w:val="00871C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871C0F"/>
  </w:style>
  <w:style w:type="character" w:styleId="CommentReference">
    <w:name w:val="annotation reference"/>
    <w:basedOn w:val="DefaultParagraphFont"/>
    <w:uiPriority w:val="99"/>
    <w:semiHidden/>
    <w:unhideWhenUsed/>
    <w:rsid w:val="00871C0F"/>
    <w:rPr>
      <w:sz w:val="16"/>
      <w:szCs w:val="16"/>
    </w:rPr>
  </w:style>
  <w:style w:type="paragraph" w:styleId="CommentText">
    <w:name w:val="annotation text"/>
    <w:basedOn w:val="Normal"/>
    <w:link w:val="CommentTextChar"/>
    <w:uiPriority w:val="99"/>
    <w:semiHidden/>
    <w:unhideWhenUsed/>
    <w:rsid w:val="00871C0F"/>
    <w:rPr>
      <w:sz w:val="20"/>
      <w:szCs w:val="20"/>
    </w:rPr>
  </w:style>
  <w:style w:type="character" w:customStyle="1" w:styleId="CommentTextChar">
    <w:name w:val="Comment Text Char"/>
    <w:basedOn w:val="DefaultParagraphFont"/>
    <w:link w:val="CommentText"/>
    <w:uiPriority w:val="99"/>
    <w:semiHidden/>
    <w:rsid w:val="00871C0F"/>
    <w:rPr>
      <w:rFonts w:ascii="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871C0F"/>
    <w:rPr>
      <w:b/>
      <w:bCs/>
    </w:rPr>
  </w:style>
  <w:style w:type="character" w:customStyle="1" w:styleId="CommentSubjectChar">
    <w:name w:val="Comment Subject Char"/>
    <w:basedOn w:val="CommentTextChar"/>
    <w:link w:val="CommentSubject"/>
    <w:uiPriority w:val="99"/>
    <w:semiHidden/>
    <w:rsid w:val="00871C0F"/>
    <w:rPr>
      <w:rFonts w:ascii="Times New Roman" w:hAnsi="Times New Roman" w:cs="Times New Roman"/>
      <w:b/>
      <w:bCs/>
      <w:sz w:val="20"/>
      <w:szCs w:val="20"/>
      <w:lang w:val="en-GB"/>
    </w:rPr>
  </w:style>
  <w:style w:type="paragraph" w:styleId="BalloonText">
    <w:name w:val="Balloon Text"/>
    <w:basedOn w:val="Normal"/>
    <w:link w:val="BalloonTextChar"/>
    <w:uiPriority w:val="99"/>
    <w:semiHidden/>
    <w:unhideWhenUsed/>
    <w:rsid w:val="00871C0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1C0F"/>
    <w:rPr>
      <w:rFonts w:ascii="Segoe UI" w:hAnsi="Segoe UI" w:cs="Segoe UI"/>
      <w:sz w:val="18"/>
      <w:szCs w:val="18"/>
      <w:lang w:val="en-GB"/>
    </w:rPr>
  </w:style>
  <w:style w:type="character" w:styleId="PlaceholderText">
    <w:name w:val="Placeholder Text"/>
    <w:basedOn w:val="DefaultParagraphFont"/>
    <w:uiPriority w:val="99"/>
    <w:semiHidden/>
    <w:rsid w:val="00871C0F"/>
    <w:rPr>
      <w:color w:val="808080"/>
    </w:rPr>
  </w:style>
  <w:style w:type="character" w:customStyle="1" w:styleId="fontstyle01">
    <w:name w:val="fontstyle01"/>
    <w:basedOn w:val="DefaultParagraphFont"/>
    <w:rsid w:val="00871C0F"/>
    <w:rPr>
      <w:rFonts w:ascii="Code2000" w:hAnsi="Code2000" w:hint="default"/>
      <w:b w:val="0"/>
      <w:bCs w:val="0"/>
      <w:i w:val="0"/>
      <w:iCs w:val="0"/>
      <w:color w:val="000000"/>
      <w:sz w:val="20"/>
      <w:szCs w:val="20"/>
    </w:rPr>
  </w:style>
  <w:style w:type="character" w:customStyle="1" w:styleId="1">
    <w:name w:val="标题1"/>
    <w:basedOn w:val="DefaultParagraphFont"/>
    <w:rsid w:val="00871C0F"/>
  </w:style>
  <w:style w:type="character" w:customStyle="1" w:styleId="fontstyle21">
    <w:name w:val="fontstyle21"/>
    <w:basedOn w:val="DefaultParagraphFont"/>
    <w:rsid w:val="00871C0F"/>
    <w:rPr>
      <w:rFonts w:ascii="AdvPS8588" w:hAnsi="AdvPS8588" w:hint="default"/>
      <w:b w:val="0"/>
      <w:bCs w:val="0"/>
      <w:i w:val="0"/>
      <w:iCs w:val="0"/>
      <w:color w:val="231F20"/>
      <w:sz w:val="18"/>
      <w:szCs w:val="18"/>
    </w:rPr>
  </w:style>
  <w:style w:type="paragraph" w:customStyle="1" w:styleId="EndNoteBibliographyTitle">
    <w:name w:val="EndNote Bibliography Title"/>
    <w:basedOn w:val="Normal"/>
    <w:link w:val="EndNoteBibliographyTitle0"/>
    <w:rsid w:val="00871C0F"/>
    <w:pPr>
      <w:jc w:val="center"/>
    </w:pPr>
    <w:rPr>
      <w:noProof/>
      <w:sz w:val="24"/>
    </w:rPr>
  </w:style>
  <w:style w:type="character" w:customStyle="1" w:styleId="EndNoteBibliographyTitle0">
    <w:name w:val="EndNote Bibliography Title 字符"/>
    <w:basedOn w:val="DefaultParagraphFont"/>
    <w:link w:val="EndNoteBibliographyTitle"/>
    <w:rsid w:val="00871C0F"/>
    <w:rPr>
      <w:rFonts w:ascii="Times New Roman" w:hAnsi="Times New Roman" w:cs="Times New Roman"/>
      <w:noProof/>
      <w:sz w:val="24"/>
      <w:lang w:val="en-GB"/>
    </w:rPr>
  </w:style>
  <w:style w:type="paragraph" w:customStyle="1" w:styleId="EndNoteBibliography">
    <w:name w:val="EndNote Bibliography"/>
    <w:basedOn w:val="Normal"/>
    <w:link w:val="EndNoteBibliography0"/>
    <w:rsid w:val="00871C0F"/>
    <w:rPr>
      <w:noProof/>
      <w:sz w:val="24"/>
    </w:rPr>
  </w:style>
  <w:style w:type="character" w:customStyle="1" w:styleId="EndNoteBibliography0">
    <w:name w:val="EndNote Bibliography 字符"/>
    <w:basedOn w:val="DefaultParagraphFont"/>
    <w:link w:val="EndNoteBibliography"/>
    <w:rsid w:val="00871C0F"/>
    <w:rPr>
      <w:rFonts w:ascii="Times New Roman" w:hAnsi="Times New Roman" w:cs="Times New Roman"/>
      <w:noProof/>
      <w:sz w:val="24"/>
      <w:lang w:val="en-GB"/>
    </w:rPr>
  </w:style>
  <w:style w:type="paragraph" w:styleId="Revision">
    <w:name w:val="Revision"/>
    <w:hidden/>
    <w:uiPriority w:val="99"/>
    <w:semiHidden/>
    <w:rsid w:val="00871C0F"/>
    <w:rPr>
      <w:rFonts w:ascii="Times New Roman" w:hAnsi="Times New Roman" w:cs="Times New Roman"/>
      <w:lang w:val="en-GB"/>
    </w:rPr>
  </w:style>
  <w:style w:type="character" w:styleId="Hyperlink">
    <w:name w:val="Hyperlink"/>
    <w:basedOn w:val="DefaultParagraphFont"/>
    <w:uiPriority w:val="99"/>
    <w:unhideWhenUsed/>
    <w:rsid w:val="00871C0F"/>
    <w:rPr>
      <w:color w:val="0000FF"/>
      <w:u w:val="single"/>
    </w:rPr>
  </w:style>
  <w:style w:type="paragraph" w:customStyle="1" w:styleId="src">
    <w:name w:val="src"/>
    <w:basedOn w:val="Normal"/>
    <w:rsid w:val="00E4086E"/>
    <w:pPr>
      <w:widowControl/>
      <w:spacing w:before="100" w:beforeAutospacing="1" w:after="100" w:afterAutospacing="1"/>
      <w:jc w:val="left"/>
    </w:pPr>
    <w:rPr>
      <w:rFonts w:ascii="SimSun" w:eastAsia="SimSun" w:hAnsi="SimSun" w:cs="SimSun"/>
      <w:kern w:val="0"/>
      <w:sz w:val="24"/>
      <w:szCs w:val="24"/>
      <w:lang w:val="en-US"/>
    </w:rPr>
  </w:style>
  <w:style w:type="paragraph" w:styleId="Date">
    <w:name w:val="Date"/>
    <w:basedOn w:val="Normal"/>
    <w:next w:val="Normal"/>
    <w:link w:val="DateChar"/>
    <w:uiPriority w:val="99"/>
    <w:semiHidden/>
    <w:unhideWhenUsed/>
    <w:rsid w:val="00E93914"/>
    <w:pPr>
      <w:ind w:leftChars="2500" w:left="100"/>
    </w:pPr>
  </w:style>
  <w:style w:type="character" w:customStyle="1" w:styleId="DateChar">
    <w:name w:val="Date Char"/>
    <w:basedOn w:val="DefaultParagraphFont"/>
    <w:link w:val="Date"/>
    <w:uiPriority w:val="99"/>
    <w:semiHidden/>
    <w:rsid w:val="00E93914"/>
    <w:rPr>
      <w:rFonts w:ascii="Times New Roman" w:hAnsi="Times New Roman" w:cs="Times New Roman"/>
      <w:lang w:val="en-GB"/>
    </w:rPr>
  </w:style>
  <w:style w:type="character" w:customStyle="1" w:styleId="UnresolvedMention1">
    <w:name w:val="Unresolved Mention1"/>
    <w:basedOn w:val="DefaultParagraphFont"/>
    <w:uiPriority w:val="99"/>
    <w:semiHidden/>
    <w:unhideWhenUsed/>
    <w:rsid w:val="00D80A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609562">
      <w:bodyDiv w:val="1"/>
      <w:marLeft w:val="0"/>
      <w:marRight w:val="0"/>
      <w:marTop w:val="0"/>
      <w:marBottom w:val="0"/>
      <w:divBdr>
        <w:top w:val="none" w:sz="0" w:space="0" w:color="auto"/>
        <w:left w:val="none" w:sz="0" w:space="0" w:color="auto"/>
        <w:bottom w:val="none" w:sz="0" w:space="0" w:color="auto"/>
        <w:right w:val="none" w:sz="0" w:space="0" w:color="auto"/>
      </w:divBdr>
    </w:div>
    <w:div w:id="208304371">
      <w:bodyDiv w:val="1"/>
      <w:marLeft w:val="0"/>
      <w:marRight w:val="0"/>
      <w:marTop w:val="0"/>
      <w:marBottom w:val="0"/>
      <w:divBdr>
        <w:top w:val="none" w:sz="0" w:space="0" w:color="auto"/>
        <w:left w:val="none" w:sz="0" w:space="0" w:color="auto"/>
        <w:bottom w:val="none" w:sz="0" w:space="0" w:color="auto"/>
        <w:right w:val="none" w:sz="0" w:space="0" w:color="auto"/>
      </w:divBdr>
    </w:div>
    <w:div w:id="284048979">
      <w:bodyDiv w:val="1"/>
      <w:marLeft w:val="0"/>
      <w:marRight w:val="0"/>
      <w:marTop w:val="0"/>
      <w:marBottom w:val="0"/>
      <w:divBdr>
        <w:top w:val="none" w:sz="0" w:space="0" w:color="auto"/>
        <w:left w:val="none" w:sz="0" w:space="0" w:color="auto"/>
        <w:bottom w:val="none" w:sz="0" w:space="0" w:color="auto"/>
        <w:right w:val="none" w:sz="0" w:space="0" w:color="auto"/>
      </w:divBdr>
    </w:div>
    <w:div w:id="619536564">
      <w:bodyDiv w:val="1"/>
      <w:marLeft w:val="0"/>
      <w:marRight w:val="0"/>
      <w:marTop w:val="0"/>
      <w:marBottom w:val="0"/>
      <w:divBdr>
        <w:top w:val="none" w:sz="0" w:space="0" w:color="auto"/>
        <w:left w:val="none" w:sz="0" w:space="0" w:color="auto"/>
        <w:bottom w:val="none" w:sz="0" w:space="0" w:color="auto"/>
        <w:right w:val="none" w:sz="0" w:space="0" w:color="auto"/>
      </w:divBdr>
    </w:div>
    <w:div w:id="865024771">
      <w:bodyDiv w:val="1"/>
      <w:marLeft w:val="0"/>
      <w:marRight w:val="0"/>
      <w:marTop w:val="0"/>
      <w:marBottom w:val="0"/>
      <w:divBdr>
        <w:top w:val="none" w:sz="0" w:space="0" w:color="auto"/>
        <w:left w:val="none" w:sz="0" w:space="0" w:color="auto"/>
        <w:bottom w:val="none" w:sz="0" w:space="0" w:color="auto"/>
        <w:right w:val="none" w:sz="0" w:space="0" w:color="auto"/>
      </w:divBdr>
    </w:div>
    <w:div w:id="1715689502">
      <w:bodyDiv w:val="1"/>
      <w:marLeft w:val="0"/>
      <w:marRight w:val="0"/>
      <w:marTop w:val="0"/>
      <w:marBottom w:val="0"/>
      <w:divBdr>
        <w:top w:val="none" w:sz="0" w:space="0" w:color="auto"/>
        <w:left w:val="none" w:sz="0" w:space="0" w:color="auto"/>
        <w:bottom w:val="none" w:sz="0" w:space="0" w:color="auto"/>
        <w:right w:val="none" w:sz="0" w:space="0" w:color="auto"/>
      </w:divBdr>
    </w:div>
    <w:div w:id="1967200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fu.jia@york.ac.uk"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lenovo\Desktop\&#26032;&#24314;&#25991;&#20214;&#22841;\scf_update\SCFpspers%20list-yang_BZ.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lenovo\Desktop\&#26032;&#24314;&#25991;&#20214;&#22841;\scf_update\SCFpspers%20list-yang_BZ.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lenovo\Desktop\&#26032;&#24314;&#25991;&#20214;&#22841;\scf_update\SCFpspers%20list-yang_BZ.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F:\UnderReviewing\2_SCFconceptualPaper\SCF_20190322\SCFpspers%20list-yang_BZ.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Sheet2!$G$3:$G$16</c:f>
              <c:numCache>
                <c:formatCode>General</c:formatCode>
                <c:ptCount val="14"/>
                <c:pt idx="0">
                  <c:v>2001</c:v>
                </c:pt>
                <c:pt idx="1">
                  <c:v>2005</c:v>
                </c:pt>
                <c:pt idx="2">
                  <c:v>2006</c:v>
                </c:pt>
                <c:pt idx="3">
                  <c:v>2008</c:v>
                </c:pt>
                <c:pt idx="4">
                  <c:v>2009</c:v>
                </c:pt>
                <c:pt idx="5">
                  <c:v>2010</c:v>
                </c:pt>
                <c:pt idx="6">
                  <c:v>2011</c:v>
                </c:pt>
                <c:pt idx="7">
                  <c:v>2012</c:v>
                </c:pt>
                <c:pt idx="8">
                  <c:v>2013</c:v>
                </c:pt>
                <c:pt idx="9">
                  <c:v>2014</c:v>
                </c:pt>
                <c:pt idx="10">
                  <c:v>2015</c:v>
                </c:pt>
                <c:pt idx="11">
                  <c:v>2016</c:v>
                </c:pt>
                <c:pt idx="12">
                  <c:v>2017</c:v>
                </c:pt>
                <c:pt idx="13">
                  <c:v>2018</c:v>
                </c:pt>
              </c:numCache>
            </c:numRef>
          </c:cat>
          <c:val>
            <c:numRef>
              <c:f>Sheet2!$H$3:$H$16</c:f>
              <c:numCache>
                <c:formatCode>General</c:formatCode>
                <c:ptCount val="14"/>
                <c:pt idx="0">
                  <c:v>1</c:v>
                </c:pt>
                <c:pt idx="1">
                  <c:v>1</c:v>
                </c:pt>
                <c:pt idx="2">
                  <c:v>1</c:v>
                </c:pt>
                <c:pt idx="3">
                  <c:v>3</c:v>
                </c:pt>
                <c:pt idx="4">
                  <c:v>7</c:v>
                </c:pt>
                <c:pt idx="5">
                  <c:v>4</c:v>
                </c:pt>
                <c:pt idx="6">
                  <c:v>3</c:v>
                </c:pt>
                <c:pt idx="7">
                  <c:v>3</c:v>
                </c:pt>
                <c:pt idx="8">
                  <c:v>7</c:v>
                </c:pt>
                <c:pt idx="9">
                  <c:v>3</c:v>
                </c:pt>
                <c:pt idx="10">
                  <c:v>8</c:v>
                </c:pt>
                <c:pt idx="11">
                  <c:v>12</c:v>
                </c:pt>
                <c:pt idx="12">
                  <c:v>13</c:v>
                </c:pt>
                <c:pt idx="13">
                  <c:v>5</c:v>
                </c:pt>
              </c:numCache>
            </c:numRef>
          </c:val>
          <c:smooth val="0"/>
          <c:extLst>
            <c:ext xmlns:c16="http://schemas.microsoft.com/office/drawing/2014/chart" uri="{C3380CC4-5D6E-409C-BE32-E72D297353CC}">
              <c16:uniqueId val="{00000000-1DD2-5F48-B5F5-41DE5E47156A}"/>
            </c:ext>
          </c:extLst>
        </c:ser>
        <c:dLbls>
          <c:showLegendKey val="0"/>
          <c:showVal val="0"/>
          <c:showCatName val="0"/>
          <c:showSerName val="0"/>
          <c:showPercent val="0"/>
          <c:showBubbleSize val="0"/>
        </c:dLbls>
        <c:marker val="1"/>
        <c:smooth val="0"/>
        <c:axId val="529205864"/>
        <c:axId val="429087888"/>
      </c:lineChart>
      <c:catAx>
        <c:axId val="529205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9087888"/>
        <c:crosses val="autoZero"/>
        <c:auto val="1"/>
        <c:lblAlgn val="ctr"/>
        <c:lblOffset val="100"/>
        <c:noMultiLvlLbl val="0"/>
      </c:catAx>
      <c:valAx>
        <c:axId val="429087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92058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1970980042589"/>
          <c:y val="2.442002442002442E-2"/>
          <c:w val="0.75935423166443805"/>
          <c:h val="0.73710209300760476"/>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3E1-B647-BF6F-D8B9920716A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3E1-B647-BF6F-D8B9920716A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3E1-B647-BF6F-D8B9920716A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3E1-B647-BF6F-D8B9920716AA}"/>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3E1-B647-BF6F-D8B9920716AA}"/>
              </c:ext>
            </c:extLst>
          </c:dPt>
          <c:dLbls>
            <c:dLbl>
              <c:idx val="2"/>
              <c:layout>
                <c:manualLayout>
                  <c:x val="0.16688720289520637"/>
                  <c:y val="7.6474369275269169E-2"/>
                </c:manualLayout>
              </c:layout>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F3E1-B647-BF6F-D8B9920716A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Sheet5!$I$2:$I$6</c:f>
              <c:strCache>
                <c:ptCount val="5"/>
                <c:pt idx="0">
                  <c:v>Conceptual</c:v>
                </c:pt>
                <c:pt idx="1">
                  <c:v>Empirical</c:v>
                </c:pt>
                <c:pt idx="2">
                  <c:v>Case study</c:v>
                </c:pt>
                <c:pt idx="3">
                  <c:v>Mixed</c:v>
                </c:pt>
                <c:pt idx="4">
                  <c:v>Literature review</c:v>
                </c:pt>
              </c:strCache>
            </c:strRef>
          </c:cat>
          <c:val>
            <c:numRef>
              <c:f>Sheet5!$J$2:$J$6</c:f>
              <c:numCache>
                <c:formatCode>General</c:formatCode>
                <c:ptCount val="5"/>
                <c:pt idx="0">
                  <c:v>28</c:v>
                </c:pt>
                <c:pt idx="1">
                  <c:v>27</c:v>
                </c:pt>
                <c:pt idx="2">
                  <c:v>8</c:v>
                </c:pt>
                <c:pt idx="3">
                  <c:v>4</c:v>
                </c:pt>
                <c:pt idx="4">
                  <c:v>4</c:v>
                </c:pt>
              </c:numCache>
            </c:numRef>
          </c:val>
          <c:extLst>
            <c:ext xmlns:c16="http://schemas.microsoft.com/office/drawing/2014/chart" uri="{C3380CC4-5D6E-409C-BE32-E72D297353CC}">
              <c16:uniqueId val="{0000000A-F3E1-B647-BF6F-D8B9920716AA}"/>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2008912948381452"/>
          <c:y val="0.67746722986157337"/>
          <c:w val="0.73204377754667449"/>
          <c:h val="0.29337825118798927"/>
        </c:manualLayout>
      </c:layout>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2DA-1143-A273-218852CCBD8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2DA-1143-A273-218852CCBD8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Sheet5!$L$2:$L$3</c:f>
              <c:strCache>
                <c:ptCount val="2"/>
                <c:pt idx="0">
                  <c:v>Not applying theory</c:v>
                </c:pt>
                <c:pt idx="1">
                  <c:v>Applying theory</c:v>
                </c:pt>
              </c:strCache>
            </c:strRef>
          </c:cat>
          <c:val>
            <c:numRef>
              <c:f>Sheet5!$M$2:$M$3</c:f>
              <c:numCache>
                <c:formatCode>General</c:formatCode>
                <c:ptCount val="2"/>
                <c:pt idx="0">
                  <c:v>53</c:v>
                </c:pt>
                <c:pt idx="1">
                  <c:v>18</c:v>
                </c:pt>
              </c:numCache>
            </c:numRef>
          </c:val>
          <c:extLst>
            <c:ext xmlns:c16="http://schemas.microsoft.com/office/drawing/2014/chart" uri="{C3380CC4-5D6E-409C-BE32-E72D297353CC}">
              <c16:uniqueId val="{00000004-F2DA-1143-A273-218852CCBD84}"/>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8560554040008656"/>
          <c:y val="0.71508810848387161"/>
          <c:w val="0.66272119785501882"/>
          <c:h val="0.18219729136939319"/>
        </c:manualLayout>
      </c:layout>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1970980042589"/>
          <c:y val="2.442002442002442E-2"/>
          <c:w val="0.75935423166443805"/>
          <c:h val="0.73710209300760476"/>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05B-4440-BA00-60311581D51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05B-4440-BA00-60311581D51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05B-4440-BA00-60311581D51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05B-4440-BA00-60311581D512}"/>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05B-4440-BA00-60311581D512}"/>
              </c:ext>
            </c:extLst>
          </c:dPt>
          <c:dLbls>
            <c:dLbl>
              <c:idx val="2"/>
              <c:layout>
                <c:manualLayout>
                  <c:x val="0.15786686275407436"/>
                  <c:y val="4.3545296910088405E-2"/>
                </c:manualLayout>
              </c:layout>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05B-4440-BA00-60311581D512}"/>
                </c:ext>
              </c:extLst>
            </c:dLbl>
            <c:dLbl>
              <c:idx val="3"/>
              <c:layout>
                <c:manualLayout>
                  <c:x val="5.7554419978026003E-2"/>
                  <c:y val="3.8123880724295747E-2"/>
                </c:manualLayout>
              </c:layout>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605B-4440-BA00-60311581D51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Sheet5!$O$3:$O$7</c:f>
              <c:strCache>
                <c:ptCount val="5"/>
                <c:pt idx="0">
                  <c:v>Financial chain school</c:v>
                </c:pt>
                <c:pt idx="1">
                  <c:v>Stakeholder school</c:v>
                </c:pt>
                <c:pt idx="2">
                  <c:v>Risk school</c:v>
                </c:pt>
                <c:pt idx="3">
                  <c:v>Asset school</c:v>
                </c:pt>
                <c:pt idx="4">
                  <c:v>Reverse financing school</c:v>
                </c:pt>
              </c:strCache>
            </c:strRef>
          </c:cat>
          <c:val>
            <c:numRef>
              <c:f>Sheet5!$P$3:$P$7</c:f>
              <c:numCache>
                <c:formatCode>General</c:formatCode>
                <c:ptCount val="5"/>
                <c:pt idx="0">
                  <c:v>35</c:v>
                </c:pt>
                <c:pt idx="1">
                  <c:v>15</c:v>
                </c:pt>
                <c:pt idx="2">
                  <c:v>9</c:v>
                </c:pt>
                <c:pt idx="3">
                  <c:v>5</c:v>
                </c:pt>
                <c:pt idx="4">
                  <c:v>4</c:v>
                </c:pt>
              </c:numCache>
            </c:numRef>
          </c:val>
          <c:extLst>
            <c:ext xmlns:c16="http://schemas.microsoft.com/office/drawing/2014/chart" uri="{C3380CC4-5D6E-409C-BE32-E72D297353CC}">
              <c16:uniqueId val="{0000000A-605B-4440-BA00-60311581D512}"/>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9.3049006592199238E-2"/>
          <c:y val="0.65909662014269887"/>
          <c:w val="0.80853838582677162"/>
          <c:h val="0.33448136672446632"/>
        </c:manualLayout>
      </c:layout>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45</Pages>
  <Words>14670</Words>
  <Characters>83619</Characters>
  <Application>Microsoft Office Word</Application>
  <DocSecurity>0</DocSecurity>
  <Lines>696</Lines>
  <Paragraphs>196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yang yang</dc:creator>
  <cp:keywords/>
  <dc:description/>
  <cp:lastModifiedBy>Microsoft Office User</cp:lastModifiedBy>
  <cp:revision>2</cp:revision>
  <dcterms:created xsi:type="dcterms:W3CDTF">2019-11-13T10:28:00Z</dcterms:created>
  <dcterms:modified xsi:type="dcterms:W3CDTF">2019-11-13T10:28:00Z</dcterms:modified>
</cp:coreProperties>
</file>