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46ACCD" w14:textId="0651043C" w:rsidR="005B7CBF" w:rsidRPr="00761850" w:rsidRDefault="00A829B1" w:rsidP="00A829B1">
      <w:pPr>
        <w:ind w:firstLine="0"/>
        <w:rPr>
          <w:color w:val="000000"/>
          <w:bdr w:val="none" w:sz="0" w:space="0" w:color="auto" w:frame="1"/>
        </w:rPr>
      </w:pPr>
      <w:r w:rsidRPr="00761850">
        <w:rPr>
          <w:color w:val="000000"/>
          <w:bdr w:val="none" w:sz="0" w:space="0" w:color="auto" w:frame="1"/>
        </w:rPr>
        <w:t xml:space="preserve">Ernst </w:t>
      </w:r>
      <w:r w:rsidRPr="00761850">
        <w:rPr>
          <w:smallCaps/>
          <w:color w:val="000000"/>
          <w:bdr w:val="none" w:sz="0" w:space="0" w:color="auto" w:frame="1"/>
        </w:rPr>
        <w:t>Tremp</w:t>
      </w:r>
      <w:r w:rsidRPr="00761850">
        <w:rPr>
          <w:color w:val="000000"/>
          <w:bdr w:val="none" w:sz="0" w:space="0" w:color="auto" w:frame="1"/>
        </w:rPr>
        <w:t xml:space="preserve">, Kathrin </w:t>
      </w:r>
      <w:proofErr w:type="spellStart"/>
      <w:r w:rsidRPr="00761850">
        <w:rPr>
          <w:smallCaps/>
          <w:color w:val="000000"/>
          <w:bdr w:val="none" w:sz="0" w:space="0" w:color="auto" w:frame="1"/>
        </w:rPr>
        <w:t>Utz</w:t>
      </w:r>
      <w:proofErr w:type="spellEnd"/>
      <w:r w:rsidRPr="00761850">
        <w:rPr>
          <w:smallCaps/>
          <w:color w:val="000000"/>
          <w:bdr w:val="none" w:sz="0" w:space="0" w:color="auto" w:frame="1"/>
        </w:rPr>
        <w:t>-Tremp</w:t>
      </w:r>
      <w:r w:rsidRPr="00761850">
        <w:rPr>
          <w:color w:val="000000"/>
          <w:bdr w:val="none" w:sz="0" w:space="0" w:color="auto" w:frame="1"/>
        </w:rPr>
        <w:t>,</w:t>
      </w:r>
      <w:r w:rsidR="00A9263F">
        <w:rPr>
          <w:color w:val="000000"/>
          <w:bdr w:val="none" w:sz="0" w:space="0" w:color="auto" w:frame="1"/>
        </w:rPr>
        <w:t xml:space="preserve"> </w:t>
      </w:r>
      <w:r w:rsidRPr="00761850">
        <w:rPr>
          <w:i/>
          <w:iCs/>
          <w:color w:val="000000"/>
          <w:bdr w:val="none" w:sz="0" w:space="0" w:color="auto" w:frame="1"/>
        </w:rPr>
        <w:t xml:space="preserve">Das </w:t>
      </w:r>
      <w:proofErr w:type="spellStart"/>
      <w:r w:rsidRPr="00761850">
        <w:rPr>
          <w:i/>
          <w:iCs/>
          <w:color w:val="000000"/>
          <w:bdr w:val="none" w:sz="0" w:space="0" w:color="auto" w:frame="1"/>
        </w:rPr>
        <w:t>Nekrologium</w:t>
      </w:r>
      <w:proofErr w:type="spellEnd"/>
      <w:r w:rsidRPr="00761850">
        <w:rPr>
          <w:i/>
          <w:iCs/>
          <w:color w:val="000000"/>
          <w:bdr w:val="none" w:sz="0" w:space="0" w:color="auto" w:frame="1"/>
        </w:rPr>
        <w:t xml:space="preserve"> der </w:t>
      </w:r>
      <w:proofErr w:type="spellStart"/>
      <w:r w:rsidRPr="00761850">
        <w:rPr>
          <w:i/>
          <w:iCs/>
          <w:color w:val="000000"/>
          <w:bdr w:val="none" w:sz="0" w:space="0" w:color="auto" w:frame="1"/>
        </w:rPr>
        <w:t>Prämonstratenserabtei</w:t>
      </w:r>
      <w:proofErr w:type="spellEnd"/>
      <w:r w:rsidR="00A9263F">
        <w:rPr>
          <w:i/>
          <w:iCs/>
          <w:color w:val="000000"/>
          <w:bdr w:val="none" w:sz="0" w:space="0" w:color="auto" w:frame="1"/>
        </w:rPr>
        <w:t xml:space="preserve"> </w:t>
      </w:r>
      <w:proofErr w:type="spellStart"/>
      <w:r w:rsidRPr="00761850">
        <w:rPr>
          <w:rStyle w:val="markhoavnw6mk"/>
          <w:rFonts w:eastAsiaTheme="majorEastAsia"/>
          <w:i/>
          <w:iCs/>
          <w:color w:val="000000"/>
          <w:bdr w:val="none" w:sz="0" w:space="0" w:color="auto" w:frame="1"/>
        </w:rPr>
        <w:t>Humilimont</w:t>
      </w:r>
      <w:proofErr w:type="spellEnd"/>
      <w:r w:rsidR="00A9263F">
        <w:rPr>
          <w:i/>
          <w:iCs/>
          <w:color w:val="000000"/>
          <w:bdr w:val="none" w:sz="0" w:space="0" w:color="auto" w:frame="1"/>
        </w:rPr>
        <w:t xml:space="preserve"> </w:t>
      </w:r>
      <w:r w:rsidR="00761850" w:rsidRPr="00761850">
        <w:rPr>
          <w:i/>
          <w:iCs/>
          <w:color w:val="000000"/>
          <w:bdr w:val="none" w:sz="0" w:space="0" w:color="auto" w:frame="1"/>
        </w:rPr>
        <w:t>(</w:t>
      </w:r>
      <w:proofErr w:type="spellStart"/>
      <w:r w:rsidRPr="00761850">
        <w:rPr>
          <w:i/>
          <w:iCs/>
          <w:color w:val="000000"/>
          <w:bdr w:val="none" w:sz="0" w:space="0" w:color="auto" w:frame="1"/>
        </w:rPr>
        <w:t>Marsens</w:t>
      </w:r>
      <w:proofErr w:type="spellEnd"/>
      <w:r w:rsidR="00761850" w:rsidRPr="00761850">
        <w:rPr>
          <w:i/>
          <w:iCs/>
          <w:color w:val="000000"/>
          <w:bdr w:val="none" w:sz="0" w:space="0" w:color="auto" w:frame="1"/>
        </w:rPr>
        <w:t>)</w:t>
      </w:r>
      <w:r w:rsidRPr="00761850">
        <w:rPr>
          <w:i/>
          <w:iCs/>
          <w:color w:val="000000"/>
          <w:bdr w:val="none" w:sz="0" w:space="0" w:color="auto" w:frame="1"/>
        </w:rPr>
        <w:t>.</w:t>
      </w:r>
      <w:r w:rsidR="00A9263F">
        <w:rPr>
          <w:i/>
          <w:iCs/>
          <w:color w:val="000000"/>
          <w:bdr w:val="none" w:sz="0" w:space="0" w:color="auto" w:frame="1"/>
        </w:rPr>
        <w:t xml:space="preserve"> </w:t>
      </w:r>
      <w:r w:rsidRPr="00761850">
        <w:rPr>
          <w:color w:val="000000"/>
          <w:bdr w:val="none" w:sz="0" w:space="0" w:color="auto" w:frame="1"/>
        </w:rPr>
        <w:t>(</w:t>
      </w:r>
      <w:proofErr w:type="spellStart"/>
      <w:r w:rsidRPr="00761850">
        <w:rPr>
          <w:color w:val="000000"/>
          <w:bdr w:val="none" w:sz="0" w:space="0" w:color="auto" w:frame="1"/>
        </w:rPr>
        <w:t>Spicilegium</w:t>
      </w:r>
      <w:proofErr w:type="spellEnd"/>
      <w:r w:rsidRPr="00761850">
        <w:rPr>
          <w:color w:val="000000"/>
          <w:bdr w:val="none" w:sz="0" w:space="0" w:color="auto" w:frame="1"/>
        </w:rPr>
        <w:t xml:space="preserve"> </w:t>
      </w:r>
      <w:proofErr w:type="spellStart"/>
      <w:r w:rsidRPr="00761850">
        <w:rPr>
          <w:color w:val="000000"/>
          <w:bdr w:val="none" w:sz="0" w:space="0" w:color="auto" w:frame="1"/>
        </w:rPr>
        <w:t>Friburgense</w:t>
      </w:r>
      <w:proofErr w:type="spellEnd"/>
      <w:r w:rsidRPr="00761850">
        <w:rPr>
          <w:color w:val="000000"/>
          <w:bdr w:val="none" w:sz="0" w:space="0" w:color="auto" w:frame="1"/>
        </w:rPr>
        <w:t xml:space="preserve">, 51). Münster, </w:t>
      </w:r>
      <w:proofErr w:type="spellStart"/>
      <w:r w:rsidRPr="00761850">
        <w:rPr>
          <w:color w:val="000000"/>
          <w:bdr w:val="none" w:sz="0" w:space="0" w:color="auto" w:frame="1"/>
        </w:rPr>
        <w:t>Aschendorff</w:t>
      </w:r>
      <w:proofErr w:type="spellEnd"/>
      <w:r w:rsidRPr="00761850">
        <w:rPr>
          <w:color w:val="000000"/>
          <w:bdr w:val="none" w:sz="0" w:space="0" w:color="auto" w:frame="1"/>
        </w:rPr>
        <w:t xml:space="preserve"> </w:t>
      </w:r>
      <w:proofErr w:type="spellStart"/>
      <w:r w:rsidRPr="00761850">
        <w:rPr>
          <w:color w:val="000000"/>
          <w:bdr w:val="none" w:sz="0" w:space="0" w:color="auto" w:frame="1"/>
        </w:rPr>
        <w:t>Verlag</w:t>
      </w:r>
      <w:proofErr w:type="spellEnd"/>
      <w:r w:rsidRPr="00761850">
        <w:rPr>
          <w:color w:val="000000"/>
          <w:bdr w:val="none" w:sz="0" w:space="0" w:color="auto" w:frame="1"/>
        </w:rPr>
        <w:t>, 2022.</w:t>
      </w:r>
    </w:p>
    <w:p w14:paraId="338E9D05" w14:textId="012A994B" w:rsidR="002908A5" w:rsidRPr="00761850" w:rsidRDefault="002908A5" w:rsidP="00A829B1">
      <w:pPr>
        <w:ind w:firstLine="0"/>
        <w:rPr>
          <w:color w:val="000000"/>
          <w:bdr w:val="none" w:sz="0" w:space="0" w:color="auto" w:frame="1"/>
        </w:rPr>
      </w:pPr>
    </w:p>
    <w:p w14:paraId="3511807D" w14:textId="5D0B5E3D" w:rsidR="004A6ED5" w:rsidRDefault="00C2059E" w:rsidP="00FA3636">
      <w:pPr>
        <w:rPr>
          <w:bdr w:val="none" w:sz="0" w:space="0" w:color="auto" w:frame="1"/>
        </w:rPr>
      </w:pPr>
      <w:r>
        <w:rPr>
          <w:bdr w:val="none" w:sz="0" w:space="0" w:color="auto" w:frame="1"/>
        </w:rPr>
        <w:t>Le nécrologe de l’abbaye des Prémontrés d’</w:t>
      </w:r>
      <w:proofErr w:type="spellStart"/>
      <w:r>
        <w:rPr>
          <w:bdr w:val="none" w:sz="0" w:space="0" w:color="auto" w:frame="1"/>
        </w:rPr>
        <w:t>Humilimont</w:t>
      </w:r>
      <w:proofErr w:type="spellEnd"/>
      <w:r>
        <w:rPr>
          <w:bdr w:val="none" w:sz="0" w:space="0" w:color="auto" w:frame="1"/>
        </w:rPr>
        <w:t xml:space="preserve"> est publié pour la première fois dans la collection </w:t>
      </w:r>
      <w:proofErr w:type="spellStart"/>
      <w:r w:rsidR="007D3D5B" w:rsidRPr="007D3D5B">
        <w:rPr>
          <w:i/>
          <w:iCs/>
          <w:bdr w:val="none" w:sz="0" w:space="0" w:color="auto" w:frame="1"/>
        </w:rPr>
        <w:t>Spicilegium</w:t>
      </w:r>
      <w:proofErr w:type="spellEnd"/>
      <w:r w:rsidR="007D3D5B" w:rsidRPr="007D3D5B">
        <w:rPr>
          <w:i/>
          <w:iCs/>
          <w:bdr w:val="none" w:sz="0" w:space="0" w:color="auto" w:frame="1"/>
        </w:rPr>
        <w:t xml:space="preserve"> </w:t>
      </w:r>
      <w:proofErr w:type="spellStart"/>
      <w:r w:rsidR="007D3D5B" w:rsidRPr="007D3D5B">
        <w:rPr>
          <w:i/>
          <w:iCs/>
          <w:bdr w:val="none" w:sz="0" w:space="0" w:color="auto" w:frame="1"/>
        </w:rPr>
        <w:t>Friburgense</w:t>
      </w:r>
      <w:proofErr w:type="spellEnd"/>
      <w:r w:rsidR="007D3D5B">
        <w:rPr>
          <w:bdr w:val="none" w:sz="0" w:space="0" w:color="auto" w:frame="1"/>
        </w:rPr>
        <w:t>, centrée sur l’édition de</w:t>
      </w:r>
      <w:r w:rsidR="00E570DC">
        <w:rPr>
          <w:bdr w:val="none" w:sz="0" w:space="0" w:color="auto" w:frame="1"/>
        </w:rPr>
        <w:t>s</w:t>
      </w:r>
      <w:r w:rsidR="007D3D5B">
        <w:rPr>
          <w:bdr w:val="none" w:sz="0" w:space="0" w:color="auto" w:frame="1"/>
        </w:rPr>
        <w:t xml:space="preserve"> sources </w:t>
      </w:r>
      <w:r w:rsidR="00E570DC">
        <w:rPr>
          <w:bdr w:val="none" w:sz="0" w:space="0" w:color="auto" w:frame="1"/>
        </w:rPr>
        <w:t>de la vie ecclésiale</w:t>
      </w:r>
      <w:r w:rsidR="007D3D5B">
        <w:rPr>
          <w:bdr w:val="none" w:sz="0" w:space="0" w:color="auto" w:frame="1"/>
        </w:rPr>
        <w:t>.</w:t>
      </w:r>
      <w:r w:rsidR="00453B85">
        <w:rPr>
          <w:bdr w:val="none" w:sz="0" w:space="0" w:color="auto" w:frame="1"/>
        </w:rPr>
        <w:t xml:space="preserve"> </w:t>
      </w:r>
      <w:r w:rsidR="006C37F1">
        <w:rPr>
          <w:bdr w:val="none" w:sz="0" w:space="0" w:color="auto" w:frame="1"/>
        </w:rPr>
        <w:t>À l’édition proprement dite (</w:t>
      </w:r>
      <w:r w:rsidR="00B307E7">
        <w:rPr>
          <w:bdr w:val="none" w:sz="0" w:space="0" w:color="auto" w:frame="1"/>
        </w:rPr>
        <w:t xml:space="preserve">p. </w:t>
      </w:r>
      <w:r w:rsidR="006C37F1">
        <w:rPr>
          <w:bdr w:val="none" w:sz="0" w:space="0" w:color="auto" w:frame="1"/>
        </w:rPr>
        <w:t xml:space="preserve">71-158.) et aux index </w:t>
      </w:r>
      <w:r w:rsidR="004C5F81">
        <w:rPr>
          <w:bdr w:val="none" w:sz="0" w:space="0" w:color="auto" w:frame="1"/>
        </w:rPr>
        <w:t xml:space="preserve">utiles </w:t>
      </w:r>
      <w:r w:rsidR="006C37F1">
        <w:rPr>
          <w:bdr w:val="none" w:sz="0" w:space="0" w:color="auto" w:frame="1"/>
        </w:rPr>
        <w:t>(</w:t>
      </w:r>
      <w:r w:rsidR="00B307E7">
        <w:rPr>
          <w:bdr w:val="none" w:sz="0" w:space="0" w:color="auto" w:frame="1"/>
        </w:rPr>
        <w:t>p. </w:t>
      </w:r>
      <w:r w:rsidR="006C37F1">
        <w:rPr>
          <w:bdr w:val="none" w:sz="0" w:space="0" w:color="auto" w:frame="1"/>
        </w:rPr>
        <w:t xml:space="preserve">159-195.) est adjointe </w:t>
      </w:r>
      <w:r w:rsidR="00133101">
        <w:rPr>
          <w:bdr w:val="none" w:sz="0" w:space="0" w:color="auto" w:frame="1"/>
        </w:rPr>
        <w:t>une bonne introduction (</w:t>
      </w:r>
      <w:r w:rsidR="00B307E7">
        <w:rPr>
          <w:bdr w:val="none" w:sz="0" w:space="0" w:color="auto" w:frame="1"/>
        </w:rPr>
        <w:t>p. </w:t>
      </w:r>
      <w:r w:rsidR="00133101">
        <w:rPr>
          <w:bdr w:val="none" w:sz="0" w:space="0" w:color="auto" w:frame="1"/>
        </w:rPr>
        <w:t>1-64.), structurée en cinq temps.</w:t>
      </w:r>
    </w:p>
    <w:p w14:paraId="4D2B808B" w14:textId="5CC9B2C7" w:rsidR="00A829B1" w:rsidRDefault="00133101" w:rsidP="00846416">
      <w:pPr>
        <w:rPr>
          <w:bdr w:val="none" w:sz="0" w:space="0" w:color="auto" w:frame="1"/>
        </w:rPr>
      </w:pPr>
      <w:r w:rsidRPr="004C5F81">
        <w:rPr>
          <w:i/>
          <w:iCs/>
          <w:bdr w:val="none" w:sz="0" w:space="0" w:color="auto" w:frame="1"/>
        </w:rPr>
        <w:t>Pr</w:t>
      </w:r>
      <w:r w:rsidR="004C5F81" w:rsidRPr="004C5F81">
        <w:rPr>
          <w:i/>
          <w:iCs/>
          <w:bdr w:val="none" w:sz="0" w:space="0" w:color="auto" w:frame="1"/>
        </w:rPr>
        <w:t>imo</w:t>
      </w:r>
      <w:r>
        <w:rPr>
          <w:bdr w:val="none" w:sz="0" w:space="0" w:color="auto" w:frame="1"/>
        </w:rPr>
        <w:t>, les éditeurs retracent l’histoire de l’abbaye (</w:t>
      </w:r>
      <w:r w:rsidR="00B307E7">
        <w:rPr>
          <w:bdr w:val="none" w:sz="0" w:space="0" w:color="auto" w:frame="1"/>
        </w:rPr>
        <w:t>p. </w:t>
      </w:r>
      <w:r>
        <w:rPr>
          <w:bdr w:val="none" w:sz="0" w:space="0" w:color="auto" w:frame="1"/>
        </w:rPr>
        <w:t>1-10</w:t>
      </w:r>
      <w:r w:rsidR="004C5F81">
        <w:rPr>
          <w:bdr w:val="none" w:sz="0" w:space="0" w:color="auto" w:frame="1"/>
        </w:rPr>
        <w:t xml:space="preserve">.) </w:t>
      </w:r>
      <w:r w:rsidR="00761850">
        <w:rPr>
          <w:bdr w:val="none" w:sz="0" w:space="0" w:color="auto" w:frame="1"/>
        </w:rPr>
        <w:t>En</w:t>
      </w:r>
      <w:r w:rsidR="004C5F81">
        <w:rPr>
          <w:bdr w:val="none" w:sz="0" w:space="0" w:color="auto" w:frame="1"/>
        </w:rPr>
        <w:t xml:space="preserve"> </w:t>
      </w:r>
      <w:r w:rsidR="00453B85">
        <w:rPr>
          <w:bdr w:val="none" w:sz="0" w:space="0" w:color="auto" w:frame="1"/>
        </w:rPr>
        <w:t xml:space="preserve">1137, les seigneurs de Corbières </w:t>
      </w:r>
      <w:r w:rsidR="004C5F81">
        <w:rPr>
          <w:bdr w:val="none" w:sz="0" w:space="0" w:color="auto" w:frame="1"/>
        </w:rPr>
        <w:t xml:space="preserve">décidèrent de fonder un </w:t>
      </w:r>
      <w:r w:rsidR="00453B85">
        <w:rPr>
          <w:bdr w:val="none" w:sz="0" w:space="0" w:color="auto" w:frame="1"/>
        </w:rPr>
        <w:t xml:space="preserve">monastère dans le village de </w:t>
      </w:r>
      <w:proofErr w:type="spellStart"/>
      <w:r w:rsidR="00453B85">
        <w:rPr>
          <w:bdr w:val="none" w:sz="0" w:space="0" w:color="auto" w:frame="1"/>
        </w:rPr>
        <w:t>Marsens</w:t>
      </w:r>
      <w:proofErr w:type="spellEnd"/>
      <w:r w:rsidR="004C5F81">
        <w:rPr>
          <w:bdr w:val="none" w:sz="0" w:space="0" w:color="auto" w:frame="1"/>
        </w:rPr>
        <w:t>. Cet établissement</w:t>
      </w:r>
      <w:r w:rsidR="008961C6">
        <w:rPr>
          <w:bdr w:val="none" w:sz="0" w:space="0" w:color="auto" w:frame="1"/>
        </w:rPr>
        <w:t xml:space="preserve">, </w:t>
      </w:r>
      <w:r w:rsidR="0069377A">
        <w:rPr>
          <w:bdr w:val="none" w:sz="0" w:space="0" w:color="auto" w:frame="1"/>
        </w:rPr>
        <w:t xml:space="preserve">double </w:t>
      </w:r>
      <w:r w:rsidR="008961C6">
        <w:rPr>
          <w:bdr w:val="none" w:sz="0" w:space="0" w:color="auto" w:frame="1"/>
        </w:rPr>
        <w:t>à l’origine,</w:t>
      </w:r>
      <w:r w:rsidR="004C5F81">
        <w:rPr>
          <w:bdr w:val="none" w:sz="0" w:space="0" w:color="auto" w:frame="1"/>
        </w:rPr>
        <w:t xml:space="preserve"> </w:t>
      </w:r>
      <w:r w:rsidR="006238AE">
        <w:rPr>
          <w:bdr w:val="none" w:sz="0" w:space="0" w:color="auto" w:frame="1"/>
        </w:rPr>
        <w:t xml:space="preserve">appartient à l’ordre des Prémontrés, </w:t>
      </w:r>
      <w:r w:rsidR="008961C6">
        <w:rPr>
          <w:bdr w:val="none" w:sz="0" w:space="0" w:color="auto" w:frame="1"/>
        </w:rPr>
        <w:t xml:space="preserve">qui s’implante </w:t>
      </w:r>
      <w:r w:rsidR="002C081A">
        <w:rPr>
          <w:bdr w:val="none" w:sz="0" w:space="0" w:color="auto" w:frame="1"/>
        </w:rPr>
        <w:t>en Suisse</w:t>
      </w:r>
      <w:r w:rsidR="002C081A">
        <w:rPr>
          <w:bdr w:val="none" w:sz="0" w:space="0" w:color="auto" w:frame="1"/>
        </w:rPr>
        <w:t xml:space="preserve"> </w:t>
      </w:r>
      <w:r w:rsidR="008961C6">
        <w:rPr>
          <w:bdr w:val="none" w:sz="0" w:space="0" w:color="auto" w:frame="1"/>
        </w:rPr>
        <w:t xml:space="preserve">dès les années 1130. L’abbaye </w:t>
      </w:r>
      <w:r w:rsidR="00453B85">
        <w:rPr>
          <w:bdr w:val="none" w:sz="0" w:space="0" w:color="auto" w:frame="1"/>
        </w:rPr>
        <w:t>fut supprimé</w:t>
      </w:r>
      <w:r w:rsidR="008961C6">
        <w:rPr>
          <w:bdr w:val="none" w:sz="0" w:space="0" w:color="auto" w:frame="1"/>
        </w:rPr>
        <w:t>e</w:t>
      </w:r>
      <w:r w:rsidR="00453B85">
        <w:rPr>
          <w:bdr w:val="none" w:sz="0" w:space="0" w:color="auto" w:frame="1"/>
        </w:rPr>
        <w:t xml:space="preserve"> à la fin du XVI</w:t>
      </w:r>
      <w:r w:rsidR="00453B85" w:rsidRPr="00D529DE">
        <w:rPr>
          <w:bdr w:val="none" w:sz="0" w:space="0" w:color="auto" w:frame="1"/>
          <w:vertAlign w:val="superscript"/>
        </w:rPr>
        <w:t>e</w:t>
      </w:r>
      <w:r w:rsidR="00453B85">
        <w:rPr>
          <w:bdr w:val="none" w:sz="0" w:space="0" w:color="auto" w:frame="1"/>
        </w:rPr>
        <w:t xml:space="preserve"> s. à la faveur des Jésuites.</w:t>
      </w:r>
      <w:r w:rsidR="008961C6">
        <w:rPr>
          <w:bdr w:val="none" w:sz="0" w:space="0" w:color="auto" w:frame="1"/>
        </w:rPr>
        <w:t xml:space="preserve"> </w:t>
      </w:r>
      <w:r w:rsidR="008961C6" w:rsidRPr="008961C6">
        <w:rPr>
          <w:i/>
          <w:iCs/>
          <w:bdr w:val="none" w:sz="0" w:space="0" w:color="auto" w:frame="1"/>
        </w:rPr>
        <w:t>Secundo</w:t>
      </w:r>
      <w:r w:rsidR="008961C6">
        <w:rPr>
          <w:bdr w:val="none" w:sz="0" w:space="0" w:color="auto" w:frame="1"/>
        </w:rPr>
        <w:t xml:space="preserve">, le </w:t>
      </w:r>
      <w:proofErr w:type="spellStart"/>
      <w:r w:rsidR="0028728C" w:rsidRPr="0028728C">
        <w:rPr>
          <w:i/>
          <w:iCs/>
          <w:bdr w:val="none" w:sz="0" w:space="0" w:color="auto" w:frame="1"/>
        </w:rPr>
        <w:t>necrologium</w:t>
      </w:r>
      <w:proofErr w:type="spellEnd"/>
      <w:r w:rsidR="0028728C">
        <w:rPr>
          <w:bdr w:val="none" w:sz="0" w:space="0" w:color="auto" w:frame="1"/>
        </w:rPr>
        <w:t xml:space="preserve"> est </w:t>
      </w:r>
      <w:r w:rsidR="0069377A">
        <w:rPr>
          <w:bdr w:val="none" w:sz="0" w:space="0" w:color="auto" w:frame="1"/>
        </w:rPr>
        <w:t>introduit</w:t>
      </w:r>
      <w:r w:rsidR="005108BB">
        <w:rPr>
          <w:bdr w:val="none" w:sz="0" w:space="0" w:color="auto" w:frame="1"/>
        </w:rPr>
        <w:t xml:space="preserve"> (</w:t>
      </w:r>
      <w:r w:rsidR="00B307E7">
        <w:rPr>
          <w:bdr w:val="none" w:sz="0" w:space="0" w:color="auto" w:frame="1"/>
        </w:rPr>
        <w:t>p. </w:t>
      </w:r>
      <w:r w:rsidR="005108BB">
        <w:rPr>
          <w:bdr w:val="none" w:sz="0" w:space="0" w:color="auto" w:frame="1"/>
        </w:rPr>
        <w:t>11-26.)</w:t>
      </w:r>
      <w:r w:rsidR="0028728C">
        <w:rPr>
          <w:bdr w:val="none" w:sz="0" w:space="0" w:color="auto" w:frame="1"/>
        </w:rPr>
        <w:t xml:space="preserve">. </w:t>
      </w:r>
      <w:r w:rsidR="005108BB">
        <w:rPr>
          <w:bdr w:val="none" w:sz="0" w:space="0" w:color="auto" w:frame="1"/>
        </w:rPr>
        <w:t>Les auteurs fournissent u</w:t>
      </w:r>
      <w:r w:rsidR="0028728C">
        <w:rPr>
          <w:bdr w:val="none" w:sz="0" w:space="0" w:color="auto" w:frame="1"/>
        </w:rPr>
        <w:t xml:space="preserve">ne description codicologique du </w:t>
      </w:r>
      <w:r w:rsidR="000324B8">
        <w:rPr>
          <w:bdr w:val="none" w:sz="0" w:space="0" w:color="auto" w:frame="1"/>
        </w:rPr>
        <w:t xml:space="preserve">manuscrit </w:t>
      </w:r>
      <w:proofErr w:type="spellStart"/>
      <w:r w:rsidR="000324B8" w:rsidRPr="00E570DC">
        <w:rPr>
          <w:i/>
          <w:iCs/>
          <w:bdr w:val="none" w:sz="0" w:space="0" w:color="auto" w:frame="1"/>
        </w:rPr>
        <w:t>Marsens-Humilimont</w:t>
      </w:r>
      <w:proofErr w:type="spellEnd"/>
      <w:r w:rsidR="000324B8" w:rsidRPr="00E570DC">
        <w:rPr>
          <w:i/>
          <w:iCs/>
          <w:bdr w:val="none" w:sz="0" w:space="0" w:color="auto" w:frame="1"/>
        </w:rPr>
        <w:t>, Nécrologe et martyrologe</w:t>
      </w:r>
      <w:r w:rsidR="000324B8">
        <w:rPr>
          <w:bdr w:val="none" w:sz="0" w:space="0" w:color="auto" w:frame="1"/>
        </w:rPr>
        <w:t>,</w:t>
      </w:r>
      <w:r w:rsidR="00B307E7">
        <w:rPr>
          <w:bdr w:val="none" w:sz="0" w:space="0" w:color="auto" w:frame="1"/>
        </w:rPr>
        <w:t> </w:t>
      </w:r>
      <w:r w:rsidR="000324B8">
        <w:rPr>
          <w:bdr w:val="none" w:sz="0" w:space="0" w:color="auto" w:frame="1"/>
        </w:rPr>
        <w:t>1</w:t>
      </w:r>
      <w:r w:rsidR="0028728C">
        <w:rPr>
          <w:bdr w:val="none" w:sz="0" w:space="0" w:color="auto" w:frame="1"/>
        </w:rPr>
        <w:t>, a</w:t>
      </w:r>
      <w:r w:rsidR="000324B8">
        <w:rPr>
          <w:bdr w:val="none" w:sz="0" w:space="0" w:color="auto" w:frame="1"/>
        </w:rPr>
        <w:t>ujourd’hui conservé aux Archives de l’État de Fribourg</w:t>
      </w:r>
      <w:r w:rsidR="0028728C">
        <w:rPr>
          <w:bdr w:val="none" w:sz="0" w:space="0" w:color="auto" w:frame="1"/>
        </w:rPr>
        <w:t xml:space="preserve">. Il s’agit </w:t>
      </w:r>
      <w:r w:rsidR="000324B8">
        <w:rPr>
          <w:bdr w:val="none" w:sz="0" w:space="0" w:color="auto" w:frame="1"/>
        </w:rPr>
        <w:t xml:space="preserve">indubitablement </w:t>
      </w:r>
      <w:r w:rsidR="0069377A">
        <w:rPr>
          <w:bdr w:val="none" w:sz="0" w:space="0" w:color="auto" w:frame="1"/>
        </w:rPr>
        <w:t>d’u</w:t>
      </w:r>
      <w:r w:rsidR="000324B8">
        <w:rPr>
          <w:bdr w:val="none" w:sz="0" w:space="0" w:color="auto" w:frame="1"/>
        </w:rPr>
        <w:t>n livre liturgique</w:t>
      </w:r>
      <w:r w:rsidR="00E570DC">
        <w:rPr>
          <w:bdr w:val="none" w:sz="0" w:space="0" w:color="auto" w:frame="1"/>
        </w:rPr>
        <w:t xml:space="preserve"> essentiel </w:t>
      </w:r>
      <w:r w:rsidR="00F81E17">
        <w:rPr>
          <w:bdr w:val="none" w:sz="0" w:space="0" w:color="auto" w:frame="1"/>
        </w:rPr>
        <w:t>à</w:t>
      </w:r>
      <w:r w:rsidR="00E570DC">
        <w:rPr>
          <w:bdr w:val="none" w:sz="0" w:space="0" w:color="auto" w:frame="1"/>
        </w:rPr>
        <w:t xml:space="preserve"> la communauté</w:t>
      </w:r>
      <w:r w:rsidR="0069377A">
        <w:rPr>
          <w:bdr w:val="none" w:sz="0" w:space="0" w:color="auto" w:frame="1"/>
        </w:rPr>
        <w:t xml:space="preserve">, contenant </w:t>
      </w:r>
      <w:r w:rsidR="0089072A">
        <w:rPr>
          <w:bdr w:val="none" w:sz="0" w:space="0" w:color="auto" w:frame="1"/>
        </w:rPr>
        <w:t>une copie du</w:t>
      </w:r>
      <w:r w:rsidR="00F81E17">
        <w:rPr>
          <w:bdr w:val="none" w:sz="0" w:space="0" w:color="auto" w:frame="1"/>
        </w:rPr>
        <w:t xml:space="preserve"> martyrolog</w:t>
      </w:r>
      <w:r w:rsidR="0089072A">
        <w:rPr>
          <w:bdr w:val="none" w:sz="0" w:space="0" w:color="auto" w:frame="1"/>
        </w:rPr>
        <w:t>e d’Usuard (f°1-77r) et de la règle de saint Augustin (f°77v-83r)</w:t>
      </w:r>
      <w:r w:rsidR="0069377A">
        <w:rPr>
          <w:bdr w:val="none" w:sz="0" w:space="0" w:color="auto" w:frame="1"/>
        </w:rPr>
        <w:t>, ainsi que</w:t>
      </w:r>
      <w:r w:rsidR="0089072A">
        <w:rPr>
          <w:bdr w:val="none" w:sz="0" w:space="0" w:color="auto" w:frame="1"/>
        </w:rPr>
        <w:t xml:space="preserve"> le nécrologe (f°83v-113v). Ce dernier</w:t>
      </w:r>
      <w:r w:rsidR="003975C7">
        <w:rPr>
          <w:bdr w:val="none" w:sz="0" w:space="0" w:color="auto" w:frame="1"/>
        </w:rPr>
        <w:t xml:space="preserve"> est </w:t>
      </w:r>
      <w:r w:rsidR="00FA3636">
        <w:rPr>
          <w:bdr w:val="none" w:sz="0" w:space="0" w:color="auto" w:frame="1"/>
        </w:rPr>
        <w:t xml:space="preserve">constitué en 1338, </w:t>
      </w:r>
      <w:r w:rsidR="003975C7">
        <w:rPr>
          <w:bdr w:val="none" w:sz="0" w:space="0" w:color="auto" w:frame="1"/>
        </w:rPr>
        <w:t>sans doute sur base d’un document antérieur perdu</w:t>
      </w:r>
      <w:r w:rsidR="00B9179A">
        <w:rPr>
          <w:bdr w:val="none" w:sz="0" w:space="0" w:color="auto" w:frame="1"/>
        </w:rPr>
        <w:t xml:space="preserve"> et</w:t>
      </w:r>
      <w:r w:rsidR="00FD5C7D">
        <w:rPr>
          <w:bdr w:val="none" w:sz="0" w:space="0" w:color="auto" w:frame="1"/>
        </w:rPr>
        <w:t xml:space="preserve"> rendu illisible par les ajouts successifs de notices</w:t>
      </w:r>
      <w:r w:rsidR="00AB14A0">
        <w:rPr>
          <w:bdr w:val="none" w:sz="0" w:space="0" w:color="auto" w:frame="1"/>
        </w:rPr>
        <w:t xml:space="preserve">. </w:t>
      </w:r>
      <w:r w:rsidR="00FD5C7D">
        <w:rPr>
          <w:bdr w:val="none" w:sz="0" w:space="0" w:color="auto" w:frame="1"/>
        </w:rPr>
        <w:t>Le nouveau nécrologe</w:t>
      </w:r>
      <w:r w:rsidR="00AB14A0">
        <w:rPr>
          <w:bdr w:val="none" w:sz="0" w:space="0" w:color="auto" w:frame="1"/>
        </w:rPr>
        <w:t xml:space="preserve"> témoigne d’une réorganisation de la mémoire des défunts dans le monastère après l’abbatiat de </w:t>
      </w:r>
      <w:r w:rsidR="008B4910">
        <w:rPr>
          <w:bdr w:val="none" w:sz="0" w:space="0" w:color="auto" w:frame="1"/>
        </w:rPr>
        <w:t xml:space="preserve">Girard von </w:t>
      </w:r>
      <w:proofErr w:type="spellStart"/>
      <w:r w:rsidR="008B4910">
        <w:rPr>
          <w:bdr w:val="none" w:sz="0" w:space="0" w:color="auto" w:frame="1"/>
        </w:rPr>
        <w:t>Vuippens</w:t>
      </w:r>
      <w:proofErr w:type="spellEnd"/>
      <w:r w:rsidR="008B4910">
        <w:rPr>
          <w:bdr w:val="none" w:sz="0" w:space="0" w:color="auto" w:frame="1"/>
        </w:rPr>
        <w:t xml:space="preserve"> (1314-1332), qui a favorisé l’érection de </w:t>
      </w:r>
      <w:r w:rsidR="00FD5C7D">
        <w:rPr>
          <w:bdr w:val="none" w:sz="0" w:space="0" w:color="auto" w:frame="1"/>
        </w:rPr>
        <w:t xml:space="preserve">nouvelles </w:t>
      </w:r>
      <w:r w:rsidR="008B4910">
        <w:rPr>
          <w:bdr w:val="none" w:sz="0" w:space="0" w:color="auto" w:frame="1"/>
        </w:rPr>
        <w:t xml:space="preserve">sépultures </w:t>
      </w:r>
      <w:r w:rsidR="00FD5C7D">
        <w:rPr>
          <w:bdr w:val="none" w:sz="0" w:space="0" w:color="auto" w:frame="1"/>
        </w:rPr>
        <w:t>destinées à la noblesse.</w:t>
      </w:r>
      <w:r w:rsidR="008B4910">
        <w:rPr>
          <w:bdr w:val="none" w:sz="0" w:space="0" w:color="auto" w:frame="1"/>
        </w:rPr>
        <w:t xml:space="preserve"> </w:t>
      </w:r>
      <w:r w:rsidR="008F114D">
        <w:rPr>
          <w:bdr w:val="none" w:sz="0" w:space="0" w:color="auto" w:frame="1"/>
        </w:rPr>
        <w:t xml:space="preserve">Les différentes mains sont rassemblées en un tableau </w:t>
      </w:r>
      <w:r w:rsidR="00F92E2F">
        <w:rPr>
          <w:bdr w:val="none" w:sz="0" w:space="0" w:color="auto" w:frame="1"/>
        </w:rPr>
        <w:t xml:space="preserve">synthétique </w:t>
      </w:r>
      <w:r w:rsidR="008F114D">
        <w:rPr>
          <w:bdr w:val="none" w:sz="0" w:space="0" w:color="auto" w:frame="1"/>
        </w:rPr>
        <w:t>(</w:t>
      </w:r>
      <w:r w:rsidR="00B307E7">
        <w:rPr>
          <w:bdr w:val="none" w:sz="0" w:space="0" w:color="auto" w:frame="1"/>
        </w:rPr>
        <w:t>p. </w:t>
      </w:r>
      <w:r w:rsidR="008F114D">
        <w:rPr>
          <w:bdr w:val="none" w:sz="0" w:space="0" w:color="auto" w:frame="1"/>
        </w:rPr>
        <w:t>19-21.)</w:t>
      </w:r>
      <w:r w:rsidR="00B31EC9">
        <w:rPr>
          <w:bdr w:val="none" w:sz="0" w:space="0" w:color="auto" w:frame="1"/>
        </w:rPr>
        <w:t xml:space="preserve">. </w:t>
      </w:r>
      <w:r w:rsidR="005108BB" w:rsidRPr="005108BB">
        <w:rPr>
          <w:i/>
          <w:iCs/>
          <w:bdr w:val="none" w:sz="0" w:space="0" w:color="auto" w:frame="1"/>
        </w:rPr>
        <w:t>Tertio</w:t>
      </w:r>
      <w:r w:rsidR="005108BB">
        <w:rPr>
          <w:bdr w:val="none" w:sz="0" w:space="0" w:color="auto" w:frame="1"/>
        </w:rPr>
        <w:t xml:space="preserve">, la mémoire des morts à </w:t>
      </w:r>
      <w:proofErr w:type="spellStart"/>
      <w:r w:rsidR="005108BB">
        <w:rPr>
          <w:bdr w:val="none" w:sz="0" w:space="0" w:color="auto" w:frame="1"/>
        </w:rPr>
        <w:t>Humilimont</w:t>
      </w:r>
      <w:proofErr w:type="spellEnd"/>
      <w:r w:rsidR="005108BB">
        <w:rPr>
          <w:bdr w:val="none" w:sz="0" w:space="0" w:color="auto" w:frame="1"/>
        </w:rPr>
        <w:t xml:space="preserve"> est abordée (</w:t>
      </w:r>
      <w:r w:rsidR="00B307E7">
        <w:rPr>
          <w:bdr w:val="none" w:sz="0" w:space="0" w:color="auto" w:frame="1"/>
        </w:rPr>
        <w:t>p. </w:t>
      </w:r>
      <w:r w:rsidR="005108BB">
        <w:rPr>
          <w:bdr w:val="none" w:sz="0" w:space="0" w:color="auto" w:frame="1"/>
        </w:rPr>
        <w:t>26-35.)</w:t>
      </w:r>
      <w:r w:rsidR="00B31EC9">
        <w:rPr>
          <w:bdr w:val="none" w:sz="0" w:space="0" w:color="auto" w:frame="1"/>
        </w:rPr>
        <w:t xml:space="preserve">. La mutation du nécrologe </w:t>
      </w:r>
      <w:r w:rsidR="00CC7A69">
        <w:rPr>
          <w:bdr w:val="none" w:sz="0" w:space="0" w:color="auto" w:frame="1"/>
        </w:rPr>
        <w:t xml:space="preserve">en </w:t>
      </w:r>
      <w:r w:rsidR="00B31EC9">
        <w:rPr>
          <w:bdr w:val="none" w:sz="0" w:space="0" w:color="auto" w:frame="1"/>
        </w:rPr>
        <w:t xml:space="preserve">obituaire </w:t>
      </w:r>
      <w:r w:rsidR="00DF44B1">
        <w:rPr>
          <w:bdr w:val="none" w:sz="0" w:space="0" w:color="auto" w:frame="1"/>
        </w:rPr>
        <w:t xml:space="preserve">y </w:t>
      </w:r>
      <w:r w:rsidR="00B31EC9">
        <w:rPr>
          <w:bdr w:val="none" w:sz="0" w:space="0" w:color="auto" w:frame="1"/>
        </w:rPr>
        <w:t xml:space="preserve">est évoquée, tout comme les célébrations </w:t>
      </w:r>
      <w:r w:rsidR="00DF44B1">
        <w:rPr>
          <w:bdr w:val="none" w:sz="0" w:space="0" w:color="auto" w:frame="1"/>
        </w:rPr>
        <w:t>des anniversaires.</w:t>
      </w:r>
      <w:r w:rsidR="00071DB0">
        <w:rPr>
          <w:bdr w:val="none" w:sz="0" w:space="0" w:color="auto" w:frame="1"/>
        </w:rPr>
        <w:t xml:space="preserve"> Or, ces fondations engendrent </w:t>
      </w:r>
      <w:r w:rsidR="00BB2ED4">
        <w:rPr>
          <w:bdr w:val="none" w:sz="0" w:space="0" w:color="auto" w:frame="1"/>
        </w:rPr>
        <w:t xml:space="preserve">des revenus, </w:t>
      </w:r>
      <w:r w:rsidR="00F92E2F">
        <w:rPr>
          <w:bdr w:val="none" w:sz="0" w:space="0" w:color="auto" w:frame="1"/>
        </w:rPr>
        <w:t>soutenant</w:t>
      </w:r>
      <w:r w:rsidR="00BB2ED4">
        <w:rPr>
          <w:bdr w:val="none" w:sz="0" w:space="0" w:color="auto" w:frame="1"/>
        </w:rPr>
        <w:t xml:space="preserve"> l’exercice de la bienfaisance monastique</w:t>
      </w:r>
      <w:r w:rsidR="00F92E2F">
        <w:rPr>
          <w:bdr w:val="none" w:sz="0" w:space="0" w:color="auto" w:frame="1"/>
        </w:rPr>
        <w:t xml:space="preserve">, et des rentes, enrichissant fortement les Prémontrés. </w:t>
      </w:r>
      <w:r w:rsidR="00F92E2F" w:rsidRPr="00F92E2F">
        <w:rPr>
          <w:i/>
          <w:iCs/>
          <w:bdr w:val="none" w:sz="0" w:space="0" w:color="auto" w:frame="1"/>
        </w:rPr>
        <w:t>Quarto</w:t>
      </w:r>
      <w:r w:rsidR="00F92E2F">
        <w:rPr>
          <w:bdr w:val="none" w:sz="0" w:space="0" w:color="auto" w:frame="1"/>
        </w:rPr>
        <w:t xml:space="preserve">, </w:t>
      </w:r>
      <w:r w:rsidR="00C114BE">
        <w:rPr>
          <w:bdr w:val="none" w:sz="0" w:space="0" w:color="auto" w:frame="1"/>
        </w:rPr>
        <w:t>le nécrologe permet de saisir l’environnement de la communauté (</w:t>
      </w:r>
      <w:r w:rsidR="00B307E7">
        <w:rPr>
          <w:bdr w:val="none" w:sz="0" w:space="0" w:color="auto" w:frame="1"/>
        </w:rPr>
        <w:t>p. </w:t>
      </w:r>
      <w:r w:rsidR="00C114BE">
        <w:rPr>
          <w:bdr w:val="none" w:sz="0" w:space="0" w:color="auto" w:frame="1"/>
        </w:rPr>
        <w:t xml:space="preserve">35-63.). De fait, c’est une source de choix pour étudier les liens spirituels qu’entretient </w:t>
      </w:r>
      <w:proofErr w:type="spellStart"/>
      <w:r w:rsidR="00C114BE">
        <w:rPr>
          <w:bdr w:val="none" w:sz="0" w:space="0" w:color="auto" w:frame="1"/>
        </w:rPr>
        <w:t>Humilimont</w:t>
      </w:r>
      <w:proofErr w:type="spellEnd"/>
      <w:r w:rsidR="00C114BE">
        <w:rPr>
          <w:bdr w:val="none" w:sz="0" w:space="0" w:color="auto" w:frame="1"/>
        </w:rPr>
        <w:t xml:space="preserve"> avec l’ordre et le clergé local, mais aussi avec la noblesse</w:t>
      </w:r>
      <w:r w:rsidR="00F636A8">
        <w:rPr>
          <w:bdr w:val="none" w:sz="0" w:space="0" w:color="auto" w:frame="1"/>
        </w:rPr>
        <w:t xml:space="preserve"> ou le peuple. </w:t>
      </w:r>
      <w:r w:rsidR="007B5467">
        <w:rPr>
          <w:bdr w:val="none" w:sz="0" w:space="0" w:color="auto" w:frame="1"/>
        </w:rPr>
        <w:t xml:space="preserve">Il </w:t>
      </w:r>
      <w:r w:rsidR="004A6ED5">
        <w:rPr>
          <w:bdr w:val="none" w:sz="0" w:space="0" w:color="auto" w:frame="1"/>
        </w:rPr>
        <w:t>offre</w:t>
      </w:r>
      <w:r w:rsidR="007B5467">
        <w:rPr>
          <w:bdr w:val="none" w:sz="0" w:space="0" w:color="auto" w:frame="1"/>
        </w:rPr>
        <w:t xml:space="preserve"> également des informations </w:t>
      </w:r>
      <w:r w:rsidR="004A6ED5">
        <w:rPr>
          <w:bdr w:val="none" w:sz="0" w:space="0" w:color="auto" w:frame="1"/>
        </w:rPr>
        <w:t xml:space="preserve">précieuse pour </w:t>
      </w:r>
      <w:r w:rsidR="007B5467">
        <w:rPr>
          <w:bdr w:val="none" w:sz="0" w:space="0" w:color="auto" w:frame="1"/>
        </w:rPr>
        <w:t xml:space="preserve">l’histoire de la construction et </w:t>
      </w:r>
      <w:r w:rsidR="00CC7A69">
        <w:rPr>
          <w:bdr w:val="none" w:sz="0" w:space="0" w:color="auto" w:frame="1"/>
        </w:rPr>
        <w:t>de</w:t>
      </w:r>
      <w:r w:rsidR="007B5467">
        <w:rPr>
          <w:bdr w:val="none" w:sz="0" w:space="0" w:color="auto" w:frame="1"/>
        </w:rPr>
        <w:t xml:space="preserve"> la </w:t>
      </w:r>
      <w:r w:rsidR="00CC7A69">
        <w:rPr>
          <w:bdr w:val="none" w:sz="0" w:space="0" w:color="auto" w:frame="1"/>
        </w:rPr>
        <w:t>configuration</w:t>
      </w:r>
      <w:r w:rsidR="007B5467">
        <w:rPr>
          <w:bdr w:val="none" w:sz="0" w:space="0" w:color="auto" w:frame="1"/>
        </w:rPr>
        <w:t xml:space="preserve"> </w:t>
      </w:r>
      <w:r w:rsidR="004A6ED5">
        <w:rPr>
          <w:bdr w:val="none" w:sz="0" w:space="0" w:color="auto" w:frame="1"/>
        </w:rPr>
        <w:t>de l’implantation</w:t>
      </w:r>
      <w:r w:rsidR="007B5467">
        <w:rPr>
          <w:bdr w:val="none" w:sz="0" w:space="0" w:color="auto" w:frame="1"/>
        </w:rPr>
        <w:t>.</w:t>
      </w:r>
      <w:r w:rsidR="005E7F5B">
        <w:rPr>
          <w:bdr w:val="none" w:sz="0" w:space="0" w:color="auto" w:frame="1"/>
        </w:rPr>
        <w:t xml:space="preserve"> </w:t>
      </w:r>
      <w:r w:rsidR="005E7F5B" w:rsidRPr="005E7F5B">
        <w:rPr>
          <w:i/>
          <w:iCs/>
          <w:bdr w:val="none" w:sz="0" w:space="0" w:color="auto" w:frame="1"/>
        </w:rPr>
        <w:t>Quinto</w:t>
      </w:r>
      <w:r w:rsidR="005E7F5B">
        <w:rPr>
          <w:bdr w:val="none" w:sz="0" w:space="0" w:color="auto" w:frame="1"/>
        </w:rPr>
        <w:t>, les choix éditoriaux sont explicités (</w:t>
      </w:r>
      <w:r w:rsidR="00B307E7">
        <w:rPr>
          <w:bdr w:val="none" w:sz="0" w:space="0" w:color="auto" w:frame="1"/>
        </w:rPr>
        <w:t>p. </w:t>
      </w:r>
      <w:r w:rsidR="005E7F5B">
        <w:rPr>
          <w:bdr w:val="none" w:sz="0" w:space="0" w:color="auto" w:frame="1"/>
        </w:rPr>
        <w:t>63-64.).</w:t>
      </w:r>
    </w:p>
    <w:p w14:paraId="0AEE52B2" w14:textId="754DD90C" w:rsidR="00846416" w:rsidRPr="00846416" w:rsidRDefault="005E7F5B" w:rsidP="00B307E7">
      <w:pPr>
        <w:rPr>
          <w:bdr w:val="none" w:sz="0" w:space="0" w:color="auto" w:frame="1"/>
        </w:rPr>
      </w:pPr>
      <w:r>
        <w:rPr>
          <w:bdr w:val="none" w:sz="0" w:space="0" w:color="auto" w:frame="1"/>
        </w:rPr>
        <w:t xml:space="preserve">L’édition suit </w:t>
      </w:r>
      <w:r w:rsidR="00D87916">
        <w:rPr>
          <w:bdr w:val="none" w:sz="0" w:space="0" w:color="auto" w:frame="1"/>
        </w:rPr>
        <w:t xml:space="preserve">scrupuleusement </w:t>
      </w:r>
      <w:r>
        <w:rPr>
          <w:bdr w:val="none" w:sz="0" w:space="0" w:color="auto" w:frame="1"/>
        </w:rPr>
        <w:t>l’</w:t>
      </w:r>
      <w:r w:rsidR="00D87916">
        <w:rPr>
          <w:bdr w:val="none" w:sz="0" w:space="0" w:color="auto" w:frame="1"/>
        </w:rPr>
        <w:t>orthographe</w:t>
      </w:r>
      <w:r>
        <w:rPr>
          <w:bdr w:val="none" w:sz="0" w:space="0" w:color="auto" w:frame="1"/>
        </w:rPr>
        <w:t xml:space="preserve"> de l’original</w:t>
      </w:r>
      <w:r w:rsidR="0060623B">
        <w:rPr>
          <w:bdr w:val="none" w:sz="0" w:space="0" w:color="auto" w:frame="1"/>
        </w:rPr>
        <w:t>.</w:t>
      </w:r>
      <w:r w:rsidR="00D87916">
        <w:rPr>
          <w:bdr w:val="none" w:sz="0" w:space="0" w:color="auto" w:frame="1"/>
        </w:rPr>
        <w:t xml:space="preserve"> </w:t>
      </w:r>
      <w:r w:rsidR="007944B3">
        <w:rPr>
          <w:bdr w:val="none" w:sz="0" w:space="0" w:color="auto" w:frame="1"/>
        </w:rPr>
        <w:t xml:space="preserve">Pour chaque notice, la main est précisée entre parenthèses, ce qui permet de comprendre </w:t>
      </w:r>
      <w:r w:rsidR="00CC7A69">
        <w:rPr>
          <w:bdr w:val="none" w:sz="0" w:space="0" w:color="auto" w:frame="1"/>
        </w:rPr>
        <w:t xml:space="preserve">en un coup d’œil </w:t>
      </w:r>
      <w:r w:rsidR="007944B3">
        <w:rPr>
          <w:bdr w:val="none" w:sz="0" w:space="0" w:color="auto" w:frame="1"/>
        </w:rPr>
        <w:t xml:space="preserve">l’évolution du document au cours des siècles. </w:t>
      </w:r>
      <w:r w:rsidR="0060623B">
        <w:rPr>
          <w:bdr w:val="none" w:sz="0" w:space="0" w:color="auto" w:frame="1"/>
        </w:rPr>
        <w:t xml:space="preserve">Des notes (lettres) rendent compte des additions postérieures et </w:t>
      </w:r>
      <w:r w:rsidR="007944B3">
        <w:rPr>
          <w:bdr w:val="none" w:sz="0" w:space="0" w:color="auto" w:frame="1"/>
        </w:rPr>
        <w:t>indiquent</w:t>
      </w:r>
      <w:r w:rsidR="0060623B">
        <w:rPr>
          <w:bdr w:val="none" w:sz="0" w:space="0" w:color="auto" w:frame="1"/>
        </w:rPr>
        <w:t xml:space="preserve"> les particularités de la mise en page. </w:t>
      </w:r>
      <w:r w:rsidR="007944B3">
        <w:rPr>
          <w:bdr w:val="none" w:sz="0" w:space="0" w:color="auto" w:frame="1"/>
        </w:rPr>
        <w:t xml:space="preserve">Quant aux </w:t>
      </w:r>
      <w:r w:rsidR="00D87916">
        <w:rPr>
          <w:bdr w:val="none" w:sz="0" w:space="0" w:color="auto" w:frame="1"/>
        </w:rPr>
        <w:t>commentaires</w:t>
      </w:r>
      <w:r w:rsidR="0060623B">
        <w:rPr>
          <w:bdr w:val="none" w:sz="0" w:space="0" w:color="auto" w:frame="1"/>
        </w:rPr>
        <w:t xml:space="preserve"> (numérotés)</w:t>
      </w:r>
      <w:r w:rsidR="007944B3">
        <w:rPr>
          <w:bdr w:val="none" w:sz="0" w:space="0" w:color="auto" w:frame="1"/>
        </w:rPr>
        <w:t>, ils</w:t>
      </w:r>
      <w:r w:rsidR="00D87916">
        <w:rPr>
          <w:bdr w:val="none" w:sz="0" w:space="0" w:color="auto" w:frame="1"/>
        </w:rPr>
        <w:t xml:space="preserve"> portent essentiellement sur l’identification des personnes</w:t>
      </w:r>
      <w:r w:rsidR="00132A06">
        <w:rPr>
          <w:bdr w:val="none" w:sz="0" w:space="0" w:color="auto" w:frame="1"/>
        </w:rPr>
        <w:t>, qui sont replacées dans leur temps.</w:t>
      </w:r>
      <w:r w:rsidR="00CC7A69">
        <w:rPr>
          <w:bdr w:val="none" w:sz="0" w:space="0" w:color="auto" w:frame="1"/>
        </w:rPr>
        <w:t xml:space="preserve"> </w:t>
      </w:r>
      <w:r w:rsidR="00A92772">
        <w:rPr>
          <w:bdr w:val="none" w:sz="0" w:space="0" w:color="auto" w:frame="1"/>
        </w:rPr>
        <w:t xml:space="preserve">Il va sans </w:t>
      </w:r>
      <w:r w:rsidR="00A92772">
        <w:rPr>
          <w:bdr w:val="none" w:sz="0" w:space="0" w:color="auto" w:frame="1"/>
        </w:rPr>
        <w:lastRenderedPageBreak/>
        <w:t xml:space="preserve">dire que </w:t>
      </w:r>
      <w:r w:rsidR="00A92772">
        <w:rPr>
          <w:bdr w:val="none" w:sz="0" w:space="0" w:color="auto" w:frame="1"/>
        </w:rPr>
        <w:t>cette édition de qualité</w:t>
      </w:r>
      <w:r w:rsidR="00A92772">
        <w:rPr>
          <w:bdr w:val="none" w:sz="0" w:space="0" w:color="auto" w:frame="1"/>
        </w:rPr>
        <w:t xml:space="preserve"> alimentera de </w:t>
      </w:r>
      <w:r w:rsidR="003B434A">
        <w:rPr>
          <w:bdr w:val="none" w:sz="0" w:space="0" w:color="auto" w:frame="1"/>
        </w:rPr>
        <w:t>nouvelles</w:t>
      </w:r>
      <w:r w:rsidR="00A92772">
        <w:rPr>
          <w:bdr w:val="none" w:sz="0" w:space="0" w:color="auto" w:frame="1"/>
        </w:rPr>
        <w:t xml:space="preserve"> études</w:t>
      </w:r>
      <w:r w:rsidR="003B434A">
        <w:rPr>
          <w:bdr w:val="none" w:sz="0" w:space="0" w:color="auto" w:frame="1"/>
        </w:rPr>
        <w:t xml:space="preserve"> sur les Prémontrés suisses et leur </w:t>
      </w:r>
      <w:r w:rsidR="001D0BB5">
        <w:rPr>
          <w:bdr w:val="none" w:sz="0" w:space="0" w:color="auto" w:frame="1"/>
        </w:rPr>
        <w:t>entourage</w:t>
      </w:r>
      <w:r w:rsidR="003B434A">
        <w:rPr>
          <w:bdr w:val="none" w:sz="0" w:space="0" w:color="auto" w:frame="1"/>
        </w:rPr>
        <w:t>, mais aussi sur le canton de Fribourg</w:t>
      </w:r>
      <w:r w:rsidR="00A92772">
        <w:rPr>
          <w:bdr w:val="none" w:sz="0" w:space="0" w:color="auto" w:frame="1"/>
        </w:rPr>
        <w:t>.</w:t>
      </w:r>
    </w:p>
    <w:p w14:paraId="2DE7E75A" w14:textId="6E6DB8D1" w:rsidR="00A829B1" w:rsidRDefault="003A07E8" w:rsidP="003A07E8">
      <w:pPr>
        <w:ind w:firstLine="0"/>
        <w:jc w:val="right"/>
      </w:pPr>
      <w:r>
        <w:t xml:space="preserve">Eléonore </w:t>
      </w:r>
      <w:r w:rsidRPr="003A07E8">
        <w:rPr>
          <w:smallCaps/>
        </w:rPr>
        <w:t>Venturelli</w:t>
      </w:r>
    </w:p>
    <w:sectPr w:rsidR="00A829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29B1"/>
    <w:rsid w:val="000324B8"/>
    <w:rsid w:val="00044FB6"/>
    <w:rsid w:val="00071DB0"/>
    <w:rsid w:val="00132A06"/>
    <w:rsid w:val="00133101"/>
    <w:rsid w:val="001C0EBB"/>
    <w:rsid w:val="001D0BB5"/>
    <w:rsid w:val="0028728C"/>
    <w:rsid w:val="002908A5"/>
    <w:rsid w:val="002910C7"/>
    <w:rsid w:val="002C081A"/>
    <w:rsid w:val="003975C7"/>
    <w:rsid w:val="003A07E8"/>
    <w:rsid w:val="003B434A"/>
    <w:rsid w:val="00453B85"/>
    <w:rsid w:val="00487D83"/>
    <w:rsid w:val="004A6ED5"/>
    <w:rsid w:val="004C5F81"/>
    <w:rsid w:val="005108BB"/>
    <w:rsid w:val="00531438"/>
    <w:rsid w:val="00597412"/>
    <w:rsid w:val="005B7CBF"/>
    <w:rsid w:val="005E7F5B"/>
    <w:rsid w:val="0060623B"/>
    <w:rsid w:val="006238AE"/>
    <w:rsid w:val="00647C1D"/>
    <w:rsid w:val="00665133"/>
    <w:rsid w:val="0069377A"/>
    <w:rsid w:val="006A0B8E"/>
    <w:rsid w:val="006C37F1"/>
    <w:rsid w:val="00761850"/>
    <w:rsid w:val="00765563"/>
    <w:rsid w:val="007944B3"/>
    <w:rsid w:val="007B5467"/>
    <w:rsid w:val="007D3D5B"/>
    <w:rsid w:val="008029CC"/>
    <w:rsid w:val="00816447"/>
    <w:rsid w:val="00846416"/>
    <w:rsid w:val="0089072A"/>
    <w:rsid w:val="008961C6"/>
    <w:rsid w:val="008B4910"/>
    <w:rsid w:val="008C58CB"/>
    <w:rsid w:val="008F114D"/>
    <w:rsid w:val="0092744F"/>
    <w:rsid w:val="00977D0B"/>
    <w:rsid w:val="00A11A4A"/>
    <w:rsid w:val="00A829B1"/>
    <w:rsid w:val="00A9263F"/>
    <w:rsid w:val="00A92772"/>
    <w:rsid w:val="00AB14A0"/>
    <w:rsid w:val="00B307E7"/>
    <w:rsid w:val="00B31EC9"/>
    <w:rsid w:val="00B84C26"/>
    <w:rsid w:val="00B9179A"/>
    <w:rsid w:val="00BB2ED4"/>
    <w:rsid w:val="00BD7CD9"/>
    <w:rsid w:val="00C114BE"/>
    <w:rsid w:val="00C2059E"/>
    <w:rsid w:val="00CC7A69"/>
    <w:rsid w:val="00D455AD"/>
    <w:rsid w:val="00D529DE"/>
    <w:rsid w:val="00D87916"/>
    <w:rsid w:val="00DF44B1"/>
    <w:rsid w:val="00E570DC"/>
    <w:rsid w:val="00E81D8F"/>
    <w:rsid w:val="00F631E5"/>
    <w:rsid w:val="00F636A8"/>
    <w:rsid w:val="00F81E17"/>
    <w:rsid w:val="00F92E2F"/>
    <w:rsid w:val="00FA3636"/>
    <w:rsid w:val="00FD5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60B1D0"/>
  <w15:chartTrackingRefBased/>
  <w15:docId w15:val="{8A6D583C-D789-4108-A27E-9B5C7441E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fr-BE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A4A"/>
    <w:pPr>
      <w:spacing w:line="360" w:lineRule="auto"/>
      <w:ind w:firstLine="709"/>
    </w:pPr>
    <w:rPr>
      <w:rFonts w:ascii="Times New Roman" w:hAnsi="Times New Roman" w:cs="Times New Roman"/>
      <w:sz w:val="24"/>
      <w:szCs w:val="24"/>
      <w:lang w:eastAsia="fr-BE"/>
    </w:rPr>
  </w:style>
  <w:style w:type="paragraph" w:styleId="Titre1">
    <w:name w:val="heading 1"/>
    <w:basedOn w:val="Normal"/>
    <w:next w:val="Normal"/>
    <w:link w:val="Titre1Car"/>
    <w:uiPriority w:val="9"/>
    <w:qFormat/>
    <w:rsid w:val="00765563"/>
    <w:pPr>
      <w:keepNext/>
      <w:keepLines/>
      <w:spacing w:before="240" w:after="240"/>
      <w:outlineLvl w:val="0"/>
    </w:pPr>
    <w:rPr>
      <w:rFonts w:eastAsiaTheme="majorEastAsia" w:cstheme="majorBidi"/>
      <w:b/>
      <w:sz w:val="28"/>
      <w:szCs w:val="32"/>
    </w:rPr>
  </w:style>
  <w:style w:type="paragraph" w:styleId="Titre2">
    <w:name w:val="heading 2"/>
    <w:basedOn w:val="Titre1"/>
    <w:next w:val="Normal"/>
    <w:link w:val="Titre2Car"/>
    <w:uiPriority w:val="9"/>
    <w:unhideWhenUsed/>
    <w:qFormat/>
    <w:rsid w:val="001C0EBB"/>
    <w:pPr>
      <w:spacing w:before="120" w:after="120"/>
      <w:outlineLvl w:val="1"/>
    </w:pPr>
    <w:rPr>
      <w:b w:val="0"/>
      <w:i/>
      <w:sz w:val="24"/>
      <w:szCs w:val="26"/>
    </w:rPr>
  </w:style>
  <w:style w:type="paragraph" w:styleId="Titre3">
    <w:name w:val="heading 3"/>
    <w:basedOn w:val="Titre2"/>
    <w:next w:val="Normal"/>
    <w:link w:val="Titre3Car"/>
    <w:uiPriority w:val="9"/>
    <w:unhideWhenUsed/>
    <w:qFormat/>
    <w:rsid w:val="00765563"/>
    <w:pPr>
      <w:outlineLvl w:val="2"/>
    </w:pPr>
    <w:rPr>
      <w:b/>
      <w:i w:val="0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1C0EBB"/>
    <w:rPr>
      <w:rFonts w:ascii="Times New Roman" w:eastAsiaTheme="majorEastAsia" w:hAnsi="Times New Roman" w:cstheme="majorBidi"/>
      <w:i/>
      <w:sz w:val="24"/>
      <w:szCs w:val="26"/>
      <w:lang w:eastAsia="fr-BE"/>
    </w:rPr>
  </w:style>
  <w:style w:type="character" w:customStyle="1" w:styleId="Titre1Car">
    <w:name w:val="Titre 1 Car"/>
    <w:basedOn w:val="Policepardfaut"/>
    <w:link w:val="Titre1"/>
    <w:uiPriority w:val="9"/>
    <w:rsid w:val="0076556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Titre3Car">
    <w:name w:val="Titre 3 Car"/>
    <w:basedOn w:val="Policepardfaut"/>
    <w:link w:val="Titre3"/>
    <w:uiPriority w:val="9"/>
    <w:rsid w:val="00765563"/>
    <w:rPr>
      <w:rFonts w:ascii="Times New Roman" w:eastAsiaTheme="majorEastAsia" w:hAnsi="Times New Roman" w:cstheme="majorBidi"/>
      <w:sz w:val="24"/>
      <w:szCs w:val="24"/>
    </w:rPr>
  </w:style>
  <w:style w:type="paragraph" w:styleId="Notedebasdepage">
    <w:name w:val="footnote text"/>
    <w:link w:val="NotedebasdepageCar"/>
    <w:uiPriority w:val="99"/>
    <w:semiHidden/>
    <w:unhideWhenUsed/>
    <w:rsid w:val="00A11A4A"/>
    <w:rPr>
      <w:rFonts w:ascii="Times New Roman" w:hAnsi="Times New Roman" w:cs="Times New Roman"/>
      <w:sz w:val="20"/>
      <w:szCs w:val="20"/>
      <w:lang w:eastAsia="fr-BE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A11A4A"/>
    <w:rPr>
      <w:rFonts w:ascii="Times New Roman" w:hAnsi="Times New Roman" w:cs="Times New Roman"/>
      <w:sz w:val="20"/>
      <w:szCs w:val="20"/>
      <w:lang w:eastAsia="fr-BE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BD7CD9"/>
    <w:pPr>
      <w:numPr>
        <w:ilvl w:val="1"/>
      </w:numPr>
      <w:spacing w:after="240"/>
      <w:ind w:firstLine="709"/>
      <w:jc w:val="center"/>
    </w:pPr>
    <w:rPr>
      <w:rFonts w:eastAsiaTheme="minorEastAsia" w:cstheme="minorBidi"/>
      <w:b/>
      <w:i/>
      <w:spacing w:val="15"/>
      <w:sz w:val="36"/>
      <w:szCs w:val="22"/>
    </w:rPr>
  </w:style>
  <w:style w:type="character" w:customStyle="1" w:styleId="Sous-titreCar">
    <w:name w:val="Sous-titre Car"/>
    <w:basedOn w:val="Policepardfaut"/>
    <w:link w:val="Sous-titre"/>
    <w:uiPriority w:val="11"/>
    <w:rsid w:val="00BD7CD9"/>
    <w:rPr>
      <w:rFonts w:ascii="Times New Roman" w:eastAsiaTheme="minorEastAsia" w:hAnsi="Times New Roman"/>
      <w:b/>
      <w:i/>
      <w:spacing w:val="15"/>
      <w:sz w:val="36"/>
      <w:lang w:eastAsia="fr-BE"/>
    </w:rPr>
  </w:style>
  <w:style w:type="paragraph" w:styleId="Titre">
    <w:name w:val="Title"/>
    <w:basedOn w:val="Normal"/>
    <w:next w:val="Normal"/>
    <w:link w:val="TitreCar"/>
    <w:autoRedefine/>
    <w:uiPriority w:val="10"/>
    <w:qFormat/>
    <w:rsid w:val="002910C7"/>
    <w:pPr>
      <w:spacing w:before="320" w:after="320" w:line="240" w:lineRule="auto"/>
      <w:ind w:firstLine="0"/>
      <w:contextualSpacing/>
      <w:jc w:val="center"/>
    </w:pPr>
    <w:rPr>
      <w:rFonts w:eastAsiaTheme="majorEastAsia" w:cstheme="majorBidi"/>
      <w:spacing w:val="-10"/>
      <w:kern w:val="28"/>
      <w:sz w:val="40"/>
      <w:szCs w:val="56"/>
    </w:rPr>
  </w:style>
  <w:style w:type="character" w:customStyle="1" w:styleId="TitreCar">
    <w:name w:val="Titre Car"/>
    <w:basedOn w:val="Policepardfaut"/>
    <w:link w:val="Titre"/>
    <w:uiPriority w:val="10"/>
    <w:rsid w:val="002910C7"/>
    <w:rPr>
      <w:rFonts w:ascii="Times New Roman" w:eastAsiaTheme="majorEastAsia" w:hAnsi="Times New Roman" w:cstheme="majorBidi"/>
      <w:spacing w:val="-10"/>
      <w:kern w:val="28"/>
      <w:sz w:val="40"/>
      <w:szCs w:val="56"/>
      <w:lang w:eastAsia="fr-BE"/>
    </w:rPr>
  </w:style>
  <w:style w:type="paragraph" w:styleId="Citation">
    <w:name w:val="Quote"/>
    <w:basedOn w:val="Normal"/>
    <w:next w:val="Normal"/>
    <w:link w:val="CitationCar"/>
    <w:uiPriority w:val="29"/>
    <w:qFormat/>
    <w:rsid w:val="00D455AD"/>
    <w:pPr>
      <w:spacing w:before="120" w:after="120" w:line="240" w:lineRule="auto"/>
      <w:ind w:left="851" w:firstLine="0"/>
      <w:contextualSpacing/>
    </w:pPr>
    <w:rPr>
      <w:i/>
      <w:iCs/>
      <w:noProof/>
      <w:lang w:val="la-Latn"/>
    </w:rPr>
  </w:style>
  <w:style w:type="character" w:customStyle="1" w:styleId="CitationCar">
    <w:name w:val="Citation Car"/>
    <w:basedOn w:val="Policepardfaut"/>
    <w:link w:val="Citation"/>
    <w:uiPriority w:val="29"/>
    <w:rsid w:val="00D455AD"/>
    <w:rPr>
      <w:rFonts w:ascii="Times New Roman" w:hAnsi="Times New Roman" w:cs="Times New Roman"/>
      <w:i/>
      <w:iCs/>
      <w:noProof/>
      <w:sz w:val="24"/>
      <w:szCs w:val="24"/>
      <w:lang w:val="la-Latn" w:eastAsia="fr-BE"/>
    </w:rPr>
  </w:style>
  <w:style w:type="character" w:customStyle="1" w:styleId="markhoavnw6mk">
    <w:name w:val="markhoavnw6mk"/>
    <w:basedOn w:val="Policepardfaut"/>
    <w:rsid w:val="00A829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2</Pages>
  <Words>480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Eléonore Venturelli</dc:creator>
  <cp:keywords/>
  <dc:description/>
  <cp:lastModifiedBy>Eléonore Venturelli</cp:lastModifiedBy>
  <cp:revision>15</cp:revision>
  <dcterms:created xsi:type="dcterms:W3CDTF">2023-04-03T15:00:00Z</dcterms:created>
  <dcterms:modified xsi:type="dcterms:W3CDTF">2023-04-05T11:59:00Z</dcterms:modified>
</cp:coreProperties>
</file>