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A2084F" w14:textId="56BFDC21" w:rsidR="00981F50" w:rsidRPr="00B07A9F" w:rsidRDefault="00981F50" w:rsidP="00340920">
      <w:pPr>
        <w:rPr>
          <w:b/>
          <w:sz w:val="32"/>
          <w:szCs w:val="32"/>
        </w:rPr>
      </w:pPr>
      <w:bookmarkStart w:id="0" w:name="_Hlk123374473"/>
      <w:r w:rsidRPr="00B07A9F">
        <w:rPr>
          <w:b/>
          <w:sz w:val="32"/>
          <w:szCs w:val="32"/>
        </w:rPr>
        <w:t xml:space="preserve">“Green”-synthesized zinc oxide nanoparticles and plant extracts: </w:t>
      </w:r>
      <w:r w:rsidR="00437057" w:rsidRPr="00B07A9F">
        <w:rPr>
          <w:b/>
          <w:sz w:val="32"/>
          <w:szCs w:val="32"/>
        </w:rPr>
        <w:t xml:space="preserve">A </w:t>
      </w:r>
      <w:r w:rsidRPr="00B07A9F">
        <w:rPr>
          <w:b/>
          <w:sz w:val="32"/>
          <w:szCs w:val="32"/>
        </w:rPr>
        <w:t>comparison between synthesis processes and antihyperglycemic activity</w:t>
      </w:r>
    </w:p>
    <w:p w14:paraId="41C73B88" w14:textId="77777777" w:rsidR="00B35B98" w:rsidRPr="00B07A9F" w:rsidRDefault="00B35B98" w:rsidP="00B35B98">
      <w:pPr>
        <w:spacing w:before="240"/>
        <w:rPr>
          <w:rFonts w:eastAsia="Microsoft JhengHei"/>
          <w:b/>
          <w:sz w:val="24"/>
          <w:lang w:val="en-GB"/>
        </w:rPr>
      </w:pPr>
      <w:bookmarkStart w:id="1" w:name="_Hlk115643407"/>
      <w:bookmarkEnd w:id="0"/>
      <w:r w:rsidRPr="00B07A9F">
        <w:rPr>
          <w:rFonts w:eastAsia="Microsoft JhengHei"/>
          <w:b/>
          <w:sz w:val="24"/>
          <w:lang w:val="en-GB"/>
        </w:rPr>
        <w:t xml:space="preserve">Espoir K. </w:t>
      </w:r>
      <w:proofErr w:type="spellStart"/>
      <w:proofErr w:type="gramStart"/>
      <w:r w:rsidRPr="00B07A9F">
        <w:rPr>
          <w:rFonts w:eastAsia="Microsoft JhengHei"/>
          <w:b/>
          <w:sz w:val="24"/>
          <w:lang w:val="en-GB"/>
        </w:rPr>
        <w:t>Kambale</w:t>
      </w:r>
      <w:r w:rsidRPr="00B07A9F">
        <w:rPr>
          <w:rFonts w:eastAsia="Microsoft JhengHei"/>
          <w:b/>
          <w:sz w:val="24"/>
          <w:vertAlign w:val="superscript"/>
          <w:lang w:val="en-GB"/>
        </w:rPr>
        <w:t>a,b</w:t>
      </w:r>
      <w:proofErr w:type="spellEnd"/>
      <w:proofErr w:type="gramEnd"/>
      <w:r w:rsidRPr="00B07A9F">
        <w:rPr>
          <w:rFonts w:eastAsia="Microsoft JhengHei"/>
          <w:b/>
          <w:sz w:val="24"/>
          <w:lang w:val="en-GB"/>
        </w:rPr>
        <w:t xml:space="preserve">, Frederick M. </w:t>
      </w:r>
      <w:proofErr w:type="spellStart"/>
      <w:r w:rsidRPr="00B07A9F">
        <w:rPr>
          <w:rFonts w:eastAsia="Microsoft JhengHei"/>
          <w:b/>
          <w:sz w:val="24"/>
          <w:lang w:val="en-GB"/>
        </w:rPr>
        <w:t>Katemo</w:t>
      </w:r>
      <w:r w:rsidRPr="00B07A9F">
        <w:rPr>
          <w:rFonts w:eastAsia="Microsoft JhengHei"/>
          <w:b/>
          <w:sz w:val="24"/>
          <w:vertAlign w:val="superscript"/>
          <w:lang w:val="en-GB"/>
        </w:rPr>
        <w:t>c</w:t>
      </w:r>
      <w:proofErr w:type="spellEnd"/>
      <w:r w:rsidRPr="00B07A9F">
        <w:rPr>
          <w:rFonts w:eastAsia="Microsoft JhengHei"/>
          <w:b/>
          <w:sz w:val="24"/>
          <w:lang w:val="en-GB"/>
        </w:rPr>
        <w:t>,</w:t>
      </w:r>
      <w:r w:rsidRPr="00B07A9F">
        <w:rPr>
          <w:b/>
          <w:sz w:val="24"/>
        </w:rPr>
        <w:t xml:space="preserve"> </w:t>
      </w:r>
      <w:bookmarkStart w:id="2" w:name="_Hlk118048946"/>
      <w:proofErr w:type="spellStart"/>
      <w:r w:rsidRPr="00B07A9F">
        <w:rPr>
          <w:rFonts w:eastAsia="Microsoft JhengHei"/>
          <w:b/>
          <w:sz w:val="24"/>
          <w:lang w:val="en-GB"/>
        </w:rPr>
        <w:t>Joëlle</w:t>
      </w:r>
      <w:proofErr w:type="spellEnd"/>
      <w:r w:rsidRPr="00B07A9F">
        <w:rPr>
          <w:rFonts w:eastAsia="Microsoft JhengHei"/>
          <w:b/>
          <w:sz w:val="24"/>
          <w:lang w:val="en-GB"/>
        </w:rPr>
        <w:t xml:space="preserve"> </w:t>
      </w:r>
      <w:proofErr w:type="spellStart"/>
      <w:r w:rsidRPr="00B07A9F">
        <w:rPr>
          <w:rFonts w:eastAsia="Microsoft JhengHei"/>
          <w:b/>
          <w:sz w:val="24"/>
          <w:lang w:val="en-GB"/>
        </w:rPr>
        <w:t>Quetin-Leclercq</w:t>
      </w:r>
      <w:bookmarkEnd w:id="2"/>
      <w:r w:rsidRPr="00B07A9F">
        <w:rPr>
          <w:rFonts w:eastAsia="Microsoft JhengHei"/>
          <w:b/>
          <w:sz w:val="24"/>
          <w:vertAlign w:val="superscript"/>
          <w:lang w:val="en-GB"/>
        </w:rPr>
        <w:t>d</w:t>
      </w:r>
      <w:proofErr w:type="spellEnd"/>
      <w:r w:rsidRPr="00B07A9F">
        <w:rPr>
          <w:rFonts w:eastAsia="Microsoft JhengHei"/>
          <w:b/>
          <w:sz w:val="24"/>
          <w:lang w:val="en-GB"/>
        </w:rPr>
        <w:t xml:space="preserve">, Patrick B. </w:t>
      </w:r>
      <w:proofErr w:type="spellStart"/>
      <w:r w:rsidRPr="00B07A9F">
        <w:rPr>
          <w:rFonts w:eastAsia="Microsoft JhengHei"/>
          <w:b/>
          <w:sz w:val="24"/>
          <w:lang w:val="en-GB"/>
        </w:rPr>
        <w:t>Memvanga</w:t>
      </w:r>
      <w:r w:rsidRPr="00B07A9F">
        <w:rPr>
          <w:rFonts w:eastAsia="Microsoft JhengHei"/>
          <w:b/>
          <w:sz w:val="24"/>
          <w:vertAlign w:val="superscript"/>
          <w:lang w:val="en-GB"/>
        </w:rPr>
        <w:t>b,e</w:t>
      </w:r>
      <w:proofErr w:type="spellEnd"/>
      <w:r w:rsidRPr="00B07A9F">
        <w:rPr>
          <w:rFonts w:eastAsia="Microsoft JhengHei"/>
          <w:b/>
          <w:sz w:val="24"/>
          <w:lang w:val="en-GB"/>
        </w:rPr>
        <w:t xml:space="preserve">, Ana </w:t>
      </w:r>
      <w:proofErr w:type="spellStart"/>
      <w:r w:rsidRPr="00B07A9F">
        <w:rPr>
          <w:rFonts w:eastAsia="Microsoft JhengHei"/>
          <w:b/>
          <w:sz w:val="24"/>
          <w:lang w:val="en-GB"/>
        </w:rPr>
        <w:t>Beloqui</w:t>
      </w:r>
      <w:r w:rsidRPr="00B07A9F">
        <w:rPr>
          <w:rFonts w:eastAsia="Microsoft JhengHei"/>
          <w:b/>
          <w:sz w:val="24"/>
          <w:vertAlign w:val="superscript"/>
          <w:lang w:val="en-GB"/>
        </w:rPr>
        <w:t>a,f</w:t>
      </w:r>
      <w:proofErr w:type="spellEnd"/>
      <w:r w:rsidRPr="00B07A9F">
        <w:rPr>
          <w:rFonts w:eastAsia="Microsoft JhengHei"/>
          <w:b/>
          <w:sz w:val="24"/>
          <w:lang w:val="en-GB"/>
        </w:rPr>
        <w:t>*</w:t>
      </w:r>
    </w:p>
    <w:bookmarkEnd w:id="1"/>
    <w:p w14:paraId="1343B749" w14:textId="77777777" w:rsidR="00B35B98" w:rsidRPr="00B07A9F" w:rsidRDefault="00B35B98" w:rsidP="00B35B98">
      <w:pPr>
        <w:pStyle w:val="MDPI16affiliation"/>
        <w:ind w:left="198"/>
        <w:jc w:val="both"/>
        <w:rPr>
          <w:rFonts w:ascii="Times New Roman" w:eastAsia="Microsoft JhengHei" w:hAnsi="Times New Roman"/>
          <w:i/>
          <w:sz w:val="22"/>
          <w:szCs w:val="20"/>
          <w:vertAlign w:val="superscript"/>
          <w:lang w:val="en-GB"/>
        </w:rPr>
      </w:pPr>
      <w:proofErr w:type="spellStart"/>
      <w:proofErr w:type="gramStart"/>
      <w:r w:rsidRPr="00B07A9F">
        <w:rPr>
          <w:rFonts w:ascii="Times New Roman" w:eastAsia="Microsoft JhengHei" w:hAnsi="Times New Roman"/>
          <w:i/>
          <w:sz w:val="22"/>
          <w:szCs w:val="20"/>
          <w:vertAlign w:val="superscript"/>
          <w:lang w:val="en-GB"/>
        </w:rPr>
        <w:t>a</w:t>
      </w:r>
      <w:proofErr w:type="spellEnd"/>
      <w:proofErr w:type="gramEnd"/>
      <w:r w:rsidRPr="00B07A9F">
        <w:rPr>
          <w:rFonts w:ascii="Times New Roman" w:eastAsia="Microsoft JhengHei" w:hAnsi="Times New Roman"/>
          <w:b/>
          <w:i/>
          <w:sz w:val="22"/>
          <w:szCs w:val="20"/>
          <w:lang w:val="en-GB"/>
        </w:rPr>
        <w:tab/>
      </w:r>
      <w:r w:rsidRPr="00B07A9F">
        <w:rPr>
          <w:rFonts w:ascii="Times New Roman" w:eastAsia="Microsoft JhengHei" w:hAnsi="Times New Roman"/>
          <w:i/>
          <w:sz w:val="22"/>
          <w:szCs w:val="20"/>
          <w:lang w:val="en-GB"/>
        </w:rPr>
        <w:t xml:space="preserve">Advanced Drug Delivery and Biomaterials Group, Louvain Drug Research Institute, </w:t>
      </w:r>
      <w:proofErr w:type="spellStart"/>
      <w:r w:rsidRPr="00B07A9F">
        <w:rPr>
          <w:rFonts w:ascii="Times New Roman" w:eastAsia="Microsoft JhengHei" w:hAnsi="Times New Roman"/>
          <w:i/>
          <w:sz w:val="22"/>
          <w:szCs w:val="20"/>
          <w:lang w:val="en-GB"/>
        </w:rPr>
        <w:t>UCLouvain</w:t>
      </w:r>
      <w:proofErr w:type="spellEnd"/>
      <w:r w:rsidRPr="00B07A9F">
        <w:rPr>
          <w:rFonts w:ascii="Times New Roman" w:eastAsia="Microsoft JhengHei" w:hAnsi="Times New Roman"/>
          <w:i/>
          <w:sz w:val="22"/>
          <w:szCs w:val="20"/>
          <w:lang w:val="en-GB"/>
        </w:rPr>
        <w:t xml:space="preserve">, Université </w:t>
      </w:r>
      <w:proofErr w:type="spellStart"/>
      <w:r w:rsidRPr="00B07A9F">
        <w:rPr>
          <w:rFonts w:ascii="Times New Roman" w:eastAsia="Microsoft JhengHei" w:hAnsi="Times New Roman"/>
          <w:i/>
          <w:sz w:val="22"/>
          <w:szCs w:val="20"/>
          <w:lang w:val="en-GB"/>
        </w:rPr>
        <w:t>catholique</w:t>
      </w:r>
      <w:proofErr w:type="spellEnd"/>
      <w:r w:rsidRPr="00B07A9F">
        <w:rPr>
          <w:rFonts w:ascii="Times New Roman" w:eastAsia="Microsoft JhengHei" w:hAnsi="Times New Roman"/>
          <w:i/>
          <w:sz w:val="22"/>
          <w:szCs w:val="20"/>
          <w:lang w:val="en-GB"/>
        </w:rPr>
        <w:t xml:space="preserve"> de Louvain, Avenue </w:t>
      </w:r>
      <w:proofErr w:type="spellStart"/>
      <w:r w:rsidRPr="00B07A9F">
        <w:rPr>
          <w:rFonts w:ascii="Times New Roman" w:eastAsia="Microsoft JhengHei" w:hAnsi="Times New Roman"/>
          <w:i/>
          <w:sz w:val="22"/>
          <w:szCs w:val="20"/>
          <w:lang w:val="en-GB"/>
        </w:rPr>
        <w:t>Mounier</w:t>
      </w:r>
      <w:proofErr w:type="spellEnd"/>
      <w:r w:rsidRPr="00B07A9F">
        <w:rPr>
          <w:rFonts w:ascii="Times New Roman" w:eastAsia="Microsoft JhengHei" w:hAnsi="Times New Roman"/>
          <w:i/>
          <w:sz w:val="22"/>
          <w:szCs w:val="20"/>
          <w:lang w:val="en-GB"/>
        </w:rPr>
        <w:t xml:space="preserve"> 73, B1.73.12, 1200 Brussels, Belgium</w:t>
      </w:r>
    </w:p>
    <w:p w14:paraId="27DB2E0F" w14:textId="77777777" w:rsidR="00B35B98" w:rsidRPr="00B07A9F" w:rsidRDefault="00B35B98" w:rsidP="00B35B98">
      <w:pPr>
        <w:pStyle w:val="MDPI16affiliation"/>
        <w:ind w:left="198"/>
        <w:jc w:val="both"/>
        <w:rPr>
          <w:rFonts w:ascii="Times New Roman" w:eastAsia="Microsoft JhengHei" w:hAnsi="Times New Roman"/>
          <w:i/>
          <w:sz w:val="22"/>
          <w:szCs w:val="20"/>
          <w:lang w:val="en-GB"/>
        </w:rPr>
      </w:pPr>
      <w:r w:rsidRPr="00B07A9F">
        <w:rPr>
          <w:rFonts w:ascii="Times New Roman" w:eastAsia="Microsoft JhengHei" w:hAnsi="Times New Roman"/>
          <w:i/>
          <w:iCs/>
          <w:sz w:val="22"/>
          <w:szCs w:val="20"/>
          <w:vertAlign w:val="superscript"/>
          <w:lang w:val="en-GB"/>
        </w:rPr>
        <w:t>b</w:t>
      </w:r>
      <w:r w:rsidRPr="00B07A9F">
        <w:rPr>
          <w:rFonts w:ascii="Times New Roman" w:eastAsia="Microsoft JhengHei" w:hAnsi="Times New Roman"/>
          <w:i/>
          <w:iCs/>
          <w:sz w:val="22"/>
          <w:szCs w:val="20"/>
          <w:lang w:val="en-GB"/>
        </w:rPr>
        <w:tab/>
      </w:r>
      <w:r w:rsidRPr="00B07A9F">
        <w:rPr>
          <w:rFonts w:ascii="Times New Roman" w:eastAsia="Microsoft JhengHei" w:hAnsi="Times New Roman"/>
          <w:i/>
          <w:sz w:val="22"/>
          <w:szCs w:val="20"/>
          <w:lang w:val="en-GB"/>
        </w:rPr>
        <w:t>Laboratory of Pharmaceutics and Phytopharmaceutical Drug Development, Faculty of Pharmaceutical Sciences, University of Kinshasa, B.P. 212, Kinshasa XI, Democratic Republic of the Congo</w:t>
      </w:r>
    </w:p>
    <w:p w14:paraId="1E82B451" w14:textId="77777777" w:rsidR="00B35B98" w:rsidRPr="00B07A9F" w:rsidRDefault="00B35B98" w:rsidP="00B35B98">
      <w:pPr>
        <w:pStyle w:val="MDPI16affiliation"/>
        <w:ind w:left="198"/>
        <w:jc w:val="both"/>
        <w:rPr>
          <w:rFonts w:ascii="Times New Roman" w:eastAsia="Microsoft JhengHei" w:hAnsi="Times New Roman"/>
          <w:i/>
          <w:sz w:val="22"/>
          <w:szCs w:val="20"/>
          <w:lang w:val="en-GB"/>
        </w:rPr>
      </w:pPr>
      <w:r w:rsidRPr="00B07A9F">
        <w:rPr>
          <w:rFonts w:ascii="Times New Roman" w:eastAsia="Microsoft JhengHei" w:hAnsi="Times New Roman"/>
          <w:i/>
          <w:sz w:val="22"/>
          <w:szCs w:val="20"/>
          <w:vertAlign w:val="superscript"/>
          <w:lang w:val="en-GB"/>
        </w:rPr>
        <w:t>c</w:t>
      </w:r>
      <w:r w:rsidRPr="00B07A9F">
        <w:rPr>
          <w:rFonts w:ascii="Times New Roman" w:eastAsia="Microsoft JhengHei" w:hAnsi="Times New Roman"/>
          <w:i/>
          <w:sz w:val="22"/>
          <w:szCs w:val="20"/>
          <w:lang w:val="en-GB"/>
        </w:rPr>
        <w:tab/>
        <w:t xml:space="preserve">Department of Pharmacy, Faculty of Medicine and Pharmacy, University of Kisangani, DR Congo </w:t>
      </w:r>
    </w:p>
    <w:p w14:paraId="174C4A1D" w14:textId="77777777" w:rsidR="00B35B98" w:rsidRPr="00B07A9F" w:rsidRDefault="00B35B98" w:rsidP="00B35B98">
      <w:pPr>
        <w:pStyle w:val="MDPI16affiliation"/>
        <w:ind w:left="198"/>
        <w:jc w:val="both"/>
        <w:rPr>
          <w:rFonts w:ascii="Times New Roman" w:eastAsia="Microsoft JhengHei" w:hAnsi="Times New Roman"/>
          <w:i/>
          <w:sz w:val="22"/>
          <w:szCs w:val="20"/>
          <w:lang w:val="fr-BE"/>
        </w:rPr>
      </w:pPr>
      <w:r w:rsidRPr="00B07A9F">
        <w:rPr>
          <w:rFonts w:ascii="Times New Roman" w:eastAsia="Microsoft JhengHei" w:hAnsi="Times New Roman"/>
          <w:i/>
          <w:sz w:val="22"/>
          <w:szCs w:val="20"/>
          <w:vertAlign w:val="superscript"/>
          <w:lang w:val="fr-BE"/>
        </w:rPr>
        <w:t>d</w:t>
      </w:r>
      <w:r w:rsidRPr="00B07A9F">
        <w:rPr>
          <w:rFonts w:ascii="Times New Roman" w:eastAsia="Microsoft JhengHei" w:hAnsi="Times New Roman"/>
          <w:i/>
          <w:sz w:val="22"/>
          <w:szCs w:val="20"/>
          <w:lang w:val="fr-BE"/>
        </w:rPr>
        <w:tab/>
      </w:r>
      <w:proofErr w:type="spellStart"/>
      <w:r w:rsidRPr="00B07A9F">
        <w:rPr>
          <w:rFonts w:ascii="Times New Roman" w:eastAsia="Microsoft JhengHei" w:hAnsi="Times New Roman"/>
          <w:i/>
          <w:sz w:val="22"/>
          <w:szCs w:val="20"/>
          <w:lang w:val="fr-BE"/>
        </w:rPr>
        <w:t>Pharmacognosy</w:t>
      </w:r>
      <w:proofErr w:type="spellEnd"/>
      <w:r w:rsidRPr="00B07A9F">
        <w:rPr>
          <w:rFonts w:ascii="Times New Roman" w:eastAsia="Microsoft JhengHei" w:hAnsi="Times New Roman"/>
          <w:i/>
          <w:sz w:val="22"/>
          <w:szCs w:val="20"/>
          <w:lang w:val="fr-BE"/>
        </w:rPr>
        <w:t xml:space="preserve"> </w:t>
      </w:r>
      <w:proofErr w:type="spellStart"/>
      <w:r w:rsidRPr="00B07A9F">
        <w:rPr>
          <w:rFonts w:ascii="Times New Roman" w:eastAsia="Microsoft JhengHei" w:hAnsi="Times New Roman"/>
          <w:i/>
          <w:sz w:val="22"/>
          <w:szCs w:val="20"/>
          <w:lang w:val="fr-BE"/>
        </w:rPr>
        <w:t>Research</w:t>
      </w:r>
      <w:proofErr w:type="spellEnd"/>
      <w:r w:rsidRPr="00B07A9F">
        <w:rPr>
          <w:rFonts w:ascii="Times New Roman" w:eastAsia="Microsoft JhengHei" w:hAnsi="Times New Roman"/>
          <w:i/>
          <w:sz w:val="22"/>
          <w:szCs w:val="20"/>
          <w:lang w:val="fr-BE"/>
        </w:rPr>
        <w:t xml:space="preserve"> Group, Louvain Drug </w:t>
      </w:r>
      <w:proofErr w:type="spellStart"/>
      <w:r w:rsidRPr="00B07A9F">
        <w:rPr>
          <w:rFonts w:ascii="Times New Roman" w:eastAsia="Microsoft JhengHei" w:hAnsi="Times New Roman"/>
          <w:i/>
          <w:sz w:val="22"/>
          <w:szCs w:val="20"/>
          <w:lang w:val="fr-BE"/>
        </w:rPr>
        <w:t>Research</w:t>
      </w:r>
      <w:proofErr w:type="spellEnd"/>
      <w:r w:rsidRPr="00B07A9F">
        <w:rPr>
          <w:rFonts w:ascii="Times New Roman" w:eastAsia="Microsoft JhengHei" w:hAnsi="Times New Roman"/>
          <w:i/>
          <w:sz w:val="22"/>
          <w:szCs w:val="20"/>
          <w:lang w:val="fr-BE"/>
        </w:rPr>
        <w:t xml:space="preserve"> Institute, </w:t>
      </w:r>
      <w:proofErr w:type="spellStart"/>
      <w:r w:rsidRPr="00B07A9F">
        <w:rPr>
          <w:rFonts w:ascii="Times New Roman" w:eastAsia="Microsoft JhengHei" w:hAnsi="Times New Roman"/>
          <w:i/>
          <w:sz w:val="22"/>
          <w:szCs w:val="20"/>
          <w:lang w:val="fr-BE"/>
        </w:rPr>
        <w:t>UCLouvain</w:t>
      </w:r>
      <w:proofErr w:type="spellEnd"/>
      <w:r w:rsidRPr="00B07A9F">
        <w:rPr>
          <w:rFonts w:ascii="Times New Roman" w:eastAsia="Microsoft JhengHei" w:hAnsi="Times New Roman"/>
          <w:i/>
          <w:sz w:val="22"/>
          <w:szCs w:val="20"/>
          <w:lang w:val="fr-BE"/>
        </w:rPr>
        <w:t xml:space="preserve">, Université catholique de Louvain, Avenue Mounier 72, B1.72.03, 1200 Brussels, </w:t>
      </w:r>
      <w:proofErr w:type="spellStart"/>
      <w:r w:rsidRPr="00B07A9F">
        <w:rPr>
          <w:rFonts w:ascii="Times New Roman" w:eastAsia="Microsoft JhengHei" w:hAnsi="Times New Roman"/>
          <w:i/>
          <w:sz w:val="22"/>
          <w:szCs w:val="20"/>
          <w:lang w:val="fr-BE"/>
        </w:rPr>
        <w:t>Belgium</w:t>
      </w:r>
      <w:proofErr w:type="spellEnd"/>
    </w:p>
    <w:p w14:paraId="64C40756" w14:textId="77777777" w:rsidR="00B35B98" w:rsidRPr="00B07A9F" w:rsidRDefault="00B35B98" w:rsidP="00B35B98">
      <w:pPr>
        <w:pStyle w:val="MDPI16affiliation"/>
        <w:ind w:left="198"/>
        <w:jc w:val="both"/>
        <w:rPr>
          <w:rFonts w:ascii="Times New Roman" w:eastAsia="Microsoft JhengHei" w:hAnsi="Times New Roman"/>
          <w:i/>
          <w:sz w:val="22"/>
          <w:szCs w:val="20"/>
          <w:lang w:val="fr-CD"/>
        </w:rPr>
      </w:pPr>
      <w:r w:rsidRPr="00B07A9F">
        <w:rPr>
          <w:rFonts w:ascii="Times New Roman" w:eastAsia="Microsoft JhengHei" w:hAnsi="Times New Roman"/>
          <w:i/>
          <w:sz w:val="22"/>
          <w:szCs w:val="20"/>
          <w:vertAlign w:val="superscript"/>
          <w:lang w:val="fr-BE"/>
        </w:rPr>
        <w:t xml:space="preserve">e   </w:t>
      </w:r>
      <w:r w:rsidRPr="00B07A9F">
        <w:rPr>
          <w:rFonts w:ascii="Times New Roman" w:eastAsia="Microsoft JhengHei" w:hAnsi="Times New Roman"/>
          <w:i/>
          <w:sz w:val="22"/>
          <w:szCs w:val="20"/>
          <w:lang w:val="fr-CD"/>
        </w:rPr>
        <w:t xml:space="preserve">Centre de Recherche et d’Innovation Technologique en Environnement et en Sciences de la Santé (CRITESS), </w:t>
      </w:r>
      <w:proofErr w:type="spellStart"/>
      <w:r w:rsidRPr="00B07A9F">
        <w:rPr>
          <w:rFonts w:ascii="Times New Roman" w:eastAsia="Microsoft JhengHei" w:hAnsi="Times New Roman"/>
          <w:i/>
          <w:sz w:val="22"/>
          <w:szCs w:val="20"/>
          <w:lang w:val="fr-CD"/>
        </w:rPr>
        <w:t>University</w:t>
      </w:r>
      <w:proofErr w:type="spellEnd"/>
      <w:r w:rsidRPr="00B07A9F">
        <w:rPr>
          <w:rFonts w:ascii="Times New Roman" w:eastAsia="Microsoft JhengHei" w:hAnsi="Times New Roman"/>
          <w:i/>
          <w:sz w:val="22"/>
          <w:szCs w:val="20"/>
          <w:lang w:val="fr-CD"/>
        </w:rPr>
        <w:t xml:space="preserve"> of Kinshasa, B.P. 212, Kinshasa XI, Democratic </w:t>
      </w:r>
      <w:proofErr w:type="spellStart"/>
      <w:r w:rsidRPr="00B07A9F">
        <w:rPr>
          <w:rFonts w:ascii="Times New Roman" w:eastAsia="Microsoft JhengHei" w:hAnsi="Times New Roman"/>
          <w:i/>
          <w:sz w:val="22"/>
          <w:szCs w:val="20"/>
          <w:lang w:val="fr-CD"/>
        </w:rPr>
        <w:t>Republic</w:t>
      </w:r>
      <w:proofErr w:type="spellEnd"/>
      <w:r w:rsidRPr="00B07A9F">
        <w:rPr>
          <w:rFonts w:ascii="Times New Roman" w:eastAsia="Microsoft JhengHei" w:hAnsi="Times New Roman"/>
          <w:i/>
          <w:sz w:val="22"/>
          <w:szCs w:val="20"/>
          <w:lang w:val="fr-CD"/>
        </w:rPr>
        <w:t xml:space="preserve"> of the Congo</w:t>
      </w:r>
    </w:p>
    <w:p w14:paraId="4F5A4F0D" w14:textId="77777777" w:rsidR="00B35B98" w:rsidRPr="00B07A9F" w:rsidRDefault="00B35B98" w:rsidP="00B35B98">
      <w:pPr>
        <w:pStyle w:val="MDPI16affiliation"/>
        <w:ind w:left="198"/>
        <w:jc w:val="both"/>
        <w:rPr>
          <w:rFonts w:ascii="Times New Roman" w:eastAsia="Microsoft JhengHei" w:hAnsi="Times New Roman"/>
          <w:i/>
          <w:sz w:val="22"/>
          <w:szCs w:val="20"/>
        </w:rPr>
      </w:pPr>
      <w:r w:rsidRPr="00B07A9F">
        <w:rPr>
          <w:rFonts w:ascii="Times New Roman" w:eastAsia="Microsoft JhengHei" w:hAnsi="Times New Roman"/>
          <w:i/>
          <w:sz w:val="22"/>
          <w:szCs w:val="20"/>
          <w:vertAlign w:val="superscript"/>
        </w:rPr>
        <w:t>f</w:t>
      </w:r>
      <w:r w:rsidRPr="00B07A9F">
        <w:rPr>
          <w:rFonts w:ascii="Times New Roman" w:eastAsia="Microsoft JhengHei" w:hAnsi="Times New Roman"/>
          <w:i/>
          <w:sz w:val="22"/>
          <w:szCs w:val="20"/>
        </w:rPr>
        <w:tab/>
        <w:t xml:space="preserve">Walloon excellence in life science and biotechnology (WELBIO), Avenue Pasteur 6, 1300 </w:t>
      </w:r>
      <w:proofErr w:type="spellStart"/>
      <w:r w:rsidRPr="00B07A9F">
        <w:rPr>
          <w:rFonts w:ascii="Times New Roman" w:eastAsia="Microsoft JhengHei" w:hAnsi="Times New Roman"/>
          <w:i/>
          <w:sz w:val="22"/>
          <w:szCs w:val="20"/>
        </w:rPr>
        <w:t>Wavre</w:t>
      </w:r>
      <w:proofErr w:type="spellEnd"/>
      <w:r w:rsidRPr="00B07A9F">
        <w:rPr>
          <w:rFonts w:ascii="Times New Roman" w:eastAsia="Microsoft JhengHei" w:hAnsi="Times New Roman"/>
          <w:i/>
          <w:sz w:val="22"/>
          <w:szCs w:val="20"/>
        </w:rPr>
        <w:t>, Belgium</w:t>
      </w:r>
    </w:p>
    <w:p w14:paraId="56977346" w14:textId="77777777" w:rsidR="00B35B98" w:rsidRPr="00B07A9F" w:rsidRDefault="00B35B98" w:rsidP="00B35B98">
      <w:pPr>
        <w:pStyle w:val="MDPI16affiliation"/>
        <w:ind w:left="198"/>
        <w:jc w:val="both"/>
        <w:rPr>
          <w:rFonts w:ascii="Times New Roman" w:eastAsia="Microsoft JhengHei" w:hAnsi="Times New Roman"/>
          <w:b/>
          <w:i/>
          <w:sz w:val="22"/>
          <w:szCs w:val="20"/>
        </w:rPr>
      </w:pPr>
    </w:p>
    <w:p w14:paraId="0B2E1E33" w14:textId="5AF8E9D5" w:rsidR="00B35B98" w:rsidRPr="00B07A9F" w:rsidRDefault="00B35B98" w:rsidP="00B35B98">
      <w:pPr>
        <w:pStyle w:val="MDPI16affiliation"/>
        <w:ind w:left="198"/>
        <w:jc w:val="both"/>
        <w:rPr>
          <w:rFonts w:ascii="Times New Roman" w:eastAsia="Microsoft JhengHei" w:hAnsi="Times New Roman"/>
          <w:i/>
          <w:sz w:val="22"/>
          <w:szCs w:val="20"/>
        </w:rPr>
      </w:pPr>
      <w:r w:rsidRPr="00B07A9F">
        <w:rPr>
          <w:rFonts w:ascii="Times New Roman" w:eastAsia="Microsoft JhengHei" w:hAnsi="Times New Roman"/>
          <w:b/>
          <w:i/>
          <w:sz w:val="22"/>
          <w:szCs w:val="20"/>
        </w:rPr>
        <w:t>*</w:t>
      </w:r>
      <w:r w:rsidRPr="00B07A9F">
        <w:rPr>
          <w:rFonts w:ascii="Times New Roman" w:eastAsia="Microsoft JhengHei" w:hAnsi="Times New Roman"/>
          <w:i/>
          <w:sz w:val="22"/>
          <w:szCs w:val="20"/>
        </w:rPr>
        <w:tab/>
        <w:t xml:space="preserve">Correspondence: ana.beloqui@uclouvain.be </w:t>
      </w:r>
    </w:p>
    <w:p w14:paraId="1A2F6F04" w14:textId="77777777" w:rsidR="005F7F24" w:rsidRPr="00B07A9F" w:rsidRDefault="005F7F24" w:rsidP="00B35B98">
      <w:pPr>
        <w:pStyle w:val="MDPI16affiliation"/>
        <w:ind w:left="198"/>
        <w:jc w:val="both"/>
        <w:rPr>
          <w:rFonts w:ascii="Times New Roman" w:eastAsia="Microsoft JhengHei" w:hAnsi="Times New Roman"/>
          <w:i/>
          <w:sz w:val="22"/>
          <w:szCs w:val="20"/>
        </w:rPr>
      </w:pPr>
    </w:p>
    <w:p w14:paraId="196CD1AE" w14:textId="7A25121E" w:rsidR="00B35B98" w:rsidRPr="00B07A9F" w:rsidRDefault="00B35B98" w:rsidP="00340920">
      <w:pPr>
        <w:rPr>
          <w:b/>
          <w:sz w:val="22"/>
          <w:szCs w:val="22"/>
        </w:rPr>
      </w:pPr>
      <w:r w:rsidRPr="00B07A9F">
        <w:rPr>
          <w:b/>
          <w:i/>
          <w:iCs/>
          <w:sz w:val="22"/>
          <w:szCs w:val="22"/>
        </w:rPr>
        <w:t>Keywords</w:t>
      </w:r>
      <w:r w:rsidRPr="00B07A9F">
        <w:rPr>
          <w:b/>
          <w:sz w:val="22"/>
          <w:szCs w:val="22"/>
        </w:rPr>
        <w:t>: Green synthesis, Zinc oxide nanoparticles, Antihyperglycemic activity</w:t>
      </w:r>
    </w:p>
    <w:p w14:paraId="7B351383" w14:textId="2C141EDC" w:rsidR="005F7F24" w:rsidRPr="00B07A9F" w:rsidRDefault="005F7F24" w:rsidP="00340920">
      <w:pPr>
        <w:rPr>
          <w:b/>
          <w:sz w:val="22"/>
          <w:szCs w:val="22"/>
        </w:rPr>
      </w:pPr>
    </w:p>
    <w:p w14:paraId="112574F3" w14:textId="08A83E03" w:rsidR="00981F50" w:rsidRPr="00B07A9F" w:rsidRDefault="005F7F24" w:rsidP="00340920">
      <w:pPr>
        <w:spacing w:before="240"/>
        <w:rPr>
          <w:sz w:val="22"/>
        </w:rPr>
      </w:pPr>
      <w:r w:rsidRPr="00B07A9F">
        <w:rPr>
          <w:lang w:val="en-GB"/>
        </w:rPr>
        <w:t>ABSTRACT</w:t>
      </w:r>
      <w:r w:rsidR="00340796" w:rsidRPr="00B07A9F">
        <w:rPr>
          <w:lang w:val="en-GB"/>
        </w:rPr>
        <w:t xml:space="preserve"> </w:t>
      </w:r>
      <w:r w:rsidR="00981F50" w:rsidRPr="00B07A9F">
        <w:rPr>
          <w:sz w:val="22"/>
        </w:rPr>
        <w:t>Zinc oxide nanoparticles (</w:t>
      </w:r>
      <w:proofErr w:type="spellStart"/>
      <w:r w:rsidR="00981F50" w:rsidRPr="00B07A9F">
        <w:rPr>
          <w:sz w:val="22"/>
        </w:rPr>
        <w:t>ZnONPs</w:t>
      </w:r>
      <w:proofErr w:type="spellEnd"/>
      <w:r w:rsidR="00981F50" w:rsidRPr="00B07A9F">
        <w:rPr>
          <w:sz w:val="22"/>
        </w:rPr>
        <w:t xml:space="preserve">) have shown antidiabetic activity in multiple studies and can be produced by different plant-mediated (“green”) methods. This study aimed to compare </w:t>
      </w:r>
      <w:proofErr w:type="spellStart"/>
      <w:r w:rsidR="00981F50" w:rsidRPr="00B07A9F">
        <w:rPr>
          <w:sz w:val="22"/>
        </w:rPr>
        <w:t>ZnONPs</w:t>
      </w:r>
      <w:proofErr w:type="spellEnd"/>
      <w:r w:rsidR="00981F50" w:rsidRPr="00B07A9F">
        <w:rPr>
          <w:sz w:val="22"/>
        </w:rPr>
        <w:t xml:space="preserve"> prepared via different “green” approaches (heating at high temperatures (400 °C) </w:t>
      </w:r>
      <w:r w:rsidR="00981F50" w:rsidRPr="00B07A9F">
        <w:rPr>
          <w:i/>
          <w:iCs/>
          <w:sz w:val="22"/>
        </w:rPr>
        <w:t xml:space="preserve">vs. </w:t>
      </w:r>
      <w:r w:rsidR="00981F50" w:rsidRPr="00B07A9F">
        <w:rPr>
          <w:sz w:val="22"/>
        </w:rPr>
        <w:t>low temperature</w:t>
      </w:r>
      <w:r w:rsidR="00931CE3" w:rsidRPr="00B07A9F">
        <w:rPr>
          <w:sz w:val="22"/>
        </w:rPr>
        <w:t xml:space="preserve"> (70°C</w:t>
      </w:r>
      <w:r w:rsidR="00981F50" w:rsidRPr="00B07A9F">
        <w:rPr>
          <w:sz w:val="22"/>
        </w:rPr>
        <w:t>))</w:t>
      </w:r>
      <w:r w:rsidR="00E7210C" w:rsidRPr="00B07A9F">
        <w:rPr>
          <w:sz w:val="22"/>
        </w:rPr>
        <w:t xml:space="preserve">. The low temperature method involved addition of suspending agents (Tween 80 or gum </w:t>
      </w:r>
      <w:proofErr w:type="spellStart"/>
      <w:r w:rsidR="00E7210C" w:rsidRPr="00B07A9F">
        <w:rPr>
          <w:sz w:val="22"/>
        </w:rPr>
        <w:t>arabic</w:t>
      </w:r>
      <w:proofErr w:type="spellEnd"/>
      <w:r w:rsidR="00E7210C" w:rsidRPr="00B07A9F">
        <w:rPr>
          <w:sz w:val="22"/>
        </w:rPr>
        <w:t>) and pH variations followed by lyophilization.</w:t>
      </w:r>
      <w:r w:rsidR="00981F50" w:rsidRPr="00B07A9F">
        <w:rPr>
          <w:sz w:val="22"/>
        </w:rPr>
        <w:t xml:space="preserve"> </w:t>
      </w:r>
      <w:r w:rsidR="00E7210C" w:rsidRPr="00B07A9F">
        <w:rPr>
          <w:sz w:val="22"/>
        </w:rPr>
        <w:t>The study</w:t>
      </w:r>
      <w:r w:rsidR="00981F50" w:rsidRPr="00B07A9F">
        <w:rPr>
          <w:sz w:val="22"/>
        </w:rPr>
        <w:t xml:space="preserve"> evaluat</w:t>
      </w:r>
      <w:r w:rsidR="00E7210C" w:rsidRPr="00B07A9F">
        <w:rPr>
          <w:sz w:val="22"/>
        </w:rPr>
        <w:t>ed</w:t>
      </w:r>
      <w:r w:rsidR="00981F50" w:rsidRPr="00B07A9F">
        <w:rPr>
          <w:sz w:val="22"/>
        </w:rPr>
        <w:t xml:space="preserve"> the hypoglycemic potential</w:t>
      </w:r>
      <w:r w:rsidR="002C456E" w:rsidRPr="00B07A9F">
        <w:rPr>
          <w:sz w:val="22"/>
        </w:rPr>
        <w:t xml:space="preserve"> of </w:t>
      </w:r>
      <w:proofErr w:type="spellStart"/>
      <w:r w:rsidR="00E7210C" w:rsidRPr="00B07A9F">
        <w:rPr>
          <w:sz w:val="22"/>
        </w:rPr>
        <w:t>ZnONPs</w:t>
      </w:r>
      <w:proofErr w:type="spellEnd"/>
      <w:r w:rsidR="002C456E" w:rsidRPr="00B07A9F">
        <w:rPr>
          <w:sz w:val="22"/>
        </w:rPr>
        <w:t xml:space="preserve"> with the best properties (quantity of capped agents and stability)</w:t>
      </w:r>
      <w:r w:rsidR="00981F50" w:rsidRPr="00B07A9F">
        <w:rPr>
          <w:sz w:val="22"/>
        </w:rPr>
        <w:t xml:space="preserve"> compared to the plant extract </w:t>
      </w:r>
      <w:r w:rsidR="00981F50" w:rsidRPr="00B07A9F">
        <w:rPr>
          <w:i/>
          <w:iCs/>
          <w:sz w:val="22"/>
        </w:rPr>
        <w:t>per se</w:t>
      </w:r>
      <w:r w:rsidR="00981F50" w:rsidRPr="00B07A9F">
        <w:rPr>
          <w:sz w:val="22"/>
        </w:rPr>
        <w:t xml:space="preserve">. The </w:t>
      </w:r>
      <w:proofErr w:type="spellStart"/>
      <w:r w:rsidR="00981F50" w:rsidRPr="00B07A9F">
        <w:rPr>
          <w:sz w:val="22"/>
        </w:rPr>
        <w:t>ZnONP</w:t>
      </w:r>
      <w:proofErr w:type="spellEnd"/>
      <w:r w:rsidR="00981F50" w:rsidRPr="00B07A9F">
        <w:rPr>
          <w:sz w:val="22"/>
        </w:rPr>
        <w:t xml:space="preserve"> synthesis involved a mixture of zinc nitrate hexahydrate as the zinc precursor and a plant extract with high antioxidant activity as the capping agent supplier. The results of the studies showed that the procedure using high-temperature heating resulted in almost uncapped nanoparticles with phytocompounds (0.01% of phenolic compounds) and nanoparticle sizes larger than 300 nm. The low-temperature method produced </w:t>
      </w:r>
      <w:proofErr w:type="spellStart"/>
      <w:r w:rsidR="00981F50" w:rsidRPr="00B07A9F">
        <w:rPr>
          <w:sz w:val="22"/>
        </w:rPr>
        <w:t>ZnONPs</w:t>
      </w:r>
      <w:proofErr w:type="spellEnd"/>
      <w:r w:rsidR="00981F50" w:rsidRPr="00B07A9F">
        <w:rPr>
          <w:sz w:val="22"/>
        </w:rPr>
        <w:t xml:space="preserve"> with high retention of capping agents (92.9</w:t>
      </w:r>
      <w:r w:rsidR="001F6837" w:rsidRPr="00B07A9F">
        <w:rPr>
          <w:sz w:val="22"/>
        </w:rPr>
        <w:t>0</w:t>
      </w:r>
      <w:r w:rsidR="00981F50" w:rsidRPr="00B07A9F">
        <w:rPr>
          <w:sz w:val="22"/>
        </w:rPr>
        <w:t xml:space="preserve">% of phenolic compounds) and a size of approximately 200 nm. The use of Tween 80 with pH adjustment between 9 and 10 resulted in more stable nanoparticles than with gum </w:t>
      </w:r>
      <w:proofErr w:type="spellStart"/>
      <w:r w:rsidR="00981F50" w:rsidRPr="00B07A9F">
        <w:rPr>
          <w:sz w:val="22"/>
        </w:rPr>
        <w:t>arabic</w:t>
      </w:r>
      <w:proofErr w:type="spellEnd"/>
      <w:r w:rsidR="00143CEC" w:rsidRPr="00B07A9F">
        <w:rPr>
          <w:sz w:val="22"/>
        </w:rPr>
        <w:t>.</w:t>
      </w:r>
      <w:r w:rsidR="00981F50" w:rsidRPr="00B07A9F">
        <w:rPr>
          <w:sz w:val="22"/>
        </w:rPr>
        <w:t xml:space="preserve"> </w:t>
      </w:r>
      <w:r w:rsidR="00143CEC" w:rsidRPr="00B07A9F">
        <w:rPr>
          <w:sz w:val="22"/>
        </w:rPr>
        <w:t xml:space="preserve">These nanoparticles </w:t>
      </w:r>
      <w:r w:rsidR="007E1BAC" w:rsidRPr="00B07A9F">
        <w:rPr>
          <w:sz w:val="22"/>
        </w:rPr>
        <w:t>prepared with</w:t>
      </w:r>
      <w:r w:rsidR="00143CEC" w:rsidRPr="00B07A9F">
        <w:rPr>
          <w:sz w:val="22"/>
        </w:rPr>
        <w:t xml:space="preserve"> Tween 80, exhibited</w:t>
      </w:r>
      <w:r w:rsidR="00981F50" w:rsidRPr="00B07A9F">
        <w:rPr>
          <w:sz w:val="22"/>
        </w:rPr>
        <w:t xml:space="preserve"> a pronounced </w:t>
      </w:r>
      <w:r w:rsidR="00981F50" w:rsidRPr="00B07A9F">
        <w:rPr>
          <w:i/>
          <w:iCs/>
          <w:sz w:val="22"/>
        </w:rPr>
        <w:t>in vivo</w:t>
      </w:r>
      <w:r w:rsidR="00981F50" w:rsidRPr="00B07A9F">
        <w:rPr>
          <w:sz w:val="22"/>
        </w:rPr>
        <w:t xml:space="preserve"> antihyperglycemic activity at a much lower dose (10 mg </w:t>
      </w:r>
      <w:proofErr w:type="spellStart"/>
      <w:r w:rsidR="00981F50" w:rsidRPr="00B07A9F">
        <w:rPr>
          <w:sz w:val="22"/>
        </w:rPr>
        <w:t>ZnO</w:t>
      </w:r>
      <w:proofErr w:type="spellEnd"/>
      <w:r w:rsidR="00981F50" w:rsidRPr="00B07A9F">
        <w:rPr>
          <w:sz w:val="22"/>
        </w:rPr>
        <w:t xml:space="preserve">/kg capped by 0.31 mg phenolic compounds per kg) than the extracts alone (400 mg extract/kg) following an oral glucose tolerance test. These results demonstrated that green-synthesized </w:t>
      </w:r>
      <w:proofErr w:type="spellStart"/>
      <w:r w:rsidR="00981F50" w:rsidRPr="00B07A9F">
        <w:rPr>
          <w:sz w:val="22"/>
        </w:rPr>
        <w:t>ZnONPs</w:t>
      </w:r>
      <w:proofErr w:type="spellEnd"/>
      <w:r w:rsidR="00981F50" w:rsidRPr="00B07A9F">
        <w:rPr>
          <w:sz w:val="22"/>
        </w:rPr>
        <w:t xml:space="preserve"> with a high retention rate of phytochemicals can induce antihyperglycemic effects at a low dose.</w:t>
      </w:r>
    </w:p>
    <w:p w14:paraId="6504553C" w14:textId="77777777" w:rsidR="00981F50" w:rsidRPr="00B07A9F" w:rsidRDefault="00981F50" w:rsidP="00340920">
      <w:pPr>
        <w:pStyle w:val="Author"/>
        <w:spacing w:before="240" w:after="120"/>
        <w:jc w:val="both"/>
        <w:rPr>
          <w:sz w:val="22"/>
        </w:rPr>
        <w:sectPr w:rsidR="00981F50" w:rsidRPr="00B07A9F" w:rsidSect="00BE3864">
          <w:footerReference w:type="default" r:id="rId8"/>
          <w:type w:val="continuous"/>
          <w:pgSz w:w="12240" w:h="15840" w:code="1"/>
          <w:pgMar w:top="1224" w:right="1080" w:bottom="1440" w:left="1080" w:header="720" w:footer="720" w:gutter="0"/>
          <w:cols w:space="397"/>
          <w:docGrid w:linePitch="360"/>
        </w:sectPr>
      </w:pPr>
    </w:p>
    <w:p w14:paraId="7246B928" w14:textId="77777777" w:rsidR="00981F50" w:rsidRPr="00B07A9F" w:rsidRDefault="00981F50" w:rsidP="00340920">
      <w:pPr>
        <w:pStyle w:val="Heading1"/>
        <w:numPr>
          <w:ilvl w:val="0"/>
          <w:numId w:val="34"/>
        </w:numPr>
        <w:spacing w:before="240" w:after="120"/>
        <w:rPr>
          <w:rFonts w:ascii="Times New Roman" w:hAnsi="Times New Roman"/>
          <w:sz w:val="20"/>
        </w:rPr>
      </w:pPr>
      <w:r w:rsidRPr="00B07A9F">
        <w:rPr>
          <w:rFonts w:ascii="Times New Roman" w:hAnsi="Times New Roman"/>
          <w:sz w:val="20"/>
        </w:rPr>
        <w:t>INTRODUCTION</w:t>
      </w:r>
    </w:p>
    <w:p w14:paraId="1E3A35FC" w14:textId="66E17AAD" w:rsidR="00981F50" w:rsidRPr="00B07A9F" w:rsidRDefault="00981F50" w:rsidP="005D5517">
      <w:pPr>
        <w:spacing w:before="240"/>
        <w:rPr>
          <w:sz w:val="22"/>
          <w:szCs w:val="22"/>
        </w:rPr>
      </w:pPr>
      <w:bookmarkStart w:id="3" w:name="_Hlk117265802"/>
      <w:bookmarkStart w:id="4" w:name="_Hlk115643729"/>
      <w:r w:rsidRPr="00B07A9F">
        <w:rPr>
          <w:sz w:val="22"/>
          <w:szCs w:val="22"/>
        </w:rPr>
        <w:t xml:space="preserve">According to the International Diabetes Federation’s recent Atlas report, diabetes prevalence is rising and is expected to reach 12% of adults aged 20-79 years old by 2045 </w:t>
      </w:r>
      <w:r w:rsidRPr="00B07A9F">
        <w:rPr>
          <w:sz w:val="22"/>
          <w:szCs w:val="22"/>
        </w:rPr>
        <w:fldChar w:fldCharType="begin" w:fldLock="1"/>
      </w:r>
      <w:r w:rsidRPr="00B07A9F">
        <w:rPr>
          <w:sz w:val="22"/>
          <w:szCs w:val="22"/>
        </w:rPr>
        <w:instrText>ADDIN CSL_CITATION {"citationItems":[{"id":"ITEM-1","itemData":{"ISBN":"9782930229980","author":[{"dropping-particle":"","family":"International Diabetes Federation","given":"","non-dropping-particle":"","parse-names":false,"suffix":""}],"container-title":"Www.Diabetesatlas.Org","id":"ITEM-1","issued":{"date-parts":[["2021"]]},"title":"IDF Diabetes Atlas 2021 - 10th edition, Brussels, Belgium","type":"book"},"uris":["http://www.mendeley.com/documents/?uuid=79a235fc-619a-4e7e-b0a3-0c0778a8133a"]}],"mendeley":{"formattedCitation":"(International Diabetes Federation, 2021)","plainTextFormattedCitation":"(International Diabetes Federation, 2021)","previouslyFormattedCitation":"(International Diabetes Federation, 2021)"},"properties":{"noteIndex":0},"schema":"https://github.com/citation-style-language/schema/raw/master/csl-citation.json"}</w:instrText>
      </w:r>
      <w:r w:rsidRPr="00B07A9F">
        <w:rPr>
          <w:sz w:val="22"/>
          <w:szCs w:val="22"/>
        </w:rPr>
        <w:fldChar w:fldCharType="separate"/>
      </w:r>
      <w:r w:rsidRPr="00B07A9F">
        <w:rPr>
          <w:noProof/>
          <w:sz w:val="22"/>
          <w:szCs w:val="22"/>
        </w:rPr>
        <w:t>(International Diabetes Federation, 2021)</w:t>
      </w:r>
      <w:r w:rsidRPr="00B07A9F">
        <w:rPr>
          <w:sz w:val="22"/>
          <w:szCs w:val="22"/>
        </w:rPr>
        <w:fldChar w:fldCharType="end"/>
      </w:r>
      <w:r w:rsidRPr="00B07A9F">
        <w:rPr>
          <w:sz w:val="22"/>
          <w:szCs w:val="22"/>
        </w:rPr>
        <w:t xml:space="preserve">. Within this figure, type 2 diabetes mellitus (T2DM), also called insulin-resistant diabetes, is dominant and accounts for approximately 90%. T2DM management is complex and based on a healthy diet, physical exercise and medication to achieve lower glycemia. However, despite treatment, blood glucose levels remain high. Hyperglycemia gradually leads to serious complications over time </w:t>
      </w:r>
      <w:r w:rsidRPr="00B07A9F">
        <w:rPr>
          <w:sz w:val="22"/>
          <w:szCs w:val="22"/>
        </w:rPr>
        <w:fldChar w:fldCharType="begin" w:fldLock="1"/>
      </w:r>
      <w:r w:rsidRPr="00B07A9F">
        <w:rPr>
          <w:sz w:val="22"/>
          <w:szCs w:val="22"/>
        </w:rPr>
        <w:instrText>ADDIN CSL_CITATION {"citationItems":[{"id":"ITEM-1","itemData":{"DOI":"10.1002/14651858.CD003638.pub2","ISSN":"14651858","PMID":"15846672","abstract":"Background: Research suggests adherence to treatment recommendations is low. In type 2 diabetes, which is a chronic condition slowly leading to serious vascular, nephrologic, neurologic and ophthalmological complications, it can be assumed that enhancing adherence to treatment recommendations may lead to a reduction of complications. Treatment regimens in type 2 diabetes are complicated, encompassing life-style adaptations and medication intake. Objectives: To assess the effects of interventions for improving adherence to treatment recommendations in people with type 2 diabetes mellitus. Search methods: Studies were obtained from searches of multiple electronic bibliographic databases supplemented with hand searches of references. Selection criteria: Randomised controlled and controlled clinical trials, before-after studies and epidemiological studies, assessing changes in adherence to treatment recommendations, as defined in the objectives section, were included. Data collection and analysis: Two teams of reviewers independently assessed the trials identified for inclusion. Three teams of two reviewers assessed trial quality and extracted data. The analysis for the narrative part was performed by one reviewer (EV), the meta-analysis by two reviewers (EV, JW). Main results: Twenty-one studies assessing interventions aiming at improving adherence to treatment recommendations, not to diet or exercise recommendations, in people living with type 2 diabetes in primary care, outpatient settings, community and hospital settings, were included. Outcomes evaluated in these studies were heterogeneous, there was a variety of adherence measurement instruments. Nurse led interventions, home aids, diabetes education, pharmacy led interventions, adaptation of dosing and frequency of medication taking showed a small effect on a variety of outcomes including HbA1c. No data on mortality and morbidity, nor on quality of life could be found. Authors' conclusions: Current efforts to improve or to facilitate adherence of people with type 2 diabetes to treatment recommendations do not show significant effects nor harms. The question whether any intervention enhances adherence to treatment recommendations in type 2 diabetes effectively, thus still remains unanswered.","author":[{"dropping-particle":"","family":"Vermeire","given":"Etienne I.J.J.","non-dropping-particle":"","parse-names":false,"suffix":""},{"dropping-particle":"","family":"Wens","given":"Johan","non-dropping-particle":"","parse-names":false,"suffix":""},{"dropping-particle":"","family":"Royen","given":"Paul","non-dropping-particle":"Van","parse-names":false,"suffix":""},{"dropping-particle":"","family":"Biot","given":"Yves","non-dropping-particle":"","parse-names":false,"suffix":""},{"dropping-particle":"","family":"Hearnshaw","given":"Hilary","non-dropping-particle":"","parse-names":false,"suffix":""},{"dropping-particle":"","family":"Lindenmeyer","given":"Antje","non-dropping-particle":"","parse-names":false,"suffix":""}],"container-title":"Cochrane Database of Systematic Reviews","id":"ITEM-1","issue":"1","issued":{"date-parts":[["2005"]]},"title":"Interventions for improving adherence to treatment recommendations in people with type 2 diabetes mellitus","type":"article-journal","volume":"2009"},"uris":["http://www.mendeley.com/documents/?uuid=620ce387-c9a1-43b7-9422-e5633b28d00a"]}],"mendeley":{"formattedCitation":"(Vermeire et al., 2005)","plainTextFormattedCitation":"(Vermeire et al., 2005)","previouslyFormattedCitation":"(Vermeire et al., 2005)"},"properties":{"noteIndex":0},"schema":"https://github.com/citation-style-language/schema/raw/master/csl-citation.json"}</w:instrText>
      </w:r>
      <w:r w:rsidRPr="00B07A9F">
        <w:rPr>
          <w:sz w:val="22"/>
          <w:szCs w:val="22"/>
        </w:rPr>
        <w:fldChar w:fldCharType="separate"/>
      </w:r>
      <w:r w:rsidRPr="00B07A9F">
        <w:rPr>
          <w:noProof/>
          <w:sz w:val="22"/>
          <w:szCs w:val="22"/>
        </w:rPr>
        <w:t>(Vermeire et al., 2005)</w:t>
      </w:r>
      <w:r w:rsidRPr="00B07A9F">
        <w:rPr>
          <w:sz w:val="22"/>
          <w:szCs w:val="22"/>
        </w:rPr>
        <w:fldChar w:fldCharType="end"/>
      </w:r>
      <w:r w:rsidR="004E542E" w:rsidRPr="00B07A9F">
        <w:rPr>
          <w:sz w:val="22"/>
          <w:szCs w:val="22"/>
        </w:rPr>
        <w:t>, which</w:t>
      </w:r>
      <w:r w:rsidR="00673767" w:rsidRPr="00B07A9F">
        <w:rPr>
          <w:sz w:val="22"/>
          <w:szCs w:val="22"/>
        </w:rPr>
        <w:t xml:space="preserve"> are induced by the increase in reactive oxygen species (ROS)</w:t>
      </w:r>
      <w:r w:rsidR="004E542E" w:rsidRPr="00B07A9F">
        <w:rPr>
          <w:sz w:val="22"/>
          <w:szCs w:val="22"/>
        </w:rPr>
        <w:t xml:space="preserve"> </w:t>
      </w:r>
      <w:r w:rsidR="006D1F7B" w:rsidRPr="00B07A9F">
        <w:rPr>
          <w:sz w:val="22"/>
          <w:szCs w:val="22"/>
        </w:rPr>
        <w:fldChar w:fldCharType="begin" w:fldLock="1"/>
      </w:r>
      <w:r w:rsidR="005D5517" w:rsidRPr="00B07A9F">
        <w:rPr>
          <w:sz w:val="22"/>
          <w:szCs w:val="22"/>
        </w:rPr>
        <w:instrText>ADDIN CSL_CITATION {"citationItems":[{"id":"ITEM-1","itemData":{"DOI":"10.1155/2010/453892","ISSN":"09629351","PMID":"20182627","abstract":"Type 2 diabetes is the most prevalent and serious metabolic disease all over the world, and its hallmarks are pancreatic -cell dysfunction and insulin resistance. Under diabetic conditions, chronic hyperglycemia and subsequent augmentation of reactive oxygen species (ROS) deteriorate -cell function and increase insulin resistance which leads to the aggravation of type 2 diabetes. In addition, chronic hyperglycemia and ROS are also involved in the development of atherosclerosis which is often observed under diabetic conditions. Taken together, it is likely that ROS play an important role in the development of type 2 diabetes and atherosclerosis. Copyright © 2010 Hideaki Kaneto et al.","author":[{"dropping-particle":"","family":"Kaneto","given":"Hideaki","non-dropping-particle":"","parse-names":false,"suffix":""},{"dropping-particle":"","family":"Katakami","given":"Naoto","non-dropping-particle":"","parse-names":false,"suffix":""},{"dropping-particle":"","family":"Matsuhisa","given":"Munehide","non-dropping-particle":"","parse-names":false,"suffix":""},{"dropping-particle":"","family":"Matsuoka","given":"Taka Aki","non-dropping-particle":"","parse-names":false,"suffix":""}],"container-title":"Mediators of Inflammation","id":"ITEM-1","issued":{"date-parts":[["2010"]]},"title":"Role of reactive oxygen species in the progression of type 2 diabetes and atherosclerosis","type":"article-journal","volume":"2010"},"uris":["http://www.mendeley.com/documents/?uuid=f427f6e0-8e74-4884-96a8-8d9b270f1080"]}],"mendeley":{"formattedCitation":"(Kaneto et al., 2010)","plainTextFormattedCitation":"(Kaneto et al., 2010)","previouslyFormattedCitation":"(Kaneto et al., 2010)"},"properties":{"noteIndex":0},"schema":"https://github.com/citation-style-language/schema/raw/master/csl-citation.json"}</w:instrText>
      </w:r>
      <w:r w:rsidR="006D1F7B" w:rsidRPr="00B07A9F">
        <w:rPr>
          <w:sz w:val="22"/>
          <w:szCs w:val="22"/>
        </w:rPr>
        <w:fldChar w:fldCharType="separate"/>
      </w:r>
      <w:r w:rsidR="006D1F7B" w:rsidRPr="00B07A9F">
        <w:rPr>
          <w:noProof/>
          <w:sz w:val="22"/>
          <w:szCs w:val="22"/>
        </w:rPr>
        <w:t>(Kaneto et al., 2010)</w:t>
      </w:r>
      <w:r w:rsidR="006D1F7B" w:rsidRPr="00B07A9F">
        <w:rPr>
          <w:sz w:val="22"/>
          <w:szCs w:val="22"/>
        </w:rPr>
        <w:fldChar w:fldCharType="end"/>
      </w:r>
      <w:r w:rsidR="00493640" w:rsidRPr="00B07A9F">
        <w:rPr>
          <w:sz w:val="22"/>
          <w:szCs w:val="22"/>
        </w:rPr>
        <w:t>.</w:t>
      </w:r>
      <w:r w:rsidRPr="00B07A9F">
        <w:rPr>
          <w:sz w:val="22"/>
          <w:szCs w:val="22"/>
        </w:rPr>
        <w:t xml:space="preserve"> Many strategies are being studied as alternatives to current treatment for T2DM to improve the effectiveness of medication, including nanoparticulate systems </w:t>
      </w:r>
      <w:r w:rsidRPr="00B07A9F">
        <w:rPr>
          <w:sz w:val="22"/>
          <w:szCs w:val="22"/>
        </w:rPr>
        <w:fldChar w:fldCharType="begin" w:fldLock="1"/>
      </w:r>
      <w:r w:rsidRPr="00B07A9F">
        <w:rPr>
          <w:sz w:val="22"/>
          <w:szCs w:val="22"/>
        </w:rPr>
        <w:instrText>ADDIN CSL_CITATION {"citationItems":[{"id":"ITEM-1","itemData":{"DOI":"10.1016/j.actbio.2018.09.049","ISSN":"18787568","PMID":"30268916","abstract":"Emergence of nanoparticulate drug delivery systems in diabetes has facilitated improved delivery of small molecule drugs which could dramatically improve the quality of life for diabetics. Conventional dosage forms of the anti-diabetic drugs exhibit variable/less bioavailability and short half-life, demanding frequent dosing and causing increased side-effects resulting in ineffectiveness of therapy and non-compliance with the patients. Considering the chronic nature of diabetes, nanotechnology-based approaches are more promising in terms of providing site-specific delivery of drugs with higher bioavailability and reduced dosage regimen. Nanomedicines act at the cellular and molecular levels to enhance the uptake of the drug into the cells or block the efflux mechanisms thus retaining the drug inside the cell for a longer duration of time. Many studies have hinted at the possibility of administering peptide drugs like glucagon like peptides orally by encapsulation into nanoparticles. Nanoparticles also allow further modifications including their encapsulation into microparticles, polyethylene glycol (PEG)-PEGylation- or functionalization with ligands for active targeting. Nevertheless, such remarkable benefits are fraught with their long-term safety concerns, regulatory hurdles, limitations of scale-up and ineffective patent protection which have hindered their commercialization. This review summarizes the latest advances in the area of nanoformulations as applied to the delivery of anti-diabetics. Statement of Significance: The present work describes the latest advancements in the area of nanoformulations for anti-diabetic therapy along with highlighting the advantages that these nanoformulations offer at molecular level for diabetes. Although several potent orally active anti-hyperglycemic agents are available, the current challenges in efficient management of diabetes include optimization of the present therapies to ensure an optimum and stable level of glucose, and also to reduce the occurrence of long term complications associated with diabetes. Nanoformulations because of their high surface area to volume ratio provide improved efficacy, targeting their delivery to the desired site of action tends to minimize adverse effects and administration of peptide drugs by oral route is also possible by encapsulating them in nanoparticles. As we reflect on the success and failures of latest research on nanoformulations for the treatment of diabetes, it is im…","author":[{"dropping-particle":"","family":"Uppal","given":"Siddharth","non-dropping-particle":"","parse-names":false,"suffix":""},{"dropping-particle":"","family":"Italiya","given":"Kishan S.","non-dropping-particle":"","parse-names":false,"suffix":""},{"dropping-particle":"","family":"Chitkara","given":"Deepak","non-dropping-particle":"","parse-names":false,"suffix":""},{"dropping-particle":"","family":"Mittal","given":"Anupama","non-dropping-particle":"","parse-names":false,"suffix":""}],"container-title":"Acta Biomaterialia","id":"ITEM-1","issued":{"date-parts":[["2018"]]},"page":"20-42","publisher":"Acta Materialia Inc.","title":"Nanoparticulate-based drug delivery systems for small molecule anti-diabetic drugs: An emerging paradigm for effective therapy","type":"article-journal","volume":"81"},"uris":["http://www.mendeley.com/documents/?uuid=698c98f9-5cfd-403c-b38c-ffe966eb2ce4"]},{"id":"ITEM-2","itemData":{"DOI":"10.2147/IJN.S285134","ISSN":"11782013","PMID":"33364755","abstract":"In view of the worldwide serious health threat of type 2 diabetes mellitus (T2DM), natural sources of chemotherapies have been corroborated as the promising alternatives, with the excellent antidiabetic activities, bio-safety, and more cost-effective properties. However, their clinical application is somewhat limited, because of the poor solubility, instability in the gastrointestinal tract (GIT), low bioavailability, and so on. Nowadays, to develop nanoscaled systems has become a prominent strategy to improve the drug delivery of phytochemicals. In this review, we primarily summarized the intervention mechanisms of phytocompounds against T2DM and presented the recent advances in various nanosystems of antidiabetic phytocompounds. Selected nanosystems were grouped depending on their classification and structures, including polymeric NPs, lipid-based nanosystems, vesicular systems, inorganic nanocarriers, and so on. Based on this review, the state-of-the-art nanosystems for phytocompounds in T2DM treatment have been presented, suggesting the preponderance and potential of nanotechnologies.","author":[{"dropping-particle":"","family":"Nie","given":"Xin","non-dropping-particle":"","parse-names":false,"suffix":""},{"dropping-particle":"","family":"Chen","given":"Zhejie","non-dropping-particle":"","parse-names":false,"suffix":""},{"dropping-particle":"","family":"Pang","given":"Lan","non-dropping-particle":"","parse-names":false,"suffix":""},{"dropping-particle":"","family":"Wang","given":"Lin","non-dropping-particle":"","parse-names":false,"suffix":""},{"dropping-particle":"","family":"Jiang","given":"Huajuan","non-dropping-particle":"","parse-names":false,"suffix":""},{"dropping-particle":"","family":"Chen","given":"Yi","non-dropping-particle":"","parse-names":false,"suffix":""},{"dropping-particle":"","family":"Zhang","given":"Zhen","non-dropping-particle":"","parse-names":false,"suffix":""},{"dropping-particle":"","family":"Fu","given":"Chaomei","non-dropping-particle":"","parse-names":false,"suffix":""},{"dropping-particle":"","family":"Ren","given":"Bo","non-dropping-particle":"","parse-names":false,"suffix":""},{"dropping-particle":"","family":"Zhang","given":"Jinming","non-dropping-particle":"","parse-names":false,"suffix":""}],"container-title":"International journal of nanomedicine","id":"ITEM-2","issued":{"date-parts":[["2020"]]},"page":"10215-10240","title":"Oral Nano Drug Delivery Systems for the Treatment of Type 2 Diabetes Mellitus: An Available Administration Strategy for Antidiabetic Phytocompounds","type":"article-journal","volume":"15"},"uris":["http://www.mendeley.com/documents/?uuid=92689228-59aa-4184-805e-537b50ff53dc"]}],"mendeley":{"formattedCitation":"(Nie et al., 2020; Uppal et al., 2018)","plainTextFormattedCitation":"(Nie et al., 2020; Uppal et al., 2018)","previouslyFormattedCitation":"(Nie et al., 2020; Uppal et al., 2018)"},"properties":{"noteIndex":0},"schema":"https://github.com/citation-style-language/schema/raw/master/csl-citation.json"}</w:instrText>
      </w:r>
      <w:r w:rsidRPr="00B07A9F">
        <w:rPr>
          <w:sz w:val="22"/>
          <w:szCs w:val="22"/>
        </w:rPr>
        <w:fldChar w:fldCharType="separate"/>
      </w:r>
      <w:r w:rsidRPr="00B07A9F">
        <w:rPr>
          <w:noProof/>
          <w:sz w:val="22"/>
          <w:szCs w:val="22"/>
        </w:rPr>
        <w:t>(Nie et al., 2020; Uppal et al., 2018)</w:t>
      </w:r>
      <w:r w:rsidRPr="00B07A9F">
        <w:rPr>
          <w:sz w:val="22"/>
          <w:szCs w:val="22"/>
        </w:rPr>
        <w:fldChar w:fldCharType="end"/>
      </w:r>
      <w:r w:rsidRPr="00B07A9F">
        <w:rPr>
          <w:sz w:val="22"/>
          <w:szCs w:val="22"/>
        </w:rPr>
        <w:t xml:space="preserve">. </w:t>
      </w:r>
      <w:bookmarkStart w:id="5" w:name="_Hlk125772292"/>
      <w:r w:rsidRPr="00B07A9F">
        <w:rPr>
          <w:sz w:val="22"/>
          <w:szCs w:val="22"/>
        </w:rPr>
        <w:t>Zinc oxide nanoparticles (</w:t>
      </w:r>
      <w:proofErr w:type="spellStart"/>
      <w:r w:rsidRPr="00B07A9F">
        <w:rPr>
          <w:sz w:val="22"/>
          <w:szCs w:val="22"/>
        </w:rPr>
        <w:t>ZnONPs</w:t>
      </w:r>
      <w:proofErr w:type="spellEnd"/>
      <w:r w:rsidRPr="00B07A9F">
        <w:rPr>
          <w:sz w:val="22"/>
          <w:szCs w:val="22"/>
        </w:rPr>
        <w:t xml:space="preserve">) have attracted attention due to the multiple </w:t>
      </w:r>
      <w:r w:rsidR="00B70972" w:rsidRPr="00B07A9F">
        <w:rPr>
          <w:sz w:val="22"/>
          <w:szCs w:val="22"/>
        </w:rPr>
        <w:t xml:space="preserve">functions </w:t>
      </w:r>
      <w:r w:rsidRPr="00B07A9F">
        <w:rPr>
          <w:sz w:val="22"/>
          <w:szCs w:val="22"/>
        </w:rPr>
        <w:t>of zinc in the management of diabetes</w:t>
      </w:r>
      <w:r w:rsidR="001E3B80" w:rsidRPr="00B07A9F">
        <w:rPr>
          <w:sz w:val="22"/>
          <w:szCs w:val="22"/>
        </w:rPr>
        <w:t xml:space="preserve">. Zinc </w:t>
      </w:r>
      <w:r w:rsidR="004C51DB" w:rsidRPr="00B07A9F">
        <w:rPr>
          <w:sz w:val="22"/>
          <w:szCs w:val="22"/>
        </w:rPr>
        <w:t>is</w:t>
      </w:r>
      <w:r w:rsidR="00B70972" w:rsidRPr="00B07A9F">
        <w:rPr>
          <w:sz w:val="22"/>
          <w:szCs w:val="22"/>
        </w:rPr>
        <w:t xml:space="preserve"> known to be</w:t>
      </w:r>
      <w:r w:rsidR="004C51DB" w:rsidRPr="00B07A9F">
        <w:rPr>
          <w:sz w:val="22"/>
          <w:szCs w:val="22"/>
        </w:rPr>
        <w:t xml:space="preserve"> </w:t>
      </w:r>
      <w:r w:rsidR="001E3B80" w:rsidRPr="00B07A9F">
        <w:rPr>
          <w:sz w:val="22"/>
          <w:szCs w:val="22"/>
        </w:rPr>
        <w:t>invol</w:t>
      </w:r>
      <w:r w:rsidR="004C51DB" w:rsidRPr="00B07A9F">
        <w:rPr>
          <w:sz w:val="22"/>
          <w:szCs w:val="22"/>
        </w:rPr>
        <w:t xml:space="preserve">ved </w:t>
      </w:r>
      <w:r w:rsidRPr="00B07A9F">
        <w:rPr>
          <w:sz w:val="22"/>
          <w:szCs w:val="22"/>
        </w:rPr>
        <w:t xml:space="preserve">in the synthesis, storage and release of insulin, the </w:t>
      </w:r>
      <w:r w:rsidRPr="00B07A9F">
        <w:rPr>
          <w:sz w:val="22"/>
          <w:szCs w:val="22"/>
        </w:rPr>
        <w:lastRenderedPageBreak/>
        <w:t xml:space="preserve">increase in antioxidant enzyme </w:t>
      </w:r>
      <w:r w:rsidR="00B70972" w:rsidRPr="00B07A9F">
        <w:rPr>
          <w:sz w:val="22"/>
          <w:szCs w:val="22"/>
        </w:rPr>
        <w:t>activity</w:t>
      </w:r>
      <w:r w:rsidRPr="00B07A9F">
        <w:rPr>
          <w:sz w:val="22"/>
          <w:szCs w:val="22"/>
        </w:rPr>
        <w:t xml:space="preserve">, the decrease in inflammation, the decrease in glucose intestinal absorption, the increase in glucose homeostasis </w:t>
      </w:r>
      <w:r w:rsidR="004C51DB" w:rsidRPr="00B07A9F">
        <w:rPr>
          <w:sz w:val="22"/>
          <w:szCs w:val="22"/>
        </w:rPr>
        <w:t xml:space="preserve">and </w:t>
      </w:r>
      <w:r w:rsidRPr="00B07A9F">
        <w:rPr>
          <w:sz w:val="22"/>
          <w:szCs w:val="22"/>
        </w:rPr>
        <w:t xml:space="preserve">the increase in hepatocyte activity </w:t>
      </w:r>
      <w:r w:rsidRPr="00B07A9F">
        <w:rPr>
          <w:sz w:val="22"/>
          <w:szCs w:val="22"/>
        </w:rPr>
        <w:fldChar w:fldCharType="begin" w:fldLock="1"/>
      </w:r>
      <w:r w:rsidRPr="00B07A9F">
        <w:rPr>
          <w:sz w:val="22"/>
          <w:szCs w:val="22"/>
        </w:rPr>
        <w:instrText>ADDIN CSL_CITATION {"citationItems":[{"id":"ITEM-1","itemData":{"DOI":"10.1007/s00449-017-1758-2","ISBN":"0044901717582","ISSN":"16157605","PMID":"28361361","abstract":"Phytofabricated green synthesis of zinc oxide (ZnO) nanoparticles using different plant extracts of Azadirachta indica, Hibiscus rosa-sinensis, Murraya koenigii, Moringa oleifera, and Tamarindus indica for biological applications has been reported. ZnO nanoparticles were also synthesized by chemical method to compare the efficiency of the green synthesized nanoparticles. FT-IR spectra confirmed the functional groups involved in the green synthesis of ZnO nanoparticles and the powder XRD patterns of the ZnO nanoparticles revealed pure wurtzite structure with preferred orientation at (100) reflection plane. SEM and TEM analysis revealed the spherical shape of the synthesized ZnO nanoparticles with the particle size between 54 and 27 nm. The antioxidant activity was evaluated by five different free radical scavenging assays. The present study also intends to screen α-amylase and α-glucosidase activity of ZnO nanoparticles synthesized using natural sources, which may minimize the toxicity and side effects of the inhibitors used to control diabetes. The ZnO nanoparticles synthesized using T. indica extract displayed remarkable antioxidant and antidiabetic activities.","author":[{"dropping-particle":"","family":"Rehana","given":"Dilaveez","non-dropping-particle":"","parse-names":false,"suffix":""},{"dropping-particle":"","family":"Mahendiran","given":"D.","non-dropping-particle":"","parse-names":false,"suffix":""},{"dropping-particle":"","family":"Kumar","given":"R. Senthil","non-dropping-particle":"","parse-names":false,"suffix":""},{"dropping-particle":"","family":"Rahiman","given":"A. Kalilur","non-dropping-particle":"","parse-names":false,"suffix":""}],"container-title":"Bioprocess and Biosystems Engineering","id":"ITEM-1","issue":"6","issued":{"date-parts":[["2017"]]},"page":"943-957","publisher":"Springer Berlin Heidelberg","title":"In vitro antioxidant and antidiabetic activities of zinc oxide nanoparticles synthesized using different plant extracts","type":"article-journal","volume":"40"},"uris":["http://www.mendeley.com/documents/?uuid=4fe2c0be-875b-456c-a6af-a9cd790b68c6"]},{"id":"ITEM-2","itemData":{"DOI":"10.1007/s12576-017-0571-7","ISSN":"18806546","PMID":"28965330","abstract":"A number of studies have reported that zinc plays a substantial role in the development of metabolic syndrome, taking part in the regulation of cytokine expression, suppressing inflammation, and is also required to activate antioxidant enzymes that scavenge reactive oxygen species, reducing oxidative stress. Zinc also plays a role in the correct functioning of lipid and glucose metabolism, regulating and forming the expression of insulin. In numerous studies, zinc supplementation has been found to improve blood pressure, glucose, and LDL cholesterol serum level. Deeper knowledge of zinc’s properties may help in treating metabolic syndrome, thus protecting against stroke and angina pectoris, and ultimately against death.","author":[{"dropping-particle":"","family":"Olechnowicz","given":"J.","non-dropping-particle":"","parse-names":false,"suffix":""},{"dropping-particle":"","family":"Tinkov","given":"A.","non-dropping-particle":"","parse-names":false,"suffix":""},{"dropping-particle":"","family":"Skalny","given":"A.","non-dropping-particle":"","parse-names":false,"suffix":""},{"dropping-particle":"","family":"Suliburska","given":"Joanna","non-dropping-particle":"","parse-names":false,"suffix":""}],"container-title":"Journal of Physiological Sciences","id":"ITEM-2","issue":"1","issued":{"date-parts":[["2018"]]},"page":"19-31","publisher":"Springer Japan","title":"Zinc status is associated with inflammation, oxidative stress, lipid, and glucose metabolism","type":"article-journal","volume":"68"},"uris":["http://www.mendeley.com/documents/?uuid=24139b72-add8-4b08-befc-e8a7ade10733"]},{"id":"ITEM-3","itemData":{"DOI":"10.4103/jfcm.JFCM_113_19","ISSN":"2229340X","abstract":"BACKGROUND: Zinc (Zn) is a trace element that carries antioxidant properties. Deficiency of Zn increases oxidative stress, especially in diabetes. The objective of this study was to assess the relationship between the level of Zn and glycemic control in type 2 diabetes. MATERIALS AND METHODS: A cross-sectional study was carried out in the Department of Medicine at King Abdullah bin Abdulaziz University Hospital, Riyadh, Saudi Arabia, from March 2018 to September 2018. A total of 440 participants were included in the study; 252 of these had type 2 diabetes and 188 were controls. All participants had laboratory investigations including fasting blood sugar (FBS), glycosylated hemoglobin, and lipid profile and Zn levels. These two groups (diabetics and controls) were further divided into Zn deficient group and normal Zn group according to their Zn levels. Data were analyzed by using SPSS software. RESULTS: The mean Zn level was 11.7 + 1.5 in the control group, whereas it was significantly low (9.3 + 1.6) in the diabetic group (P = 0.001). Zn deficiency in the control group was only 6.4%, while in the diabetic group, it was 67.9%, (P ≤ 0.001). The mean ages for the low Zn group and normal Zn group were 40.9 + 12.5 and 37.5 + 10.1, respectively, and the Zn deficient group was higher in age (P &lt; 0.003). There was no significant statistical difference between genders regarding Zn deficiency. Obesity was associated with significantly low Zn levels (P = 0.016). The serum Zn level was significantly negatively associated with FBS and glycated hemoglobin in diabetic participants (P &lt; 0.001). CONCLUSION: Diabetic patients have Zn deficiency compared to normal individuals and poor glycemic control is associated with low Zn levels.","author":[{"dropping-particle":"","family":"Farooq","given":"Dhedhi","non-dropping-particle":"","parse-names":false,"suffix":""},{"dropping-particle":"","family":"Alamri","given":"Ali","non-dropping-particle":"","parse-names":false,"suffix":""},{"dropping-particle":"","family":"Alwhahabi","given":"Basmah","non-dropping-particle":"","parse-names":false,"suffix":""},{"dropping-particle":"","family":"Metwally","given":"Ashraf","non-dropping-particle":"","parse-names":false,"suffix":""},{"dropping-particle":"","family":"Kareem","given":"Khalid","non-dropping-particle":"","parse-names":false,"suffix":""}],"container-title":"Journal of Family and Community Medicine","id":"ITEM-3","issue":"1","issued":{"date-parts":[["2020"]]},"page":"29-36","title":"The status of zinc in type 2 diabetic patients and its association with glycemic control","type":"article-journal","volume":"27"},"uris":["http://www.mendeley.com/documents/?uuid=3b519352-6733-47bc-87ef-5370f453cf73"]}],"mendeley":{"formattedCitation":"(Farooq et al., 2020; Olechnowicz et al., 2018; Rehana et al., 2017)","plainTextFormattedCitation":"(Farooq et al., 2020; Olechnowicz et al., 2018; Rehana et al., 2017)","previouslyFormattedCitation":"(Farooq et al., 2020; Olechnowicz et al., 2018; Rehana et al., 2017)"},"properties":{"noteIndex":0},"schema":"https://github.com/citation-style-language/schema/raw/master/csl-citation.json"}</w:instrText>
      </w:r>
      <w:r w:rsidRPr="00B07A9F">
        <w:rPr>
          <w:sz w:val="22"/>
          <w:szCs w:val="22"/>
        </w:rPr>
        <w:fldChar w:fldCharType="separate"/>
      </w:r>
      <w:r w:rsidRPr="00B07A9F">
        <w:rPr>
          <w:noProof/>
          <w:sz w:val="22"/>
          <w:szCs w:val="22"/>
        </w:rPr>
        <w:t>(Farooq et al., 2020; Olechnowicz et al., 2018; Rehana et al., 2017)</w:t>
      </w:r>
      <w:r w:rsidRPr="00B07A9F">
        <w:rPr>
          <w:sz w:val="22"/>
          <w:szCs w:val="22"/>
        </w:rPr>
        <w:fldChar w:fldCharType="end"/>
      </w:r>
      <w:r w:rsidRPr="00B07A9F">
        <w:rPr>
          <w:sz w:val="22"/>
          <w:szCs w:val="22"/>
        </w:rPr>
        <w:t>.</w:t>
      </w:r>
      <w:bookmarkEnd w:id="5"/>
      <w:r w:rsidRPr="00B07A9F">
        <w:rPr>
          <w:sz w:val="22"/>
          <w:szCs w:val="22"/>
        </w:rPr>
        <w:t xml:space="preserve"> </w:t>
      </w:r>
      <w:proofErr w:type="spellStart"/>
      <w:r w:rsidRPr="00B07A9F">
        <w:rPr>
          <w:sz w:val="22"/>
          <w:szCs w:val="22"/>
        </w:rPr>
        <w:t>ZnONPs</w:t>
      </w:r>
      <w:proofErr w:type="spellEnd"/>
      <w:r w:rsidRPr="00B07A9F">
        <w:rPr>
          <w:sz w:val="22"/>
          <w:szCs w:val="22"/>
        </w:rPr>
        <w:t xml:space="preserve"> are produced by different methods, including physical, chemical and biological methods </w:t>
      </w:r>
      <w:r w:rsidRPr="00B07A9F">
        <w:rPr>
          <w:sz w:val="22"/>
          <w:szCs w:val="22"/>
        </w:rPr>
        <w:fldChar w:fldCharType="begin" w:fldLock="1"/>
      </w:r>
      <w:r w:rsidRPr="00B07A9F">
        <w:rPr>
          <w:sz w:val="22"/>
          <w:szCs w:val="22"/>
        </w:rPr>
        <w:instrText>ADDIN CSL_CITATION {"citationItems":[{"id":"ITEM-1","itemData":{"DOI":"10.33263/BRIAC123.42614292","ISSN":"20695837","abstract":"Zinc oxide is an important material with numerous applications due to its unique properties. Due to their thermal and chemical stability are used in wide applications such as LEDs, sensors, catalysts, and photodetectors. Different chemical, physical, and biological methods have been adopted to achieve the intended result, as enumerated in many pieces of literature. Therefore, selecting an efficient synthesis process is essential, which is a key factor that significantly influences the efficacy of the synthesized nanocrystalline materials. The chemical synthesis of nanoparticles (NPs) via hydrothermal, solvothermal, and sol-gel routes is considered effective as high-quality crystalline structures are produced. Control of parameters of processes yields excellent morphological features of the synthesized samples. This review explored the different parameters of processes and their effect on the morphology of ZnO nanostructures via hydrothermal, solvothermal, and sol-gel techniques. Finally, some ZnO nanocomposites molecules are reviewed as per the dopant used and its effect on the sample compound synthesized.","author":[{"dropping-particle":"","family":"Droepenu","given":"Eric Kwabena","non-dropping-particle":"","parse-names":false,"suffix":""},{"dropping-particle":"","family":"Wee","given":"Boon Siong","non-dropping-particle":"","parse-names":false,"suffix":""},{"dropping-particle":"","family":"Chin","given":"Suk Fun","non-dropping-particle":"","parse-names":false,"suffix":""},{"dropping-particle":"","family":"Kok","given":"Kuan Ying","non-dropping-particle":"","parse-names":false,"suffix":""},{"dropping-particle":"","family":"Maligan","given":"Muhammad Firdaus","non-dropping-particle":"","parse-names":false,"suffix":""}],"container-title":"Biointerface Research in Applied Chemistry","id":"ITEM-1","issue":"3","issued":{"date-parts":[["2022"]]},"page":"4261-4292","title":"Zinc oxide nanoparticles synthesis methods and its effect on morphology: A review","type":"article-journal","volume":"12"},"uris":["http://www.mendeley.com/documents/?uuid=082d83c1-bf71-4770-ad7a-03240f07a791"]},{"id":"ITEM-2","itemData":{"DOI":"10.1155/2017/8510342","ISSN":"16874129","abstract":"Human's quest for innovation, finding solutions of problems, and upgrading the industrial yield with energy efficient and cost-effective materials has opened the avenues of nanotechnology. Among a variety of nanoparticles, zinc oxide nanoparticles (ZnO) have advantages because of the extraordinary physical and chemical properties. It is one of the cheap materials in cosmetic industry, nanofertilizers, and electrical devices and also a suitable agent for bioimaging and targeted drug and gene delivery and an excellent sensor for detecting ecological pollutants and environmental remediation. Despite inherent toxicity of nanoparticles, synthetic routes are making use of large amount of chemical and stringent reactions conditions that are contributing as environmental contaminants in the form of high energy consumption, heat generation, water consumption, and chemical waste. Further, it is also adding to the innate toxicity of nanoparticles (NPs) that is either entirely ignored or poorly investigated. The current review illustrates a comparison between pollutants and hazards spawned from chemical, physical, and biological methods used for the synthesis of ZnO. Further, the emphasis is on devising eco-friendly techniques for the synthesis of ZnO especially biological methods which are comparatively less hazardous and need to be optimized by controlling the reaction conditions in order to get desired yield and characteristics.","author":[{"dropping-particle":"","family":"Naveed Ul Haq","given":"Ayesha","non-dropping-particle":"","parse-names":false,"suffix":""},{"dropping-particle":"","family":"Nadhman","given":"Akhtar","non-dropping-particle":"","parse-names":false,"suffix":""},{"dropping-particle":"","family":"Ullah","given":"Ikram","non-dropping-particle":"","parse-names":false,"suffix":""},{"dropping-particle":"","family":"Mustafa","given":"Ghulam","non-dropping-particle":"","parse-names":false,"suffix":""},{"dropping-particle":"","family":"Yasinzai","given":"Masoom","non-dropping-particle":"","parse-names":false,"suffix":""},{"dropping-particle":"","family":"Khan","given":"Imran","non-dropping-particle":"","parse-names":false,"suffix":""}],"container-title":"Journal of Nanomaterials","id":"ITEM-2","issue":"Table 1","issued":{"date-parts":[["2017"]]},"title":"Synthesis Approaches of Zinc Oxide Nanoparticles: The Dilemma of Ecotoxicity","type":"article-journal","volume":"2017"},"uris":["http://www.mendeley.com/documents/?uuid=1281c3bd-d643-47ec-a305-9de08c2f0ad4"]}],"mendeley":{"formattedCitation":"(Droepenu et al., 2022; Naveed Ul Haq et al., 2017)","plainTextFormattedCitation":"(Droepenu et al., 2022; Naveed Ul Haq et al., 2017)","previouslyFormattedCitation":"(Droepenu et al., 2022; Naveed Ul Haq et al., 2017)"},"properties":{"noteIndex":0},"schema":"https://github.com/citation-style-language/schema/raw/master/csl-citation.json"}</w:instrText>
      </w:r>
      <w:r w:rsidRPr="00B07A9F">
        <w:rPr>
          <w:sz w:val="22"/>
          <w:szCs w:val="22"/>
        </w:rPr>
        <w:fldChar w:fldCharType="separate"/>
      </w:r>
      <w:r w:rsidRPr="00B07A9F">
        <w:rPr>
          <w:noProof/>
          <w:sz w:val="22"/>
          <w:szCs w:val="22"/>
        </w:rPr>
        <w:t>(Droepenu et al., 2022; Naveed Ul Haq et al., 2017)</w:t>
      </w:r>
      <w:r w:rsidRPr="00B07A9F">
        <w:rPr>
          <w:sz w:val="22"/>
          <w:szCs w:val="22"/>
        </w:rPr>
        <w:fldChar w:fldCharType="end"/>
      </w:r>
      <w:r w:rsidRPr="00B07A9F">
        <w:rPr>
          <w:sz w:val="22"/>
          <w:szCs w:val="22"/>
        </w:rPr>
        <w:t xml:space="preserve">. However, physical and chemical methods present some drawbacks, such as the requirement of high energy, high costs, time-consuming operations and the use of toxic chemical reagents that can exhibit adverse effects </w:t>
      </w:r>
      <w:r w:rsidRPr="00B07A9F">
        <w:rPr>
          <w:sz w:val="22"/>
          <w:szCs w:val="22"/>
        </w:rPr>
        <w:fldChar w:fldCharType="begin" w:fldLock="1"/>
      </w:r>
      <w:r w:rsidR="006D1F7B" w:rsidRPr="00B07A9F">
        <w:rPr>
          <w:sz w:val="22"/>
          <w:szCs w:val="22"/>
        </w:rPr>
        <w:instrText>ADDIN CSL_CITATION {"citationItems":[{"id":"ITEM-1","itemData":{"DOI":"10.1016/j.jphotobiol.2018.04.036","ISSN":"18732682","PMID":"29727834","abstract":"In the age of technology, nanoparticles have proven to be one of the essential needs for development. These nanoparticles have the potential to be used for a wide variety of applications, thereby, development in improving the quality of nanoparticles, to make them more application specific, is still under research. In this regard, an important point to note is that the procedures employed in synthesizing nanoparticles require to be cost-effective and less-steps involved and have an additional advantage, i.e. they should be eco-friendly. This means that the synthesis procedure needs avoiding the use of harmful chemicals, and negligible generation of any noxious by-products. The green synthesis (biosynthesis) method employs simple procedures, easily available raw materials and ambiance for the synthesis process, where the precursors used are safe, with minute possibility for the production of harmful by-products. Considering these advantages, the current review includes a brief description on the various chemical and physical synthesis method of zinc oxide (ZnO) nanoparticles with emphasis on the biosynthesis of ZnO nanoparticles using plant extracts (and briefly microbes), the phytochemicals present in the plant extracts, the plausible mechanisms involved in the formation of ZnO nanoparticles and applications of the as-synthesized ZnO nanoparticles as photocatalysts and microbial inhibitors.","author":[{"dropping-particle":"","family":"Basnet","given":"Parita","non-dropping-particle":"","parse-names":false,"suffix":""},{"dropping-particle":"","family":"Inakhunbi Chanu","given":"T.","non-dropping-particle":"","parse-names":false,"suffix":""},{"dropping-particle":"","family":"Samanta","given":"Dhrubajyoti","non-dropping-particle":"","parse-names":false,"suffix":""},{"dropping-particle":"","family":"Chatterjee","given":"Somenath","non-dropping-particle":"","parse-names":false,"suffix":""}],"container-title":"Journal of Photochemistry and Photobiology B: Biology","id":"ITEM-1","issue":"April","issued":{"date-parts":[["2018"]]},"page":"201-221","publisher":"Elsevier","title":"A review on bio-synthesized zinc oxide nanoparticles using plant extracts as reductants and stabilizing agents","type":"article-journal","volume":"183"},"uris":["http://www.mendeley.com/documents/?uuid=6d068166-bf3f-4fe7-b512-e682362e3038","http://www.mendeley.com/documents/?uuid=6d67debc-d42f-4f9a-8209-21869c6c82ae"]},{"id":"ITEM-2","itemData":{"DOI":"10.1007/s00449-017-1758-2","ISBN":"0044901717582","ISSN":"16157605","PMID":"28361361","abstract":"Phytofabricated green synthesis of zinc oxide (ZnO) nanoparticles using different plant extracts of Azadirachta indica, Hibiscus rosa-sinensis, Murraya koenigii, Moringa oleifera, and Tamarindus indica for biological applications has been reported. ZnO nanoparticles were also synthesized by chemical method to compare the efficiency of the green synthesized nanoparticles. FT-IR spectra confirmed the functional groups involved in the green synthesis of ZnO nanoparticles and the powder XRD patterns of the ZnO nanoparticles revealed pure wurtzite structure with preferred orientation at (100) reflection plane. SEM and TEM analysis revealed the spherical shape of the synthesized ZnO nanoparticles with the particle size between 54 and 27 nm. The antioxidant activity was evaluated by five different free radical scavenging assays. The present study also intends to screen α-amylase and α-glucosidase activity of ZnO nanoparticles synthesized using natural sources, which may minimize the toxicity and side effects of the inhibitors used to control diabetes. The ZnO nanoparticles synthesized using T. indica extract displayed remarkable antioxidant and antidiabetic activities.","author":[{"dropping-particle":"","family":"Rehana","given":"Dilaveez","non-dropping-particle":"","parse-names":false,"suffix":""},{"dropping-particle":"","family":"Mahendiran","given":"D.","non-dropping-particle":"","parse-names":false,"suffix":""},{"dropping-particle":"","family":"Kumar","given":"R. Senthil","non-dropping-particle":"","parse-names":false,"suffix":""},{"dropping-particle":"","family":"Rahiman","given":"A. Kalilur","non-dropping-particle":"","parse-names":false,"suffix":""}],"container-title":"Bioprocess and Biosystems Engineering","id":"ITEM-2","issue":"6","issued":{"date-parts":[["2017"]]},"page":"943-957","publisher":"Springer Berlin Heidelberg","title":"In vitro antioxidant and antidiabetic activities of zinc oxide nanoparticles synthesized using different plant extracts","type":"article-journal","volume":"40"},"uris":["http://www.mendeley.com/documents/?uuid=4fe2c0be-875b-456c-a6af-a9cd790b68c6"]}],"mendeley":{"formattedCitation":"(Basnet et al., 2018; Rehana et al., 2017)","plainTextFormattedCitation":"(Basnet et al., 2018; Rehana et al., 2017)","previouslyFormattedCitation":"(Basnet et al., 2018; Rehana et al., 2017)"},"properties":{"noteIndex":0},"schema":"https://github.com/citation-style-language/schema/raw/master/csl-citation.json"}</w:instrText>
      </w:r>
      <w:r w:rsidRPr="00B07A9F">
        <w:rPr>
          <w:sz w:val="22"/>
          <w:szCs w:val="22"/>
        </w:rPr>
        <w:fldChar w:fldCharType="separate"/>
      </w:r>
      <w:r w:rsidR="00012964" w:rsidRPr="00B07A9F">
        <w:rPr>
          <w:noProof/>
          <w:sz w:val="22"/>
          <w:szCs w:val="22"/>
        </w:rPr>
        <w:t>(Basnet et al., 2018; Rehana et al., 2017)</w:t>
      </w:r>
      <w:r w:rsidRPr="00B07A9F">
        <w:rPr>
          <w:sz w:val="22"/>
          <w:szCs w:val="22"/>
        </w:rPr>
        <w:fldChar w:fldCharType="end"/>
      </w:r>
      <w:r w:rsidRPr="00B07A9F">
        <w:rPr>
          <w:sz w:val="22"/>
          <w:szCs w:val="22"/>
        </w:rPr>
        <w:t xml:space="preserve">. Biological methods can involve the use of plant extracts, algae and bacteria </w:t>
      </w:r>
      <w:r w:rsidRPr="00B07A9F">
        <w:rPr>
          <w:sz w:val="22"/>
          <w:szCs w:val="22"/>
        </w:rPr>
        <w:fldChar w:fldCharType="begin" w:fldLock="1"/>
      </w:r>
      <w:r w:rsidRPr="00B07A9F">
        <w:rPr>
          <w:sz w:val="22"/>
          <w:szCs w:val="22"/>
        </w:rPr>
        <w:instrText>ADDIN CSL_CITATION {"citationItems":[{"id":"ITEM-1","itemData":{"DOI":"10.1155/2017/8510342","ISSN":"16874129","abstract":"Human's quest for innovation, finding solutions of problems, and upgrading the industrial yield with energy efficient and cost-effective materials has opened the avenues of nanotechnology. Among a variety of nanoparticles, zinc oxide nanoparticles (ZnO) have advantages because of the extraordinary physical and chemical properties. It is one of the cheap materials in cosmetic industry, nanofertilizers, and electrical devices and also a suitable agent for bioimaging and targeted drug and gene delivery and an excellent sensor for detecting ecological pollutants and environmental remediation. Despite inherent toxicity of nanoparticles, synthetic routes are making use of large amount of chemical and stringent reactions conditions that are contributing as environmental contaminants in the form of high energy consumption, heat generation, water consumption, and chemical waste. Further, it is also adding to the innate toxicity of nanoparticles (NPs) that is either entirely ignored or poorly investigated. The current review illustrates a comparison between pollutants and hazards spawned from chemical, physical, and biological methods used for the synthesis of ZnO. Further, the emphasis is on devising eco-friendly techniques for the synthesis of ZnO especially biological methods which are comparatively less hazardous and need to be optimized by controlling the reaction conditions in order to get desired yield and characteristics.","author":[{"dropping-particle":"","family":"Naveed Ul Haq","given":"Ayesha","non-dropping-particle":"","parse-names":false,"suffix":""},{"dropping-particle":"","family":"Nadhman","given":"Akhtar","non-dropping-particle":"","parse-names":false,"suffix":""},{"dropping-particle":"","family":"Ullah","given":"Ikram","non-dropping-particle":"","parse-names":false,"suffix":""},{"dropping-particle":"","family":"Mustafa","given":"Ghulam","non-dropping-particle":"","parse-names":false,"suffix":""},{"dropping-particle":"","family":"Yasinzai","given":"Masoom","non-dropping-particle":"","parse-names":false,"suffix":""},{"dropping-particle":"","family":"Khan","given":"Imran","non-dropping-particle":"","parse-names":false,"suffix":""}],"container-title":"Journal of Nanomaterials","id":"ITEM-1","issue":"Table 1","issued":{"date-parts":[["2017"]]},"title":"Synthesis Approaches of Zinc Oxide Nanoparticles: The Dilemma of Ecotoxicity","type":"article-journal","volume":"2017"},"uris":["http://www.mendeley.com/documents/?uuid=1281c3bd-d643-47ec-a305-9de08c2f0ad4"]}],"mendeley":{"formattedCitation":"(Naveed Ul Haq et al., 2017)","plainTextFormattedCitation":"(Naveed Ul Haq et al., 2017)","previouslyFormattedCitation":"(Naveed Ul Haq et al., 2017)"},"properties":{"noteIndex":0},"schema":"https://github.com/citation-style-language/schema/raw/master/csl-citation.json"}</w:instrText>
      </w:r>
      <w:r w:rsidRPr="00B07A9F">
        <w:rPr>
          <w:sz w:val="22"/>
          <w:szCs w:val="22"/>
        </w:rPr>
        <w:fldChar w:fldCharType="separate"/>
      </w:r>
      <w:r w:rsidRPr="00B07A9F">
        <w:rPr>
          <w:noProof/>
          <w:sz w:val="22"/>
          <w:szCs w:val="22"/>
        </w:rPr>
        <w:t>(Naveed Ul Haq et al., 2017)</w:t>
      </w:r>
      <w:r w:rsidRPr="00B07A9F">
        <w:rPr>
          <w:sz w:val="22"/>
          <w:szCs w:val="22"/>
        </w:rPr>
        <w:fldChar w:fldCharType="end"/>
      </w:r>
      <w:r w:rsidRPr="00B07A9F">
        <w:rPr>
          <w:sz w:val="22"/>
          <w:szCs w:val="22"/>
        </w:rPr>
        <w:t xml:space="preserve">. The use of plant extracts (i.e., “green”) </w:t>
      </w:r>
      <w:r w:rsidR="006B6081" w:rsidRPr="00B07A9F">
        <w:rPr>
          <w:sz w:val="22"/>
          <w:szCs w:val="22"/>
        </w:rPr>
        <w:t>is</w:t>
      </w:r>
      <w:r w:rsidRPr="00B07A9F">
        <w:rPr>
          <w:sz w:val="22"/>
          <w:szCs w:val="22"/>
        </w:rPr>
        <w:t xml:space="preserve"> simple, involve fewer steps, have a lower cost and </w:t>
      </w:r>
      <w:r w:rsidR="006B6081" w:rsidRPr="00B07A9F">
        <w:rPr>
          <w:sz w:val="22"/>
          <w:szCs w:val="22"/>
        </w:rPr>
        <w:t>is</w:t>
      </w:r>
      <w:r w:rsidRPr="00B07A9F">
        <w:rPr>
          <w:sz w:val="22"/>
          <w:szCs w:val="22"/>
        </w:rPr>
        <w:t xml:space="preserve"> especially interesting because plants are easily available</w:t>
      </w:r>
      <w:r w:rsidR="00035DFF" w:rsidRPr="00B07A9F">
        <w:rPr>
          <w:sz w:val="22"/>
          <w:szCs w:val="22"/>
        </w:rPr>
        <w:t>.</w:t>
      </w:r>
      <w:r w:rsidRPr="00B07A9F">
        <w:rPr>
          <w:sz w:val="22"/>
          <w:szCs w:val="22"/>
        </w:rPr>
        <w:t xml:space="preserve"> </w:t>
      </w:r>
      <w:r w:rsidR="00035DFF" w:rsidRPr="00B07A9F">
        <w:rPr>
          <w:sz w:val="22"/>
          <w:szCs w:val="22"/>
        </w:rPr>
        <w:t>T</w:t>
      </w:r>
      <w:r w:rsidRPr="00B07A9F">
        <w:rPr>
          <w:sz w:val="22"/>
          <w:szCs w:val="22"/>
        </w:rPr>
        <w:t xml:space="preserve">he </w:t>
      </w:r>
      <w:proofErr w:type="spellStart"/>
      <w:r w:rsidRPr="00B07A9F">
        <w:rPr>
          <w:sz w:val="22"/>
          <w:szCs w:val="22"/>
        </w:rPr>
        <w:t>bioreducing</w:t>
      </w:r>
      <w:proofErr w:type="spellEnd"/>
      <w:r w:rsidRPr="00B07A9F">
        <w:rPr>
          <w:sz w:val="22"/>
          <w:szCs w:val="22"/>
        </w:rPr>
        <w:t xml:space="preserve">, antioxidant or antidiabetic </w:t>
      </w:r>
      <w:r w:rsidR="00035DFF" w:rsidRPr="00B07A9F">
        <w:rPr>
          <w:sz w:val="22"/>
          <w:szCs w:val="22"/>
        </w:rPr>
        <w:t>phyto</w:t>
      </w:r>
      <w:r w:rsidRPr="00B07A9F">
        <w:rPr>
          <w:sz w:val="22"/>
          <w:szCs w:val="22"/>
        </w:rPr>
        <w:t xml:space="preserve">compounds they contain (e.g., phenolics) trigger the synthesis of </w:t>
      </w:r>
      <w:proofErr w:type="spellStart"/>
      <w:r w:rsidRPr="00B07A9F">
        <w:rPr>
          <w:sz w:val="22"/>
          <w:szCs w:val="22"/>
        </w:rPr>
        <w:t>ZnONPs</w:t>
      </w:r>
      <w:proofErr w:type="spellEnd"/>
      <w:r w:rsidRPr="00B07A9F">
        <w:rPr>
          <w:sz w:val="22"/>
          <w:szCs w:val="22"/>
        </w:rPr>
        <w:t xml:space="preserve">, bind to the surface of the synthesized nanoparticles and can contribute to their activity </w:t>
      </w:r>
      <w:r w:rsidRPr="00B07A9F">
        <w:rPr>
          <w:sz w:val="22"/>
          <w:szCs w:val="22"/>
        </w:rPr>
        <w:fldChar w:fldCharType="begin" w:fldLock="1"/>
      </w:r>
      <w:r w:rsidRPr="00B07A9F">
        <w:rPr>
          <w:sz w:val="22"/>
          <w:szCs w:val="22"/>
        </w:rPr>
        <w:instrText>ADDIN CSL_CITATION {"citationItems":[{"id":"ITEM-1","itemData":{"DOI":"10.1186/s12951-020-00704-4","ISSN":"14773155","PMID":"33225973","abstract":"Capping agents are of utmost importance as stabilizers that inhibit the over-growth of nanoparticles and prevent their aggregation/coagulation in colloidal synthesis. The capping ligands stabilize the interface where nanoparticles interact with their medium of preparation. Specific structural features of nanoparticles are attributed to capping on their surface. These stabilizing agents play a key role in altering the biological activities and environmental perspective. Stearic effects of capping agents adsorbed on the surface of nanoparticles are responsible for such changing physico-chemical and biological characteristics. Firstly, this novel review article introduces few frequently used capping agents in the fabrication of nanoparticles. Next, recent advancements in biomedicine and environmental remediation approaches of capped nanoparticles have been elaborated. Lastly, future directions of the huge impact of capping agents on the biological environment have been summarized.[Figure not available: see fulltext.].","author":[{"dropping-particle":"","family":"Javed","given":"Rabia","non-dropping-particle":"","parse-names":false,"suffix":""},{"dropping-particle":"","family":"Zia","given":"Muhammad","non-dropping-particle":"","parse-names":false,"suffix":""},{"dropping-particle":"","family":"Naz","given":"Sania","non-dropping-particle":"","parse-names":false,"suffix":""},{"dropping-particle":"","family":"Aisida","given":"Samson O.","non-dropping-particle":"","parse-names":false,"suffix":""},{"dropping-particle":"","family":"Ain","given":"Noor ul","non-dropping-particle":"","parse-names":false,"suffix":""},{"dropping-particle":"","family":"Ao","given":"Qiang","non-dropping-particle":"","parse-names":false,"suffix":""}],"container-title":"Journal of Nanobiotechnology","id":"ITEM-1","issue":"1","issued":{"date-parts":[["2020"]]},"page":"1-15","publisher":"BioMed Central","title":"Role of capping agents in the application of nanoparticles in biomedicine and environmental remediation: recent trends and future prospects","type":"article-journal","volume":"18"},"uris":["http://www.mendeley.com/documents/?uuid=12c1cf1b-72ec-481c-a98a-6fa0b187fa10"]},{"id":"ITEM-2","itemData":{"DOI":"10.1016/j.lfs.2019.117011","ISSN":"18790631","PMID":"31669241","abstract":"Diabetes mellitus (DM) is a multifaceted and costly disease, which requires serious attention. Finding a cheaper anti-diabetic alternative that can act on multiple disease-related targets and pathways is the ultimate treatment goal for DM. Nanotechnology has offered some exciting possibilities in biomedical and drug delivery applications. Zinc oxide nanoparticles (ZnO-NPs), a novel agent to deliver zinc, have great implications in many disease therapies including DM. This review summarizes the pharmacological mechanisms by which ZnO-NPs alleviate DM and diabetic complications. Research implications and future perspectives were also discussed.","author":[{"dropping-particle":"","family":"Tang","given":"Kim San","non-dropping-particle":"","parse-names":false,"suffix":""}],"container-title":"Life Sciences","id":"ITEM-2","issue":"August","issued":{"date-parts":[["2019"]]},"page":"117011","publisher":"Elsevier","title":"The current and future perspectives of zinc oxide nanoparticles in the treatment of diabetes mellitus","type":"article-journal","volume":"239"},"uris":["http://www.mendeley.com/documents/?uuid=d7cee6d0-f66e-4998-8947-f3428ac6108d"]},{"id":"ITEM-3","itemData":{"DOI":"10.1039/C4RA12784F","author":[{"dropping-particle":"","family":"Bala","given":"Niranjan","non-dropping-particle":"","parse-names":false,"suffix":""},{"dropping-particle":"","family":"Saha","given":"S","non-dropping-particle":"","parse-names":false,"suffix":""},{"dropping-particle":"","family":"Chakraborty","given":"M","non-dropping-particle":"","parse-names":false,"suffix":""},{"dropping-particle":"","family":"Maiti","given":"M","non-dropping-particle":"","parse-names":false,"suffix":""},{"dropping-particle":"","family":"Das","given":"S","non-dropping-particle":"","parse-names":false,"suffix":""},{"dropping-particle":"","family":"Basu","given":"R","non-dropping-particle":"","parse-names":false,"suffix":""},{"dropping-particle":"","family":"Nandy","given":"P","non-dropping-particle":"","parse-names":false,"suffix":""}],"container-title":"RSC Advances","id":"ITEM-3","issued":{"date-parts":[["2014"]]},"page":"4993-5003","publisher":"Royal Society of Chemistry","title":"RSC Advances Green synthesis of zinc oxide nanoparticles using Hibiscus subdari ff a leaf extract : e ff ect of","type":"article-journal","volume":"5"},"uris":["http://www.mendeley.com/documents/?uuid=a2fe6a59-c3a5-43c4-9f97-f85699b4e9dc"]}],"mendeley":{"formattedCitation":"(Bala et al., 2014; Javed et al., 2020; Tang, 2019)","plainTextFormattedCitation":"(Bala et al., 2014; Javed et al., 2020; Tang, 2019)","previouslyFormattedCitation":"(Bala et al., 2014; Javed et al., 2020; Tang, 2019)"},"properties":{"noteIndex":0},"schema":"https://github.com/citation-style-language/schema/raw/master/csl-citation.json"}</w:instrText>
      </w:r>
      <w:r w:rsidRPr="00B07A9F">
        <w:rPr>
          <w:sz w:val="22"/>
          <w:szCs w:val="22"/>
        </w:rPr>
        <w:fldChar w:fldCharType="separate"/>
      </w:r>
      <w:r w:rsidRPr="00B07A9F">
        <w:rPr>
          <w:noProof/>
          <w:sz w:val="22"/>
          <w:szCs w:val="22"/>
        </w:rPr>
        <w:t>(Bala et al., 2014; Javed et al., 2020; Tang, 2019)</w:t>
      </w:r>
      <w:r w:rsidRPr="00B07A9F">
        <w:rPr>
          <w:sz w:val="22"/>
          <w:szCs w:val="22"/>
        </w:rPr>
        <w:fldChar w:fldCharType="end"/>
      </w:r>
      <w:r w:rsidRPr="00B07A9F">
        <w:rPr>
          <w:sz w:val="22"/>
          <w:szCs w:val="22"/>
        </w:rPr>
        <w:t>, reducing the</w:t>
      </w:r>
      <w:r w:rsidR="00493640" w:rsidRPr="00B07A9F">
        <w:rPr>
          <w:sz w:val="22"/>
          <w:szCs w:val="22"/>
        </w:rPr>
        <w:t xml:space="preserve"> ROS and thus</w:t>
      </w:r>
      <w:r w:rsidR="006D1F7B" w:rsidRPr="00B07A9F">
        <w:rPr>
          <w:sz w:val="22"/>
          <w:szCs w:val="22"/>
        </w:rPr>
        <w:t xml:space="preserve"> the</w:t>
      </w:r>
      <w:r w:rsidRPr="00B07A9F">
        <w:rPr>
          <w:sz w:val="22"/>
          <w:szCs w:val="22"/>
        </w:rPr>
        <w:t xml:space="preserve"> damage caused by hyperglycemia. Since antidiabetic phytocompounds are good antioxidants, reducers and capping agents, there is a high probability to synthesize more effective anti-diabetic </w:t>
      </w:r>
      <w:proofErr w:type="spellStart"/>
      <w:r w:rsidRPr="00B07A9F">
        <w:rPr>
          <w:sz w:val="22"/>
          <w:szCs w:val="22"/>
        </w:rPr>
        <w:t>ZnONPs</w:t>
      </w:r>
      <w:proofErr w:type="spellEnd"/>
      <w:r w:rsidRPr="00B07A9F">
        <w:rPr>
          <w:sz w:val="22"/>
          <w:szCs w:val="22"/>
        </w:rPr>
        <w:t xml:space="preserve"> by choosing plants with high contents of antioxidants, reducing and antidiabetic phytochemicals </w:t>
      </w:r>
      <w:r w:rsidRPr="00B07A9F">
        <w:rPr>
          <w:sz w:val="22"/>
          <w:szCs w:val="22"/>
        </w:rPr>
        <w:fldChar w:fldCharType="begin" w:fldLock="1"/>
      </w:r>
      <w:r w:rsidR="006D1F7B" w:rsidRPr="00B07A9F">
        <w:rPr>
          <w:sz w:val="22"/>
          <w:szCs w:val="22"/>
        </w:rPr>
        <w:instrText>ADDIN CSL_CITATION {"citationItems":[{"id":"ITEM-1","itemData":{"DOI":"10.1016/j.jphotobiol.2018.04.036","ISSN":"18732682","PMID":"29727834","abstract":"In the age of technology, nanoparticles have proven to be one of the essential needs for development. These nanoparticles have the potential to be used for a wide variety of applications, thereby, development in improving the quality of nanoparticles, to make them more application specific, is still under research. In this regard, an important point to note is that the procedures employed in synthesizing nanoparticles require to be cost-effective and less-steps involved and have an additional advantage, i.e. they should be eco-friendly. This means that the synthesis procedure needs avoiding the use of harmful chemicals, and negligible generation of any noxious by-products. The green synthesis (biosynthesis) method employs simple procedures, easily available raw materials and ambiance for the synthesis process, where the precursors used are safe, with minute possibility for the production of harmful by-products. Considering these advantages, the current review includes a brief description on the various chemical and physical synthesis method of zinc oxide (ZnO) nanoparticles with emphasis on the biosynthesis of ZnO nanoparticles using plant extracts (and briefly microbes), the phytochemicals present in the plant extracts, the plausible mechanisms involved in the formation of ZnO nanoparticles and applications of the as-synthesized ZnO nanoparticles as photocatalysts and microbial inhibitors.","author":[{"dropping-particle":"","family":"Basnet","given":"Parita","non-dropping-particle":"","parse-names":false,"suffix":""},{"dropping-particle":"","family":"Inakhunbi Chanu","given":"T.","non-dropping-particle":"","parse-names":false,"suffix":""},{"dropping-particle":"","family":"Samanta","given":"Dhrubajyoti","non-dropping-particle":"","parse-names":false,"suffix":""},{"dropping-particle":"","family":"Chatterjee","given":"Somenath","non-dropping-particle":"","parse-names":false,"suffix":""}],"container-title":"Journal of Photochemistry and Photobiology B: Biology","id":"ITEM-1","issue":"April","issued":{"date-parts":[["2018"]]},"page":"201-221","publisher":"Elsevier","title":"A review on bio-synthesized zinc oxide nanoparticles using plant extracts as reductants and stabilizing agents","type":"article-journal","volume":"183"},"uris":["http://www.mendeley.com/documents/?uuid=6d068166-bf3f-4fe7-b512-e682362e3038"]}],"mendeley":{"formattedCitation":"(Basnet et al., 2018)","plainTextFormattedCitation":"(Basnet et al., 2018)","previouslyFormattedCitation":"(Basnet et al., 2018)"},"properties":{"noteIndex":0},"schema":"https://github.com/citation-style-language/schema/raw/master/csl-citation.json"}</w:instrText>
      </w:r>
      <w:r w:rsidRPr="00B07A9F">
        <w:rPr>
          <w:sz w:val="22"/>
          <w:szCs w:val="22"/>
        </w:rPr>
        <w:fldChar w:fldCharType="separate"/>
      </w:r>
      <w:r w:rsidR="00012964" w:rsidRPr="00B07A9F">
        <w:rPr>
          <w:noProof/>
          <w:sz w:val="22"/>
          <w:szCs w:val="22"/>
        </w:rPr>
        <w:t>(Basnet et al., 2018)</w:t>
      </w:r>
      <w:r w:rsidRPr="00B07A9F">
        <w:rPr>
          <w:sz w:val="22"/>
          <w:szCs w:val="22"/>
        </w:rPr>
        <w:fldChar w:fldCharType="end"/>
      </w:r>
      <w:r w:rsidRPr="00B07A9F">
        <w:rPr>
          <w:sz w:val="22"/>
          <w:szCs w:val="22"/>
        </w:rPr>
        <w:t xml:space="preserve">. However, the preparation procedure using plant extracts sometimes requires heating at high temperatures, the addition of suspending agents or pH variations, compromising the integrity of the phytocompounds </w:t>
      </w:r>
      <w:r w:rsidRPr="00B07A9F">
        <w:rPr>
          <w:sz w:val="22"/>
          <w:szCs w:val="22"/>
        </w:rPr>
        <w:fldChar w:fldCharType="begin" w:fldLock="1"/>
      </w:r>
      <w:r w:rsidRPr="00B07A9F">
        <w:rPr>
          <w:sz w:val="22"/>
          <w:szCs w:val="22"/>
        </w:rPr>
        <w:instrText>ADDIN CSL_CITATION {"citationItems":[{"id":"ITEM-1","itemData":{"DOI":"10.1039/C4RA12784F","author":[{"dropping-particle":"","family":"Bala","given":"Niranjan","non-dropping-particle":"","parse-names":false,"suffix":""},{"dropping-particle":"","family":"Saha","given":"S","non-dropping-particle":"","parse-names":false,"suffix":""},{"dropping-particle":"","family":"Chakraborty","given":"M","non-dropping-particle":"","parse-names":false,"suffix":""},{"dropping-particle":"","family":"Maiti","given":"M","non-dropping-particle":"","parse-names":false,"suffix":""},{"dropping-particle":"","family":"Das","given":"S","non-dropping-particle":"","parse-names":false,"suffix":""},{"dropping-particle":"","family":"Basu","given":"R","non-dropping-particle":"","parse-names":false,"suffix":""},{"dropping-particle":"","family":"Nandy","given":"P","non-dropping-particle":"","parse-names":false,"suffix":""}],"container-title":"RSC Advances","id":"ITEM-1","issued":{"date-parts":[["2014"]]},"page":"4993-5003","publisher":"Royal Society of Chemistry","title":"RSC Advances Green synthesis of zinc oxide nanoparticles using Hibiscus subdari ff a leaf extract : e ff ect of","type":"article-journal","volume":"5"},"uris":["http://www.mendeley.com/documents/?uuid=a2fe6a59-c3a5-43c4-9f97-f85699b4e9dc"]},{"id":"ITEM-2","itemData":{"DOI":"10.1016/j.jece.2021.106659","ISSN":"22133437","abstract":"In this study, zinc oxide nanoparticles (ZnO NPs) were synthesized using leaf extract of Cinnamomum camphora (L.) Presl and zinc acetate. Its antifungal activity was evaluated against Alternaria alternata which caused early blight disease in Solanum lycopersicum. The results showed that the size of the synthesized ZnO NPs obviously depended on the pH during the reaction. The peak of the UV–Vis spectra was at 368–374 nm, which confirmed the synthesis of ZnO NPs. SEM showed that the synthesized ZnO NPs agglomerated into spherical particles. TEM reveled that the average particle sizes of ZnO NPs synthesized at pH 7, pH 8 and pH 9 were about 13.92, 15.19 and 21.13 nm, respectively. Furthermore, ZnO NPs treatments at 20–160 mg/L could significantly inhibit the mycelia growth of A. alternata, and ZnO NPs synthesized at pH 7 showed the best antifungal effect with MIC value recorded as 20 mg/L. Moreover, 20 mg/L ZnO NPs synthesized at pH 7 significantly limited spore germination and germ tube elongation of A. alternata. In addition, ZnO NPs induced excessive accumulation of MDA in A. alternata and caused the damage of cell membrane, leading to the leakage of protein and nucleic acid. Therefore, green synthesized ZnO NPs, as a promising biocontrol agent, could be used to control fungal diseases.","author":[{"dropping-particle":"","family":"Zhu","given":"Wenjia","non-dropping-particle":"","parse-names":false,"suffix":""},{"dropping-particle":"","family":"Hu","given":"Chunmei","non-dropping-particle":"","parse-names":false,"suffix":""},{"dropping-particle":"","family":"Ren","given":"Yanfang","non-dropping-particle":"","parse-names":false,"suffix":""},{"dropping-particle":"","family":"Lu","given":"Ying","non-dropping-particle":"","parse-names":false,"suffix":""},{"dropping-particle":"","family":"Song","given":"Yaping","non-dropping-particle":"","parse-names":false,"suffix":""},{"dropping-particle":"","family":"Ji","given":"Yu","non-dropping-particle":"","parse-names":false,"suffix":""},{"dropping-particle":"","family":"Han","given":"Chuan","non-dropping-particle":"","parse-names":false,"suffix":""},{"dropping-particle":"","family":"He","given":"Junyu","non-dropping-particle":"","parse-names":false,"suffix":""}],"container-title":"Journal of Environmental Chemical Engineering","id":"ITEM-2","issue":"6","issued":{"date-parts":[["2021"]]},"title":"Green synthesis of zinc oxide nanoparticles using Cinnamomum camphora (L.) Presl leaf extracts and its antifungal activity","type":"article-journal","volume":"9"},"uris":["http://www.mendeley.com/documents/?uuid=2715a074-7948-4a44-a2d3-dae7a032aad8"]}],"mendeley":{"formattedCitation":"(Bala et al., 2014; Zhu et al., 2021)","plainTextFormattedCitation":"(Bala et al., 2014; Zhu et al., 2021)","previouslyFormattedCitation":"(Bala et al., 2014; Zhu et al., 2021)"},"properties":{"noteIndex":0},"schema":"https://github.com/citation-style-language/schema/raw/master/csl-citation.json"}</w:instrText>
      </w:r>
      <w:r w:rsidRPr="00B07A9F">
        <w:rPr>
          <w:sz w:val="22"/>
          <w:szCs w:val="22"/>
        </w:rPr>
        <w:fldChar w:fldCharType="separate"/>
      </w:r>
      <w:r w:rsidRPr="00B07A9F">
        <w:rPr>
          <w:noProof/>
          <w:sz w:val="22"/>
          <w:szCs w:val="22"/>
        </w:rPr>
        <w:t>(Bala et al., 2014; Zhu et al., 2021)</w:t>
      </w:r>
      <w:r w:rsidRPr="00B07A9F">
        <w:rPr>
          <w:sz w:val="22"/>
          <w:szCs w:val="22"/>
        </w:rPr>
        <w:fldChar w:fldCharType="end"/>
      </w:r>
      <w:r w:rsidRPr="00B07A9F">
        <w:rPr>
          <w:sz w:val="22"/>
          <w:szCs w:val="22"/>
        </w:rPr>
        <w:t>.</w:t>
      </w:r>
      <w:r w:rsidR="005D5517" w:rsidRPr="00B07A9F">
        <w:rPr>
          <w:sz w:val="22"/>
          <w:szCs w:val="22"/>
        </w:rPr>
        <w:t xml:space="preserve"> Since previous studies have already reported that capping agents contribute to the activity and stability of synthesized nanoparticles </w:t>
      </w:r>
      <w:r w:rsidR="005D5517" w:rsidRPr="00B07A9F">
        <w:rPr>
          <w:sz w:val="22"/>
          <w:szCs w:val="22"/>
        </w:rPr>
        <w:fldChar w:fldCharType="begin" w:fldLock="1"/>
      </w:r>
      <w:r w:rsidR="007B30B3" w:rsidRPr="00B07A9F">
        <w:rPr>
          <w:sz w:val="22"/>
          <w:szCs w:val="22"/>
        </w:rPr>
        <w:instrText>ADDIN CSL_CITATION {"citationItems":[{"id":"ITEM-1","itemData":{"DOI":"10.1186/s12951-020-00704-4","ISSN":"14773155","PMID":"33225973","abstract":"Capping agents are of utmost importance as stabilizers that inhibit the over-growth of nanoparticles and prevent their aggregation/coagulation in colloidal synthesis. The capping ligands stabilize the interface where nanoparticles interact with their medium of preparation. Specific structural features of nanoparticles are attributed to capping on their surface. These stabilizing agents play a key role in altering the biological activities and environmental perspective. Stearic effects of capping agents adsorbed on the surface of nanoparticles are responsible for such changing physico-chemical and biological characteristics. Firstly, this novel review article introduces few frequently used capping agents in the fabrication of nanoparticles. Next, recent advancements in biomedicine and environmental remediation approaches of capped nanoparticles have been elaborated. Lastly, future directions of the huge impact of capping agents on the biological environment have been summarized.[Figure not available: see fulltext.].","author":[{"dropping-particle":"","family":"Javed","given":"Rabia","non-dropping-particle":"","parse-names":false,"suffix":""},{"dropping-particle":"","family":"Zia","given":"Muhammad","non-dropping-particle":"","parse-names":false,"suffix":""},{"dropping-particle":"","family":"Naz","given":"Sania","non-dropping-particle":"","parse-names":false,"suffix":""},{"dropping-particle":"","family":"Aisida","given":"Samson O.","non-dropping-particle":"","parse-names":false,"suffix":""},{"dropping-particle":"","family":"Ain","given":"Noor ul","non-dropping-particle":"","parse-names":false,"suffix":""},{"dropping-particle":"","family":"Ao","given":"Qiang","non-dropping-particle":"","parse-names":false,"suffix":""}],"container-title":"Journal of Nanobiotechnology","id":"ITEM-1","issue":"1","issued":{"date-parts":[["2020"]]},"page":"1-15","publisher":"BioMed Central","title":"Role of capping agents in the application of nanoparticles in biomedicine and environmental remediation: recent trends and future prospects","type":"article-journal","volume":"18"},"uris":["http://www.mendeley.com/documents/?uuid=12c1cf1b-72ec-481c-a98a-6fa0b187fa10"]},{"id":"ITEM-2","itemData":{"DOI":"10.2147/IJN.S122842","ISSN":"11782013","PMID":"28184158","abstract":"Due to obvious disadvantages of the classical chemical methods, green synthesis of metallic nanoparticles has attracted tremendous attention in recent years. Numerous environmentally benign synthesis methods have been developed yielding nanoparticles via low-cost, eco-friendly, and simple approaches. In this study, our aim was to determine the suitability of coffee and green tea extracts in green synthesis of silver nanoparticles as well as to compare the performance of the obtained materials in different biological systems. We successfully produced silver nanoparticles (C-AgNP and GT-AgNP) using coffee and green tea extracts; moreover, based on our comprehensive screening, we delineated major differences in the biological activity of C-AgNPs and GT-AgNPs. Our results indicate that although GT-AgNPs exhibited excellent antimicrobial activity against all the examined microbial pathogens, these particles were also highly toxic to mammalian cells, which limits their potential applications. On the contrary, C-AgNPs manifested substantial inhibitory action on the tested microbes but were nontoxic to human and mouse cells, indicating an outstanding capacity to discriminate between potential pathogens and mammalian cells. These results clearly show that the various green materials used for stabilization and for reduction of metal ions have a defining role in determining and fine-tuning the biological activity of the obtained nanoparticles.","author":[{"dropping-particle":"","family":"Rónavári","given":"Andrea","non-dropping-particle":"","parse-names":false,"suffix":""},{"dropping-particle":"","family":"Kovács","given":"Dávid","non-dropping-particle":"","parse-names":false,"suffix":""},{"dropping-particle":"","family":"Igaz","given":"Nóra","non-dropping-particle":"","parse-names":false,"suffix":""},{"dropping-particle":"","family":"Vágvölgyi","given":"Csaba","non-dropping-particle":"","parse-names":false,"suffix":""},{"dropping-particle":"","family":"Boros","given":"Imre Miklós","non-dropping-particle":"","parse-names":false,"suffix":""},{"dropping-particle":"","family":"Kónya","given":"Zoltán","non-dropping-particle":"","parse-names":false,"suffix":""},{"dropping-particle":"","family":"Pfeiffer","given":"Ilona","non-dropping-particle":"","parse-names":false,"suffix":""},{"dropping-particle":"","family":"Kiricsi","given":"Mónika","non-dropping-particle":"","parse-names":false,"suffix":""}],"container-title":"International Journal of Nanomedicine","id":"ITEM-2","issued":{"date-parts":[["2017"]]},"page":"871-883","title":"Biological activity of green-synthesized silver nanoparticles depends on the applied natural extracts: A comprehensive study","type":"article-journal","volume":"12"},"uris":["http://www.mendeley.com/documents/?uuid=0494b24e-f964-409c-a633-74ec618303d9"]}],"mendeley":{"formattedCitation":"(Javed et al., 2020; Rónavári et al., 2017)","plainTextFormattedCitation":"(Javed et al., 2020; Rónavári et al., 2017)","previouslyFormattedCitation":"(Javed et al., 2020; Rónavári et al., 2017)"},"properties":{"noteIndex":0},"schema":"https://github.com/citation-style-language/schema/raw/master/csl-citation.json"}</w:instrText>
      </w:r>
      <w:r w:rsidR="005D5517" w:rsidRPr="00B07A9F">
        <w:rPr>
          <w:sz w:val="22"/>
          <w:szCs w:val="22"/>
        </w:rPr>
        <w:fldChar w:fldCharType="separate"/>
      </w:r>
      <w:r w:rsidR="005D5517" w:rsidRPr="00B07A9F">
        <w:rPr>
          <w:noProof/>
          <w:sz w:val="22"/>
          <w:szCs w:val="22"/>
        </w:rPr>
        <w:t>(Javed et al., 2020; Rónavári et al., 2017)</w:t>
      </w:r>
      <w:r w:rsidR="005D5517" w:rsidRPr="00B07A9F">
        <w:rPr>
          <w:sz w:val="22"/>
          <w:szCs w:val="22"/>
        </w:rPr>
        <w:fldChar w:fldCharType="end"/>
      </w:r>
      <w:r w:rsidR="0025312D" w:rsidRPr="00B07A9F">
        <w:rPr>
          <w:sz w:val="22"/>
          <w:szCs w:val="22"/>
        </w:rPr>
        <w:t>,</w:t>
      </w:r>
      <w:r w:rsidR="005D5517" w:rsidRPr="00B07A9F">
        <w:rPr>
          <w:sz w:val="22"/>
          <w:szCs w:val="22"/>
        </w:rPr>
        <w:t xml:space="preserve"> the study of the presence of phytocompounds and the stability of synthesized nanoparticles is </w:t>
      </w:r>
      <w:r w:rsidR="007E1BAC" w:rsidRPr="00B07A9F">
        <w:rPr>
          <w:sz w:val="22"/>
          <w:szCs w:val="22"/>
        </w:rPr>
        <w:t xml:space="preserve">of utmost </w:t>
      </w:r>
      <w:r w:rsidR="005D5517" w:rsidRPr="00B07A9F">
        <w:rPr>
          <w:sz w:val="22"/>
          <w:szCs w:val="22"/>
        </w:rPr>
        <w:t>importan</w:t>
      </w:r>
      <w:r w:rsidR="007E1BAC" w:rsidRPr="00B07A9F">
        <w:rPr>
          <w:sz w:val="22"/>
          <w:szCs w:val="22"/>
        </w:rPr>
        <w:t>ce</w:t>
      </w:r>
      <w:r w:rsidR="00FC7C2A" w:rsidRPr="00B07A9F">
        <w:rPr>
          <w:sz w:val="22"/>
          <w:szCs w:val="22"/>
        </w:rPr>
        <w:t>.</w:t>
      </w:r>
      <w:r w:rsidRPr="00B07A9F">
        <w:rPr>
          <w:sz w:val="22"/>
          <w:szCs w:val="22"/>
        </w:rPr>
        <w:t xml:space="preserve"> We have chosen to use stem bark extracts of </w:t>
      </w:r>
      <w:r w:rsidRPr="00B07A9F">
        <w:rPr>
          <w:i/>
          <w:iCs/>
          <w:sz w:val="22"/>
          <w:szCs w:val="22"/>
        </w:rPr>
        <w:t xml:space="preserve">Panda </w:t>
      </w:r>
      <w:proofErr w:type="spellStart"/>
      <w:r w:rsidRPr="00B07A9F">
        <w:rPr>
          <w:i/>
          <w:iCs/>
          <w:sz w:val="22"/>
          <w:szCs w:val="22"/>
        </w:rPr>
        <w:t>oleosa</w:t>
      </w:r>
      <w:proofErr w:type="spellEnd"/>
      <w:r w:rsidRPr="00B07A9F">
        <w:rPr>
          <w:sz w:val="22"/>
          <w:szCs w:val="22"/>
        </w:rPr>
        <w:t xml:space="preserve"> Pierre among the potential suppliers of active capping agents due to their use in traditional Congolese medicine as an antidiabetic and antioxidant plant </w:t>
      </w:r>
      <w:r w:rsidRPr="00B07A9F">
        <w:rPr>
          <w:sz w:val="22"/>
          <w:szCs w:val="22"/>
        </w:rPr>
        <w:fldChar w:fldCharType="begin" w:fldLock="1"/>
      </w:r>
      <w:r w:rsidRPr="00B07A9F">
        <w:rPr>
          <w:sz w:val="22"/>
          <w:szCs w:val="22"/>
        </w:rPr>
        <w:instrText>ADDIN CSL_CITATION {"citationItems":[{"id":"ITEM-1","itemData":{"DOI":"10.4236/ajac.2017.89041","ISSN":"2156-8251","abstract":"Panda oleosa Pierre (POP), a tropical plant tree, has been used in traditional medicine in Kisangani city and around to treat various diseases including diabetes and HIV/AIDs. This study aims to evaluate the chemical composition of POP extracts while setting up chromatographic fingerprints for their quality control, and the anti-hyperglycemic potential of trunk bark aqueous extracts of POP. Common chemical reactions were used for identification of main secondary metabolic groups. Thin layer chromatography was used to set up several chromatographic fingerprints of water and alcoholic extracts while evaluating chemical composition. Oral glucose tolerance test served to induce hyperglycemia in a rabbit model. The extracts were given as 25 mg/kg, 50 mg/kg, and 100 mg/kg body weight, 30 minutes before loading animals with glucose 4 g/kg. Blood samples were collected at various times: just before extracts (T-30), before (T0) and after glucose load (T30, T60, T120, and T180). Blood glucose levels were measured with One Touch Glucometer. The identification tests revealed the presence of saponins (3.58%), tannins (5%); alkaloids, quinones, flavonoids, and terpenes sterols could not be formerly detected by the reagents used. Interesting chromatographic spots were observed whose behaviors are of catechic tannin proanthocyanes. The extract significantly reduced glucose levels in dose dependent manner as compared to control and glibenclamide reference groups. The average of mean percentage of reduction in glucose level at T120 with the extract 100 mg/kg was close to that of glibenclamide 0.25 mg/kg (49% and 40.2%). These findings back the traditional use of the plant to treat diabetic patients and constitute a foundation for an extensive study to find a new antidiabetic phythomedicine.","author":[{"dropping-particle":"","family":"Muhoya","given":"Frédéric Katemo","non-dropping-particle":"","parse-names":false,"suffix":""},{"dropping-particle":"","family":"Kadima","given":"Justin Ntokamunda","non-dropping-particle":"","parse-names":false,"suffix":""},{"dropping-particle":"","family":"Ranarivelo","given":"Njakarinala","non-dropping-particle":"","parse-names":false,"suffix":""},{"dropping-particle":"","family":"Frédérich","given":"Michel","non-dropping-particle":"","parse-names":false,"suffix":""},{"dropping-particle":"","family":"Hubert","given":"Philippe","non-dropping-particle":"","parse-names":false,"suffix":""},{"dropping-particle":"","family":"Djang’eing’a","given":"Roland Marini","non-dropping-particle":"","parse-names":false,"suffix":""}],"container-title":"American Journal of Analytical Chemistry","id":"ITEM-1","issue":"09","issued":{"date-parts":[["2017"]]},"page":"564-581","title":"Preliminary Phytochemical Content and Antidiabetic Potential Investigations of &amp;lt;i&amp;gt;Panda oleosa&amp;lt;/i&amp;gt; (Pierre) Used in Kisangani Areas","type":"article-journal","volume":"08"},"uris":["http://www.mendeley.com/documents/?uuid=ee8f5ebe-eb91-4482-95bb-1303806d5814"]},{"id":"ITEM-2","itemData":{"author":[{"dropping-particle":"","family":"Katemo","given":"Frederic M","non-dropping-particle":"","parse-names":false,"suffix":""},{"dropping-particle":"","family":"Kadima","given":"Justin N","non-dropping-particle":"","parse-names":false,"suffix":""},{"dropping-particle":"","family":"Marini","given":"Roland D","non-dropping-particle":"","parse-names":false,"suffix":""}],"container-title":"International Journal of Pharmacy and Pharmaceutical Research","id":"ITEM-2","issue":"2","issued":{"date-parts":[["2018"]]},"page":"38-50","title":"Determination of in vitro antioxidant activity, acute toxicity in guinea-pig and TLC-fingerprint of Panda oleosa (Pierre) bark extract used to treat diabetes in folk medicine","type":"article-journal","volume":"13"},"uris":["http://www.mendeley.com/documents/?uuid=f1e9bfa0-53e4-4be2-af37-370b05c8e3af"]}],"mendeley":{"formattedCitation":"(Katemo et al., 2018; Muhoya et al., 2017)","plainTextFormattedCitation":"(Katemo et al., 2018; Muhoya et al., 2017)","previouslyFormattedCitation":"(Katemo et al., 2018; Muhoya et al., 2017)"},"properties":{"noteIndex":0},"schema":"https://github.com/citation-style-language/schema/raw/master/csl-citation.json"}</w:instrText>
      </w:r>
      <w:r w:rsidRPr="00B07A9F">
        <w:rPr>
          <w:sz w:val="22"/>
          <w:szCs w:val="22"/>
        </w:rPr>
        <w:fldChar w:fldCharType="separate"/>
      </w:r>
      <w:r w:rsidRPr="00B07A9F">
        <w:rPr>
          <w:noProof/>
          <w:sz w:val="22"/>
          <w:szCs w:val="22"/>
        </w:rPr>
        <w:t>(Katemo et al., 2018; Muhoya et al., 2017)</w:t>
      </w:r>
      <w:r w:rsidRPr="00B07A9F">
        <w:rPr>
          <w:sz w:val="22"/>
          <w:szCs w:val="22"/>
        </w:rPr>
        <w:fldChar w:fldCharType="end"/>
      </w:r>
      <w:r w:rsidR="00C2502A" w:rsidRPr="00B07A9F">
        <w:rPr>
          <w:sz w:val="22"/>
          <w:szCs w:val="22"/>
        </w:rPr>
        <w:t>.</w:t>
      </w:r>
      <w:r w:rsidR="000660CE" w:rsidRPr="00B07A9F">
        <w:rPr>
          <w:sz w:val="22"/>
          <w:szCs w:val="22"/>
        </w:rPr>
        <w:t xml:space="preserve"> Their antioxidant effec</w:t>
      </w:r>
      <w:r w:rsidR="0089363D" w:rsidRPr="00B07A9F">
        <w:rPr>
          <w:sz w:val="22"/>
          <w:szCs w:val="22"/>
        </w:rPr>
        <w:t>t</w:t>
      </w:r>
      <w:r w:rsidRPr="00B07A9F">
        <w:rPr>
          <w:sz w:val="22"/>
          <w:szCs w:val="22"/>
        </w:rPr>
        <w:t xml:space="preserve"> </w:t>
      </w:r>
      <w:r w:rsidR="000660CE" w:rsidRPr="00B07A9F">
        <w:rPr>
          <w:sz w:val="22"/>
          <w:szCs w:val="22"/>
        </w:rPr>
        <w:t>was</w:t>
      </w:r>
      <w:r w:rsidRPr="00B07A9F">
        <w:rPr>
          <w:sz w:val="22"/>
          <w:szCs w:val="22"/>
        </w:rPr>
        <w:t xml:space="preserve"> </w:t>
      </w:r>
      <w:r w:rsidR="007E1BAC" w:rsidRPr="00B07A9F">
        <w:rPr>
          <w:sz w:val="22"/>
          <w:szCs w:val="22"/>
        </w:rPr>
        <w:t xml:space="preserve">also </w:t>
      </w:r>
      <w:r w:rsidRPr="00B07A9F">
        <w:rPr>
          <w:sz w:val="22"/>
          <w:szCs w:val="22"/>
        </w:rPr>
        <w:t>evaluated. To our knowledge, this represents the first attempt to prepare metallic nanoparticles using this plant extract. We hypothesized that the synthesis procedure</w:t>
      </w:r>
      <w:r w:rsidR="00B23F42" w:rsidRPr="00B07A9F">
        <w:rPr>
          <w:sz w:val="22"/>
          <w:szCs w:val="22"/>
        </w:rPr>
        <w:t xml:space="preserve"> (the use of different suspending agents)</w:t>
      </w:r>
      <w:r w:rsidRPr="00B07A9F">
        <w:rPr>
          <w:sz w:val="22"/>
          <w:szCs w:val="22"/>
        </w:rPr>
        <w:t xml:space="preserve"> could affect the product obtained, and to our knowledge, the quantification of capped phytochemicals and the study of the stability of green synthesized zinc oxide nanoparticles in biomimetic media has not yet been performed. This work compared </w:t>
      </w:r>
      <w:proofErr w:type="spellStart"/>
      <w:r w:rsidRPr="00B07A9F">
        <w:rPr>
          <w:sz w:val="22"/>
          <w:szCs w:val="22"/>
        </w:rPr>
        <w:t>ZnONPs</w:t>
      </w:r>
      <w:proofErr w:type="spellEnd"/>
      <w:r w:rsidRPr="00B07A9F">
        <w:rPr>
          <w:sz w:val="22"/>
          <w:szCs w:val="22"/>
        </w:rPr>
        <w:t xml:space="preserve"> prepared via “green” pathways to the plant extract </w:t>
      </w:r>
      <w:r w:rsidRPr="00B07A9F">
        <w:rPr>
          <w:i/>
          <w:iCs/>
          <w:sz w:val="22"/>
          <w:szCs w:val="22"/>
        </w:rPr>
        <w:t>per se</w:t>
      </w:r>
      <w:r w:rsidRPr="00B07A9F">
        <w:rPr>
          <w:sz w:val="22"/>
          <w:szCs w:val="22"/>
        </w:rPr>
        <w:t xml:space="preserve"> by evaluating their hypoglycemic potential.</w:t>
      </w:r>
      <w:bookmarkEnd w:id="3"/>
    </w:p>
    <w:p w14:paraId="3A35C12A" w14:textId="77777777" w:rsidR="00981F50" w:rsidRPr="00B07A9F" w:rsidRDefault="00981F50" w:rsidP="00340920">
      <w:pPr>
        <w:pStyle w:val="Heading1"/>
        <w:numPr>
          <w:ilvl w:val="0"/>
          <w:numId w:val="34"/>
        </w:numPr>
        <w:spacing w:before="240" w:after="120"/>
        <w:rPr>
          <w:rFonts w:ascii="Times New Roman" w:hAnsi="Times New Roman"/>
          <w:sz w:val="22"/>
          <w:szCs w:val="22"/>
        </w:rPr>
      </w:pPr>
      <w:bookmarkStart w:id="6" w:name="_Hlk115643789"/>
      <w:bookmarkEnd w:id="4"/>
      <w:r w:rsidRPr="00B07A9F">
        <w:rPr>
          <w:rFonts w:ascii="Times New Roman" w:hAnsi="Times New Roman"/>
          <w:sz w:val="22"/>
          <w:szCs w:val="22"/>
        </w:rPr>
        <w:t>Materials and methods</w:t>
      </w:r>
    </w:p>
    <w:p w14:paraId="3B404013" w14:textId="77777777" w:rsidR="00981F50" w:rsidRPr="00B07A9F" w:rsidRDefault="00981F50" w:rsidP="00340920">
      <w:pPr>
        <w:pStyle w:val="Heading2"/>
        <w:numPr>
          <w:ilvl w:val="1"/>
          <w:numId w:val="34"/>
        </w:numPr>
        <w:spacing w:before="240" w:after="120"/>
        <w:rPr>
          <w:rFonts w:ascii="Times New Roman" w:hAnsi="Times New Roman"/>
          <w:sz w:val="22"/>
          <w:szCs w:val="22"/>
        </w:rPr>
      </w:pPr>
      <w:r w:rsidRPr="00B07A9F">
        <w:rPr>
          <w:rFonts w:ascii="Times New Roman" w:hAnsi="Times New Roman"/>
          <w:sz w:val="22"/>
          <w:szCs w:val="22"/>
        </w:rPr>
        <w:t>Materials</w:t>
      </w:r>
    </w:p>
    <w:p w14:paraId="2AE6EE3F" w14:textId="77777777" w:rsidR="00981F50" w:rsidRPr="00B07A9F" w:rsidRDefault="00981F50" w:rsidP="00340920">
      <w:pPr>
        <w:pStyle w:val="Heading3"/>
        <w:spacing w:before="240"/>
        <w:rPr>
          <w:rFonts w:ascii="Times New Roman" w:hAnsi="Times New Roman"/>
          <w:sz w:val="22"/>
          <w:szCs w:val="22"/>
        </w:rPr>
      </w:pPr>
      <w:r w:rsidRPr="00B07A9F">
        <w:rPr>
          <w:rFonts w:ascii="Times New Roman" w:hAnsi="Times New Roman"/>
          <w:sz w:val="22"/>
          <w:szCs w:val="22"/>
        </w:rPr>
        <w:t>Plants:</w:t>
      </w:r>
    </w:p>
    <w:p w14:paraId="784EBC74" w14:textId="6C5833BD" w:rsidR="00981F50" w:rsidRPr="00B07A9F" w:rsidRDefault="00981F50" w:rsidP="00340920">
      <w:pPr>
        <w:rPr>
          <w:sz w:val="22"/>
          <w:szCs w:val="22"/>
        </w:rPr>
      </w:pPr>
      <w:bookmarkStart w:id="7" w:name="_Hlk117265713"/>
      <w:r w:rsidRPr="00B07A9F">
        <w:rPr>
          <w:sz w:val="22"/>
          <w:szCs w:val="22"/>
        </w:rPr>
        <w:t xml:space="preserve">Herbal material from antidiabetic medicinal plants was used in this study. The leaves of </w:t>
      </w:r>
      <w:proofErr w:type="spellStart"/>
      <w:r w:rsidRPr="00B07A9F">
        <w:rPr>
          <w:i/>
          <w:sz w:val="22"/>
          <w:szCs w:val="22"/>
        </w:rPr>
        <w:t>Azadirachta</w:t>
      </w:r>
      <w:proofErr w:type="spellEnd"/>
      <w:r w:rsidRPr="00B07A9F">
        <w:rPr>
          <w:i/>
          <w:sz w:val="22"/>
          <w:szCs w:val="22"/>
        </w:rPr>
        <w:t xml:space="preserve"> indica</w:t>
      </w:r>
      <w:r w:rsidRPr="00B07A9F">
        <w:rPr>
          <w:sz w:val="22"/>
          <w:szCs w:val="22"/>
        </w:rPr>
        <w:t xml:space="preserve"> A </w:t>
      </w:r>
      <w:proofErr w:type="spellStart"/>
      <w:r w:rsidRPr="00B07A9F">
        <w:rPr>
          <w:sz w:val="22"/>
          <w:szCs w:val="22"/>
        </w:rPr>
        <w:t>Juuss</w:t>
      </w:r>
      <w:proofErr w:type="spellEnd"/>
      <w:r w:rsidRPr="00B07A9F">
        <w:rPr>
          <w:sz w:val="22"/>
          <w:szCs w:val="22"/>
        </w:rPr>
        <w:t xml:space="preserve"> were harvested in August 2020 in Maluku Township (Kinshasa, DR Congo). The leaves of </w:t>
      </w:r>
      <w:r w:rsidRPr="00B07A9F">
        <w:rPr>
          <w:i/>
          <w:sz w:val="22"/>
          <w:szCs w:val="22"/>
        </w:rPr>
        <w:t>Moringa oleifera</w:t>
      </w:r>
      <w:r w:rsidRPr="00B07A9F">
        <w:rPr>
          <w:sz w:val="22"/>
          <w:szCs w:val="22"/>
        </w:rPr>
        <w:t xml:space="preserve"> Lam and </w:t>
      </w:r>
      <w:r w:rsidRPr="00B07A9F">
        <w:rPr>
          <w:i/>
          <w:sz w:val="22"/>
          <w:szCs w:val="22"/>
        </w:rPr>
        <w:t>Vernonia amygdalina</w:t>
      </w:r>
      <w:r w:rsidRPr="00B07A9F">
        <w:rPr>
          <w:sz w:val="22"/>
          <w:szCs w:val="22"/>
        </w:rPr>
        <w:t xml:space="preserve"> (</w:t>
      </w:r>
      <w:proofErr w:type="spellStart"/>
      <w:r w:rsidRPr="00B07A9F">
        <w:rPr>
          <w:i/>
          <w:sz w:val="22"/>
          <w:szCs w:val="22"/>
        </w:rPr>
        <w:t>Gymnathemum</w:t>
      </w:r>
      <w:proofErr w:type="spellEnd"/>
      <w:r w:rsidRPr="00B07A9F">
        <w:rPr>
          <w:i/>
          <w:sz w:val="22"/>
          <w:szCs w:val="22"/>
        </w:rPr>
        <w:t xml:space="preserve"> </w:t>
      </w:r>
      <w:proofErr w:type="spellStart"/>
      <w:r w:rsidRPr="00B07A9F">
        <w:rPr>
          <w:i/>
          <w:sz w:val="22"/>
          <w:szCs w:val="22"/>
        </w:rPr>
        <w:t>amygdalinum</w:t>
      </w:r>
      <w:proofErr w:type="spellEnd"/>
      <w:r w:rsidRPr="00B07A9F">
        <w:rPr>
          <w:sz w:val="22"/>
          <w:szCs w:val="22"/>
        </w:rPr>
        <w:t xml:space="preserve"> (</w:t>
      </w:r>
      <w:proofErr w:type="spellStart"/>
      <w:r w:rsidRPr="00B07A9F">
        <w:rPr>
          <w:sz w:val="22"/>
          <w:szCs w:val="22"/>
        </w:rPr>
        <w:t>Delile</w:t>
      </w:r>
      <w:proofErr w:type="spellEnd"/>
      <w:r w:rsidRPr="00B07A9F">
        <w:rPr>
          <w:sz w:val="22"/>
          <w:szCs w:val="22"/>
        </w:rPr>
        <w:t xml:space="preserve">) </w:t>
      </w:r>
      <w:proofErr w:type="spellStart"/>
      <w:proofErr w:type="gramStart"/>
      <w:r w:rsidRPr="00B07A9F">
        <w:rPr>
          <w:sz w:val="22"/>
          <w:szCs w:val="22"/>
        </w:rPr>
        <w:t>Sch.Bip.exWalp</w:t>
      </w:r>
      <w:proofErr w:type="spellEnd"/>
      <w:proofErr w:type="gramEnd"/>
      <w:r w:rsidRPr="00B07A9F">
        <w:rPr>
          <w:sz w:val="22"/>
          <w:szCs w:val="22"/>
        </w:rPr>
        <w:t xml:space="preserve">) were collected in August 2020 in </w:t>
      </w:r>
      <w:proofErr w:type="spellStart"/>
      <w:r w:rsidRPr="00B07A9F">
        <w:rPr>
          <w:sz w:val="22"/>
          <w:szCs w:val="22"/>
        </w:rPr>
        <w:t>Lemba</w:t>
      </w:r>
      <w:proofErr w:type="spellEnd"/>
      <w:r w:rsidRPr="00B07A9F">
        <w:rPr>
          <w:sz w:val="22"/>
          <w:szCs w:val="22"/>
        </w:rPr>
        <w:t xml:space="preserve"> Township (Kinshasa, Democratic Republic of the Congo). The stem bark of </w:t>
      </w:r>
      <w:r w:rsidRPr="00B07A9F">
        <w:rPr>
          <w:i/>
          <w:sz w:val="22"/>
          <w:szCs w:val="22"/>
        </w:rPr>
        <w:t xml:space="preserve">Panda </w:t>
      </w:r>
      <w:proofErr w:type="spellStart"/>
      <w:r w:rsidRPr="00B07A9F">
        <w:rPr>
          <w:i/>
          <w:sz w:val="22"/>
          <w:szCs w:val="22"/>
        </w:rPr>
        <w:t>oleosa</w:t>
      </w:r>
      <w:proofErr w:type="spellEnd"/>
      <w:r w:rsidRPr="00B07A9F">
        <w:rPr>
          <w:sz w:val="22"/>
          <w:szCs w:val="22"/>
        </w:rPr>
        <w:t xml:space="preserve"> Pierre was from the Masako reserve (located 15 km EAST-North from Kisangani in the DR Congo) and was collected in August 2020. Their identities were certified under references EKK002082020, EKK003082020, EKK004082020, and EKK001072020 by Mr. </w:t>
      </w:r>
      <w:proofErr w:type="spellStart"/>
      <w:r w:rsidRPr="00B07A9F">
        <w:rPr>
          <w:sz w:val="22"/>
          <w:szCs w:val="22"/>
        </w:rPr>
        <w:t>Nlandu</w:t>
      </w:r>
      <w:proofErr w:type="spellEnd"/>
      <w:r w:rsidRPr="00B07A9F">
        <w:rPr>
          <w:sz w:val="22"/>
          <w:szCs w:val="22"/>
        </w:rPr>
        <w:t xml:space="preserve"> </w:t>
      </w:r>
      <w:proofErr w:type="spellStart"/>
      <w:r w:rsidRPr="00B07A9F">
        <w:rPr>
          <w:sz w:val="22"/>
          <w:szCs w:val="22"/>
        </w:rPr>
        <w:t>Lukebiako</w:t>
      </w:r>
      <w:proofErr w:type="spellEnd"/>
      <w:r w:rsidRPr="00B07A9F">
        <w:rPr>
          <w:sz w:val="22"/>
          <w:szCs w:val="22"/>
        </w:rPr>
        <w:t xml:space="preserve">, a botanist at the </w:t>
      </w:r>
      <w:proofErr w:type="spellStart"/>
      <w:r w:rsidRPr="00B07A9F">
        <w:rPr>
          <w:sz w:val="22"/>
          <w:szCs w:val="22"/>
        </w:rPr>
        <w:t>Institut</w:t>
      </w:r>
      <w:proofErr w:type="spellEnd"/>
      <w:r w:rsidRPr="00B07A9F">
        <w:rPr>
          <w:sz w:val="22"/>
          <w:szCs w:val="22"/>
        </w:rPr>
        <w:t xml:space="preserve"> National </w:t>
      </w:r>
      <w:proofErr w:type="spellStart"/>
      <w:r w:rsidRPr="00B07A9F">
        <w:rPr>
          <w:sz w:val="22"/>
          <w:szCs w:val="22"/>
        </w:rPr>
        <w:t>d’Etudes</w:t>
      </w:r>
      <w:proofErr w:type="spellEnd"/>
      <w:r w:rsidRPr="00B07A9F">
        <w:rPr>
          <w:sz w:val="22"/>
          <w:szCs w:val="22"/>
        </w:rPr>
        <w:t xml:space="preserve"> et des </w:t>
      </w:r>
      <w:proofErr w:type="spellStart"/>
      <w:r w:rsidRPr="00B07A9F">
        <w:rPr>
          <w:sz w:val="22"/>
          <w:szCs w:val="22"/>
        </w:rPr>
        <w:t>Recherches</w:t>
      </w:r>
      <w:proofErr w:type="spellEnd"/>
      <w:r w:rsidRPr="00B07A9F">
        <w:rPr>
          <w:sz w:val="22"/>
          <w:szCs w:val="22"/>
        </w:rPr>
        <w:t xml:space="preserve"> </w:t>
      </w:r>
      <w:proofErr w:type="spellStart"/>
      <w:r w:rsidRPr="00B07A9F">
        <w:rPr>
          <w:sz w:val="22"/>
          <w:szCs w:val="22"/>
        </w:rPr>
        <w:t>en</w:t>
      </w:r>
      <w:proofErr w:type="spellEnd"/>
      <w:r w:rsidRPr="00B07A9F">
        <w:rPr>
          <w:sz w:val="22"/>
          <w:szCs w:val="22"/>
        </w:rPr>
        <w:t xml:space="preserve"> </w:t>
      </w:r>
      <w:proofErr w:type="spellStart"/>
      <w:r w:rsidRPr="00B07A9F">
        <w:rPr>
          <w:sz w:val="22"/>
          <w:szCs w:val="22"/>
        </w:rPr>
        <w:t>Agronomie</w:t>
      </w:r>
      <w:proofErr w:type="spellEnd"/>
      <w:r w:rsidRPr="00B07A9F">
        <w:rPr>
          <w:sz w:val="22"/>
          <w:szCs w:val="22"/>
        </w:rPr>
        <w:t xml:space="preserve"> (INERA) of the University of Kinshasa (DR Congo). </w:t>
      </w:r>
      <w:proofErr w:type="spellStart"/>
      <w:r w:rsidRPr="00B07A9F">
        <w:rPr>
          <w:i/>
          <w:sz w:val="22"/>
          <w:szCs w:val="22"/>
        </w:rPr>
        <w:t>Alium</w:t>
      </w:r>
      <w:proofErr w:type="spellEnd"/>
      <w:r w:rsidRPr="00B07A9F">
        <w:rPr>
          <w:i/>
          <w:sz w:val="22"/>
          <w:szCs w:val="22"/>
        </w:rPr>
        <w:t xml:space="preserve"> cepa</w:t>
      </w:r>
      <w:r w:rsidRPr="00B07A9F">
        <w:rPr>
          <w:sz w:val="22"/>
          <w:szCs w:val="22"/>
        </w:rPr>
        <w:t xml:space="preserve"> (white and red onions) was bought at the Kinshasa market in July 2020.</w:t>
      </w:r>
    </w:p>
    <w:bookmarkEnd w:id="7"/>
    <w:p w14:paraId="7FA0989C" w14:textId="77777777" w:rsidR="00981F50" w:rsidRPr="00B07A9F" w:rsidRDefault="00981F50" w:rsidP="00340920">
      <w:pPr>
        <w:pStyle w:val="Heading3"/>
        <w:spacing w:before="240"/>
        <w:rPr>
          <w:rFonts w:ascii="Times New Roman" w:hAnsi="Times New Roman"/>
          <w:sz w:val="22"/>
          <w:szCs w:val="22"/>
        </w:rPr>
      </w:pPr>
      <w:r w:rsidRPr="00B07A9F">
        <w:rPr>
          <w:rFonts w:ascii="Times New Roman" w:hAnsi="Times New Roman"/>
          <w:sz w:val="22"/>
          <w:szCs w:val="22"/>
        </w:rPr>
        <w:t>Chemicals:</w:t>
      </w:r>
    </w:p>
    <w:p w14:paraId="4F0B9D38" w14:textId="1FD7E0DA" w:rsidR="00981F50" w:rsidRPr="00B07A9F" w:rsidRDefault="00981F50" w:rsidP="00340920">
      <w:pPr>
        <w:rPr>
          <w:sz w:val="22"/>
          <w:szCs w:val="22"/>
        </w:rPr>
      </w:pPr>
      <w:bookmarkStart w:id="8" w:name="_Hlk117265945"/>
      <w:r w:rsidRPr="00B07A9F">
        <w:rPr>
          <w:sz w:val="22"/>
          <w:szCs w:val="22"/>
        </w:rPr>
        <w:t xml:space="preserve">Ethanol 99%, ascorbic acid, methanol and ethylene diamine tetra-acetic (EDTA) disodium salt 0.1 mol/L in aqueous solution were provided by VWR International (Leuven, Belgium). Dichloromethane (DCM) was obtained from Merck </w:t>
      </w:r>
      <w:proofErr w:type="spellStart"/>
      <w:r w:rsidRPr="00B07A9F">
        <w:rPr>
          <w:sz w:val="22"/>
          <w:szCs w:val="22"/>
        </w:rPr>
        <w:t>KGaA</w:t>
      </w:r>
      <w:proofErr w:type="spellEnd"/>
      <w:r w:rsidRPr="00B07A9F">
        <w:rPr>
          <w:sz w:val="22"/>
          <w:szCs w:val="22"/>
        </w:rPr>
        <w:t xml:space="preserve"> (Darmstadt, Germany). Zinc nitrate </w:t>
      </w:r>
      <w:r w:rsidRPr="00B07A9F">
        <w:rPr>
          <w:rFonts w:eastAsia="Microsoft JhengHei"/>
          <w:sz w:val="22"/>
          <w:szCs w:val="22"/>
        </w:rPr>
        <w:t>hexahydrate (</w:t>
      </w:r>
      <w:proofErr w:type="gramStart"/>
      <w:r w:rsidRPr="00B07A9F">
        <w:rPr>
          <w:rFonts w:eastAsia="Microsoft JhengHei"/>
          <w:sz w:val="22"/>
          <w:szCs w:val="22"/>
        </w:rPr>
        <w:t>Zn(</w:t>
      </w:r>
      <w:proofErr w:type="gramEnd"/>
      <w:r w:rsidRPr="00B07A9F">
        <w:rPr>
          <w:rFonts w:eastAsia="Microsoft JhengHei"/>
          <w:sz w:val="22"/>
          <w:szCs w:val="22"/>
        </w:rPr>
        <w:t>NO</w:t>
      </w:r>
      <w:r w:rsidRPr="00B07A9F">
        <w:rPr>
          <w:rFonts w:eastAsia="Microsoft JhengHei"/>
          <w:sz w:val="22"/>
          <w:szCs w:val="22"/>
          <w:shd w:val="clear" w:color="auto" w:fill="FFFFFF"/>
          <w:vertAlign w:val="subscript"/>
        </w:rPr>
        <w:t>3</w:t>
      </w:r>
      <w:r w:rsidRPr="00B07A9F">
        <w:rPr>
          <w:rFonts w:eastAsia="Microsoft JhengHei"/>
          <w:sz w:val="22"/>
          <w:szCs w:val="22"/>
        </w:rPr>
        <w:t>)</w:t>
      </w:r>
      <w:r w:rsidRPr="00B07A9F">
        <w:rPr>
          <w:rFonts w:eastAsia="Microsoft JhengHei"/>
          <w:sz w:val="22"/>
          <w:szCs w:val="22"/>
          <w:shd w:val="clear" w:color="auto" w:fill="FFFFFF"/>
          <w:vertAlign w:val="subscript"/>
        </w:rPr>
        <w:t>2</w:t>
      </w:r>
      <w:r w:rsidRPr="00B07A9F">
        <w:rPr>
          <w:rFonts w:ascii="Symbol" w:eastAsia="Microsoft JhengHei" w:hAnsi="Symbol"/>
          <w:sz w:val="22"/>
          <w:szCs w:val="22"/>
        </w:rPr>
        <w:sym w:font="Symbol" w:char="F0D7"/>
      </w:r>
      <w:r w:rsidRPr="00B07A9F">
        <w:rPr>
          <w:rFonts w:eastAsia="Microsoft JhengHei"/>
          <w:sz w:val="22"/>
          <w:szCs w:val="22"/>
        </w:rPr>
        <w:t>6H</w:t>
      </w:r>
      <w:r w:rsidRPr="00B07A9F">
        <w:rPr>
          <w:rFonts w:eastAsia="Microsoft JhengHei"/>
          <w:sz w:val="22"/>
          <w:szCs w:val="22"/>
          <w:shd w:val="clear" w:color="auto" w:fill="FFFFFF"/>
          <w:vertAlign w:val="subscript"/>
        </w:rPr>
        <w:t>2</w:t>
      </w:r>
      <w:r w:rsidRPr="00B07A9F">
        <w:rPr>
          <w:rFonts w:eastAsia="Microsoft JhengHei"/>
          <w:sz w:val="22"/>
          <w:szCs w:val="22"/>
        </w:rPr>
        <w:t>O), Tween</w:t>
      </w:r>
      <w:r w:rsidRPr="00B07A9F">
        <w:rPr>
          <w:rFonts w:ascii="Symbol" w:eastAsia="Microsoft JhengHei" w:hAnsi="Symbol"/>
          <w:sz w:val="22"/>
          <w:szCs w:val="22"/>
          <w:vertAlign w:val="superscript"/>
        </w:rPr>
        <w:sym w:font="Symbol" w:char="F0E2"/>
      </w:r>
      <w:r w:rsidRPr="00B07A9F">
        <w:rPr>
          <w:rFonts w:eastAsia="Microsoft JhengHei"/>
          <w:sz w:val="22"/>
          <w:szCs w:val="22"/>
        </w:rPr>
        <w:t xml:space="preserve"> 80 (polysorbate 80), sodium hydroxide, 2,2-diphenyl-1-picrylhydrazyl (DPPH), pyrogallol and hexamethylenetetramine were purchased from Sigma−Aldrich (St. Louis, MO, USA). Gum </w:t>
      </w:r>
      <w:proofErr w:type="spellStart"/>
      <w:r w:rsidRPr="00B07A9F">
        <w:rPr>
          <w:rFonts w:eastAsia="Microsoft JhengHei"/>
          <w:sz w:val="22"/>
          <w:szCs w:val="22"/>
        </w:rPr>
        <w:t>arabic</w:t>
      </w:r>
      <w:proofErr w:type="spellEnd"/>
      <w:r w:rsidRPr="00B07A9F">
        <w:rPr>
          <w:rFonts w:eastAsia="Microsoft JhengHei"/>
          <w:sz w:val="22"/>
          <w:szCs w:val="22"/>
        </w:rPr>
        <w:t xml:space="preserve"> and sodium carbonate were supplied by </w:t>
      </w:r>
      <w:proofErr w:type="spellStart"/>
      <w:r w:rsidRPr="00B07A9F">
        <w:rPr>
          <w:rFonts w:eastAsia="Microsoft JhengHei"/>
          <w:sz w:val="22"/>
          <w:szCs w:val="22"/>
        </w:rPr>
        <w:t>Acros</w:t>
      </w:r>
      <w:proofErr w:type="spellEnd"/>
      <w:r w:rsidRPr="00B07A9F">
        <w:rPr>
          <w:rFonts w:eastAsia="Microsoft JhengHei"/>
          <w:sz w:val="22"/>
          <w:szCs w:val="22"/>
        </w:rPr>
        <w:t xml:space="preserve"> Organics, Belgium. Acetic acid was purchased from Carl Roth GmbH (Germany).</w:t>
      </w:r>
      <w:r w:rsidRPr="00B07A9F">
        <w:rPr>
          <w:sz w:val="22"/>
          <w:szCs w:val="22"/>
        </w:rPr>
        <w:t xml:space="preserve"> </w:t>
      </w:r>
      <w:r w:rsidRPr="00B07A9F">
        <w:rPr>
          <w:rFonts w:eastAsia="Microsoft JhengHei"/>
          <w:sz w:val="22"/>
          <w:szCs w:val="22"/>
        </w:rPr>
        <w:t>Any other chemicals were of analytic grade.</w:t>
      </w:r>
    </w:p>
    <w:bookmarkEnd w:id="8"/>
    <w:p w14:paraId="0B9B53A0" w14:textId="77777777" w:rsidR="00981F50" w:rsidRPr="00B07A9F" w:rsidRDefault="00981F50" w:rsidP="00340920">
      <w:pPr>
        <w:pStyle w:val="Heading2"/>
        <w:numPr>
          <w:ilvl w:val="1"/>
          <w:numId w:val="34"/>
        </w:numPr>
        <w:spacing w:before="240" w:after="120"/>
        <w:rPr>
          <w:rFonts w:ascii="Times New Roman" w:hAnsi="Times New Roman"/>
          <w:sz w:val="22"/>
          <w:szCs w:val="22"/>
        </w:rPr>
      </w:pPr>
      <w:r w:rsidRPr="00B07A9F">
        <w:rPr>
          <w:rFonts w:ascii="Times New Roman" w:hAnsi="Times New Roman"/>
          <w:sz w:val="22"/>
          <w:szCs w:val="22"/>
        </w:rPr>
        <w:lastRenderedPageBreak/>
        <w:t>Preparation of plant extracts</w:t>
      </w:r>
    </w:p>
    <w:p w14:paraId="60E3D247" w14:textId="3A3DED23" w:rsidR="00981F50" w:rsidRPr="00B07A9F" w:rsidRDefault="00981F50" w:rsidP="00340920">
      <w:pPr>
        <w:spacing w:before="240"/>
        <w:rPr>
          <w:sz w:val="22"/>
          <w:szCs w:val="22"/>
        </w:rPr>
      </w:pPr>
      <w:r w:rsidRPr="00B07A9F">
        <w:rPr>
          <w:sz w:val="22"/>
          <w:szCs w:val="22"/>
        </w:rPr>
        <w:t xml:space="preserve">The leaves and stem bark of collected plants were air-dried over one week at room temperature in the dark and then stored away from moisture. Before use, all the dried plant materials were ground using a lab grinder and sieved using a sieve with a pore size ≤ 710 µm to obtain a uniform size range. The bulbs of </w:t>
      </w:r>
      <w:proofErr w:type="spellStart"/>
      <w:r w:rsidRPr="00B07A9F">
        <w:rPr>
          <w:i/>
          <w:sz w:val="22"/>
          <w:szCs w:val="22"/>
        </w:rPr>
        <w:t>Alium</w:t>
      </w:r>
      <w:proofErr w:type="spellEnd"/>
      <w:r w:rsidRPr="00B07A9F">
        <w:rPr>
          <w:i/>
          <w:sz w:val="22"/>
          <w:szCs w:val="22"/>
        </w:rPr>
        <w:t xml:space="preserve"> cepa</w:t>
      </w:r>
      <w:r w:rsidRPr="00B07A9F">
        <w:rPr>
          <w:sz w:val="22"/>
          <w:szCs w:val="22"/>
        </w:rPr>
        <w:t xml:space="preserve"> were crushed using a blender just before use.</w:t>
      </w:r>
    </w:p>
    <w:p w14:paraId="1F06CDA1" w14:textId="2B809AEA" w:rsidR="00981F50" w:rsidRPr="00B07A9F" w:rsidRDefault="00981F50" w:rsidP="00340920">
      <w:pPr>
        <w:spacing w:before="240"/>
        <w:rPr>
          <w:sz w:val="22"/>
          <w:szCs w:val="22"/>
        </w:rPr>
      </w:pPr>
      <w:r w:rsidRPr="00B07A9F">
        <w:rPr>
          <w:sz w:val="22"/>
          <w:szCs w:val="22"/>
        </w:rPr>
        <w:t>The preparation of the plant extracts was performed both by decoction (with water as solvent) and by maceration (with 99% ethanol and with a solution of ethanol 99%-water in the ratio of 50:50).</w:t>
      </w:r>
    </w:p>
    <w:p w14:paraId="4568FC52" w14:textId="19BABCD1" w:rsidR="00981F50" w:rsidRPr="00B07A9F" w:rsidRDefault="00981F50" w:rsidP="00340920">
      <w:pPr>
        <w:pStyle w:val="Heading3"/>
        <w:rPr>
          <w:rFonts w:ascii="Times New Roman" w:hAnsi="Times New Roman"/>
          <w:sz w:val="22"/>
          <w:szCs w:val="22"/>
        </w:rPr>
      </w:pPr>
      <w:r w:rsidRPr="00B07A9F">
        <w:rPr>
          <w:rFonts w:ascii="Times New Roman" w:hAnsi="Times New Roman"/>
          <w:sz w:val="22"/>
          <w:szCs w:val="22"/>
        </w:rPr>
        <w:t>Decoction</w:t>
      </w:r>
    </w:p>
    <w:p w14:paraId="67A4C1FC" w14:textId="64009079" w:rsidR="00981F50" w:rsidRPr="00B07A9F" w:rsidRDefault="00981F50" w:rsidP="00340920">
      <w:pPr>
        <w:pStyle w:val="Heading3"/>
        <w:spacing w:before="0" w:after="120"/>
        <w:rPr>
          <w:rFonts w:ascii="Times New Roman" w:hAnsi="Times New Roman"/>
          <w:i w:val="0"/>
          <w:kern w:val="0"/>
          <w:sz w:val="22"/>
          <w:szCs w:val="22"/>
        </w:rPr>
      </w:pPr>
      <w:r w:rsidRPr="00B07A9F">
        <w:rPr>
          <w:rFonts w:ascii="Times New Roman" w:hAnsi="Times New Roman"/>
          <w:i w:val="0"/>
          <w:kern w:val="0"/>
          <w:sz w:val="22"/>
          <w:szCs w:val="22"/>
        </w:rPr>
        <w:t xml:space="preserve">Fifty grams of ground plant material (or 500 g of fresh onion equivalent to 50 g of dry weight) were heated in 0.5 L of deionized water at 100 °C for 15 min, cooled at room temperature and filtered through Whatman 1 filter paper (Whatman International Ltd, </w:t>
      </w:r>
      <w:proofErr w:type="spellStart"/>
      <w:r w:rsidRPr="00B07A9F">
        <w:rPr>
          <w:rFonts w:ascii="Times New Roman" w:hAnsi="Times New Roman"/>
          <w:i w:val="0"/>
          <w:kern w:val="0"/>
          <w:sz w:val="22"/>
          <w:szCs w:val="22"/>
        </w:rPr>
        <w:t>Maidstone</w:t>
      </w:r>
      <w:proofErr w:type="spellEnd"/>
      <w:r w:rsidRPr="00B07A9F">
        <w:rPr>
          <w:rFonts w:ascii="Times New Roman" w:hAnsi="Times New Roman"/>
          <w:i w:val="0"/>
          <w:kern w:val="0"/>
          <w:sz w:val="22"/>
          <w:szCs w:val="22"/>
        </w:rPr>
        <w:t>, UK). The filtrates were frozen and freeze-dried for 48 h.</w:t>
      </w:r>
    </w:p>
    <w:p w14:paraId="36B2C57A" w14:textId="77777777" w:rsidR="00981F50" w:rsidRPr="00B07A9F" w:rsidRDefault="00981F50" w:rsidP="00340920">
      <w:pPr>
        <w:pStyle w:val="Heading3"/>
        <w:spacing w:before="0"/>
        <w:rPr>
          <w:rFonts w:ascii="Times New Roman" w:hAnsi="Times New Roman"/>
          <w:sz w:val="22"/>
          <w:szCs w:val="22"/>
        </w:rPr>
      </w:pPr>
      <w:r w:rsidRPr="00B07A9F">
        <w:rPr>
          <w:rFonts w:ascii="Times New Roman" w:hAnsi="Times New Roman"/>
          <w:sz w:val="22"/>
          <w:szCs w:val="22"/>
        </w:rPr>
        <w:t>Maceration:</w:t>
      </w:r>
    </w:p>
    <w:p w14:paraId="034EA680" w14:textId="642092AD" w:rsidR="00981F50" w:rsidRPr="00B07A9F" w:rsidRDefault="00981F50" w:rsidP="00340920">
      <w:pPr>
        <w:rPr>
          <w:sz w:val="22"/>
          <w:szCs w:val="22"/>
        </w:rPr>
      </w:pPr>
      <w:r w:rsidRPr="00B07A9F">
        <w:rPr>
          <w:sz w:val="22"/>
          <w:szCs w:val="22"/>
        </w:rPr>
        <w:t>(</w:t>
      </w:r>
      <w:proofErr w:type="spellStart"/>
      <w:r w:rsidRPr="00B07A9F">
        <w:rPr>
          <w:sz w:val="22"/>
          <w:szCs w:val="22"/>
        </w:rPr>
        <w:t>i</w:t>
      </w:r>
      <w:proofErr w:type="spellEnd"/>
      <w:r w:rsidRPr="00B07A9F">
        <w:rPr>
          <w:sz w:val="22"/>
          <w:szCs w:val="22"/>
        </w:rPr>
        <w:t>). Fifty grams of ground plant (or 500 g of fresh onion equivalent to 50 g of dry weight) were macerated under agitation for 24 h with 500 mL of ethanol 99% and then filtered with Whatman 1 filter paper. After filtration, the residues were recovered and macerated again in 300 mL of solvent for 24 h. Then, they were filtered and macerated once again for 24 h in 300 mL of solvent. The filtrates were combined, and ethanol was evaporated first with a rotavapor and then under a laminar flow hood for 48 h.</w:t>
      </w:r>
    </w:p>
    <w:p w14:paraId="7B56336B" w14:textId="72863943" w:rsidR="00981F50" w:rsidRPr="00B07A9F" w:rsidRDefault="00981F50" w:rsidP="00340920">
      <w:pPr>
        <w:rPr>
          <w:sz w:val="22"/>
          <w:szCs w:val="22"/>
        </w:rPr>
      </w:pPr>
      <w:r w:rsidRPr="00B07A9F">
        <w:rPr>
          <w:sz w:val="22"/>
          <w:szCs w:val="22"/>
        </w:rPr>
        <w:t>(ii). By using a mixture of ethanol 99% and water in a ratio of 50:50, 50 g of ground plant (or the equivalent of fresh onion) was macerated under agitation for 24 h with 500 mL of ethanol 99</w:t>
      </w:r>
      <w:proofErr w:type="gramStart"/>
      <w:r w:rsidRPr="00B07A9F">
        <w:rPr>
          <w:sz w:val="22"/>
          <w:szCs w:val="22"/>
        </w:rPr>
        <w:t>%:water</w:t>
      </w:r>
      <w:proofErr w:type="gramEnd"/>
      <w:r w:rsidRPr="00B07A9F">
        <w:rPr>
          <w:sz w:val="22"/>
          <w:szCs w:val="22"/>
        </w:rPr>
        <w:t xml:space="preserve"> (50:50) and then filtered with Whatman 1 filter paper. After filtration, the residues were recovered and macerated again in 300 mL of solvent for 24 h and then filtered and macerated once again for 24 h in 300 mL of solvent. The filtrates were combined, and ethanol was first evaporated on a rotavapor. The filtrates were then frozen and freeze-dried for 48 h.</w:t>
      </w:r>
    </w:p>
    <w:p w14:paraId="34FF958C" w14:textId="77777777" w:rsidR="00981F50" w:rsidRPr="00B07A9F" w:rsidRDefault="00981F50" w:rsidP="00340920">
      <w:pPr>
        <w:pStyle w:val="Heading2"/>
        <w:numPr>
          <w:ilvl w:val="1"/>
          <w:numId w:val="34"/>
        </w:numPr>
        <w:spacing w:before="240" w:after="120"/>
        <w:rPr>
          <w:rFonts w:ascii="Times New Roman" w:hAnsi="Times New Roman"/>
          <w:sz w:val="22"/>
          <w:szCs w:val="22"/>
        </w:rPr>
      </w:pPr>
      <w:r w:rsidRPr="00B07A9F">
        <w:rPr>
          <w:rFonts w:ascii="Times New Roman" w:hAnsi="Times New Roman"/>
          <w:sz w:val="22"/>
          <w:szCs w:val="22"/>
        </w:rPr>
        <w:t>Selection of the plant extract</w:t>
      </w:r>
    </w:p>
    <w:p w14:paraId="4C18E836" w14:textId="492F9BAE" w:rsidR="00981F50" w:rsidRPr="00B07A9F" w:rsidRDefault="00981F50" w:rsidP="00340920">
      <w:pPr>
        <w:spacing w:before="240"/>
        <w:rPr>
          <w:sz w:val="22"/>
          <w:szCs w:val="22"/>
        </w:rPr>
      </w:pPr>
      <w:r w:rsidRPr="00B07A9F">
        <w:rPr>
          <w:sz w:val="22"/>
          <w:szCs w:val="22"/>
        </w:rPr>
        <w:t xml:space="preserve">To select the plant extract for the synthesis of nanoparticles coated with radical scavenging compounds, the antioxidant activity of each extract was evaluated by analyzing their DPPH scavenging effect (% reduction) following the method used by </w:t>
      </w:r>
      <w:proofErr w:type="spellStart"/>
      <w:r w:rsidRPr="00B07A9F">
        <w:rPr>
          <w:sz w:val="22"/>
          <w:szCs w:val="22"/>
        </w:rPr>
        <w:t>Tohidi</w:t>
      </w:r>
      <w:proofErr w:type="spellEnd"/>
      <w:r w:rsidRPr="00B07A9F">
        <w:rPr>
          <w:sz w:val="22"/>
          <w:szCs w:val="22"/>
        </w:rPr>
        <w:t xml:space="preserve"> et al. </w:t>
      </w:r>
      <w:r w:rsidRPr="00B07A9F">
        <w:rPr>
          <w:sz w:val="22"/>
          <w:szCs w:val="22"/>
        </w:rPr>
        <w:fldChar w:fldCharType="begin" w:fldLock="1"/>
      </w:r>
      <w:r w:rsidRPr="00B07A9F">
        <w:rPr>
          <w:sz w:val="22"/>
          <w:szCs w:val="22"/>
        </w:rPr>
        <w:instrText>ADDIN CSL_CITATION {"citationItems":[{"id":"ITEM-1","itemData":{"DOI":"10.1016/j.foodchem.2016.09.203","ISSN":"18737072","PMID":"27855883","abstract":"In this study, the essential oil (EO) composition, flavonoid and phenolic contents, and antioxidant activities of fourteen Thymus accessions belonging to ten species were evaluated. Gas chromatography–mass spectrometry (GC–MS) analysis revealed the presence of 38 compounds with the major constituents including thymol (12.4–79.74%), carvacrol (4.37–42.14%), geraniol (0.3–22.44%), and p-cymene (0.8–12.86%). Cluster analysis identified three groups of high thymol, geraniol/linalool, and high carvacrol. The highest phenolic and flavonoid contents were detected in T. daenensis-1 (70.6 mg tannic acid equivalents (TAE) g−1 DW) and T. vulgaris (8.55 mg quercetin equivalents (QE) g−1 DW), respectively. The antioxidant activities of the samples were determined using 1,1-diphenyl-2-picrylhydrazyl (DPPH) and reducing power assay. The results demonstrated that T. daenensis-3 (IC50 = 273.36), T. vulgaris (IC50 = 289.3), and T. fedtschenkoi-3 (IC50 = 339.22) possessed higher antioxidant activities than the others. Finally, the Thymus species with high bioactive compounds may be recommended for further food applications.","author":[{"dropping-particle":"","family":"Tohidi","given":"Behnaz","non-dropping-particle":"","parse-names":false,"suffix":""},{"dropping-particle":"","family":"Rahimmalek","given":"Mehdi","non-dropping-particle":"","parse-names":false,"suffix":""},{"dropping-particle":"","family":"Arzani","given":"Ahmad","non-dropping-particle":"","parse-names":false,"suffix":""}],"container-title":"Food Chemistry","id":"ITEM-1","issued":{"date-parts":[["2017"]]},"page":"153-161","publisher":"Elsevier Ltd","title":"Essential oil composition, total phenolic, flavonoid contents, and antioxidant activity of Thymus species collected from different regions of Iran","type":"article-journal","volume":"220"},"uris":["http://www.mendeley.com/documents/?uuid=02fb7e55-b732-4e84-88a1-450aad7da0b9"]}],"mendeley":{"formattedCitation":"(Tohidi et al., 2017)","plainTextFormattedCitation":"(Tohidi et al., 2017)","previouslyFormattedCitation":"(Tohidi et al., 2017)"},"properties":{"noteIndex":0},"schema":"https://github.com/citation-style-language/schema/raw/master/csl-citation.json"}</w:instrText>
      </w:r>
      <w:r w:rsidRPr="00B07A9F">
        <w:rPr>
          <w:sz w:val="22"/>
          <w:szCs w:val="22"/>
        </w:rPr>
        <w:fldChar w:fldCharType="separate"/>
      </w:r>
      <w:r w:rsidRPr="00B07A9F">
        <w:rPr>
          <w:noProof/>
          <w:sz w:val="22"/>
          <w:szCs w:val="22"/>
        </w:rPr>
        <w:t>(Tohidi et al., 2017)</w:t>
      </w:r>
      <w:r w:rsidRPr="00B07A9F">
        <w:rPr>
          <w:sz w:val="22"/>
          <w:szCs w:val="22"/>
        </w:rPr>
        <w:fldChar w:fldCharType="end"/>
      </w:r>
      <w:r w:rsidRPr="00B07A9F">
        <w:rPr>
          <w:sz w:val="22"/>
          <w:szCs w:val="22"/>
        </w:rPr>
        <w:t xml:space="preserve"> with slight modifications. Briefly, 20 µL of a 500, 1000 and 2000 µg/mL solution of each extract dissolved in methanol was added to 180 µL of 0.5 mM DPPH solution in methanol to obtain 50, 100 and 200 µg/mL as final concentrations of the plant extract per well (96-well plates). The mixtures were shaken and allowed to stand at room temperature for 30 min. Controls including methanol (blank) and a DPPH solution (control) were also prepared. Then, the absorbances were measured at 517 nm using a UV‒VIS spectrophotometer (</w:t>
      </w:r>
      <w:proofErr w:type="spellStart"/>
      <w:r w:rsidRPr="00B07A9F">
        <w:rPr>
          <w:sz w:val="22"/>
          <w:szCs w:val="22"/>
        </w:rPr>
        <w:t>Spectramax</w:t>
      </w:r>
      <w:proofErr w:type="spellEnd"/>
      <w:r w:rsidRPr="00B07A9F">
        <w:rPr>
          <w:sz w:val="22"/>
          <w:szCs w:val="22"/>
          <w:vertAlign w:val="superscript"/>
        </w:rPr>
        <w:t>®</w:t>
      </w:r>
      <w:r w:rsidRPr="00B07A9F">
        <w:rPr>
          <w:sz w:val="22"/>
          <w:szCs w:val="22"/>
        </w:rPr>
        <w:t xml:space="preserve"> ID5, Molecular Devices LLC, USA). Methanolic solutions of ascorbic acid (50, 100 and 200 µg/mL) were used as references for free radical scavenging activity. Lower absorbance values of the reaction mixture indicated higher free radical scavenging activity. The capability of scavenging the DPPH radical was calculated by using the </w:t>
      </w:r>
      <w:r w:rsidR="00872A7C" w:rsidRPr="00B07A9F">
        <w:rPr>
          <w:sz w:val="22"/>
          <w:szCs w:val="22"/>
        </w:rPr>
        <w:t>equation (1)</w:t>
      </w:r>
      <w:r w:rsidRPr="00B07A9F">
        <w:rPr>
          <w:sz w:val="22"/>
          <w:szCs w:val="22"/>
        </w:rPr>
        <w:t>:</w:t>
      </w:r>
    </w:p>
    <w:p w14:paraId="72913CFA" w14:textId="24A7E677" w:rsidR="00981F50" w:rsidRPr="00B07A9F" w:rsidRDefault="00981F50" w:rsidP="00340920">
      <w:pPr>
        <w:spacing w:before="240"/>
        <w:rPr>
          <w:sz w:val="22"/>
          <w:szCs w:val="22"/>
        </w:rPr>
      </w:pPr>
      <w:r w:rsidRPr="00B07A9F">
        <w:rPr>
          <w:sz w:val="22"/>
          <w:szCs w:val="22"/>
        </w:rPr>
        <w:t>DPPH scavenging effect (% inhibition) =</w:t>
      </w:r>
      <m:oMath>
        <m:f>
          <m:fPr>
            <m:ctrlPr>
              <w:rPr>
                <w:rFonts w:ascii="Cambria Math" w:hAnsi="Cambria Math"/>
                <w:i/>
                <w:sz w:val="22"/>
                <w:szCs w:val="22"/>
              </w:rPr>
            </m:ctrlPr>
          </m:fPr>
          <m:num>
            <m:r>
              <w:rPr>
                <w:rFonts w:ascii="Cambria Math" w:hAnsi="Cambria Math"/>
                <w:sz w:val="22"/>
                <w:szCs w:val="22"/>
              </w:rPr>
              <m:t>A0-A1</m:t>
            </m:r>
          </m:num>
          <m:den>
            <m:r>
              <w:rPr>
                <w:rFonts w:ascii="Cambria Math" w:hAnsi="Cambria Math"/>
                <w:sz w:val="22"/>
                <w:szCs w:val="22"/>
              </w:rPr>
              <m:t>A0</m:t>
            </m:r>
          </m:den>
        </m:f>
        <m:r>
          <w:rPr>
            <w:rFonts w:ascii="Cambria Math" w:hAnsi="Cambria Math"/>
            <w:sz w:val="22"/>
            <w:szCs w:val="22"/>
          </w:rPr>
          <m:t>X100</m:t>
        </m:r>
      </m:oMath>
      <w:r w:rsidR="00545B60" w:rsidRPr="00B07A9F">
        <w:rPr>
          <w:sz w:val="22"/>
          <w:szCs w:val="22"/>
        </w:rPr>
        <w:tab/>
        <w:t>(1)</w:t>
      </w:r>
    </w:p>
    <w:p w14:paraId="48DD2919" w14:textId="4BBE88F4" w:rsidR="00981F50" w:rsidRPr="00B07A9F" w:rsidRDefault="00981F50" w:rsidP="00340920">
      <w:pPr>
        <w:spacing w:after="0"/>
        <w:rPr>
          <w:sz w:val="22"/>
          <w:szCs w:val="22"/>
        </w:rPr>
      </w:pPr>
      <w:r w:rsidRPr="00B07A9F">
        <w:rPr>
          <w:sz w:val="22"/>
          <w:szCs w:val="22"/>
        </w:rPr>
        <w:t>where A</w:t>
      </w:r>
      <w:r w:rsidRPr="00B07A9F">
        <w:rPr>
          <w:sz w:val="22"/>
          <w:szCs w:val="22"/>
          <w:vertAlign w:val="subscript"/>
        </w:rPr>
        <w:t>0</w:t>
      </w:r>
      <w:r w:rsidRPr="00B07A9F">
        <w:rPr>
          <w:sz w:val="22"/>
          <w:szCs w:val="22"/>
        </w:rPr>
        <w:t xml:space="preserve"> is the absorbance of the control (DPPH solution), and A</w:t>
      </w:r>
      <w:r w:rsidRPr="00B07A9F">
        <w:rPr>
          <w:sz w:val="22"/>
          <w:szCs w:val="22"/>
          <w:vertAlign w:val="subscript"/>
        </w:rPr>
        <w:t>1</w:t>
      </w:r>
      <w:r w:rsidRPr="00B07A9F">
        <w:rPr>
          <w:sz w:val="22"/>
          <w:szCs w:val="22"/>
        </w:rPr>
        <w:t xml:space="preserve"> is the absorbance in the presence of all of the extract samples and reference. All tests were performed in triplicate and expressed as the mean </w:t>
      </w:r>
      <w:r w:rsidRPr="00B07A9F">
        <w:rPr>
          <w:rFonts w:ascii="Symbol" w:hAnsi="Symbol"/>
          <w:sz w:val="22"/>
          <w:szCs w:val="22"/>
        </w:rPr>
        <w:sym w:font="Symbol" w:char="F0B1"/>
      </w:r>
      <w:r w:rsidRPr="00B07A9F">
        <w:rPr>
          <w:sz w:val="22"/>
          <w:szCs w:val="22"/>
        </w:rPr>
        <w:t xml:space="preserve"> standard error of the mean (SEM).</w:t>
      </w:r>
    </w:p>
    <w:p w14:paraId="677E7BAC" w14:textId="77777777" w:rsidR="00981F50" w:rsidRPr="00B07A9F" w:rsidRDefault="00981F50" w:rsidP="00340920">
      <w:pPr>
        <w:pStyle w:val="Heading2"/>
        <w:numPr>
          <w:ilvl w:val="1"/>
          <w:numId w:val="34"/>
        </w:numPr>
        <w:spacing w:before="240" w:after="120"/>
        <w:rPr>
          <w:rFonts w:ascii="Times New Roman" w:hAnsi="Times New Roman"/>
          <w:sz w:val="22"/>
        </w:rPr>
      </w:pPr>
      <w:r w:rsidRPr="00B07A9F">
        <w:rPr>
          <w:rFonts w:ascii="Times New Roman" w:hAnsi="Times New Roman"/>
          <w:sz w:val="22"/>
        </w:rPr>
        <w:t>Soxhlet extraction</w:t>
      </w:r>
    </w:p>
    <w:p w14:paraId="7A5B5C48" w14:textId="715081B8" w:rsidR="00981F50" w:rsidRPr="00B07A9F" w:rsidRDefault="00981F50" w:rsidP="00340920">
      <w:pPr>
        <w:spacing w:before="240" w:after="0"/>
        <w:rPr>
          <w:sz w:val="22"/>
        </w:rPr>
      </w:pPr>
      <w:r w:rsidRPr="00B07A9F">
        <w:rPr>
          <w:sz w:val="22"/>
        </w:rPr>
        <w:t>From the plant whose extracts were found to be more antioxidant and therefore rich in phenolic compounds, a second extraction was performed using dichloromethane</w:t>
      </w:r>
      <w:r w:rsidR="008735DF" w:rsidRPr="00B07A9F">
        <w:rPr>
          <w:sz w:val="22"/>
        </w:rPr>
        <w:t xml:space="preserve"> </w:t>
      </w:r>
      <w:r w:rsidRPr="00B07A9F">
        <w:rPr>
          <w:sz w:val="22"/>
        </w:rPr>
        <w:t xml:space="preserve">to test the antihyperglycemic activity. Dichloromethane is </w:t>
      </w:r>
      <w:r w:rsidRPr="00B07A9F">
        <w:rPr>
          <w:sz w:val="22"/>
        </w:rPr>
        <w:lastRenderedPageBreak/>
        <w:t>a</w:t>
      </w:r>
      <w:r w:rsidR="006455F2" w:rsidRPr="00B07A9F">
        <w:rPr>
          <w:sz w:val="22"/>
        </w:rPr>
        <w:t>n</w:t>
      </w:r>
      <w:r w:rsidRPr="00B07A9F">
        <w:rPr>
          <w:sz w:val="22"/>
        </w:rPr>
        <w:t xml:space="preserve"> </w:t>
      </w:r>
      <w:proofErr w:type="spellStart"/>
      <w:r w:rsidR="006455F2" w:rsidRPr="00B07A9F">
        <w:rPr>
          <w:sz w:val="22"/>
        </w:rPr>
        <w:t>a</w:t>
      </w:r>
      <w:r w:rsidRPr="00B07A9F">
        <w:rPr>
          <w:sz w:val="22"/>
        </w:rPr>
        <w:t>polar</w:t>
      </w:r>
      <w:proofErr w:type="spellEnd"/>
      <w:r w:rsidRPr="00B07A9F">
        <w:rPr>
          <w:sz w:val="22"/>
        </w:rPr>
        <w:t xml:space="preserve"> solvent and has shown good capacity to extract phenolic phytocompounds </w:t>
      </w:r>
      <w:r w:rsidRPr="00B07A9F">
        <w:rPr>
          <w:sz w:val="22"/>
        </w:rPr>
        <w:fldChar w:fldCharType="begin" w:fldLock="1"/>
      </w:r>
      <w:r w:rsidR="007B30B3" w:rsidRPr="00B07A9F">
        <w:rPr>
          <w:sz w:val="22"/>
        </w:rPr>
        <w:instrText>ADDIN CSL_CITATION {"citationItems":[{"id":"ITEM-1","itemData":{"author":[{"dropping-particle":"","family":"Damilola","given":"Adekeye","non-dropping-particle":"","parse-names":false,"suffix":""},{"dropping-particle":"","family":"Adenike","given":"Olubunmi","non-dropping-particle":"","parse-names":false,"suffix":""},{"dropping-particle":"","family":"Akinwunmi","given":"Omoyeni","non-dropping-particle":"","parse-names":false,"suffix":""},{"dropping-particle":"","family":"Ekiti","given":"Ado","non-dropping-particle":"","parse-names":false,"suffix":""}],"id":"ITEM-1","issue":"1","issued":{"date-parts":[["2021"]]},"page":"17-24","title":"Article · June 2021","type":"article-journal","volume":"4"},"uris":["http://www.mendeley.com/documents/?uuid=cf2becc8-5824-4c0d-8073-1b931fd0e89c"]},{"id":"ITEM-2","itemData":{"DOI":"10.1016/j.crfs.2021.03.011","ISSN":"26659271","abstract":"Phenolic compounds are parts of secondary metabolites mostly found in plant species with enormous structural diversities. They can exist as glycosides or aglycones; matrix or free-bound compounds; and comprising mostly polymerized or monomer structures. Additionally, these compounds are not universally dispensed within plants with varied stability. This has contributed to challenging extraction processes; implying that employing a single step or inappropriate extraction technique might change the recovery of phenolic components from the plant samples. Hence, it is important to select an appropriate extraction method so as to recover the targeted phenolic compounds. This is will helps to recover substantial yields from the sample matrix. Therefore, this review mainly focuses on the phenolic compounds and several methods of extraction that are used to obtaining them from plant materials. These extraction methods includes both conventional and unconventional techniques.","author":[{"dropping-particle":"","family":"Alara","given":"Oluwaseun Ruth","non-dropping-particle":"","parse-names":false,"suffix":""},{"dropping-particle":"","family":"Abdurahman","given":"Nour Hamid","non-dropping-particle":"","parse-names":false,"suffix":""},{"dropping-particle":"","family":"Ukaegbu","given":"Chinonso Ishamel","non-dropping-particle":"","parse-names":false,"suffix":""}],"container-title":"Current Research in Food Science","id":"ITEM-2","issue":"December 2020","issued":{"date-parts":[["2021"]]},"page":"200-214","publisher":"Elsevier Ltd","title":"Extraction of phenolic compounds: A review","type":"article-journal","volume":"4"},"uris":["http://www.mendeley.com/documents/?uuid=90bfe587-12d5-4140-9c94-bbd96268be73"]},{"id":"ITEM-3","itemData":{"DOI":"10.5530/pj.2018.6s.21","ISSN":"09753575","abstract":"Background: Cajanus cajan (L.) Millsp. (Fabaceae) is a legume plant which used for human food and animal feed. Objective: The present study was aimed to investigate total phenolic content and tyrosinase inhibitory potential of the root, stem and seed parts of C. cajan. Method: Crude extracts were prepared by reflux extraction using methanol, dichloromethane and water as solvents. Total phenolic contents of the obtained extracts were analyzed by Folin-Ciocalteu colorimetric method and the inhibitory effect on tyrosinase activity was determined spectrophotometrically. Results: The results revealed that dichloromethane seed extract had more total phenolic content than those of methanol and water seed extracts, respectively. Dichloromethane seed extract had the highest total phenolic content of 92.00 ± 1.24 mg GAE/ g extracts. However, the highest tyrosinase inhibitory activity was found in the root methanol extract with IC50 of 3.55 ± 0.35 mg/ml. Conclusion: Type of extraction solvent was an important factor on phenolic contents of C. cajan extracts. The extracts of C. cajan inhibit slightly tyrosinase inhibitory.","author":[{"dropping-particle":"","family":"Rinthong","given":"Prasob On","non-dropping-particle":"","parse-names":false,"suffix":""},{"dropping-particle":"","family":"Maneechai","given":"Suthira","non-dropping-particle":"","parse-names":false,"suffix":""}],"container-title":"Pharmacognosy Journal","id":"ITEM-3","issue":"6","issued":{"date-parts":[["2018"]]},"page":"S109-S112","title":"Total phenolic content and tyrosinase inhibitory potential of extracts from Cajanus cajan (L.) Millsp.","type":"article-journal","volume":"10"},"uris":["http://www.mendeley.com/documents/?uuid=7a5620aa-0b86-4137-b83d-55cf73b7566f"]}],"mendeley":{"formattedCitation":"(Alara et al., 2021; Damilola et al., 2021; Rinthong and Maneechai, 2018)","plainTextFormattedCitation":"(Alara et al., 2021; Damilola et al., 2021; Rinthong and Maneechai, 2018)","previouslyFormattedCitation":"(Damilola et al., 2021)"},"properties":{"noteIndex":0},"schema":"https://github.com/citation-style-language/schema/raw/master/csl-citation.json"}</w:instrText>
      </w:r>
      <w:r w:rsidRPr="00B07A9F">
        <w:rPr>
          <w:sz w:val="22"/>
        </w:rPr>
        <w:fldChar w:fldCharType="separate"/>
      </w:r>
      <w:r w:rsidR="007B30B3" w:rsidRPr="00B07A9F">
        <w:rPr>
          <w:noProof/>
          <w:sz w:val="22"/>
        </w:rPr>
        <w:t>(Alara et al., 2021; Damilola et al., 2021; Rinthong and Maneechai, 2018)</w:t>
      </w:r>
      <w:r w:rsidRPr="00B07A9F">
        <w:rPr>
          <w:sz w:val="22"/>
        </w:rPr>
        <w:fldChar w:fldCharType="end"/>
      </w:r>
      <w:r w:rsidRPr="00B07A9F">
        <w:rPr>
          <w:sz w:val="22"/>
        </w:rPr>
        <w:t>.</w:t>
      </w:r>
    </w:p>
    <w:p w14:paraId="1DF03E74" w14:textId="7E755DDB" w:rsidR="00981F50" w:rsidRPr="00B07A9F" w:rsidRDefault="00981F50" w:rsidP="00340920">
      <w:pPr>
        <w:rPr>
          <w:sz w:val="22"/>
        </w:rPr>
      </w:pPr>
      <w:r w:rsidRPr="00B07A9F">
        <w:rPr>
          <w:sz w:val="22"/>
        </w:rPr>
        <w:t xml:space="preserve">In brief, on the one hand, 50 g of the plant material of the most antioxidant plant was loaded into the Soxhlet apparatus and allowed to undergo </w:t>
      </w:r>
      <w:proofErr w:type="spellStart"/>
      <w:r w:rsidRPr="00B07A9F">
        <w:rPr>
          <w:sz w:val="22"/>
        </w:rPr>
        <w:t>dichloromethanic</w:t>
      </w:r>
      <w:proofErr w:type="spellEnd"/>
      <w:r w:rsidRPr="00B07A9F">
        <w:rPr>
          <w:sz w:val="22"/>
        </w:rPr>
        <w:t xml:space="preserve"> extraction (250 mL) for 8 h. On the other hand, 2 g of the aqueous extract from the most antioxidant plant was loaded into a Soxhlet apparatus and allowed to undergo </w:t>
      </w:r>
      <w:proofErr w:type="spellStart"/>
      <w:r w:rsidRPr="00B07A9F">
        <w:rPr>
          <w:sz w:val="22"/>
        </w:rPr>
        <w:t>dichloromethanic</w:t>
      </w:r>
      <w:proofErr w:type="spellEnd"/>
      <w:r w:rsidRPr="00B07A9F">
        <w:rPr>
          <w:sz w:val="22"/>
        </w:rPr>
        <w:t xml:space="preserve"> extraction (50 mL) for 8 h. The </w:t>
      </w:r>
      <w:proofErr w:type="spellStart"/>
      <w:r w:rsidRPr="00B07A9F">
        <w:rPr>
          <w:sz w:val="22"/>
        </w:rPr>
        <w:t>dichloromethanic</w:t>
      </w:r>
      <w:proofErr w:type="spellEnd"/>
      <w:r w:rsidRPr="00B07A9F">
        <w:rPr>
          <w:sz w:val="22"/>
        </w:rPr>
        <w:t xml:space="preserve"> extracts were concentrated separately by solvent evaporation using a rotavapor and a hood and then stored at 4 °C until further use.</w:t>
      </w:r>
    </w:p>
    <w:p w14:paraId="2498AB34" w14:textId="77777777" w:rsidR="00981F50" w:rsidRPr="00B07A9F" w:rsidRDefault="00981F50" w:rsidP="00340920">
      <w:pPr>
        <w:pStyle w:val="Heading2"/>
        <w:numPr>
          <w:ilvl w:val="1"/>
          <w:numId w:val="34"/>
        </w:numPr>
        <w:spacing w:before="240" w:after="120"/>
        <w:rPr>
          <w:rFonts w:ascii="Times New Roman" w:hAnsi="Times New Roman"/>
          <w:sz w:val="22"/>
        </w:rPr>
      </w:pPr>
      <w:r w:rsidRPr="00B07A9F">
        <w:rPr>
          <w:rFonts w:ascii="Times New Roman" w:hAnsi="Times New Roman"/>
          <w:sz w:val="22"/>
        </w:rPr>
        <w:t>Green synthesis of zinc oxide nanoparticles</w:t>
      </w:r>
    </w:p>
    <w:p w14:paraId="0FECB32C" w14:textId="77AD2B37" w:rsidR="00981F50" w:rsidRPr="00B07A9F" w:rsidRDefault="00981F50" w:rsidP="00340920">
      <w:pPr>
        <w:spacing w:before="240"/>
        <w:rPr>
          <w:sz w:val="22"/>
        </w:rPr>
      </w:pPr>
      <w:r w:rsidRPr="00B07A9F">
        <w:rPr>
          <w:sz w:val="22"/>
        </w:rPr>
        <w:t xml:space="preserve">Green synthesis was performed using the aqueous extract (more commonly used) with the highest antioxidant effect via two procedures. In accordance with the literature </w:t>
      </w:r>
      <w:r w:rsidRPr="00B07A9F">
        <w:rPr>
          <w:sz w:val="22"/>
        </w:rPr>
        <w:fldChar w:fldCharType="begin" w:fldLock="1"/>
      </w:r>
      <w:r w:rsidRPr="00B07A9F">
        <w:rPr>
          <w:sz w:val="22"/>
        </w:rPr>
        <w:instrText>ADDIN CSL_CITATION {"citationItems":[{"id":"ITEM-1","itemData":{"DOI":"10.1007/s00449-017-1758-2","ISBN":"0044901717582","ISSN":"16157605","PMID":"28361361","abstract":"Phytofabricated green synthesis of zinc oxide (ZnO) nanoparticles using different plant extracts of Azadirachta indica, Hibiscus rosa-sinensis, Murraya koenigii, Moringa oleifera, and Tamarindus indica for biological applications has been reported. ZnO nanoparticles were also synthesized by chemical method to compare the efficiency of the green synthesized nanoparticles. FT-IR spectra confirmed the functional groups involved in the green synthesis of ZnO nanoparticles and the powder XRD patterns of the ZnO nanoparticles revealed pure wurtzite structure with preferred orientation at (100) reflection plane. SEM and TEM analysis revealed the spherical shape of the synthesized ZnO nanoparticles with the particle size between 54 and 27 nm. The antioxidant activity was evaluated by five different free radical scavenging assays. The present study also intends to screen α-amylase and α-glucosidase activity of ZnO nanoparticles synthesized using natural sources, which may minimize the toxicity and side effects of the inhibitors used to control diabetes. The ZnO nanoparticles synthesized using T. indica extract displayed remarkable antioxidant and antidiabetic activities.","author":[{"dropping-particle":"","family":"Rehana","given":"Dilaveez","non-dropping-particle":"","parse-names":false,"suffix":""},{"dropping-particle":"","family":"Mahendiran","given":"D.","non-dropping-particle":"","parse-names":false,"suffix":""},{"dropping-particle":"","family":"Kumar","given":"R. Senthil","non-dropping-particle":"","parse-names":false,"suffix":""},{"dropping-particle":"","family":"Rahiman","given":"A. Kalilur","non-dropping-particle":"","parse-names":false,"suffix":""}],"container-title":"Bioprocess and Biosystems Engineering","id":"ITEM-1","issue":"6","issued":{"date-parts":[["2017"]]},"page":"943-957","publisher":"Springer Berlin Heidelberg","title":"In vitro antioxidant and antidiabetic activities of zinc oxide nanoparticles synthesized using different plant extracts","type":"article-journal","volume":"40"},"uris":["http://www.mendeley.com/documents/?uuid=4fe2c0be-875b-456c-a6af-a9cd790b68c6"]}],"mendeley":{"formattedCitation":"(Rehana et al., 2017)","plainTextFormattedCitation":"(Rehana et al., 2017)","previouslyFormattedCitation":"(Rehana et al., 2017)"},"properties":{"noteIndex":0},"schema":"https://github.com/citation-style-language/schema/raw/master/csl-citation.json"}</w:instrText>
      </w:r>
      <w:r w:rsidRPr="00B07A9F">
        <w:rPr>
          <w:sz w:val="22"/>
        </w:rPr>
        <w:fldChar w:fldCharType="separate"/>
      </w:r>
      <w:r w:rsidRPr="00B07A9F">
        <w:rPr>
          <w:noProof/>
          <w:sz w:val="22"/>
        </w:rPr>
        <w:t>(Rehana et al., 2017)</w:t>
      </w:r>
      <w:r w:rsidRPr="00B07A9F">
        <w:rPr>
          <w:sz w:val="22"/>
        </w:rPr>
        <w:fldChar w:fldCharType="end"/>
      </w:r>
      <w:r w:rsidRPr="00B07A9F">
        <w:rPr>
          <w:sz w:val="22"/>
        </w:rPr>
        <w:t xml:space="preserve">, the first procedure consisted of mixing zinc nitrate hexahydrate with an aqueous extract solution at room temperature under stirring and subsequently increasing the temperature to 70 °C. Different reactant ratios and reaction durations were used and are described in Table 1. As described in previous works </w:t>
      </w:r>
      <w:r w:rsidRPr="00B07A9F">
        <w:rPr>
          <w:sz w:val="22"/>
        </w:rPr>
        <w:fldChar w:fldCharType="begin" w:fldLock="1"/>
      </w:r>
      <w:r w:rsidRPr="00B07A9F">
        <w:rPr>
          <w:sz w:val="22"/>
        </w:rPr>
        <w:instrText>ADDIN CSL_CITATION {"citationItems":[{"id":"ITEM-1","itemData":{"DOI":"10.1039/d0ra04926c","ISSN":"20462069","abstract":"This paper presents an efficient, environmentally friendly, and simple approach for the green synthesis of ZnO nanoparticles (ZnO NPs) using orange fruit peel extract. This approach aims to both minimize the use of toxic chemicals in nanoparticle fabrication and enhance the antibacterial activity and biomedical applications of ZnO nanoparticles. In this work, an aqueous extract of orange peel was used as the biological reduction agent for the synthesis of ZnO NPs from zinc acetate dihydrate. It was found that the size and morphology of the ZnO NPs significantly depended on physicochemical parameters such as the annealing temperature and pH during NP synthesis. The ZnO NPs exhibited strong antibacterial activity toward Escherichia coli (E. coli) and Staphylococcus aureus (S. aureus) without UV illumination at an NP concentration of 0.025 mg mL-1 after 8 h of incubation. In particular, the bactericidal activity towards S. aureus varied extensively with the synthesis parameters. This study presents an efficient green synthesis route for ZnO NPs with a wide range of potential applications, especially in the biomedical field. This journal is","author":[{"dropping-particle":"","family":"Doan Thi","given":"Tu Uyen","non-dropping-particle":"","parse-names":false,"suffix":""},{"dropping-particle":"","family":"Nguyen","given":"Trung Thoai","non-dropping-particle":"","parse-names":false,"suffix":""},{"dropping-particle":"","family":"Thi","given":"Y. Dang","non-dropping-particle":"","parse-names":false,"suffix":""},{"dropping-particle":"","family":"Ta Thi","given":"Kieu Hanh","non-dropping-particle":"","parse-names":false,"suffix":""},{"dropping-particle":"","family":"Phan","given":"Bach Thang","non-dropping-particle":"","parse-names":false,"suffix":""},{"dropping-particle":"","family":"Pham","given":"Kim Ngoc","non-dropping-particle":"","parse-names":false,"suffix":""}],"container-title":"RSC Advances","id":"ITEM-1","issue":"40","issued":{"date-parts":[["2020"]]},"page":"23899-23907","publisher":"Royal Society of Chemistry","title":"Green synthesis of ZnO nanoparticles using orange fruit peel extract for antibacterial activities","type":"article-journal","volume":"10"},"uris":["http://www.mendeley.com/documents/?uuid=be80dc80-f3dd-4e91-b252-6e327c5611eb"]},{"id":"ITEM-2","itemData":{"DOI":"10.1007/s00449-017-1758-2","ISBN":"0044901717582","ISSN":"16157605","PMID":"28361361","abstract":"Phytofabricated green synthesis of zinc oxide (ZnO) nanoparticles using different plant extracts of Azadirachta indica, Hibiscus rosa-sinensis, Murraya koenigii, Moringa oleifera, and Tamarindus indica for biological applications has been reported. ZnO nanoparticles were also synthesized by chemical method to compare the efficiency of the green synthesized nanoparticles. FT-IR spectra confirmed the functional groups involved in the green synthesis of ZnO nanoparticles and the powder XRD patterns of the ZnO nanoparticles revealed pure wurtzite structure with preferred orientation at (100) reflection plane. SEM and TEM analysis revealed the spherical shape of the synthesized ZnO nanoparticles with the particle size between 54 and 27 nm. The antioxidant activity was evaluated by five different free radical scavenging assays. The present study also intends to screen α-amylase and α-glucosidase activity of ZnO nanoparticles synthesized using natural sources, which may minimize the toxicity and side effects of the inhibitors used to control diabetes. The ZnO nanoparticles synthesized using T. indica extract displayed remarkable antioxidant and antidiabetic activities.","author":[{"dropping-particle":"","family":"Rehana","given":"Dilaveez","non-dropping-particle":"","parse-names":false,"suffix":""},{"dropping-particle":"","family":"Mahendiran","given":"D.","non-dropping-particle":"","parse-names":false,"suffix":""},{"dropping-particle":"","family":"Kumar","given":"R. Senthil","non-dropping-particle":"","parse-names":false,"suffix":""},{"dropping-particle":"","family":"Rahiman","given":"A. Kalilur","non-dropping-particle":"","parse-names":false,"suffix":""}],"container-title":"Bioprocess and Biosystems Engineering","id":"ITEM-2","issue":"6","issued":{"date-parts":[["2017"]]},"page":"943-957","publisher":"Springer Berlin Heidelberg","title":"In vitro antioxidant and antidiabetic activities of zinc oxide nanoparticles synthesized using different plant extracts","type":"article-journal","volume":"40"},"uris":["http://www.mendeley.com/documents/?uuid=4fe2c0be-875b-456c-a6af-a9cd790b68c6"]}],"mendeley":{"formattedCitation":"(Doan Thi et al., 2020; Rehana et al., 2017)","plainTextFormattedCitation":"(Doan Thi et al., 2020; Rehana et al., 2017)","previouslyFormattedCitation":"(Doan Thi et al., 2020; Rehana et al., 2017)"},"properties":{"noteIndex":0},"schema":"https://github.com/citation-style-language/schema/raw/master/csl-citation.json"}</w:instrText>
      </w:r>
      <w:r w:rsidRPr="00B07A9F">
        <w:rPr>
          <w:sz w:val="22"/>
        </w:rPr>
        <w:fldChar w:fldCharType="separate"/>
      </w:r>
      <w:r w:rsidRPr="00B07A9F">
        <w:rPr>
          <w:noProof/>
          <w:sz w:val="22"/>
        </w:rPr>
        <w:t>(Doan Thi et al., 2020; Rehana et al., 2017)</w:t>
      </w:r>
      <w:r w:rsidRPr="00B07A9F">
        <w:rPr>
          <w:sz w:val="22"/>
        </w:rPr>
        <w:fldChar w:fldCharType="end"/>
      </w:r>
      <w:r w:rsidRPr="00B07A9F">
        <w:rPr>
          <w:sz w:val="22"/>
        </w:rPr>
        <w:t xml:space="preserve">, the mixture was then heated at 400 °C (high temperature method) for 1 h to obtain </w:t>
      </w:r>
      <w:proofErr w:type="spellStart"/>
      <w:r w:rsidRPr="00B07A9F">
        <w:rPr>
          <w:sz w:val="22"/>
        </w:rPr>
        <w:t>ZnONPs</w:t>
      </w:r>
      <w:proofErr w:type="spellEnd"/>
      <w:r w:rsidRPr="00B07A9F">
        <w:rPr>
          <w:sz w:val="22"/>
        </w:rPr>
        <w:t>.</w:t>
      </w:r>
      <w:bookmarkEnd w:id="6"/>
    </w:p>
    <w:p w14:paraId="06A26B31" w14:textId="77777777" w:rsidR="00981F50" w:rsidRPr="00B07A9F" w:rsidRDefault="00981F50" w:rsidP="00340920">
      <w:pPr>
        <w:spacing w:before="240"/>
        <w:rPr>
          <w:b/>
          <w:sz w:val="22"/>
        </w:rPr>
        <w:sectPr w:rsidR="00981F50" w:rsidRPr="00B07A9F" w:rsidSect="001D5F18">
          <w:headerReference w:type="even" r:id="rId9"/>
          <w:type w:val="continuous"/>
          <w:pgSz w:w="12240" w:h="15840" w:code="1"/>
          <w:pgMar w:top="1224" w:right="1080" w:bottom="1440" w:left="1080" w:header="720" w:footer="720" w:gutter="0"/>
          <w:cols w:space="397"/>
          <w:docGrid w:linePitch="360"/>
        </w:sectPr>
      </w:pPr>
    </w:p>
    <w:p w14:paraId="1FF6DFDD" w14:textId="59389AFE" w:rsidR="00981F50" w:rsidRPr="00B07A9F" w:rsidRDefault="00981F50" w:rsidP="00340920">
      <w:pPr>
        <w:spacing w:before="240"/>
        <w:rPr>
          <w:bCs/>
          <w:sz w:val="22"/>
        </w:rPr>
      </w:pPr>
      <w:r w:rsidRPr="00B07A9F">
        <w:rPr>
          <w:b/>
          <w:sz w:val="22"/>
        </w:rPr>
        <w:t xml:space="preserve">Table </w:t>
      </w:r>
      <w:r w:rsidRPr="00B07A9F">
        <w:rPr>
          <w:b/>
          <w:sz w:val="22"/>
        </w:rPr>
        <w:fldChar w:fldCharType="begin"/>
      </w:r>
      <w:r w:rsidRPr="00B07A9F">
        <w:rPr>
          <w:b/>
          <w:sz w:val="22"/>
        </w:rPr>
        <w:instrText xml:space="preserve"> SEQ Table \* ARABIC </w:instrText>
      </w:r>
      <w:r w:rsidRPr="00B07A9F">
        <w:rPr>
          <w:b/>
          <w:sz w:val="22"/>
        </w:rPr>
        <w:fldChar w:fldCharType="separate"/>
      </w:r>
      <w:r w:rsidRPr="00B07A9F">
        <w:rPr>
          <w:b/>
          <w:sz w:val="22"/>
        </w:rPr>
        <w:t>1</w:t>
      </w:r>
      <w:r w:rsidRPr="00B07A9F">
        <w:rPr>
          <w:b/>
          <w:sz w:val="22"/>
        </w:rPr>
        <w:fldChar w:fldCharType="end"/>
      </w:r>
      <w:r w:rsidRPr="00B07A9F">
        <w:rPr>
          <w:b/>
          <w:sz w:val="22"/>
        </w:rPr>
        <w:t xml:space="preserve">. </w:t>
      </w:r>
      <w:r w:rsidRPr="00B07A9F">
        <w:rPr>
          <w:bCs/>
          <w:sz w:val="22"/>
        </w:rPr>
        <w:t>Ratio of reagent and time of reaction for the procedure of green synthesis by the high temperature method</w:t>
      </w:r>
    </w:p>
    <w:tbl>
      <w:tblPr>
        <w:tblStyle w:val="Tableausimple21"/>
        <w:tblW w:w="5000" w:type="pct"/>
        <w:tblLook w:val="04A0" w:firstRow="1" w:lastRow="0" w:firstColumn="1" w:lastColumn="0" w:noHBand="0" w:noVBand="1"/>
      </w:tblPr>
      <w:tblGrid>
        <w:gridCol w:w="2326"/>
        <w:gridCol w:w="2220"/>
        <w:gridCol w:w="1667"/>
        <w:gridCol w:w="1895"/>
        <w:gridCol w:w="1972"/>
      </w:tblGrid>
      <w:tr w:rsidR="005F7F24" w:rsidRPr="00B07A9F" w14:paraId="010C1033" w14:textId="77777777" w:rsidTr="00BC5B15">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54" w:type="pct"/>
            <w:hideMark/>
          </w:tcPr>
          <w:p w14:paraId="36763374" w14:textId="77777777" w:rsidR="005F7F24" w:rsidRPr="00B07A9F" w:rsidRDefault="005F7F24" w:rsidP="00BC5B15">
            <w:pPr>
              <w:jc w:val="center"/>
              <w:rPr>
                <w:b w:val="0"/>
                <w:bCs w:val="0"/>
                <w:sz w:val="22"/>
                <w:lang w:val="en-GB"/>
              </w:rPr>
            </w:pPr>
            <w:proofErr w:type="gramStart"/>
            <w:r w:rsidRPr="00B07A9F">
              <w:rPr>
                <w:rFonts w:eastAsia="Microsoft JhengHei"/>
                <w:sz w:val="22"/>
                <w:szCs w:val="22"/>
              </w:rPr>
              <w:t>Zn(</w:t>
            </w:r>
            <w:proofErr w:type="gramEnd"/>
            <w:r w:rsidRPr="00B07A9F">
              <w:rPr>
                <w:rFonts w:eastAsia="Microsoft JhengHei"/>
                <w:sz w:val="22"/>
                <w:szCs w:val="22"/>
              </w:rPr>
              <w:t>NO</w:t>
            </w:r>
            <w:r w:rsidRPr="00B07A9F">
              <w:rPr>
                <w:rFonts w:eastAsia="Microsoft JhengHei"/>
                <w:sz w:val="22"/>
                <w:szCs w:val="22"/>
                <w:shd w:val="clear" w:color="auto" w:fill="FFFFFF"/>
                <w:vertAlign w:val="subscript"/>
              </w:rPr>
              <w:t>3</w:t>
            </w:r>
            <w:r w:rsidRPr="00B07A9F">
              <w:rPr>
                <w:rFonts w:eastAsia="Microsoft JhengHei"/>
                <w:sz w:val="22"/>
                <w:szCs w:val="22"/>
              </w:rPr>
              <w:t>)</w:t>
            </w:r>
            <w:r w:rsidRPr="00B07A9F">
              <w:rPr>
                <w:rFonts w:eastAsia="Microsoft JhengHei"/>
                <w:sz w:val="22"/>
                <w:szCs w:val="22"/>
                <w:shd w:val="clear" w:color="auto" w:fill="FFFFFF"/>
                <w:vertAlign w:val="subscript"/>
              </w:rPr>
              <w:t>2</w:t>
            </w:r>
            <w:r w:rsidRPr="00B07A9F">
              <w:rPr>
                <w:rFonts w:eastAsia="Microsoft JhengHei"/>
                <w:sz w:val="22"/>
                <w:szCs w:val="22"/>
              </w:rPr>
              <w:sym w:font="Symbol" w:char="F0D7"/>
            </w:r>
            <w:r w:rsidRPr="00B07A9F">
              <w:rPr>
                <w:rFonts w:eastAsia="Microsoft JhengHei"/>
                <w:sz w:val="22"/>
                <w:szCs w:val="22"/>
              </w:rPr>
              <w:t>6H</w:t>
            </w:r>
            <w:r w:rsidRPr="00B07A9F">
              <w:rPr>
                <w:rFonts w:eastAsia="Microsoft JhengHei"/>
                <w:sz w:val="22"/>
                <w:szCs w:val="22"/>
                <w:shd w:val="clear" w:color="auto" w:fill="FFFFFF"/>
                <w:vertAlign w:val="subscript"/>
              </w:rPr>
              <w:t>2</w:t>
            </w:r>
            <w:r w:rsidRPr="00B07A9F">
              <w:rPr>
                <w:rFonts w:eastAsia="Microsoft JhengHei"/>
                <w:sz w:val="22"/>
                <w:szCs w:val="22"/>
              </w:rPr>
              <w:t>O</w:t>
            </w:r>
            <w:r w:rsidRPr="00B07A9F">
              <w:rPr>
                <w:sz w:val="22"/>
                <w:lang w:val="en-GB"/>
              </w:rPr>
              <w:t xml:space="preserve"> </w:t>
            </w:r>
          </w:p>
          <w:p w14:paraId="6FA0BB42" w14:textId="77777777" w:rsidR="005F7F24" w:rsidRPr="00B07A9F" w:rsidRDefault="005F7F24" w:rsidP="00BC5B15">
            <w:pPr>
              <w:jc w:val="center"/>
              <w:rPr>
                <w:b w:val="0"/>
                <w:bCs w:val="0"/>
                <w:sz w:val="22"/>
                <w:lang w:val="en-GB"/>
              </w:rPr>
            </w:pPr>
            <w:r w:rsidRPr="00B07A9F">
              <w:rPr>
                <w:sz w:val="22"/>
                <w:lang w:val="fr-BE"/>
              </w:rPr>
              <w:t>(mg)</w:t>
            </w:r>
          </w:p>
        </w:tc>
        <w:tc>
          <w:tcPr>
            <w:tcW w:w="1101" w:type="pct"/>
            <w:hideMark/>
          </w:tcPr>
          <w:p w14:paraId="043CD62E" w14:textId="77777777" w:rsidR="005F7F24" w:rsidRPr="00B07A9F" w:rsidRDefault="005F7F24" w:rsidP="00BC5B15">
            <w:pPr>
              <w:jc w:val="center"/>
              <w:cnfStyle w:val="100000000000" w:firstRow="1" w:lastRow="0" w:firstColumn="0" w:lastColumn="0" w:oddVBand="0" w:evenVBand="0" w:oddHBand="0" w:evenHBand="0" w:firstRowFirstColumn="0" w:firstRowLastColumn="0" w:lastRowFirstColumn="0" w:lastRowLastColumn="0"/>
              <w:rPr>
                <w:b w:val="0"/>
                <w:bCs w:val="0"/>
                <w:sz w:val="22"/>
                <w:lang w:val="fr-CD"/>
              </w:rPr>
            </w:pPr>
            <w:r w:rsidRPr="00B07A9F">
              <w:rPr>
                <w:sz w:val="22"/>
                <w:lang w:val="en-GB"/>
              </w:rPr>
              <w:t>Extract (4.15mg/ml)</w:t>
            </w:r>
            <w:r w:rsidRPr="00B07A9F">
              <w:rPr>
                <w:sz w:val="22"/>
                <w:lang w:val="fr-CD"/>
              </w:rPr>
              <w:t xml:space="preserve"> </w:t>
            </w:r>
          </w:p>
          <w:p w14:paraId="2CF15849" w14:textId="77777777" w:rsidR="005F7F24" w:rsidRPr="00B07A9F" w:rsidRDefault="005F7F24" w:rsidP="00BC5B15">
            <w:pPr>
              <w:jc w:val="center"/>
              <w:cnfStyle w:val="100000000000" w:firstRow="1" w:lastRow="0" w:firstColumn="0" w:lastColumn="0" w:oddVBand="0" w:evenVBand="0" w:oddHBand="0" w:evenHBand="0" w:firstRowFirstColumn="0" w:firstRowLastColumn="0" w:lastRowFirstColumn="0" w:lastRowLastColumn="0"/>
              <w:rPr>
                <w:sz w:val="22"/>
                <w:lang w:val="fr-BE"/>
              </w:rPr>
            </w:pPr>
            <w:r w:rsidRPr="00B07A9F">
              <w:rPr>
                <w:sz w:val="22"/>
                <w:lang w:val="fr-CD"/>
              </w:rPr>
              <w:t>(</w:t>
            </w:r>
            <w:proofErr w:type="spellStart"/>
            <w:r w:rsidRPr="00B07A9F">
              <w:rPr>
                <w:sz w:val="22"/>
                <w:lang w:val="fr-CD"/>
              </w:rPr>
              <w:t>mL</w:t>
            </w:r>
            <w:proofErr w:type="spellEnd"/>
            <w:r w:rsidRPr="00B07A9F">
              <w:rPr>
                <w:sz w:val="22"/>
                <w:lang w:val="fr-CD"/>
              </w:rPr>
              <w:t>)</w:t>
            </w:r>
          </w:p>
        </w:tc>
        <w:tc>
          <w:tcPr>
            <w:tcW w:w="827" w:type="pct"/>
            <w:hideMark/>
          </w:tcPr>
          <w:p w14:paraId="41D4BD7D" w14:textId="77777777" w:rsidR="005F7F24" w:rsidRPr="00B07A9F" w:rsidRDefault="005F7F24" w:rsidP="00BC5B15">
            <w:pPr>
              <w:jc w:val="center"/>
              <w:cnfStyle w:val="100000000000" w:firstRow="1" w:lastRow="0" w:firstColumn="0" w:lastColumn="0" w:oddVBand="0" w:evenVBand="0" w:oddHBand="0" w:evenHBand="0" w:firstRowFirstColumn="0" w:firstRowLastColumn="0" w:lastRowFirstColumn="0" w:lastRowLastColumn="0"/>
              <w:rPr>
                <w:b w:val="0"/>
                <w:bCs w:val="0"/>
                <w:sz w:val="22"/>
                <w:lang w:val="fr-BE"/>
              </w:rPr>
            </w:pPr>
            <w:r w:rsidRPr="00B07A9F">
              <w:rPr>
                <w:sz w:val="22"/>
                <w:lang w:val="fr-BE"/>
              </w:rPr>
              <w:t xml:space="preserve">T° </w:t>
            </w:r>
            <w:proofErr w:type="spellStart"/>
            <w:r w:rsidRPr="00B07A9F">
              <w:rPr>
                <w:sz w:val="22"/>
                <w:lang w:val="fr-BE"/>
              </w:rPr>
              <w:t>reaction</w:t>
            </w:r>
            <w:proofErr w:type="spellEnd"/>
            <w:r w:rsidRPr="00B07A9F">
              <w:rPr>
                <w:sz w:val="22"/>
                <w:lang w:val="fr-BE"/>
              </w:rPr>
              <w:t xml:space="preserve"> </w:t>
            </w:r>
          </w:p>
          <w:p w14:paraId="19763D81" w14:textId="77777777" w:rsidR="005F7F24" w:rsidRPr="00B07A9F" w:rsidRDefault="005F7F24" w:rsidP="00BC5B15">
            <w:pPr>
              <w:jc w:val="center"/>
              <w:cnfStyle w:val="100000000000" w:firstRow="1" w:lastRow="0" w:firstColumn="0" w:lastColumn="0" w:oddVBand="0" w:evenVBand="0" w:oddHBand="0" w:evenHBand="0" w:firstRowFirstColumn="0" w:firstRowLastColumn="0" w:lastRowFirstColumn="0" w:lastRowLastColumn="0"/>
              <w:rPr>
                <w:sz w:val="22"/>
                <w:lang w:val="fr-BE"/>
              </w:rPr>
            </w:pPr>
            <w:r w:rsidRPr="00B07A9F">
              <w:rPr>
                <w:sz w:val="22"/>
                <w:lang w:val="fr-BE"/>
              </w:rPr>
              <w:t>(°C)</w:t>
            </w:r>
          </w:p>
        </w:tc>
        <w:tc>
          <w:tcPr>
            <w:tcW w:w="940" w:type="pct"/>
            <w:hideMark/>
          </w:tcPr>
          <w:p w14:paraId="68223037" w14:textId="77777777" w:rsidR="005F7F24" w:rsidRPr="00B07A9F" w:rsidRDefault="005F7F24" w:rsidP="00BC5B15">
            <w:pPr>
              <w:jc w:val="center"/>
              <w:cnfStyle w:val="100000000000" w:firstRow="1" w:lastRow="0" w:firstColumn="0" w:lastColumn="0" w:oddVBand="0" w:evenVBand="0" w:oddHBand="0" w:evenHBand="0" w:firstRowFirstColumn="0" w:firstRowLastColumn="0" w:lastRowFirstColumn="0" w:lastRowLastColumn="0"/>
              <w:rPr>
                <w:b w:val="0"/>
                <w:bCs w:val="0"/>
                <w:sz w:val="22"/>
                <w:lang w:val="fr-BE"/>
              </w:rPr>
            </w:pPr>
            <w:proofErr w:type="spellStart"/>
            <w:r w:rsidRPr="00B07A9F">
              <w:rPr>
                <w:sz w:val="22"/>
                <w:lang w:val="fr-BE"/>
              </w:rPr>
              <w:t>Stirring</w:t>
            </w:r>
            <w:proofErr w:type="spellEnd"/>
            <w:r w:rsidRPr="00B07A9F">
              <w:rPr>
                <w:sz w:val="22"/>
                <w:lang w:val="fr-BE"/>
              </w:rPr>
              <w:t xml:space="preserve"> time </w:t>
            </w:r>
          </w:p>
          <w:p w14:paraId="02A08A39" w14:textId="77777777" w:rsidR="005F7F24" w:rsidRPr="00B07A9F" w:rsidRDefault="005F7F24" w:rsidP="00BC5B15">
            <w:pPr>
              <w:jc w:val="center"/>
              <w:cnfStyle w:val="100000000000" w:firstRow="1" w:lastRow="0" w:firstColumn="0" w:lastColumn="0" w:oddVBand="0" w:evenVBand="0" w:oddHBand="0" w:evenHBand="0" w:firstRowFirstColumn="0" w:firstRowLastColumn="0" w:lastRowFirstColumn="0" w:lastRowLastColumn="0"/>
              <w:rPr>
                <w:sz w:val="22"/>
                <w:lang w:val="fr-BE"/>
              </w:rPr>
            </w:pPr>
            <w:r w:rsidRPr="00B07A9F">
              <w:rPr>
                <w:sz w:val="22"/>
                <w:lang w:val="fr-BE"/>
              </w:rPr>
              <w:t>(Minutes)</w:t>
            </w:r>
          </w:p>
        </w:tc>
        <w:tc>
          <w:tcPr>
            <w:tcW w:w="978" w:type="pct"/>
          </w:tcPr>
          <w:p w14:paraId="63E350D2" w14:textId="77777777" w:rsidR="005F7F24" w:rsidRPr="00B07A9F" w:rsidRDefault="005F7F24" w:rsidP="00BC5B15">
            <w:pPr>
              <w:jc w:val="center"/>
              <w:cnfStyle w:val="100000000000" w:firstRow="1" w:lastRow="0" w:firstColumn="0" w:lastColumn="0" w:oddVBand="0" w:evenVBand="0" w:oddHBand="0" w:evenHBand="0" w:firstRowFirstColumn="0" w:firstRowLastColumn="0" w:lastRowFirstColumn="0" w:lastRowLastColumn="0"/>
              <w:rPr>
                <w:b w:val="0"/>
                <w:bCs w:val="0"/>
                <w:sz w:val="22"/>
                <w:lang w:val="fr-BE"/>
              </w:rPr>
            </w:pPr>
            <w:proofErr w:type="spellStart"/>
            <w:r w:rsidRPr="00B07A9F">
              <w:rPr>
                <w:sz w:val="22"/>
                <w:lang w:val="fr-BE"/>
              </w:rPr>
              <w:t>Heating</w:t>
            </w:r>
            <w:proofErr w:type="spellEnd"/>
            <w:r w:rsidRPr="00B07A9F">
              <w:rPr>
                <w:sz w:val="22"/>
                <w:lang w:val="fr-BE"/>
              </w:rPr>
              <w:t xml:space="preserve"> T°</w:t>
            </w:r>
          </w:p>
          <w:p w14:paraId="22A07743" w14:textId="77777777" w:rsidR="005F7F24" w:rsidRPr="00B07A9F" w:rsidRDefault="005F7F24" w:rsidP="00BC5B15">
            <w:pPr>
              <w:jc w:val="center"/>
              <w:cnfStyle w:val="100000000000" w:firstRow="1" w:lastRow="0" w:firstColumn="0" w:lastColumn="0" w:oddVBand="0" w:evenVBand="0" w:oddHBand="0" w:evenHBand="0" w:firstRowFirstColumn="0" w:firstRowLastColumn="0" w:lastRowFirstColumn="0" w:lastRowLastColumn="0"/>
              <w:rPr>
                <w:sz w:val="22"/>
                <w:lang w:val="fr-BE"/>
              </w:rPr>
            </w:pPr>
            <w:r w:rsidRPr="00B07A9F">
              <w:rPr>
                <w:sz w:val="22"/>
                <w:lang w:val="fr-BE"/>
              </w:rPr>
              <w:t>°C</w:t>
            </w:r>
          </w:p>
        </w:tc>
      </w:tr>
      <w:tr w:rsidR="005F7F24" w:rsidRPr="00B07A9F" w14:paraId="4AA343F2" w14:textId="77777777" w:rsidTr="00BC5B1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54" w:type="pct"/>
            <w:hideMark/>
          </w:tcPr>
          <w:p w14:paraId="46D6133F" w14:textId="77777777" w:rsidR="005F7F24" w:rsidRPr="00B07A9F" w:rsidRDefault="005F7F24" w:rsidP="00BC5B15">
            <w:pPr>
              <w:spacing w:before="240"/>
              <w:jc w:val="center"/>
              <w:rPr>
                <w:b w:val="0"/>
                <w:sz w:val="22"/>
                <w:lang w:val="fr-BE"/>
              </w:rPr>
            </w:pPr>
            <w:r w:rsidRPr="00B07A9F">
              <w:rPr>
                <w:b w:val="0"/>
                <w:sz w:val="22"/>
                <w:lang w:val="fr-CD"/>
              </w:rPr>
              <w:t>1000</w:t>
            </w:r>
          </w:p>
        </w:tc>
        <w:tc>
          <w:tcPr>
            <w:tcW w:w="1101" w:type="pct"/>
            <w:hideMark/>
          </w:tcPr>
          <w:p w14:paraId="1DAD43DD" w14:textId="77777777" w:rsidR="005F7F24" w:rsidRPr="00B07A9F" w:rsidRDefault="005F7F24" w:rsidP="00BC5B15">
            <w:pPr>
              <w:spacing w:before="240"/>
              <w:jc w:val="center"/>
              <w:cnfStyle w:val="000000100000" w:firstRow="0" w:lastRow="0" w:firstColumn="0" w:lastColumn="0" w:oddVBand="0" w:evenVBand="0" w:oddHBand="1" w:evenHBand="0" w:firstRowFirstColumn="0" w:firstRowLastColumn="0" w:lastRowFirstColumn="0" w:lastRowLastColumn="0"/>
              <w:rPr>
                <w:sz w:val="22"/>
                <w:lang w:val="fr-BE"/>
              </w:rPr>
            </w:pPr>
            <w:r w:rsidRPr="00B07A9F">
              <w:rPr>
                <w:sz w:val="22"/>
                <w:lang w:val="fr-CD"/>
              </w:rPr>
              <w:t>30</w:t>
            </w:r>
          </w:p>
        </w:tc>
        <w:tc>
          <w:tcPr>
            <w:tcW w:w="827" w:type="pct"/>
            <w:hideMark/>
          </w:tcPr>
          <w:p w14:paraId="1B112A69" w14:textId="77777777" w:rsidR="005F7F24" w:rsidRPr="00B07A9F" w:rsidRDefault="005F7F24" w:rsidP="00BC5B15">
            <w:pPr>
              <w:spacing w:before="240"/>
              <w:jc w:val="center"/>
              <w:cnfStyle w:val="000000100000" w:firstRow="0" w:lastRow="0" w:firstColumn="0" w:lastColumn="0" w:oddVBand="0" w:evenVBand="0" w:oddHBand="1" w:evenHBand="0" w:firstRowFirstColumn="0" w:firstRowLastColumn="0" w:lastRowFirstColumn="0" w:lastRowLastColumn="0"/>
              <w:rPr>
                <w:sz w:val="22"/>
                <w:lang w:val="fr-BE"/>
              </w:rPr>
            </w:pPr>
            <w:r w:rsidRPr="00B07A9F">
              <w:rPr>
                <w:sz w:val="22"/>
                <w:lang w:val="fr-CD"/>
              </w:rPr>
              <w:t>70</w:t>
            </w:r>
          </w:p>
        </w:tc>
        <w:tc>
          <w:tcPr>
            <w:tcW w:w="940" w:type="pct"/>
            <w:hideMark/>
          </w:tcPr>
          <w:p w14:paraId="7C94CFAA" w14:textId="77777777" w:rsidR="005F7F24" w:rsidRPr="00B07A9F" w:rsidRDefault="005F7F24" w:rsidP="00BC5B15">
            <w:pPr>
              <w:spacing w:before="240"/>
              <w:jc w:val="center"/>
              <w:cnfStyle w:val="000000100000" w:firstRow="0" w:lastRow="0" w:firstColumn="0" w:lastColumn="0" w:oddVBand="0" w:evenVBand="0" w:oddHBand="1" w:evenHBand="0" w:firstRowFirstColumn="0" w:firstRowLastColumn="0" w:lastRowFirstColumn="0" w:lastRowLastColumn="0"/>
              <w:rPr>
                <w:sz w:val="22"/>
                <w:lang w:val="fr-BE"/>
              </w:rPr>
            </w:pPr>
            <w:r w:rsidRPr="00B07A9F">
              <w:rPr>
                <w:sz w:val="22"/>
                <w:lang w:val="fr-CD"/>
              </w:rPr>
              <w:t>60</w:t>
            </w:r>
          </w:p>
        </w:tc>
        <w:tc>
          <w:tcPr>
            <w:tcW w:w="978" w:type="pct"/>
          </w:tcPr>
          <w:p w14:paraId="73EF9E92" w14:textId="77777777" w:rsidR="005F7F24" w:rsidRPr="00B07A9F" w:rsidRDefault="005F7F24" w:rsidP="00BC5B15">
            <w:pPr>
              <w:spacing w:before="240"/>
              <w:jc w:val="center"/>
              <w:cnfStyle w:val="000000100000" w:firstRow="0" w:lastRow="0" w:firstColumn="0" w:lastColumn="0" w:oddVBand="0" w:evenVBand="0" w:oddHBand="1" w:evenHBand="0" w:firstRowFirstColumn="0" w:firstRowLastColumn="0" w:lastRowFirstColumn="0" w:lastRowLastColumn="0"/>
              <w:rPr>
                <w:sz w:val="22"/>
                <w:lang w:val="fr-CD"/>
              </w:rPr>
            </w:pPr>
            <w:r w:rsidRPr="00B07A9F">
              <w:rPr>
                <w:sz w:val="22"/>
                <w:lang w:val="fr-CD"/>
              </w:rPr>
              <w:t>400</w:t>
            </w:r>
          </w:p>
        </w:tc>
      </w:tr>
      <w:tr w:rsidR="005F7F24" w:rsidRPr="00B07A9F" w14:paraId="324B39E4" w14:textId="77777777" w:rsidTr="00BC5B15">
        <w:trPr>
          <w:trHeight w:val="20"/>
        </w:trPr>
        <w:tc>
          <w:tcPr>
            <w:cnfStyle w:val="001000000000" w:firstRow="0" w:lastRow="0" w:firstColumn="1" w:lastColumn="0" w:oddVBand="0" w:evenVBand="0" w:oddHBand="0" w:evenHBand="0" w:firstRowFirstColumn="0" w:firstRowLastColumn="0" w:lastRowFirstColumn="0" w:lastRowLastColumn="0"/>
            <w:tcW w:w="1154" w:type="pct"/>
            <w:hideMark/>
          </w:tcPr>
          <w:p w14:paraId="74726CF5" w14:textId="77777777" w:rsidR="005F7F24" w:rsidRPr="00B07A9F" w:rsidRDefault="005F7F24" w:rsidP="00BC5B15">
            <w:pPr>
              <w:spacing w:before="240"/>
              <w:jc w:val="center"/>
              <w:rPr>
                <w:b w:val="0"/>
                <w:sz w:val="22"/>
                <w:lang w:val="fr-BE"/>
              </w:rPr>
            </w:pPr>
            <w:r w:rsidRPr="00B07A9F">
              <w:rPr>
                <w:b w:val="0"/>
                <w:sz w:val="22"/>
                <w:lang w:val="fr-CD"/>
              </w:rPr>
              <w:t>1000</w:t>
            </w:r>
          </w:p>
        </w:tc>
        <w:tc>
          <w:tcPr>
            <w:tcW w:w="1101" w:type="pct"/>
            <w:hideMark/>
          </w:tcPr>
          <w:p w14:paraId="64CAEF3C" w14:textId="77777777" w:rsidR="005F7F24" w:rsidRPr="00B07A9F" w:rsidRDefault="005F7F24" w:rsidP="00BC5B15">
            <w:pPr>
              <w:spacing w:before="240"/>
              <w:jc w:val="center"/>
              <w:cnfStyle w:val="000000000000" w:firstRow="0" w:lastRow="0" w:firstColumn="0" w:lastColumn="0" w:oddVBand="0" w:evenVBand="0" w:oddHBand="0" w:evenHBand="0" w:firstRowFirstColumn="0" w:firstRowLastColumn="0" w:lastRowFirstColumn="0" w:lastRowLastColumn="0"/>
              <w:rPr>
                <w:sz w:val="22"/>
                <w:lang w:val="fr-BE"/>
              </w:rPr>
            </w:pPr>
            <w:r w:rsidRPr="00B07A9F">
              <w:rPr>
                <w:sz w:val="22"/>
                <w:lang w:val="fr-CD"/>
              </w:rPr>
              <w:t>30</w:t>
            </w:r>
          </w:p>
        </w:tc>
        <w:tc>
          <w:tcPr>
            <w:tcW w:w="827" w:type="pct"/>
            <w:hideMark/>
          </w:tcPr>
          <w:p w14:paraId="5848B0EE" w14:textId="77777777" w:rsidR="005F7F24" w:rsidRPr="00B07A9F" w:rsidRDefault="005F7F24" w:rsidP="00BC5B15">
            <w:pPr>
              <w:spacing w:before="240"/>
              <w:jc w:val="center"/>
              <w:cnfStyle w:val="000000000000" w:firstRow="0" w:lastRow="0" w:firstColumn="0" w:lastColumn="0" w:oddVBand="0" w:evenVBand="0" w:oddHBand="0" w:evenHBand="0" w:firstRowFirstColumn="0" w:firstRowLastColumn="0" w:lastRowFirstColumn="0" w:lastRowLastColumn="0"/>
              <w:rPr>
                <w:sz w:val="22"/>
                <w:lang w:val="fr-BE"/>
              </w:rPr>
            </w:pPr>
            <w:r w:rsidRPr="00B07A9F">
              <w:rPr>
                <w:sz w:val="22"/>
                <w:lang w:val="fr-CD"/>
              </w:rPr>
              <w:t>70</w:t>
            </w:r>
          </w:p>
        </w:tc>
        <w:tc>
          <w:tcPr>
            <w:tcW w:w="940" w:type="pct"/>
            <w:hideMark/>
          </w:tcPr>
          <w:p w14:paraId="77B87605" w14:textId="77777777" w:rsidR="005F7F24" w:rsidRPr="00B07A9F" w:rsidRDefault="005F7F24" w:rsidP="00BC5B15">
            <w:pPr>
              <w:spacing w:before="240"/>
              <w:jc w:val="center"/>
              <w:cnfStyle w:val="000000000000" w:firstRow="0" w:lastRow="0" w:firstColumn="0" w:lastColumn="0" w:oddVBand="0" w:evenVBand="0" w:oddHBand="0" w:evenHBand="0" w:firstRowFirstColumn="0" w:firstRowLastColumn="0" w:lastRowFirstColumn="0" w:lastRowLastColumn="0"/>
              <w:rPr>
                <w:sz w:val="22"/>
                <w:lang w:val="fr-BE"/>
              </w:rPr>
            </w:pPr>
            <w:r w:rsidRPr="00B07A9F">
              <w:rPr>
                <w:sz w:val="22"/>
                <w:lang w:val="fr-CD"/>
              </w:rPr>
              <w:t>15</w:t>
            </w:r>
          </w:p>
        </w:tc>
        <w:tc>
          <w:tcPr>
            <w:tcW w:w="978" w:type="pct"/>
          </w:tcPr>
          <w:p w14:paraId="7A949CAB" w14:textId="77777777" w:rsidR="005F7F24" w:rsidRPr="00B07A9F" w:rsidRDefault="005F7F24" w:rsidP="00BC5B15">
            <w:pPr>
              <w:spacing w:before="240"/>
              <w:jc w:val="center"/>
              <w:cnfStyle w:val="000000000000" w:firstRow="0" w:lastRow="0" w:firstColumn="0" w:lastColumn="0" w:oddVBand="0" w:evenVBand="0" w:oddHBand="0" w:evenHBand="0" w:firstRowFirstColumn="0" w:firstRowLastColumn="0" w:lastRowFirstColumn="0" w:lastRowLastColumn="0"/>
              <w:rPr>
                <w:sz w:val="22"/>
                <w:lang w:val="fr-CD"/>
              </w:rPr>
            </w:pPr>
            <w:r w:rsidRPr="00B07A9F">
              <w:rPr>
                <w:sz w:val="22"/>
                <w:lang w:val="fr-CD"/>
              </w:rPr>
              <w:t>400</w:t>
            </w:r>
          </w:p>
        </w:tc>
      </w:tr>
      <w:tr w:rsidR="005F7F24" w:rsidRPr="00B07A9F" w14:paraId="10C58944" w14:textId="77777777" w:rsidTr="00BC5B1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54" w:type="pct"/>
            <w:hideMark/>
          </w:tcPr>
          <w:p w14:paraId="0AF8BDB8" w14:textId="77777777" w:rsidR="005F7F24" w:rsidRPr="00B07A9F" w:rsidRDefault="005F7F24" w:rsidP="00BC5B15">
            <w:pPr>
              <w:spacing w:before="240"/>
              <w:jc w:val="center"/>
              <w:rPr>
                <w:b w:val="0"/>
                <w:sz w:val="22"/>
                <w:lang w:val="fr-BE"/>
              </w:rPr>
            </w:pPr>
            <w:r w:rsidRPr="00B07A9F">
              <w:rPr>
                <w:b w:val="0"/>
                <w:sz w:val="22"/>
                <w:lang w:val="fr-BE"/>
              </w:rPr>
              <w:t>100</w:t>
            </w:r>
          </w:p>
        </w:tc>
        <w:tc>
          <w:tcPr>
            <w:tcW w:w="1101" w:type="pct"/>
            <w:hideMark/>
          </w:tcPr>
          <w:p w14:paraId="0392DFD0" w14:textId="77777777" w:rsidR="005F7F24" w:rsidRPr="00B07A9F" w:rsidRDefault="005F7F24" w:rsidP="00BC5B15">
            <w:pPr>
              <w:spacing w:before="240"/>
              <w:jc w:val="center"/>
              <w:cnfStyle w:val="000000100000" w:firstRow="0" w:lastRow="0" w:firstColumn="0" w:lastColumn="0" w:oddVBand="0" w:evenVBand="0" w:oddHBand="1" w:evenHBand="0" w:firstRowFirstColumn="0" w:firstRowLastColumn="0" w:lastRowFirstColumn="0" w:lastRowLastColumn="0"/>
              <w:rPr>
                <w:sz w:val="22"/>
                <w:lang w:val="fr-BE"/>
              </w:rPr>
            </w:pPr>
            <w:r w:rsidRPr="00B07A9F">
              <w:rPr>
                <w:sz w:val="22"/>
                <w:lang w:val="fr-BE"/>
              </w:rPr>
              <w:t>30</w:t>
            </w:r>
          </w:p>
        </w:tc>
        <w:tc>
          <w:tcPr>
            <w:tcW w:w="827" w:type="pct"/>
            <w:hideMark/>
          </w:tcPr>
          <w:p w14:paraId="34A0E93B" w14:textId="77777777" w:rsidR="005F7F24" w:rsidRPr="00B07A9F" w:rsidRDefault="005F7F24" w:rsidP="00BC5B15">
            <w:pPr>
              <w:spacing w:before="240"/>
              <w:jc w:val="center"/>
              <w:cnfStyle w:val="000000100000" w:firstRow="0" w:lastRow="0" w:firstColumn="0" w:lastColumn="0" w:oddVBand="0" w:evenVBand="0" w:oddHBand="1" w:evenHBand="0" w:firstRowFirstColumn="0" w:firstRowLastColumn="0" w:lastRowFirstColumn="0" w:lastRowLastColumn="0"/>
              <w:rPr>
                <w:sz w:val="22"/>
                <w:lang w:val="fr-BE"/>
              </w:rPr>
            </w:pPr>
            <w:r w:rsidRPr="00B07A9F">
              <w:rPr>
                <w:sz w:val="22"/>
                <w:lang w:val="fr-BE"/>
              </w:rPr>
              <w:t>70</w:t>
            </w:r>
          </w:p>
        </w:tc>
        <w:tc>
          <w:tcPr>
            <w:tcW w:w="940" w:type="pct"/>
            <w:hideMark/>
          </w:tcPr>
          <w:p w14:paraId="1C205EE4" w14:textId="77777777" w:rsidR="005F7F24" w:rsidRPr="00B07A9F" w:rsidRDefault="005F7F24" w:rsidP="00BC5B15">
            <w:pPr>
              <w:spacing w:before="240"/>
              <w:jc w:val="center"/>
              <w:cnfStyle w:val="000000100000" w:firstRow="0" w:lastRow="0" w:firstColumn="0" w:lastColumn="0" w:oddVBand="0" w:evenVBand="0" w:oddHBand="1" w:evenHBand="0" w:firstRowFirstColumn="0" w:firstRowLastColumn="0" w:lastRowFirstColumn="0" w:lastRowLastColumn="0"/>
              <w:rPr>
                <w:sz w:val="22"/>
                <w:lang w:val="fr-BE"/>
              </w:rPr>
            </w:pPr>
            <w:r w:rsidRPr="00B07A9F">
              <w:rPr>
                <w:sz w:val="22"/>
                <w:lang w:val="fr-BE"/>
              </w:rPr>
              <w:t>15</w:t>
            </w:r>
          </w:p>
        </w:tc>
        <w:tc>
          <w:tcPr>
            <w:tcW w:w="978" w:type="pct"/>
          </w:tcPr>
          <w:p w14:paraId="20E51E3B" w14:textId="77777777" w:rsidR="005F7F24" w:rsidRPr="00B07A9F" w:rsidRDefault="005F7F24" w:rsidP="00BC5B15">
            <w:pPr>
              <w:spacing w:before="240"/>
              <w:jc w:val="center"/>
              <w:cnfStyle w:val="000000100000" w:firstRow="0" w:lastRow="0" w:firstColumn="0" w:lastColumn="0" w:oddVBand="0" w:evenVBand="0" w:oddHBand="1" w:evenHBand="0" w:firstRowFirstColumn="0" w:firstRowLastColumn="0" w:lastRowFirstColumn="0" w:lastRowLastColumn="0"/>
              <w:rPr>
                <w:sz w:val="22"/>
                <w:lang w:val="fr-BE"/>
              </w:rPr>
            </w:pPr>
            <w:r w:rsidRPr="00B07A9F">
              <w:rPr>
                <w:sz w:val="22"/>
                <w:lang w:val="fr-BE"/>
              </w:rPr>
              <w:t>400</w:t>
            </w:r>
          </w:p>
        </w:tc>
      </w:tr>
      <w:tr w:rsidR="005F7F24" w:rsidRPr="00B07A9F" w14:paraId="513D5133" w14:textId="77777777" w:rsidTr="00BC5B15">
        <w:trPr>
          <w:trHeight w:val="20"/>
        </w:trPr>
        <w:tc>
          <w:tcPr>
            <w:cnfStyle w:val="001000000000" w:firstRow="0" w:lastRow="0" w:firstColumn="1" w:lastColumn="0" w:oddVBand="0" w:evenVBand="0" w:oddHBand="0" w:evenHBand="0" w:firstRowFirstColumn="0" w:firstRowLastColumn="0" w:lastRowFirstColumn="0" w:lastRowLastColumn="0"/>
            <w:tcW w:w="1154" w:type="pct"/>
            <w:hideMark/>
          </w:tcPr>
          <w:p w14:paraId="052FA24A" w14:textId="77777777" w:rsidR="005F7F24" w:rsidRPr="00B07A9F" w:rsidRDefault="005F7F24" w:rsidP="00BC5B15">
            <w:pPr>
              <w:spacing w:before="240"/>
              <w:jc w:val="center"/>
              <w:rPr>
                <w:b w:val="0"/>
                <w:sz w:val="22"/>
                <w:lang w:val="fr-BE"/>
              </w:rPr>
            </w:pPr>
            <w:r w:rsidRPr="00B07A9F">
              <w:rPr>
                <w:b w:val="0"/>
                <w:sz w:val="22"/>
                <w:lang w:val="fr-BE"/>
              </w:rPr>
              <w:t>100</w:t>
            </w:r>
          </w:p>
        </w:tc>
        <w:tc>
          <w:tcPr>
            <w:tcW w:w="1101" w:type="pct"/>
            <w:hideMark/>
          </w:tcPr>
          <w:p w14:paraId="0F71A749" w14:textId="77777777" w:rsidR="005F7F24" w:rsidRPr="00B07A9F" w:rsidRDefault="005F7F24" w:rsidP="00BC5B15">
            <w:pPr>
              <w:spacing w:before="240"/>
              <w:jc w:val="center"/>
              <w:cnfStyle w:val="000000000000" w:firstRow="0" w:lastRow="0" w:firstColumn="0" w:lastColumn="0" w:oddVBand="0" w:evenVBand="0" w:oddHBand="0" w:evenHBand="0" w:firstRowFirstColumn="0" w:firstRowLastColumn="0" w:lastRowFirstColumn="0" w:lastRowLastColumn="0"/>
              <w:rPr>
                <w:sz w:val="22"/>
                <w:lang w:val="fr-BE"/>
              </w:rPr>
            </w:pPr>
            <w:r w:rsidRPr="00B07A9F">
              <w:rPr>
                <w:sz w:val="22"/>
                <w:lang w:val="fr-BE"/>
              </w:rPr>
              <w:t>35</w:t>
            </w:r>
          </w:p>
        </w:tc>
        <w:tc>
          <w:tcPr>
            <w:tcW w:w="827" w:type="pct"/>
            <w:hideMark/>
          </w:tcPr>
          <w:p w14:paraId="162B4A0E" w14:textId="77777777" w:rsidR="005F7F24" w:rsidRPr="00B07A9F" w:rsidRDefault="005F7F24" w:rsidP="00BC5B15">
            <w:pPr>
              <w:spacing w:before="240"/>
              <w:jc w:val="center"/>
              <w:cnfStyle w:val="000000000000" w:firstRow="0" w:lastRow="0" w:firstColumn="0" w:lastColumn="0" w:oddVBand="0" w:evenVBand="0" w:oddHBand="0" w:evenHBand="0" w:firstRowFirstColumn="0" w:firstRowLastColumn="0" w:lastRowFirstColumn="0" w:lastRowLastColumn="0"/>
              <w:rPr>
                <w:sz w:val="22"/>
                <w:lang w:val="fr-BE"/>
              </w:rPr>
            </w:pPr>
            <w:r w:rsidRPr="00B07A9F">
              <w:rPr>
                <w:sz w:val="22"/>
                <w:lang w:val="fr-BE"/>
              </w:rPr>
              <w:t>70</w:t>
            </w:r>
          </w:p>
        </w:tc>
        <w:tc>
          <w:tcPr>
            <w:tcW w:w="940" w:type="pct"/>
            <w:hideMark/>
          </w:tcPr>
          <w:p w14:paraId="15C4A6D9" w14:textId="77777777" w:rsidR="005F7F24" w:rsidRPr="00B07A9F" w:rsidRDefault="005F7F24" w:rsidP="00BC5B15">
            <w:pPr>
              <w:spacing w:before="240"/>
              <w:jc w:val="center"/>
              <w:cnfStyle w:val="000000000000" w:firstRow="0" w:lastRow="0" w:firstColumn="0" w:lastColumn="0" w:oddVBand="0" w:evenVBand="0" w:oddHBand="0" w:evenHBand="0" w:firstRowFirstColumn="0" w:firstRowLastColumn="0" w:lastRowFirstColumn="0" w:lastRowLastColumn="0"/>
              <w:rPr>
                <w:sz w:val="22"/>
                <w:lang w:val="fr-BE"/>
              </w:rPr>
            </w:pPr>
            <w:r w:rsidRPr="00B07A9F">
              <w:rPr>
                <w:sz w:val="22"/>
                <w:lang w:val="fr-BE"/>
              </w:rPr>
              <w:t>15</w:t>
            </w:r>
          </w:p>
        </w:tc>
        <w:tc>
          <w:tcPr>
            <w:tcW w:w="978" w:type="pct"/>
          </w:tcPr>
          <w:p w14:paraId="3441894E" w14:textId="77777777" w:rsidR="005F7F24" w:rsidRPr="00B07A9F" w:rsidRDefault="005F7F24" w:rsidP="00BC5B15">
            <w:pPr>
              <w:spacing w:before="240"/>
              <w:jc w:val="center"/>
              <w:cnfStyle w:val="000000000000" w:firstRow="0" w:lastRow="0" w:firstColumn="0" w:lastColumn="0" w:oddVBand="0" w:evenVBand="0" w:oddHBand="0" w:evenHBand="0" w:firstRowFirstColumn="0" w:firstRowLastColumn="0" w:lastRowFirstColumn="0" w:lastRowLastColumn="0"/>
              <w:rPr>
                <w:sz w:val="22"/>
                <w:lang w:val="fr-BE"/>
              </w:rPr>
            </w:pPr>
            <w:r w:rsidRPr="00B07A9F">
              <w:rPr>
                <w:sz w:val="22"/>
                <w:lang w:val="fr-BE"/>
              </w:rPr>
              <w:t>400</w:t>
            </w:r>
          </w:p>
        </w:tc>
      </w:tr>
    </w:tbl>
    <w:p w14:paraId="6B9EF357" w14:textId="77777777" w:rsidR="005F7F24" w:rsidRPr="00B07A9F" w:rsidRDefault="005F7F24" w:rsidP="00340920">
      <w:pPr>
        <w:spacing w:before="240"/>
        <w:rPr>
          <w:sz w:val="22"/>
        </w:rPr>
      </w:pPr>
    </w:p>
    <w:p w14:paraId="5CF6E971" w14:textId="2D839439" w:rsidR="00981F50" w:rsidRPr="00B07A9F" w:rsidRDefault="00981F50" w:rsidP="00340920">
      <w:pPr>
        <w:spacing w:before="240"/>
        <w:rPr>
          <w:b/>
          <w:sz w:val="22"/>
        </w:rPr>
      </w:pPr>
      <w:r w:rsidRPr="00B07A9F">
        <w:rPr>
          <w:sz w:val="22"/>
        </w:rPr>
        <w:t xml:space="preserve">The second method was based on mixing zinc nitrate hexahydrate with the selected plant extract solution at room temperature while adding Tween 80 (3.5% v/v) or gum </w:t>
      </w:r>
      <w:proofErr w:type="spellStart"/>
      <w:r w:rsidRPr="00B07A9F">
        <w:rPr>
          <w:sz w:val="22"/>
        </w:rPr>
        <w:t>arabic</w:t>
      </w:r>
      <w:proofErr w:type="spellEnd"/>
      <w:r w:rsidRPr="00B07A9F">
        <w:rPr>
          <w:sz w:val="22"/>
        </w:rPr>
        <w:t xml:space="preserve"> (1% w/v) under stirring (to avoid the growth of large particles). The pH was adjusted to values between 9 and 11 (as described in Table 2 below) by adding a 2 M sodium hydroxide solution dropwise. Then, the mixture was heated at 70 °C under stirring for 1 h and centrifuged (10,000 rpm for 10 min) to obtain the precipitate of </w:t>
      </w:r>
      <w:proofErr w:type="spellStart"/>
      <w:r w:rsidRPr="00B07A9F">
        <w:rPr>
          <w:sz w:val="22"/>
        </w:rPr>
        <w:t>ZnONPs</w:t>
      </w:r>
      <w:proofErr w:type="spellEnd"/>
      <w:r w:rsidRPr="00B07A9F">
        <w:rPr>
          <w:sz w:val="22"/>
        </w:rPr>
        <w:t xml:space="preserve"> </w:t>
      </w:r>
      <w:r w:rsidRPr="00B07A9F">
        <w:rPr>
          <w:sz w:val="22"/>
        </w:rPr>
        <w:fldChar w:fldCharType="begin" w:fldLock="1"/>
      </w:r>
      <w:r w:rsidRPr="00B07A9F">
        <w:rPr>
          <w:sz w:val="22"/>
        </w:rPr>
        <w:instrText>ADDIN CSL_CITATION {"citationItems":[{"id":"ITEM-1","itemData":{"DOI":"10.1038/s41598-020-65949-3","ISBN":"4159802065949","ISSN":"20452322","PMID":"32493935","abstract":"Development of plant based nanoparticles has many advantages over conventional physico-chemical methods and has various applications in medicine and biology. In present study, zinc oxide (ZnO) nanoparticles (NPs) were synthesized using leaf extracts of two medicinal plants Cassia fistula and Melia azadarach. 0.01 M zinc acetate dihydrate was used as a precursor in leaf extracts of respective plants for NPs synthesis. The structural and optical properties of NPs were investigated by X-ray diffraction (XRD), Fourier transform infrared (FTIR) spectroscopy, scanning electron microscope (SEM), ultraviolet-visible spectrophotometer (UV-Vis) and dynamic light scattering (DLS). The antibacterial potential of ZnO NPs was examined by paper disc diffusion method against two clinical strains of Escherichia coli (E. coli) and Staphylococcus aureus (S. aureus) based on the zone of inhibition and minimal inhibitory indices (MIC). Change in color of the reaction mixture from brown to white indicated the formation of ZnO NPs. UV peaks at 320 nm and 324 nm, and XRD pattern matching that of JCPDS card for ZnO confirmed the presence of pure ZnO NPs. FTIR further confirmed the presence of bioactive functional groups involved in the reduction of bulk zinc acetate to ZnO NPs. SEM analysis displayed the shape of NPs to be spherical whereas DLS showed their size range from 3 to 68 nm. The C. fistula and M. azadarach mediated ZnO NPs showed strong antimicrobial activity against clinical pathogens compared to standard drugs, suggesting that plant based synthesis of NPs can be an excellent strategy to develop versatile and eco-friendly biomedical products.","author":[{"dropping-particle":"","family":"Naseer","given":"Minha","non-dropping-particle":"","parse-names":false,"suffix":""},{"dropping-particle":"","family":"Aslam","given":"Usman","non-dropping-particle":"","parse-names":false,"suffix":""},{"dropping-particle":"","family":"Khalid","given":"Bushra","non-dropping-particle":"","parse-names":false,"suffix":""},{"dropping-particle":"","family":"Chen","given":"Bin","non-dropping-particle":"","parse-names":false,"suffix":""}],"container-title":"Scientific Reports","id":"ITEM-1","issue":"1","issued":{"date-parts":[["2020"]]},"page":"1-10","publisher":"Springer US","title":"Green route to synthesize Zinc Oxide Nanoparticles using leaf extracts of Cassia fistula and Melia azadarach and their antibacterial potential","type":"article-journal","volume":"10"},"uris":["http://www.mendeley.com/documents/?uuid=e322bc6e-592a-4549-b315-537cbaabd51d"]}],"mendeley":{"formattedCitation":"(Naseer et al., 2020)","plainTextFormattedCitation":"(Naseer et al., 2020)","previouslyFormattedCitation":"(Naseer et al., 2020)"},"properties":{"noteIndex":0},"schema":"https://github.com/citation-style-language/schema/raw/master/csl-citation.json"}</w:instrText>
      </w:r>
      <w:r w:rsidRPr="00B07A9F">
        <w:rPr>
          <w:sz w:val="22"/>
        </w:rPr>
        <w:fldChar w:fldCharType="separate"/>
      </w:r>
      <w:r w:rsidRPr="00B07A9F">
        <w:rPr>
          <w:noProof/>
          <w:sz w:val="22"/>
        </w:rPr>
        <w:t>(Naseer et al., 2020)</w:t>
      </w:r>
      <w:r w:rsidRPr="00B07A9F">
        <w:rPr>
          <w:sz w:val="22"/>
        </w:rPr>
        <w:fldChar w:fldCharType="end"/>
      </w:r>
      <w:r w:rsidRPr="00B07A9F">
        <w:rPr>
          <w:sz w:val="22"/>
        </w:rPr>
        <w:t>. The resulting nanoparticles were washed twice with Milli-Q water and lyophilized (low-temperature method).</w:t>
      </w:r>
    </w:p>
    <w:p w14:paraId="07666AD2" w14:textId="26E44CC9" w:rsidR="00981F50" w:rsidRPr="00B07A9F" w:rsidRDefault="00981F50" w:rsidP="00340920">
      <w:pPr>
        <w:spacing w:before="240"/>
        <w:rPr>
          <w:bCs/>
          <w:sz w:val="22"/>
        </w:rPr>
      </w:pPr>
      <w:bookmarkStart w:id="9" w:name="_Hlk117266023"/>
      <w:r w:rsidRPr="00B07A9F">
        <w:rPr>
          <w:b/>
          <w:sz w:val="22"/>
        </w:rPr>
        <w:t xml:space="preserve">Table 2. </w:t>
      </w:r>
      <w:r w:rsidRPr="00B07A9F">
        <w:rPr>
          <w:bCs/>
          <w:sz w:val="22"/>
        </w:rPr>
        <w:t>Conditions used for the low temperature method</w:t>
      </w:r>
    </w:p>
    <w:tbl>
      <w:tblPr>
        <w:tblStyle w:val="Tableausimple21"/>
        <w:tblW w:w="10360" w:type="dxa"/>
        <w:tblLook w:val="04A0" w:firstRow="1" w:lastRow="0" w:firstColumn="1" w:lastColumn="0" w:noHBand="0" w:noVBand="1"/>
      </w:tblPr>
      <w:tblGrid>
        <w:gridCol w:w="2480"/>
        <w:gridCol w:w="1880"/>
        <w:gridCol w:w="1200"/>
        <w:gridCol w:w="1200"/>
        <w:gridCol w:w="1200"/>
        <w:gridCol w:w="1200"/>
        <w:gridCol w:w="1200"/>
      </w:tblGrid>
      <w:tr w:rsidR="005F7F24" w:rsidRPr="00B07A9F" w14:paraId="254BFE66" w14:textId="77777777" w:rsidTr="00BC5B15">
        <w:trPr>
          <w:cnfStyle w:val="100000000000" w:firstRow="1" w:lastRow="0" w:firstColumn="0" w:lastColumn="0" w:oddVBand="0" w:evenVBand="0" w:oddHBand="0" w:evenHBand="0" w:firstRowFirstColumn="0" w:firstRowLastColumn="0" w:lastRowFirstColumn="0" w:lastRowLastColumn="0"/>
          <w:trHeight w:val="831"/>
        </w:trPr>
        <w:tc>
          <w:tcPr>
            <w:cnfStyle w:val="001000000000" w:firstRow="0" w:lastRow="0" w:firstColumn="1" w:lastColumn="0" w:oddVBand="0" w:evenVBand="0" w:oddHBand="0" w:evenHBand="0" w:firstRowFirstColumn="0" w:firstRowLastColumn="0" w:lastRowFirstColumn="0" w:lastRowLastColumn="0"/>
            <w:tcW w:w="2480" w:type="dxa"/>
            <w:hideMark/>
          </w:tcPr>
          <w:p w14:paraId="7965F1D4" w14:textId="77777777" w:rsidR="005F7F24" w:rsidRPr="00B07A9F" w:rsidRDefault="005F7F24" w:rsidP="00BC5B15">
            <w:pPr>
              <w:spacing w:after="0"/>
              <w:jc w:val="center"/>
              <w:rPr>
                <w:bCs w:val="0"/>
                <w:color w:val="000000"/>
                <w:sz w:val="22"/>
                <w:szCs w:val="22"/>
                <w:lang w:val="fr-BE" w:eastAsia="fr-BE"/>
              </w:rPr>
            </w:pPr>
            <w:proofErr w:type="gramStart"/>
            <w:r w:rsidRPr="00B07A9F">
              <w:rPr>
                <w:rFonts w:eastAsia="Microsoft JhengHei"/>
                <w:color w:val="000000"/>
                <w:sz w:val="22"/>
                <w:szCs w:val="22"/>
                <w:lang w:val="es-ES" w:eastAsia="fr-BE"/>
              </w:rPr>
              <w:t>Zn(</w:t>
            </w:r>
            <w:proofErr w:type="gramEnd"/>
            <w:r w:rsidRPr="00B07A9F">
              <w:rPr>
                <w:rFonts w:eastAsia="Microsoft JhengHei"/>
                <w:color w:val="000000"/>
                <w:sz w:val="22"/>
                <w:szCs w:val="22"/>
                <w:lang w:val="es-ES" w:eastAsia="fr-BE"/>
              </w:rPr>
              <w:t>NO</w:t>
            </w:r>
            <w:r w:rsidRPr="00B07A9F">
              <w:rPr>
                <w:rFonts w:eastAsia="Microsoft JhengHei"/>
                <w:color w:val="000000"/>
                <w:sz w:val="22"/>
                <w:szCs w:val="22"/>
                <w:vertAlign w:val="subscript"/>
                <w:lang w:val="es-ES" w:eastAsia="fr-BE"/>
              </w:rPr>
              <w:t>3</w:t>
            </w:r>
            <w:r w:rsidRPr="00B07A9F">
              <w:rPr>
                <w:rFonts w:eastAsia="Microsoft JhengHei"/>
                <w:color w:val="000000"/>
                <w:sz w:val="22"/>
                <w:szCs w:val="22"/>
                <w:lang w:val="es-ES" w:eastAsia="fr-BE"/>
              </w:rPr>
              <w:t>)</w:t>
            </w:r>
            <w:r w:rsidRPr="00B07A9F">
              <w:rPr>
                <w:rFonts w:eastAsia="Microsoft JhengHei"/>
                <w:color w:val="000000"/>
                <w:sz w:val="22"/>
                <w:szCs w:val="22"/>
                <w:vertAlign w:val="subscript"/>
                <w:lang w:val="es-ES" w:eastAsia="fr-BE"/>
              </w:rPr>
              <w:t>2-</w:t>
            </w:r>
            <w:r w:rsidRPr="00B07A9F">
              <w:rPr>
                <w:rFonts w:eastAsia="Microsoft JhengHei"/>
                <w:color w:val="000000"/>
                <w:sz w:val="22"/>
                <w:szCs w:val="22"/>
                <w:lang w:val="es-ES" w:eastAsia="fr-BE"/>
              </w:rPr>
              <w:t>6H</w:t>
            </w:r>
            <w:r w:rsidRPr="00B07A9F">
              <w:rPr>
                <w:rFonts w:eastAsia="Microsoft JhengHei"/>
                <w:color w:val="000000"/>
                <w:sz w:val="22"/>
                <w:szCs w:val="22"/>
                <w:vertAlign w:val="subscript"/>
                <w:lang w:val="es-ES" w:eastAsia="fr-BE"/>
              </w:rPr>
              <w:t>2</w:t>
            </w:r>
            <w:r w:rsidRPr="00B07A9F">
              <w:rPr>
                <w:rFonts w:eastAsia="Microsoft JhengHei"/>
                <w:color w:val="000000"/>
                <w:sz w:val="22"/>
                <w:szCs w:val="22"/>
                <w:lang w:val="es-ES" w:eastAsia="fr-BE"/>
              </w:rPr>
              <w:t>O (0.1M)</w:t>
            </w:r>
          </w:p>
          <w:p w14:paraId="56FB58D0" w14:textId="77777777" w:rsidR="005F7F24" w:rsidRPr="00B07A9F" w:rsidRDefault="005F7F24" w:rsidP="00BC5B15">
            <w:pPr>
              <w:spacing w:after="0"/>
              <w:jc w:val="center"/>
              <w:rPr>
                <w:b w:val="0"/>
                <w:bCs w:val="0"/>
                <w:color w:val="000000"/>
                <w:sz w:val="22"/>
                <w:szCs w:val="22"/>
                <w:lang w:val="es-ES" w:eastAsia="fr-BE"/>
              </w:rPr>
            </w:pPr>
          </w:p>
          <w:p w14:paraId="038AF4B7" w14:textId="77777777" w:rsidR="005F7F24" w:rsidRPr="00B07A9F" w:rsidRDefault="005F7F24" w:rsidP="00BC5B15">
            <w:pPr>
              <w:spacing w:after="0"/>
              <w:jc w:val="center"/>
              <w:rPr>
                <w:color w:val="000000"/>
                <w:sz w:val="22"/>
                <w:szCs w:val="22"/>
                <w:lang w:val="fr-BE" w:eastAsia="fr-BE"/>
              </w:rPr>
            </w:pPr>
            <w:r w:rsidRPr="00B07A9F">
              <w:rPr>
                <w:color w:val="000000"/>
                <w:sz w:val="22"/>
                <w:szCs w:val="22"/>
                <w:lang w:val="es-ES" w:eastAsia="fr-BE"/>
              </w:rPr>
              <w:t>(</w:t>
            </w:r>
            <w:proofErr w:type="spellStart"/>
            <w:r w:rsidRPr="00B07A9F">
              <w:rPr>
                <w:color w:val="000000"/>
                <w:sz w:val="22"/>
                <w:szCs w:val="22"/>
                <w:lang w:val="es-ES" w:eastAsia="fr-BE"/>
              </w:rPr>
              <w:t>mL</w:t>
            </w:r>
            <w:proofErr w:type="spellEnd"/>
            <w:r w:rsidRPr="00B07A9F">
              <w:rPr>
                <w:color w:val="000000"/>
                <w:sz w:val="22"/>
                <w:szCs w:val="22"/>
                <w:lang w:val="es-ES" w:eastAsia="fr-BE"/>
              </w:rPr>
              <w:t>)</w:t>
            </w:r>
          </w:p>
        </w:tc>
        <w:tc>
          <w:tcPr>
            <w:tcW w:w="1880" w:type="dxa"/>
            <w:hideMark/>
          </w:tcPr>
          <w:p w14:paraId="04DAB918" w14:textId="77777777" w:rsidR="005F7F24" w:rsidRPr="00B07A9F" w:rsidRDefault="005F7F24" w:rsidP="00BC5B15">
            <w:pPr>
              <w:spacing w:after="0"/>
              <w:jc w:val="center"/>
              <w:cnfStyle w:val="100000000000" w:firstRow="1" w:lastRow="0" w:firstColumn="0" w:lastColumn="0" w:oddVBand="0" w:evenVBand="0" w:oddHBand="0" w:evenHBand="0" w:firstRowFirstColumn="0" w:firstRowLastColumn="0" w:lastRowFirstColumn="0" w:lastRowLastColumn="0"/>
              <w:rPr>
                <w:bCs w:val="0"/>
                <w:color w:val="000000"/>
                <w:sz w:val="22"/>
                <w:szCs w:val="22"/>
                <w:lang w:val="fr-BE" w:eastAsia="fr-BE"/>
              </w:rPr>
            </w:pPr>
            <w:r w:rsidRPr="00B07A9F">
              <w:rPr>
                <w:color w:val="000000"/>
                <w:sz w:val="22"/>
                <w:szCs w:val="22"/>
                <w:lang w:val="en-GB" w:eastAsia="fr-BE"/>
              </w:rPr>
              <w:t>Extract (8.3mg/ml)</w:t>
            </w:r>
          </w:p>
          <w:p w14:paraId="55FB926D" w14:textId="77777777" w:rsidR="005F7F24" w:rsidRPr="00B07A9F" w:rsidRDefault="005F7F24" w:rsidP="00BC5B15">
            <w:pPr>
              <w:spacing w:after="0"/>
              <w:jc w:val="center"/>
              <w:cnfStyle w:val="100000000000" w:firstRow="1" w:lastRow="0" w:firstColumn="0" w:lastColumn="0" w:oddVBand="0" w:evenVBand="0" w:oddHBand="0" w:evenHBand="0" w:firstRowFirstColumn="0" w:firstRowLastColumn="0" w:lastRowFirstColumn="0" w:lastRowLastColumn="0"/>
              <w:rPr>
                <w:color w:val="000000"/>
                <w:sz w:val="22"/>
                <w:szCs w:val="22"/>
                <w:lang w:val="fr-BE" w:eastAsia="fr-BE"/>
              </w:rPr>
            </w:pPr>
            <w:r w:rsidRPr="00B07A9F">
              <w:rPr>
                <w:color w:val="000000"/>
                <w:sz w:val="22"/>
                <w:szCs w:val="22"/>
                <w:lang w:val="en-GB" w:eastAsia="fr-BE"/>
              </w:rPr>
              <w:t>(mL)</w:t>
            </w:r>
          </w:p>
        </w:tc>
        <w:tc>
          <w:tcPr>
            <w:tcW w:w="1200" w:type="dxa"/>
            <w:hideMark/>
          </w:tcPr>
          <w:p w14:paraId="2F2D4F18" w14:textId="77777777" w:rsidR="005F7F24" w:rsidRPr="00B07A9F" w:rsidRDefault="005F7F24" w:rsidP="00BC5B15">
            <w:pPr>
              <w:spacing w:after="0"/>
              <w:jc w:val="center"/>
              <w:cnfStyle w:val="100000000000" w:firstRow="1" w:lastRow="0" w:firstColumn="0" w:lastColumn="0" w:oddVBand="0" w:evenVBand="0" w:oddHBand="0" w:evenHBand="0" w:firstRowFirstColumn="0" w:firstRowLastColumn="0" w:lastRowFirstColumn="0" w:lastRowLastColumn="0"/>
              <w:rPr>
                <w:bCs w:val="0"/>
                <w:color w:val="000000"/>
                <w:sz w:val="22"/>
                <w:szCs w:val="22"/>
                <w:lang w:val="fr-BE" w:eastAsia="fr-BE"/>
              </w:rPr>
            </w:pPr>
            <w:r w:rsidRPr="00B07A9F">
              <w:rPr>
                <w:color w:val="000000"/>
                <w:sz w:val="22"/>
                <w:szCs w:val="22"/>
                <w:lang w:val="fr-BE" w:eastAsia="fr-BE"/>
              </w:rPr>
              <w:t xml:space="preserve">T° </w:t>
            </w:r>
            <w:proofErr w:type="spellStart"/>
            <w:r w:rsidRPr="00B07A9F">
              <w:rPr>
                <w:color w:val="000000"/>
                <w:sz w:val="22"/>
                <w:szCs w:val="22"/>
                <w:lang w:val="fr-BE" w:eastAsia="fr-BE"/>
              </w:rPr>
              <w:t>reaction</w:t>
            </w:r>
            <w:proofErr w:type="spellEnd"/>
          </w:p>
          <w:p w14:paraId="784009FB" w14:textId="77777777" w:rsidR="005F7F24" w:rsidRPr="00B07A9F" w:rsidRDefault="005F7F24" w:rsidP="00BC5B15">
            <w:pPr>
              <w:spacing w:after="0"/>
              <w:jc w:val="center"/>
              <w:cnfStyle w:val="100000000000" w:firstRow="1" w:lastRow="0" w:firstColumn="0" w:lastColumn="0" w:oddVBand="0" w:evenVBand="0" w:oddHBand="0" w:evenHBand="0" w:firstRowFirstColumn="0" w:firstRowLastColumn="0" w:lastRowFirstColumn="0" w:lastRowLastColumn="0"/>
              <w:rPr>
                <w:color w:val="000000"/>
                <w:sz w:val="22"/>
                <w:szCs w:val="22"/>
                <w:lang w:val="fr-BE" w:eastAsia="fr-BE"/>
              </w:rPr>
            </w:pPr>
            <w:r w:rsidRPr="00B07A9F">
              <w:rPr>
                <w:color w:val="000000"/>
                <w:sz w:val="22"/>
                <w:szCs w:val="22"/>
                <w:lang w:val="fr-BE" w:eastAsia="fr-BE"/>
              </w:rPr>
              <w:t>(°C)</w:t>
            </w:r>
          </w:p>
        </w:tc>
        <w:tc>
          <w:tcPr>
            <w:tcW w:w="1200" w:type="dxa"/>
            <w:hideMark/>
          </w:tcPr>
          <w:p w14:paraId="4BCBE036" w14:textId="77777777" w:rsidR="005F7F24" w:rsidRPr="00B07A9F" w:rsidRDefault="005F7F24" w:rsidP="00BC5B15">
            <w:pPr>
              <w:spacing w:after="0"/>
              <w:jc w:val="center"/>
              <w:cnfStyle w:val="100000000000" w:firstRow="1" w:lastRow="0" w:firstColumn="0" w:lastColumn="0" w:oddVBand="0" w:evenVBand="0" w:oddHBand="0" w:evenHBand="0" w:firstRowFirstColumn="0" w:firstRowLastColumn="0" w:lastRowFirstColumn="0" w:lastRowLastColumn="0"/>
              <w:rPr>
                <w:bCs w:val="0"/>
                <w:color w:val="000000"/>
                <w:sz w:val="22"/>
                <w:szCs w:val="22"/>
                <w:lang w:val="fr-BE" w:eastAsia="fr-BE"/>
              </w:rPr>
            </w:pPr>
            <w:proofErr w:type="spellStart"/>
            <w:r w:rsidRPr="00B07A9F">
              <w:rPr>
                <w:color w:val="000000"/>
                <w:sz w:val="22"/>
                <w:szCs w:val="22"/>
                <w:lang w:val="fr-BE" w:eastAsia="fr-BE"/>
              </w:rPr>
              <w:t>Stirring</w:t>
            </w:r>
            <w:proofErr w:type="spellEnd"/>
            <w:r w:rsidRPr="00B07A9F">
              <w:rPr>
                <w:color w:val="000000"/>
                <w:sz w:val="22"/>
                <w:szCs w:val="22"/>
                <w:lang w:val="fr-BE" w:eastAsia="fr-BE"/>
              </w:rPr>
              <w:t xml:space="preserve"> time</w:t>
            </w:r>
          </w:p>
          <w:p w14:paraId="67656589" w14:textId="77777777" w:rsidR="005F7F24" w:rsidRPr="00B07A9F" w:rsidRDefault="005F7F24" w:rsidP="00BC5B15">
            <w:pPr>
              <w:spacing w:after="0"/>
              <w:jc w:val="center"/>
              <w:cnfStyle w:val="100000000000" w:firstRow="1" w:lastRow="0" w:firstColumn="0" w:lastColumn="0" w:oddVBand="0" w:evenVBand="0" w:oddHBand="0" w:evenHBand="0" w:firstRowFirstColumn="0" w:firstRowLastColumn="0" w:lastRowFirstColumn="0" w:lastRowLastColumn="0"/>
              <w:rPr>
                <w:color w:val="000000"/>
                <w:sz w:val="22"/>
                <w:szCs w:val="22"/>
                <w:lang w:val="fr-BE" w:eastAsia="fr-BE"/>
              </w:rPr>
            </w:pPr>
            <w:r w:rsidRPr="00B07A9F">
              <w:rPr>
                <w:color w:val="000000"/>
                <w:sz w:val="22"/>
                <w:szCs w:val="22"/>
                <w:lang w:val="fr-BE" w:eastAsia="fr-BE"/>
              </w:rPr>
              <w:t>(Minutes)</w:t>
            </w:r>
          </w:p>
        </w:tc>
        <w:tc>
          <w:tcPr>
            <w:tcW w:w="1200" w:type="dxa"/>
            <w:hideMark/>
          </w:tcPr>
          <w:p w14:paraId="37F52484" w14:textId="77777777" w:rsidR="005F7F24" w:rsidRPr="00B07A9F" w:rsidRDefault="005F7F24" w:rsidP="00BC5B15">
            <w:pPr>
              <w:spacing w:after="0"/>
              <w:jc w:val="center"/>
              <w:cnfStyle w:val="100000000000" w:firstRow="1" w:lastRow="0" w:firstColumn="0" w:lastColumn="0" w:oddVBand="0" w:evenVBand="0" w:oddHBand="0" w:evenHBand="0" w:firstRowFirstColumn="0" w:firstRowLastColumn="0" w:lastRowFirstColumn="0" w:lastRowLastColumn="0"/>
              <w:rPr>
                <w:bCs w:val="0"/>
                <w:color w:val="000000"/>
                <w:sz w:val="22"/>
                <w:szCs w:val="22"/>
                <w:lang w:val="fr-BE" w:eastAsia="fr-BE"/>
              </w:rPr>
            </w:pPr>
            <w:r w:rsidRPr="00B07A9F">
              <w:rPr>
                <w:color w:val="000000"/>
                <w:sz w:val="22"/>
                <w:szCs w:val="22"/>
                <w:lang w:eastAsia="fr-BE"/>
              </w:rPr>
              <w:t>Tween 80</w:t>
            </w:r>
          </w:p>
          <w:p w14:paraId="5286BD6F" w14:textId="77777777" w:rsidR="005F7F24" w:rsidRPr="00B07A9F" w:rsidRDefault="005F7F24" w:rsidP="00BC5B15">
            <w:pPr>
              <w:spacing w:after="0"/>
              <w:jc w:val="center"/>
              <w:cnfStyle w:val="100000000000" w:firstRow="1" w:lastRow="0" w:firstColumn="0" w:lastColumn="0" w:oddVBand="0" w:evenVBand="0" w:oddHBand="0" w:evenHBand="0" w:firstRowFirstColumn="0" w:firstRowLastColumn="0" w:lastRowFirstColumn="0" w:lastRowLastColumn="0"/>
              <w:rPr>
                <w:b w:val="0"/>
                <w:bCs w:val="0"/>
                <w:color w:val="000000"/>
                <w:sz w:val="22"/>
                <w:szCs w:val="22"/>
                <w:lang w:eastAsia="fr-BE"/>
              </w:rPr>
            </w:pPr>
          </w:p>
          <w:p w14:paraId="161E313B" w14:textId="77777777" w:rsidR="005F7F24" w:rsidRPr="00B07A9F" w:rsidRDefault="005F7F24" w:rsidP="00BC5B15">
            <w:pPr>
              <w:spacing w:after="0"/>
              <w:jc w:val="center"/>
              <w:cnfStyle w:val="100000000000" w:firstRow="1" w:lastRow="0" w:firstColumn="0" w:lastColumn="0" w:oddVBand="0" w:evenVBand="0" w:oddHBand="0" w:evenHBand="0" w:firstRowFirstColumn="0" w:firstRowLastColumn="0" w:lastRowFirstColumn="0" w:lastRowLastColumn="0"/>
              <w:rPr>
                <w:color w:val="000000"/>
                <w:sz w:val="22"/>
                <w:szCs w:val="22"/>
                <w:lang w:val="fr-BE" w:eastAsia="fr-BE"/>
              </w:rPr>
            </w:pPr>
            <w:r w:rsidRPr="00B07A9F">
              <w:rPr>
                <w:color w:val="000000"/>
                <w:sz w:val="22"/>
                <w:szCs w:val="22"/>
                <w:lang w:eastAsia="fr-BE"/>
              </w:rPr>
              <w:t>(mL)</w:t>
            </w:r>
          </w:p>
        </w:tc>
        <w:tc>
          <w:tcPr>
            <w:tcW w:w="1200" w:type="dxa"/>
            <w:hideMark/>
          </w:tcPr>
          <w:p w14:paraId="1F53591C" w14:textId="77777777" w:rsidR="005F7F24" w:rsidRPr="00B07A9F" w:rsidRDefault="005F7F24" w:rsidP="00BC5B15">
            <w:pPr>
              <w:spacing w:after="0"/>
              <w:jc w:val="center"/>
              <w:cnfStyle w:val="100000000000" w:firstRow="1" w:lastRow="0" w:firstColumn="0" w:lastColumn="0" w:oddVBand="0" w:evenVBand="0" w:oddHBand="0" w:evenHBand="0" w:firstRowFirstColumn="0" w:firstRowLastColumn="0" w:lastRowFirstColumn="0" w:lastRowLastColumn="0"/>
              <w:rPr>
                <w:bCs w:val="0"/>
                <w:color w:val="000000"/>
                <w:sz w:val="22"/>
                <w:szCs w:val="22"/>
                <w:lang w:val="fr-BE" w:eastAsia="fr-BE"/>
              </w:rPr>
            </w:pPr>
            <w:r w:rsidRPr="00B07A9F">
              <w:rPr>
                <w:color w:val="000000"/>
                <w:sz w:val="22"/>
                <w:szCs w:val="22"/>
                <w:lang w:eastAsia="fr-BE"/>
              </w:rPr>
              <w:t xml:space="preserve">Gum </w:t>
            </w:r>
            <w:proofErr w:type="spellStart"/>
            <w:r w:rsidRPr="00B07A9F">
              <w:rPr>
                <w:color w:val="000000"/>
                <w:sz w:val="22"/>
                <w:szCs w:val="22"/>
                <w:lang w:eastAsia="fr-BE"/>
              </w:rPr>
              <w:t>arabic</w:t>
            </w:r>
            <w:proofErr w:type="spellEnd"/>
          </w:p>
          <w:p w14:paraId="5B8E553F" w14:textId="77777777" w:rsidR="005F7F24" w:rsidRPr="00B07A9F" w:rsidRDefault="005F7F24" w:rsidP="00BC5B15">
            <w:pPr>
              <w:spacing w:after="0"/>
              <w:jc w:val="center"/>
              <w:cnfStyle w:val="100000000000" w:firstRow="1" w:lastRow="0" w:firstColumn="0" w:lastColumn="0" w:oddVBand="0" w:evenVBand="0" w:oddHBand="0" w:evenHBand="0" w:firstRowFirstColumn="0" w:firstRowLastColumn="0" w:lastRowFirstColumn="0" w:lastRowLastColumn="0"/>
              <w:rPr>
                <w:color w:val="000000"/>
                <w:sz w:val="22"/>
                <w:szCs w:val="22"/>
                <w:lang w:val="fr-BE" w:eastAsia="fr-BE"/>
              </w:rPr>
            </w:pPr>
            <w:r w:rsidRPr="00B07A9F">
              <w:rPr>
                <w:color w:val="000000"/>
                <w:sz w:val="22"/>
                <w:szCs w:val="22"/>
                <w:lang w:val="fr-BE" w:eastAsia="fr-BE"/>
              </w:rPr>
              <w:t>(g)</w:t>
            </w:r>
          </w:p>
        </w:tc>
        <w:tc>
          <w:tcPr>
            <w:tcW w:w="1200" w:type="dxa"/>
            <w:hideMark/>
          </w:tcPr>
          <w:p w14:paraId="7E693610" w14:textId="77777777" w:rsidR="005F7F24" w:rsidRPr="00B07A9F" w:rsidRDefault="005F7F24" w:rsidP="00BC5B15">
            <w:pPr>
              <w:spacing w:after="0"/>
              <w:jc w:val="center"/>
              <w:cnfStyle w:val="100000000000" w:firstRow="1" w:lastRow="0" w:firstColumn="0" w:lastColumn="0" w:oddVBand="0" w:evenVBand="0" w:oddHBand="0" w:evenHBand="0" w:firstRowFirstColumn="0" w:firstRowLastColumn="0" w:lastRowFirstColumn="0" w:lastRowLastColumn="0"/>
              <w:rPr>
                <w:color w:val="000000"/>
                <w:sz w:val="22"/>
                <w:szCs w:val="22"/>
                <w:lang w:val="fr-BE" w:eastAsia="fr-BE"/>
              </w:rPr>
            </w:pPr>
            <w:r w:rsidRPr="00B07A9F">
              <w:rPr>
                <w:color w:val="000000"/>
                <w:sz w:val="22"/>
                <w:szCs w:val="22"/>
                <w:lang w:val="fr-BE" w:eastAsia="fr-BE"/>
              </w:rPr>
              <w:t>pH</w:t>
            </w:r>
          </w:p>
        </w:tc>
      </w:tr>
      <w:tr w:rsidR="005F7F24" w:rsidRPr="00B07A9F" w14:paraId="4D065C5E" w14:textId="77777777" w:rsidTr="00BC5B15">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480" w:type="dxa"/>
            <w:vMerge w:val="restart"/>
            <w:vAlign w:val="center"/>
            <w:hideMark/>
          </w:tcPr>
          <w:p w14:paraId="6F6B48D2" w14:textId="77777777" w:rsidR="005F7F24" w:rsidRPr="00B07A9F" w:rsidRDefault="005F7F24" w:rsidP="00BC5B15">
            <w:pPr>
              <w:spacing w:after="0"/>
              <w:jc w:val="center"/>
              <w:rPr>
                <w:color w:val="000000"/>
                <w:sz w:val="22"/>
                <w:szCs w:val="22"/>
                <w:lang w:val="fr-BE" w:eastAsia="fr-BE"/>
              </w:rPr>
            </w:pPr>
            <w:r w:rsidRPr="00B07A9F">
              <w:rPr>
                <w:color w:val="000000"/>
                <w:sz w:val="22"/>
                <w:szCs w:val="22"/>
                <w:lang w:val="fr-CD" w:eastAsia="fr-BE"/>
              </w:rPr>
              <w:t>22.5</w:t>
            </w:r>
          </w:p>
        </w:tc>
        <w:tc>
          <w:tcPr>
            <w:tcW w:w="1880" w:type="dxa"/>
            <w:vMerge w:val="restart"/>
            <w:vAlign w:val="center"/>
            <w:hideMark/>
          </w:tcPr>
          <w:p w14:paraId="01D5A238" w14:textId="77777777" w:rsidR="005F7F24" w:rsidRPr="00B07A9F" w:rsidRDefault="005F7F24" w:rsidP="00BC5B15">
            <w:pPr>
              <w:spacing w:after="0"/>
              <w:jc w:val="center"/>
              <w:cnfStyle w:val="000000100000" w:firstRow="0" w:lastRow="0" w:firstColumn="0" w:lastColumn="0" w:oddVBand="0" w:evenVBand="0" w:oddHBand="1" w:evenHBand="0" w:firstRowFirstColumn="0" w:firstRowLastColumn="0" w:lastRowFirstColumn="0" w:lastRowLastColumn="0"/>
              <w:rPr>
                <w:color w:val="000000"/>
                <w:sz w:val="22"/>
                <w:szCs w:val="22"/>
                <w:lang w:val="fr-BE" w:eastAsia="fr-BE"/>
              </w:rPr>
            </w:pPr>
            <w:r w:rsidRPr="00B07A9F">
              <w:rPr>
                <w:color w:val="000000"/>
                <w:sz w:val="22"/>
                <w:szCs w:val="22"/>
                <w:lang w:val="fr-CD" w:eastAsia="fr-BE"/>
              </w:rPr>
              <w:t>5</w:t>
            </w:r>
          </w:p>
        </w:tc>
        <w:tc>
          <w:tcPr>
            <w:tcW w:w="1200" w:type="dxa"/>
            <w:vMerge w:val="restart"/>
            <w:vAlign w:val="center"/>
            <w:hideMark/>
          </w:tcPr>
          <w:p w14:paraId="7BBCF09E" w14:textId="77777777" w:rsidR="005F7F24" w:rsidRPr="00B07A9F" w:rsidRDefault="005F7F24" w:rsidP="00BC5B15">
            <w:pPr>
              <w:spacing w:after="0"/>
              <w:jc w:val="center"/>
              <w:cnfStyle w:val="000000100000" w:firstRow="0" w:lastRow="0" w:firstColumn="0" w:lastColumn="0" w:oddVBand="0" w:evenVBand="0" w:oddHBand="1" w:evenHBand="0" w:firstRowFirstColumn="0" w:firstRowLastColumn="0" w:lastRowFirstColumn="0" w:lastRowLastColumn="0"/>
              <w:rPr>
                <w:color w:val="000000"/>
                <w:sz w:val="22"/>
                <w:szCs w:val="22"/>
                <w:lang w:val="fr-BE" w:eastAsia="fr-BE"/>
              </w:rPr>
            </w:pPr>
            <w:r w:rsidRPr="00B07A9F">
              <w:rPr>
                <w:color w:val="000000"/>
                <w:sz w:val="22"/>
                <w:szCs w:val="22"/>
                <w:lang w:val="fr-CD" w:eastAsia="fr-BE"/>
              </w:rPr>
              <w:t>70</w:t>
            </w:r>
          </w:p>
        </w:tc>
        <w:tc>
          <w:tcPr>
            <w:tcW w:w="1200" w:type="dxa"/>
            <w:vMerge w:val="restart"/>
            <w:vAlign w:val="center"/>
            <w:hideMark/>
          </w:tcPr>
          <w:p w14:paraId="1A67D909" w14:textId="77777777" w:rsidR="005F7F24" w:rsidRPr="00B07A9F" w:rsidRDefault="005F7F24" w:rsidP="00BC5B15">
            <w:pPr>
              <w:spacing w:after="0"/>
              <w:jc w:val="center"/>
              <w:cnfStyle w:val="000000100000" w:firstRow="0" w:lastRow="0" w:firstColumn="0" w:lastColumn="0" w:oddVBand="0" w:evenVBand="0" w:oddHBand="1" w:evenHBand="0" w:firstRowFirstColumn="0" w:firstRowLastColumn="0" w:lastRowFirstColumn="0" w:lastRowLastColumn="0"/>
              <w:rPr>
                <w:color w:val="000000"/>
                <w:sz w:val="22"/>
                <w:szCs w:val="22"/>
                <w:lang w:val="fr-BE" w:eastAsia="fr-BE"/>
              </w:rPr>
            </w:pPr>
            <w:r w:rsidRPr="00B07A9F">
              <w:rPr>
                <w:color w:val="000000"/>
                <w:sz w:val="22"/>
                <w:szCs w:val="22"/>
                <w:lang w:val="fr-CD" w:eastAsia="fr-BE"/>
              </w:rPr>
              <w:t>60</w:t>
            </w:r>
          </w:p>
        </w:tc>
        <w:tc>
          <w:tcPr>
            <w:tcW w:w="1200" w:type="dxa"/>
            <w:vAlign w:val="center"/>
            <w:hideMark/>
          </w:tcPr>
          <w:p w14:paraId="1CFDED96" w14:textId="77777777" w:rsidR="005F7F24" w:rsidRPr="00B07A9F" w:rsidRDefault="005F7F24" w:rsidP="00BC5B15">
            <w:pPr>
              <w:spacing w:after="0"/>
              <w:jc w:val="center"/>
              <w:cnfStyle w:val="000000100000" w:firstRow="0" w:lastRow="0" w:firstColumn="0" w:lastColumn="0" w:oddVBand="0" w:evenVBand="0" w:oddHBand="1" w:evenHBand="0" w:firstRowFirstColumn="0" w:firstRowLastColumn="0" w:lastRowFirstColumn="0" w:lastRowLastColumn="0"/>
              <w:rPr>
                <w:color w:val="000000"/>
                <w:sz w:val="22"/>
                <w:szCs w:val="22"/>
                <w:lang w:val="fr-BE" w:eastAsia="fr-BE"/>
              </w:rPr>
            </w:pPr>
            <w:r w:rsidRPr="00B07A9F">
              <w:rPr>
                <w:color w:val="000000"/>
                <w:sz w:val="22"/>
                <w:szCs w:val="22"/>
                <w:lang w:val="fr-CD" w:eastAsia="fr-BE"/>
              </w:rPr>
              <w:t>1</w:t>
            </w:r>
          </w:p>
        </w:tc>
        <w:tc>
          <w:tcPr>
            <w:tcW w:w="1200" w:type="dxa"/>
            <w:vAlign w:val="center"/>
            <w:hideMark/>
          </w:tcPr>
          <w:p w14:paraId="549059A0" w14:textId="77777777" w:rsidR="005F7F24" w:rsidRPr="00B07A9F" w:rsidRDefault="005F7F24" w:rsidP="00BC5B15">
            <w:pPr>
              <w:spacing w:after="0"/>
              <w:jc w:val="center"/>
              <w:cnfStyle w:val="000000100000" w:firstRow="0" w:lastRow="0" w:firstColumn="0" w:lastColumn="0" w:oddVBand="0" w:evenVBand="0" w:oddHBand="1" w:evenHBand="0" w:firstRowFirstColumn="0" w:firstRowLastColumn="0" w:lastRowFirstColumn="0" w:lastRowLastColumn="0"/>
              <w:rPr>
                <w:color w:val="000000"/>
                <w:sz w:val="22"/>
                <w:szCs w:val="22"/>
                <w:lang w:val="fr-BE" w:eastAsia="fr-BE"/>
              </w:rPr>
            </w:pPr>
            <w:r w:rsidRPr="00B07A9F">
              <w:rPr>
                <w:color w:val="000000"/>
                <w:sz w:val="22"/>
                <w:szCs w:val="22"/>
                <w:lang w:val="fr-CD" w:eastAsia="fr-BE"/>
              </w:rPr>
              <w:t>-</w:t>
            </w:r>
          </w:p>
        </w:tc>
        <w:tc>
          <w:tcPr>
            <w:tcW w:w="1200" w:type="dxa"/>
            <w:vMerge w:val="restart"/>
            <w:vAlign w:val="center"/>
            <w:hideMark/>
          </w:tcPr>
          <w:p w14:paraId="40CB2990" w14:textId="77777777" w:rsidR="005F7F24" w:rsidRPr="00B07A9F" w:rsidRDefault="005F7F24" w:rsidP="00BC5B15">
            <w:pPr>
              <w:spacing w:after="0"/>
              <w:jc w:val="center"/>
              <w:cnfStyle w:val="000000100000" w:firstRow="0" w:lastRow="0" w:firstColumn="0" w:lastColumn="0" w:oddVBand="0" w:evenVBand="0" w:oddHBand="1" w:evenHBand="0" w:firstRowFirstColumn="0" w:firstRowLastColumn="0" w:lastRowFirstColumn="0" w:lastRowLastColumn="0"/>
              <w:rPr>
                <w:color w:val="000000"/>
                <w:sz w:val="22"/>
                <w:szCs w:val="22"/>
                <w:lang w:val="fr-BE" w:eastAsia="fr-BE"/>
              </w:rPr>
            </w:pPr>
            <w:r w:rsidRPr="00B07A9F">
              <w:rPr>
                <w:color w:val="000000"/>
                <w:sz w:val="22"/>
                <w:szCs w:val="22"/>
                <w:lang w:val="fr-CD" w:eastAsia="fr-BE"/>
              </w:rPr>
              <w:t>10</w:t>
            </w:r>
          </w:p>
        </w:tc>
      </w:tr>
      <w:tr w:rsidR="005F7F24" w:rsidRPr="00B07A9F" w14:paraId="0B5F6117" w14:textId="77777777" w:rsidTr="00BC5B15">
        <w:trPr>
          <w:trHeight w:val="315"/>
        </w:trPr>
        <w:tc>
          <w:tcPr>
            <w:cnfStyle w:val="001000000000" w:firstRow="0" w:lastRow="0" w:firstColumn="1" w:lastColumn="0" w:oddVBand="0" w:evenVBand="0" w:oddHBand="0" w:evenHBand="0" w:firstRowFirstColumn="0" w:firstRowLastColumn="0" w:lastRowFirstColumn="0" w:lastRowLastColumn="0"/>
            <w:tcW w:w="2480" w:type="dxa"/>
            <w:vMerge/>
            <w:vAlign w:val="center"/>
            <w:hideMark/>
          </w:tcPr>
          <w:p w14:paraId="081260F0" w14:textId="77777777" w:rsidR="005F7F24" w:rsidRPr="00B07A9F" w:rsidRDefault="005F7F24" w:rsidP="00BC5B15">
            <w:pPr>
              <w:spacing w:after="0"/>
              <w:jc w:val="center"/>
              <w:rPr>
                <w:color w:val="000000"/>
                <w:sz w:val="22"/>
                <w:szCs w:val="22"/>
                <w:lang w:val="fr-BE" w:eastAsia="fr-BE"/>
              </w:rPr>
            </w:pPr>
          </w:p>
        </w:tc>
        <w:tc>
          <w:tcPr>
            <w:tcW w:w="1880" w:type="dxa"/>
            <w:vMerge/>
            <w:vAlign w:val="center"/>
            <w:hideMark/>
          </w:tcPr>
          <w:p w14:paraId="441D820C" w14:textId="77777777" w:rsidR="005F7F24" w:rsidRPr="00B07A9F" w:rsidRDefault="005F7F24" w:rsidP="00BC5B15">
            <w:pPr>
              <w:spacing w:after="0"/>
              <w:jc w:val="center"/>
              <w:cnfStyle w:val="000000000000" w:firstRow="0" w:lastRow="0" w:firstColumn="0" w:lastColumn="0" w:oddVBand="0" w:evenVBand="0" w:oddHBand="0" w:evenHBand="0" w:firstRowFirstColumn="0" w:firstRowLastColumn="0" w:lastRowFirstColumn="0" w:lastRowLastColumn="0"/>
              <w:rPr>
                <w:color w:val="000000"/>
                <w:sz w:val="22"/>
                <w:szCs w:val="22"/>
                <w:lang w:val="fr-BE" w:eastAsia="fr-BE"/>
              </w:rPr>
            </w:pPr>
          </w:p>
        </w:tc>
        <w:tc>
          <w:tcPr>
            <w:tcW w:w="1200" w:type="dxa"/>
            <w:vMerge/>
            <w:vAlign w:val="center"/>
            <w:hideMark/>
          </w:tcPr>
          <w:p w14:paraId="3B12DC4E" w14:textId="77777777" w:rsidR="005F7F24" w:rsidRPr="00B07A9F" w:rsidRDefault="005F7F24" w:rsidP="00BC5B15">
            <w:pPr>
              <w:spacing w:after="0"/>
              <w:jc w:val="center"/>
              <w:cnfStyle w:val="000000000000" w:firstRow="0" w:lastRow="0" w:firstColumn="0" w:lastColumn="0" w:oddVBand="0" w:evenVBand="0" w:oddHBand="0" w:evenHBand="0" w:firstRowFirstColumn="0" w:firstRowLastColumn="0" w:lastRowFirstColumn="0" w:lastRowLastColumn="0"/>
              <w:rPr>
                <w:color w:val="000000"/>
                <w:sz w:val="22"/>
                <w:szCs w:val="22"/>
                <w:lang w:val="fr-BE" w:eastAsia="fr-BE"/>
              </w:rPr>
            </w:pPr>
          </w:p>
        </w:tc>
        <w:tc>
          <w:tcPr>
            <w:tcW w:w="1200" w:type="dxa"/>
            <w:vMerge/>
            <w:vAlign w:val="center"/>
            <w:hideMark/>
          </w:tcPr>
          <w:p w14:paraId="5D9A5CEC" w14:textId="77777777" w:rsidR="005F7F24" w:rsidRPr="00B07A9F" w:rsidRDefault="005F7F24" w:rsidP="00BC5B15">
            <w:pPr>
              <w:spacing w:after="0"/>
              <w:jc w:val="center"/>
              <w:cnfStyle w:val="000000000000" w:firstRow="0" w:lastRow="0" w:firstColumn="0" w:lastColumn="0" w:oddVBand="0" w:evenVBand="0" w:oddHBand="0" w:evenHBand="0" w:firstRowFirstColumn="0" w:firstRowLastColumn="0" w:lastRowFirstColumn="0" w:lastRowLastColumn="0"/>
              <w:rPr>
                <w:color w:val="000000"/>
                <w:sz w:val="22"/>
                <w:szCs w:val="22"/>
                <w:lang w:val="fr-BE" w:eastAsia="fr-BE"/>
              </w:rPr>
            </w:pPr>
          </w:p>
        </w:tc>
        <w:tc>
          <w:tcPr>
            <w:tcW w:w="1200" w:type="dxa"/>
            <w:vAlign w:val="center"/>
            <w:hideMark/>
          </w:tcPr>
          <w:p w14:paraId="05EBB99B" w14:textId="77777777" w:rsidR="005F7F24" w:rsidRPr="00B07A9F" w:rsidRDefault="005F7F24" w:rsidP="00BC5B15">
            <w:pPr>
              <w:spacing w:after="0"/>
              <w:jc w:val="center"/>
              <w:cnfStyle w:val="000000000000" w:firstRow="0" w:lastRow="0" w:firstColumn="0" w:lastColumn="0" w:oddVBand="0" w:evenVBand="0" w:oddHBand="0" w:evenHBand="0" w:firstRowFirstColumn="0" w:firstRowLastColumn="0" w:lastRowFirstColumn="0" w:lastRowLastColumn="0"/>
              <w:rPr>
                <w:color w:val="000000"/>
                <w:sz w:val="22"/>
                <w:szCs w:val="22"/>
                <w:lang w:val="fr-BE" w:eastAsia="fr-BE"/>
              </w:rPr>
            </w:pPr>
            <w:r w:rsidRPr="00B07A9F">
              <w:rPr>
                <w:color w:val="000000"/>
                <w:sz w:val="22"/>
                <w:szCs w:val="22"/>
                <w:lang w:val="fr-CD" w:eastAsia="fr-BE"/>
              </w:rPr>
              <w:t>-</w:t>
            </w:r>
          </w:p>
        </w:tc>
        <w:tc>
          <w:tcPr>
            <w:tcW w:w="1200" w:type="dxa"/>
            <w:vAlign w:val="center"/>
            <w:hideMark/>
          </w:tcPr>
          <w:p w14:paraId="3F3C2A0E" w14:textId="77777777" w:rsidR="005F7F24" w:rsidRPr="00B07A9F" w:rsidRDefault="005F7F24" w:rsidP="00BC5B15">
            <w:pPr>
              <w:spacing w:after="0"/>
              <w:jc w:val="center"/>
              <w:cnfStyle w:val="000000000000" w:firstRow="0" w:lastRow="0" w:firstColumn="0" w:lastColumn="0" w:oddVBand="0" w:evenVBand="0" w:oddHBand="0" w:evenHBand="0" w:firstRowFirstColumn="0" w:firstRowLastColumn="0" w:lastRowFirstColumn="0" w:lastRowLastColumn="0"/>
              <w:rPr>
                <w:color w:val="000000"/>
                <w:sz w:val="22"/>
                <w:szCs w:val="22"/>
                <w:lang w:val="fr-BE" w:eastAsia="fr-BE"/>
              </w:rPr>
            </w:pPr>
            <w:r w:rsidRPr="00B07A9F">
              <w:rPr>
                <w:color w:val="000000"/>
                <w:sz w:val="22"/>
                <w:szCs w:val="22"/>
                <w:lang w:val="fr-CD" w:eastAsia="fr-BE"/>
              </w:rPr>
              <w:t>0.28</w:t>
            </w:r>
          </w:p>
        </w:tc>
        <w:tc>
          <w:tcPr>
            <w:tcW w:w="1200" w:type="dxa"/>
            <w:vMerge/>
            <w:vAlign w:val="center"/>
            <w:hideMark/>
          </w:tcPr>
          <w:p w14:paraId="02261E27" w14:textId="77777777" w:rsidR="005F7F24" w:rsidRPr="00B07A9F" w:rsidRDefault="005F7F24" w:rsidP="00BC5B15">
            <w:pPr>
              <w:spacing w:after="0"/>
              <w:jc w:val="center"/>
              <w:cnfStyle w:val="000000000000" w:firstRow="0" w:lastRow="0" w:firstColumn="0" w:lastColumn="0" w:oddVBand="0" w:evenVBand="0" w:oddHBand="0" w:evenHBand="0" w:firstRowFirstColumn="0" w:firstRowLastColumn="0" w:lastRowFirstColumn="0" w:lastRowLastColumn="0"/>
              <w:rPr>
                <w:color w:val="000000"/>
                <w:sz w:val="22"/>
                <w:szCs w:val="22"/>
                <w:lang w:val="fr-BE" w:eastAsia="fr-BE"/>
              </w:rPr>
            </w:pPr>
          </w:p>
        </w:tc>
      </w:tr>
      <w:tr w:rsidR="005F7F24" w:rsidRPr="00B07A9F" w14:paraId="6178922E" w14:textId="77777777" w:rsidTr="00BC5B15">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480" w:type="dxa"/>
            <w:vMerge w:val="restart"/>
            <w:vAlign w:val="center"/>
            <w:hideMark/>
          </w:tcPr>
          <w:p w14:paraId="651C5532" w14:textId="77777777" w:rsidR="005F7F24" w:rsidRPr="00B07A9F" w:rsidRDefault="005F7F24" w:rsidP="00BC5B15">
            <w:pPr>
              <w:spacing w:after="0"/>
              <w:jc w:val="center"/>
              <w:rPr>
                <w:color w:val="000000"/>
                <w:sz w:val="22"/>
                <w:szCs w:val="22"/>
                <w:lang w:val="fr-BE" w:eastAsia="fr-BE"/>
              </w:rPr>
            </w:pPr>
            <w:r w:rsidRPr="00B07A9F">
              <w:rPr>
                <w:color w:val="000000"/>
                <w:sz w:val="22"/>
                <w:szCs w:val="22"/>
                <w:lang w:val="fr-CD" w:eastAsia="fr-BE"/>
              </w:rPr>
              <w:t>22.5</w:t>
            </w:r>
          </w:p>
        </w:tc>
        <w:tc>
          <w:tcPr>
            <w:tcW w:w="1880" w:type="dxa"/>
            <w:vMerge w:val="restart"/>
            <w:vAlign w:val="center"/>
            <w:hideMark/>
          </w:tcPr>
          <w:p w14:paraId="0AFD4596" w14:textId="77777777" w:rsidR="005F7F24" w:rsidRPr="00B07A9F" w:rsidRDefault="005F7F24" w:rsidP="00BC5B15">
            <w:pPr>
              <w:spacing w:after="0"/>
              <w:jc w:val="center"/>
              <w:cnfStyle w:val="000000100000" w:firstRow="0" w:lastRow="0" w:firstColumn="0" w:lastColumn="0" w:oddVBand="0" w:evenVBand="0" w:oddHBand="1" w:evenHBand="0" w:firstRowFirstColumn="0" w:firstRowLastColumn="0" w:lastRowFirstColumn="0" w:lastRowLastColumn="0"/>
              <w:rPr>
                <w:color w:val="000000"/>
                <w:sz w:val="22"/>
                <w:szCs w:val="22"/>
                <w:lang w:val="fr-BE" w:eastAsia="fr-BE"/>
              </w:rPr>
            </w:pPr>
            <w:r w:rsidRPr="00B07A9F">
              <w:rPr>
                <w:color w:val="000000"/>
                <w:sz w:val="22"/>
                <w:szCs w:val="22"/>
                <w:lang w:val="fr-CD" w:eastAsia="fr-BE"/>
              </w:rPr>
              <w:t>5</w:t>
            </w:r>
          </w:p>
        </w:tc>
        <w:tc>
          <w:tcPr>
            <w:tcW w:w="1200" w:type="dxa"/>
            <w:vMerge w:val="restart"/>
            <w:vAlign w:val="center"/>
            <w:hideMark/>
          </w:tcPr>
          <w:p w14:paraId="31633B4C" w14:textId="77777777" w:rsidR="005F7F24" w:rsidRPr="00B07A9F" w:rsidRDefault="005F7F24" w:rsidP="00BC5B15">
            <w:pPr>
              <w:spacing w:after="0"/>
              <w:jc w:val="center"/>
              <w:cnfStyle w:val="000000100000" w:firstRow="0" w:lastRow="0" w:firstColumn="0" w:lastColumn="0" w:oddVBand="0" w:evenVBand="0" w:oddHBand="1" w:evenHBand="0" w:firstRowFirstColumn="0" w:firstRowLastColumn="0" w:lastRowFirstColumn="0" w:lastRowLastColumn="0"/>
              <w:rPr>
                <w:color w:val="000000"/>
                <w:sz w:val="22"/>
                <w:szCs w:val="22"/>
                <w:lang w:val="fr-BE" w:eastAsia="fr-BE"/>
              </w:rPr>
            </w:pPr>
            <w:r w:rsidRPr="00B07A9F">
              <w:rPr>
                <w:color w:val="000000"/>
                <w:sz w:val="22"/>
                <w:szCs w:val="22"/>
                <w:lang w:val="fr-CD" w:eastAsia="fr-BE"/>
              </w:rPr>
              <w:t>70</w:t>
            </w:r>
          </w:p>
        </w:tc>
        <w:tc>
          <w:tcPr>
            <w:tcW w:w="1200" w:type="dxa"/>
            <w:vMerge w:val="restart"/>
            <w:vAlign w:val="center"/>
            <w:hideMark/>
          </w:tcPr>
          <w:p w14:paraId="46E6A81A" w14:textId="77777777" w:rsidR="005F7F24" w:rsidRPr="00B07A9F" w:rsidRDefault="005F7F24" w:rsidP="00BC5B15">
            <w:pPr>
              <w:spacing w:after="0"/>
              <w:jc w:val="center"/>
              <w:cnfStyle w:val="000000100000" w:firstRow="0" w:lastRow="0" w:firstColumn="0" w:lastColumn="0" w:oddVBand="0" w:evenVBand="0" w:oddHBand="1" w:evenHBand="0" w:firstRowFirstColumn="0" w:firstRowLastColumn="0" w:lastRowFirstColumn="0" w:lastRowLastColumn="0"/>
              <w:rPr>
                <w:color w:val="000000"/>
                <w:sz w:val="22"/>
                <w:szCs w:val="22"/>
                <w:lang w:val="fr-BE" w:eastAsia="fr-BE"/>
              </w:rPr>
            </w:pPr>
            <w:r w:rsidRPr="00B07A9F">
              <w:rPr>
                <w:color w:val="000000"/>
                <w:sz w:val="22"/>
                <w:szCs w:val="22"/>
                <w:lang w:val="fr-CD" w:eastAsia="fr-BE"/>
              </w:rPr>
              <w:t>60</w:t>
            </w:r>
          </w:p>
        </w:tc>
        <w:tc>
          <w:tcPr>
            <w:tcW w:w="1200" w:type="dxa"/>
            <w:vAlign w:val="center"/>
            <w:hideMark/>
          </w:tcPr>
          <w:p w14:paraId="19CBD0F4" w14:textId="77777777" w:rsidR="005F7F24" w:rsidRPr="00B07A9F" w:rsidRDefault="005F7F24" w:rsidP="00BC5B15">
            <w:pPr>
              <w:spacing w:after="0"/>
              <w:jc w:val="center"/>
              <w:cnfStyle w:val="000000100000" w:firstRow="0" w:lastRow="0" w:firstColumn="0" w:lastColumn="0" w:oddVBand="0" w:evenVBand="0" w:oddHBand="1" w:evenHBand="0" w:firstRowFirstColumn="0" w:firstRowLastColumn="0" w:lastRowFirstColumn="0" w:lastRowLastColumn="0"/>
              <w:rPr>
                <w:color w:val="000000"/>
                <w:sz w:val="22"/>
                <w:szCs w:val="22"/>
                <w:lang w:val="fr-BE" w:eastAsia="fr-BE"/>
              </w:rPr>
            </w:pPr>
            <w:r w:rsidRPr="00B07A9F">
              <w:rPr>
                <w:color w:val="000000"/>
                <w:sz w:val="22"/>
                <w:szCs w:val="22"/>
                <w:lang w:val="fr-CD" w:eastAsia="fr-BE"/>
              </w:rPr>
              <w:t>1</w:t>
            </w:r>
          </w:p>
        </w:tc>
        <w:tc>
          <w:tcPr>
            <w:tcW w:w="1200" w:type="dxa"/>
            <w:vAlign w:val="center"/>
            <w:hideMark/>
          </w:tcPr>
          <w:p w14:paraId="3B1BDC82" w14:textId="77777777" w:rsidR="005F7F24" w:rsidRPr="00B07A9F" w:rsidRDefault="005F7F24" w:rsidP="00BC5B15">
            <w:pPr>
              <w:spacing w:after="0"/>
              <w:jc w:val="center"/>
              <w:cnfStyle w:val="000000100000" w:firstRow="0" w:lastRow="0" w:firstColumn="0" w:lastColumn="0" w:oddVBand="0" w:evenVBand="0" w:oddHBand="1" w:evenHBand="0" w:firstRowFirstColumn="0" w:firstRowLastColumn="0" w:lastRowFirstColumn="0" w:lastRowLastColumn="0"/>
              <w:rPr>
                <w:color w:val="000000"/>
                <w:sz w:val="22"/>
                <w:szCs w:val="22"/>
                <w:lang w:val="fr-BE" w:eastAsia="fr-BE"/>
              </w:rPr>
            </w:pPr>
            <w:r w:rsidRPr="00B07A9F">
              <w:rPr>
                <w:color w:val="000000"/>
                <w:sz w:val="22"/>
                <w:szCs w:val="22"/>
                <w:lang w:val="fr-CD" w:eastAsia="fr-BE"/>
              </w:rPr>
              <w:t>-</w:t>
            </w:r>
          </w:p>
        </w:tc>
        <w:tc>
          <w:tcPr>
            <w:tcW w:w="1200" w:type="dxa"/>
            <w:vMerge w:val="restart"/>
            <w:vAlign w:val="center"/>
            <w:hideMark/>
          </w:tcPr>
          <w:p w14:paraId="36E74616" w14:textId="77777777" w:rsidR="005F7F24" w:rsidRPr="00B07A9F" w:rsidRDefault="005F7F24" w:rsidP="00BC5B15">
            <w:pPr>
              <w:spacing w:after="0"/>
              <w:jc w:val="center"/>
              <w:cnfStyle w:val="000000100000" w:firstRow="0" w:lastRow="0" w:firstColumn="0" w:lastColumn="0" w:oddVBand="0" w:evenVBand="0" w:oddHBand="1" w:evenHBand="0" w:firstRowFirstColumn="0" w:firstRowLastColumn="0" w:lastRowFirstColumn="0" w:lastRowLastColumn="0"/>
              <w:rPr>
                <w:color w:val="000000"/>
                <w:sz w:val="22"/>
                <w:szCs w:val="22"/>
                <w:lang w:val="fr-BE" w:eastAsia="fr-BE"/>
              </w:rPr>
            </w:pPr>
            <w:r w:rsidRPr="00B07A9F">
              <w:rPr>
                <w:color w:val="000000"/>
                <w:sz w:val="22"/>
                <w:szCs w:val="22"/>
                <w:lang w:val="fr-CD" w:eastAsia="fr-BE"/>
              </w:rPr>
              <w:t>9</w:t>
            </w:r>
          </w:p>
        </w:tc>
      </w:tr>
      <w:tr w:rsidR="005F7F24" w:rsidRPr="00B07A9F" w14:paraId="166E5E34" w14:textId="77777777" w:rsidTr="00BC5B15">
        <w:trPr>
          <w:trHeight w:val="315"/>
        </w:trPr>
        <w:tc>
          <w:tcPr>
            <w:cnfStyle w:val="001000000000" w:firstRow="0" w:lastRow="0" w:firstColumn="1" w:lastColumn="0" w:oddVBand="0" w:evenVBand="0" w:oddHBand="0" w:evenHBand="0" w:firstRowFirstColumn="0" w:firstRowLastColumn="0" w:lastRowFirstColumn="0" w:lastRowLastColumn="0"/>
            <w:tcW w:w="2480" w:type="dxa"/>
            <w:vMerge/>
            <w:vAlign w:val="center"/>
            <w:hideMark/>
          </w:tcPr>
          <w:p w14:paraId="698CE6E5" w14:textId="77777777" w:rsidR="005F7F24" w:rsidRPr="00B07A9F" w:rsidRDefault="005F7F24" w:rsidP="00BC5B15">
            <w:pPr>
              <w:spacing w:after="0"/>
              <w:jc w:val="center"/>
              <w:rPr>
                <w:color w:val="000000"/>
                <w:sz w:val="22"/>
                <w:szCs w:val="22"/>
                <w:lang w:val="fr-BE" w:eastAsia="fr-BE"/>
              </w:rPr>
            </w:pPr>
          </w:p>
        </w:tc>
        <w:tc>
          <w:tcPr>
            <w:tcW w:w="1880" w:type="dxa"/>
            <w:vMerge/>
            <w:vAlign w:val="center"/>
            <w:hideMark/>
          </w:tcPr>
          <w:p w14:paraId="5D82C684" w14:textId="77777777" w:rsidR="005F7F24" w:rsidRPr="00B07A9F" w:rsidRDefault="005F7F24" w:rsidP="00BC5B15">
            <w:pPr>
              <w:spacing w:after="0"/>
              <w:jc w:val="center"/>
              <w:cnfStyle w:val="000000000000" w:firstRow="0" w:lastRow="0" w:firstColumn="0" w:lastColumn="0" w:oddVBand="0" w:evenVBand="0" w:oddHBand="0" w:evenHBand="0" w:firstRowFirstColumn="0" w:firstRowLastColumn="0" w:lastRowFirstColumn="0" w:lastRowLastColumn="0"/>
              <w:rPr>
                <w:color w:val="000000"/>
                <w:sz w:val="22"/>
                <w:szCs w:val="22"/>
                <w:lang w:val="fr-BE" w:eastAsia="fr-BE"/>
              </w:rPr>
            </w:pPr>
          </w:p>
        </w:tc>
        <w:tc>
          <w:tcPr>
            <w:tcW w:w="1200" w:type="dxa"/>
            <w:vMerge/>
            <w:vAlign w:val="center"/>
            <w:hideMark/>
          </w:tcPr>
          <w:p w14:paraId="7D06A24C" w14:textId="77777777" w:rsidR="005F7F24" w:rsidRPr="00B07A9F" w:rsidRDefault="005F7F24" w:rsidP="00BC5B15">
            <w:pPr>
              <w:spacing w:after="0"/>
              <w:jc w:val="center"/>
              <w:cnfStyle w:val="000000000000" w:firstRow="0" w:lastRow="0" w:firstColumn="0" w:lastColumn="0" w:oddVBand="0" w:evenVBand="0" w:oddHBand="0" w:evenHBand="0" w:firstRowFirstColumn="0" w:firstRowLastColumn="0" w:lastRowFirstColumn="0" w:lastRowLastColumn="0"/>
              <w:rPr>
                <w:color w:val="000000"/>
                <w:sz w:val="22"/>
                <w:szCs w:val="22"/>
                <w:lang w:val="fr-BE" w:eastAsia="fr-BE"/>
              </w:rPr>
            </w:pPr>
          </w:p>
        </w:tc>
        <w:tc>
          <w:tcPr>
            <w:tcW w:w="1200" w:type="dxa"/>
            <w:vMerge/>
            <w:vAlign w:val="center"/>
            <w:hideMark/>
          </w:tcPr>
          <w:p w14:paraId="028D307B" w14:textId="77777777" w:rsidR="005F7F24" w:rsidRPr="00B07A9F" w:rsidRDefault="005F7F24" w:rsidP="00BC5B15">
            <w:pPr>
              <w:spacing w:after="0"/>
              <w:jc w:val="center"/>
              <w:cnfStyle w:val="000000000000" w:firstRow="0" w:lastRow="0" w:firstColumn="0" w:lastColumn="0" w:oddVBand="0" w:evenVBand="0" w:oddHBand="0" w:evenHBand="0" w:firstRowFirstColumn="0" w:firstRowLastColumn="0" w:lastRowFirstColumn="0" w:lastRowLastColumn="0"/>
              <w:rPr>
                <w:color w:val="000000"/>
                <w:sz w:val="22"/>
                <w:szCs w:val="22"/>
                <w:lang w:val="fr-BE" w:eastAsia="fr-BE"/>
              </w:rPr>
            </w:pPr>
          </w:p>
        </w:tc>
        <w:tc>
          <w:tcPr>
            <w:tcW w:w="1200" w:type="dxa"/>
            <w:vAlign w:val="center"/>
            <w:hideMark/>
          </w:tcPr>
          <w:p w14:paraId="7D897D53" w14:textId="77777777" w:rsidR="005F7F24" w:rsidRPr="00B07A9F" w:rsidRDefault="005F7F24" w:rsidP="00BC5B15">
            <w:pPr>
              <w:spacing w:after="0"/>
              <w:jc w:val="center"/>
              <w:cnfStyle w:val="000000000000" w:firstRow="0" w:lastRow="0" w:firstColumn="0" w:lastColumn="0" w:oddVBand="0" w:evenVBand="0" w:oddHBand="0" w:evenHBand="0" w:firstRowFirstColumn="0" w:firstRowLastColumn="0" w:lastRowFirstColumn="0" w:lastRowLastColumn="0"/>
              <w:rPr>
                <w:color w:val="000000"/>
                <w:sz w:val="22"/>
                <w:szCs w:val="22"/>
                <w:lang w:val="fr-BE" w:eastAsia="fr-BE"/>
              </w:rPr>
            </w:pPr>
            <w:r w:rsidRPr="00B07A9F">
              <w:rPr>
                <w:color w:val="000000"/>
                <w:sz w:val="22"/>
                <w:szCs w:val="22"/>
                <w:lang w:val="fr-CD" w:eastAsia="fr-BE"/>
              </w:rPr>
              <w:t>-</w:t>
            </w:r>
          </w:p>
        </w:tc>
        <w:tc>
          <w:tcPr>
            <w:tcW w:w="1200" w:type="dxa"/>
            <w:vAlign w:val="center"/>
            <w:hideMark/>
          </w:tcPr>
          <w:p w14:paraId="1E99E486" w14:textId="77777777" w:rsidR="005F7F24" w:rsidRPr="00B07A9F" w:rsidRDefault="005F7F24" w:rsidP="00BC5B15">
            <w:pPr>
              <w:spacing w:after="0"/>
              <w:jc w:val="center"/>
              <w:cnfStyle w:val="000000000000" w:firstRow="0" w:lastRow="0" w:firstColumn="0" w:lastColumn="0" w:oddVBand="0" w:evenVBand="0" w:oddHBand="0" w:evenHBand="0" w:firstRowFirstColumn="0" w:firstRowLastColumn="0" w:lastRowFirstColumn="0" w:lastRowLastColumn="0"/>
              <w:rPr>
                <w:color w:val="000000"/>
                <w:sz w:val="22"/>
                <w:szCs w:val="22"/>
                <w:lang w:val="fr-BE" w:eastAsia="fr-BE"/>
              </w:rPr>
            </w:pPr>
            <w:r w:rsidRPr="00B07A9F">
              <w:rPr>
                <w:color w:val="000000"/>
                <w:sz w:val="22"/>
                <w:szCs w:val="22"/>
                <w:lang w:val="fr-CD" w:eastAsia="fr-BE"/>
              </w:rPr>
              <w:t>0.28</w:t>
            </w:r>
          </w:p>
        </w:tc>
        <w:tc>
          <w:tcPr>
            <w:tcW w:w="1200" w:type="dxa"/>
            <w:vMerge/>
            <w:vAlign w:val="center"/>
            <w:hideMark/>
          </w:tcPr>
          <w:p w14:paraId="10E0AD8B" w14:textId="77777777" w:rsidR="005F7F24" w:rsidRPr="00B07A9F" w:rsidRDefault="005F7F24" w:rsidP="00BC5B15">
            <w:pPr>
              <w:spacing w:after="0"/>
              <w:jc w:val="center"/>
              <w:cnfStyle w:val="000000000000" w:firstRow="0" w:lastRow="0" w:firstColumn="0" w:lastColumn="0" w:oddVBand="0" w:evenVBand="0" w:oddHBand="0" w:evenHBand="0" w:firstRowFirstColumn="0" w:firstRowLastColumn="0" w:lastRowFirstColumn="0" w:lastRowLastColumn="0"/>
              <w:rPr>
                <w:color w:val="000000"/>
                <w:sz w:val="22"/>
                <w:szCs w:val="22"/>
                <w:lang w:val="fr-BE" w:eastAsia="fr-BE"/>
              </w:rPr>
            </w:pPr>
          </w:p>
        </w:tc>
      </w:tr>
      <w:tr w:rsidR="005F7F24" w:rsidRPr="00B07A9F" w14:paraId="036BA282" w14:textId="77777777" w:rsidTr="00BC5B15">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480" w:type="dxa"/>
            <w:vMerge w:val="restart"/>
            <w:vAlign w:val="center"/>
            <w:hideMark/>
          </w:tcPr>
          <w:p w14:paraId="2320A6EA" w14:textId="77777777" w:rsidR="005F7F24" w:rsidRPr="00B07A9F" w:rsidRDefault="005F7F24" w:rsidP="00BC5B15">
            <w:pPr>
              <w:spacing w:after="0"/>
              <w:jc w:val="center"/>
              <w:rPr>
                <w:color w:val="000000"/>
                <w:sz w:val="22"/>
                <w:szCs w:val="22"/>
                <w:lang w:val="fr-BE" w:eastAsia="fr-BE"/>
              </w:rPr>
            </w:pPr>
            <w:r w:rsidRPr="00B07A9F">
              <w:rPr>
                <w:color w:val="000000"/>
                <w:sz w:val="22"/>
                <w:szCs w:val="22"/>
                <w:lang w:val="fr-BE" w:eastAsia="fr-BE"/>
              </w:rPr>
              <w:lastRenderedPageBreak/>
              <w:t>22.5</w:t>
            </w:r>
          </w:p>
        </w:tc>
        <w:tc>
          <w:tcPr>
            <w:tcW w:w="1880" w:type="dxa"/>
            <w:vMerge w:val="restart"/>
            <w:vAlign w:val="center"/>
            <w:hideMark/>
          </w:tcPr>
          <w:p w14:paraId="36B0376D" w14:textId="77777777" w:rsidR="005F7F24" w:rsidRPr="00B07A9F" w:rsidRDefault="005F7F24" w:rsidP="00BC5B15">
            <w:pPr>
              <w:spacing w:after="0"/>
              <w:jc w:val="center"/>
              <w:cnfStyle w:val="000000100000" w:firstRow="0" w:lastRow="0" w:firstColumn="0" w:lastColumn="0" w:oddVBand="0" w:evenVBand="0" w:oddHBand="1" w:evenHBand="0" w:firstRowFirstColumn="0" w:firstRowLastColumn="0" w:lastRowFirstColumn="0" w:lastRowLastColumn="0"/>
              <w:rPr>
                <w:color w:val="000000"/>
                <w:sz w:val="22"/>
                <w:szCs w:val="22"/>
                <w:lang w:val="fr-BE" w:eastAsia="fr-BE"/>
              </w:rPr>
            </w:pPr>
            <w:r w:rsidRPr="00B07A9F">
              <w:rPr>
                <w:color w:val="000000"/>
                <w:sz w:val="22"/>
                <w:szCs w:val="22"/>
                <w:lang w:val="fr-BE" w:eastAsia="fr-BE"/>
              </w:rPr>
              <w:t>5</w:t>
            </w:r>
          </w:p>
        </w:tc>
        <w:tc>
          <w:tcPr>
            <w:tcW w:w="1200" w:type="dxa"/>
            <w:vMerge w:val="restart"/>
            <w:vAlign w:val="center"/>
            <w:hideMark/>
          </w:tcPr>
          <w:p w14:paraId="214B10F7" w14:textId="77777777" w:rsidR="005F7F24" w:rsidRPr="00B07A9F" w:rsidRDefault="005F7F24" w:rsidP="00BC5B15">
            <w:pPr>
              <w:spacing w:after="0"/>
              <w:jc w:val="center"/>
              <w:cnfStyle w:val="000000100000" w:firstRow="0" w:lastRow="0" w:firstColumn="0" w:lastColumn="0" w:oddVBand="0" w:evenVBand="0" w:oddHBand="1" w:evenHBand="0" w:firstRowFirstColumn="0" w:firstRowLastColumn="0" w:lastRowFirstColumn="0" w:lastRowLastColumn="0"/>
              <w:rPr>
                <w:color w:val="000000"/>
                <w:sz w:val="22"/>
                <w:szCs w:val="22"/>
                <w:lang w:val="fr-BE" w:eastAsia="fr-BE"/>
              </w:rPr>
            </w:pPr>
            <w:r w:rsidRPr="00B07A9F">
              <w:rPr>
                <w:color w:val="000000"/>
                <w:sz w:val="22"/>
                <w:szCs w:val="22"/>
                <w:lang w:val="fr-BE" w:eastAsia="fr-BE"/>
              </w:rPr>
              <w:t>70</w:t>
            </w:r>
          </w:p>
        </w:tc>
        <w:tc>
          <w:tcPr>
            <w:tcW w:w="1200" w:type="dxa"/>
            <w:vMerge w:val="restart"/>
            <w:vAlign w:val="center"/>
            <w:hideMark/>
          </w:tcPr>
          <w:p w14:paraId="57D68854" w14:textId="77777777" w:rsidR="005F7F24" w:rsidRPr="00B07A9F" w:rsidRDefault="005F7F24" w:rsidP="00BC5B15">
            <w:pPr>
              <w:spacing w:after="0"/>
              <w:jc w:val="center"/>
              <w:cnfStyle w:val="000000100000" w:firstRow="0" w:lastRow="0" w:firstColumn="0" w:lastColumn="0" w:oddVBand="0" w:evenVBand="0" w:oddHBand="1" w:evenHBand="0" w:firstRowFirstColumn="0" w:firstRowLastColumn="0" w:lastRowFirstColumn="0" w:lastRowLastColumn="0"/>
              <w:rPr>
                <w:color w:val="000000"/>
                <w:sz w:val="22"/>
                <w:szCs w:val="22"/>
                <w:lang w:val="fr-BE" w:eastAsia="fr-BE"/>
              </w:rPr>
            </w:pPr>
            <w:r w:rsidRPr="00B07A9F">
              <w:rPr>
                <w:color w:val="000000"/>
                <w:sz w:val="22"/>
                <w:szCs w:val="22"/>
                <w:lang w:val="fr-BE" w:eastAsia="fr-BE"/>
              </w:rPr>
              <w:t>60</w:t>
            </w:r>
          </w:p>
        </w:tc>
        <w:tc>
          <w:tcPr>
            <w:tcW w:w="1200" w:type="dxa"/>
            <w:vAlign w:val="center"/>
            <w:hideMark/>
          </w:tcPr>
          <w:p w14:paraId="5C38EBFC" w14:textId="77777777" w:rsidR="005F7F24" w:rsidRPr="00B07A9F" w:rsidRDefault="005F7F24" w:rsidP="00BC5B15">
            <w:pPr>
              <w:spacing w:after="0"/>
              <w:jc w:val="center"/>
              <w:cnfStyle w:val="000000100000" w:firstRow="0" w:lastRow="0" w:firstColumn="0" w:lastColumn="0" w:oddVBand="0" w:evenVBand="0" w:oddHBand="1" w:evenHBand="0" w:firstRowFirstColumn="0" w:firstRowLastColumn="0" w:lastRowFirstColumn="0" w:lastRowLastColumn="0"/>
              <w:rPr>
                <w:color w:val="000000"/>
                <w:sz w:val="22"/>
                <w:szCs w:val="22"/>
                <w:lang w:val="fr-BE" w:eastAsia="fr-BE"/>
              </w:rPr>
            </w:pPr>
            <w:r w:rsidRPr="00B07A9F">
              <w:rPr>
                <w:color w:val="000000"/>
                <w:sz w:val="22"/>
                <w:szCs w:val="22"/>
                <w:lang w:val="fr-BE" w:eastAsia="fr-BE"/>
              </w:rPr>
              <w:t>1</w:t>
            </w:r>
          </w:p>
        </w:tc>
        <w:tc>
          <w:tcPr>
            <w:tcW w:w="1200" w:type="dxa"/>
            <w:vAlign w:val="center"/>
            <w:hideMark/>
          </w:tcPr>
          <w:p w14:paraId="0EC20ADA" w14:textId="77777777" w:rsidR="005F7F24" w:rsidRPr="00B07A9F" w:rsidRDefault="005F7F24" w:rsidP="00BC5B15">
            <w:pPr>
              <w:spacing w:after="0"/>
              <w:jc w:val="center"/>
              <w:cnfStyle w:val="000000100000" w:firstRow="0" w:lastRow="0" w:firstColumn="0" w:lastColumn="0" w:oddVBand="0" w:evenVBand="0" w:oddHBand="1" w:evenHBand="0" w:firstRowFirstColumn="0" w:firstRowLastColumn="0" w:lastRowFirstColumn="0" w:lastRowLastColumn="0"/>
              <w:rPr>
                <w:color w:val="000000"/>
                <w:sz w:val="22"/>
                <w:szCs w:val="22"/>
                <w:lang w:val="fr-BE" w:eastAsia="fr-BE"/>
              </w:rPr>
            </w:pPr>
            <w:r w:rsidRPr="00B07A9F">
              <w:rPr>
                <w:color w:val="000000"/>
                <w:sz w:val="22"/>
                <w:szCs w:val="22"/>
                <w:lang w:val="fr-BE" w:eastAsia="fr-BE"/>
              </w:rPr>
              <w:t>-</w:t>
            </w:r>
          </w:p>
        </w:tc>
        <w:tc>
          <w:tcPr>
            <w:tcW w:w="1200" w:type="dxa"/>
            <w:vMerge w:val="restart"/>
            <w:vAlign w:val="center"/>
            <w:hideMark/>
          </w:tcPr>
          <w:p w14:paraId="4526FAAD" w14:textId="77777777" w:rsidR="005F7F24" w:rsidRPr="00B07A9F" w:rsidRDefault="005F7F24" w:rsidP="00BC5B15">
            <w:pPr>
              <w:spacing w:after="0"/>
              <w:jc w:val="center"/>
              <w:cnfStyle w:val="000000100000" w:firstRow="0" w:lastRow="0" w:firstColumn="0" w:lastColumn="0" w:oddVBand="0" w:evenVBand="0" w:oddHBand="1" w:evenHBand="0" w:firstRowFirstColumn="0" w:firstRowLastColumn="0" w:lastRowFirstColumn="0" w:lastRowLastColumn="0"/>
              <w:rPr>
                <w:color w:val="000000"/>
                <w:sz w:val="22"/>
                <w:szCs w:val="22"/>
                <w:lang w:val="fr-BE" w:eastAsia="fr-BE"/>
              </w:rPr>
            </w:pPr>
            <w:r w:rsidRPr="00B07A9F">
              <w:rPr>
                <w:color w:val="000000"/>
                <w:sz w:val="22"/>
                <w:szCs w:val="22"/>
                <w:lang w:val="fr-BE" w:eastAsia="fr-BE"/>
              </w:rPr>
              <w:t>11</w:t>
            </w:r>
          </w:p>
        </w:tc>
      </w:tr>
      <w:tr w:rsidR="005F7F24" w:rsidRPr="00B07A9F" w14:paraId="3A43E2B4" w14:textId="77777777" w:rsidTr="00BC5B15">
        <w:trPr>
          <w:trHeight w:val="315"/>
        </w:trPr>
        <w:tc>
          <w:tcPr>
            <w:cnfStyle w:val="001000000000" w:firstRow="0" w:lastRow="0" w:firstColumn="1" w:lastColumn="0" w:oddVBand="0" w:evenVBand="0" w:oddHBand="0" w:evenHBand="0" w:firstRowFirstColumn="0" w:firstRowLastColumn="0" w:lastRowFirstColumn="0" w:lastRowLastColumn="0"/>
            <w:tcW w:w="2480" w:type="dxa"/>
            <w:vMerge/>
            <w:vAlign w:val="center"/>
            <w:hideMark/>
          </w:tcPr>
          <w:p w14:paraId="5345F8AB" w14:textId="77777777" w:rsidR="005F7F24" w:rsidRPr="00B07A9F" w:rsidRDefault="005F7F24" w:rsidP="00BC5B15">
            <w:pPr>
              <w:spacing w:after="0"/>
              <w:jc w:val="center"/>
              <w:rPr>
                <w:color w:val="000000"/>
                <w:sz w:val="22"/>
                <w:szCs w:val="22"/>
                <w:lang w:val="fr-BE" w:eastAsia="fr-BE"/>
              </w:rPr>
            </w:pPr>
          </w:p>
        </w:tc>
        <w:tc>
          <w:tcPr>
            <w:tcW w:w="1880" w:type="dxa"/>
            <w:vMerge/>
            <w:vAlign w:val="center"/>
            <w:hideMark/>
          </w:tcPr>
          <w:p w14:paraId="3E618EBD" w14:textId="77777777" w:rsidR="005F7F24" w:rsidRPr="00B07A9F" w:rsidRDefault="005F7F24" w:rsidP="00BC5B15">
            <w:pPr>
              <w:spacing w:after="0"/>
              <w:jc w:val="center"/>
              <w:cnfStyle w:val="000000000000" w:firstRow="0" w:lastRow="0" w:firstColumn="0" w:lastColumn="0" w:oddVBand="0" w:evenVBand="0" w:oddHBand="0" w:evenHBand="0" w:firstRowFirstColumn="0" w:firstRowLastColumn="0" w:lastRowFirstColumn="0" w:lastRowLastColumn="0"/>
              <w:rPr>
                <w:color w:val="000000"/>
                <w:sz w:val="22"/>
                <w:szCs w:val="22"/>
                <w:lang w:val="fr-BE" w:eastAsia="fr-BE"/>
              </w:rPr>
            </w:pPr>
          </w:p>
        </w:tc>
        <w:tc>
          <w:tcPr>
            <w:tcW w:w="1200" w:type="dxa"/>
            <w:vMerge/>
            <w:vAlign w:val="center"/>
            <w:hideMark/>
          </w:tcPr>
          <w:p w14:paraId="3FADC19A" w14:textId="77777777" w:rsidR="005F7F24" w:rsidRPr="00B07A9F" w:rsidRDefault="005F7F24" w:rsidP="00BC5B15">
            <w:pPr>
              <w:spacing w:after="0"/>
              <w:jc w:val="center"/>
              <w:cnfStyle w:val="000000000000" w:firstRow="0" w:lastRow="0" w:firstColumn="0" w:lastColumn="0" w:oddVBand="0" w:evenVBand="0" w:oddHBand="0" w:evenHBand="0" w:firstRowFirstColumn="0" w:firstRowLastColumn="0" w:lastRowFirstColumn="0" w:lastRowLastColumn="0"/>
              <w:rPr>
                <w:color w:val="000000"/>
                <w:sz w:val="22"/>
                <w:szCs w:val="22"/>
                <w:lang w:val="fr-BE" w:eastAsia="fr-BE"/>
              </w:rPr>
            </w:pPr>
          </w:p>
        </w:tc>
        <w:tc>
          <w:tcPr>
            <w:tcW w:w="1200" w:type="dxa"/>
            <w:vMerge/>
            <w:vAlign w:val="center"/>
            <w:hideMark/>
          </w:tcPr>
          <w:p w14:paraId="07E8FBBA" w14:textId="77777777" w:rsidR="005F7F24" w:rsidRPr="00B07A9F" w:rsidRDefault="005F7F24" w:rsidP="00BC5B15">
            <w:pPr>
              <w:spacing w:after="0"/>
              <w:jc w:val="center"/>
              <w:cnfStyle w:val="000000000000" w:firstRow="0" w:lastRow="0" w:firstColumn="0" w:lastColumn="0" w:oddVBand="0" w:evenVBand="0" w:oddHBand="0" w:evenHBand="0" w:firstRowFirstColumn="0" w:firstRowLastColumn="0" w:lastRowFirstColumn="0" w:lastRowLastColumn="0"/>
              <w:rPr>
                <w:color w:val="000000"/>
                <w:sz w:val="22"/>
                <w:szCs w:val="22"/>
                <w:lang w:val="fr-BE" w:eastAsia="fr-BE"/>
              </w:rPr>
            </w:pPr>
          </w:p>
        </w:tc>
        <w:tc>
          <w:tcPr>
            <w:tcW w:w="1200" w:type="dxa"/>
            <w:vAlign w:val="center"/>
            <w:hideMark/>
          </w:tcPr>
          <w:p w14:paraId="100DCCB0" w14:textId="77777777" w:rsidR="005F7F24" w:rsidRPr="00B07A9F" w:rsidRDefault="005F7F24" w:rsidP="00BC5B15">
            <w:pPr>
              <w:spacing w:after="0"/>
              <w:jc w:val="center"/>
              <w:cnfStyle w:val="000000000000" w:firstRow="0" w:lastRow="0" w:firstColumn="0" w:lastColumn="0" w:oddVBand="0" w:evenVBand="0" w:oddHBand="0" w:evenHBand="0" w:firstRowFirstColumn="0" w:firstRowLastColumn="0" w:lastRowFirstColumn="0" w:lastRowLastColumn="0"/>
              <w:rPr>
                <w:color w:val="000000"/>
                <w:sz w:val="22"/>
                <w:szCs w:val="22"/>
                <w:lang w:val="fr-BE" w:eastAsia="fr-BE"/>
              </w:rPr>
            </w:pPr>
            <w:r w:rsidRPr="00B07A9F">
              <w:rPr>
                <w:color w:val="000000"/>
                <w:sz w:val="22"/>
                <w:szCs w:val="22"/>
                <w:lang w:val="fr-BE" w:eastAsia="fr-BE"/>
              </w:rPr>
              <w:t>-</w:t>
            </w:r>
          </w:p>
        </w:tc>
        <w:tc>
          <w:tcPr>
            <w:tcW w:w="1200" w:type="dxa"/>
            <w:vAlign w:val="center"/>
            <w:hideMark/>
          </w:tcPr>
          <w:p w14:paraId="7C7245AA" w14:textId="77777777" w:rsidR="005F7F24" w:rsidRPr="00B07A9F" w:rsidRDefault="005F7F24" w:rsidP="00BC5B15">
            <w:pPr>
              <w:spacing w:after="0"/>
              <w:jc w:val="center"/>
              <w:cnfStyle w:val="000000000000" w:firstRow="0" w:lastRow="0" w:firstColumn="0" w:lastColumn="0" w:oddVBand="0" w:evenVBand="0" w:oddHBand="0" w:evenHBand="0" w:firstRowFirstColumn="0" w:firstRowLastColumn="0" w:lastRowFirstColumn="0" w:lastRowLastColumn="0"/>
              <w:rPr>
                <w:color w:val="000000"/>
                <w:sz w:val="22"/>
                <w:szCs w:val="22"/>
                <w:lang w:val="fr-BE" w:eastAsia="fr-BE"/>
              </w:rPr>
            </w:pPr>
            <w:r w:rsidRPr="00B07A9F">
              <w:rPr>
                <w:color w:val="000000"/>
                <w:sz w:val="22"/>
                <w:szCs w:val="22"/>
                <w:lang w:val="fr-BE" w:eastAsia="fr-BE"/>
              </w:rPr>
              <w:t>0.28</w:t>
            </w:r>
          </w:p>
        </w:tc>
        <w:tc>
          <w:tcPr>
            <w:tcW w:w="1200" w:type="dxa"/>
            <w:vMerge/>
            <w:vAlign w:val="center"/>
            <w:hideMark/>
          </w:tcPr>
          <w:p w14:paraId="46E780C5" w14:textId="77777777" w:rsidR="005F7F24" w:rsidRPr="00B07A9F" w:rsidRDefault="005F7F24" w:rsidP="00BC5B15">
            <w:pPr>
              <w:spacing w:after="0"/>
              <w:jc w:val="center"/>
              <w:cnfStyle w:val="000000000000" w:firstRow="0" w:lastRow="0" w:firstColumn="0" w:lastColumn="0" w:oddVBand="0" w:evenVBand="0" w:oddHBand="0" w:evenHBand="0" w:firstRowFirstColumn="0" w:firstRowLastColumn="0" w:lastRowFirstColumn="0" w:lastRowLastColumn="0"/>
              <w:rPr>
                <w:color w:val="000000"/>
                <w:sz w:val="22"/>
                <w:szCs w:val="22"/>
                <w:lang w:val="fr-BE" w:eastAsia="fr-BE"/>
              </w:rPr>
            </w:pPr>
          </w:p>
        </w:tc>
      </w:tr>
    </w:tbl>
    <w:p w14:paraId="1F627A90" w14:textId="77777777" w:rsidR="005F7F24" w:rsidRPr="00B07A9F" w:rsidRDefault="005F7F24" w:rsidP="00340920">
      <w:pPr>
        <w:spacing w:before="240"/>
        <w:rPr>
          <w:bCs/>
          <w:sz w:val="22"/>
        </w:rPr>
      </w:pPr>
    </w:p>
    <w:p w14:paraId="7F1CBACC" w14:textId="77777777" w:rsidR="00981F50" w:rsidRPr="00B07A9F" w:rsidRDefault="00981F50" w:rsidP="00340920">
      <w:pPr>
        <w:pStyle w:val="Heading2"/>
        <w:numPr>
          <w:ilvl w:val="1"/>
          <w:numId w:val="34"/>
        </w:numPr>
        <w:spacing w:before="240" w:after="120"/>
        <w:rPr>
          <w:rFonts w:ascii="Times New Roman" w:hAnsi="Times New Roman"/>
          <w:sz w:val="22"/>
        </w:rPr>
      </w:pPr>
      <w:bookmarkStart w:id="10" w:name="_Hlk115643819"/>
      <w:bookmarkEnd w:id="9"/>
      <w:r w:rsidRPr="00B07A9F">
        <w:rPr>
          <w:rFonts w:ascii="Times New Roman" w:hAnsi="Times New Roman"/>
          <w:sz w:val="22"/>
        </w:rPr>
        <w:t xml:space="preserve">Characterization of the synthesized </w:t>
      </w:r>
      <w:proofErr w:type="spellStart"/>
      <w:r w:rsidRPr="00B07A9F">
        <w:rPr>
          <w:rFonts w:ascii="Times New Roman" w:hAnsi="Times New Roman"/>
          <w:sz w:val="22"/>
        </w:rPr>
        <w:t>ZnONPs</w:t>
      </w:r>
      <w:proofErr w:type="spellEnd"/>
      <w:r w:rsidRPr="00B07A9F">
        <w:rPr>
          <w:rFonts w:ascii="Times New Roman" w:hAnsi="Times New Roman"/>
          <w:sz w:val="22"/>
        </w:rPr>
        <w:t xml:space="preserve"> and quantification of </w:t>
      </w:r>
      <w:bookmarkStart w:id="11" w:name="_Hlk118815868"/>
      <w:r w:rsidRPr="00B07A9F">
        <w:rPr>
          <w:rFonts w:ascii="Times New Roman" w:hAnsi="Times New Roman"/>
          <w:sz w:val="22"/>
        </w:rPr>
        <w:t>capped phytocompounds</w:t>
      </w:r>
      <w:bookmarkEnd w:id="11"/>
    </w:p>
    <w:p w14:paraId="0C373360" w14:textId="26EBDF33" w:rsidR="00981F50" w:rsidRPr="00B07A9F" w:rsidRDefault="00981F50" w:rsidP="002170B8">
      <w:pPr>
        <w:rPr>
          <w:sz w:val="22"/>
        </w:rPr>
      </w:pPr>
      <w:r w:rsidRPr="00B07A9F">
        <w:rPr>
          <w:sz w:val="22"/>
        </w:rPr>
        <w:t xml:space="preserve">Throughout the different processes, an aliquot of the synthesized nanoparticles from each method was suspended in water at a concentration of 0.04% w/v and was then characterized by UV‒visible spectrophotometry using a </w:t>
      </w:r>
      <w:proofErr w:type="spellStart"/>
      <w:r w:rsidRPr="00B07A9F">
        <w:rPr>
          <w:sz w:val="22"/>
        </w:rPr>
        <w:t>NanoDrop</w:t>
      </w:r>
      <w:proofErr w:type="spellEnd"/>
      <w:r w:rsidRPr="00B07A9F">
        <w:rPr>
          <w:sz w:val="22"/>
        </w:rPr>
        <w:t>™ 2000 (</w:t>
      </w:r>
      <w:proofErr w:type="spellStart"/>
      <w:r w:rsidRPr="00B07A9F">
        <w:rPr>
          <w:sz w:val="22"/>
        </w:rPr>
        <w:t>Thermo</w:t>
      </w:r>
      <w:proofErr w:type="spellEnd"/>
      <w:r w:rsidRPr="00B07A9F">
        <w:rPr>
          <w:sz w:val="22"/>
        </w:rPr>
        <w:t xml:space="preserve"> Scientific/USA) and dynamic light scattering (DLS) using a Malvern </w:t>
      </w:r>
      <w:proofErr w:type="spellStart"/>
      <w:r w:rsidRPr="00B07A9F">
        <w:rPr>
          <w:sz w:val="22"/>
        </w:rPr>
        <w:t>Zetasizer</w:t>
      </w:r>
      <w:proofErr w:type="spellEnd"/>
      <w:r w:rsidRPr="00B07A9F">
        <w:rPr>
          <w:sz w:val="22"/>
        </w:rPr>
        <w:t xml:space="preserve"> Ultra instrument (Malvern </w:t>
      </w:r>
      <w:proofErr w:type="spellStart"/>
      <w:r w:rsidRPr="00B07A9F">
        <w:rPr>
          <w:sz w:val="22"/>
        </w:rPr>
        <w:t>Panalytical</w:t>
      </w:r>
      <w:proofErr w:type="spellEnd"/>
      <w:r w:rsidRPr="00B07A9F">
        <w:rPr>
          <w:sz w:val="22"/>
        </w:rPr>
        <w:t xml:space="preserve"> Ltd/UK). For UV‒visible spectrophotometry, a drop of this suspension was deposited onto the lower measurement pedestal of the </w:t>
      </w:r>
      <w:proofErr w:type="spellStart"/>
      <w:r w:rsidRPr="00B07A9F">
        <w:rPr>
          <w:sz w:val="22"/>
        </w:rPr>
        <w:t>NanoDrop</w:t>
      </w:r>
      <w:proofErr w:type="spellEnd"/>
      <w:r w:rsidRPr="00B07A9F">
        <w:rPr>
          <w:sz w:val="22"/>
        </w:rPr>
        <w:t>™ 2000, and then, the absorption spectra were recorded. DLS was used to determine the particle size, polydispersity index (PDI) and zeta potential analysis of the suspension placed in the appropriate cuvette.</w:t>
      </w:r>
    </w:p>
    <w:p w14:paraId="297E590C" w14:textId="1C999A9C" w:rsidR="00545B60" w:rsidRPr="00B07A9F" w:rsidRDefault="00981F50" w:rsidP="00340920">
      <w:pPr>
        <w:spacing w:before="240" w:after="0"/>
        <w:rPr>
          <w:color w:val="000000" w:themeColor="text1"/>
          <w:sz w:val="22"/>
        </w:rPr>
      </w:pPr>
      <w:r w:rsidRPr="00B07A9F">
        <w:rPr>
          <w:sz w:val="22"/>
        </w:rPr>
        <w:t>The total phenolic content (TPC) expressed in pyrogallol was chosen as a tracer for phytocompounds (</w:t>
      </w:r>
      <w:proofErr w:type="spellStart"/>
      <w:r w:rsidRPr="00B07A9F">
        <w:rPr>
          <w:sz w:val="22"/>
        </w:rPr>
        <w:t>i</w:t>
      </w:r>
      <w:proofErr w:type="spellEnd"/>
      <w:r w:rsidRPr="00B07A9F">
        <w:rPr>
          <w:sz w:val="22"/>
        </w:rPr>
        <w:t xml:space="preserve">) contained in the aqueous extract used for the green synthesis and (ii) capped on the synthesized </w:t>
      </w:r>
      <w:proofErr w:type="spellStart"/>
      <w:r w:rsidRPr="00B07A9F">
        <w:rPr>
          <w:sz w:val="22"/>
        </w:rPr>
        <w:t>ZnONPs</w:t>
      </w:r>
      <w:proofErr w:type="spellEnd"/>
      <w:r w:rsidRPr="00B07A9F">
        <w:rPr>
          <w:sz w:val="22"/>
        </w:rPr>
        <w:t xml:space="preserve"> obtained from each method. The TPC was determined according to the procedures described in the European Pharmacopoeia 10.8</w:t>
      </w:r>
      <w:bookmarkStart w:id="12" w:name="_Hlk118815958"/>
      <w:r w:rsidRPr="00B07A9F">
        <w:rPr>
          <w:sz w:val="22"/>
        </w:rPr>
        <w:t xml:space="preserve">. In brief, </w:t>
      </w:r>
      <w:r w:rsidRPr="00B07A9F">
        <w:rPr>
          <w:color w:val="222222"/>
          <w:sz w:val="22"/>
        </w:rPr>
        <w:t>15 mL of water</w:t>
      </w:r>
      <w:r w:rsidRPr="00B07A9F">
        <w:rPr>
          <w:sz w:val="22"/>
        </w:rPr>
        <w:t xml:space="preserve"> was added to 45 mg of the plant extract and each of the synthesized </w:t>
      </w:r>
      <w:proofErr w:type="spellStart"/>
      <w:r w:rsidRPr="00B07A9F">
        <w:rPr>
          <w:sz w:val="22"/>
        </w:rPr>
        <w:t>ZnONPs</w:t>
      </w:r>
      <w:proofErr w:type="spellEnd"/>
      <w:r w:rsidRPr="00B07A9F">
        <w:rPr>
          <w:sz w:val="22"/>
        </w:rPr>
        <w:t xml:space="preserve"> in separate </w:t>
      </w:r>
      <w:r w:rsidRPr="00B07A9F">
        <w:rPr>
          <w:color w:val="222222"/>
          <w:sz w:val="22"/>
        </w:rPr>
        <w:t>25-mL flasks. The mixtures were heated in a water bath for 30 min and cooled under running water. Then, they were transferred to another 25-mL flask, diluted to 25 mL with water and filtered with filter paper that was 125 mm in diameter. The first 5 mL of the filtrates were discarded, and 5 mL of each filtrate was diluted to 25 mL with water. Two milliliters of each of these solutions were mixed with 1 mL of </w:t>
      </w:r>
      <w:proofErr w:type="spellStart"/>
      <w:r w:rsidRPr="00B07A9F">
        <w:rPr>
          <w:color w:val="222222"/>
          <w:sz w:val="22"/>
        </w:rPr>
        <w:t>phosphomolybdotungstic</w:t>
      </w:r>
      <w:proofErr w:type="spellEnd"/>
      <w:r w:rsidRPr="00B07A9F">
        <w:rPr>
          <w:color w:val="222222"/>
          <w:sz w:val="22"/>
        </w:rPr>
        <w:t xml:space="preserve"> reagent and 10 mL of water and diluted to 25 mL with a 290 g/L solution of sodium carbonate decahydrate, and then they were kept out of the light for 30 min. As a standard, 25 mg of pyrogallol was dissolved in water and diluted to 50 mL with the same solvent. Five milliliters of this solution </w:t>
      </w:r>
      <w:proofErr w:type="gramStart"/>
      <w:r w:rsidRPr="00B07A9F">
        <w:rPr>
          <w:color w:val="222222"/>
          <w:sz w:val="22"/>
        </w:rPr>
        <w:t>was</w:t>
      </w:r>
      <w:proofErr w:type="gramEnd"/>
      <w:r w:rsidRPr="00B07A9F">
        <w:rPr>
          <w:color w:val="222222"/>
          <w:sz w:val="22"/>
        </w:rPr>
        <w:t xml:space="preserve"> diluted to 100 mL with water. Then, 2 mL of this solution was mixed with 1 mL of </w:t>
      </w:r>
      <w:proofErr w:type="spellStart"/>
      <w:r w:rsidRPr="00B07A9F">
        <w:rPr>
          <w:color w:val="222222"/>
          <w:sz w:val="22"/>
        </w:rPr>
        <w:t>phosphomolybdotungstic</w:t>
      </w:r>
      <w:proofErr w:type="spellEnd"/>
      <w:r w:rsidRPr="00B07A9F">
        <w:rPr>
          <w:color w:val="222222"/>
          <w:sz w:val="22"/>
        </w:rPr>
        <w:t xml:space="preserve"> reagent and 10 mL of water, diluted to 25 mL with a 290 g/L solution of sodium carbonate decahydrate and kept for 30 min in the dark. Next, 200 µL of each of these solutions (sample test and standards) were pipetted on a 96-well plate, and the absorbances were measured at 760 nm (</w:t>
      </w:r>
      <w:bookmarkStart w:id="13" w:name="_Hlk118817953"/>
      <w:r w:rsidRPr="00B07A9F">
        <w:rPr>
          <w:iCs/>
          <w:color w:val="222222"/>
          <w:sz w:val="22"/>
        </w:rPr>
        <w:t>A</w:t>
      </w:r>
      <w:r w:rsidRPr="00B07A9F">
        <w:rPr>
          <w:color w:val="222222"/>
          <w:sz w:val="22"/>
          <w:vertAlign w:val="subscript"/>
        </w:rPr>
        <w:t xml:space="preserve">1 </w:t>
      </w:r>
      <w:r w:rsidRPr="00B07A9F">
        <w:rPr>
          <w:iCs/>
          <w:color w:val="222222"/>
          <w:sz w:val="22"/>
        </w:rPr>
        <w:t>for each sample test and A</w:t>
      </w:r>
      <w:r w:rsidRPr="00B07A9F">
        <w:rPr>
          <w:color w:val="222222"/>
          <w:sz w:val="22"/>
          <w:vertAlign w:val="subscript"/>
        </w:rPr>
        <w:t>2</w:t>
      </w:r>
      <w:r w:rsidRPr="00B07A9F">
        <w:rPr>
          <w:color w:val="222222"/>
          <w:sz w:val="22"/>
        </w:rPr>
        <w:t xml:space="preserve"> for the standard</w:t>
      </w:r>
      <w:bookmarkEnd w:id="13"/>
      <w:r w:rsidRPr="00B07A9F">
        <w:rPr>
          <w:color w:val="222222"/>
          <w:sz w:val="22"/>
        </w:rPr>
        <w:t>) using water</w:t>
      </w:r>
      <w:r w:rsidRPr="00B07A9F">
        <w:rPr>
          <w:sz w:val="22"/>
        </w:rPr>
        <w:t xml:space="preserve"> </w:t>
      </w:r>
      <w:r w:rsidRPr="00B07A9F">
        <w:rPr>
          <w:color w:val="222222"/>
          <w:sz w:val="22"/>
        </w:rPr>
        <w:t xml:space="preserve">as the compensation liquid on the </w:t>
      </w:r>
      <w:proofErr w:type="spellStart"/>
      <w:r w:rsidRPr="00B07A9F">
        <w:rPr>
          <w:color w:val="222222"/>
          <w:sz w:val="22"/>
        </w:rPr>
        <w:t>Spectramax</w:t>
      </w:r>
      <w:proofErr w:type="spellEnd"/>
      <w:r w:rsidRPr="00B07A9F">
        <w:rPr>
          <w:color w:val="222222"/>
          <w:sz w:val="22"/>
          <w:vertAlign w:val="superscript"/>
        </w:rPr>
        <w:t>®</w:t>
      </w:r>
      <w:r w:rsidRPr="00B07A9F">
        <w:rPr>
          <w:color w:val="222222"/>
          <w:sz w:val="22"/>
        </w:rPr>
        <w:t xml:space="preserve"> ID5 (Molecular Devices, LLC, USA)</w:t>
      </w:r>
      <w:r w:rsidRPr="00B07A9F">
        <w:rPr>
          <w:color w:val="000000" w:themeColor="text1"/>
          <w:sz w:val="22"/>
        </w:rPr>
        <w:t xml:space="preserve">. The percentage content of phenolic compounds in each sample was calculated from the </w:t>
      </w:r>
      <w:r w:rsidR="00545B60" w:rsidRPr="00B07A9F">
        <w:rPr>
          <w:color w:val="000000" w:themeColor="text1"/>
          <w:sz w:val="22"/>
        </w:rPr>
        <w:t>equation (2):</w:t>
      </w:r>
    </w:p>
    <w:p w14:paraId="5FE843B5" w14:textId="3FC2A477" w:rsidR="00981F50" w:rsidRPr="00B07A9F" w:rsidRDefault="00981F50" w:rsidP="00340920">
      <w:pPr>
        <w:spacing w:before="240" w:after="0"/>
        <w:rPr>
          <w:iCs/>
          <w:color w:val="000000" w:themeColor="text1"/>
          <w:kern w:val="24"/>
          <w:sz w:val="22"/>
        </w:rPr>
      </w:pPr>
      <w:r w:rsidRPr="00B07A9F">
        <w:rPr>
          <w:color w:val="000000" w:themeColor="text1"/>
          <w:sz w:val="22"/>
        </w:rPr>
        <w:t xml:space="preserve">TPC= </w:t>
      </w:r>
      <m:oMath>
        <m:f>
          <m:fPr>
            <m:ctrlPr>
              <w:rPr>
                <w:rFonts w:ascii="Cambria Math" w:eastAsia="Calibri" w:hAnsi="Cambria Math"/>
                <w:iCs/>
                <w:color w:val="000000" w:themeColor="text1"/>
                <w:kern w:val="24"/>
                <w:sz w:val="22"/>
              </w:rPr>
            </m:ctrlPr>
          </m:fPr>
          <m:num>
            <m:r>
              <m:rPr>
                <m:sty m:val="p"/>
              </m:rPr>
              <w:rPr>
                <w:rFonts w:ascii="Cambria Math" w:eastAsia="Calibri" w:hAnsi="Cambria Math"/>
                <w:color w:val="000000" w:themeColor="text1"/>
                <w:kern w:val="24"/>
                <w:sz w:val="22"/>
              </w:rPr>
              <m:t>Df.</m:t>
            </m:r>
            <m:r>
              <m:rPr>
                <m:sty m:val="p"/>
              </m:rPr>
              <w:rPr>
                <w:rFonts w:ascii="Cambria Math" w:hAnsi="Cambria Math"/>
                <w:color w:val="000000" w:themeColor="text1"/>
                <w:sz w:val="22"/>
              </w:rPr>
              <m:t>A</m:t>
            </m:r>
            <m:r>
              <m:rPr>
                <m:sty m:val="p"/>
              </m:rPr>
              <w:rPr>
                <w:rFonts w:ascii="Cambria Math" w:hAnsi="Cambria Math"/>
                <w:color w:val="000000" w:themeColor="text1"/>
                <w:sz w:val="22"/>
                <w:vertAlign w:val="subscript"/>
              </w:rPr>
              <m:t>1</m:t>
            </m:r>
            <m:r>
              <m:rPr>
                <m:sty m:val="p"/>
              </m:rPr>
              <w:rPr>
                <w:rFonts w:ascii="Cambria Math" w:eastAsia="Calibri" w:hAnsi="Cambria Math"/>
                <w:color w:val="000000" w:themeColor="text1"/>
                <w:kern w:val="24"/>
                <w:sz w:val="22"/>
              </w:rPr>
              <m:t>.m2</m:t>
            </m:r>
          </m:num>
          <m:den>
            <m:r>
              <m:rPr>
                <m:sty m:val="p"/>
              </m:rPr>
              <w:rPr>
                <w:rFonts w:ascii="Cambria Math" w:hAnsi="Cambria Math"/>
                <w:color w:val="000000" w:themeColor="text1"/>
                <w:sz w:val="22"/>
              </w:rPr>
              <m:t>A</m:t>
            </m:r>
            <m:r>
              <m:rPr>
                <m:sty m:val="p"/>
              </m:rPr>
              <w:rPr>
                <w:rFonts w:ascii="Cambria Math" w:hAnsi="Cambria Math"/>
                <w:color w:val="000000" w:themeColor="text1"/>
                <w:sz w:val="22"/>
                <w:vertAlign w:val="subscript"/>
              </w:rPr>
              <m:t>2</m:t>
            </m:r>
            <m:r>
              <m:rPr>
                <m:sty m:val="p"/>
              </m:rPr>
              <w:rPr>
                <w:rFonts w:ascii="Cambria Math" w:eastAsia="Calibri" w:hAnsi="Cambria Math"/>
                <w:color w:val="000000" w:themeColor="text1"/>
                <w:kern w:val="24"/>
                <w:sz w:val="22"/>
              </w:rPr>
              <m:t>.m1</m:t>
            </m:r>
          </m:den>
        </m:f>
      </m:oMath>
      <w:r w:rsidRPr="00B07A9F">
        <w:rPr>
          <w:iCs/>
          <w:color w:val="000000" w:themeColor="text1"/>
          <w:kern w:val="24"/>
          <w:sz w:val="22"/>
        </w:rPr>
        <w:t>x100</w:t>
      </w:r>
      <w:r w:rsidR="00545B60" w:rsidRPr="00B07A9F">
        <w:rPr>
          <w:iCs/>
          <w:color w:val="000000"/>
          <w:sz w:val="22"/>
        </w:rPr>
        <w:tab/>
      </w:r>
      <w:r w:rsidR="00545B60" w:rsidRPr="00B07A9F">
        <w:rPr>
          <w:iCs/>
          <w:color w:val="000000"/>
          <w:sz w:val="22"/>
        </w:rPr>
        <w:tab/>
      </w:r>
      <w:r w:rsidR="00545B60" w:rsidRPr="00B07A9F">
        <w:rPr>
          <w:iCs/>
          <w:color w:val="000000"/>
          <w:sz w:val="22"/>
        </w:rPr>
        <w:tab/>
      </w:r>
      <w:r w:rsidR="008E5568" w:rsidRPr="00B07A9F">
        <w:rPr>
          <w:iCs/>
          <w:color w:val="000000"/>
          <w:sz w:val="22"/>
        </w:rPr>
        <w:tab/>
      </w:r>
      <w:r w:rsidR="00545B60" w:rsidRPr="00B07A9F">
        <w:rPr>
          <w:iCs/>
          <w:color w:val="000000"/>
          <w:sz w:val="22"/>
        </w:rPr>
        <w:tab/>
        <w:t>(2)</w:t>
      </w:r>
    </w:p>
    <w:p w14:paraId="6C7A69EB" w14:textId="77777777" w:rsidR="00981F50" w:rsidRPr="00B07A9F" w:rsidRDefault="00981F50" w:rsidP="00340920">
      <w:pPr>
        <w:spacing w:after="0"/>
        <w:rPr>
          <w:color w:val="222222"/>
          <w:sz w:val="22"/>
        </w:rPr>
      </w:pPr>
      <w:r w:rsidRPr="00B07A9F">
        <w:rPr>
          <w:iCs/>
          <w:color w:val="000000"/>
          <w:sz w:val="22"/>
        </w:rPr>
        <w:t>where</w:t>
      </w:r>
      <w:r w:rsidRPr="00B07A9F">
        <w:rPr>
          <w:iCs/>
          <w:color w:val="000000" w:themeColor="text1"/>
          <w:sz w:val="22"/>
        </w:rPr>
        <w:t xml:space="preserve"> m</w:t>
      </w:r>
      <w:r w:rsidRPr="00B07A9F">
        <w:rPr>
          <w:color w:val="000000" w:themeColor="text1"/>
          <w:sz w:val="22"/>
          <w:vertAlign w:val="subscript"/>
        </w:rPr>
        <w:t>1</w:t>
      </w:r>
      <w:r w:rsidRPr="00B07A9F">
        <w:rPr>
          <w:color w:val="000000" w:themeColor="text1"/>
          <w:sz w:val="22"/>
        </w:rPr>
        <w:t xml:space="preserve"> = mass of the sample examined</w:t>
      </w:r>
      <w:r w:rsidRPr="00B07A9F">
        <w:rPr>
          <w:iCs/>
          <w:color w:val="000000" w:themeColor="text1"/>
          <w:kern w:val="24"/>
          <w:sz w:val="22"/>
        </w:rPr>
        <w:t xml:space="preserve">, </w:t>
      </w:r>
      <w:r w:rsidRPr="00B07A9F">
        <w:rPr>
          <w:iCs/>
          <w:color w:val="000000" w:themeColor="text1"/>
          <w:sz w:val="22"/>
        </w:rPr>
        <w:t>m</w:t>
      </w:r>
      <w:r w:rsidRPr="00B07A9F">
        <w:rPr>
          <w:color w:val="000000" w:themeColor="text1"/>
          <w:sz w:val="22"/>
          <w:vertAlign w:val="subscript"/>
        </w:rPr>
        <w:t xml:space="preserve">2 </w:t>
      </w:r>
      <w:r w:rsidRPr="00B07A9F">
        <w:rPr>
          <w:color w:val="000000" w:themeColor="text1"/>
          <w:sz w:val="22"/>
        </w:rPr>
        <w:t xml:space="preserve">= mass of pyrogallol in its last dilution, </w:t>
      </w:r>
      <w:r w:rsidRPr="00B07A9F">
        <w:rPr>
          <w:iCs/>
          <w:color w:val="000000" w:themeColor="text1"/>
          <w:kern w:val="24"/>
          <w:sz w:val="22"/>
        </w:rPr>
        <w:t xml:space="preserve">and </w:t>
      </w:r>
      <w:proofErr w:type="spellStart"/>
      <w:r w:rsidRPr="00B07A9F">
        <w:rPr>
          <w:color w:val="000000" w:themeColor="text1"/>
          <w:sz w:val="22"/>
        </w:rPr>
        <w:t>Df</w:t>
      </w:r>
      <w:proofErr w:type="spellEnd"/>
      <w:r w:rsidRPr="00B07A9F">
        <w:rPr>
          <w:color w:val="000000" w:themeColor="text1"/>
          <w:sz w:val="22"/>
        </w:rPr>
        <w:t xml:space="preserve"> = dilution factor </w:t>
      </w:r>
      <w:r w:rsidRPr="00B07A9F">
        <w:rPr>
          <w:color w:val="222222"/>
          <w:sz w:val="22"/>
        </w:rPr>
        <w:t>(=62.5 in our case).</w:t>
      </w:r>
    </w:p>
    <w:bookmarkEnd w:id="12"/>
    <w:p w14:paraId="2F3E3D2E" w14:textId="6E84122E" w:rsidR="00981F50" w:rsidRPr="00B07A9F" w:rsidRDefault="00981F50" w:rsidP="00340920">
      <w:pPr>
        <w:rPr>
          <w:color w:val="222222"/>
          <w:sz w:val="22"/>
          <w:szCs w:val="22"/>
        </w:rPr>
      </w:pPr>
      <w:r w:rsidRPr="00B07A9F">
        <w:rPr>
          <w:color w:val="222222"/>
          <w:sz w:val="22"/>
          <w:szCs w:val="22"/>
        </w:rPr>
        <w:t>The different samples were compared using the results of the analysis.</w:t>
      </w:r>
    </w:p>
    <w:p w14:paraId="01BDDB44" w14:textId="77777777" w:rsidR="00981F50" w:rsidRPr="00B07A9F" w:rsidRDefault="00981F50" w:rsidP="00340920">
      <w:pPr>
        <w:pStyle w:val="Heading2"/>
        <w:numPr>
          <w:ilvl w:val="1"/>
          <w:numId w:val="34"/>
        </w:numPr>
        <w:spacing w:before="240" w:after="120"/>
        <w:rPr>
          <w:rFonts w:ascii="Times New Roman" w:hAnsi="Times New Roman"/>
          <w:sz w:val="22"/>
          <w:szCs w:val="22"/>
        </w:rPr>
      </w:pPr>
      <w:r w:rsidRPr="00B07A9F">
        <w:rPr>
          <w:rFonts w:ascii="Times New Roman" w:hAnsi="Times New Roman"/>
          <w:sz w:val="22"/>
          <w:szCs w:val="22"/>
        </w:rPr>
        <w:t>Stability studies</w:t>
      </w:r>
    </w:p>
    <w:p w14:paraId="6B91731A" w14:textId="1C177545" w:rsidR="00981F50" w:rsidRPr="00B07A9F" w:rsidRDefault="00981F50" w:rsidP="00340920">
      <w:pPr>
        <w:spacing w:before="240"/>
        <w:rPr>
          <w:sz w:val="22"/>
          <w:szCs w:val="22"/>
        </w:rPr>
      </w:pPr>
      <w:bookmarkStart w:id="14" w:name="_Hlk117266096"/>
      <w:r w:rsidRPr="00B07A9F">
        <w:rPr>
          <w:sz w:val="22"/>
        </w:rPr>
        <w:t>The stability of the nanoparticles was investigated in biomimetic gastrointestinal fluids (fasted state simulated gastric fluid (</w:t>
      </w:r>
      <w:proofErr w:type="spellStart"/>
      <w:r w:rsidRPr="00B07A9F">
        <w:rPr>
          <w:sz w:val="22"/>
        </w:rPr>
        <w:t>FaSSGF</w:t>
      </w:r>
      <w:proofErr w:type="spellEnd"/>
      <w:r w:rsidRPr="00B07A9F">
        <w:rPr>
          <w:sz w:val="22"/>
        </w:rPr>
        <w:t>), fed state simulated gastric fluid (</w:t>
      </w:r>
      <w:proofErr w:type="spellStart"/>
      <w:r w:rsidRPr="00B07A9F">
        <w:rPr>
          <w:sz w:val="22"/>
        </w:rPr>
        <w:t>FeSSGF</w:t>
      </w:r>
      <w:proofErr w:type="spellEnd"/>
      <w:r w:rsidRPr="00B07A9F">
        <w:rPr>
          <w:sz w:val="22"/>
        </w:rPr>
        <w:t>), fasted state simulated intestinal fluid (</w:t>
      </w:r>
      <w:proofErr w:type="spellStart"/>
      <w:r w:rsidRPr="00B07A9F">
        <w:rPr>
          <w:sz w:val="22"/>
        </w:rPr>
        <w:t>FaSSIF</w:t>
      </w:r>
      <w:proofErr w:type="spellEnd"/>
      <w:r w:rsidRPr="00B07A9F">
        <w:rPr>
          <w:sz w:val="22"/>
        </w:rPr>
        <w:t>) and fed state simulated intestinal fluid (</w:t>
      </w:r>
      <w:proofErr w:type="spellStart"/>
      <w:r w:rsidRPr="00B07A9F">
        <w:rPr>
          <w:sz w:val="22"/>
        </w:rPr>
        <w:t>FeSSIF</w:t>
      </w:r>
      <w:proofErr w:type="spellEnd"/>
      <w:r w:rsidRPr="00B07A9F">
        <w:rPr>
          <w:sz w:val="22"/>
        </w:rPr>
        <w:t xml:space="preserve">)) prepared according to the methods and composition previously described </w:t>
      </w:r>
      <w:r w:rsidRPr="00B07A9F">
        <w:rPr>
          <w:sz w:val="22"/>
        </w:rPr>
        <w:fldChar w:fldCharType="begin" w:fldLock="1"/>
      </w:r>
      <w:r w:rsidRPr="00B07A9F">
        <w:rPr>
          <w:sz w:val="22"/>
        </w:rPr>
        <w:instrText>ADDIN CSL_CITATION {"citationItems":[{"id":"ITEM-1","itemData":{"DOI":"10.1136/gutjnl-2019-319146","author":[{"dropping-particle":"","family":"Xu","given":"Yining","non-dropping-particle":"","parse-names":false,"suffix":""},{"dropping-particle":"Van","family":"Hul","given":"Matthias","non-dropping-particle":"","parse-names":false,"suffix":""},{"dropping-particle":"","family":"Suriano","given":"Francesco","non-dropping-particle":"","parse-names":false,"suffix":""},{"dropping-particle":"","family":"Préat","given":"Véronique","non-dropping-particle":"","parse-names":false,"suffix":""},{"dropping-particle":"","family":"Cani","given":"Patrice D","non-dropping-particle":"","parse-names":false,"suffix":""},{"dropping-particle":"","family":"Beloqui","given":"Ana","non-dropping-particle":"","parse-names":false,"suffix":""}],"id":"ITEM-1","issued":{"date-parts":[["2020"]]},"page":"911-919","title":"Novel strategy for oral peptide delivery in incretin- ­ based diabetes treatment","type":"article-journal"},"uris":["http://www.mendeley.com/documents/?uuid=c575e3c5-bccd-4e36-9c4e-566ef67f79f1"]},{"id":"ITEM-2","itemData":{"DOI":"10.1021/acs.jafc.1c04344","ISSN":"15205118","PMID":"34499492","abstract":"Food media can affect the solubility of zinc oxide nanoparticles (ZnO NPs). Moreover, when a single digestive fluid and a three-step digestion system were applied to investigate the fate of ZnO NPs, several contradictory results were obtained. Here, we manipulated a novel semiclosed in vitro dynamic digestion system to investigate the difference in the released ionic zinc (Zn2+) content in three types of artificial fluids in the presence of different food media. The results show that there was a significant difference in the released Zn2+ content between the three different types of digestion systems in the presence of the same food media. In addition, the released Zn2+ content was significantly different when different types of food media were applied to the same digestion system. These results demonstrate that the different levels of released Zn2+ content can be ascribed to the difference in digestion systems and food media.","author":[{"dropping-particle":"","family":"Duan","given":"Luoyan","non-dropping-particle":"","parse-names":false,"suffix":""},{"dropping-particle":"","family":"Zhang","given":"Lei","non-dropping-particle":"","parse-names":false,"suffix":""},{"dropping-particle":"","family":"Yan","given":"Feiyi","non-dropping-particle":"","parse-names":false,"suffix":""},{"dropping-particle":"","family":"Liu","given":"Zhaoping","non-dropping-particle":"","parse-names":false,"suffix":""},{"dropping-particle":"","family":"Bao","given":"Huihui","non-dropping-particle":"","parse-names":false,"suffix":""},{"dropping-particle":"","family":"Liu","given":"Tianlong","non-dropping-particle":"","parse-names":false,"suffix":""}],"container-title":"Journal of Agricultural and Food Chemistry","id":"ITEM-2","issue":"37","issued":{"date-parts":[["2021"]]},"page":"11065-11073","title":"Solubility of ZnO Nanoparticles in Food Media: An Analysis Using a Novel Semiclosed Dynamic System","type":"article-journal","volume":"69"},"uris":["http://www.mendeley.com/documents/?uuid=801e4273-7722-499f-8926-4a39feac8a04"]}],"mendeley":{"formattedCitation":"(Duan et al., 2021; Xu et al., 2020)","plainTextFormattedCitation":"(Duan et al., 2021; Xu et al., 2020)","previouslyFormattedCitation":"(Duan et al., 2021; Xu et al., 2020)"},"properties":{"noteIndex":0},"schema":"https://github.com/citation-style-language/schema/raw/master/csl-citation.json"}</w:instrText>
      </w:r>
      <w:r w:rsidRPr="00B07A9F">
        <w:rPr>
          <w:sz w:val="22"/>
        </w:rPr>
        <w:fldChar w:fldCharType="separate"/>
      </w:r>
      <w:r w:rsidRPr="00B07A9F">
        <w:rPr>
          <w:noProof/>
          <w:sz w:val="22"/>
        </w:rPr>
        <w:t>(Duan et al., 2021; Xu et al., 2020)</w:t>
      </w:r>
      <w:r w:rsidRPr="00B07A9F">
        <w:rPr>
          <w:sz w:val="22"/>
        </w:rPr>
        <w:fldChar w:fldCharType="end"/>
      </w:r>
      <w:r w:rsidRPr="00B07A9F">
        <w:rPr>
          <w:sz w:val="22"/>
          <w:szCs w:val="22"/>
        </w:rPr>
        <w:t xml:space="preserve">, with some adaptations. In brief, 50 mg of </w:t>
      </w:r>
      <w:proofErr w:type="spellStart"/>
      <w:r w:rsidRPr="00B07A9F">
        <w:rPr>
          <w:sz w:val="22"/>
          <w:szCs w:val="22"/>
        </w:rPr>
        <w:t>ZnONPs</w:t>
      </w:r>
      <w:proofErr w:type="spellEnd"/>
      <w:r w:rsidRPr="00B07A9F">
        <w:rPr>
          <w:sz w:val="22"/>
          <w:szCs w:val="22"/>
        </w:rPr>
        <w:t xml:space="preserve"> prepared by low-temperature methods were dispersed in 5 mL of water contained in different vials. Then, 0.1 mL of each of the resulting suspensions was diluted to 5 mL with water or each of the biomimetic gastrointestinal media and maintained under magnetic stirring (200 rpm, 37 °C) to mimic realistic gastrointestinal conditions. The size of the nanoparticles was then measured at different time points within 2 h (0, 0.5, 1 and 2 h) for the nanoparticles dispersed in simulated gastric fluids and within 6 h (0, 0.5, 1, 2, 3 and 6 h) for those dispersed in simulated intestinal fluids.</w:t>
      </w:r>
    </w:p>
    <w:bookmarkEnd w:id="14"/>
    <w:p w14:paraId="45F99D84" w14:textId="77777777" w:rsidR="00981F50" w:rsidRPr="00B07A9F" w:rsidRDefault="00981F50" w:rsidP="00340920">
      <w:pPr>
        <w:pStyle w:val="Heading2"/>
        <w:numPr>
          <w:ilvl w:val="1"/>
          <w:numId w:val="34"/>
        </w:numPr>
        <w:spacing w:before="240" w:after="120"/>
        <w:rPr>
          <w:rFonts w:ascii="Times New Roman" w:hAnsi="Times New Roman"/>
          <w:sz w:val="22"/>
          <w:szCs w:val="22"/>
        </w:rPr>
      </w:pPr>
      <w:r w:rsidRPr="00B07A9F">
        <w:rPr>
          <w:rFonts w:ascii="Times New Roman" w:hAnsi="Times New Roman"/>
          <w:sz w:val="22"/>
          <w:szCs w:val="22"/>
        </w:rPr>
        <w:lastRenderedPageBreak/>
        <w:t>Yield of the green synthesis</w:t>
      </w:r>
    </w:p>
    <w:p w14:paraId="141C9F1B" w14:textId="597DD5B5" w:rsidR="00981F50" w:rsidRPr="00B07A9F" w:rsidRDefault="00981F50" w:rsidP="00340920">
      <w:pPr>
        <w:spacing w:before="240" w:after="0"/>
        <w:rPr>
          <w:sz w:val="22"/>
          <w:szCs w:val="22"/>
        </w:rPr>
      </w:pPr>
      <w:r w:rsidRPr="00B07A9F">
        <w:rPr>
          <w:sz w:val="22"/>
          <w:szCs w:val="22"/>
        </w:rPr>
        <w:t xml:space="preserve">The yield of </w:t>
      </w:r>
      <w:proofErr w:type="spellStart"/>
      <w:r w:rsidRPr="00B07A9F">
        <w:rPr>
          <w:sz w:val="22"/>
          <w:szCs w:val="22"/>
        </w:rPr>
        <w:t>ZnONP</w:t>
      </w:r>
      <w:proofErr w:type="spellEnd"/>
      <w:r w:rsidRPr="00B07A9F">
        <w:rPr>
          <w:sz w:val="22"/>
          <w:szCs w:val="22"/>
        </w:rPr>
        <w:t xml:space="preserve"> synthesis was calculated after complexometric titration of zinc ions according to the European Pharmacopoeia 10.8. Briefly, 0.150 g of </w:t>
      </w:r>
      <w:proofErr w:type="spellStart"/>
      <w:r w:rsidRPr="00B07A9F">
        <w:rPr>
          <w:sz w:val="22"/>
          <w:szCs w:val="22"/>
        </w:rPr>
        <w:t>ZnONPs</w:t>
      </w:r>
      <w:proofErr w:type="spellEnd"/>
      <w:r w:rsidRPr="00B07A9F">
        <w:rPr>
          <w:sz w:val="22"/>
          <w:szCs w:val="22"/>
        </w:rPr>
        <w:t xml:space="preserve"> was dissolved in 10 mL of dilute acetic acid (composed of 12 g of glacial acetic acid diluted to 100 mL with water), introduced into a 500-mL conical flask and diluted to 200 mL with water. Then, 50 mg of xylenol orange triturate (constituted by 1 part of xylenol orange and 99 parts of </w:t>
      </w:r>
      <w:hyperlink r:id="rId10" w:history="1">
        <w:r w:rsidRPr="00B07A9F">
          <w:rPr>
            <w:sz w:val="22"/>
            <w:szCs w:val="22"/>
          </w:rPr>
          <w:t>potassium nitrate</w:t>
        </w:r>
      </w:hyperlink>
      <w:r w:rsidRPr="00B07A9F">
        <w:rPr>
          <w:sz w:val="22"/>
          <w:szCs w:val="22"/>
        </w:rPr>
        <w:t>) and hexamethylenetetramine were added until the solution became violet‒pink. Then, 2 g of hexamethylenetetramine in excess was also added. The mixture was titrated with 0.1 M EDTA disodium until the violet‒pink color shifted to yellow. The amount of zinc or zinc oxide was calculated according to the following relation: 1 mL of </w:t>
      </w:r>
      <w:hyperlink r:id="rId11" w:history="1">
        <w:r w:rsidRPr="00B07A9F">
          <w:rPr>
            <w:sz w:val="22"/>
            <w:szCs w:val="22"/>
          </w:rPr>
          <w:t>0.1 M sodium edetate</w:t>
        </w:r>
      </w:hyperlink>
      <w:r w:rsidRPr="00B07A9F">
        <w:rPr>
          <w:sz w:val="22"/>
          <w:szCs w:val="22"/>
        </w:rPr>
        <w:t xml:space="preserve"> is equivalent to 6.54 mg of Zn or to 8.14 mg of </w:t>
      </w:r>
      <w:proofErr w:type="spellStart"/>
      <w:r w:rsidRPr="00B07A9F">
        <w:rPr>
          <w:sz w:val="22"/>
          <w:szCs w:val="22"/>
        </w:rPr>
        <w:t>ZnO</w:t>
      </w:r>
      <w:proofErr w:type="spellEnd"/>
      <w:r w:rsidRPr="00B07A9F">
        <w:rPr>
          <w:sz w:val="22"/>
          <w:szCs w:val="22"/>
        </w:rPr>
        <w:t>. The yield of Zn was calculated by the fo</w:t>
      </w:r>
      <w:r w:rsidR="00BF2F4C" w:rsidRPr="00B07A9F">
        <w:rPr>
          <w:sz w:val="22"/>
          <w:szCs w:val="22"/>
        </w:rPr>
        <w:t>llowing equation (3)</w:t>
      </w:r>
      <w:r w:rsidRPr="00B07A9F">
        <w:rPr>
          <w:sz w:val="22"/>
          <w:szCs w:val="22"/>
        </w:rPr>
        <w:t>:</w:t>
      </w:r>
    </w:p>
    <w:p w14:paraId="29109398" w14:textId="77777777" w:rsidR="00981F50" w:rsidRPr="00B07A9F" w:rsidRDefault="00981F50" w:rsidP="00340920">
      <w:pPr>
        <w:spacing w:before="240" w:after="0"/>
        <w:rPr>
          <w:sz w:val="22"/>
          <w:szCs w:val="22"/>
        </w:rPr>
      </w:pPr>
    </w:p>
    <w:p w14:paraId="7BFAFE50" w14:textId="7420E6DC" w:rsidR="00981F50" w:rsidRPr="00B07A9F" w:rsidRDefault="00981F50" w:rsidP="00340920">
      <w:pPr>
        <w:rPr>
          <w:sz w:val="22"/>
          <w:szCs w:val="22"/>
        </w:rPr>
      </w:pPr>
      <w:r w:rsidRPr="00B07A9F">
        <w:rPr>
          <w:sz w:val="22"/>
          <w:szCs w:val="22"/>
        </w:rPr>
        <w:t>Yield (%)=</w:t>
      </w:r>
      <m:oMath>
        <m:f>
          <m:fPr>
            <m:ctrlPr>
              <w:rPr>
                <w:rFonts w:ascii="Cambria Math" w:hAnsi="Cambria Math"/>
                <w:i/>
                <w:sz w:val="22"/>
                <w:szCs w:val="22"/>
              </w:rPr>
            </m:ctrlPr>
          </m:fPr>
          <m:num>
            <m:r>
              <w:rPr>
                <w:rFonts w:ascii="Cambria Math" w:hAnsi="Cambria Math"/>
                <w:sz w:val="22"/>
                <w:szCs w:val="22"/>
              </w:rPr>
              <m:t xml:space="preserve">quantity of zinc in the </m:t>
            </m:r>
            <m:r>
              <m:rPr>
                <m:sty m:val="p"/>
              </m:rPr>
              <w:rPr>
                <w:rFonts w:ascii="Cambria Math" w:hAnsi="Cambria Math"/>
                <w:sz w:val="22"/>
                <w:szCs w:val="22"/>
              </w:rPr>
              <m:t>Zn</m:t>
            </m:r>
            <m:r>
              <w:rPr>
                <w:rFonts w:ascii="Cambria Math" w:hAnsi="Cambria Math"/>
                <w:sz w:val="22"/>
                <w:szCs w:val="22"/>
              </w:rPr>
              <m:t>ONPS  X 100</m:t>
            </m:r>
          </m:num>
          <m:den>
            <m:r>
              <w:rPr>
                <w:rFonts w:ascii="Cambria Math" w:hAnsi="Cambria Math"/>
                <w:sz w:val="22"/>
                <w:szCs w:val="22"/>
              </w:rPr>
              <m:t xml:space="preserve">Quantity of zinc in the </m:t>
            </m:r>
            <m:r>
              <m:rPr>
                <m:sty m:val="p"/>
              </m:rPr>
              <w:rPr>
                <w:rFonts w:ascii="Cambria Math" w:hAnsi="Cambria Math"/>
                <w:sz w:val="22"/>
                <w:szCs w:val="22"/>
              </w:rPr>
              <m:t>Zn</m:t>
            </m:r>
            <m:d>
              <m:dPr>
                <m:ctrlPr>
                  <w:rPr>
                    <w:rFonts w:ascii="Cambria Math" w:hAnsi="Cambria Math"/>
                    <w:sz w:val="22"/>
                    <w:szCs w:val="22"/>
                  </w:rPr>
                </m:ctrlPr>
              </m:dPr>
              <m:e>
                <m:r>
                  <m:rPr>
                    <m:sty m:val="p"/>
                  </m:rPr>
                  <w:rPr>
                    <w:rFonts w:ascii="Cambria Math" w:hAnsi="Cambria Math"/>
                    <w:sz w:val="22"/>
                    <w:szCs w:val="22"/>
                  </w:rPr>
                  <m:t>NO3</m:t>
                </m:r>
              </m:e>
            </m:d>
            <m:r>
              <m:rPr>
                <m:sty m:val="p"/>
              </m:rPr>
              <w:rPr>
                <w:rFonts w:ascii="Cambria Math" w:hAnsi="Cambria Math"/>
                <w:sz w:val="22"/>
                <w:szCs w:val="22"/>
              </w:rPr>
              <m:t>2 .6H2Oused</m:t>
            </m:r>
          </m:den>
        </m:f>
      </m:oMath>
      <w:r w:rsidR="00BF2F4C" w:rsidRPr="00B07A9F">
        <w:rPr>
          <w:sz w:val="22"/>
          <w:szCs w:val="22"/>
        </w:rPr>
        <w:tab/>
        <w:t>(3)</w:t>
      </w:r>
    </w:p>
    <w:p w14:paraId="66FB49EE" w14:textId="77777777" w:rsidR="00981F50" w:rsidRPr="00B07A9F" w:rsidRDefault="00981F50" w:rsidP="00340920">
      <w:pPr>
        <w:pStyle w:val="Heading2"/>
        <w:numPr>
          <w:ilvl w:val="1"/>
          <w:numId w:val="34"/>
        </w:numPr>
        <w:spacing w:before="240" w:after="120"/>
        <w:rPr>
          <w:rFonts w:ascii="Times New Roman" w:hAnsi="Times New Roman"/>
          <w:sz w:val="22"/>
          <w:szCs w:val="22"/>
        </w:rPr>
      </w:pPr>
      <w:r w:rsidRPr="00B07A9F">
        <w:rPr>
          <w:rFonts w:ascii="Times New Roman" w:hAnsi="Times New Roman"/>
          <w:sz w:val="22"/>
          <w:szCs w:val="22"/>
        </w:rPr>
        <w:t>Oral glucose tolerance tests</w:t>
      </w:r>
    </w:p>
    <w:p w14:paraId="51502DDD" w14:textId="085FABE5" w:rsidR="00981F50" w:rsidRPr="00B07A9F" w:rsidRDefault="00981F50" w:rsidP="00340920">
      <w:pPr>
        <w:spacing w:before="240"/>
        <w:rPr>
          <w:sz w:val="22"/>
          <w:szCs w:val="22"/>
        </w:rPr>
      </w:pPr>
      <w:r w:rsidRPr="00B07A9F">
        <w:rPr>
          <w:sz w:val="22"/>
        </w:rPr>
        <w:t xml:space="preserve">All animal experiments were approved by and performed in accordance with the local animal committee (2022/UCL/MD/035) and as recommended by the Belgian Law of 29 May 2013 on the protection of laboratory animals. Two oral glucose tolerance tests (OGTTs) were carried out in </w:t>
      </w:r>
      <w:r w:rsidR="00B50B61" w:rsidRPr="00B07A9F">
        <w:rPr>
          <w:sz w:val="22"/>
        </w:rPr>
        <w:t>25.7</w:t>
      </w:r>
      <w:r w:rsidR="005627C6" w:rsidRPr="00B07A9F">
        <w:rPr>
          <w:sz w:val="22"/>
        </w:rPr>
        <w:t>0</w:t>
      </w:r>
      <w:r w:rsidR="00B50B61" w:rsidRPr="00B07A9F">
        <w:rPr>
          <w:sz w:val="22"/>
        </w:rPr>
        <w:t xml:space="preserve">-34.55 g </w:t>
      </w:r>
      <w:r w:rsidRPr="00B07A9F">
        <w:rPr>
          <w:sz w:val="22"/>
        </w:rPr>
        <w:t xml:space="preserve">normoglycemic and </w:t>
      </w:r>
      <w:r w:rsidR="00B50B61" w:rsidRPr="00B07A9F">
        <w:rPr>
          <w:sz w:val="22"/>
        </w:rPr>
        <w:t xml:space="preserve">25.67-44.05 g </w:t>
      </w:r>
      <w:r w:rsidRPr="00B07A9F">
        <w:rPr>
          <w:sz w:val="22"/>
        </w:rPr>
        <w:t xml:space="preserve">high-fat diet (HFD)-fed mice (C57BL/6J male mice, 13 weeks; Janvier Laboratories, France). </w:t>
      </w:r>
      <w:r w:rsidR="00240AAB" w:rsidRPr="00B07A9F">
        <w:rPr>
          <w:sz w:val="22"/>
        </w:rPr>
        <w:t>HFD m</w:t>
      </w:r>
      <w:r w:rsidRPr="00B07A9F">
        <w:rPr>
          <w:sz w:val="22"/>
        </w:rPr>
        <w:t>ice were fed a 60% fat and 20% carbohydrate (kcal per 100 g) diet (D12492i, Research Diets, USA)</w:t>
      </w:r>
      <w:r w:rsidRPr="00B07A9F">
        <w:rPr>
          <w:sz w:val="22"/>
          <w:szCs w:val="22"/>
        </w:rPr>
        <w:t xml:space="preserve"> to evaluate the hypoglycemic capacities of the extracts of the</w:t>
      </w:r>
      <w:r w:rsidR="00C7006B" w:rsidRPr="00B07A9F">
        <w:rPr>
          <w:sz w:val="22"/>
          <w:szCs w:val="22"/>
        </w:rPr>
        <w:t xml:space="preserve"> most</w:t>
      </w:r>
      <w:r w:rsidRPr="00B07A9F">
        <w:rPr>
          <w:sz w:val="22"/>
          <w:szCs w:val="22"/>
        </w:rPr>
        <w:t xml:space="preserve"> antioxidant plant and the </w:t>
      </w:r>
      <w:proofErr w:type="spellStart"/>
      <w:r w:rsidRPr="00B07A9F">
        <w:rPr>
          <w:sz w:val="22"/>
          <w:szCs w:val="22"/>
        </w:rPr>
        <w:t>ZnONP</w:t>
      </w:r>
      <w:proofErr w:type="spellEnd"/>
      <w:r w:rsidRPr="00B07A9F">
        <w:rPr>
          <w:sz w:val="22"/>
          <w:szCs w:val="22"/>
        </w:rPr>
        <w:t xml:space="preserve"> formulations that </w:t>
      </w:r>
      <w:r w:rsidR="00C7006B" w:rsidRPr="00B07A9F">
        <w:rPr>
          <w:sz w:val="22"/>
          <w:szCs w:val="22"/>
        </w:rPr>
        <w:t>of</w:t>
      </w:r>
      <w:r w:rsidRPr="00B07A9F">
        <w:rPr>
          <w:sz w:val="22"/>
          <w:szCs w:val="22"/>
        </w:rPr>
        <w:t xml:space="preserve"> different particle sizes. Before the experiments, mice</w:t>
      </w:r>
      <w:r w:rsidR="009006A4" w:rsidRPr="00B07A9F">
        <w:rPr>
          <w:sz w:val="22"/>
          <w:szCs w:val="22"/>
        </w:rPr>
        <w:t xml:space="preserve"> were housed f</w:t>
      </w:r>
      <w:r w:rsidR="00382858" w:rsidRPr="00B07A9F">
        <w:rPr>
          <w:sz w:val="22"/>
          <w:szCs w:val="22"/>
        </w:rPr>
        <w:t>our</w:t>
      </w:r>
      <w:r w:rsidR="009006A4" w:rsidRPr="00B07A9F">
        <w:rPr>
          <w:sz w:val="22"/>
          <w:szCs w:val="22"/>
        </w:rPr>
        <w:t xml:space="preserve"> per cage</w:t>
      </w:r>
      <w:r w:rsidR="001250C4" w:rsidRPr="00B07A9F">
        <w:rPr>
          <w:sz w:val="22"/>
          <w:szCs w:val="22"/>
        </w:rPr>
        <w:t xml:space="preserve"> under </w:t>
      </w:r>
      <w:r w:rsidR="00B32B10" w:rsidRPr="00B07A9F">
        <w:rPr>
          <w:sz w:val="22"/>
          <w:szCs w:val="22"/>
        </w:rPr>
        <w:t>day/night cycle</w:t>
      </w:r>
      <w:r w:rsidR="001250C4" w:rsidRPr="00B07A9F">
        <w:rPr>
          <w:sz w:val="22"/>
          <w:szCs w:val="22"/>
        </w:rPr>
        <w:t xml:space="preserve"> of</w:t>
      </w:r>
      <w:r w:rsidR="00B32B10" w:rsidRPr="00B07A9F">
        <w:rPr>
          <w:sz w:val="22"/>
          <w:szCs w:val="22"/>
        </w:rPr>
        <w:t xml:space="preserve"> 12h/12h,</w:t>
      </w:r>
      <w:r w:rsidR="001250C4" w:rsidRPr="00B07A9F">
        <w:rPr>
          <w:sz w:val="22"/>
          <w:szCs w:val="22"/>
        </w:rPr>
        <w:t xml:space="preserve"> temperature</w:t>
      </w:r>
      <w:r w:rsidR="00B32B10" w:rsidRPr="00B07A9F">
        <w:rPr>
          <w:sz w:val="22"/>
          <w:szCs w:val="22"/>
        </w:rPr>
        <w:t xml:space="preserve"> </w:t>
      </w:r>
      <w:r w:rsidR="001250C4" w:rsidRPr="00B07A9F">
        <w:rPr>
          <w:sz w:val="22"/>
          <w:szCs w:val="22"/>
        </w:rPr>
        <w:t>20-24</w:t>
      </w:r>
      <w:r w:rsidR="00B50B61" w:rsidRPr="00B07A9F">
        <w:rPr>
          <w:sz w:val="22"/>
          <w:szCs w:val="22"/>
        </w:rPr>
        <w:t xml:space="preserve"> </w:t>
      </w:r>
      <w:r w:rsidR="001250C4" w:rsidRPr="00B07A9F">
        <w:rPr>
          <w:sz w:val="22"/>
          <w:szCs w:val="22"/>
        </w:rPr>
        <w:t>°C, relative humidity 55±5</w:t>
      </w:r>
      <w:r w:rsidR="00B50B61" w:rsidRPr="00B07A9F">
        <w:rPr>
          <w:sz w:val="22"/>
          <w:szCs w:val="22"/>
        </w:rPr>
        <w:t xml:space="preserve"> </w:t>
      </w:r>
      <w:r w:rsidR="001250C4" w:rsidRPr="00B07A9F">
        <w:rPr>
          <w:sz w:val="22"/>
          <w:szCs w:val="22"/>
        </w:rPr>
        <w:t>%</w:t>
      </w:r>
      <w:r w:rsidR="00B32B10" w:rsidRPr="00B07A9F">
        <w:rPr>
          <w:sz w:val="22"/>
          <w:szCs w:val="22"/>
        </w:rPr>
        <w:t xml:space="preserve"> </w:t>
      </w:r>
      <w:r w:rsidR="00382858" w:rsidRPr="00B07A9F">
        <w:rPr>
          <w:sz w:val="22"/>
          <w:szCs w:val="22"/>
        </w:rPr>
        <w:t xml:space="preserve">  and</w:t>
      </w:r>
      <w:r w:rsidRPr="00B07A9F">
        <w:rPr>
          <w:sz w:val="22"/>
          <w:szCs w:val="22"/>
        </w:rPr>
        <w:t xml:space="preserve"> underwent 2 weeks of acclimation under a normal diet, followed by 3 weeks of HFD (or normal diet in the case of healthy control mice)</w:t>
      </w:r>
      <w:r w:rsidR="00C213C9" w:rsidRPr="00B07A9F">
        <w:rPr>
          <w:sz w:val="22"/>
          <w:szCs w:val="22"/>
        </w:rPr>
        <w:t xml:space="preserve">. They had a </w:t>
      </w:r>
      <w:r w:rsidR="00382858" w:rsidRPr="00B07A9F">
        <w:rPr>
          <w:sz w:val="22"/>
          <w:szCs w:val="22"/>
        </w:rPr>
        <w:t>free access to</w:t>
      </w:r>
      <w:r w:rsidR="00C213C9" w:rsidRPr="00B07A9F">
        <w:rPr>
          <w:sz w:val="22"/>
          <w:szCs w:val="22"/>
        </w:rPr>
        <w:t xml:space="preserve"> food and</w:t>
      </w:r>
      <w:r w:rsidR="00382858" w:rsidRPr="00B07A9F">
        <w:rPr>
          <w:sz w:val="22"/>
          <w:szCs w:val="22"/>
        </w:rPr>
        <w:t xml:space="preserve"> water</w:t>
      </w:r>
      <w:r w:rsidRPr="00B07A9F">
        <w:rPr>
          <w:sz w:val="22"/>
          <w:szCs w:val="22"/>
        </w:rPr>
        <w:t>.</w:t>
      </w:r>
    </w:p>
    <w:p w14:paraId="0BFC6189" w14:textId="77777777" w:rsidR="00981F50" w:rsidRPr="00B07A9F" w:rsidRDefault="00981F50" w:rsidP="00340920">
      <w:pPr>
        <w:pStyle w:val="Heading3"/>
        <w:numPr>
          <w:ilvl w:val="2"/>
          <w:numId w:val="34"/>
        </w:numPr>
        <w:rPr>
          <w:rFonts w:ascii="Times New Roman" w:hAnsi="Times New Roman"/>
          <w:sz w:val="22"/>
          <w:szCs w:val="22"/>
        </w:rPr>
      </w:pPr>
      <w:r w:rsidRPr="00B07A9F">
        <w:rPr>
          <w:rFonts w:ascii="Times New Roman" w:hAnsi="Times New Roman"/>
          <w:sz w:val="22"/>
          <w:szCs w:val="22"/>
        </w:rPr>
        <w:t>OGTT in the mice treated with the plant extracts</w:t>
      </w:r>
    </w:p>
    <w:p w14:paraId="6C368DF9" w14:textId="632F63B3" w:rsidR="00981F50" w:rsidRPr="00B07A9F" w:rsidRDefault="00981F50" w:rsidP="00340920">
      <w:pPr>
        <w:spacing w:after="0"/>
        <w:rPr>
          <w:sz w:val="22"/>
          <w:szCs w:val="22"/>
        </w:rPr>
      </w:pPr>
      <w:r w:rsidRPr="00B07A9F">
        <w:rPr>
          <w:sz w:val="22"/>
          <w:szCs w:val="22"/>
        </w:rPr>
        <w:t xml:space="preserve">The mice were divided into five different groups (8 mice/group): control normal diet (CTL-N), control HFD mice (CTL-HFD), mice subjected to aqueous extract administration (Mice </w:t>
      </w:r>
      <w:proofErr w:type="spellStart"/>
      <w:r w:rsidRPr="00B07A9F">
        <w:rPr>
          <w:sz w:val="22"/>
          <w:szCs w:val="22"/>
        </w:rPr>
        <w:t>Aq</w:t>
      </w:r>
      <w:proofErr w:type="spellEnd"/>
      <w:r w:rsidRPr="00B07A9F">
        <w:rPr>
          <w:sz w:val="22"/>
          <w:szCs w:val="22"/>
        </w:rPr>
        <w:t>), mice subjected to DCM extract administration (Mice DCM) and mice subjected to DCM extract from the aqueous extract (Mice DCM-</w:t>
      </w:r>
      <w:proofErr w:type="spellStart"/>
      <w:r w:rsidRPr="00B07A9F">
        <w:rPr>
          <w:sz w:val="22"/>
          <w:szCs w:val="22"/>
        </w:rPr>
        <w:t>Aq</w:t>
      </w:r>
      <w:proofErr w:type="spellEnd"/>
      <w:r w:rsidRPr="00B07A9F">
        <w:rPr>
          <w:sz w:val="22"/>
          <w:szCs w:val="22"/>
        </w:rPr>
        <w:t xml:space="preserve">). All mice were fasted 4 h prior to the OGTT and weighed, and 30 min before the OGTT, blood was collected from the tip of the tail vein using a heparinized </w:t>
      </w:r>
      <w:proofErr w:type="spellStart"/>
      <w:r w:rsidRPr="00B07A9F">
        <w:rPr>
          <w:sz w:val="22"/>
          <w:szCs w:val="22"/>
        </w:rPr>
        <w:t>capillar</w:t>
      </w:r>
      <w:proofErr w:type="spellEnd"/>
      <w:r w:rsidRPr="00B07A9F">
        <w:rPr>
          <w:sz w:val="22"/>
          <w:szCs w:val="22"/>
        </w:rPr>
        <w:t xml:space="preserve"> (60 µL) for insulin analysis</w:t>
      </w:r>
      <w:r w:rsidR="00BB36FC" w:rsidRPr="00B07A9F">
        <w:rPr>
          <w:sz w:val="22"/>
          <w:szCs w:val="22"/>
        </w:rPr>
        <w:t xml:space="preserve"> </w:t>
      </w:r>
      <w:r w:rsidR="007F7A0B" w:rsidRPr="00B07A9F">
        <w:rPr>
          <w:sz w:val="22"/>
          <w:szCs w:val="22"/>
        </w:rPr>
        <w:t xml:space="preserve">(Ultrasensitive Mouse Insulin ELISA, </w:t>
      </w:r>
      <w:proofErr w:type="spellStart"/>
      <w:r w:rsidR="007F7A0B" w:rsidRPr="00B07A9F">
        <w:rPr>
          <w:sz w:val="22"/>
          <w:szCs w:val="22"/>
        </w:rPr>
        <w:t>Mercodia</w:t>
      </w:r>
      <w:proofErr w:type="spellEnd"/>
      <w:r w:rsidR="007F7A0B" w:rsidRPr="00B07A9F">
        <w:rPr>
          <w:sz w:val="22"/>
          <w:szCs w:val="22"/>
        </w:rPr>
        <w:t>, Sweden)</w:t>
      </w:r>
      <w:r w:rsidRPr="00B07A9F">
        <w:rPr>
          <w:sz w:val="22"/>
          <w:szCs w:val="22"/>
        </w:rPr>
        <w:t xml:space="preserve"> and glycemi</w:t>
      </w:r>
      <w:r w:rsidR="007F7A0B" w:rsidRPr="00B07A9F">
        <w:rPr>
          <w:sz w:val="22"/>
          <w:szCs w:val="22"/>
        </w:rPr>
        <w:t>a</w:t>
      </w:r>
      <w:r w:rsidRPr="00B07A9F">
        <w:rPr>
          <w:sz w:val="22"/>
          <w:szCs w:val="22"/>
        </w:rPr>
        <w:t xml:space="preserve"> c</w:t>
      </w:r>
      <w:r w:rsidR="007F7A0B" w:rsidRPr="00B07A9F">
        <w:rPr>
          <w:sz w:val="22"/>
          <w:szCs w:val="22"/>
        </w:rPr>
        <w:t>hecked</w:t>
      </w:r>
      <w:r w:rsidR="00B50B61" w:rsidRPr="00B07A9F">
        <w:rPr>
          <w:sz w:val="22"/>
          <w:szCs w:val="22"/>
        </w:rPr>
        <w:t xml:space="preserve"> (</w:t>
      </w:r>
      <w:proofErr w:type="spellStart"/>
      <w:r w:rsidR="00FE5D37" w:rsidRPr="00B07A9F">
        <w:rPr>
          <w:sz w:val="22"/>
          <w:szCs w:val="22"/>
        </w:rPr>
        <w:t>Accu</w:t>
      </w:r>
      <w:proofErr w:type="spellEnd"/>
      <w:r w:rsidR="00FE5D37" w:rsidRPr="00B07A9F">
        <w:rPr>
          <w:sz w:val="22"/>
          <w:szCs w:val="22"/>
        </w:rPr>
        <w:t>-check Aviva glucometer Roche</w:t>
      </w:r>
      <w:r w:rsidR="004B73EB" w:rsidRPr="00B07A9F">
        <w:rPr>
          <w:sz w:val="22"/>
          <w:szCs w:val="22"/>
        </w:rPr>
        <w:t>, Switzerland</w:t>
      </w:r>
      <w:r w:rsidR="00FE5D37" w:rsidRPr="00B07A9F">
        <w:rPr>
          <w:sz w:val="22"/>
          <w:szCs w:val="22"/>
        </w:rPr>
        <w:t>)</w:t>
      </w:r>
      <w:r w:rsidRPr="00B07A9F">
        <w:rPr>
          <w:sz w:val="22"/>
          <w:szCs w:val="22"/>
        </w:rPr>
        <w:t xml:space="preserve">. Then, 15 min before the OGTT, CTL-N mice received 5.7 µL/g body weight of the vehicle (water, Tween 80, ethanol 90:7:3); CTL-HFD mice received 5.7 µL/g body weight of the vehicle; Mice </w:t>
      </w:r>
      <w:proofErr w:type="spellStart"/>
      <w:r w:rsidRPr="00B07A9F">
        <w:rPr>
          <w:sz w:val="22"/>
          <w:szCs w:val="22"/>
        </w:rPr>
        <w:t>Aq</w:t>
      </w:r>
      <w:proofErr w:type="spellEnd"/>
      <w:r w:rsidRPr="00B07A9F">
        <w:rPr>
          <w:sz w:val="22"/>
          <w:szCs w:val="22"/>
        </w:rPr>
        <w:t>, Mice DCM &amp; Mice DCM-</w:t>
      </w:r>
      <w:proofErr w:type="spellStart"/>
      <w:r w:rsidRPr="00B07A9F">
        <w:rPr>
          <w:sz w:val="22"/>
          <w:szCs w:val="22"/>
        </w:rPr>
        <w:t>Aq</w:t>
      </w:r>
      <w:proofErr w:type="spellEnd"/>
      <w:r w:rsidRPr="00B07A9F">
        <w:rPr>
          <w:sz w:val="22"/>
          <w:szCs w:val="22"/>
        </w:rPr>
        <w:t xml:space="preserve"> received 5.7 µL/g body weight of the extracts corresponding to a 400 mg/kg dose of crude extract. At time 0, glycemia was checked, and all mice received a glucose solution (2 g/kg) by gavage. Then, 15 min after receiving glucose, blood was collected from the tip of the tail vein as before for insulin analysis and glycemic control. The glycemia was checked again at 30, 60, 90 and 120 min after glucose gavage. The variation in glycemia was calculated in % with respect to fasted values.</w:t>
      </w:r>
    </w:p>
    <w:p w14:paraId="03F1750F" w14:textId="0017BC4E" w:rsidR="00981F50" w:rsidRPr="00B07A9F" w:rsidRDefault="00981F50" w:rsidP="00340920">
      <w:pPr>
        <w:pStyle w:val="Heading3"/>
        <w:numPr>
          <w:ilvl w:val="2"/>
          <w:numId w:val="34"/>
        </w:numPr>
        <w:rPr>
          <w:rFonts w:ascii="Times New Roman" w:hAnsi="Times New Roman"/>
          <w:sz w:val="22"/>
          <w:szCs w:val="22"/>
        </w:rPr>
      </w:pPr>
      <w:r w:rsidRPr="00B07A9F">
        <w:rPr>
          <w:rFonts w:ascii="Times New Roman" w:hAnsi="Times New Roman"/>
          <w:sz w:val="22"/>
          <w:szCs w:val="22"/>
        </w:rPr>
        <w:t xml:space="preserve">OGTT in mice treated with </w:t>
      </w:r>
      <w:proofErr w:type="spellStart"/>
      <w:r w:rsidRPr="00B07A9F">
        <w:rPr>
          <w:rFonts w:ascii="Times New Roman" w:hAnsi="Times New Roman"/>
          <w:sz w:val="22"/>
          <w:szCs w:val="22"/>
        </w:rPr>
        <w:t>ZnONPs</w:t>
      </w:r>
      <w:proofErr w:type="spellEnd"/>
    </w:p>
    <w:p w14:paraId="61246DA1" w14:textId="4A8EED36" w:rsidR="00981F50" w:rsidRPr="00B07A9F" w:rsidRDefault="00981F50" w:rsidP="00340920">
      <w:pPr>
        <w:spacing w:after="0"/>
        <w:rPr>
          <w:sz w:val="22"/>
        </w:rPr>
      </w:pPr>
      <w:r w:rsidRPr="00B07A9F">
        <w:rPr>
          <w:sz w:val="22"/>
        </w:rPr>
        <w:t xml:space="preserve">This test was conducted as per the extracts, except that </w:t>
      </w:r>
      <w:r w:rsidR="005627C6" w:rsidRPr="00B07A9F">
        <w:rPr>
          <w:sz w:val="22"/>
        </w:rPr>
        <w:t xml:space="preserve">green synthesized </w:t>
      </w:r>
      <w:proofErr w:type="spellStart"/>
      <w:r w:rsidRPr="00B07A9F">
        <w:rPr>
          <w:sz w:val="22"/>
        </w:rPr>
        <w:t>ZnONPs</w:t>
      </w:r>
      <w:proofErr w:type="spellEnd"/>
      <w:r w:rsidR="005627C6" w:rsidRPr="00B07A9F">
        <w:rPr>
          <w:sz w:val="22"/>
        </w:rPr>
        <w:t xml:space="preserve"> that involved the use of Tween 80</w:t>
      </w:r>
      <w:r w:rsidRPr="00B07A9F">
        <w:rPr>
          <w:sz w:val="22"/>
        </w:rPr>
        <w:t xml:space="preserve"> were administered instead</w:t>
      </w:r>
      <w:r w:rsidR="007025A2" w:rsidRPr="00B07A9F">
        <w:rPr>
          <w:sz w:val="22"/>
        </w:rPr>
        <w:t xml:space="preserve">. The </w:t>
      </w:r>
      <w:proofErr w:type="spellStart"/>
      <w:r w:rsidR="007025A2" w:rsidRPr="00B07A9F">
        <w:rPr>
          <w:sz w:val="22"/>
        </w:rPr>
        <w:t>ZnONPs</w:t>
      </w:r>
      <w:proofErr w:type="spellEnd"/>
      <w:r w:rsidR="007025A2" w:rsidRPr="00B07A9F">
        <w:rPr>
          <w:sz w:val="22"/>
        </w:rPr>
        <w:t xml:space="preserve"> administered </w:t>
      </w:r>
      <w:r w:rsidR="007E1BAC" w:rsidRPr="00B07A9F">
        <w:rPr>
          <w:sz w:val="22"/>
        </w:rPr>
        <w:t>presented a size of</w:t>
      </w:r>
      <w:r w:rsidRPr="00B07A9F">
        <w:rPr>
          <w:sz w:val="22"/>
        </w:rPr>
        <w:t xml:space="preserve"> 560 nm</w:t>
      </w:r>
      <w:r w:rsidR="007025A2" w:rsidRPr="00B07A9F">
        <w:rPr>
          <w:sz w:val="22"/>
        </w:rPr>
        <w:t>,</w:t>
      </w:r>
      <w:r w:rsidR="00E67B88" w:rsidRPr="00B07A9F">
        <w:rPr>
          <w:sz w:val="22"/>
        </w:rPr>
        <w:t xml:space="preserve"> </w:t>
      </w:r>
      <w:r w:rsidR="007025A2" w:rsidRPr="00B07A9F">
        <w:rPr>
          <w:sz w:val="22"/>
        </w:rPr>
        <w:t>zeta potential</w:t>
      </w:r>
      <w:r w:rsidR="00AC1850" w:rsidRPr="00B07A9F">
        <w:rPr>
          <w:sz w:val="22"/>
        </w:rPr>
        <w:t xml:space="preserve"> -2</w:t>
      </w:r>
      <w:r w:rsidR="0064723D" w:rsidRPr="00B07A9F">
        <w:rPr>
          <w:sz w:val="22"/>
        </w:rPr>
        <w:t>4</w:t>
      </w:r>
      <w:r w:rsidR="00AC1850" w:rsidRPr="00B07A9F">
        <w:rPr>
          <w:sz w:val="22"/>
        </w:rPr>
        <w:t>.</w:t>
      </w:r>
      <w:r w:rsidR="0064723D" w:rsidRPr="00B07A9F">
        <w:rPr>
          <w:sz w:val="22"/>
        </w:rPr>
        <w:t>1</w:t>
      </w:r>
      <w:r w:rsidR="00AC1850" w:rsidRPr="00B07A9F">
        <w:rPr>
          <w:sz w:val="22"/>
        </w:rPr>
        <w:t xml:space="preserve"> mv</w:t>
      </w:r>
      <w:r w:rsidR="007025A2" w:rsidRPr="00B07A9F">
        <w:rPr>
          <w:sz w:val="22"/>
        </w:rPr>
        <w:t xml:space="preserve">, </w:t>
      </w:r>
      <w:r w:rsidR="00DD4180" w:rsidRPr="00B07A9F">
        <w:rPr>
          <w:sz w:val="22"/>
        </w:rPr>
        <w:t>PDI</w:t>
      </w:r>
      <w:r w:rsidR="00AC1850" w:rsidRPr="00B07A9F">
        <w:rPr>
          <w:sz w:val="22"/>
        </w:rPr>
        <w:t xml:space="preserve"> 0</w:t>
      </w:r>
      <w:r w:rsidR="0064723D" w:rsidRPr="00B07A9F">
        <w:rPr>
          <w:sz w:val="22"/>
        </w:rPr>
        <w:t>.24</w:t>
      </w:r>
      <w:r w:rsidR="007025A2" w:rsidRPr="00B07A9F">
        <w:rPr>
          <w:sz w:val="22"/>
        </w:rPr>
        <w:t>;</w:t>
      </w:r>
      <w:r w:rsidRPr="00B07A9F">
        <w:rPr>
          <w:sz w:val="22"/>
        </w:rPr>
        <w:t xml:space="preserve"> </w:t>
      </w:r>
      <w:r w:rsidR="007E1BAC" w:rsidRPr="00B07A9F">
        <w:rPr>
          <w:sz w:val="22"/>
        </w:rPr>
        <w:t xml:space="preserve">or </w:t>
      </w:r>
      <w:r w:rsidRPr="00B07A9F">
        <w:rPr>
          <w:sz w:val="22"/>
        </w:rPr>
        <w:t>480 nm</w:t>
      </w:r>
      <w:r w:rsidR="007025A2" w:rsidRPr="00B07A9F">
        <w:rPr>
          <w:sz w:val="22"/>
        </w:rPr>
        <w:t>, zeta potential</w:t>
      </w:r>
      <w:r w:rsidR="00AC1850" w:rsidRPr="00B07A9F">
        <w:rPr>
          <w:sz w:val="22"/>
        </w:rPr>
        <w:t xml:space="preserve"> -2</w:t>
      </w:r>
      <w:r w:rsidR="0064723D" w:rsidRPr="00B07A9F">
        <w:rPr>
          <w:sz w:val="22"/>
        </w:rPr>
        <w:t>2</w:t>
      </w:r>
      <w:r w:rsidR="00AC1850" w:rsidRPr="00B07A9F">
        <w:rPr>
          <w:sz w:val="22"/>
        </w:rPr>
        <w:t>.6 mv</w:t>
      </w:r>
      <w:r w:rsidR="007025A2" w:rsidRPr="00B07A9F">
        <w:rPr>
          <w:sz w:val="22"/>
        </w:rPr>
        <w:t xml:space="preserve">, </w:t>
      </w:r>
      <w:r w:rsidR="00DD4180" w:rsidRPr="00B07A9F">
        <w:rPr>
          <w:sz w:val="22"/>
        </w:rPr>
        <w:t>PDI</w:t>
      </w:r>
      <w:r w:rsidR="00AC1850" w:rsidRPr="00B07A9F">
        <w:rPr>
          <w:sz w:val="22"/>
        </w:rPr>
        <w:t xml:space="preserve"> 0.</w:t>
      </w:r>
      <w:r w:rsidR="0064723D" w:rsidRPr="00B07A9F">
        <w:rPr>
          <w:sz w:val="22"/>
        </w:rPr>
        <w:t>19</w:t>
      </w:r>
      <w:r w:rsidRPr="00B07A9F">
        <w:rPr>
          <w:sz w:val="22"/>
        </w:rPr>
        <w:t xml:space="preserve"> and 240 nm</w:t>
      </w:r>
      <w:r w:rsidR="007025A2" w:rsidRPr="00B07A9F">
        <w:rPr>
          <w:sz w:val="22"/>
        </w:rPr>
        <w:t>, zeta potential</w:t>
      </w:r>
      <w:r w:rsidR="00AC1850" w:rsidRPr="00B07A9F">
        <w:rPr>
          <w:sz w:val="22"/>
        </w:rPr>
        <w:t xml:space="preserve"> -23.3 mv</w:t>
      </w:r>
      <w:r w:rsidR="007025A2" w:rsidRPr="00B07A9F">
        <w:rPr>
          <w:sz w:val="22"/>
        </w:rPr>
        <w:t xml:space="preserve">, </w:t>
      </w:r>
      <w:r w:rsidR="00DD4180" w:rsidRPr="00B07A9F">
        <w:rPr>
          <w:sz w:val="22"/>
        </w:rPr>
        <w:t>PDI</w:t>
      </w:r>
      <w:r w:rsidR="00AC1850" w:rsidRPr="00B07A9F">
        <w:rPr>
          <w:sz w:val="22"/>
        </w:rPr>
        <w:t xml:space="preserve"> </w:t>
      </w:r>
      <w:proofErr w:type="gramStart"/>
      <w:r w:rsidR="00AC1850" w:rsidRPr="00B07A9F">
        <w:rPr>
          <w:sz w:val="22"/>
        </w:rPr>
        <w:t>0.</w:t>
      </w:r>
      <w:r w:rsidR="0064723D" w:rsidRPr="00B07A9F">
        <w:rPr>
          <w:sz w:val="22"/>
        </w:rPr>
        <w:t>14</w:t>
      </w:r>
      <w:r w:rsidRPr="00B07A9F">
        <w:rPr>
          <w:sz w:val="22"/>
        </w:rPr>
        <w:t xml:space="preserve"> </w:t>
      </w:r>
      <w:r w:rsidR="007025A2" w:rsidRPr="00B07A9F">
        <w:rPr>
          <w:sz w:val="22"/>
        </w:rPr>
        <w:t>,</w:t>
      </w:r>
      <w:proofErr w:type="gramEnd"/>
      <w:r w:rsidR="007025A2" w:rsidRPr="00B07A9F">
        <w:rPr>
          <w:sz w:val="22"/>
        </w:rPr>
        <w:t xml:space="preserve"> </w:t>
      </w:r>
      <w:r w:rsidRPr="00B07A9F">
        <w:rPr>
          <w:sz w:val="22"/>
        </w:rPr>
        <w:t xml:space="preserve">at the equivalent dose of 10 mg </w:t>
      </w:r>
      <w:proofErr w:type="spellStart"/>
      <w:r w:rsidRPr="00B07A9F">
        <w:rPr>
          <w:sz w:val="22"/>
        </w:rPr>
        <w:t>ZnO</w:t>
      </w:r>
      <w:proofErr w:type="spellEnd"/>
      <w:r w:rsidRPr="00B07A9F">
        <w:rPr>
          <w:sz w:val="22"/>
        </w:rPr>
        <w:t xml:space="preserve">/kg. The different </w:t>
      </w:r>
      <w:proofErr w:type="spellStart"/>
      <w:r w:rsidRPr="00B07A9F">
        <w:rPr>
          <w:sz w:val="22"/>
        </w:rPr>
        <w:t>ZnONP</w:t>
      </w:r>
      <w:r w:rsidR="007025A2" w:rsidRPr="00B07A9F">
        <w:rPr>
          <w:sz w:val="22"/>
        </w:rPr>
        <w:t>s</w:t>
      </w:r>
      <w:proofErr w:type="spellEnd"/>
      <w:r w:rsidRPr="00B07A9F">
        <w:rPr>
          <w:sz w:val="22"/>
        </w:rPr>
        <w:t xml:space="preserve"> groups, presenting different sizes, were named ZnONP-</w:t>
      </w:r>
      <w:r w:rsidR="005627C6" w:rsidRPr="00B07A9F">
        <w:rPr>
          <w:sz w:val="22"/>
        </w:rPr>
        <w:t>560</w:t>
      </w:r>
      <w:r w:rsidRPr="00B07A9F">
        <w:rPr>
          <w:sz w:val="22"/>
        </w:rPr>
        <w:t>, ZnONP-</w:t>
      </w:r>
      <w:r w:rsidR="00050729" w:rsidRPr="00B07A9F">
        <w:rPr>
          <w:sz w:val="22"/>
        </w:rPr>
        <w:t>480</w:t>
      </w:r>
      <w:r w:rsidRPr="00B07A9F">
        <w:rPr>
          <w:sz w:val="22"/>
        </w:rPr>
        <w:t xml:space="preserve"> and ZnONP-</w:t>
      </w:r>
      <w:r w:rsidR="00050729" w:rsidRPr="00B07A9F">
        <w:rPr>
          <w:sz w:val="22"/>
        </w:rPr>
        <w:t>240</w:t>
      </w:r>
      <w:r w:rsidRPr="00B07A9F">
        <w:rPr>
          <w:sz w:val="22"/>
        </w:rPr>
        <w:t>.</w:t>
      </w:r>
    </w:p>
    <w:p w14:paraId="682F1086" w14:textId="33DC8A97" w:rsidR="00026A0F" w:rsidRPr="00B07A9F" w:rsidRDefault="00026A0F" w:rsidP="00340920">
      <w:pPr>
        <w:spacing w:after="0"/>
        <w:rPr>
          <w:sz w:val="22"/>
        </w:rPr>
      </w:pPr>
    </w:p>
    <w:p w14:paraId="2EBD8984" w14:textId="77777777" w:rsidR="00026A0F" w:rsidRPr="00B07A9F" w:rsidRDefault="00026A0F" w:rsidP="00340920">
      <w:pPr>
        <w:spacing w:after="0"/>
        <w:rPr>
          <w:sz w:val="22"/>
        </w:rPr>
      </w:pPr>
    </w:p>
    <w:p w14:paraId="4D8EA7A2" w14:textId="77777777" w:rsidR="00981F50" w:rsidRPr="00B07A9F" w:rsidRDefault="00981F50" w:rsidP="00340920">
      <w:pPr>
        <w:spacing w:before="240" w:after="0"/>
        <w:ind w:left="426"/>
        <w:rPr>
          <w:b/>
          <w:bCs/>
          <w:sz w:val="22"/>
        </w:rPr>
      </w:pPr>
      <w:r w:rsidRPr="00B07A9F">
        <w:rPr>
          <w:b/>
          <w:bCs/>
          <w:sz w:val="22"/>
        </w:rPr>
        <w:lastRenderedPageBreak/>
        <w:t>2.10 Statistical analysis</w:t>
      </w:r>
    </w:p>
    <w:p w14:paraId="74C1CC23" w14:textId="6AC997D1" w:rsidR="00981F50" w:rsidRPr="00B07A9F" w:rsidRDefault="00981F50" w:rsidP="00340920">
      <w:pPr>
        <w:spacing w:before="240" w:after="0"/>
        <w:rPr>
          <w:sz w:val="22"/>
          <w:szCs w:val="22"/>
        </w:rPr>
      </w:pPr>
      <w:r w:rsidRPr="00B07A9F">
        <w:rPr>
          <w:sz w:val="22"/>
          <w:szCs w:val="22"/>
        </w:rPr>
        <w:t xml:space="preserve">GraphPad Prism 9.1.2 software (San Diego, CA, USA) was used to run the statistical analysis. The Shapiro−Wilk test was used to check the normality of the samples. ANOVA followed by Tukey’s post hoc test was applied to investigate the differences among groups. The t test was used to compare two groups. </w:t>
      </w:r>
      <w:r w:rsidRPr="00B07A9F">
        <w:rPr>
          <w:i/>
          <w:sz w:val="22"/>
          <w:szCs w:val="22"/>
        </w:rPr>
        <w:t>P</w:t>
      </w:r>
      <w:r w:rsidRPr="00B07A9F">
        <w:rPr>
          <w:sz w:val="22"/>
          <w:szCs w:val="22"/>
        </w:rPr>
        <w:t xml:space="preserve"> values lower than 0.05 were used as the criteria for statistical significance. All tests were conducted in triplicate and are expressed as the mean </w:t>
      </w:r>
      <w:r w:rsidRPr="00B07A9F">
        <w:rPr>
          <w:rFonts w:ascii="Symbol" w:hAnsi="Symbol"/>
          <w:sz w:val="22"/>
          <w:szCs w:val="22"/>
        </w:rPr>
        <w:sym w:font="Symbol" w:char="F0B1"/>
      </w:r>
      <w:r w:rsidRPr="00B07A9F">
        <w:rPr>
          <w:sz w:val="22"/>
          <w:szCs w:val="22"/>
        </w:rPr>
        <w:t xml:space="preserve"> standard error of the mean (SEM), unless otherwise stated.</w:t>
      </w:r>
    </w:p>
    <w:p w14:paraId="49C15632" w14:textId="77777777" w:rsidR="00981F50" w:rsidRPr="00B07A9F" w:rsidRDefault="00981F50" w:rsidP="00340920">
      <w:pPr>
        <w:pStyle w:val="Heading1"/>
        <w:numPr>
          <w:ilvl w:val="0"/>
          <w:numId w:val="34"/>
        </w:numPr>
        <w:spacing w:before="240" w:after="120"/>
        <w:rPr>
          <w:rFonts w:ascii="Times New Roman" w:hAnsi="Times New Roman"/>
          <w:sz w:val="22"/>
          <w:szCs w:val="22"/>
        </w:rPr>
      </w:pPr>
      <w:r w:rsidRPr="00B07A9F">
        <w:rPr>
          <w:rFonts w:ascii="Times New Roman" w:hAnsi="Times New Roman"/>
          <w:sz w:val="22"/>
          <w:szCs w:val="22"/>
        </w:rPr>
        <w:t>RESULTS AND DISCUSSION</w:t>
      </w:r>
    </w:p>
    <w:p w14:paraId="1914A331" w14:textId="77777777" w:rsidR="00981F50" w:rsidRPr="00B07A9F" w:rsidRDefault="00981F50" w:rsidP="00340920">
      <w:pPr>
        <w:pStyle w:val="Heading2"/>
        <w:numPr>
          <w:ilvl w:val="1"/>
          <w:numId w:val="34"/>
        </w:numPr>
        <w:spacing w:before="240" w:after="120"/>
        <w:rPr>
          <w:rFonts w:ascii="Times New Roman" w:hAnsi="Times New Roman"/>
          <w:sz w:val="22"/>
          <w:szCs w:val="22"/>
        </w:rPr>
      </w:pPr>
      <w:r w:rsidRPr="00B07A9F">
        <w:rPr>
          <w:rFonts w:ascii="Times New Roman" w:hAnsi="Times New Roman"/>
          <w:sz w:val="22"/>
          <w:szCs w:val="22"/>
        </w:rPr>
        <w:t>DPPH scavenging effect (% reduction)</w:t>
      </w:r>
    </w:p>
    <w:p w14:paraId="47C55F46" w14:textId="1F94FF6F" w:rsidR="00981F50" w:rsidRPr="00B07A9F" w:rsidRDefault="00981F50" w:rsidP="00340920">
      <w:pPr>
        <w:spacing w:before="240"/>
        <w:rPr>
          <w:sz w:val="22"/>
          <w:szCs w:val="22"/>
        </w:rPr>
      </w:pPr>
      <w:r w:rsidRPr="00B07A9F">
        <w:rPr>
          <w:sz w:val="22"/>
          <w:szCs w:val="22"/>
        </w:rPr>
        <w:t xml:space="preserve">Eighteen extracts were obtained from the different plants (three extracts from each plant sample). The percentage of DPPH reduction by each of these extracts was analyzed to select the best plant for </w:t>
      </w:r>
      <w:proofErr w:type="spellStart"/>
      <w:r w:rsidRPr="00B07A9F">
        <w:rPr>
          <w:sz w:val="22"/>
          <w:szCs w:val="22"/>
        </w:rPr>
        <w:t>ZnONP</w:t>
      </w:r>
      <w:proofErr w:type="spellEnd"/>
      <w:r w:rsidRPr="00B07A9F">
        <w:rPr>
          <w:sz w:val="22"/>
          <w:szCs w:val="22"/>
        </w:rPr>
        <w:t xml:space="preserve"> synthesis (which occurs through the reduction of zinc ions by the electron-donating functional groups of plant compounds). The percentage of DPPH reduction, i.e., the antioxidant activity of the extracts, indicated their capacity to biosynthesize </w:t>
      </w:r>
      <w:proofErr w:type="spellStart"/>
      <w:r w:rsidRPr="00B07A9F">
        <w:rPr>
          <w:sz w:val="22"/>
          <w:szCs w:val="22"/>
        </w:rPr>
        <w:t>ZnONPs</w:t>
      </w:r>
      <w:proofErr w:type="spellEnd"/>
      <w:r w:rsidRPr="00B07A9F">
        <w:rPr>
          <w:sz w:val="22"/>
          <w:szCs w:val="22"/>
        </w:rPr>
        <w:t xml:space="preserve"> capped with antioxidant phytochemicals. Since hyperglycemia progressively induces oxidative stress, which is involved in several complications, these antioxidant phytochemicals reduce oxidative stress and are known to mitigate the complications of diabetes </w:t>
      </w:r>
      <w:r w:rsidRPr="00B07A9F">
        <w:rPr>
          <w:sz w:val="22"/>
          <w:szCs w:val="22"/>
        </w:rPr>
        <w:fldChar w:fldCharType="begin" w:fldLock="1"/>
      </w:r>
      <w:r w:rsidRPr="00B07A9F">
        <w:rPr>
          <w:sz w:val="22"/>
          <w:szCs w:val="22"/>
        </w:rPr>
        <w:instrText>ADDIN CSL_CITATION {"citationItems":[{"id":"ITEM-1","itemData":{"DOI":"10.1016/j.biopha.2005.07.002","ISSN":"07533322","PMID":"16081237","abstract":"Diabetes is a prevalent systemic disease affecting a significant proportion of the population worldwide. The effects of diabetes are devastating and well documented. There is increasing evidence that in certain pathologic states, especially chronic diseases, the increased production and/or ineffective scavenging of reactive oxygen species (ROS) may play a critical role. High reactivity of ROS determines chemical changes in virtually all cellular components, leading to lipid peroxidation. Production of ROS and disturbed capacity of antioxidant defense in diabetic subjects have been reported. It has been suggested that enhanced production of free radicals and oxidative stress is central event to the development of diabetic complications. This suggestion has been supported by demonstration of increased levels of indicators of oxidative stress in diabetic individuals suffering from complications. Therefore, it seems reasonable that antioxidants can play an important role in the improvement of diabetes. There are many reports on effects of antioxidants in the management of diabetes. In this paper, after complete bibliography and criticizing all relevant articles, the relationships between diabetes and oxidative stress and use of antioxidants in the management of diabetes and its complications have been well reviewed. This review well indicates that oxidative stress is involved in the pathogenesis of diabetes and its complications. Use of antioxidants reduces oxidative stress and alleviates diabetic complications. © 2005 Elsevier SAS. All rights reserved.","author":[{"dropping-particle":"","family":"Rahimi","given":"Roja","non-dropping-particle":"","parse-names":false,"suffix":""},{"dropping-particle":"","family":"Nikfar","given":"Shekoufeh","non-dropping-particle":"","parse-names":false,"suffix":""},{"dropping-particle":"","family":"Larijani","given":"Bagher","non-dropping-particle":"","parse-names":false,"suffix":""},{"dropping-particle":"","family":"Abdollahi","given":"Mohammad","non-dropping-particle":"","parse-names":false,"suffix":""}],"container-title":"Biomedicine and Pharmacotherapy","id":"ITEM-1","issue":"7","issued":{"date-parts":[["2005"]]},"page":"365-373","title":"A review on the role of antioxidants in the management of diabetes and its complications","type":"article-journal","volume":"59"},"uris":["http://www.mendeley.com/documents/?uuid=23c5ba35-fdb5-4501-bd5a-acdf21de8454"]},{"id":"ITEM-2","itemData":{"author":[{"dropping-particle":"","family":"Kambale","given":"Espoir K","non-dropping-particle":"","parse-names":false,"suffix":""},{"dropping-particle":"","family":"Quetin-leclercq","given":"Joëlle","non-dropping-particle":"","parse-names":false,"suffix":""},{"dropping-particle":"","family":"Memvanga","given":"Patrick B","non-dropping-particle":"","parse-names":false,"suffix":""},{"dropping-particle":"","family":"Beloqui","given":"Ana","non-dropping-particle":"","parse-names":false,"suffix":""}],"id":"ITEM-2","issued":{"date-parts":[["2022"]]},"page":"1-39","title":"An Overview of Herbal-Based Antidiabetic Drug Delivery Systems : Focus on Lipid- and Inorganic-Based Nanoformulations","type":"article-journal"},"uris":["http://www.mendeley.com/documents/?uuid=b4124e6a-0096-4b64-acdf-9c5969f917cb"]}],"mendeley":{"formattedCitation":"(Kambale et al., 2022; Rahimi et al., 2005)","plainTextFormattedCitation":"(Kambale et al., 2022; Rahimi et al., 2005)","previouslyFormattedCitation":"(Kambale et al., 2022; Rahimi et al., 2005)"},"properties":{"noteIndex":0},"schema":"https://github.com/citation-style-language/schema/raw/master/csl-citation.json"}</w:instrText>
      </w:r>
      <w:r w:rsidRPr="00B07A9F">
        <w:rPr>
          <w:sz w:val="22"/>
          <w:szCs w:val="22"/>
        </w:rPr>
        <w:fldChar w:fldCharType="separate"/>
      </w:r>
      <w:r w:rsidRPr="00B07A9F">
        <w:rPr>
          <w:noProof/>
          <w:sz w:val="22"/>
          <w:szCs w:val="22"/>
        </w:rPr>
        <w:t>(Kambale et al., 2022; Rahimi et al., 2005)</w:t>
      </w:r>
      <w:r w:rsidRPr="00B07A9F">
        <w:rPr>
          <w:sz w:val="22"/>
          <w:szCs w:val="22"/>
        </w:rPr>
        <w:fldChar w:fldCharType="end"/>
      </w:r>
      <w:r w:rsidRPr="00B07A9F">
        <w:rPr>
          <w:sz w:val="22"/>
          <w:szCs w:val="22"/>
        </w:rPr>
        <w:t xml:space="preserve">. All the extracts showed antioxidant activity by decolorization of DPPH from purple to yellow. As shown in Figure 1, </w:t>
      </w:r>
      <w:r w:rsidRPr="00B07A9F">
        <w:rPr>
          <w:i/>
          <w:sz w:val="22"/>
          <w:szCs w:val="22"/>
        </w:rPr>
        <w:t xml:space="preserve">P. </w:t>
      </w:r>
      <w:proofErr w:type="spellStart"/>
      <w:r w:rsidRPr="00B07A9F">
        <w:rPr>
          <w:i/>
          <w:sz w:val="22"/>
          <w:szCs w:val="22"/>
        </w:rPr>
        <w:t>oleosa</w:t>
      </w:r>
      <w:proofErr w:type="spellEnd"/>
      <w:r w:rsidRPr="00B07A9F">
        <w:rPr>
          <w:sz w:val="22"/>
          <w:szCs w:val="22"/>
        </w:rPr>
        <w:t xml:space="preserve"> extracts (aqueous, ethanol 99 %:</w:t>
      </w:r>
      <w:r w:rsidR="00817C32" w:rsidRPr="00B07A9F">
        <w:rPr>
          <w:sz w:val="22"/>
          <w:szCs w:val="22"/>
        </w:rPr>
        <w:t xml:space="preserve"> </w:t>
      </w:r>
      <w:r w:rsidRPr="00B07A9F">
        <w:rPr>
          <w:sz w:val="22"/>
          <w:szCs w:val="22"/>
        </w:rPr>
        <w:t xml:space="preserve">water at 50:50 and ethanol 99%) showed significantly higher DPPH scavenging effects (higher reducing power) than the other plant extracts. Hence, </w:t>
      </w:r>
      <w:r w:rsidRPr="00B07A9F">
        <w:rPr>
          <w:i/>
          <w:sz w:val="22"/>
          <w:szCs w:val="22"/>
        </w:rPr>
        <w:t xml:space="preserve">P. </w:t>
      </w:r>
      <w:proofErr w:type="spellStart"/>
      <w:r w:rsidRPr="00B07A9F">
        <w:rPr>
          <w:i/>
          <w:sz w:val="22"/>
          <w:szCs w:val="22"/>
        </w:rPr>
        <w:t>oleosa</w:t>
      </w:r>
      <w:proofErr w:type="spellEnd"/>
      <w:r w:rsidRPr="00B07A9F">
        <w:rPr>
          <w:sz w:val="22"/>
        </w:rPr>
        <w:t xml:space="preserve"> was chosen for the synthesis of </w:t>
      </w:r>
      <w:proofErr w:type="spellStart"/>
      <w:r w:rsidRPr="00B07A9F">
        <w:rPr>
          <w:sz w:val="22"/>
        </w:rPr>
        <w:t>ZnONPs</w:t>
      </w:r>
      <w:proofErr w:type="spellEnd"/>
      <w:r w:rsidRPr="00B07A9F">
        <w:rPr>
          <w:sz w:val="22"/>
        </w:rPr>
        <w:t xml:space="preserve">, given that the probability of synthesizing more efficient </w:t>
      </w:r>
      <w:proofErr w:type="spellStart"/>
      <w:r w:rsidRPr="00B07A9F">
        <w:rPr>
          <w:sz w:val="22"/>
        </w:rPr>
        <w:t>ZnONPS</w:t>
      </w:r>
      <w:proofErr w:type="spellEnd"/>
      <w:r w:rsidRPr="00B07A9F">
        <w:rPr>
          <w:sz w:val="22"/>
        </w:rPr>
        <w:t xml:space="preserve"> was higher by using the plant with higher antioxidant and/or high reducing potential. The </w:t>
      </w:r>
      <w:r w:rsidRPr="00B07A9F">
        <w:rPr>
          <w:sz w:val="22"/>
          <w:szCs w:val="22"/>
        </w:rPr>
        <w:t xml:space="preserve">aqueous medium is the most commonly used for green synthesis, and </w:t>
      </w:r>
      <w:r w:rsidRPr="00B07A9F">
        <w:rPr>
          <w:i/>
          <w:sz w:val="22"/>
          <w:szCs w:val="22"/>
        </w:rPr>
        <w:t xml:space="preserve">P. </w:t>
      </w:r>
      <w:proofErr w:type="spellStart"/>
      <w:r w:rsidRPr="00B07A9F">
        <w:rPr>
          <w:i/>
          <w:sz w:val="22"/>
          <w:szCs w:val="22"/>
        </w:rPr>
        <w:t>oleosa</w:t>
      </w:r>
      <w:proofErr w:type="spellEnd"/>
      <w:r w:rsidRPr="00B07A9F">
        <w:rPr>
          <w:sz w:val="22"/>
          <w:szCs w:val="22"/>
        </w:rPr>
        <w:t xml:space="preserve"> aqueous extracts were used for this purpose in this study.</w:t>
      </w:r>
    </w:p>
    <w:p w14:paraId="53022CF5" w14:textId="2224BCDA" w:rsidR="00C7006B" w:rsidRPr="00B07A9F" w:rsidRDefault="000B31E3" w:rsidP="00340920">
      <w:pPr>
        <w:spacing w:before="240"/>
        <w:rPr>
          <w:b/>
          <w:sz w:val="22"/>
          <w:szCs w:val="22"/>
        </w:rPr>
      </w:pPr>
      <w:r>
        <w:rPr>
          <w:b/>
          <w:noProof/>
          <w:sz w:val="22"/>
          <w:szCs w:val="22"/>
        </w:rPr>
        <w:object w:dxaOrig="9360" w:dyaOrig="13120" w14:anchorId="766DA99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alt="" style="width:468.3pt;height:655.8pt;mso-width-percent:0;mso-height-percent:0;mso-width-percent:0;mso-height-percent:0" o:ole="">
            <v:imagedata r:id="rId12" o:title=""/>
          </v:shape>
          <o:OLEObject Type="Embed" ProgID="Unknown" ShapeID="_x0000_i1028" DrawAspect="Content" ObjectID="_1737359726" r:id="rId13"/>
        </w:object>
      </w:r>
    </w:p>
    <w:p w14:paraId="79E4DD6A" w14:textId="191D4F88" w:rsidR="00981F50" w:rsidRPr="00B07A9F" w:rsidRDefault="00981F50" w:rsidP="00340920">
      <w:pPr>
        <w:spacing w:before="240"/>
        <w:rPr>
          <w:sz w:val="22"/>
          <w:szCs w:val="22"/>
        </w:rPr>
      </w:pPr>
      <w:r w:rsidRPr="00B07A9F">
        <w:rPr>
          <w:b/>
          <w:sz w:val="22"/>
          <w:szCs w:val="22"/>
        </w:rPr>
        <w:lastRenderedPageBreak/>
        <w:t xml:space="preserve">Figure 1. </w:t>
      </w:r>
      <w:r w:rsidRPr="00B07A9F">
        <w:rPr>
          <w:bCs/>
          <w:sz w:val="22"/>
          <w:szCs w:val="22"/>
        </w:rPr>
        <w:t>DPPH scavenging effect (% reduction) of the different extracts obtained using (A) water, (B) ethanol 99</w:t>
      </w:r>
      <w:proofErr w:type="gramStart"/>
      <w:r w:rsidRPr="00B07A9F">
        <w:rPr>
          <w:bCs/>
          <w:sz w:val="22"/>
          <w:szCs w:val="22"/>
        </w:rPr>
        <w:t>%:water</w:t>
      </w:r>
      <w:proofErr w:type="gramEnd"/>
      <w:r w:rsidRPr="00B07A9F">
        <w:rPr>
          <w:bCs/>
          <w:sz w:val="22"/>
          <w:szCs w:val="22"/>
        </w:rPr>
        <w:t xml:space="preserve"> at 50:50 and (C) ethanol 99%. Data are presented as the mean</w:t>
      </w:r>
      <w:r w:rsidRPr="00B07A9F">
        <w:rPr>
          <w:rFonts w:ascii="Symbol" w:hAnsi="Symbol"/>
          <w:bCs/>
          <w:sz w:val="22"/>
          <w:szCs w:val="22"/>
        </w:rPr>
        <w:sym w:font="Symbol" w:char="F0B1"/>
      </w:r>
      <w:r w:rsidRPr="00B07A9F">
        <w:rPr>
          <w:bCs/>
          <w:sz w:val="22"/>
          <w:szCs w:val="22"/>
        </w:rPr>
        <w:t xml:space="preserve">SEM (n=3). </w:t>
      </w:r>
      <w:r w:rsidRPr="00B07A9F">
        <w:rPr>
          <w:bCs/>
          <w:i/>
          <w:sz w:val="22"/>
          <w:szCs w:val="22"/>
        </w:rPr>
        <w:t>P</w:t>
      </w:r>
      <w:r w:rsidRPr="00B07A9F">
        <w:rPr>
          <w:bCs/>
          <w:sz w:val="22"/>
          <w:szCs w:val="22"/>
        </w:rPr>
        <w:t xml:space="preserve"> values were determined by two-way ANOVA</w:t>
      </w:r>
      <w:r w:rsidR="005B11E4" w:rsidRPr="00B07A9F">
        <w:rPr>
          <w:bCs/>
          <w:sz w:val="22"/>
          <w:szCs w:val="22"/>
        </w:rPr>
        <w:t xml:space="preserve"> followed by a Tukey post</w:t>
      </w:r>
      <w:r w:rsidR="007E1BAC" w:rsidRPr="00B07A9F">
        <w:rPr>
          <w:bCs/>
          <w:sz w:val="22"/>
          <w:szCs w:val="22"/>
        </w:rPr>
        <w:t>-</w:t>
      </w:r>
      <w:r w:rsidR="005B11E4" w:rsidRPr="00B07A9F">
        <w:rPr>
          <w:bCs/>
          <w:sz w:val="22"/>
          <w:szCs w:val="22"/>
        </w:rPr>
        <w:t>hoc test</w:t>
      </w:r>
      <w:r w:rsidRPr="00B07A9F">
        <w:rPr>
          <w:bCs/>
          <w:sz w:val="22"/>
          <w:szCs w:val="22"/>
        </w:rPr>
        <w:t>. Legend: ACB: (</w:t>
      </w:r>
      <w:proofErr w:type="spellStart"/>
      <w:r w:rsidRPr="00B07A9F">
        <w:rPr>
          <w:i/>
          <w:sz w:val="22"/>
          <w:szCs w:val="22"/>
        </w:rPr>
        <w:t>Alium</w:t>
      </w:r>
      <w:proofErr w:type="spellEnd"/>
      <w:r w:rsidRPr="00B07A9F">
        <w:rPr>
          <w:i/>
          <w:sz w:val="22"/>
          <w:szCs w:val="22"/>
        </w:rPr>
        <w:t xml:space="preserve"> cepa</w:t>
      </w:r>
      <w:r w:rsidRPr="00B07A9F">
        <w:rPr>
          <w:bCs/>
          <w:sz w:val="22"/>
          <w:szCs w:val="22"/>
        </w:rPr>
        <w:t>, white onions); ACR: (</w:t>
      </w:r>
      <w:proofErr w:type="spellStart"/>
      <w:r w:rsidRPr="00B07A9F">
        <w:rPr>
          <w:i/>
          <w:sz w:val="22"/>
          <w:szCs w:val="22"/>
        </w:rPr>
        <w:t>Alium</w:t>
      </w:r>
      <w:proofErr w:type="spellEnd"/>
      <w:r w:rsidRPr="00B07A9F">
        <w:rPr>
          <w:i/>
          <w:sz w:val="22"/>
          <w:szCs w:val="22"/>
        </w:rPr>
        <w:t xml:space="preserve"> cepa</w:t>
      </w:r>
      <w:r w:rsidRPr="00B07A9F">
        <w:rPr>
          <w:bCs/>
          <w:sz w:val="22"/>
          <w:szCs w:val="22"/>
        </w:rPr>
        <w:t xml:space="preserve">, red onions); AI: </w:t>
      </w:r>
      <w:proofErr w:type="spellStart"/>
      <w:r w:rsidRPr="00B07A9F">
        <w:rPr>
          <w:i/>
          <w:sz w:val="22"/>
          <w:szCs w:val="22"/>
        </w:rPr>
        <w:t>Azadirachta</w:t>
      </w:r>
      <w:proofErr w:type="spellEnd"/>
      <w:r w:rsidRPr="00B07A9F">
        <w:rPr>
          <w:i/>
          <w:sz w:val="22"/>
          <w:szCs w:val="22"/>
        </w:rPr>
        <w:t xml:space="preserve"> indica</w:t>
      </w:r>
      <w:r w:rsidRPr="00B07A9F">
        <w:rPr>
          <w:bCs/>
          <w:sz w:val="22"/>
          <w:szCs w:val="22"/>
        </w:rPr>
        <w:t xml:space="preserve">; MO: </w:t>
      </w:r>
      <w:r w:rsidRPr="00B07A9F">
        <w:rPr>
          <w:i/>
          <w:sz w:val="22"/>
          <w:szCs w:val="22"/>
        </w:rPr>
        <w:t>Moringa oleifera</w:t>
      </w:r>
      <w:r w:rsidRPr="00B07A9F">
        <w:rPr>
          <w:bCs/>
          <w:sz w:val="22"/>
          <w:szCs w:val="22"/>
        </w:rPr>
        <w:t xml:space="preserve">; PO: </w:t>
      </w:r>
      <w:r w:rsidRPr="00B07A9F">
        <w:rPr>
          <w:i/>
          <w:sz w:val="22"/>
          <w:szCs w:val="22"/>
        </w:rPr>
        <w:t xml:space="preserve">Panda </w:t>
      </w:r>
      <w:proofErr w:type="spellStart"/>
      <w:r w:rsidRPr="00B07A9F">
        <w:rPr>
          <w:i/>
          <w:sz w:val="22"/>
          <w:szCs w:val="22"/>
        </w:rPr>
        <w:t>oleosa</w:t>
      </w:r>
      <w:proofErr w:type="spellEnd"/>
      <w:r w:rsidRPr="00B07A9F">
        <w:rPr>
          <w:bCs/>
          <w:sz w:val="22"/>
          <w:szCs w:val="22"/>
        </w:rPr>
        <w:t xml:space="preserve">; VA: </w:t>
      </w:r>
      <w:r w:rsidRPr="00B07A9F">
        <w:rPr>
          <w:i/>
          <w:sz w:val="22"/>
          <w:szCs w:val="22"/>
        </w:rPr>
        <w:t>Vernonia amygdalina.</w:t>
      </w:r>
      <w:r w:rsidRPr="00B07A9F">
        <w:rPr>
          <w:bCs/>
          <w:sz w:val="22"/>
          <w:szCs w:val="22"/>
        </w:rPr>
        <w:t xml:space="preserve"> * PO extracts </w:t>
      </w:r>
      <w:r w:rsidRPr="00B07A9F">
        <w:rPr>
          <w:bCs/>
          <w:i/>
          <w:sz w:val="22"/>
          <w:szCs w:val="22"/>
        </w:rPr>
        <w:t xml:space="preserve">vs. </w:t>
      </w:r>
      <w:r w:rsidRPr="00B07A9F">
        <w:rPr>
          <w:bCs/>
          <w:sz w:val="22"/>
          <w:szCs w:val="22"/>
        </w:rPr>
        <w:t>other extracts in this study.</w:t>
      </w:r>
    </w:p>
    <w:p w14:paraId="5C0F154E" w14:textId="77777777" w:rsidR="00981F50" w:rsidRPr="00B07A9F" w:rsidRDefault="00981F50" w:rsidP="00340920">
      <w:pPr>
        <w:pStyle w:val="Heading2"/>
        <w:numPr>
          <w:ilvl w:val="1"/>
          <w:numId w:val="34"/>
        </w:numPr>
        <w:spacing w:before="240" w:after="120"/>
        <w:rPr>
          <w:rFonts w:ascii="Times New Roman" w:hAnsi="Times New Roman"/>
          <w:sz w:val="22"/>
          <w:szCs w:val="22"/>
        </w:rPr>
      </w:pPr>
      <w:r w:rsidRPr="00B07A9F">
        <w:rPr>
          <w:rFonts w:ascii="Times New Roman" w:hAnsi="Times New Roman"/>
          <w:sz w:val="22"/>
          <w:szCs w:val="22"/>
        </w:rPr>
        <w:t xml:space="preserve">Characterization of </w:t>
      </w:r>
      <w:proofErr w:type="spellStart"/>
      <w:r w:rsidRPr="00B07A9F">
        <w:rPr>
          <w:rFonts w:ascii="Times New Roman" w:hAnsi="Times New Roman"/>
          <w:sz w:val="22"/>
          <w:szCs w:val="22"/>
        </w:rPr>
        <w:t>ZnONPs</w:t>
      </w:r>
      <w:proofErr w:type="spellEnd"/>
    </w:p>
    <w:p w14:paraId="49B13D75" w14:textId="36E7C7B4" w:rsidR="00981F50" w:rsidRPr="00B07A9F" w:rsidRDefault="00981F50" w:rsidP="00340920">
      <w:pPr>
        <w:spacing w:before="240"/>
        <w:rPr>
          <w:sz w:val="22"/>
          <w:szCs w:val="22"/>
        </w:rPr>
      </w:pPr>
      <w:proofErr w:type="spellStart"/>
      <w:r w:rsidRPr="00B07A9F">
        <w:rPr>
          <w:sz w:val="22"/>
          <w:szCs w:val="22"/>
        </w:rPr>
        <w:t>ZnONPs</w:t>
      </w:r>
      <w:proofErr w:type="spellEnd"/>
      <w:r w:rsidRPr="00B07A9F">
        <w:rPr>
          <w:sz w:val="22"/>
          <w:szCs w:val="22"/>
        </w:rPr>
        <w:t xml:space="preserve"> were synthesized by mixing zinc nitrate hexahydrate with </w:t>
      </w:r>
      <w:r w:rsidRPr="00B07A9F">
        <w:rPr>
          <w:i/>
          <w:sz w:val="22"/>
          <w:szCs w:val="22"/>
        </w:rPr>
        <w:t xml:space="preserve">P. </w:t>
      </w:r>
      <w:proofErr w:type="spellStart"/>
      <w:r w:rsidRPr="00B07A9F">
        <w:rPr>
          <w:i/>
          <w:sz w:val="22"/>
          <w:szCs w:val="22"/>
        </w:rPr>
        <w:t>oleosa</w:t>
      </w:r>
      <w:proofErr w:type="spellEnd"/>
      <w:r w:rsidRPr="00B07A9F">
        <w:rPr>
          <w:i/>
          <w:sz w:val="22"/>
          <w:szCs w:val="22"/>
        </w:rPr>
        <w:t xml:space="preserve"> </w:t>
      </w:r>
      <w:r w:rsidRPr="00B07A9F">
        <w:rPr>
          <w:sz w:val="22"/>
          <w:szCs w:val="22"/>
        </w:rPr>
        <w:t xml:space="preserve">aqueous extract while controlling the parameters described in Tables 1 and 2. Cloudiness was instantly observed in the medium, indicating the beginning of </w:t>
      </w:r>
      <w:proofErr w:type="spellStart"/>
      <w:r w:rsidRPr="00B07A9F">
        <w:rPr>
          <w:sz w:val="22"/>
          <w:szCs w:val="22"/>
        </w:rPr>
        <w:t>ZnONPS</w:t>
      </w:r>
      <w:proofErr w:type="spellEnd"/>
      <w:r w:rsidRPr="00B07A9F">
        <w:rPr>
          <w:sz w:val="22"/>
          <w:szCs w:val="22"/>
        </w:rPr>
        <w:t xml:space="preserve"> synthesis. The successful synthesis was confirmed by different analyses. The UV‒visible absorption wavelength of </w:t>
      </w:r>
      <w:proofErr w:type="spellStart"/>
      <w:r w:rsidRPr="00B07A9F">
        <w:rPr>
          <w:sz w:val="22"/>
          <w:szCs w:val="22"/>
        </w:rPr>
        <w:t>ZnO</w:t>
      </w:r>
      <w:proofErr w:type="spellEnd"/>
      <w:r w:rsidRPr="00B07A9F">
        <w:rPr>
          <w:sz w:val="22"/>
          <w:szCs w:val="22"/>
        </w:rPr>
        <w:t xml:space="preserve"> in the (nano)particulate form of the aqueous dispersions of all the synthesized </w:t>
      </w:r>
      <w:proofErr w:type="spellStart"/>
      <w:r w:rsidRPr="00B07A9F">
        <w:rPr>
          <w:sz w:val="22"/>
          <w:szCs w:val="22"/>
        </w:rPr>
        <w:t>ZnONPs</w:t>
      </w:r>
      <w:proofErr w:type="spellEnd"/>
      <w:r w:rsidRPr="00B07A9F">
        <w:rPr>
          <w:sz w:val="22"/>
          <w:szCs w:val="22"/>
        </w:rPr>
        <w:t xml:space="preserve"> was examined by means of a spectrophotometer by scanning from 200 to 800 nm (Supplementary information, Figure S1). For all the synthesized </w:t>
      </w:r>
      <w:proofErr w:type="spellStart"/>
      <w:r w:rsidRPr="00B07A9F">
        <w:rPr>
          <w:sz w:val="22"/>
          <w:szCs w:val="22"/>
        </w:rPr>
        <w:t>ZnO</w:t>
      </w:r>
      <w:proofErr w:type="spellEnd"/>
      <w:r w:rsidRPr="00B07A9F">
        <w:rPr>
          <w:sz w:val="22"/>
          <w:szCs w:val="22"/>
        </w:rPr>
        <w:t xml:space="preserve"> particles, the presence of their characteristic absorption peaks at 354 nm was observed, which was within the range of 300 to 400 nm and in accordance with the literature </w:t>
      </w:r>
      <w:r w:rsidRPr="00B07A9F">
        <w:rPr>
          <w:sz w:val="22"/>
          <w:szCs w:val="22"/>
        </w:rPr>
        <w:fldChar w:fldCharType="begin" w:fldLock="1"/>
      </w:r>
      <w:r w:rsidRPr="00B07A9F">
        <w:rPr>
          <w:sz w:val="22"/>
          <w:szCs w:val="22"/>
        </w:rPr>
        <w:instrText>ADDIN CSL_CITATION {"citationItems":[{"id":"ITEM-1","itemData":{"DOI":"10.6000/1927-5129.2016.12.31","abstract":"&amp;lt;p&amp;gt; ZnO nanoparticles are synthesized for antibacterial applications by a simple co-precipitation method. X-ray diffraction (XRD) reveals that the synthesized ZnO has hexagonal crystal structure with mean crystallite size of 29 nm. Scanning electron microscopy (SEM) and Energy dispersive x-ray spectroscopy (EDX) shows pure ZnO with uniform morphology. UV–VIS absorption spectroscopy yield an absorption edge in the range 300-400 nm which corresponds to a band gap energy of 3.50 eV. Antibacterial activity of ZnO nanoparticles is tested against gram positive and gram negative bacteria by using agar-well method. These ZnO nanoparticles are found to be strongly antimicrobial as they effectively prevent the growth of many test microorganisms with a small minimum inhibitory concentrations (MIC) ~ 80 – 280 µg/ml.&amp;lt;/p&amp;gt;","author":[{"dropping-particle":"","family":"S. Naseem Shah","given":"","non-dropping-particle":"","parse-names":false,"suffix":""},{"dropping-particle":"","family":"S. Imran Ali","given":"","non-dropping-particle":"","parse-names":false,"suffix":""},{"dropping-particle":"","family":"S. Rizwan Ali","given":"","non-dropping-particle":"","parse-names":false,"suffix":""},{"dropping-particle":"","family":"M. Naeem","given":"","non-dropping-particle":"","parse-names":false,"suffix":""},{"dropping-particle":"","family":"Yasmeen Bibi","given":"","non-dropping-particle":"","parse-names":false,"suffix":""},{"dropping-particle":"","family":"S. Rehan Ali","given":"","non-dropping-particle":"","parse-names":false,"suffix":""},{"dropping-particle":"","family":"S. Masood Raza","given":"","non-dropping-particle":"","parse-names":false,"suffix":""},{"dropping-particle":"","family":"Yousuf Khan","given":"","non-dropping-particle":"","parse-names":false,"suffix":""},{"dropping-particle":"","family":"Sikander Khan Sherwani","given":"","non-dropping-particle":"","parse-names":false,"suffix":""}],"container-title":"Journal of Basic &amp; Applied Sciences","id":"ITEM-1","issue":" SE  - Physics","issued":{"date-parts":[["2016","1","5"]]},"page":"205-210","title":"Synthesis and Characterization of Zinc Oxide Nanoparticles for Antibacterial Applications","type":"article-journal","volume":"12"},"uris":["http://www.mendeley.com/documents/?uuid=d001d49f-2bce-417b-8ec4-3278ca90970a"]},{"id":"ITEM-2","itemData":{"DOI":"10.1007/s00449-017-1840-9","ISSN":"16157605","PMID":"28916855","abstract":"Bio-mediated synthesis of zinc oxide nanoparticles (ZnO NPs) was carried out by utilizing the reducing and capping potential of Andrographis paniculata leaf extract. The capped ZnO NPs were characterized using UV–Vis, XRD, FTIR, SEM, TEM and SAED analyses. FTIR analysis suggested the role of phenolic compounds, terpenoids, and proteins of A. paniculata leaf extract, in nucleation and stability of ZnO NPs. XRD pattern compared with the standard confirmed spectrum of zinc oxide particles formed in the present experiments were in the form of nanocrystals, as evidenced by the peaks at 2θ values. SEM and TEM analysis of ZnO NPs reveals those spherical and hexagonal shapes and the sizes at the range of 96–115 and 57 ± 0.3 nm, respectively. The synthesized nanoparticles possess strong biological activities regarding anti-oxidant, anti-diabetic, and anti-inflammatory potentials which could be utilized in various biological applications by the cosmetic, food and biomedical industries.","author":[{"dropping-particle":"","family":"Rajakumar","given":"Govindasamy","non-dropping-particle":"","parse-names":false,"suffix":""},{"dropping-particle":"","family":"Thiruvengadam","given":"Muthu","non-dropping-particle":"","parse-names":false,"suffix":""},{"dropping-particle":"","family":"Mydhili","given":"Govindarasu","non-dropping-particle":"","parse-names":false,"suffix":""},{"dropping-particle":"","family":"Gomathi","given":"Thandapani","non-dropping-particle":"","parse-names":false,"suffix":""},{"dropping-particle":"","family":"Chung","given":"Ill Min","non-dropping-particle":"","parse-names":false,"suffix":""}],"container-title":"Bioprocess and Biosystems Engineering","id":"ITEM-2","issue":"1","issued":{"date-parts":[["2018"]]},"page":"21-30","publisher":"Springer Berlin Heidelberg","title":"Green approach for synthesis of zinc oxide nanoparticles from Andrographis paniculata leaf extract and evaluation of their antioxidant, anti-diabetic, and anti-inflammatory activities","type":"article-journal","volume":"41"},"uris":["http://www.mendeley.com/documents/?uuid=f13689ea-05b2-497a-b2b7-c14b543bf314"]}],"mendeley":{"formattedCitation":"(Rajakumar et al., 2018; S. Naseem Shah et al., 2016)","plainTextFormattedCitation":"(Rajakumar et al., 2018; S. Naseem Shah et al., 2016)","previouslyFormattedCitation":"(Rajakumar et al., 2018; S. Naseem Shah et al., 2016)"},"properties":{"noteIndex":0},"schema":"https://github.com/citation-style-language/schema/raw/master/csl-citation.json"}</w:instrText>
      </w:r>
      <w:r w:rsidRPr="00B07A9F">
        <w:rPr>
          <w:sz w:val="22"/>
          <w:szCs w:val="22"/>
        </w:rPr>
        <w:fldChar w:fldCharType="separate"/>
      </w:r>
      <w:r w:rsidRPr="00B07A9F">
        <w:rPr>
          <w:noProof/>
          <w:sz w:val="22"/>
          <w:szCs w:val="22"/>
        </w:rPr>
        <w:t>(Rajakumar et al., 2018; S. Naseem Shah et al., 2016)</w:t>
      </w:r>
      <w:r w:rsidRPr="00B07A9F">
        <w:rPr>
          <w:sz w:val="22"/>
          <w:szCs w:val="22"/>
        </w:rPr>
        <w:fldChar w:fldCharType="end"/>
      </w:r>
      <w:r w:rsidRPr="00B07A9F">
        <w:rPr>
          <w:sz w:val="22"/>
          <w:szCs w:val="22"/>
        </w:rPr>
        <w:t xml:space="preserve">. The </w:t>
      </w:r>
      <w:proofErr w:type="spellStart"/>
      <w:r w:rsidRPr="00B07A9F">
        <w:rPr>
          <w:sz w:val="22"/>
          <w:szCs w:val="22"/>
        </w:rPr>
        <w:t>ZnO</w:t>
      </w:r>
      <w:proofErr w:type="spellEnd"/>
      <w:r w:rsidRPr="00B07A9F">
        <w:rPr>
          <w:sz w:val="22"/>
          <w:szCs w:val="22"/>
        </w:rPr>
        <w:t xml:space="preserve"> particles resulting from the high-temperature method showed lower peak heights. In contrast, those obtained from the low-temperature method showed higher peak heights at pH 9 and 10 compared to the peak observed at pH 11, which was very low. This indicated that the process using low temperature (pH 9 to 10) produced nanoparticles with more surface electrons that absorbed more UV light and suggested a large surface area, i.e., smaller nanoparticles than those obtained at high temperature. We could conclude that the synthesized (nano)particles showed a dependence on the method used for their synthesis.</w:t>
      </w:r>
    </w:p>
    <w:p w14:paraId="2F8F8F77" w14:textId="09326887" w:rsidR="00981F50" w:rsidRPr="00B07A9F" w:rsidRDefault="00981F50" w:rsidP="00340920">
      <w:pPr>
        <w:rPr>
          <w:sz w:val="22"/>
          <w:szCs w:val="22"/>
        </w:rPr>
      </w:pPr>
      <w:r w:rsidRPr="00B07A9F">
        <w:rPr>
          <w:sz w:val="22"/>
          <w:szCs w:val="22"/>
        </w:rPr>
        <w:t>The nanoparticle analysis by dynamic light scattering showed sizes of 423±65.5</w:t>
      </w:r>
      <w:r w:rsidR="0096614F" w:rsidRPr="00B07A9F">
        <w:rPr>
          <w:sz w:val="22"/>
          <w:szCs w:val="22"/>
        </w:rPr>
        <w:t>0</w:t>
      </w:r>
      <w:r w:rsidRPr="00B07A9F">
        <w:rPr>
          <w:sz w:val="22"/>
          <w:szCs w:val="22"/>
        </w:rPr>
        <w:t xml:space="preserve"> nm, PDI ≥ 0.32±0.01 and a zeta potential of approximately -29.4±0.21 mV for the </w:t>
      </w:r>
      <w:proofErr w:type="spellStart"/>
      <w:r w:rsidRPr="00B07A9F">
        <w:rPr>
          <w:sz w:val="22"/>
          <w:szCs w:val="22"/>
        </w:rPr>
        <w:t>ZnONPs</w:t>
      </w:r>
      <w:proofErr w:type="spellEnd"/>
      <w:r w:rsidRPr="00B07A9F">
        <w:rPr>
          <w:sz w:val="22"/>
          <w:szCs w:val="22"/>
        </w:rPr>
        <w:t xml:space="preserve"> obtained with the high-temperature method. The nanoparticle analysis from the low temperature method showed an average size of 201±17.83 nm, PDI of 0.15±0.03 and a zeta potential of -23.2±0.65 mV. This indicated that Tween 80 or gum </w:t>
      </w:r>
      <w:proofErr w:type="spellStart"/>
      <w:r w:rsidRPr="00B07A9F">
        <w:rPr>
          <w:sz w:val="22"/>
          <w:szCs w:val="22"/>
        </w:rPr>
        <w:t>arabic</w:t>
      </w:r>
      <w:proofErr w:type="spellEnd"/>
      <w:r w:rsidRPr="00B07A9F">
        <w:rPr>
          <w:sz w:val="22"/>
          <w:szCs w:val="22"/>
        </w:rPr>
        <w:t xml:space="preserve"> contributed to the reduction in the size of the nanoparticles. In addition, this lower PDI indicated that the suspending agents contributed to more homogenous </w:t>
      </w:r>
      <w:proofErr w:type="spellStart"/>
      <w:r w:rsidRPr="00B07A9F">
        <w:rPr>
          <w:sz w:val="22"/>
          <w:szCs w:val="22"/>
        </w:rPr>
        <w:t>ZnONPs</w:t>
      </w:r>
      <w:proofErr w:type="spellEnd"/>
      <w:r w:rsidRPr="00B07A9F">
        <w:rPr>
          <w:sz w:val="22"/>
          <w:szCs w:val="22"/>
        </w:rPr>
        <w:t xml:space="preserve"> in size. The difference observed in zeta potentials between </w:t>
      </w:r>
      <w:proofErr w:type="spellStart"/>
      <w:r w:rsidRPr="00B07A9F">
        <w:rPr>
          <w:sz w:val="22"/>
          <w:szCs w:val="22"/>
        </w:rPr>
        <w:t>ZnONPs</w:t>
      </w:r>
      <w:proofErr w:type="spellEnd"/>
      <w:r w:rsidRPr="00B07A9F">
        <w:rPr>
          <w:sz w:val="22"/>
          <w:szCs w:val="22"/>
        </w:rPr>
        <w:t xml:space="preserve"> obtained by the high-temperature method and the low-temperature method may be due to the capped phytochemicals on the nanoparticles from the latter.</w:t>
      </w:r>
    </w:p>
    <w:p w14:paraId="317F9987" w14:textId="2CF79A2D" w:rsidR="00981F50" w:rsidRPr="00B07A9F" w:rsidRDefault="00981F50" w:rsidP="00340920">
      <w:pPr>
        <w:pStyle w:val="ListParagraph"/>
        <w:numPr>
          <w:ilvl w:val="1"/>
          <w:numId w:val="34"/>
        </w:numPr>
        <w:spacing w:before="240"/>
        <w:rPr>
          <w:b/>
          <w:sz w:val="22"/>
          <w:szCs w:val="22"/>
        </w:rPr>
      </w:pPr>
      <w:r w:rsidRPr="00B07A9F">
        <w:rPr>
          <w:rStyle w:val="Heading2Char"/>
          <w:rFonts w:ascii="Times New Roman" w:hAnsi="Times New Roman"/>
          <w:sz w:val="22"/>
          <w:szCs w:val="22"/>
        </w:rPr>
        <w:t xml:space="preserve">Phytocompound content in the plant extracts and </w:t>
      </w:r>
      <w:proofErr w:type="spellStart"/>
      <w:r w:rsidRPr="00B07A9F">
        <w:rPr>
          <w:rStyle w:val="Heading2Char"/>
          <w:rFonts w:ascii="Times New Roman" w:hAnsi="Times New Roman"/>
          <w:sz w:val="22"/>
          <w:szCs w:val="22"/>
        </w:rPr>
        <w:t>ZnONPs</w:t>
      </w:r>
      <w:proofErr w:type="spellEnd"/>
    </w:p>
    <w:p w14:paraId="0731ACF5" w14:textId="07956438" w:rsidR="00981F50" w:rsidRPr="00B07A9F" w:rsidRDefault="00981F50" w:rsidP="00340920">
      <w:pPr>
        <w:spacing w:before="240"/>
        <w:rPr>
          <w:b/>
          <w:sz w:val="22"/>
          <w:szCs w:val="22"/>
        </w:rPr>
      </w:pPr>
      <w:bookmarkStart w:id="15" w:name="_Hlk118815788"/>
      <w:r w:rsidRPr="00B07A9F">
        <w:rPr>
          <w:sz w:val="22"/>
          <w:szCs w:val="22"/>
        </w:rPr>
        <w:t xml:space="preserve">Given that the plant extract can contain several metabolites, including phenolic compounds, these were analyzed as tracers of phytochemicals due to their reducing activity. According to the procedures described in the European Pharmacopoeia 10.8, the test sample used from the plant extract and each of the synthesized </w:t>
      </w:r>
      <w:proofErr w:type="spellStart"/>
      <w:r w:rsidRPr="00B07A9F">
        <w:rPr>
          <w:sz w:val="22"/>
          <w:szCs w:val="22"/>
        </w:rPr>
        <w:t>ZnONPs</w:t>
      </w:r>
      <w:proofErr w:type="spellEnd"/>
      <w:r w:rsidRPr="00B07A9F">
        <w:rPr>
          <w:sz w:val="22"/>
          <w:szCs w:val="22"/>
        </w:rPr>
        <w:t xml:space="preserve"> was 45 mg (m1) and was diluted 62.5 times (dilution factor (</w:t>
      </w:r>
      <w:proofErr w:type="spellStart"/>
      <w:r w:rsidRPr="00B07A9F">
        <w:rPr>
          <w:sz w:val="22"/>
          <w:szCs w:val="22"/>
        </w:rPr>
        <w:t>Df</w:t>
      </w:r>
      <w:proofErr w:type="spellEnd"/>
      <w:r w:rsidRPr="00B07A9F">
        <w:rPr>
          <w:sz w:val="22"/>
          <w:szCs w:val="22"/>
        </w:rPr>
        <w:t xml:space="preserve">)). The mass of the standard (pyrogallol) (m2) </w:t>
      </w:r>
      <w:r w:rsidRPr="00B07A9F">
        <w:rPr>
          <w:color w:val="000000" w:themeColor="text1"/>
          <w:sz w:val="22"/>
          <w:szCs w:val="22"/>
        </w:rPr>
        <w:t>in its last dilution was found to be 0.05 mg.</w:t>
      </w:r>
      <w:r w:rsidRPr="00B07A9F">
        <w:rPr>
          <w:sz w:val="22"/>
          <w:szCs w:val="22"/>
        </w:rPr>
        <w:t xml:space="preserve"> The results of the total phenolic compound (TPC) expressed in the pyrogallol analysis are summarized in Table 3 below, showing that the aqueous extract of </w:t>
      </w:r>
      <w:r w:rsidRPr="00B07A9F">
        <w:rPr>
          <w:i/>
          <w:sz w:val="22"/>
          <w:szCs w:val="22"/>
        </w:rPr>
        <w:t xml:space="preserve">P. </w:t>
      </w:r>
      <w:proofErr w:type="spellStart"/>
      <w:r w:rsidRPr="00B07A9F">
        <w:rPr>
          <w:i/>
          <w:sz w:val="22"/>
          <w:szCs w:val="22"/>
        </w:rPr>
        <w:t>oleosa</w:t>
      </w:r>
      <w:proofErr w:type="spellEnd"/>
      <w:r w:rsidRPr="00B07A9F">
        <w:rPr>
          <w:sz w:val="22"/>
          <w:szCs w:val="22"/>
        </w:rPr>
        <w:t xml:space="preserve"> had a TPC of </w:t>
      </w:r>
      <w:bookmarkStart w:id="16" w:name="_Hlk118818282"/>
      <w:r w:rsidRPr="00B07A9F">
        <w:rPr>
          <w:bCs/>
          <w:sz w:val="22"/>
          <w:szCs w:val="22"/>
        </w:rPr>
        <w:t>11.58±0.21</w:t>
      </w:r>
      <w:bookmarkEnd w:id="16"/>
      <w:r w:rsidRPr="00B07A9F">
        <w:rPr>
          <w:sz w:val="22"/>
          <w:szCs w:val="22"/>
        </w:rPr>
        <w:t xml:space="preserve">%. These phenolic compounds were almost unrecovered in the </w:t>
      </w:r>
      <w:proofErr w:type="spellStart"/>
      <w:r w:rsidRPr="00B07A9F">
        <w:rPr>
          <w:sz w:val="22"/>
          <w:szCs w:val="22"/>
        </w:rPr>
        <w:t>ZnONPs</w:t>
      </w:r>
      <w:proofErr w:type="spellEnd"/>
      <w:r w:rsidRPr="00B07A9F">
        <w:rPr>
          <w:sz w:val="22"/>
          <w:szCs w:val="22"/>
        </w:rPr>
        <w:t xml:space="preserve"> obtained via the high-temperature method (0.75±0.06%). However, they represented </w:t>
      </w:r>
      <w:bookmarkStart w:id="17" w:name="_Hlk118818341"/>
      <w:r w:rsidRPr="00B07A9F">
        <w:rPr>
          <w:bCs/>
          <w:sz w:val="22"/>
          <w:szCs w:val="22"/>
        </w:rPr>
        <w:t>2.58±0.04</w:t>
      </w:r>
      <w:bookmarkEnd w:id="17"/>
      <w:r w:rsidRPr="00B07A9F">
        <w:rPr>
          <w:bCs/>
          <w:sz w:val="22"/>
          <w:szCs w:val="22"/>
        </w:rPr>
        <w:t>% and 2.56±0.03</w:t>
      </w:r>
      <w:r w:rsidRPr="00B07A9F">
        <w:rPr>
          <w:sz w:val="22"/>
          <w:szCs w:val="22"/>
        </w:rPr>
        <w:t xml:space="preserve"> of the </w:t>
      </w:r>
      <w:proofErr w:type="spellStart"/>
      <w:r w:rsidRPr="00B07A9F">
        <w:rPr>
          <w:sz w:val="22"/>
          <w:szCs w:val="22"/>
        </w:rPr>
        <w:t>ZnONPs</w:t>
      </w:r>
      <w:proofErr w:type="spellEnd"/>
      <w:r w:rsidRPr="00B07A9F">
        <w:rPr>
          <w:bCs/>
          <w:sz w:val="22"/>
          <w:szCs w:val="22"/>
        </w:rPr>
        <w:t xml:space="preserve"> from the </w:t>
      </w:r>
      <w:r w:rsidRPr="00B07A9F">
        <w:rPr>
          <w:sz w:val="22"/>
          <w:szCs w:val="22"/>
        </w:rPr>
        <w:t xml:space="preserve">low-temperature method using Tween 80 and gum </w:t>
      </w:r>
      <w:proofErr w:type="spellStart"/>
      <w:r w:rsidRPr="00B07A9F">
        <w:rPr>
          <w:sz w:val="22"/>
          <w:szCs w:val="22"/>
        </w:rPr>
        <w:t>arabic</w:t>
      </w:r>
      <w:proofErr w:type="spellEnd"/>
      <w:r w:rsidRPr="00B07A9F">
        <w:rPr>
          <w:sz w:val="22"/>
          <w:szCs w:val="22"/>
        </w:rPr>
        <w:t xml:space="preserve">, respectively. The </w:t>
      </w:r>
      <w:proofErr w:type="spellStart"/>
      <w:r w:rsidRPr="00B07A9F">
        <w:rPr>
          <w:sz w:val="22"/>
          <w:szCs w:val="22"/>
        </w:rPr>
        <w:t>ZnONPs</w:t>
      </w:r>
      <w:proofErr w:type="spellEnd"/>
      <w:r w:rsidRPr="00B07A9F">
        <w:rPr>
          <w:sz w:val="22"/>
          <w:szCs w:val="22"/>
        </w:rPr>
        <w:t xml:space="preserve"> from the high-temperature process lost more than 99% of the phenolic compounds, while those from the low-temperature method retained 92.9</w:t>
      </w:r>
      <w:r w:rsidR="0096614F" w:rsidRPr="00B07A9F">
        <w:rPr>
          <w:sz w:val="22"/>
          <w:szCs w:val="22"/>
        </w:rPr>
        <w:t>0</w:t>
      </w:r>
      <w:r w:rsidRPr="00B07A9F">
        <w:rPr>
          <w:sz w:val="22"/>
          <w:szCs w:val="22"/>
        </w:rPr>
        <w:t>% and 92.1</w:t>
      </w:r>
      <w:r w:rsidR="0096614F" w:rsidRPr="00B07A9F">
        <w:rPr>
          <w:sz w:val="22"/>
          <w:szCs w:val="22"/>
        </w:rPr>
        <w:t>0</w:t>
      </w:r>
      <w:r w:rsidRPr="00B07A9F">
        <w:rPr>
          <w:sz w:val="22"/>
          <w:szCs w:val="22"/>
        </w:rPr>
        <w:t xml:space="preserve">% of the phenolic compounds used for their synthesis (Supplementary information, Table S1). These results indicated that high temperature destroys phytocompounds, but freeze-drying preserves them. The low loss of phenolic phytocompounds by the freeze-drying method can be attributed to the washing of the nanoparticles before freeze-drying. Since there was a significant loss of phytocompounds with the high-temperature method, the low-temperature method was preferred, as the retained phytocompounds would contribute to improving the activity of </w:t>
      </w:r>
      <w:proofErr w:type="spellStart"/>
      <w:r w:rsidRPr="00B07A9F">
        <w:rPr>
          <w:sz w:val="22"/>
          <w:szCs w:val="22"/>
        </w:rPr>
        <w:t>ZnONPs</w:t>
      </w:r>
      <w:proofErr w:type="spellEnd"/>
      <w:r w:rsidRPr="00B07A9F">
        <w:rPr>
          <w:sz w:val="22"/>
          <w:szCs w:val="22"/>
        </w:rPr>
        <w:t>.</w:t>
      </w:r>
      <w:bookmarkEnd w:id="15"/>
    </w:p>
    <w:p w14:paraId="17C4EF79" w14:textId="77777777" w:rsidR="00981F50" w:rsidRPr="00B07A9F" w:rsidRDefault="00981F50" w:rsidP="00340920">
      <w:pPr>
        <w:spacing w:before="240"/>
        <w:rPr>
          <w:b/>
          <w:sz w:val="22"/>
          <w:szCs w:val="22"/>
        </w:rPr>
        <w:sectPr w:rsidR="00981F50" w:rsidRPr="00B07A9F" w:rsidSect="001D5F18">
          <w:type w:val="continuous"/>
          <w:pgSz w:w="12240" w:h="15840" w:code="1"/>
          <w:pgMar w:top="1224" w:right="1080" w:bottom="1440" w:left="1080" w:header="720" w:footer="720" w:gutter="0"/>
          <w:cols w:space="397"/>
          <w:docGrid w:linePitch="360"/>
        </w:sectPr>
      </w:pPr>
    </w:p>
    <w:p w14:paraId="7923BED5" w14:textId="469EA6CA" w:rsidR="00981F50" w:rsidRPr="00B07A9F" w:rsidRDefault="00981F50" w:rsidP="00340920">
      <w:pPr>
        <w:spacing w:before="240"/>
        <w:rPr>
          <w:bCs/>
          <w:sz w:val="22"/>
          <w:szCs w:val="22"/>
        </w:rPr>
      </w:pPr>
      <w:r w:rsidRPr="00B07A9F">
        <w:rPr>
          <w:b/>
          <w:sz w:val="22"/>
          <w:szCs w:val="22"/>
        </w:rPr>
        <w:t xml:space="preserve">Table 3. </w:t>
      </w:r>
      <w:r w:rsidRPr="00B07A9F">
        <w:rPr>
          <w:bCs/>
          <w:sz w:val="22"/>
          <w:szCs w:val="22"/>
        </w:rPr>
        <w:t xml:space="preserve">Total phenolic content of the aqueous extract and </w:t>
      </w:r>
      <w:proofErr w:type="spellStart"/>
      <w:r w:rsidRPr="00B07A9F">
        <w:rPr>
          <w:bCs/>
          <w:sz w:val="22"/>
          <w:szCs w:val="22"/>
        </w:rPr>
        <w:t>ZnONPs</w:t>
      </w:r>
      <w:proofErr w:type="spellEnd"/>
      <w:r w:rsidRPr="00B07A9F">
        <w:rPr>
          <w:bCs/>
          <w:sz w:val="22"/>
          <w:szCs w:val="22"/>
        </w:rPr>
        <w:t xml:space="preserve"> (n=3, </w:t>
      </w:r>
      <w:proofErr w:type="spellStart"/>
      <w:r w:rsidRPr="00B07A9F">
        <w:rPr>
          <w:bCs/>
          <w:sz w:val="22"/>
          <w:szCs w:val="22"/>
        </w:rPr>
        <w:t>mean±SEM</w:t>
      </w:r>
      <w:proofErr w:type="spellEnd"/>
      <w:r w:rsidRPr="00B07A9F">
        <w:rPr>
          <w:bCs/>
          <w:sz w:val="22"/>
          <w:szCs w:val="22"/>
        </w:rPr>
        <w:t>)</w:t>
      </w:r>
    </w:p>
    <w:tbl>
      <w:tblPr>
        <w:tblStyle w:val="Tableausimple21"/>
        <w:tblW w:w="5000" w:type="pct"/>
        <w:tblLook w:val="04A0" w:firstRow="1" w:lastRow="0" w:firstColumn="1" w:lastColumn="0" w:noHBand="0" w:noVBand="1"/>
      </w:tblPr>
      <w:tblGrid>
        <w:gridCol w:w="2552"/>
        <w:gridCol w:w="2268"/>
        <w:gridCol w:w="2268"/>
        <w:gridCol w:w="2992"/>
      </w:tblGrid>
      <w:tr w:rsidR="00C7006B" w:rsidRPr="00B07A9F" w14:paraId="2A5C92F4" w14:textId="77777777" w:rsidTr="00BC5B15">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266" w:type="pct"/>
          </w:tcPr>
          <w:p w14:paraId="368F62FF" w14:textId="77777777" w:rsidR="00C7006B" w:rsidRPr="00B07A9F" w:rsidRDefault="00C7006B" w:rsidP="00BC5B15">
            <w:pPr>
              <w:spacing w:before="240"/>
              <w:rPr>
                <w:sz w:val="22"/>
                <w:szCs w:val="22"/>
                <w:lang w:val="en-GB"/>
              </w:rPr>
            </w:pPr>
          </w:p>
        </w:tc>
        <w:tc>
          <w:tcPr>
            <w:tcW w:w="1125" w:type="pct"/>
          </w:tcPr>
          <w:p w14:paraId="35D593EC" w14:textId="77777777" w:rsidR="00C7006B" w:rsidRPr="00B07A9F" w:rsidRDefault="00C7006B" w:rsidP="00BC5B15">
            <w:pPr>
              <w:spacing w:before="240"/>
              <w:jc w:val="center"/>
              <w:cnfStyle w:val="100000000000" w:firstRow="1" w:lastRow="0" w:firstColumn="0" w:lastColumn="0" w:oddVBand="0" w:evenVBand="0" w:oddHBand="0" w:evenHBand="0" w:firstRowFirstColumn="0" w:firstRowLastColumn="0" w:lastRowFirstColumn="0" w:lastRowLastColumn="0"/>
              <w:rPr>
                <w:bCs w:val="0"/>
                <w:sz w:val="22"/>
                <w:szCs w:val="22"/>
                <w:lang w:val="en-GB"/>
              </w:rPr>
            </w:pPr>
            <w:r w:rsidRPr="00B07A9F">
              <w:rPr>
                <w:bCs w:val="0"/>
                <w:i/>
                <w:sz w:val="22"/>
                <w:szCs w:val="22"/>
              </w:rPr>
              <w:t xml:space="preserve">P. </w:t>
            </w:r>
            <w:proofErr w:type="spellStart"/>
            <w:r w:rsidRPr="00B07A9F">
              <w:rPr>
                <w:bCs w:val="0"/>
                <w:i/>
                <w:sz w:val="22"/>
                <w:szCs w:val="22"/>
              </w:rPr>
              <w:t>oleosa</w:t>
            </w:r>
            <w:proofErr w:type="spellEnd"/>
            <w:r w:rsidRPr="00B07A9F" w:rsidDel="008011EC">
              <w:rPr>
                <w:bCs w:val="0"/>
                <w:sz w:val="22"/>
                <w:szCs w:val="22"/>
              </w:rPr>
              <w:t xml:space="preserve"> </w:t>
            </w:r>
            <w:r w:rsidRPr="00B07A9F">
              <w:rPr>
                <w:bCs w:val="0"/>
                <w:sz w:val="22"/>
                <w:szCs w:val="22"/>
              </w:rPr>
              <w:t xml:space="preserve">aqueous </w:t>
            </w:r>
            <w:proofErr w:type="spellStart"/>
            <w:r w:rsidRPr="00B07A9F">
              <w:rPr>
                <w:bCs w:val="0"/>
                <w:sz w:val="22"/>
                <w:szCs w:val="22"/>
              </w:rPr>
              <w:t>extr</w:t>
            </w:r>
            <w:proofErr w:type="spellEnd"/>
          </w:p>
        </w:tc>
        <w:tc>
          <w:tcPr>
            <w:tcW w:w="1125" w:type="pct"/>
          </w:tcPr>
          <w:p w14:paraId="5D98A2EB" w14:textId="77777777" w:rsidR="00C7006B" w:rsidRPr="00B07A9F" w:rsidRDefault="00C7006B" w:rsidP="00BC5B15">
            <w:pPr>
              <w:spacing w:before="240"/>
              <w:jc w:val="center"/>
              <w:cnfStyle w:val="100000000000" w:firstRow="1" w:lastRow="0" w:firstColumn="0" w:lastColumn="0" w:oddVBand="0" w:evenVBand="0" w:oddHBand="0" w:evenHBand="0" w:firstRowFirstColumn="0" w:firstRowLastColumn="0" w:lastRowFirstColumn="0" w:lastRowLastColumn="0"/>
              <w:rPr>
                <w:bCs w:val="0"/>
                <w:sz w:val="22"/>
                <w:szCs w:val="22"/>
                <w:lang w:val="en-GB"/>
              </w:rPr>
            </w:pPr>
            <w:proofErr w:type="spellStart"/>
            <w:r w:rsidRPr="00B07A9F">
              <w:rPr>
                <w:bCs w:val="0"/>
                <w:sz w:val="22"/>
                <w:szCs w:val="22"/>
                <w:lang w:val="en-GB"/>
              </w:rPr>
              <w:t>ZnONPs</w:t>
            </w:r>
            <w:proofErr w:type="spellEnd"/>
            <w:r w:rsidRPr="00B07A9F">
              <w:rPr>
                <w:bCs w:val="0"/>
                <w:sz w:val="22"/>
                <w:szCs w:val="22"/>
              </w:rPr>
              <w:t xml:space="preserve"> from high temperature method</w:t>
            </w:r>
          </w:p>
        </w:tc>
        <w:tc>
          <w:tcPr>
            <w:tcW w:w="1484" w:type="pct"/>
          </w:tcPr>
          <w:p w14:paraId="43AEF793" w14:textId="77777777" w:rsidR="00C7006B" w:rsidRPr="00B07A9F" w:rsidRDefault="00C7006B" w:rsidP="00BC5B15">
            <w:pPr>
              <w:spacing w:before="240"/>
              <w:jc w:val="center"/>
              <w:cnfStyle w:val="100000000000" w:firstRow="1" w:lastRow="0" w:firstColumn="0" w:lastColumn="0" w:oddVBand="0" w:evenVBand="0" w:oddHBand="0" w:evenHBand="0" w:firstRowFirstColumn="0" w:firstRowLastColumn="0" w:lastRowFirstColumn="0" w:lastRowLastColumn="0"/>
              <w:rPr>
                <w:bCs w:val="0"/>
                <w:sz w:val="22"/>
                <w:szCs w:val="22"/>
                <w:lang w:val="en-GB"/>
              </w:rPr>
            </w:pPr>
            <w:proofErr w:type="spellStart"/>
            <w:r w:rsidRPr="00B07A9F">
              <w:rPr>
                <w:bCs w:val="0"/>
                <w:sz w:val="22"/>
                <w:szCs w:val="22"/>
                <w:lang w:val="en-GB"/>
              </w:rPr>
              <w:t>ZnONPs</w:t>
            </w:r>
            <w:proofErr w:type="spellEnd"/>
            <w:r w:rsidRPr="00B07A9F">
              <w:rPr>
                <w:bCs w:val="0"/>
                <w:sz w:val="22"/>
                <w:szCs w:val="22"/>
              </w:rPr>
              <w:t xml:space="preserve"> from low temperature methods (using Tween 80 or gum </w:t>
            </w:r>
            <w:proofErr w:type="spellStart"/>
            <w:r w:rsidRPr="00B07A9F">
              <w:rPr>
                <w:bCs w:val="0"/>
                <w:sz w:val="22"/>
                <w:szCs w:val="22"/>
              </w:rPr>
              <w:t>arabic</w:t>
            </w:r>
            <w:proofErr w:type="spellEnd"/>
            <w:r w:rsidRPr="00B07A9F">
              <w:rPr>
                <w:bCs w:val="0"/>
                <w:sz w:val="22"/>
                <w:szCs w:val="22"/>
              </w:rPr>
              <w:t>)</w:t>
            </w:r>
            <w:r w:rsidRPr="00B07A9F" w:rsidDel="00291A7E">
              <w:rPr>
                <w:bCs w:val="0"/>
                <w:sz w:val="22"/>
                <w:szCs w:val="22"/>
              </w:rPr>
              <w:t xml:space="preserve"> </w:t>
            </w:r>
          </w:p>
        </w:tc>
      </w:tr>
      <w:tr w:rsidR="00C7006B" w:rsidRPr="00B07A9F" w14:paraId="7671BA00" w14:textId="77777777" w:rsidTr="00BC5B15">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266" w:type="pct"/>
          </w:tcPr>
          <w:p w14:paraId="3C7E583B" w14:textId="77777777" w:rsidR="00C7006B" w:rsidRPr="00B07A9F" w:rsidRDefault="00C7006B" w:rsidP="00BC5B15">
            <w:pPr>
              <w:spacing w:before="240"/>
              <w:rPr>
                <w:b w:val="0"/>
                <w:bCs w:val="0"/>
                <w:sz w:val="22"/>
                <w:szCs w:val="22"/>
                <w:lang w:val="en-GB"/>
              </w:rPr>
            </w:pPr>
            <w:r w:rsidRPr="00B07A9F">
              <w:rPr>
                <w:b w:val="0"/>
                <w:bCs w:val="0"/>
                <w:sz w:val="22"/>
                <w:szCs w:val="22"/>
              </w:rPr>
              <w:t>TPC (%)</w:t>
            </w:r>
          </w:p>
        </w:tc>
        <w:tc>
          <w:tcPr>
            <w:tcW w:w="1125" w:type="pct"/>
          </w:tcPr>
          <w:p w14:paraId="560BB51C" w14:textId="77777777" w:rsidR="00C7006B" w:rsidRPr="00B07A9F" w:rsidRDefault="00C7006B" w:rsidP="00BC5B15">
            <w:pPr>
              <w:spacing w:before="240"/>
              <w:jc w:val="center"/>
              <w:cnfStyle w:val="000000100000" w:firstRow="0" w:lastRow="0" w:firstColumn="0" w:lastColumn="0" w:oddVBand="0" w:evenVBand="0" w:oddHBand="1" w:evenHBand="0" w:firstRowFirstColumn="0" w:firstRowLastColumn="0" w:lastRowFirstColumn="0" w:lastRowLastColumn="0"/>
              <w:rPr>
                <w:sz w:val="22"/>
                <w:szCs w:val="22"/>
                <w:lang w:val="en-GB"/>
              </w:rPr>
            </w:pPr>
            <w:r w:rsidRPr="00B07A9F">
              <w:rPr>
                <w:bCs/>
                <w:sz w:val="22"/>
                <w:szCs w:val="22"/>
              </w:rPr>
              <w:t>11.58±0.21</w:t>
            </w:r>
          </w:p>
        </w:tc>
        <w:tc>
          <w:tcPr>
            <w:tcW w:w="1125" w:type="pct"/>
          </w:tcPr>
          <w:p w14:paraId="1A2FDFAC" w14:textId="77777777" w:rsidR="00C7006B" w:rsidRPr="00B07A9F" w:rsidRDefault="00C7006B" w:rsidP="00BC5B15">
            <w:pPr>
              <w:spacing w:before="240"/>
              <w:jc w:val="center"/>
              <w:cnfStyle w:val="000000100000" w:firstRow="0" w:lastRow="0" w:firstColumn="0" w:lastColumn="0" w:oddVBand="0" w:evenVBand="0" w:oddHBand="1" w:evenHBand="0" w:firstRowFirstColumn="0" w:firstRowLastColumn="0" w:lastRowFirstColumn="0" w:lastRowLastColumn="0"/>
              <w:rPr>
                <w:sz w:val="22"/>
                <w:szCs w:val="22"/>
                <w:lang w:val="en-GB"/>
              </w:rPr>
            </w:pPr>
            <w:bookmarkStart w:id="18" w:name="_Hlk118818566"/>
            <w:r w:rsidRPr="00B07A9F">
              <w:rPr>
                <w:bCs/>
                <w:sz w:val="22"/>
                <w:szCs w:val="22"/>
              </w:rPr>
              <w:t>0.75±0.06</w:t>
            </w:r>
            <w:bookmarkEnd w:id="18"/>
          </w:p>
        </w:tc>
        <w:tc>
          <w:tcPr>
            <w:tcW w:w="1484" w:type="pct"/>
          </w:tcPr>
          <w:p w14:paraId="39A47D8F" w14:textId="77777777" w:rsidR="00C7006B" w:rsidRPr="00B07A9F" w:rsidRDefault="00C7006B" w:rsidP="00BC5B15">
            <w:pPr>
              <w:spacing w:before="240"/>
              <w:jc w:val="center"/>
              <w:cnfStyle w:val="000000100000" w:firstRow="0" w:lastRow="0" w:firstColumn="0" w:lastColumn="0" w:oddVBand="0" w:evenVBand="0" w:oddHBand="1" w:evenHBand="0" w:firstRowFirstColumn="0" w:firstRowLastColumn="0" w:lastRowFirstColumn="0" w:lastRowLastColumn="0"/>
              <w:rPr>
                <w:sz w:val="22"/>
                <w:szCs w:val="22"/>
                <w:lang w:val="en-GB"/>
              </w:rPr>
            </w:pPr>
            <w:r w:rsidRPr="00B07A9F">
              <w:rPr>
                <w:sz w:val="22"/>
                <w:szCs w:val="22"/>
              </w:rPr>
              <w:t>2.58</w:t>
            </w:r>
            <w:r w:rsidRPr="00B07A9F">
              <w:rPr>
                <w:bCs/>
                <w:sz w:val="22"/>
                <w:szCs w:val="22"/>
              </w:rPr>
              <w:t>±0.04 and 2.56±0.03</w:t>
            </w:r>
          </w:p>
        </w:tc>
      </w:tr>
      <w:tr w:rsidR="00C7006B" w:rsidRPr="00B07A9F" w14:paraId="422B6DB5" w14:textId="77777777" w:rsidTr="00BC5B15">
        <w:trPr>
          <w:trHeight w:val="454"/>
        </w:trPr>
        <w:tc>
          <w:tcPr>
            <w:cnfStyle w:val="001000000000" w:firstRow="0" w:lastRow="0" w:firstColumn="1" w:lastColumn="0" w:oddVBand="0" w:evenVBand="0" w:oddHBand="0" w:evenHBand="0" w:firstRowFirstColumn="0" w:firstRowLastColumn="0" w:lastRowFirstColumn="0" w:lastRowLastColumn="0"/>
            <w:tcW w:w="1266" w:type="pct"/>
          </w:tcPr>
          <w:p w14:paraId="03F99727" w14:textId="77777777" w:rsidR="00C7006B" w:rsidRPr="00B07A9F" w:rsidRDefault="00C7006B" w:rsidP="00BC5B15">
            <w:pPr>
              <w:spacing w:before="240"/>
              <w:jc w:val="center"/>
              <w:rPr>
                <w:b w:val="0"/>
                <w:bCs w:val="0"/>
                <w:sz w:val="22"/>
                <w:szCs w:val="22"/>
                <w:lang w:val="en-GB"/>
              </w:rPr>
            </w:pPr>
            <w:r w:rsidRPr="00B07A9F">
              <w:rPr>
                <w:b w:val="0"/>
                <w:bCs w:val="0"/>
                <w:sz w:val="22"/>
                <w:szCs w:val="22"/>
              </w:rPr>
              <w:t>Phytocompound retention (%)</w:t>
            </w:r>
          </w:p>
        </w:tc>
        <w:tc>
          <w:tcPr>
            <w:tcW w:w="1125" w:type="pct"/>
          </w:tcPr>
          <w:p w14:paraId="19285E1B" w14:textId="77777777" w:rsidR="00C7006B" w:rsidRPr="00B07A9F" w:rsidRDefault="00C7006B" w:rsidP="00BC5B15">
            <w:pPr>
              <w:spacing w:before="240"/>
              <w:jc w:val="center"/>
              <w:cnfStyle w:val="000000000000" w:firstRow="0" w:lastRow="0" w:firstColumn="0" w:lastColumn="0" w:oddVBand="0" w:evenVBand="0" w:oddHBand="0" w:evenHBand="0" w:firstRowFirstColumn="0" w:firstRowLastColumn="0" w:lastRowFirstColumn="0" w:lastRowLastColumn="0"/>
              <w:rPr>
                <w:sz w:val="22"/>
                <w:szCs w:val="22"/>
                <w:lang w:val="en-GB"/>
              </w:rPr>
            </w:pPr>
            <w:r w:rsidRPr="00B07A9F">
              <w:rPr>
                <w:sz w:val="22"/>
                <w:szCs w:val="22"/>
                <w:lang w:val="en-GB"/>
              </w:rPr>
              <w:t>-</w:t>
            </w:r>
          </w:p>
        </w:tc>
        <w:tc>
          <w:tcPr>
            <w:tcW w:w="1125" w:type="pct"/>
          </w:tcPr>
          <w:p w14:paraId="3CAEE85B" w14:textId="77777777" w:rsidR="00C7006B" w:rsidRPr="00B07A9F" w:rsidRDefault="00C7006B" w:rsidP="00BC5B15">
            <w:pPr>
              <w:spacing w:before="240"/>
              <w:jc w:val="center"/>
              <w:cnfStyle w:val="000000000000" w:firstRow="0" w:lastRow="0" w:firstColumn="0" w:lastColumn="0" w:oddVBand="0" w:evenVBand="0" w:oddHBand="0" w:evenHBand="0" w:firstRowFirstColumn="0" w:firstRowLastColumn="0" w:lastRowFirstColumn="0" w:lastRowLastColumn="0"/>
              <w:rPr>
                <w:sz w:val="22"/>
                <w:szCs w:val="22"/>
                <w:lang w:val="en-GB"/>
              </w:rPr>
            </w:pPr>
            <w:r w:rsidRPr="00B07A9F">
              <w:rPr>
                <w:bCs/>
                <w:sz w:val="22"/>
                <w:szCs w:val="22"/>
              </w:rPr>
              <w:t>0.01</w:t>
            </w:r>
          </w:p>
        </w:tc>
        <w:tc>
          <w:tcPr>
            <w:tcW w:w="1484" w:type="pct"/>
          </w:tcPr>
          <w:p w14:paraId="1D14CDE4" w14:textId="5DAA5263" w:rsidR="00C7006B" w:rsidRPr="00B07A9F" w:rsidRDefault="00C7006B" w:rsidP="00BC5B15">
            <w:pPr>
              <w:spacing w:before="240"/>
              <w:jc w:val="center"/>
              <w:cnfStyle w:val="000000000000" w:firstRow="0" w:lastRow="0" w:firstColumn="0" w:lastColumn="0" w:oddVBand="0" w:evenVBand="0" w:oddHBand="0" w:evenHBand="0" w:firstRowFirstColumn="0" w:firstRowLastColumn="0" w:lastRowFirstColumn="0" w:lastRowLastColumn="0"/>
              <w:rPr>
                <w:sz w:val="22"/>
                <w:szCs w:val="22"/>
                <w:lang w:val="en-GB"/>
              </w:rPr>
            </w:pPr>
            <w:r w:rsidRPr="00B07A9F">
              <w:rPr>
                <w:sz w:val="22"/>
                <w:szCs w:val="22"/>
              </w:rPr>
              <w:t>92.9</w:t>
            </w:r>
            <w:r w:rsidR="00291C55" w:rsidRPr="00B07A9F">
              <w:rPr>
                <w:sz w:val="22"/>
                <w:szCs w:val="22"/>
              </w:rPr>
              <w:t>0</w:t>
            </w:r>
            <w:r w:rsidRPr="00B07A9F">
              <w:rPr>
                <w:sz w:val="22"/>
                <w:szCs w:val="22"/>
              </w:rPr>
              <w:t xml:space="preserve"> and 92.1</w:t>
            </w:r>
            <w:r w:rsidR="0096614F" w:rsidRPr="00B07A9F">
              <w:rPr>
                <w:sz w:val="22"/>
                <w:szCs w:val="22"/>
              </w:rPr>
              <w:t>0</w:t>
            </w:r>
          </w:p>
        </w:tc>
      </w:tr>
    </w:tbl>
    <w:p w14:paraId="6B5CF553" w14:textId="77777777" w:rsidR="00981F50" w:rsidRPr="00B07A9F" w:rsidRDefault="00981F50" w:rsidP="00340920">
      <w:pPr>
        <w:pStyle w:val="Heading2"/>
        <w:numPr>
          <w:ilvl w:val="1"/>
          <w:numId w:val="34"/>
        </w:numPr>
        <w:spacing w:before="240" w:after="120"/>
        <w:rPr>
          <w:rFonts w:ascii="Times New Roman" w:hAnsi="Times New Roman"/>
          <w:sz w:val="22"/>
          <w:szCs w:val="22"/>
        </w:rPr>
      </w:pPr>
      <w:r w:rsidRPr="00B07A9F">
        <w:rPr>
          <w:rFonts w:ascii="Times New Roman" w:hAnsi="Times New Roman"/>
          <w:sz w:val="22"/>
          <w:szCs w:val="22"/>
        </w:rPr>
        <w:t xml:space="preserve">Stability of </w:t>
      </w:r>
      <w:proofErr w:type="spellStart"/>
      <w:r w:rsidRPr="00B07A9F">
        <w:rPr>
          <w:rFonts w:ascii="Times New Roman" w:hAnsi="Times New Roman"/>
          <w:sz w:val="22"/>
          <w:szCs w:val="22"/>
        </w:rPr>
        <w:t>ZnONPs</w:t>
      </w:r>
      <w:proofErr w:type="spellEnd"/>
    </w:p>
    <w:p w14:paraId="683C6C68" w14:textId="728D958A" w:rsidR="00981F50" w:rsidRPr="00B07A9F" w:rsidRDefault="00981F50" w:rsidP="00340920">
      <w:pPr>
        <w:spacing w:before="240"/>
        <w:rPr>
          <w:sz w:val="22"/>
        </w:rPr>
      </w:pPr>
      <w:r w:rsidRPr="00B07A9F">
        <w:rPr>
          <w:sz w:val="22"/>
        </w:rPr>
        <w:t xml:space="preserve">A stability study of the synthesized </w:t>
      </w:r>
      <w:proofErr w:type="spellStart"/>
      <w:r w:rsidRPr="00B07A9F">
        <w:rPr>
          <w:sz w:val="22"/>
        </w:rPr>
        <w:t>ZnONPs</w:t>
      </w:r>
      <w:proofErr w:type="spellEnd"/>
      <w:r w:rsidRPr="00B07A9F">
        <w:rPr>
          <w:sz w:val="22"/>
        </w:rPr>
        <w:t xml:space="preserve"> was carried out to predict their behavior in the gastrointestinal tract after oral administration. Simulated gastrointestinal media were prepared for this purpose. To assess the stability in these biomimetic media, the synthesized </w:t>
      </w:r>
      <w:proofErr w:type="spellStart"/>
      <w:r w:rsidRPr="00B07A9F">
        <w:rPr>
          <w:sz w:val="22"/>
        </w:rPr>
        <w:t>ZnONPs</w:t>
      </w:r>
      <w:proofErr w:type="spellEnd"/>
      <w:r w:rsidR="00F67183" w:rsidRPr="00B07A9F">
        <w:rPr>
          <w:sz w:val="22"/>
        </w:rPr>
        <w:t xml:space="preserve"> </w:t>
      </w:r>
      <w:r w:rsidR="007E1BAC" w:rsidRPr="00B07A9F">
        <w:rPr>
          <w:sz w:val="22"/>
        </w:rPr>
        <w:t xml:space="preserve">following the </w:t>
      </w:r>
      <w:r w:rsidR="00F67183" w:rsidRPr="00B07A9F">
        <w:rPr>
          <w:sz w:val="22"/>
        </w:rPr>
        <w:t>low temperature method</w:t>
      </w:r>
      <w:r w:rsidRPr="00B07A9F">
        <w:rPr>
          <w:sz w:val="22"/>
        </w:rPr>
        <w:t xml:space="preserve"> were dispersed in water prior to dilution in gastrointestinal simulated media. During the course of the study, the nanocarriers kept their size intact when dispersed in water regardless of the use of Tween 80 or gum </w:t>
      </w:r>
      <w:proofErr w:type="spellStart"/>
      <w:r w:rsidRPr="00B07A9F">
        <w:rPr>
          <w:sz w:val="22"/>
        </w:rPr>
        <w:t>arabic</w:t>
      </w:r>
      <w:proofErr w:type="spellEnd"/>
      <w:r w:rsidRPr="00B07A9F">
        <w:rPr>
          <w:sz w:val="22"/>
        </w:rPr>
        <w:t xml:space="preserve"> within their preparation. However, we observed that the </w:t>
      </w:r>
      <w:proofErr w:type="spellStart"/>
      <w:r w:rsidRPr="00B07A9F">
        <w:rPr>
          <w:sz w:val="22"/>
        </w:rPr>
        <w:t>ZnONPs</w:t>
      </w:r>
      <w:proofErr w:type="spellEnd"/>
      <w:r w:rsidRPr="00B07A9F">
        <w:rPr>
          <w:sz w:val="22"/>
        </w:rPr>
        <w:t xml:space="preserve"> synthesized with Tween 80 exhibited a decrease in size, remaining below 185 nm in </w:t>
      </w:r>
      <w:proofErr w:type="spellStart"/>
      <w:r w:rsidRPr="00B07A9F">
        <w:rPr>
          <w:sz w:val="22"/>
        </w:rPr>
        <w:t>FaSSGF</w:t>
      </w:r>
      <w:proofErr w:type="spellEnd"/>
      <w:r w:rsidRPr="00B07A9F">
        <w:rPr>
          <w:sz w:val="22"/>
        </w:rPr>
        <w:t xml:space="preserve">, </w:t>
      </w:r>
      <w:proofErr w:type="spellStart"/>
      <w:r w:rsidRPr="00B07A9F">
        <w:rPr>
          <w:sz w:val="22"/>
        </w:rPr>
        <w:t>FeSSGF</w:t>
      </w:r>
      <w:proofErr w:type="spellEnd"/>
      <w:r w:rsidRPr="00B07A9F">
        <w:rPr>
          <w:sz w:val="22"/>
        </w:rPr>
        <w:t xml:space="preserve"> and </w:t>
      </w:r>
      <w:proofErr w:type="spellStart"/>
      <w:r w:rsidRPr="00B07A9F">
        <w:rPr>
          <w:sz w:val="22"/>
        </w:rPr>
        <w:t>FeSSIF</w:t>
      </w:r>
      <w:proofErr w:type="spellEnd"/>
      <w:r w:rsidRPr="00B07A9F">
        <w:rPr>
          <w:sz w:val="22"/>
        </w:rPr>
        <w:t xml:space="preserve"> and exhibiting a remarkable increase from time 0 in </w:t>
      </w:r>
      <w:proofErr w:type="spellStart"/>
      <w:r w:rsidRPr="00B07A9F">
        <w:rPr>
          <w:sz w:val="22"/>
        </w:rPr>
        <w:t>FaSSIF</w:t>
      </w:r>
      <w:proofErr w:type="spellEnd"/>
      <w:r w:rsidRPr="00B07A9F">
        <w:rPr>
          <w:sz w:val="22"/>
        </w:rPr>
        <w:t xml:space="preserve">. The nanoparticle sizes in this medium remained elevated with fluctuations over time (Figure 2A). When compared with the </w:t>
      </w:r>
      <w:proofErr w:type="spellStart"/>
      <w:r w:rsidRPr="00B07A9F">
        <w:rPr>
          <w:sz w:val="22"/>
        </w:rPr>
        <w:t>ZnONPs</w:t>
      </w:r>
      <w:proofErr w:type="spellEnd"/>
      <w:r w:rsidRPr="00B07A9F">
        <w:rPr>
          <w:sz w:val="22"/>
        </w:rPr>
        <w:t xml:space="preserve"> prepared with gum </w:t>
      </w:r>
      <w:proofErr w:type="spellStart"/>
      <w:r w:rsidRPr="00B07A9F">
        <w:rPr>
          <w:sz w:val="22"/>
        </w:rPr>
        <w:t>arabic</w:t>
      </w:r>
      <w:proofErr w:type="spellEnd"/>
      <w:r w:rsidRPr="00B07A9F">
        <w:rPr>
          <w:sz w:val="22"/>
        </w:rPr>
        <w:t xml:space="preserve">, these showed a considerable decrease in size only in </w:t>
      </w:r>
      <w:proofErr w:type="spellStart"/>
      <w:r w:rsidRPr="00B07A9F">
        <w:rPr>
          <w:sz w:val="22"/>
        </w:rPr>
        <w:t>FeSSIF</w:t>
      </w:r>
      <w:proofErr w:type="spellEnd"/>
      <w:r w:rsidRPr="00B07A9F">
        <w:rPr>
          <w:sz w:val="22"/>
        </w:rPr>
        <w:t xml:space="preserve"> and an increase with fluctuations in the other simulated media from time 0 (Figure 2B). This showed that in the </w:t>
      </w:r>
      <w:proofErr w:type="spellStart"/>
      <w:r w:rsidRPr="00B07A9F">
        <w:rPr>
          <w:sz w:val="22"/>
        </w:rPr>
        <w:t>FaSSIF</w:t>
      </w:r>
      <w:proofErr w:type="spellEnd"/>
      <w:r w:rsidRPr="00B07A9F">
        <w:rPr>
          <w:sz w:val="22"/>
        </w:rPr>
        <w:t xml:space="preserve">, all the </w:t>
      </w:r>
      <w:proofErr w:type="spellStart"/>
      <w:r w:rsidRPr="00B07A9F">
        <w:rPr>
          <w:sz w:val="22"/>
        </w:rPr>
        <w:t>ZnONPs</w:t>
      </w:r>
      <w:proofErr w:type="spellEnd"/>
      <w:r w:rsidRPr="00B07A9F">
        <w:rPr>
          <w:sz w:val="22"/>
        </w:rPr>
        <w:t xml:space="preserve"> were unstable. On the one hand, this increase in size might result from an aggregation of the </w:t>
      </w:r>
      <w:proofErr w:type="spellStart"/>
      <w:r w:rsidRPr="00B07A9F">
        <w:rPr>
          <w:sz w:val="22"/>
        </w:rPr>
        <w:t>ZnONPs</w:t>
      </w:r>
      <w:proofErr w:type="spellEnd"/>
      <w:r w:rsidRPr="00B07A9F">
        <w:rPr>
          <w:sz w:val="22"/>
        </w:rPr>
        <w:t xml:space="preserve">, which can lead to a low absorption of zinc, and on the other hand, the decrease in size can lead to an increase in their absorption in the gastrointestinal tract. The </w:t>
      </w:r>
      <w:proofErr w:type="spellStart"/>
      <w:r w:rsidRPr="00B07A9F">
        <w:rPr>
          <w:sz w:val="22"/>
        </w:rPr>
        <w:t>ZnONPs</w:t>
      </w:r>
      <w:proofErr w:type="spellEnd"/>
      <w:r w:rsidRPr="00B07A9F">
        <w:rPr>
          <w:sz w:val="22"/>
        </w:rPr>
        <w:t xml:space="preserve"> prepared with Tween 80 were chosen for the OGTT because they exhibited less or no tendency to aggregate in these biomimetic media.</w:t>
      </w:r>
    </w:p>
    <w:p w14:paraId="39B0BFAA" w14:textId="4EB358DC" w:rsidR="00F744B1" w:rsidRPr="00B07A9F" w:rsidRDefault="000B31E3" w:rsidP="00340920">
      <w:pPr>
        <w:spacing w:before="240"/>
        <w:rPr>
          <w:b/>
          <w:bCs/>
          <w:sz w:val="22"/>
          <w:szCs w:val="22"/>
        </w:rPr>
      </w:pPr>
      <w:r w:rsidRPr="003C086D">
        <w:rPr>
          <w:noProof/>
          <w:sz w:val="22"/>
          <w:lang w:val="en-GB"/>
        </w:rPr>
        <w:object w:dxaOrig="11407" w:dyaOrig="4433" w14:anchorId="5C8FFAF9">
          <v:shape id="_x0000_i1027" type="#_x0000_t75" alt="" style="width:515.7pt;height:190.7pt;mso-width-percent:0;mso-height-percent:0;mso-width-percent:0;mso-height-percent:0" o:ole="" filled="t">
            <v:imagedata r:id="rId14" o:title=""/>
          </v:shape>
          <o:OLEObject Type="Embed" ProgID="Prism9.Document" ShapeID="_x0000_i1027" DrawAspect="Content" ObjectID="_1737359727" r:id="rId15"/>
        </w:object>
      </w:r>
    </w:p>
    <w:p w14:paraId="7117CA57" w14:textId="1E4E376B" w:rsidR="00981F50" w:rsidRPr="00B07A9F" w:rsidRDefault="00981F50" w:rsidP="00340920">
      <w:pPr>
        <w:spacing w:before="240"/>
        <w:rPr>
          <w:sz w:val="22"/>
          <w:szCs w:val="22"/>
        </w:rPr>
      </w:pPr>
      <w:r w:rsidRPr="00B07A9F">
        <w:rPr>
          <w:b/>
          <w:bCs/>
          <w:sz w:val="22"/>
          <w:szCs w:val="22"/>
        </w:rPr>
        <w:t xml:space="preserve">Figure 2. </w:t>
      </w:r>
      <w:r w:rsidRPr="00B07A9F">
        <w:rPr>
          <w:sz w:val="22"/>
          <w:szCs w:val="22"/>
        </w:rPr>
        <w:t xml:space="preserve">(A) </w:t>
      </w:r>
      <w:r w:rsidRPr="00B07A9F">
        <w:rPr>
          <w:i/>
          <w:iCs/>
          <w:sz w:val="22"/>
          <w:szCs w:val="22"/>
        </w:rPr>
        <w:t>In vitro</w:t>
      </w:r>
      <w:r w:rsidRPr="00B07A9F">
        <w:rPr>
          <w:sz w:val="22"/>
          <w:szCs w:val="22"/>
        </w:rPr>
        <w:t xml:space="preserve"> stability of PO-</w:t>
      </w:r>
      <w:proofErr w:type="spellStart"/>
      <w:r w:rsidRPr="00B07A9F">
        <w:rPr>
          <w:sz w:val="22"/>
          <w:szCs w:val="22"/>
        </w:rPr>
        <w:t>ZnONP</w:t>
      </w:r>
      <w:proofErr w:type="spellEnd"/>
      <w:r w:rsidRPr="00B07A9F">
        <w:rPr>
          <w:sz w:val="22"/>
          <w:szCs w:val="22"/>
        </w:rPr>
        <w:t xml:space="preserve"> prepared with Tween 80 in simulated intestinal fluids. (B) </w:t>
      </w:r>
      <w:r w:rsidRPr="00B07A9F">
        <w:rPr>
          <w:i/>
          <w:sz w:val="22"/>
          <w:szCs w:val="22"/>
        </w:rPr>
        <w:t>I</w:t>
      </w:r>
      <w:r w:rsidRPr="00B07A9F">
        <w:rPr>
          <w:i/>
          <w:iCs/>
          <w:sz w:val="22"/>
          <w:szCs w:val="22"/>
        </w:rPr>
        <w:t>n vitro</w:t>
      </w:r>
      <w:r w:rsidRPr="00B07A9F">
        <w:rPr>
          <w:sz w:val="22"/>
          <w:szCs w:val="22"/>
        </w:rPr>
        <w:t xml:space="preserve"> stability of PO-</w:t>
      </w:r>
      <w:proofErr w:type="spellStart"/>
      <w:r w:rsidRPr="00B07A9F">
        <w:rPr>
          <w:sz w:val="22"/>
          <w:szCs w:val="22"/>
        </w:rPr>
        <w:t>ZnONP</w:t>
      </w:r>
      <w:proofErr w:type="spellEnd"/>
      <w:r w:rsidRPr="00B07A9F">
        <w:rPr>
          <w:sz w:val="22"/>
          <w:szCs w:val="22"/>
        </w:rPr>
        <w:t xml:space="preserve"> prepared with gum </w:t>
      </w:r>
      <w:proofErr w:type="spellStart"/>
      <w:r w:rsidRPr="00B07A9F">
        <w:rPr>
          <w:sz w:val="22"/>
          <w:szCs w:val="22"/>
        </w:rPr>
        <w:t>arabic</w:t>
      </w:r>
      <w:proofErr w:type="spellEnd"/>
      <w:r w:rsidRPr="00B07A9F">
        <w:rPr>
          <w:sz w:val="22"/>
          <w:szCs w:val="22"/>
        </w:rPr>
        <w:t xml:space="preserve"> in simulated intestinal fluids. Data are presented as the mean</w:t>
      </w:r>
      <w:r w:rsidRPr="00B07A9F">
        <w:rPr>
          <w:rFonts w:ascii="Symbol" w:hAnsi="Symbol"/>
          <w:sz w:val="22"/>
          <w:szCs w:val="22"/>
        </w:rPr>
        <w:sym w:font="Symbol" w:char="F0B1"/>
      </w:r>
      <w:r w:rsidRPr="00B07A9F">
        <w:rPr>
          <w:sz w:val="22"/>
          <w:szCs w:val="22"/>
        </w:rPr>
        <w:t xml:space="preserve">SEM (n=3). </w:t>
      </w:r>
      <w:r w:rsidRPr="00B07A9F">
        <w:rPr>
          <w:bCs/>
          <w:i/>
          <w:sz w:val="22"/>
          <w:szCs w:val="22"/>
        </w:rPr>
        <w:t>P</w:t>
      </w:r>
      <w:r w:rsidRPr="00B07A9F">
        <w:rPr>
          <w:bCs/>
          <w:sz w:val="22"/>
          <w:szCs w:val="22"/>
        </w:rPr>
        <w:t xml:space="preserve"> values were determined by </w:t>
      </w:r>
      <w:r w:rsidRPr="00B07A9F">
        <w:rPr>
          <w:sz w:val="22"/>
        </w:rPr>
        <w:t>2-way ANOVA.</w:t>
      </w:r>
      <w:r w:rsidRPr="00B07A9F">
        <w:rPr>
          <w:sz w:val="22"/>
          <w:szCs w:val="22"/>
        </w:rPr>
        <w:t xml:space="preserve"> *</w:t>
      </w:r>
      <w:proofErr w:type="spellStart"/>
      <w:r w:rsidRPr="00B07A9F">
        <w:rPr>
          <w:sz w:val="22"/>
          <w:szCs w:val="22"/>
        </w:rPr>
        <w:t>FaSSIF</w:t>
      </w:r>
      <w:proofErr w:type="spellEnd"/>
      <w:r w:rsidRPr="00B07A9F">
        <w:rPr>
          <w:sz w:val="22"/>
          <w:szCs w:val="22"/>
        </w:rPr>
        <w:t xml:space="preserve"> </w:t>
      </w:r>
      <w:r w:rsidRPr="00B07A9F">
        <w:rPr>
          <w:i/>
          <w:sz w:val="22"/>
          <w:szCs w:val="22"/>
        </w:rPr>
        <w:t xml:space="preserve">vs. </w:t>
      </w:r>
      <w:r w:rsidRPr="00B07A9F">
        <w:rPr>
          <w:sz w:val="22"/>
          <w:szCs w:val="22"/>
        </w:rPr>
        <w:t xml:space="preserve">water; </w:t>
      </w:r>
      <w:r w:rsidRPr="00B07A9F">
        <w:rPr>
          <w:sz w:val="22"/>
          <w:szCs w:val="22"/>
          <w:vertAlign w:val="superscript"/>
        </w:rPr>
        <w:t>#</w:t>
      </w:r>
      <w:r w:rsidRPr="00B07A9F">
        <w:rPr>
          <w:sz w:val="22"/>
          <w:szCs w:val="22"/>
        </w:rPr>
        <w:t xml:space="preserve">FeSSGF </w:t>
      </w:r>
      <w:r w:rsidRPr="00B07A9F">
        <w:rPr>
          <w:i/>
          <w:sz w:val="22"/>
          <w:szCs w:val="22"/>
        </w:rPr>
        <w:t xml:space="preserve">vs. </w:t>
      </w:r>
      <w:r w:rsidRPr="00B07A9F">
        <w:rPr>
          <w:sz w:val="22"/>
          <w:szCs w:val="22"/>
        </w:rPr>
        <w:t xml:space="preserve">water; </w:t>
      </w:r>
      <w:r w:rsidRPr="00B07A9F">
        <w:rPr>
          <w:sz w:val="22"/>
          <w:szCs w:val="22"/>
          <w:vertAlign w:val="superscript"/>
        </w:rPr>
        <w:t>§</w:t>
      </w:r>
      <w:proofErr w:type="spellStart"/>
      <w:r w:rsidRPr="00B07A9F">
        <w:rPr>
          <w:sz w:val="22"/>
          <w:szCs w:val="22"/>
        </w:rPr>
        <w:t>FaSSGF</w:t>
      </w:r>
      <w:proofErr w:type="spellEnd"/>
      <w:r w:rsidRPr="00B07A9F">
        <w:rPr>
          <w:sz w:val="22"/>
          <w:szCs w:val="22"/>
        </w:rPr>
        <w:t xml:space="preserve"> </w:t>
      </w:r>
      <w:r w:rsidRPr="00B07A9F">
        <w:rPr>
          <w:i/>
          <w:sz w:val="22"/>
          <w:szCs w:val="22"/>
        </w:rPr>
        <w:t xml:space="preserve">vs. </w:t>
      </w:r>
      <w:r w:rsidRPr="00B07A9F">
        <w:rPr>
          <w:sz w:val="22"/>
          <w:szCs w:val="22"/>
        </w:rPr>
        <w:t>water</w:t>
      </w:r>
    </w:p>
    <w:p w14:paraId="38BA4F69" w14:textId="77777777" w:rsidR="00981F50" w:rsidRPr="00B07A9F" w:rsidRDefault="00981F50" w:rsidP="00340920">
      <w:pPr>
        <w:pStyle w:val="Heading2"/>
        <w:numPr>
          <w:ilvl w:val="1"/>
          <w:numId w:val="34"/>
        </w:numPr>
        <w:spacing w:before="240" w:after="120"/>
        <w:rPr>
          <w:rFonts w:ascii="Times New Roman" w:hAnsi="Times New Roman"/>
          <w:sz w:val="22"/>
          <w:szCs w:val="22"/>
        </w:rPr>
      </w:pPr>
      <w:r w:rsidRPr="00B07A9F">
        <w:rPr>
          <w:rFonts w:ascii="Times New Roman" w:hAnsi="Times New Roman"/>
          <w:sz w:val="22"/>
          <w:szCs w:val="22"/>
        </w:rPr>
        <w:lastRenderedPageBreak/>
        <w:t>Quantification of zinc oxide</w:t>
      </w:r>
    </w:p>
    <w:p w14:paraId="5E8546E2" w14:textId="3B52B4B2" w:rsidR="00981F50" w:rsidRPr="00B07A9F" w:rsidRDefault="00981F50" w:rsidP="00340920">
      <w:pPr>
        <w:tabs>
          <w:tab w:val="left" w:pos="2025"/>
        </w:tabs>
        <w:spacing w:after="0"/>
        <w:rPr>
          <w:sz w:val="22"/>
          <w:szCs w:val="22"/>
        </w:rPr>
      </w:pPr>
      <w:r w:rsidRPr="00B07A9F">
        <w:rPr>
          <w:sz w:val="22"/>
          <w:szCs w:val="22"/>
        </w:rPr>
        <w:t xml:space="preserve">As the green-synthesized </w:t>
      </w:r>
      <w:proofErr w:type="spellStart"/>
      <w:r w:rsidRPr="00B07A9F">
        <w:rPr>
          <w:sz w:val="22"/>
          <w:szCs w:val="22"/>
        </w:rPr>
        <w:t>ZnONPs</w:t>
      </w:r>
      <w:proofErr w:type="spellEnd"/>
      <w:r w:rsidRPr="00B07A9F">
        <w:rPr>
          <w:sz w:val="22"/>
          <w:szCs w:val="22"/>
        </w:rPr>
        <w:t xml:space="preserve"> are made of </w:t>
      </w:r>
      <w:proofErr w:type="spellStart"/>
      <w:r w:rsidRPr="00B07A9F">
        <w:rPr>
          <w:sz w:val="22"/>
          <w:szCs w:val="22"/>
        </w:rPr>
        <w:t>ZnO</w:t>
      </w:r>
      <w:proofErr w:type="spellEnd"/>
      <w:r w:rsidRPr="00B07A9F">
        <w:rPr>
          <w:sz w:val="22"/>
          <w:szCs w:val="22"/>
        </w:rPr>
        <w:t xml:space="preserve"> and capping agents,</w:t>
      </w:r>
      <w:r w:rsidRPr="00B07A9F">
        <w:t xml:space="preserve"> </w:t>
      </w:r>
      <w:r w:rsidRPr="00B07A9F">
        <w:rPr>
          <w:sz w:val="22"/>
          <w:szCs w:val="22"/>
        </w:rPr>
        <w:t xml:space="preserve">the analysis of the proportion of </w:t>
      </w:r>
      <w:proofErr w:type="spellStart"/>
      <w:r w:rsidRPr="00B07A9F">
        <w:rPr>
          <w:sz w:val="22"/>
          <w:szCs w:val="22"/>
        </w:rPr>
        <w:t>ZnO</w:t>
      </w:r>
      <w:proofErr w:type="spellEnd"/>
      <w:r w:rsidRPr="00B07A9F">
        <w:rPr>
          <w:sz w:val="22"/>
          <w:szCs w:val="22"/>
        </w:rPr>
        <w:t xml:space="preserve"> makes it possible to determine the yield from its synthesis and to administer a precise and known quantity of zinc or </w:t>
      </w:r>
      <w:proofErr w:type="spellStart"/>
      <w:r w:rsidRPr="00B07A9F">
        <w:rPr>
          <w:sz w:val="22"/>
          <w:szCs w:val="22"/>
        </w:rPr>
        <w:t>ZnO</w:t>
      </w:r>
      <w:proofErr w:type="spellEnd"/>
      <w:r w:rsidRPr="00B07A9F">
        <w:rPr>
          <w:sz w:val="22"/>
          <w:szCs w:val="22"/>
        </w:rPr>
        <w:t xml:space="preserve">. The complexometric titration of zinc was realized as described in the European Pharmacopoeia 10.8 from the synthesized </w:t>
      </w:r>
      <w:proofErr w:type="spellStart"/>
      <w:r w:rsidRPr="00B07A9F">
        <w:rPr>
          <w:sz w:val="22"/>
          <w:szCs w:val="22"/>
        </w:rPr>
        <w:t>ZnONPs</w:t>
      </w:r>
      <w:proofErr w:type="spellEnd"/>
      <w:r w:rsidRPr="00B07A9F">
        <w:rPr>
          <w:sz w:val="22"/>
          <w:szCs w:val="22"/>
        </w:rPr>
        <w:t xml:space="preserve"> involving Tween 80. This study was conducted in triplicate. The results showed that in 150 mg of test sample, zinc oxide accounted for 125.89±1.08 mg, which represented 84±0.72% of the analyzed sample. This confirmed that the synthesized </w:t>
      </w:r>
      <w:proofErr w:type="spellStart"/>
      <w:r w:rsidRPr="00B07A9F">
        <w:rPr>
          <w:sz w:val="22"/>
          <w:szCs w:val="22"/>
        </w:rPr>
        <w:t>ZnONPs</w:t>
      </w:r>
      <w:proofErr w:type="spellEnd"/>
      <w:r w:rsidRPr="00B07A9F">
        <w:rPr>
          <w:sz w:val="22"/>
          <w:szCs w:val="22"/>
        </w:rPr>
        <w:t xml:space="preserve"> were formed by zinc oxide capped by phytochemicals, which included phenolic compounds. Referring to the European Pharmacopoeia 10.8, 0.1 M zinc nitrate hexahydrate corresponds to 6.538 g of zinc/L or 8.138 g of </w:t>
      </w:r>
      <w:proofErr w:type="spellStart"/>
      <w:r w:rsidRPr="00B07A9F">
        <w:rPr>
          <w:sz w:val="22"/>
          <w:szCs w:val="22"/>
        </w:rPr>
        <w:t>ZnO</w:t>
      </w:r>
      <w:proofErr w:type="spellEnd"/>
      <w:r w:rsidRPr="00B07A9F">
        <w:rPr>
          <w:sz w:val="22"/>
          <w:szCs w:val="22"/>
        </w:rPr>
        <w:t xml:space="preserve">/L. Given that 22.5 mL of a 0.1 M solution was used for the green synthesis, they were expected to yield 147.1 mg of zinc or 183.1 mg of </w:t>
      </w:r>
      <w:proofErr w:type="spellStart"/>
      <w:r w:rsidRPr="00B07A9F">
        <w:rPr>
          <w:sz w:val="22"/>
          <w:szCs w:val="22"/>
        </w:rPr>
        <w:t>ZnO</w:t>
      </w:r>
      <w:proofErr w:type="spellEnd"/>
      <w:r w:rsidRPr="00B07A9F">
        <w:rPr>
          <w:sz w:val="22"/>
          <w:szCs w:val="22"/>
        </w:rPr>
        <w:t xml:space="preserve">. The resulting </w:t>
      </w:r>
      <w:proofErr w:type="spellStart"/>
      <w:r w:rsidRPr="00B07A9F">
        <w:rPr>
          <w:sz w:val="22"/>
          <w:szCs w:val="22"/>
        </w:rPr>
        <w:t>ZnONP</w:t>
      </w:r>
      <w:proofErr w:type="spellEnd"/>
      <w:r w:rsidRPr="00B07A9F">
        <w:rPr>
          <w:sz w:val="22"/>
          <w:szCs w:val="22"/>
        </w:rPr>
        <w:t xml:space="preserve"> weight was 173.86±4.9 mg. Taking into account that the complexometric titration of zinc showed that zinc oxide accounted for 84 ±0.72% of the green-synthesized </w:t>
      </w:r>
      <w:proofErr w:type="spellStart"/>
      <w:r w:rsidRPr="00B07A9F">
        <w:rPr>
          <w:sz w:val="22"/>
          <w:szCs w:val="22"/>
        </w:rPr>
        <w:t>ZnONPs</w:t>
      </w:r>
      <w:proofErr w:type="spellEnd"/>
      <w:r w:rsidRPr="00B07A9F">
        <w:rPr>
          <w:sz w:val="22"/>
          <w:szCs w:val="22"/>
        </w:rPr>
        <w:t>, the amount of zinc oxide corresponded to 146.04±2.96 mg.</w:t>
      </w:r>
    </w:p>
    <w:p w14:paraId="39FD40D7" w14:textId="407BC1FA" w:rsidR="00981F50" w:rsidRPr="00B07A9F" w:rsidRDefault="00981F50" w:rsidP="00340920">
      <w:pPr>
        <w:rPr>
          <w:sz w:val="22"/>
          <w:szCs w:val="22"/>
        </w:rPr>
      </w:pPr>
      <w:r w:rsidRPr="00B07A9F">
        <w:rPr>
          <w:sz w:val="22"/>
          <w:szCs w:val="22"/>
        </w:rPr>
        <w:t xml:space="preserve">The yield of zinc or zinc oxide when compared to its amount in zinc nitrate hexahydrate that was involved in the synthesis was therefore approximately 79.76±1.07%. This result shows that most of the zinc was not lost during the </w:t>
      </w:r>
      <w:proofErr w:type="spellStart"/>
      <w:r w:rsidRPr="00B07A9F">
        <w:rPr>
          <w:sz w:val="22"/>
          <w:szCs w:val="22"/>
        </w:rPr>
        <w:t>ZnONP</w:t>
      </w:r>
      <w:proofErr w:type="spellEnd"/>
      <w:r w:rsidRPr="00B07A9F">
        <w:rPr>
          <w:sz w:val="22"/>
          <w:szCs w:val="22"/>
        </w:rPr>
        <w:t xml:space="preserve"> synthesis.</w:t>
      </w:r>
    </w:p>
    <w:p w14:paraId="43AD51CB" w14:textId="2855A819" w:rsidR="00981F50" w:rsidRPr="00B07A9F" w:rsidRDefault="00981F50" w:rsidP="00340920">
      <w:pPr>
        <w:pStyle w:val="Heading2"/>
        <w:numPr>
          <w:ilvl w:val="1"/>
          <w:numId w:val="34"/>
        </w:numPr>
        <w:spacing w:before="240" w:after="120"/>
        <w:rPr>
          <w:rFonts w:ascii="Times New Roman" w:hAnsi="Times New Roman"/>
          <w:sz w:val="22"/>
          <w:szCs w:val="22"/>
        </w:rPr>
      </w:pPr>
      <w:r w:rsidRPr="00B07A9F">
        <w:rPr>
          <w:rFonts w:ascii="Times New Roman" w:hAnsi="Times New Roman"/>
          <w:sz w:val="22"/>
          <w:szCs w:val="22"/>
        </w:rPr>
        <w:t>Hypoglycemic activity</w:t>
      </w:r>
    </w:p>
    <w:p w14:paraId="6B27C2D8" w14:textId="2F2D96D3" w:rsidR="00981F50" w:rsidRPr="00B07A9F" w:rsidRDefault="00981F50" w:rsidP="00340920">
      <w:pPr>
        <w:spacing w:before="240"/>
        <w:rPr>
          <w:sz w:val="22"/>
        </w:rPr>
      </w:pPr>
      <w:r w:rsidRPr="00B07A9F">
        <w:rPr>
          <w:sz w:val="22"/>
          <w:szCs w:val="22"/>
        </w:rPr>
        <w:t xml:space="preserve">The hypoglycemic activities of </w:t>
      </w:r>
      <w:r w:rsidRPr="00B07A9F">
        <w:rPr>
          <w:i/>
          <w:sz w:val="22"/>
          <w:szCs w:val="22"/>
        </w:rPr>
        <w:t xml:space="preserve">P. </w:t>
      </w:r>
      <w:proofErr w:type="spellStart"/>
      <w:r w:rsidRPr="00B07A9F">
        <w:rPr>
          <w:i/>
          <w:sz w:val="22"/>
          <w:szCs w:val="22"/>
        </w:rPr>
        <w:t>oleosa</w:t>
      </w:r>
      <w:proofErr w:type="spellEnd"/>
      <w:r w:rsidRPr="00B07A9F">
        <w:rPr>
          <w:sz w:val="22"/>
          <w:szCs w:val="22"/>
        </w:rPr>
        <w:t xml:space="preserve"> extracts and green-synthesized </w:t>
      </w:r>
      <w:proofErr w:type="spellStart"/>
      <w:r w:rsidRPr="00B07A9F">
        <w:rPr>
          <w:sz w:val="22"/>
          <w:szCs w:val="22"/>
        </w:rPr>
        <w:t>ZnONPs</w:t>
      </w:r>
      <w:proofErr w:type="spellEnd"/>
      <w:r w:rsidRPr="00B07A9F">
        <w:rPr>
          <w:sz w:val="22"/>
          <w:szCs w:val="22"/>
        </w:rPr>
        <w:t xml:space="preserve"> were assessed in mice to compare their therapeutic effects against hyperglycemia.</w:t>
      </w:r>
      <w:r w:rsidR="00366647" w:rsidRPr="00B07A9F">
        <w:rPr>
          <w:sz w:val="22"/>
          <w:szCs w:val="22"/>
        </w:rPr>
        <w:t xml:space="preserve"> </w:t>
      </w:r>
      <w:r w:rsidR="00366647" w:rsidRPr="00B07A9F">
        <w:rPr>
          <w:i/>
          <w:iCs/>
          <w:sz w:val="22"/>
          <w:szCs w:val="22"/>
        </w:rPr>
        <w:t xml:space="preserve">Panda </w:t>
      </w:r>
      <w:proofErr w:type="spellStart"/>
      <w:r w:rsidR="00366647" w:rsidRPr="00B07A9F">
        <w:rPr>
          <w:i/>
          <w:iCs/>
          <w:sz w:val="22"/>
          <w:szCs w:val="22"/>
        </w:rPr>
        <w:t>Oleosa</w:t>
      </w:r>
      <w:proofErr w:type="spellEnd"/>
      <w:r w:rsidR="00366647" w:rsidRPr="00B07A9F">
        <w:rPr>
          <w:sz w:val="22"/>
          <w:szCs w:val="22"/>
        </w:rPr>
        <w:t xml:space="preserve"> extracts have not yet previously investigated against </w:t>
      </w:r>
      <w:proofErr w:type="spellStart"/>
      <w:r w:rsidR="00366647" w:rsidRPr="00B07A9F">
        <w:rPr>
          <w:sz w:val="22"/>
          <w:szCs w:val="22"/>
        </w:rPr>
        <w:t>hyperglyemia</w:t>
      </w:r>
      <w:proofErr w:type="spellEnd"/>
      <w:r w:rsidR="00366647" w:rsidRPr="00B07A9F">
        <w:rPr>
          <w:sz w:val="22"/>
          <w:szCs w:val="22"/>
        </w:rPr>
        <w:t xml:space="preserve"> in mice before</w:t>
      </w:r>
      <w:r w:rsidR="00FE2763" w:rsidRPr="00B07A9F">
        <w:rPr>
          <w:sz w:val="22"/>
          <w:szCs w:val="22"/>
        </w:rPr>
        <w:t>. There is a lack of</w:t>
      </w:r>
      <w:r w:rsidR="00366647" w:rsidRPr="00B07A9F">
        <w:rPr>
          <w:sz w:val="22"/>
          <w:szCs w:val="22"/>
        </w:rPr>
        <w:t xml:space="preserve"> data available on th</w:t>
      </w:r>
      <w:r w:rsidR="00FE2763" w:rsidRPr="00B07A9F">
        <w:rPr>
          <w:sz w:val="22"/>
          <w:szCs w:val="22"/>
        </w:rPr>
        <w:t>eir effect in this model</w:t>
      </w:r>
      <w:r w:rsidR="00366647" w:rsidRPr="00B07A9F">
        <w:rPr>
          <w:sz w:val="22"/>
          <w:szCs w:val="22"/>
        </w:rPr>
        <w:t xml:space="preserve">. </w:t>
      </w:r>
      <w:r w:rsidRPr="00B07A9F">
        <w:rPr>
          <w:sz w:val="22"/>
          <w:szCs w:val="22"/>
        </w:rPr>
        <w:t xml:space="preserve"> In the current study, the analysis of fasting glycemia and fasting insulinemia </w:t>
      </w:r>
      <w:r w:rsidR="006D051E" w:rsidRPr="00B07A9F">
        <w:rPr>
          <w:sz w:val="22"/>
          <w:szCs w:val="22"/>
        </w:rPr>
        <w:fldChar w:fldCharType="begin" w:fldLock="1"/>
      </w:r>
      <w:r w:rsidR="001C0839" w:rsidRPr="00B07A9F">
        <w:rPr>
          <w:sz w:val="22"/>
          <w:szCs w:val="22"/>
        </w:rPr>
        <w:instrText>ADDIN CSL_CITATION {"citationItems":[{"id":"ITEM-1","itemData":{"DOI":"10.1002/jbmr.2210","ISSN":"15234681","PMID":"24585709","abstract":"Evidence indicating that adult type 2 diabetes (T2D) is associated with increased fracture risk continues to mount. Unlike osteoporosis, diabetic fractures are associated with obesity and normal to high bone mineral density, two factors that are typically associated with reduced fracture risk. Animal models will likely play a critical role in efforts to identify the underlying mechanisms of skeletal fragility in T2D and to develop preventative treatments. In this review we critically examine the ability of current rodent models of T2D to mimic the skeletal characteristics of human T2D. We report that although there are numerous rodent models of T2D, few have undergone thorough assessments of bone metabolism and strength. Further, we find that many of the available rodent models of T2D have limitations for studies of skeletal fragility in T2D because the onset of diabetes is often prior to skeletal maturation and bone mass is low, in contrast to what is seen in adult humans. There is an urgent need to characterize the skeletal phenotype of existing models of T2D, and to develop new models that more closely mimic the skeletal effects seen in adult-onset T2D in humans. © 2014 American Society for Bone and Mineral Research.","author":[{"dropping-particle":"","family":"Fajardo","given":"Roberto J.","non-dropping-particle":"","parse-names":false,"suffix":""},{"dropping-particle":"","family":"Karim","given":"Lamya","non-dropping-particle":"","parse-names":false,"suffix":""},{"dropping-particle":"","family":"Calley","given":"Virginia I.","non-dropping-particle":"","parse-names":false,"suffix":""},{"dropping-particle":"","family":"Bouxsein","given":"Mary L.","non-dropping-particle":"","parse-names":false,"suffix":""}],"container-title":"Journal of Bone and Mineral Research","id":"ITEM-1","issue":"5","issued":{"date-parts":[["2014"]]},"page":"1025-1040","title":"A review of rodent models of type 2 diabetic skeletal fragility","type":"article-journal","volume":"29"},"uris":["http://www.mendeley.com/documents/?uuid=832ce097-c19b-432d-af7a-6d7e343f7466"]}],"mendeley":{"formattedCitation":"(Fajardo et al., 2014)","plainTextFormattedCitation":"(Fajardo et al., 2014)","previouslyFormattedCitation":"(Fajardo et al., 2014)"},"properties":{"noteIndex":0},"schema":"https://github.com/citation-style-language/schema/raw/master/csl-citation.json"}</w:instrText>
      </w:r>
      <w:r w:rsidR="006D051E" w:rsidRPr="00B07A9F">
        <w:rPr>
          <w:sz w:val="22"/>
          <w:szCs w:val="22"/>
        </w:rPr>
        <w:fldChar w:fldCharType="separate"/>
      </w:r>
      <w:r w:rsidR="006D051E" w:rsidRPr="00B07A9F">
        <w:rPr>
          <w:noProof/>
          <w:sz w:val="22"/>
          <w:szCs w:val="22"/>
        </w:rPr>
        <w:t>(Fajardo et al., 2014)</w:t>
      </w:r>
      <w:r w:rsidR="006D051E" w:rsidRPr="00B07A9F">
        <w:rPr>
          <w:sz w:val="22"/>
          <w:szCs w:val="22"/>
        </w:rPr>
        <w:fldChar w:fldCharType="end"/>
      </w:r>
      <w:r w:rsidR="00FE2763" w:rsidRPr="00B07A9F">
        <w:rPr>
          <w:sz w:val="22"/>
          <w:szCs w:val="22"/>
        </w:rPr>
        <w:t xml:space="preserve"> confirmed that the HFD-fed mice had developed hyperglycemia</w:t>
      </w:r>
      <w:r w:rsidRPr="00B07A9F">
        <w:rPr>
          <w:sz w:val="22"/>
          <w:szCs w:val="22"/>
        </w:rPr>
        <w:t xml:space="preserve"> before glucose administration but were not yet associated with insulin resistance</w:t>
      </w:r>
      <w:r w:rsidR="001C0839" w:rsidRPr="00B07A9F">
        <w:rPr>
          <w:sz w:val="22"/>
          <w:szCs w:val="22"/>
        </w:rPr>
        <w:t xml:space="preserve"> </w:t>
      </w:r>
      <w:r w:rsidR="001C0839" w:rsidRPr="00B07A9F">
        <w:rPr>
          <w:sz w:val="22"/>
          <w:szCs w:val="22"/>
        </w:rPr>
        <w:fldChar w:fldCharType="begin" w:fldLock="1"/>
      </w:r>
      <w:r w:rsidR="0030134B" w:rsidRPr="00B07A9F">
        <w:rPr>
          <w:sz w:val="22"/>
          <w:szCs w:val="22"/>
        </w:rPr>
        <w:instrText>ADDIN CSL_CITATION {"citationItems":[{"id":"ITEM-1","itemData":{"DOI":"10.1016/j.cmet.2015.01.002","ISSN":"19327420","PMID":"25651185","abstract":"Summary Insulin resistance (IR) is a complex trait with multiple genetic and environmental components. Confounded by large differences between the sexes, environment, and disease pathology, the genetic basis of IR has been difficult to dissect. Here we examine IR and related traits in a diverse population of more than 100 unique male and female inbred mouse strains after feeding a diet rich in fat and refined carbohydrates. Our results show dramatic variation in IR among strains of mice and widespread differences between sexes that are dependent on genotype. We uncover more than 15 genome-wide significant loci and validate a gene, Agpat5, associated with IR. We also integrate plasma metabolite levels and global gene expression from liver and adipose tissue to identify metabolite quantitative trait loci (mQTL) and expression QTL (eQTL), respectively. Our results provide a resource for analysis of interactions between diet, sex, and genetic background in IR.","author":[{"dropping-particle":"","family":"Parks","given":"Brian W.","non-dropping-particle":"","parse-names":false,"suffix":""},{"dropping-particle":"","family":"Sallam","given":"Tamer","non-dropping-particle":"","parse-names":false,"suffix":""},{"dropping-particle":"","family":"Mehrabian","given":"Margarete","non-dropping-particle":"","parse-names":false,"suffix":""},{"dropping-particle":"","family":"Psychogios","given":"Nikolas","non-dropping-particle":"","parse-names":false,"suffix":""},{"dropping-particle":"","family":"Hui","given":"Simon T.","non-dropping-particle":"","parse-names":false,"suffix":""},{"dropping-particle":"","family":"Norheim","given":"Frode","non-dropping-particle":"","parse-names":false,"suffix":""},{"dropping-particle":"","family":"Castellani","given":"Lawrence W.","non-dropping-particle":"","parse-names":false,"suffix":""},{"dropping-particle":"","family":"Rau","given":"Christoph D.","non-dropping-particle":"","parse-names":false,"suffix":""},{"dropping-particle":"","family":"Pan","given":"Calvin","non-dropping-particle":"","parse-names":false,"suffix":""},{"dropping-particle":"","family":"Phun","given":"Jennifer","non-dropping-particle":"","parse-names":false,"suffix":""},{"dropping-particle":"","family":"Zhou","given":"Zhenqi","non-dropping-particle":"","parse-names":false,"suffix":""},{"dropping-particle":"","family":"Yang","given":"Wen Pin","non-dropping-particle":"","parse-names":false,"suffix":""},{"dropping-particle":"","family":"Neuhaus","given":"Isaac","non-dropping-particle":"","parse-names":false,"suffix":""},{"dropping-particle":"","family":"Gargalovic","given":"Peter S.","non-dropping-particle":"","parse-names":false,"suffix":""},{"dropping-particle":"","family":"Kirchgessner","given":"Todd G.","non-dropping-particle":"","parse-names":false,"suffix":""},{"dropping-particle":"","family":"Graham","given":"Mark","non-dropping-particle":"","parse-names":false,"suffix":""},{"dropping-particle":"","family":"Lee","given":"Richard","non-dropping-particle":"","parse-names":false,"suffix":""},{"dropping-particle":"","family":"Tontonoz","given":"Peter","non-dropping-particle":"","parse-names":false,"suffix":""},{"dropping-particle":"","family":"Gerszten","given":"Robert E.","non-dropping-particle":"","parse-names":false,"suffix":""},{"dropping-particle":"","family":"Hevener","given":"Andrea L.","non-dropping-particle":"","parse-names":false,"suffix":""},{"dropping-particle":"","family":"Lusis","given":"Aldons J.","non-dropping-particle":"","parse-names":false,"suffix":""}],"container-title":"Cell Metabolism","id":"ITEM-1","issue":"2","issued":{"date-parts":[["2015"]]},"page":"334-347","title":"Genetic architecture of insulin resistance in the mouse","type":"article-journal","volume":"21"},"uris":["http://www.mendeley.com/documents/?uuid=a1f992f4-3cab-4e8b-ba02-a944bcfb3459"]}],"mendeley":{"formattedCitation":"(Parks et al., 2015)","plainTextFormattedCitation":"(Parks et al., 2015)","previouslyFormattedCitation":"(Parks et al., 2015)"},"properties":{"noteIndex":0},"schema":"https://github.com/citation-style-language/schema/raw/master/csl-citation.json"}</w:instrText>
      </w:r>
      <w:r w:rsidR="001C0839" w:rsidRPr="00B07A9F">
        <w:rPr>
          <w:sz w:val="22"/>
          <w:szCs w:val="22"/>
        </w:rPr>
        <w:fldChar w:fldCharType="separate"/>
      </w:r>
      <w:r w:rsidR="001C0839" w:rsidRPr="00B07A9F">
        <w:rPr>
          <w:noProof/>
          <w:sz w:val="22"/>
          <w:szCs w:val="22"/>
        </w:rPr>
        <w:t>(Parks et al., 2015)</w:t>
      </w:r>
      <w:r w:rsidR="001C0839" w:rsidRPr="00B07A9F">
        <w:rPr>
          <w:sz w:val="22"/>
          <w:szCs w:val="22"/>
        </w:rPr>
        <w:fldChar w:fldCharType="end"/>
      </w:r>
      <w:r w:rsidRPr="00B07A9F">
        <w:rPr>
          <w:sz w:val="22"/>
          <w:szCs w:val="22"/>
        </w:rPr>
        <w:t xml:space="preserve"> </w:t>
      </w:r>
      <w:r w:rsidR="00366647" w:rsidRPr="00B07A9F">
        <w:rPr>
          <w:sz w:val="22"/>
          <w:szCs w:val="22"/>
        </w:rPr>
        <w:t xml:space="preserve">as shown in </w:t>
      </w:r>
      <w:r w:rsidRPr="00B07A9F">
        <w:rPr>
          <w:sz w:val="22"/>
          <w:szCs w:val="22"/>
        </w:rPr>
        <w:t xml:space="preserve">Supplementary Figure S2 and S3. During the OGTT studies, we first analyzed the antihyperglycemic activity of different extracts (aqueous extract, DCM extract from the aqueous extract and DCM extract) of </w:t>
      </w:r>
      <w:r w:rsidRPr="00B07A9F">
        <w:rPr>
          <w:i/>
          <w:sz w:val="22"/>
          <w:szCs w:val="22"/>
        </w:rPr>
        <w:t xml:space="preserve">P. </w:t>
      </w:r>
      <w:proofErr w:type="spellStart"/>
      <w:r w:rsidRPr="00B07A9F">
        <w:rPr>
          <w:i/>
          <w:sz w:val="22"/>
          <w:szCs w:val="22"/>
        </w:rPr>
        <w:t>oleosa</w:t>
      </w:r>
      <w:proofErr w:type="spellEnd"/>
      <w:r w:rsidRPr="00B07A9F">
        <w:rPr>
          <w:sz w:val="22"/>
          <w:szCs w:val="22"/>
        </w:rPr>
        <w:t xml:space="preserve"> alone. An oral administration dose of 400 mg/kg was selected for each </w:t>
      </w:r>
      <w:r w:rsidRPr="00B07A9F">
        <w:rPr>
          <w:i/>
          <w:sz w:val="22"/>
          <w:szCs w:val="22"/>
        </w:rPr>
        <w:t xml:space="preserve">P. </w:t>
      </w:r>
      <w:proofErr w:type="spellStart"/>
      <w:r w:rsidRPr="00B07A9F">
        <w:rPr>
          <w:i/>
          <w:sz w:val="22"/>
          <w:szCs w:val="22"/>
        </w:rPr>
        <w:t>oleosa</w:t>
      </w:r>
      <w:proofErr w:type="spellEnd"/>
      <w:r w:rsidRPr="00B07A9F">
        <w:rPr>
          <w:sz w:val="22"/>
          <w:szCs w:val="22"/>
        </w:rPr>
        <w:t xml:space="preserve"> extract, as this dose had already been described in the literature for the extracts of other plants cited in this work </w:t>
      </w:r>
      <w:r w:rsidRPr="00B07A9F">
        <w:rPr>
          <w:sz w:val="22"/>
          <w:szCs w:val="22"/>
        </w:rPr>
        <w:fldChar w:fldCharType="begin" w:fldLock="1"/>
      </w:r>
      <w:r w:rsidRPr="00B07A9F">
        <w:rPr>
          <w:sz w:val="22"/>
          <w:szCs w:val="22"/>
        </w:rPr>
        <w:instrText>ADDIN CSL_CITATION {"citationItems":[{"id":"ITEM-1","itemData":{"DOI":"10.1186/1472-6882-14-426","ISSN":"14726882","PMID":"25358757","abstract":"Background: This study evaluated the impact of Vernonia amygdalina (VA) on the transcription of key enzymes involved in cellular modulation of glucose in streptozotocin-induced diabetic rats in a bid to understand the possible anti-diabetic mechanism of VA. Methods: The chloroform fraction of VA (200 mg/kg and 400 mg/kg body weight) was administered to SDRs for 7 and 14 days. Thereafter, the expression (transcription) of key carbohydrate regulatory genes was evaluated in selected tissues - adipose, muscle and liver. Also, the body weight and blood glucose changes were monitored. Results: A 14-day administration of 200 mg and 400 mg of the extract and metformin (500 mg/kg) showed a striking decrease (P &lt; 0.05) in the expression of the gluconeogenic enzymes - fructose 1,6-bisphosphatase, phosphoenol pyruvate carboxykinase and glucose 6-phosphatase in the liver and muscle compared to the diabetic control. These genes were highly expressed in tissues of untreated diabetic rats (P &lt; 0.05) indicating severe gluconeogenesis. Furthermore, the extract as well as metformin significantly increased glucose oxidation via the pentose phosphate pathway (PPP) i.e. increased expression of the glucose 6-phosphate dehydrogenase (G6PDH) gene (P &lt; .05) in the liver. Conversely, the expression of the G6PDH in the muscle and adipose tissues significantly decreased (P &lt; 0.05), suggesting enhanced utilization of NADPH and ribose in the clearance of reactive oxygen species and for expression of other relevant genes respectively. Also, transcription of the cell proliferation regulatory enzyme, phosphatidylinositol 3-kinase increased in the liver, but decreased in the muscle and adipose tissues (P &lt; 0.05) upon treatment with the extract or metformin, implying that the liver responded to the VA and metformin treatments more than other organs. The extract administration also caused a decrease in the expression of key enzymes of glycolysis namely hexokinase and phosphofructokinase, suggestive of a glucose sparing for ribose and NADPH production in PPP. Conclusion: Overall, data obtained in this study suggest that VA exerts little or no effect on glycolysis; rather, it may achieve its anti-diabetic action by a simultaneous suppression of gluconeogenesis and potentiation of glucose oxidation via PPP pathway, almost exclusively in the liver.","author":[{"dropping-particle":"","family":"Atangwho","given":"Item Justin","non-dropping-particle":"","parse-names":false,"suffix":""},{"dropping-particle":"","family":"Yin","given":"Khoo Boon","non-dropping-particle":"","parse-names":false,"suffix":""},{"dropping-particle":"","family":"Umar","given":"Muhammad Ihtisham","non-dropping-particle":"","parse-names":false,"suffix":""},{"dropping-particle":"","family":"Ahmad","given":"Mariam","non-dropping-particle":"","parse-names":false,"suffix":""},{"dropping-particle":"","family":"Asmawi","given":"Mohd Zaini","non-dropping-particle":"","parse-names":false,"suffix":""}],"container-title":"BMC Complementary and Alternative Medicine","id":"ITEM-1","issue":"1","issued":{"date-parts":[["2014"]]},"page":"1-13","title":"Vernonia amygdalina simultaneously suppresses gluconeogenesis and potentiates glucose oxidation via the pentose phosphate pathway in streptozotocin-induced diabetic rats","type":"article-journal","volume":"14"},"uris":["http://www.mendeley.com/documents/?uuid=aa6a9ba4-cb72-4295-8a92-b09bb7b47f29"]},{"id":"ITEM-2","itemData":{"DOI":"10.1186/1472-6882-14-335","ISSN":"14726882","PMID":"25216815","abstract":"Background: Xanthosoma violaceum is commonly observed in fallow areas of Bangladesh but almost no scientific studies exist on this plant. Rural people consume the plant on a frequent basis. The objective of this study was to scientifically analyze the antinociceptive property of methanol extract of aerial parts of the plant along with antihyperglycemic activity. Methods: Antihyperglycemic activity was measured by oral glucose tolerance test (OGTT). Antinociceptive activity was determined by observed decreases in abdominal constrictions in intraperitoneally administered acetic acid-induced pain model in mice. Results: Administration of methanol extract of aerial parts led to dose-dependent and significant reductions in blood glucose levels in glucose-loaded mice. At doses of 50, 100, 200 and 400 mg per kg body weight, the extract reduced blood sugar levels by 19.3, 23.2, 31.8, and 47.1%, respectively compared to control animals. By comparison, a standard antihyperglycemic drug, glibenclamide, when administered at a dose of 10 mg per kg body weight, reduced blood glucose level by 48.9%. In antinociceptive activity tests, the extract at the above four doses reduced the number of abdominal constrictions by 41.4, 44.8, 48.3, and 55.2%, respectively. A standard pain relieving (antinociceptive) drug, aspirin, reduced the number of writhings by 31.0 and 51.7%, respectively, when administered at doses of 200 and 400 mg per kg body weight. Conclusion: To our knowledge, this is the first report on oral glucose tolerance and antinociceptive activity evaluation of aerial parts of the plant. Since the plant is widely available in Bangladesh, the aerial parts can be a readily available source for particularly the rural population for lowering blood sugar in diabetic patients and for alleviating pain.","author":[{"dropping-particle":"","family":"Faisal","given":"Mohammad","non-dropping-particle":"","parse-names":false,"suffix":""},{"dropping-particle":"","family":"Hossain","given":"Ahamed I.","non-dropping-particle":"","parse-names":false,"suffix":""},{"dropping-particle":"","family":"Rahman","given":"Shahnaz","non-dropping-particle":"","parse-names":false,"suffix":""},{"dropping-particle":"","family":"Jahan","given":"Rownak","non-dropping-particle":"","parse-names":false,"suffix":""},{"dropping-particle":"","family":"Rahmatullah","given":"Mohammed","non-dropping-particle":"","parse-names":false,"suffix":""}],"container-title":"BMC Complementary and Alternative Medicine","id":"ITEM-2","issue":"1","issued":{"date-parts":[["2014"]]},"page":"1-5","title":"A preliminary report on oral glucose tolerance and antinociceptive activity tests conducted with methanol extract of Xanthosoma violaceum aerial parts","type":"article-journal","volume":"14"},"uris":["http://www.mendeley.com/documents/?uuid=64358bab-dc9a-4ef0-9048-ff1462dd3006"]},{"id":"ITEM-3","itemData":{"ISSN":"25337602","PMID":"28557705","abstract":"We investigated the antidiabetic effect of Moringa olifeira Lam. in a diet-induced obesity (DIO) mouse model. Six mice were randomly selected as normal controls. Moringa olifeira Lam. leaf extract at a dose of 200, 400 or 600 mg/kg body weight, glibenclamide (Glib) at the dose of 10 mg/kg (positive control) and distilled water at 10 ml/kg (control group) were administered orally by gastric intubation, and each group consisted of six mice. Insulinsensitive tissues (liver, skeletal muscle) were collected to investigate antidiabetic effects and examine the plant's molecular mechanisms. Moringa olifeira Lam. leaf extract prevented weight gain. It also reduced blood glucose in DIO mice. Glib and Moringa olifeira Lam. leaf extract, 400 mg/kg, treatments restored insulin levels towards normal values (P &lt; 0.05 versus diabetic control group). Western immunoblot analysis of different tissues, collected at the end of the study, demonstrated that Moringa olifeira Lam. stimulated activation of the insulin-dependent Akt pathway and increased the protein content of Glut 4 in skeletal muscle. The improvement of hepatic steatosis observed in DIO-treated mice was associated with a decrease in the hepatic content of SREBP-1, a transcription factor involved in de novo lipogenesis. The hepatic PPARα protein content in the plant extract- treated mice remained significantly higher than those of the control group (P &lt; 0.05). In conclusion, this study provides the first evidence for direct action of Moringa olifeira Lam. on pancreatic β-cells, enhancing glucose-stimulated insulin secretion. This correlated with hypoglycaemic effects in diabetic mice associated with restored levels of plasma insulin.","author":[{"dropping-particle":"","family":"Attakpa","given":"E. S.","non-dropping-particle":"","parse-names":false,"suffix":""},{"dropping-particle":"","family":"Sangaré","given":"M. M.","non-dropping-particle":"","parse-names":false,"suffix":""},{"dropping-particle":"","family":"Béhanzin","given":"G. J.","non-dropping-particle":"","parse-names":false,"suffix":""},{"dropping-particle":"","family":"Ategbo","given":"J. M.","non-dropping-particle":"","parse-names":false,"suffix":""},{"dropping-particle":"","family":"Seri","given":"B.","non-dropping-particle":"","parse-names":false,"suffix":""},{"dropping-particle":"","family":"Khan","given":"N. A.","non-dropping-particle":"","parse-names":false,"suffix":""}],"container-title":"Folia Biologica (Czech Republic)","id":"ITEM-3","issue":"2","issued":{"date-parts":[["2017"]]},"page":"42-51","title":"Moringa olifeira Lam. Stimulates activation of the insulin-dependent akt pathway. Antidiabetic effect in a diet-induced obesity (DIO) mouse model","type":"article-journal","volume":"63"},"uris":["http://www.mendeley.com/documents/?uuid=9d6774f2-1352-4526-b0f5-3c856e839dd0"]},{"id":"ITEM-4","itemData":{"DOI":"10.5455/njppp.2013.3.134-138","ISSN":"22313206","abstract":"Background: Most of the parts of neem tree were studied in details by many researchers but neem root bark was not screened for antidiabetic effect. To evaluate antidiabetic effect of neem root bark this study was conducted. Aims &amp; Objective: The present study was undertaken to evaluate the 70% alcoholic neem root bark extract (NRE) in diabetes. Materials and Methods: Basal blood sugar levels were estimated in overnight fasted wistar albino rats of either sex. To evaluate antihyperglycemic action of Neem root bark extract (NRE) OGTT was done by giving glucose orally 60 minutes after giving standard drug (Glibenclamide),Test drug (NRE) in the dose of 200,400 and 800 mg/kg and blood sugar levels were estimated every half hourly up to 4 hours. To evaluate hypoglycemic activity in alloxan induced diabetic rats similar doses once daily for 15 days. Blood sugar levels were estimated by using glucometer. Results: For glucose tolerance test Glibenclamide significant (p&lt; 0.01) reduction in blood sugar levels. The NRE showed statistically significant results in only 800 mg/kg dose. In comparison to glibenclamide it did not show. In alloxan induced diabetes Glibenclamide showed significant (p&lt;0.01) reduction in blood sugar levels. The NRE showed statistically si</w:instrText>
      </w:r>
      <w:r w:rsidRPr="00B07A9F">
        <w:rPr>
          <w:sz w:val="22"/>
          <w:szCs w:val="22"/>
          <w:lang w:val="fr-CD"/>
        </w:rPr>
        <w:instrText>gnificant results in only 800 mg/kg dose. Conclusion: Neem root has antihyperglycemic and hypoglycemic activity. It is not as significant as glibenclmide.","author":[{"dropping-particle":"","family":"Patil","given":"Prabhakar","non-dropping-particle":"","parse-names":false,"suffix":""},{"dropping-particle":"","family":"Patil","given":"Sudha","non-dropping-particle":"","parse-names":false,"suffix":""},{"dropping-particle":"","family":"Mane","given":"Abhay","non-dropping-particle":"","parse-names":false,"suffix":""},{"dropping-particle":"","family":"Verma","given":"Sushilkumar","non-dropping-particle":"","parse-names":false,"suffix":""}],"container-title":"National Journal of Physiology, Pharmacy and Pharmacology","id":"ITEM-4","issue":"2","issued":{"date-parts":[["2013"]]},"page":"142-146","title":"Antidiabetic activity of alcoholic extract of neem (Azadirachta indica) root bark","type":"article-journal","volume":"3"},"uris":["http://www.mendeley.com/documents/?uuid=5dde372f-6714-4d11-a3a1-7eabc7eb8fe8"]}],"mendeley":{"formattedCitation":"(Atangwho et al., 2014; Attakpa et al., 2017; Faisal et al., 2014; Patil et al., 2013)","plainTextFormattedCitation":"(Atangwho et al., 2014; Attakpa et al., 2017; Faisal et al., 2014; Patil et al., 2013)","previouslyFormattedCitation":"(Atangwho et al., 2014; Attakpa et al., 2017; Faisal et al., 2014; Patil et al., 2013)"},"properties":{"noteIndex":0},"schema":"https://github.com/citation-style-language/schema/raw/master/csl-citation.json"}</w:instrText>
      </w:r>
      <w:r w:rsidRPr="00B07A9F">
        <w:rPr>
          <w:sz w:val="22"/>
          <w:szCs w:val="22"/>
        </w:rPr>
        <w:fldChar w:fldCharType="separate"/>
      </w:r>
      <w:r w:rsidRPr="00B07A9F">
        <w:rPr>
          <w:noProof/>
          <w:sz w:val="22"/>
          <w:szCs w:val="22"/>
          <w:lang w:val="fr-CD"/>
        </w:rPr>
        <w:t>(Atangwho et al., 2014; Attakpa et al., 2017; Faisal et al., 2014; Patil et al., 2013)</w:t>
      </w:r>
      <w:r w:rsidRPr="00B07A9F">
        <w:rPr>
          <w:sz w:val="22"/>
          <w:szCs w:val="22"/>
        </w:rPr>
        <w:fldChar w:fldCharType="end"/>
      </w:r>
      <w:r w:rsidRPr="00B07A9F">
        <w:rPr>
          <w:sz w:val="22"/>
          <w:szCs w:val="22"/>
          <w:lang w:val="fr-CD"/>
        </w:rPr>
        <w:t xml:space="preserve">. </w:t>
      </w:r>
      <w:r w:rsidR="00827109" w:rsidRPr="00B07A9F">
        <w:rPr>
          <w:sz w:val="22"/>
          <w:szCs w:val="22"/>
          <w:lang w:val="en-GB"/>
        </w:rPr>
        <w:t xml:space="preserve">As a result, </w:t>
      </w:r>
      <w:r w:rsidR="00827109" w:rsidRPr="00B07A9F">
        <w:rPr>
          <w:sz w:val="22"/>
          <w:szCs w:val="22"/>
        </w:rPr>
        <w:t>o</w:t>
      </w:r>
      <w:r w:rsidRPr="00B07A9F">
        <w:rPr>
          <w:sz w:val="22"/>
          <w:szCs w:val="22"/>
        </w:rPr>
        <w:t>nly the dichloromethane extract was able to significantly reduce the area under the curve (AUC) when compared to the CTL HFD group (Figure 3A&amp;B).</w:t>
      </w:r>
      <w:r w:rsidR="00F878EA" w:rsidRPr="00B07A9F">
        <w:rPr>
          <w:sz w:val="22"/>
          <w:szCs w:val="22"/>
        </w:rPr>
        <w:t xml:space="preserve"> The aqueous extract </w:t>
      </w:r>
      <w:r w:rsidR="0030134B" w:rsidRPr="00B07A9F">
        <w:rPr>
          <w:sz w:val="22"/>
          <w:szCs w:val="22"/>
        </w:rPr>
        <w:t xml:space="preserve">did not show </w:t>
      </w:r>
      <w:r w:rsidR="00827109" w:rsidRPr="00B07A9F">
        <w:rPr>
          <w:sz w:val="22"/>
          <w:szCs w:val="22"/>
        </w:rPr>
        <w:t xml:space="preserve">a </w:t>
      </w:r>
      <w:r w:rsidR="0030134B" w:rsidRPr="00B07A9F">
        <w:rPr>
          <w:sz w:val="22"/>
          <w:szCs w:val="22"/>
        </w:rPr>
        <w:t xml:space="preserve">significant reduction in mice </w:t>
      </w:r>
      <w:r w:rsidR="00827109" w:rsidRPr="00B07A9F">
        <w:rPr>
          <w:sz w:val="22"/>
          <w:szCs w:val="22"/>
        </w:rPr>
        <w:t xml:space="preserve">in </w:t>
      </w:r>
      <w:r w:rsidR="0030134B" w:rsidRPr="00B07A9F">
        <w:rPr>
          <w:sz w:val="22"/>
          <w:szCs w:val="22"/>
        </w:rPr>
        <w:t>contra</w:t>
      </w:r>
      <w:r w:rsidR="00827109" w:rsidRPr="00B07A9F">
        <w:rPr>
          <w:sz w:val="22"/>
          <w:szCs w:val="22"/>
        </w:rPr>
        <w:t>st</w:t>
      </w:r>
      <w:r w:rsidR="0030134B" w:rsidRPr="00B07A9F">
        <w:rPr>
          <w:sz w:val="22"/>
          <w:szCs w:val="22"/>
        </w:rPr>
        <w:t xml:space="preserve"> to </w:t>
      </w:r>
      <w:r w:rsidR="00827109" w:rsidRPr="00B07A9F">
        <w:rPr>
          <w:sz w:val="22"/>
          <w:szCs w:val="22"/>
        </w:rPr>
        <w:t>w</w:t>
      </w:r>
      <w:r w:rsidR="0030134B" w:rsidRPr="00B07A9F">
        <w:rPr>
          <w:sz w:val="22"/>
          <w:szCs w:val="22"/>
        </w:rPr>
        <w:t>hat</w:t>
      </w:r>
      <w:r w:rsidR="00827109" w:rsidRPr="00B07A9F">
        <w:rPr>
          <w:sz w:val="22"/>
          <w:szCs w:val="22"/>
        </w:rPr>
        <w:t xml:space="preserve"> was</w:t>
      </w:r>
      <w:r w:rsidR="0030134B" w:rsidRPr="00B07A9F">
        <w:rPr>
          <w:sz w:val="22"/>
          <w:szCs w:val="22"/>
        </w:rPr>
        <w:t xml:space="preserve"> obtained</w:t>
      </w:r>
      <w:r w:rsidR="00827109" w:rsidRPr="00B07A9F">
        <w:rPr>
          <w:sz w:val="22"/>
          <w:szCs w:val="22"/>
        </w:rPr>
        <w:t xml:space="preserve"> in rabbits</w:t>
      </w:r>
      <w:r w:rsidR="0030134B" w:rsidRPr="00B07A9F">
        <w:rPr>
          <w:sz w:val="22"/>
          <w:szCs w:val="22"/>
        </w:rPr>
        <w:t xml:space="preserve"> by </w:t>
      </w:r>
      <w:proofErr w:type="spellStart"/>
      <w:r w:rsidR="0030134B" w:rsidRPr="00B07A9F">
        <w:rPr>
          <w:sz w:val="22"/>
          <w:szCs w:val="22"/>
        </w:rPr>
        <w:t>Muhoya</w:t>
      </w:r>
      <w:proofErr w:type="spellEnd"/>
      <w:r w:rsidR="0030134B" w:rsidRPr="00B07A9F">
        <w:rPr>
          <w:sz w:val="22"/>
          <w:szCs w:val="22"/>
        </w:rPr>
        <w:t xml:space="preserve"> et al., in a</w:t>
      </w:r>
      <w:r w:rsidR="00827109" w:rsidRPr="00B07A9F">
        <w:rPr>
          <w:sz w:val="22"/>
          <w:szCs w:val="22"/>
        </w:rPr>
        <w:t>n OGTT</w:t>
      </w:r>
      <w:r w:rsidR="0030134B" w:rsidRPr="00B07A9F">
        <w:rPr>
          <w:sz w:val="22"/>
          <w:szCs w:val="22"/>
        </w:rPr>
        <w:t xml:space="preserve"> study </w:t>
      </w:r>
      <w:r w:rsidR="0030134B" w:rsidRPr="00B07A9F">
        <w:rPr>
          <w:sz w:val="22"/>
          <w:szCs w:val="22"/>
        </w:rPr>
        <w:fldChar w:fldCharType="begin" w:fldLock="1"/>
      </w:r>
      <w:r w:rsidR="002110B1" w:rsidRPr="00B07A9F">
        <w:rPr>
          <w:sz w:val="22"/>
          <w:szCs w:val="22"/>
        </w:rPr>
        <w:instrText>ADDIN CSL_CITATION {"citationItems":[{"id":"ITEM-1","itemData":{"DOI":"10.4236/ajac.2017.89041","ISSN":"2156-8251","abstract":"Panda oleosa Pierre (POP), a tropical plant tree, has been used in traditional medicine in Kisangani city and around to treat various diseases including diabetes and HIV/AIDs. This study aims to evaluate the chemical composition of POP extracts while setting up chromatographic fingerprints for their quality control, and the anti-hyperglycemic potential of trunk bark aqueous extracts of POP. Common chemical reactions were used for identification of main secondary metabolic groups. Thin layer chromatography was used to set up several chromatographic fingerprints of water and alcoholic extracts while evaluating chemical composition. Oral glucose tolerance test served to induce hyperglycemia in a rabbit model. The extracts were given as 25 mg/kg, 50 mg/kg, and 100 mg/kg body weight, 30 minutes before loading animals with glucose 4 g/kg. Blood samples were collected at various times: just before extracts (T-30), before (T0) and after glucose load (T30, T60, T120, and T180). Blood glucose levels were measured with One Touch Glucometer. The identification tests revealed the presence of saponins (3.58%), tannins (5%); alkaloids, quinones, flavonoids, and terpenes sterols could not be formerly detected by the reagents used. Interesting chromatographic spots were observed whose behaviors are of catechic tannin proanthocyanes. The extract significantly reduced glucose levels in dose dependent manner as compared to control and glibenclamide reference groups. The average of mean percentage of reduction in glucose level at T120 with the extract 100 mg/kg was close to that of glibenclamide 0.25 mg/kg (49% and 40.2%). These findings back the traditional use of the plant to treat diabetic patients and constitute a foundation for an extensive study to find a new antidiabetic phythomedicine.","author":[{"dropping-particle":"","family":"Muhoya","given":"Frédéric Katemo","non-dropping-particle":"","parse-names":false,"suffix":""},{"dropping-particle":"","family":"Kadima","given":"Justin Ntokamunda","non-dropping-particle":"","parse-names":false,"suffix":""},{"dropping-particle":"","family":"Ranarivelo","given":"Njakarinala","non-dropping-particle":"","parse-names":false,"suffix":""},{"dropping-particle":"","family":"Frédérich","given":"Michel","non-dropping-particle":"","parse-names":false,"suffix":""},{"dropping-particle":"","family":"Hubert","given":"Philippe","non-dropping-particle":"","parse-names":false,"suffix":""},{"dropping-particle":"","family":"Djang’eing’a","given":"Roland Marini","non-dropping-particle":"","parse-names":false,"suffix":""}],"container-title":"American Journal of Analytical Chemistry","id":"ITEM-1","issue":"09","issued":{"date-parts":[["2017"]]},"page":"564-581","title":"Preliminary Phytochemical Content and Antidiabetic Potential Investigations of &amp;lt;i&amp;gt;Panda oleosa&amp;lt;/i&amp;gt; (Pierre) Used in Kisangani Areas","type":"article-journal","volume":"08"},"uris":["http://www.mendeley.com/documents/?uuid=ee8f5ebe-eb91-4482-95bb-1303806d5814"]}],"mendeley":{"formattedCitation":"(Muhoya et al., 2017)","plainTextFormattedCitation":"(Muhoya et al., 2017)","previouslyFormattedCitation":"(Muhoya et al., 2017)"},"properties":{"noteIndex":0},"schema":"https://github.com/citation-style-language/schema/raw/master/csl-citation.json"}</w:instrText>
      </w:r>
      <w:r w:rsidR="0030134B" w:rsidRPr="00B07A9F">
        <w:rPr>
          <w:sz w:val="22"/>
          <w:szCs w:val="22"/>
        </w:rPr>
        <w:fldChar w:fldCharType="separate"/>
      </w:r>
      <w:r w:rsidR="0030134B" w:rsidRPr="00B07A9F">
        <w:rPr>
          <w:noProof/>
          <w:sz w:val="22"/>
          <w:szCs w:val="22"/>
        </w:rPr>
        <w:t>(Muhoya et al., 2017)</w:t>
      </w:r>
      <w:r w:rsidR="0030134B" w:rsidRPr="00B07A9F">
        <w:rPr>
          <w:sz w:val="22"/>
          <w:szCs w:val="22"/>
        </w:rPr>
        <w:fldChar w:fldCharType="end"/>
      </w:r>
      <w:r w:rsidR="0030134B" w:rsidRPr="00B07A9F">
        <w:rPr>
          <w:sz w:val="22"/>
          <w:szCs w:val="22"/>
        </w:rPr>
        <w:t xml:space="preserve">. This </w:t>
      </w:r>
      <w:r w:rsidR="007E1BAC" w:rsidRPr="00B07A9F">
        <w:rPr>
          <w:sz w:val="22"/>
          <w:szCs w:val="22"/>
        </w:rPr>
        <w:t>could</w:t>
      </w:r>
      <w:r w:rsidR="0030134B" w:rsidRPr="00B07A9F">
        <w:rPr>
          <w:sz w:val="22"/>
          <w:szCs w:val="22"/>
        </w:rPr>
        <w:t xml:space="preserve"> be </w:t>
      </w:r>
      <w:r w:rsidR="00EE53D4" w:rsidRPr="00B07A9F">
        <w:rPr>
          <w:sz w:val="22"/>
          <w:szCs w:val="22"/>
        </w:rPr>
        <w:t>due</w:t>
      </w:r>
      <w:r w:rsidR="0030134B" w:rsidRPr="00B07A9F">
        <w:rPr>
          <w:sz w:val="22"/>
          <w:szCs w:val="22"/>
        </w:rPr>
        <w:t xml:space="preserve"> to difference</w:t>
      </w:r>
      <w:r w:rsidR="00EE53D4" w:rsidRPr="00B07A9F">
        <w:rPr>
          <w:sz w:val="22"/>
          <w:szCs w:val="22"/>
        </w:rPr>
        <w:t xml:space="preserve"> between</w:t>
      </w:r>
      <w:r w:rsidR="0030134B" w:rsidRPr="00B07A9F">
        <w:rPr>
          <w:sz w:val="22"/>
          <w:szCs w:val="22"/>
        </w:rPr>
        <w:t xml:space="preserve"> </w:t>
      </w:r>
      <w:r w:rsidR="00EE53D4" w:rsidRPr="00B07A9F">
        <w:rPr>
          <w:sz w:val="22"/>
          <w:szCs w:val="22"/>
        </w:rPr>
        <w:t>the two</w:t>
      </w:r>
      <w:r w:rsidR="0030134B" w:rsidRPr="00B07A9F">
        <w:rPr>
          <w:sz w:val="22"/>
          <w:szCs w:val="22"/>
        </w:rPr>
        <w:t xml:space="preserve"> animal models.</w:t>
      </w:r>
    </w:p>
    <w:p w14:paraId="25E0843E" w14:textId="3C6868F5" w:rsidR="00F744B1" w:rsidRPr="00B07A9F" w:rsidRDefault="000B31E3" w:rsidP="00340920">
      <w:pPr>
        <w:rPr>
          <w:b/>
          <w:bCs/>
          <w:sz w:val="22"/>
          <w:szCs w:val="22"/>
        </w:rPr>
      </w:pPr>
      <w:r>
        <w:rPr>
          <w:noProof/>
          <w:sz w:val="22"/>
        </w:rPr>
        <w:object w:dxaOrig="11038" w:dyaOrig="5364" w14:anchorId="3F9B1B05">
          <v:shape id="_x0000_i1026" type="#_x0000_t75" alt="" style="width:7in;height:244.55pt;mso-width-percent:0;mso-height-percent:0;mso-width-percent:0;mso-height-percent:0" o:ole="" filled="t">
            <v:imagedata r:id="rId16" o:title=""/>
          </v:shape>
          <o:OLEObject Type="Embed" ProgID="Prism9.Document" ShapeID="_x0000_i1026" DrawAspect="Content" ObjectID="_1737359728" r:id="rId17"/>
        </w:object>
      </w:r>
    </w:p>
    <w:p w14:paraId="6F6ABA19" w14:textId="29B1D260" w:rsidR="00981F50" w:rsidRPr="00B07A9F" w:rsidRDefault="00981F50" w:rsidP="00340920">
      <w:pPr>
        <w:rPr>
          <w:sz w:val="22"/>
          <w:szCs w:val="22"/>
        </w:rPr>
      </w:pPr>
      <w:r w:rsidRPr="00B07A9F">
        <w:rPr>
          <w:b/>
          <w:bCs/>
          <w:sz w:val="22"/>
          <w:szCs w:val="22"/>
        </w:rPr>
        <w:t xml:space="preserve">Figure 3. </w:t>
      </w:r>
      <w:r w:rsidRPr="00B07A9F">
        <w:rPr>
          <w:sz w:val="22"/>
          <w:szCs w:val="22"/>
        </w:rPr>
        <w:t xml:space="preserve">Hypoglycemic activity of </w:t>
      </w:r>
      <w:r w:rsidRPr="00B07A9F">
        <w:rPr>
          <w:i/>
          <w:sz w:val="22"/>
          <w:szCs w:val="22"/>
        </w:rPr>
        <w:t xml:space="preserve">P. </w:t>
      </w:r>
      <w:proofErr w:type="spellStart"/>
      <w:r w:rsidRPr="00B07A9F">
        <w:rPr>
          <w:i/>
          <w:sz w:val="22"/>
          <w:szCs w:val="22"/>
        </w:rPr>
        <w:t>oleosa</w:t>
      </w:r>
      <w:proofErr w:type="spellEnd"/>
      <w:r w:rsidRPr="00B07A9F">
        <w:rPr>
          <w:sz w:val="22"/>
          <w:szCs w:val="22"/>
        </w:rPr>
        <w:t xml:space="preserve"> (PO) extracts evaluated via OGTT expressed as % with respect to the time of 30 min (A) and the corresponding AUC (B). P values were calculated by 2-way ANOVA (A) or one-way ANOVA (B) (mean </w:t>
      </w:r>
      <w:r w:rsidRPr="00B07A9F">
        <w:rPr>
          <w:rFonts w:ascii="Symbol" w:hAnsi="Symbol"/>
          <w:sz w:val="22"/>
          <w:szCs w:val="22"/>
        </w:rPr>
        <w:sym w:font="Symbol" w:char="F0B1"/>
      </w:r>
      <w:r w:rsidRPr="00B07A9F">
        <w:rPr>
          <w:sz w:val="22"/>
          <w:szCs w:val="22"/>
        </w:rPr>
        <w:t xml:space="preserve"> SEM; n=8). </w:t>
      </w:r>
      <w:r w:rsidRPr="00B07A9F">
        <w:rPr>
          <w:sz w:val="22"/>
          <w:szCs w:val="22"/>
          <w:vertAlign w:val="superscript"/>
        </w:rPr>
        <w:t>§</w:t>
      </w:r>
      <w:r w:rsidRPr="00B07A9F">
        <w:rPr>
          <w:sz w:val="22"/>
          <w:szCs w:val="22"/>
        </w:rPr>
        <w:t xml:space="preserve">CTL HFD </w:t>
      </w:r>
      <w:r w:rsidRPr="00B07A9F">
        <w:rPr>
          <w:i/>
          <w:sz w:val="22"/>
          <w:szCs w:val="22"/>
        </w:rPr>
        <w:t xml:space="preserve">vs. </w:t>
      </w:r>
      <w:proofErr w:type="spellStart"/>
      <w:r w:rsidRPr="00B07A9F">
        <w:rPr>
          <w:sz w:val="22"/>
          <w:szCs w:val="22"/>
        </w:rPr>
        <w:t>Aq</w:t>
      </w:r>
      <w:proofErr w:type="spellEnd"/>
      <w:r w:rsidRPr="00B07A9F">
        <w:rPr>
          <w:sz w:val="22"/>
          <w:szCs w:val="22"/>
        </w:rPr>
        <w:t xml:space="preserve"> </w:t>
      </w:r>
      <w:proofErr w:type="spellStart"/>
      <w:r w:rsidRPr="00B07A9F">
        <w:rPr>
          <w:sz w:val="22"/>
          <w:szCs w:val="22"/>
        </w:rPr>
        <w:t>extr</w:t>
      </w:r>
      <w:proofErr w:type="spellEnd"/>
      <w:r w:rsidRPr="00B07A9F">
        <w:rPr>
          <w:sz w:val="22"/>
          <w:szCs w:val="22"/>
        </w:rPr>
        <w:t xml:space="preserve"> of PO; *CTL HFD </w:t>
      </w:r>
      <w:r w:rsidRPr="00B07A9F">
        <w:rPr>
          <w:i/>
          <w:sz w:val="22"/>
          <w:szCs w:val="22"/>
        </w:rPr>
        <w:t xml:space="preserve">vs. </w:t>
      </w:r>
      <w:r w:rsidRPr="00B07A9F">
        <w:rPr>
          <w:sz w:val="22"/>
          <w:szCs w:val="22"/>
        </w:rPr>
        <w:t xml:space="preserve">DCM </w:t>
      </w:r>
      <w:proofErr w:type="spellStart"/>
      <w:r w:rsidRPr="00B07A9F">
        <w:rPr>
          <w:sz w:val="22"/>
          <w:szCs w:val="22"/>
        </w:rPr>
        <w:t>extr</w:t>
      </w:r>
      <w:proofErr w:type="spellEnd"/>
      <w:r w:rsidRPr="00B07A9F">
        <w:rPr>
          <w:sz w:val="22"/>
          <w:szCs w:val="22"/>
        </w:rPr>
        <w:t xml:space="preserve"> PO.</w:t>
      </w:r>
    </w:p>
    <w:p w14:paraId="6C7244FE" w14:textId="5240A394" w:rsidR="00981F50" w:rsidRPr="00B07A9F" w:rsidRDefault="00981F50" w:rsidP="00340920">
      <w:pPr>
        <w:spacing w:before="240"/>
        <w:rPr>
          <w:sz w:val="22"/>
          <w:szCs w:val="22"/>
        </w:rPr>
      </w:pPr>
      <w:r w:rsidRPr="00B07A9F">
        <w:rPr>
          <w:sz w:val="22"/>
          <w:szCs w:val="22"/>
        </w:rPr>
        <w:t xml:space="preserve">Concerning the synthesized </w:t>
      </w:r>
      <w:proofErr w:type="spellStart"/>
      <w:r w:rsidRPr="00B07A9F">
        <w:rPr>
          <w:sz w:val="22"/>
          <w:szCs w:val="22"/>
        </w:rPr>
        <w:t>ZnONPs</w:t>
      </w:r>
      <w:proofErr w:type="spellEnd"/>
      <w:r w:rsidRPr="00B07A9F">
        <w:rPr>
          <w:sz w:val="22"/>
          <w:szCs w:val="22"/>
        </w:rPr>
        <w:t xml:space="preserve">, a dose corresponding to 10 mg </w:t>
      </w:r>
      <w:proofErr w:type="spellStart"/>
      <w:r w:rsidRPr="00B07A9F">
        <w:rPr>
          <w:sz w:val="22"/>
          <w:szCs w:val="22"/>
        </w:rPr>
        <w:t>ZnO</w:t>
      </w:r>
      <w:proofErr w:type="spellEnd"/>
      <w:r w:rsidRPr="00B07A9F">
        <w:rPr>
          <w:sz w:val="22"/>
          <w:szCs w:val="22"/>
        </w:rPr>
        <w:t xml:space="preserve"> per kg, as previously reported in the literature </w:t>
      </w:r>
      <w:r w:rsidRPr="00B07A9F">
        <w:rPr>
          <w:sz w:val="22"/>
          <w:szCs w:val="22"/>
        </w:rPr>
        <w:fldChar w:fldCharType="begin" w:fldLock="1"/>
      </w:r>
      <w:r w:rsidRPr="00B07A9F">
        <w:rPr>
          <w:sz w:val="22"/>
          <w:szCs w:val="22"/>
        </w:rPr>
        <w:instrText>ADDIN CSL_CITATION {"citationItems":[{"id":"ITEM-1","itemData":{"DOI":"10.1016/j.biopha.2016.09.068","ISSN":"19506007","PMID":"27723572","abstract":"The aim of this study was to use Zinc oxide nanoparticles and a standard antidiabetic drug to restore the function and structure of beta cells in a rat model of Type-2 diabetes and compare the effects of a DPP-IV inhibitor with or without zinc oxide nanoparticles (ZnONPs) using a model of type 2 diabetes (rats fed a high fat diet that was treated with a low dose of streptozotocin). Ninety male Wistar rats were randomly divided into three groups 10 days after the induction of diabetes: group I: non-diabetic animals that received only the chow diet plus 2 ml of 0.5% carboxymethyl cellulose sodium; group II: diabetic animals that received only the chow diet plus 2 ml of 0.5% carboxymethyl cellulose sodium; group III: diabetic animals were subdivided into 7 equal subgroups; one subgroup was administered Vildagliptin (10 mg/kg/day p.o.); three subgroups were administered ZnONPs at doses of 1, 3 and 10 mg/kg/day p.o.; and three subgroups were administered ZnONPs in different doses plus Vildagliptin for seven weeks. The DPP-IV inhibitor (Vildagliptin) and ZnONPs alone or in combination significantly decreased microRNA-103 and microRNA-143 expression compared to the diabetic group, indicating antidiabetic effects. ZnONPs improved many of the indices of diabetic dysfunction (glucose tolerance, weight loss, insulin levels, fructosamine levels, pancreatic SOD activity, and pancreas histology), but the addition of the DPP-IV further improved these indices. ZnONPs alone resulted in significant antidiabetic effects, whereas the addition of Vildagliptin resulted in a synergistic effect on the therapy of diabetes.","author":[{"dropping-particle":"","family":"El-Gharbawy","given":"Rehab Mohmed","non-dropping-particle":"","parse-names":false,"suffix":""},{"dropping-particle":"","family":"Emara","given":"Ashraf Mahmoud","non-dropping-particle":"","parse-names":false,"suffix":""},{"dropping-particle":"","family":"Abu-Risha","given":"Sally El Sayed","non-dropping-particle":"","parse-names":false,"suffix":""}],"container-title":"Biomedicine and Pharmacotherapy","id":"ITEM-1","issued":{"date-parts":[["2016"]]},"page":"810-820","publisher":"Elsevier Masson SAS","title":"Zinc oxide nanoparticles and a standard antidiabetic drug restore the function and structure of beta cells in Type-2 diabetes","type":"article-journal","volume":"84"},"uris":["http://www.mendeley.com/documents/?uuid=916b783d-2474-4b61-8ec7-ccfc04c45375"]},{"id":"ITEM-2","itemData":{"DOI":"10.1042/BSR20193972","ISSN":"15734935","PMID":"32207527","abstract":"The antidiabetic, hypoglycemic and oral glucose tolerance test (OGTT) activities of zinc oxide nanoparticles (ZnONPs) were assessed in mice. ZnONPs were prepared by reacting Zn(NO3)2.6H2O and NaOH solution at 70°C with continuous stirring and then characterized by transmission electron microscopy (TEM) and scanning electron microscopy (SEM) techniques. Diabetes was induced by the intraperitoneal injection of streptozotocin (STZ) in mice, and then the blood glucose levels were determined by the glucose oxidase method. The experimental results revealed that ZnONPs suggestively (p&lt;0.001) declined the blood glucose levels (39.79%), while these reductions were 38.78% for the cotreatment of ZnONPs and insulin, and 48.60% for insulin, respectively. In the hypoglycemic study, ZnONPs (8 and 14 mg/kg b.w) reduced approximately 25.13 and 29.15% of blood glucose levels, respectively. A similar reduction was found in the OGTT test, which is also a dose- and time-dependent manner. Overall, ZnONPs possess a potential antidiabetic activity, which could be validated by further mechanistic studies.","author":[{"dropping-particle":"","family":"Siddiqui","given":"Shafayet Ahmed","non-dropping-particle":"","parse-names":false,"suffix":""},{"dropping-particle":"","family":"Rashid","given":"Md Mamun Or","non-dropping-particle":"","parse-names":false,"suffix":""},{"dropping-particle":"","family":"Uddin","given":"Md Giash","non-dropping-particle":"","parse-names":false,"suffix":""},{"dropping-particle":"","family":"Robel","given":"Fataha Nur","non-dropping-particle":"","parse-names":false,"suffix":""},{"dropping-particle":"","family":"Hossain","given":"Mohammad Salim","non-dropping-particle":"","parse-names":false,"suffix":""},{"dropping-particle":"","family":"Haque","given":"Md Azizul","non-dropping-particle":"","parse-names":false,"suffix":""},{"dropping-particle":"","family":"Jakaria","given":"Md","non-dropping-particle":"","parse-names":false,"suffix":""}],"container-title":"Bioscience Reports","id":"ITEM-2","issue":"4","issued":{"date-parts":[["2020"]]},"page":"1-8","title":"Biological efficacy of zinc oxide nanoparticles against diabetes: A preliminary study conducted in mice","type":"article-journal","volume":"40"},"uris":["http://www.mendeley.com/documents/?uuid=38819da2-a262-4f2f-a360-3c88a534ab15"]}],"mendeley":{"formattedCitation":"(El-Gharbawy et al., 2016; Siddiqui et al., 2020)","plainTextFormattedCitation":"(El-Gharbawy et al., 2016; Siddiqui et al., 2020)","previouslyFormattedCitation":"(El-Gharbawy et al., 2016; Siddiqui et al., 2020)"},"properties":{"noteIndex":0},"schema":"https://github.com/citation-style-language/schema/raw/master/csl-citation.json"}</w:instrText>
      </w:r>
      <w:r w:rsidRPr="00B07A9F">
        <w:rPr>
          <w:sz w:val="22"/>
          <w:szCs w:val="22"/>
        </w:rPr>
        <w:fldChar w:fldCharType="separate"/>
      </w:r>
      <w:r w:rsidRPr="00B07A9F">
        <w:rPr>
          <w:noProof/>
          <w:sz w:val="22"/>
          <w:szCs w:val="22"/>
        </w:rPr>
        <w:t>(El-Gharbawy et al., 2016; Siddiqui et al., 2020)</w:t>
      </w:r>
      <w:r w:rsidRPr="00B07A9F">
        <w:rPr>
          <w:sz w:val="22"/>
          <w:szCs w:val="22"/>
        </w:rPr>
        <w:fldChar w:fldCharType="end"/>
      </w:r>
      <w:r w:rsidRPr="00B07A9F">
        <w:rPr>
          <w:sz w:val="22"/>
          <w:szCs w:val="22"/>
        </w:rPr>
        <w:t>, was administered once</w:t>
      </w:r>
      <w:r w:rsidR="00B22340" w:rsidRPr="00B07A9F">
        <w:rPr>
          <w:sz w:val="22"/>
          <w:szCs w:val="22"/>
        </w:rPr>
        <w:t>.</w:t>
      </w:r>
      <w:r w:rsidRPr="00B07A9F">
        <w:rPr>
          <w:sz w:val="22"/>
          <w:szCs w:val="22"/>
        </w:rPr>
        <w:t xml:space="preserve"> </w:t>
      </w:r>
      <w:r w:rsidR="00B22340" w:rsidRPr="00B07A9F">
        <w:rPr>
          <w:sz w:val="22"/>
          <w:szCs w:val="22"/>
        </w:rPr>
        <w:t>This dose</w:t>
      </w:r>
      <w:r w:rsidRPr="00B07A9F">
        <w:rPr>
          <w:sz w:val="22"/>
          <w:szCs w:val="22"/>
        </w:rPr>
        <w:t xml:space="preserve"> avoided a strong increase in glycemia in treated mice after glucose administration, as shown in Figure 4A. The AUC in Figure 4B shows that ZnONP-240 exhibited significant antihyperglycemic activity.</w:t>
      </w:r>
      <w:r w:rsidR="000043DF" w:rsidRPr="00B07A9F">
        <w:rPr>
          <w:sz w:val="22"/>
          <w:szCs w:val="22"/>
        </w:rPr>
        <w:t xml:space="preserve"> This </w:t>
      </w:r>
      <w:r w:rsidR="002110B1" w:rsidRPr="00B07A9F">
        <w:rPr>
          <w:sz w:val="22"/>
          <w:szCs w:val="22"/>
        </w:rPr>
        <w:t xml:space="preserve">result </w:t>
      </w:r>
      <w:r w:rsidR="003D6980" w:rsidRPr="00B07A9F">
        <w:rPr>
          <w:sz w:val="22"/>
          <w:szCs w:val="22"/>
        </w:rPr>
        <w:t>is in agreement</w:t>
      </w:r>
      <w:r w:rsidR="002110B1" w:rsidRPr="00B07A9F">
        <w:rPr>
          <w:sz w:val="22"/>
          <w:szCs w:val="22"/>
        </w:rPr>
        <w:t xml:space="preserve"> with </w:t>
      </w:r>
      <w:proofErr w:type="spellStart"/>
      <w:r w:rsidR="002110B1" w:rsidRPr="00B07A9F">
        <w:rPr>
          <w:sz w:val="22"/>
          <w:szCs w:val="22"/>
        </w:rPr>
        <w:t>Bala</w:t>
      </w:r>
      <w:proofErr w:type="spellEnd"/>
      <w:r w:rsidR="002110B1" w:rsidRPr="00B07A9F">
        <w:rPr>
          <w:sz w:val="22"/>
          <w:szCs w:val="22"/>
        </w:rPr>
        <w:t xml:space="preserve"> et al. who showed that green-synthesized zinc oxide nanoparticles </w:t>
      </w:r>
      <w:r w:rsidR="003D6980" w:rsidRPr="00B07A9F">
        <w:rPr>
          <w:sz w:val="22"/>
          <w:szCs w:val="22"/>
        </w:rPr>
        <w:t xml:space="preserve">presenting a smaller particle size </w:t>
      </w:r>
      <w:r w:rsidR="002110B1" w:rsidRPr="00B07A9F">
        <w:rPr>
          <w:sz w:val="22"/>
          <w:szCs w:val="22"/>
        </w:rPr>
        <w:t xml:space="preserve">showed a more significant antidiabetic activity than those of larger size </w:t>
      </w:r>
      <w:r w:rsidR="002110B1" w:rsidRPr="00B07A9F">
        <w:rPr>
          <w:sz w:val="22"/>
          <w:szCs w:val="22"/>
        </w:rPr>
        <w:fldChar w:fldCharType="begin" w:fldLock="1"/>
      </w:r>
      <w:r w:rsidR="00012964" w:rsidRPr="00B07A9F">
        <w:rPr>
          <w:sz w:val="22"/>
          <w:szCs w:val="22"/>
        </w:rPr>
        <w:instrText>ADDIN CSL_CITATION {"citationItems":[{"id":"ITEM-1","itemData":{"DOI":"10.1039/C4RA12784F","author":[{"dropping-particle":"","family":"Bala","given":"Niranjan","non-dropping-particle":"","parse-names":false,"suffix":""},{"dropping-particle":"","family":"Saha","given":"S","non-dropping-particle":"","parse-names":false,"suffix":""},{"dropping-particle":"","family":"Chakraborty","given":"M","non-dropping-particle":"","parse-names":false,"suffix":""},{"dropping-particle":"","family":"Maiti","given":"M","non-dropping-particle":"","parse-names":false,"suffix":""},{"dropping-particle":"","family":"Das","given":"S","non-dropping-particle":"","parse-names":false,"suffix":""},{"dropping-particle":"","family":"Basu","given":"R","non-dropping-particle":"","parse-names":false,"suffix":""},{"dropping-particle":"","family":"Nandy","given":"P","non-dropping-particle":"","parse-names":false,"suffix":""}],"container-title":"RSC Advances","id":"ITEM-1","issued":{"date-parts":[["2014"]]},"page":"4993-5003","publisher":"Royal Society of Chemistry","title":"RSC Advances Green synthesis of zinc oxide nanoparticles using Hibiscus subdari ff a leaf extract : e ff ect of","type":"article-journal","volume":"5"},"uris":["http://www.mendeley.com/documents/?uuid=a2fe6a59-c3a5-43c4-9f97-f85699b4e9dc"]}],"mendeley":{"formattedCitation":"(Bala et al., 2014)","plainTextFormattedCitation":"(Bala et al., 2014)","previouslyFormattedCitation":"(Bala et al., 2014)"},"properties":{"noteIndex":0},"schema":"https://github.com/citation-style-language/schema/raw/master/csl-citation.json"}</w:instrText>
      </w:r>
      <w:r w:rsidR="002110B1" w:rsidRPr="00B07A9F">
        <w:rPr>
          <w:sz w:val="22"/>
          <w:szCs w:val="22"/>
        </w:rPr>
        <w:fldChar w:fldCharType="separate"/>
      </w:r>
      <w:r w:rsidR="002110B1" w:rsidRPr="00B07A9F">
        <w:rPr>
          <w:noProof/>
          <w:sz w:val="22"/>
          <w:szCs w:val="22"/>
        </w:rPr>
        <w:t>(Bala et al., 2014)</w:t>
      </w:r>
      <w:r w:rsidR="002110B1" w:rsidRPr="00B07A9F">
        <w:rPr>
          <w:sz w:val="22"/>
          <w:szCs w:val="22"/>
        </w:rPr>
        <w:fldChar w:fldCharType="end"/>
      </w:r>
      <w:r w:rsidR="002110B1" w:rsidRPr="00B07A9F">
        <w:rPr>
          <w:sz w:val="22"/>
          <w:szCs w:val="22"/>
        </w:rPr>
        <w:t>.</w:t>
      </w:r>
    </w:p>
    <w:p w14:paraId="5BBD19D7" w14:textId="5D8FAF68" w:rsidR="00F744B1" w:rsidRPr="00B07A9F" w:rsidRDefault="000B31E3" w:rsidP="00340920">
      <w:pPr>
        <w:rPr>
          <w:b/>
          <w:bCs/>
          <w:sz w:val="22"/>
          <w:szCs w:val="22"/>
        </w:rPr>
      </w:pPr>
      <w:r>
        <w:rPr>
          <w:noProof/>
          <w:sz w:val="22"/>
          <w:lang w:val="en-GB"/>
        </w:rPr>
        <w:object w:dxaOrig="10680" w:dyaOrig="4898" w14:anchorId="07FB03A8">
          <v:shape id="_x0000_i1025" type="#_x0000_t75" alt="" style="width:7in;height:230.9pt;mso-width-percent:0;mso-height-percent:0;mso-width-percent:0;mso-height-percent:0" o:ole="" filled="t">
            <v:imagedata r:id="rId18" o:title=""/>
          </v:shape>
          <o:OLEObject Type="Embed" ProgID="Prism9.Document" ShapeID="_x0000_i1025" DrawAspect="Content" ObjectID="_1737359729" r:id="rId19"/>
        </w:object>
      </w:r>
    </w:p>
    <w:p w14:paraId="76CDC479" w14:textId="331C6313" w:rsidR="00981F50" w:rsidRPr="00B07A9F" w:rsidRDefault="00981F50" w:rsidP="00340920">
      <w:pPr>
        <w:rPr>
          <w:sz w:val="22"/>
          <w:szCs w:val="22"/>
        </w:rPr>
      </w:pPr>
      <w:r w:rsidRPr="00B07A9F">
        <w:rPr>
          <w:b/>
          <w:bCs/>
          <w:sz w:val="22"/>
          <w:szCs w:val="22"/>
        </w:rPr>
        <w:lastRenderedPageBreak/>
        <w:t xml:space="preserve">Figure 4. </w:t>
      </w:r>
      <w:r w:rsidRPr="00B07A9F">
        <w:rPr>
          <w:sz w:val="22"/>
          <w:szCs w:val="22"/>
        </w:rPr>
        <w:t xml:space="preserve">Hypoglycemic activity of </w:t>
      </w:r>
      <w:proofErr w:type="spellStart"/>
      <w:r w:rsidRPr="00B07A9F">
        <w:rPr>
          <w:sz w:val="22"/>
          <w:szCs w:val="22"/>
        </w:rPr>
        <w:t>ZnONPs</w:t>
      </w:r>
      <w:proofErr w:type="spellEnd"/>
      <w:r w:rsidRPr="00B07A9F">
        <w:rPr>
          <w:sz w:val="22"/>
          <w:szCs w:val="22"/>
        </w:rPr>
        <w:t xml:space="preserve"> evaluated via OGTT expressed as % with respect to the time of 30 min (A) and the corresponding AUC (B). P values were calculated by 2-way ANOVA (A) or one-way ANOVA (B) (mean </w:t>
      </w:r>
      <w:r w:rsidRPr="00B07A9F">
        <w:rPr>
          <w:rFonts w:ascii="Symbol" w:hAnsi="Symbol"/>
          <w:sz w:val="22"/>
          <w:szCs w:val="22"/>
        </w:rPr>
        <w:sym w:font="Symbol" w:char="F0B1"/>
      </w:r>
      <w:r w:rsidRPr="00B07A9F">
        <w:rPr>
          <w:sz w:val="22"/>
          <w:szCs w:val="22"/>
        </w:rPr>
        <w:t xml:space="preserve"> SEM; n=8). *CTL HFD </w:t>
      </w:r>
      <w:r w:rsidRPr="00B07A9F">
        <w:rPr>
          <w:i/>
          <w:iCs/>
          <w:sz w:val="22"/>
          <w:szCs w:val="22"/>
        </w:rPr>
        <w:t xml:space="preserve">vs. </w:t>
      </w:r>
      <w:r w:rsidRPr="00B07A9F">
        <w:rPr>
          <w:sz w:val="22"/>
          <w:szCs w:val="22"/>
        </w:rPr>
        <w:t>Zn</w:t>
      </w:r>
      <w:r w:rsidR="00AA65A6" w:rsidRPr="00B07A9F">
        <w:rPr>
          <w:sz w:val="22"/>
          <w:szCs w:val="22"/>
        </w:rPr>
        <w:t>ONP</w:t>
      </w:r>
      <w:r w:rsidR="00244F16" w:rsidRPr="00B07A9F">
        <w:rPr>
          <w:sz w:val="22"/>
          <w:szCs w:val="22"/>
        </w:rPr>
        <w:t>s</w:t>
      </w:r>
      <w:r w:rsidR="00AA65A6" w:rsidRPr="00B07A9F">
        <w:rPr>
          <w:sz w:val="22"/>
          <w:szCs w:val="22"/>
        </w:rPr>
        <w:t>-</w:t>
      </w:r>
      <w:r w:rsidRPr="00B07A9F">
        <w:rPr>
          <w:sz w:val="22"/>
          <w:szCs w:val="22"/>
        </w:rPr>
        <w:t xml:space="preserve">3; </w:t>
      </w:r>
      <w:r w:rsidRPr="00B07A9F">
        <w:rPr>
          <w:sz w:val="22"/>
          <w:szCs w:val="22"/>
          <w:vertAlign w:val="superscript"/>
        </w:rPr>
        <w:t>§</w:t>
      </w:r>
      <w:r w:rsidRPr="00B07A9F">
        <w:rPr>
          <w:sz w:val="22"/>
          <w:szCs w:val="22"/>
        </w:rPr>
        <w:t xml:space="preserve">CTL HFD </w:t>
      </w:r>
      <w:r w:rsidRPr="00B07A9F">
        <w:rPr>
          <w:i/>
          <w:iCs/>
          <w:sz w:val="22"/>
          <w:szCs w:val="22"/>
        </w:rPr>
        <w:t xml:space="preserve">vs. </w:t>
      </w:r>
      <w:r w:rsidRPr="00B07A9F">
        <w:rPr>
          <w:sz w:val="22"/>
          <w:szCs w:val="22"/>
        </w:rPr>
        <w:t>Zn</w:t>
      </w:r>
      <w:r w:rsidR="00AA65A6" w:rsidRPr="00B07A9F">
        <w:rPr>
          <w:sz w:val="22"/>
          <w:szCs w:val="22"/>
        </w:rPr>
        <w:t>ONP</w:t>
      </w:r>
      <w:r w:rsidR="00244F16" w:rsidRPr="00B07A9F">
        <w:rPr>
          <w:sz w:val="22"/>
          <w:szCs w:val="22"/>
        </w:rPr>
        <w:t>s</w:t>
      </w:r>
      <w:r w:rsidR="00AA65A6" w:rsidRPr="00B07A9F">
        <w:rPr>
          <w:sz w:val="22"/>
          <w:szCs w:val="22"/>
        </w:rPr>
        <w:t>-</w:t>
      </w:r>
      <w:r w:rsidRPr="00B07A9F">
        <w:rPr>
          <w:sz w:val="22"/>
          <w:szCs w:val="22"/>
        </w:rPr>
        <w:t xml:space="preserve">1; </w:t>
      </w:r>
      <w:r w:rsidRPr="00B07A9F">
        <w:rPr>
          <w:i/>
          <w:iCs/>
          <w:sz w:val="22"/>
          <w:szCs w:val="22"/>
          <w:vertAlign w:val="superscript"/>
        </w:rPr>
        <w:t>#</w:t>
      </w:r>
      <w:r w:rsidRPr="00B07A9F">
        <w:rPr>
          <w:sz w:val="22"/>
          <w:szCs w:val="22"/>
        </w:rPr>
        <w:t xml:space="preserve">CTL HFD </w:t>
      </w:r>
      <w:r w:rsidRPr="00B07A9F">
        <w:rPr>
          <w:i/>
          <w:iCs/>
          <w:sz w:val="22"/>
          <w:szCs w:val="22"/>
        </w:rPr>
        <w:t xml:space="preserve">vs. </w:t>
      </w:r>
      <w:r w:rsidRPr="00B07A9F">
        <w:rPr>
          <w:sz w:val="22"/>
          <w:szCs w:val="22"/>
        </w:rPr>
        <w:t>Zn</w:t>
      </w:r>
      <w:r w:rsidR="00AA65A6" w:rsidRPr="00B07A9F">
        <w:rPr>
          <w:sz w:val="22"/>
          <w:szCs w:val="22"/>
        </w:rPr>
        <w:t>ONP</w:t>
      </w:r>
      <w:r w:rsidR="00244F16" w:rsidRPr="00B07A9F">
        <w:rPr>
          <w:sz w:val="22"/>
          <w:szCs w:val="22"/>
        </w:rPr>
        <w:t>s-</w:t>
      </w:r>
      <w:r w:rsidRPr="00B07A9F">
        <w:rPr>
          <w:sz w:val="22"/>
          <w:szCs w:val="22"/>
        </w:rPr>
        <w:t>2</w:t>
      </w:r>
    </w:p>
    <w:p w14:paraId="4EF74E11" w14:textId="753B85B2" w:rsidR="00981F50" w:rsidRPr="00B07A9F" w:rsidRDefault="00981F50" w:rsidP="00340920">
      <w:pPr>
        <w:rPr>
          <w:sz w:val="22"/>
          <w:szCs w:val="22"/>
        </w:rPr>
      </w:pPr>
      <w:r w:rsidRPr="00B07A9F">
        <w:rPr>
          <w:sz w:val="22"/>
          <w:szCs w:val="22"/>
        </w:rPr>
        <w:t xml:space="preserve">After glucose administration, an increase in blood glucose was observed in all the mice followed by a tendency toward restoration after approximately 2 h. This increase in blood glucose levels was not significantly different from that of normal mice in the DCM extract of PO- and </w:t>
      </w:r>
      <w:proofErr w:type="spellStart"/>
      <w:r w:rsidRPr="00B07A9F">
        <w:rPr>
          <w:sz w:val="22"/>
          <w:szCs w:val="22"/>
        </w:rPr>
        <w:t>ZnONP</w:t>
      </w:r>
      <w:proofErr w:type="spellEnd"/>
      <w:r w:rsidRPr="00B07A9F">
        <w:rPr>
          <w:sz w:val="22"/>
          <w:szCs w:val="22"/>
        </w:rPr>
        <w:t xml:space="preserve">-treated mice and was significantly lower compared to that of HFD controls (Figures 3A and 4A). Pretreatment with </w:t>
      </w:r>
      <w:proofErr w:type="spellStart"/>
      <w:r w:rsidRPr="00B07A9F">
        <w:rPr>
          <w:sz w:val="22"/>
          <w:szCs w:val="22"/>
        </w:rPr>
        <w:t>ZnONPs</w:t>
      </w:r>
      <w:proofErr w:type="spellEnd"/>
      <w:r w:rsidRPr="00B07A9F">
        <w:rPr>
          <w:sz w:val="22"/>
          <w:szCs w:val="22"/>
        </w:rPr>
        <w:t xml:space="preserve"> (corresponding to 10 mg of </w:t>
      </w:r>
      <w:proofErr w:type="spellStart"/>
      <w:r w:rsidRPr="00B07A9F">
        <w:rPr>
          <w:sz w:val="22"/>
          <w:szCs w:val="22"/>
        </w:rPr>
        <w:t>ZnONPs</w:t>
      </w:r>
      <w:proofErr w:type="spellEnd"/>
      <w:r w:rsidRPr="00B07A9F">
        <w:rPr>
          <w:sz w:val="22"/>
          <w:szCs w:val="22"/>
        </w:rPr>
        <w:t xml:space="preserve"> capped with 0.31 mg of phenolic compounds (Supplementary information, Table S1))</w:t>
      </w:r>
      <w:r w:rsidRPr="00B07A9F">
        <w:rPr>
          <w:color w:val="FF0000"/>
          <w:sz w:val="22"/>
          <w:szCs w:val="22"/>
        </w:rPr>
        <w:t xml:space="preserve"> </w:t>
      </w:r>
      <w:r w:rsidRPr="00B07A9F">
        <w:rPr>
          <w:sz w:val="22"/>
          <w:szCs w:val="22"/>
        </w:rPr>
        <w:t xml:space="preserve">preserved the strong rise in blood glucose (Figure 4), and the effect was comparable to the effect exerted by a high dose (400 mg/kg) of the plant extract (Figure 3). AUC was found to be significantly lower for the groups of mice receiving the </w:t>
      </w:r>
      <w:r w:rsidRPr="00B07A9F">
        <w:rPr>
          <w:i/>
          <w:sz w:val="22"/>
          <w:szCs w:val="22"/>
        </w:rPr>
        <w:t xml:space="preserve">P. </w:t>
      </w:r>
      <w:proofErr w:type="spellStart"/>
      <w:r w:rsidRPr="00B07A9F">
        <w:rPr>
          <w:i/>
          <w:sz w:val="22"/>
          <w:szCs w:val="22"/>
        </w:rPr>
        <w:t>oleosa</w:t>
      </w:r>
      <w:proofErr w:type="spellEnd"/>
      <w:r w:rsidRPr="00B07A9F">
        <w:rPr>
          <w:sz w:val="22"/>
          <w:szCs w:val="22"/>
        </w:rPr>
        <w:t xml:space="preserve"> DCM extract and the </w:t>
      </w:r>
      <w:proofErr w:type="spellStart"/>
      <w:r w:rsidRPr="00B07A9F">
        <w:rPr>
          <w:sz w:val="22"/>
          <w:szCs w:val="22"/>
        </w:rPr>
        <w:t>ZnONPs</w:t>
      </w:r>
      <w:proofErr w:type="spellEnd"/>
      <w:r w:rsidRPr="00B07A9F">
        <w:rPr>
          <w:sz w:val="22"/>
          <w:szCs w:val="22"/>
        </w:rPr>
        <w:t xml:space="preserve"> (Figures 3B and 4B).</w:t>
      </w:r>
    </w:p>
    <w:p w14:paraId="007AC29D" w14:textId="77777777" w:rsidR="00981F50" w:rsidRPr="00B07A9F" w:rsidRDefault="00981F50" w:rsidP="00340920">
      <w:pPr>
        <w:pStyle w:val="Heading1"/>
        <w:numPr>
          <w:ilvl w:val="0"/>
          <w:numId w:val="34"/>
        </w:numPr>
        <w:spacing w:before="240" w:after="120"/>
        <w:rPr>
          <w:rFonts w:ascii="Times New Roman" w:hAnsi="Times New Roman"/>
          <w:sz w:val="22"/>
          <w:szCs w:val="22"/>
        </w:rPr>
      </w:pPr>
      <w:bookmarkStart w:id="19" w:name="_Hlk115643847"/>
      <w:bookmarkEnd w:id="10"/>
      <w:r w:rsidRPr="00B07A9F">
        <w:rPr>
          <w:rFonts w:ascii="Times New Roman" w:hAnsi="Times New Roman"/>
          <w:sz w:val="22"/>
          <w:szCs w:val="22"/>
        </w:rPr>
        <w:t>Conclusion</w:t>
      </w:r>
    </w:p>
    <w:p w14:paraId="0088ABC0" w14:textId="2C3616BF" w:rsidR="00981F50" w:rsidRPr="00B07A9F" w:rsidRDefault="00981F50" w:rsidP="00340920">
      <w:pPr>
        <w:spacing w:before="240"/>
        <w:rPr>
          <w:sz w:val="22"/>
          <w:szCs w:val="22"/>
        </w:rPr>
      </w:pPr>
      <w:r w:rsidRPr="00B07A9F">
        <w:rPr>
          <w:sz w:val="22"/>
          <w:szCs w:val="22"/>
        </w:rPr>
        <w:t xml:space="preserve">The aqueous extract of </w:t>
      </w:r>
      <w:r w:rsidRPr="00B07A9F">
        <w:rPr>
          <w:i/>
          <w:sz w:val="22"/>
          <w:szCs w:val="22"/>
        </w:rPr>
        <w:t xml:space="preserve">P. </w:t>
      </w:r>
      <w:proofErr w:type="spellStart"/>
      <w:r w:rsidRPr="00B07A9F">
        <w:rPr>
          <w:i/>
          <w:sz w:val="22"/>
          <w:szCs w:val="22"/>
        </w:rPr>
        <w:t>oleosa</w:t>
      </w:r>
      <w:proofErr w:type="spellEnd"/>
      <w:r w:rsidRPr="00B07A9F">
        <w:rPr>
          <w:sz w:val="22"/>
          <w:szCs w:val="22"/>
        </w:rPr>
        <w:t xml:space="preserve"> was selected for the green synthesis of </w:t>
      </w:r>
      <w:proofErr w:type="spellStart"/>
      <w:r w:rsidRPr="00B07A9F">
        <w:rPr>
          <w:sz w:val="22"/>
          <w:szCs w:val="22"/>
        </w:rPr>
        <w:t>ZnO</w:t>
      </w:r>
      <w:proofErr w:type="spellEnd"/>
      <w:r w:rsidRPr="00B07A9F">
        <w:rPr>
          <w:sz w:val="22"/>
          <w:szCs w:val="22"/>
        </w:rPr>
        <w:t xml:space="preserve"> nanoparticles because of its strong antioxidant activity compared to the extracts of other plants evaluated. To our knowledge, this plant extract has not been evaluated before for the preparation of </w:t>
      </w:r>
      <w:proofErr w:type="spellStart"/>
      <w:r w:rsidRPr="00B07A9F">
        <w:rPr>
          <w:sz w:val="22"/>
          <w:szCs w:val="22"/>
        </w:rPr>
        <w:t>ZnONPs</w:t>
      </w:r>
      <w:proofErr w:type="spellEnd"/>
      <w:r w:rsidRPr="00B07A9F">
        <w:rPr>
          <w:sz w:val="22"/>
          <w:szCs w:val="22"/>
        </w:rPr>
        <w:t xml:space="preserve">. A comparison of two green approaches for the preparation of </w:t>
      </w:r>
      <w:proofErr w:type="spellStart"/>
      <w:r w:rsidRPr="00B07A9F">
        <w:rPr>
          <w:sz w:val="22"/>
          <w:szCs w:val="22"/>
        </w:rPr>
        <w:t>ZnONPs</w:t>
      </w:r>
      <w:proofErr w:type="spellEnd"/>
      <w:r w:rsidRPr="00B07A9F">
        <w:rPr>
          <w:sz w:val="22"/>
          <w:szCs w:val="22"/>
        </w:rPr>
        <w:t xml:space="preserve"> (heating at high temperatures </w:t>
      </w:r>
      <w:r w:rsidRPr="00B07A9F">
        <w:rPr>
          <w:i/>
          <w:sz w:val="22"/>
          <w:szCs w:val="22"/>
        </w:rPr>
        <w:t>versus</w:t>
      </w:r>
      <w:r w:rsidRPr="00B07A9F">
        <w:rPr>
          <w:sz w:val="22"/>
          <w:szCs w:val="22"/>
        </w:rPr>
        <w:t xml:space="preserve"> low temperatures with the addition of suspending agents including Tween 80 or gum </w:t>
      </w:r>
      <w:proofErr w:type="spellStart"/>
      <w:r w:rsidRPr="00B07A9F">
        <w:rPr>
          <w:sz w:val="22"/>
          <w:szCs w:val="22"/>
        </w:rPr>
        <w:t>arabic</w:t>
      </w:r>
      <w:proofErr w:type="spellEnd"/>
      <w:r w:rsidRPr="00B07A9F">
        <w:rPr>
          <w:sz w:val="22"/>
          <w:szCs w:val="22"/>
        </w:rPr>
        <w:t xml:space="preserve"> and with pH variations followed by freeze-drying) was carried out. The high-temperature synthesis approach led to nanoparticles that were almost uncapped by phytochemicals. The low-temperature method with the addition of suspending agents with adjustment of the pH of the reaction medium between 9 and 10 allowed us to obtain nanoparticles with high retention of phytochemicals. These nanoparticles were more stable when Tween 80 was used in their manufacture than when gum </w:t>
      </w:r>
      <w:proofErr w:type="spellStart"/>
      <w:r w:rsidRPr="00B07A9F">
        <w:rPr>
          <w:sz w:val="22"/>
          <w:szCs w:val="22"/>
        </w:rPr>
        <w:t>arabic</w:t>
      </w:r>
      <w:proofErr w:type="spellEnd"/>
      <w:r w:rsidRPr="00B07A9F">
        <w:rPr>
          <w:sz w:val="22"/>
          <w:szCs w:val="22"/>
        </w:rPr>
        <w:t xml:space="preserve"> was used. Pronounced antihyperglycemic activity was observed. From these results, we demonstrated that </w:t>
      </w:r>
      <w:proofErr w:type="spellStart"/>
      <w:r w:rsidRPr="00B07A9F">
        <w:rPr>
          <w:sz w:val="22"/>
          <w:szCs w:val="22"/>
        </w:rPr>
        <w:t>ZnONPs</w:t>
      </w:r>
      <w:proofErr w:type="spellEnd"/>
      <w:r w:rsidRPr="00B07A9F">
        <w:rPr>
          <w:sz w:val="22"/>
          <w:szCs w:val="22"/>
        </w:rPr>
        <w:t xml:space="preserve"> with a high retention rate of phytochemicals (phenolics) are able to induce antihyperglycemic effects at a lower dose compared to the extracts alone (10 mg </w:t>
      </w:r>
      <w:proofErr w:type="spellStart"/>
      <w:r w:rsidRPr="00B07A9F">
        <w:rPr>
          <w:sz w:val="22"/>
          <w:szCs w:val="22"/>
        </w:rPr>
        <w:t>ZnO</w:t>
      </w:r>
      <w:proofErr w:type="spellEnd"/>
      <w:r w:rsidRPr="00B07A9F">
        <w:rPr>
          <w:sz w:val="22"/>
          <w:szCs w:val="22"/>
        </w:rPr>
        <w:t xml:space="preserve">/kg + 0.31 mg phenolic compounds/kg </w:t>
      </w:r>
      <w:r w:rsidRPr="00B07A9F">
        <w:rPr>
          <w:i/>
          <w:iCs/>
          <w:sz w:val="22"/>
          <w:szCs w:val="22"/>
        </w:rPr>
        <w:t xml:space="preserve">vs. </w:t>
      </w:r>
      <w:r w:rsidRPr="00B07A9F">
        <w:rPr>
          <w:sz w:val="22"/>
          <w:szCs w:val="22"/>
        </w:rPr>
        <w:t>400 mg plant extract/kg (where only the DCM extract was effective, not the aqueous one)). This strategy could represent an easier, greener and more affordable strategy for the management of, e.g., type 2 diabetes mellitus.</w:t>
      </w:r>
    </w:p>
    <w:p w14:paraId="16318666" w14:textId="77777777" w:rsidR="00981F50" w:rsidRPr="00B07A9F" w:rsidRDefault="00981F50" w:rsidP="00340920">
      <w:pPr>
        <w:pStyle w:val="Heading2"/>
        <w:spacing w:after="240"/>
        <w:rPr>
          <w:rFonts w:ascii="Times New Roman" w:hAnsi="Times New Roman"/>
          <w:sz w:val="22"/>
          <w:szCs w:val="22"/>
        </w:rPr>
      </w:pPr>
      <w:r w:rsidRPr="00B07A9F">
        <w:rPr>
          <w:rFonts w:ascii="Times New Roman" w:hAnsi="Times New Roman"/>
          <w:sz w:val="22"/>
          <w:szCs w:val="22"/>
        </w:rPr>
        <w:t>Declaration of Competing Interests</w:t>
      </w:r>
    </w:p>
    <w:p w14:paraId="04FDA506" w14:textId="77777777" w:rsidR="00981F50" w:rsidRPr="00B07A9F" w:rsidRDefault="00981F50" w:rsidP="00340920">
      <w:pPr>
        <w:spacing w:after="240"/>
        <w:rPr>
          <w:sz w:val="22"/>
          <w:szCs w:val="22"/>
        </w:rPr>
      </w:pPr>
      <w:r w:rsidRPr="00B07A9F">
        <w:rPr>
          <w:sz w:val="22"/>
          <w:szCs w:val="22"/>
        </w:rPr>
        <w:t>The authors declare that they have no competing financial interests or personal relationships that could have appeared to influence the work reported in this paper.</w:t>
      </w:r>
    </w:p>
    <w:p w14:paraId="11B09795" w14:textId="77777777" w:rsidR="00981F50" w:rsidRPr="00B07A9F" w:rsidRDefault="00981F50" w:rsidP="00340920">
      <w:pPr>
        <w:pStyle w:val="Heading2"/>
        <w:spacing w:before="0" w:after="240"/>
        <w:rPr>
          <w:rFonts w:ascii="Times New Roman" w:hAnsi="Times New Roman"/>
          <w:sz w:val="22"/>
          <w:szCs w:val="22"/>
        </w:rPr>
      </w:pPr>
      <w:r w:rsidRPr="00B07A9F">
        <w:rPr>
          <w:rFonts w:ascii="Times New Roman" w:hAnsi="Times New Roman"/>
          <w:sz w:val="22"/>
          <w:szCs w:val="22"/>
        </w:rPr>
        <w:t>Author contributions</w:t>
      </w:r>
    </w:p>
    <w:p w14:paraId="3EB3FA65" w14:textId="77777777" w:rsidR="00981F50" w:rsidRPr="00B07A9F" w:rsidRDefault="00981F50" w:rsidP="00340920">
      <w:pPr>
        <w:spacing w:after="240"/>
        <w:rPr>
          <w:sz w:val="22"/>
          <w:szCs w:val="22"/>
        </w:rPr>
      </w:pPr>
      <w:r w:rsidRPr="00B07A9F">
        <w:rPr>
          <w:sz w:val="22"/>
          <w:szCs w:val="22"/>
        </w:rPr>
        <w:t xml:space="preserve">Espoir K. Kambale: Conceptualization, Data curation, Formal analysis, Investigation, Methodology, Resources, software, Visualization, Writing - original draft. Frederick M. </w:t>
      </w:r>
      <w:proofErr w:type="spellStart"/>
      <w:r w:rsidRPr="00B07A9F">
        <w:rPr>
          <w:sz w:val="22"/>
          <w:szCs w:val="22"/>
        </w:rPr>
        <w:t>Katemo</w:t>
      </w:r>
      <w:proofErr w:type="spellEnd"/>
      <w:r w:rsidRPr="00B07A9F">
        <w:rPr>
          <w:sz w:val="22"/>
          <w:szCs w:val="22"/>
        </w:rPr>
        <w:t xml:space="preserve">: Investigations, Resources. </w:t>
      </w:r>
      <w:proofErr w:type="spellStart"/>
      <w:r w:rsidRPr="00B07A9F">
        <w:rPr>
          <w:sz w:val="22"/>
          <w:szCs w:val="22"/>
        </w:rPr>
        <w:t>Joëlle</w:t>
      </w:r>
      <w:proofErr w:type="spellEnd"/>
      <w:r w:rsidRPr="00B07A9F">
        <w:rPr>
          <w:sz w:val="22"/>
          <w:szCs w:val="22"/>
        </w:rPr>
        <w:t xml:space="preserve"> </w:t>
      </w:r>
      <w:proofErr w:type="spellStart"/>
      <w:r w:rsidRPr="00B07A9F">
        <w:rPr>
          <w:sz w:val="22"/>
          <w:szCs w:val="22"/>
        </w:rPr>
        <w:t>Quetin-Leclercq</w:t>
      </w:r>
      <w:proofErr w:type="spellEnd"/>
      <w:r w:rsidRPr="00B07A9F">
        <w:rPr>
          <w:sz w:val="22"/>
          <w:szCs w:val="22"/>
        </w:rPr>
        <w:t xml:space="preserve">: Conceptualization, Formal analysis, Methodology, Supervision, Validation, Writing - review &amp; editing. Patrick B. </w:t>
      </w:r>
      <w:proofErr w:type="spellStart"/>
      <w:r w:rsidRPr="00B07A9F">
        <w:rPr>
          <w:sz w:val="22"/>
          <w:szCs w:val="22"/>
        </w:rPr>
        <w:t>Memvanga</w:t>
      </w:r>
      <w:proofErr w:type="spellEnd"/>
      <w:r w:rsidRPr="00B07A9F">
        <w:rPr>
          <w:sz w:val="22"/>
          <w:szCs w:val="22"/>
        </w:rPr>
        <w:t xml:space="preserve">: Conceptualization, Formal analysis, Methodology, Supervision, Validation, Writing - review &amp; editing. Ana </w:t>
      </w:r>
      <w:proofErr w:type="spellStart"/>
      <w:r w:rsidRPr="00B07A9F">
        <w:rPr>
          <w:sz w:val="22"/>
          <w:szCs w:val="22"/>
        </w:rPr>
        <w:t>Beloqui</w:t>
      </w:r>
      <w:proofErr w:type="spellEnd"/>
      <w:r w:rsidRPr="00B07A9F">
        <w:rPr>
          <w:sz w:val="22"/>
          <w:szCs w:val="22"/>
        </w:rPr>
        <w:t>: Conceptualization, Data curation, Methodology, Funding acquisition, Project administration, Resources, Supervision, Validation, Writing - review &amp; editing.</w:t>
      </w:r>
    </w:p>
    <w:p w14:paraId="1999CCEC" w14:textId="77777777" w:rsidR="00981F50" w:rsidRPr="00B07A9F" w:rsidRDefault="00981F50" w:rsidP="00340920">
      <w:pPr>
        <w:pStyle w:val="Heading2"/>
        <w:spacing w:before="0" w:after="240"/>
        <w:rPr>
          <w:rFonts w:ascii="Times New Roman" w:hAnsi="Times New Roman"/>
          <w:sz w:val="22"/>
          <w:szCs w:val="22"/>
        </w:rPr>
      </w:pPr>
      <w:r w:rsidRPr="00B07A9F">
        <w:rPr>
          <w:rFonts w:ascii="Times New Roman" w:hAnsi="Times New Roman"/>
          <w:sz w:val="22"/>
          <w:szCs w:val="22"/>
        </w:rPr>
        <w:t>Acknowledgments</w:t>
      </w:r>
    </w:p>
    <w:p w14:paraId="3C573BD2" w14:textId="11162D93" w:rsidR="00981F50" w:rsidRPr="00B07A9F" w:rsidRDefault="00981F50" w:rsidP="00340920">
      <w:pPr>
        <w:spacing w:after="240"/>
        <w:rPr>
          <w:sz w:val="22"/>
          <w:szCs w:val="22"/>
        </w:rPr>
      </w:pPr>
      <w:r w:rsidRPr="00B07A9F">
        <w:rPr>
          <w:sz w:val="22"/>
          <w:szCs w:val="22"/>
        </w:rPr>
        <w:t xml:space="preserve">The authors gratefully acknowledge the Université </w:t>
      </w:r>
      <w:proofErr w:type="spellStart"/>
      <w:r w:rsidRPr="00B07A9F">
        <w:rPr>
          <w:sz w:val="22"/>
          <w:szCs w:val="22"/>
        </w:rPr>
        <w:t>catholique</w:t>
      </w:r>
      <w:proofErr w:type="spellEnd"/>
      <w:r w:rsidRPr="00B07A9F">
        <w:rPr>
          <w:sz w:val="22"/>
          <w:szCs w:val="22"/>
        </w:rPr>
        <w:t xml:space="preserve"> de Louvain/</w:t>
      </w:r>
      <w:proofErr w:type="spellStart"/>
      <w:r w:rsidRPr="00B07A9F">
        <w:rPr>
          <w:sz w:val="22"/>
          <w:szCs w:val="22"/>
        </w:rPr>
        <w:t>UCLouvain</w:t>
      </w:r>
      <w:proofErr w:type="spellEnd"/>
      <w:r w:rsidRPr="00B07A9F">
        <w:rPr>
          <w:sz w:val="22"/>
          <w:szCs w:val="22"/>
        </w:rPr>
        <w:t xml:space="preserve"> (</w:t>
      </w:r>
      <w:proofErr w:type="spellStart"/>
      <w:r w:rsidRPr="00B07A9F">
        <w:rPr>
          <w:sz w:val="22"/>
          <w:szCs w:val="22"/>
        </w:rPr>
        <w:t>coopération</w:t>
      </w:r>
      <w:proofErr w:type="spellEnd"/>
      <w:r w:rsidRPr="00B07A9F">
        <w:rPr>
          <w:sz w:val="22"/>
          <w:szCs w:val="22"/>
        </w:rPr>
        <w:t xml:space="preserve"> au </w:t>
      </w:r>
      <w:proofErr w:type="spellStart"/>
      <w:r w:rsidRPr="00B07A9F">
        <w:rPr>
          <w:sz w:val="22"/>
          <w:szCs w:val="22"/>
        </w:rPr>
        <w:t>développement</w:t>
      </w:r>
      <w:proofErr w:type="spellEnd"/>
      <w:r w:rsidRPr="00B07A9F">
        <w:rPr>
          <w:sz w:val="22"/>
          <w:szCs w:val="22"/>
        </w:rPr>
        <w:t xml:space="preserve">) for supporting this work with the PhD scholarship to Espoir K. Kambale. Ana </w:t>
      </w:r>
      <w:proofErr w:type="spellStart"/>
      <w:r w:rsidRPr="00B07A9F">
        <w:rPr>
          <w:sz w:val="22"/>
          <w:szCs w:val="22"/>
        </w:rPr>
        <w:t>Beloqui</w:t>
      </w:r>
      <w:proofErr w:type="spellEnd"/>
      <w:r w:rsidRPr="00B07A9F">
        <w:rPr>
          <w:sz w:val="22"/>
          <w:szCs w:val="22"/>
        </w:rPr>
        <w:t xml:space="preserve"> is a research associate of the Belgian National Funds for Scientific Research (F.R.S.-FNRS) and a WELBIO investigator. CRITESS is the beneficiary of a grant from the </w:t>
      </w:r>
      <w:proofErr w:type="spellStart"/>
      <w:r w:rsidRPr="00B07A9F">
        <w:rPr>
          <w:sz w:val="22"/>
          <w:szCs w:val="22"/>
        </w:rPr>
        <w:t>Institut</w:t>
      </w:r>
      <w:proofErr w:type="spellEnd"/>
      <w:r w:rsidRPr="00B07A9F">
        <w:rPr>
          <w:sz w:val="22"/>
          <w:szCs w:val="22"/>
        </w:rPr>
        <w:t xml:space="preserve"> de la Francophonie pour le </w:t>
      </w:r>
      <w:proofErr w:type="spellStart"/>
      <w:r w:rsidRPr="00B07A9F">
        <w:rPr>
          <w:sz w:val="22"/>
          <w:szCs w:val="22"/>
        </w:rPr>
        <w:t>Développement</w:t>
      </w:r>
      <w:proofErr w:type="spellEnd"/>
      <w:r w:rsidRPr="00B07A9F">
        <w:rPr>
          <w:sz w:val="22"/>
          <w:szCs w:val="22"/>
        </w:rPr>
        <w:t xml:space="preserve"> Durable (IFDD/Canada)/</w:t>
      </w:r>
      <w:proofErr w:type="spellStart"/>
      <w:r w:rsidRPr="00B07A9F">
        <w:rPr>
          <w:sz w:val="22"/>
          <w:szCs w:val="22"/>
        </w:rPr>
        <w:t>Projet</w:t>
      </w:r>
      <w:proofErr w:type="spellEnd"/>
      <w:r w:rsidRPr="00B07A9F">
        <w:rPr>
          <w:sz w:val="22"/>
          <w:szCs w:val="22"/>
        </w:rPr>
        <w:t xml:space="preserve"> de </w:t>
      </w:r>
      <w:proofErr w:type="spellStart"/>
      <w:r w:rsidRPr="00B07A9F">
        <w:rPr>
          <w:sz w:val="22"/>
          <w:szCs w:val="22"/>
        </w:rPr>
        <w:t>Déploiement</w:t>
      </w:r>
      <w:proofErr w:type="spellEnd"/>
      <w:r w:rsidRPr="00B07A9F">
        <w:rPr>
          <w:sz w:val="22"/>
          <w:szCs w:val="22"/>
        </w:rPr>
        <w:t xml:space="preserve"> des Technologies et Innovations </w:t>
      </w:r>
      <w:proofErr w:type="spellStart"/>
      <w:r w:rsidRPr="00B07A9F">
        <w:rPr>
          <w:sz w:val="22"/>
          <w:szCs w:val="22"/>
        </w:rPr>
        <w:t>Environnementales</w:t>
      </w:r>
      <w:proofErr w:type="spellEnd"/>
      <w:r w:rsidRPr="00B07A9F">
        <w:rPr>
          <w:sz w:val="22"/>
          <w:szCs w:val="22"/>
        </w:rPr>
        <w:t xml:space="preserve"> (PDTIE), funded by the Organization </w:t>
      </w:r>
      <w:proofErr w:type="spellStart"/>
      <w:r w:rsidRPr="00B07A9F">
        <w:rPr>
          <w:sz w:val="22"/>
          <w:szCs w:val="22"/>
        </w:rPr>
        <w:t>Internationale</w:t>
      </w:r>
      <w:proofErr w:type="spellEnd"/>
      <w:r w:rsidRPr="00B07A9F">
        <w:rPr>
          <w:sz w:val="22"/>
          <w:szCs w:val="22"/>
        </w:rPr>
        <w:t xml:space="preserve"> de la Francophonie (OIF), the Organization of African, Caribbean and Pacific States (OACPS) and the European Union (EU) (FED/2</w:t>
      </w:r>
      <w:r w:rsidR="00B92CD6" w:rsidRPr="00B07A9F">
        <w:rPr>
          <w:sz w:val="22"/>
          <w:szCs w:val="22"/>
        </w:rPr>
        <w:t>0</w:t>
      </w:r>
      <w:r w:rsidRPr="00B07A9F">
        <w:rPr>
          <w:sz w:val="22"/>
          <w:szCs w:val="22"/>
        </w:rPr>
        <w:t>20/421-370).</w:t>
      </w:r>
    </w:p>
    <w:p w14:paraId="6992209E" w14:textId="70A0F558" w:rsidR="00244F16" w:rsidRPr="00B07A9F" w:rsidRDefault="00244F16" w:rsidP="00244F16">
      <w:pPr>
        <w:pStyle w:val="Heading2"/>
        <w:spacing w:before="0" w:after="240"/>
        <w:rPr>
          <w:rFonts w:ascii="Times New Roman" w:hAnsi="Times New Roman"/>
          <w:sz w:val="22"/>
          <w:szCs w:val="22"/>
        </w:rPr>
      </w:pPr>
      <w:r w:rsidRPr="00B07A9F">
        <w:rPr>
          <w:rFonts w:ascii="Times New Roman" w:hAnsi="Times New Roman"/>
          <w:sz w:val="22"/>
          <w:szCs w:val="22"/>
        </w:rPr>
        <w:lastRenderedPageBreak/>
        <w:t>Appendix A. Supplementary figures/tables</w:t>
      </w:r>
    </w:p>
    <w:p w14:paraId="00DC6374" w14:textId="77777777" w:rsidR="00244F16" w:rsidRPr="00B07A9F" w:rsidRDefault="00244F16" w:rsidP="00244F16">
      <w:pPr>
        <w:pStyle w:val="Heading1"/>
        <w:spacing w:before="240" w:after="120"/>
        <w:rPr>
          <w:rFonts w:ascii="Times New Roman" w:hAnsi="Times New Roman"/>
          <w:sz w:val="20"/>
        </w:rPr>
      </w:pPr>
      <w:r w:rsidRPr="00B07A9F">
        <w:rPr>
          <w:rFonts w:ascii="Times New Roman" w:hAnsi="Times New Roman"/>
          <w:sz w:val="20"/>
        </w:rPr>
        <w:t xml:space="preserve">References </w:t>
      </w:r>
    </w:p>
    <w:p w14:paraId="5A2A1829" w14:textId="4D690AA4" w:rsidR="007B30B3" w:rsidRPr="00B07A9F" w:rsidRDefault="00244F16" w:rsidP="007B30B3">
      <w:pPr>
        <w:widowControl w:val="0"/>
        <w:autoSpaceDE w:val="0"/>
        <w:autoSpaceDN w:val="0"/>
        <w:adjustRightInd w:val="0"/>
        <w:spacing w:after="0"/>
        <w:ind w:left="480" w:hanging="480"/>
        <w:rPr>
          <w:noProof/>
          <w:sz w:val="22"/>
          <w:szCs w:val="24"/>
        </w:rPr>
      </w:pPr>
      <w:r w:rsidRPr="00B07A9F">
        <w:rPr>
          <w:sz w:val="22"/>
        </w:rPr>
        <w:fldChar w:fldCharType="begin" w:fldLock="1"/>
      </w:r>
      <w:r w:rsidRPr="00B07A9F">
        <w:rPr>
          <w:sz w:val="22"/>
        </w:rPr>
        <w:instrText xml:space="preserve">ADDIN Mendeley Bibliography CSL_BIBLIOGRAPHY </w:instrText>
      </w:r>
      <w:r w:rsidRPr="00B07A9F">
        <w:rPr>
          <w:sz w:val="22"/>
        </w:rPr>
        <w:fldChar w:fldCharType="separate"/>
      </w:r>
      <w:r w:rsidR="007B30B3" w:rsidRPr="00B07A9F">
        <w:rPr>
          <w:noProof/>
          <w:sz w:val="22"/>
          <w:szCs w:val="24"/>
        </w:rPr>
        <w:t>Alara, O.R., Abdurahman, N.H., Ukaegbu, C.I., 2021. Extraction of phenolic compounds: A review. Curr. Res. Food Sci. 4, 200–214. https://doi.org/10.1016/j.crfs.2021.03.011</w:t>
      </w:r>
    </w:p>
    <w:p w14:paraId="1BEDB265" w14:textId="77777777" w:rsidR="007B30B3" w:rsidRPr="00B07A9F" w:rsidRDefault="007B30B3" w:rsidP="007B30B3">
      <w:pPr>
        <w:widowControl w:val="0"/>
        <w:autoSpaceDE w:val="0"/>
        <w:autoSpaceDN w:val="0"/>
        <w:adjustRightInd w:val="0"/>
        <w:spacing w:after="0"/>
        <w:ind w:left="480" w:hanging="480"/>
        <w:rPr>
          <w:noProof/>
          <w:sz w:val="22"/>
          <w:szCs w:val="24"/>
        </w:rPr>
      </w:pPr>
      <w:r w:rsidRPr="00B07A9F">
        <w:rPr>
          <w:noProof/>
          <w:sz w:val="22"/>
          <w:szCs w:val="24"/>
        </w:rPr>
        <w:t>Atangwho, I.J., Yin, K.B., Umar, M.I., Ahmad, M., Asmawi, M.Z., 2014. Vernonia amygdalina simultaneously suppresses gluconeogenesis and potentiates glucose oxidation via the pentose phosphate pathway in streptozotocin-induced diabetic rats. BMC Complement. Altern. Med. 14, 1–13. https://doi.org/10.1186/1472-6882-14-426</w:t>
      </w:r>
    </w:p>
    <w:p w14:paraId="08E17A7A" w14:textId="77777777" w:rsidR="007B30B3" w:rsidRPr="00B07A9F" w:rsidRDefault="007B30B3" w:rsidP="007B30B3">
      <w:pPr>
        <w:widowControl w:val="0"/>
        <w:autoSpaceDE w:val="0"/>
        <w:autoSpaceDN w:val="0"/>
        <w:adjustRightInd w:val="0"/>
        <w:spacing w:after="0"/>
        <w:ind w:left="480" w:hanging="480"/>
        <w:rPr>
          <w:noProof/>
          <w:sz w:val="22"/>
          <w:szCs w:val="24"/>
        </w:rPr>
      </w:pPr>
      <w:r w:rsidRPr="00B07A9F">
        <w:rPr>
          <w:noProof/>
          <w:sz w:val="22"/>
          <w:szCs w:val="24"/>
        </w:rPr>
        <w:t>Attakpa, E.S., Sangaré, M.M., Béhanzin, G.J., Ategbo, J.M., Seri, B., Khan, N.A., 2017. Moringa olifeira Lam. Stimulates activation of the insulin-dependent akt pathway. Antidiabetic effect in a diet-induced obesity (DIO) mouse model. Folia Biol. (Czech Republic) 63, 42–51.</w:t>
      </w:r>
    </w:p>
    <w:p w14:paraId="4D244D1F" w14:textId="77777777" w:rsidR="007B30B3" w:rsidRPr="00B07A9F" w:rsidRDefault="007B30B3" w:rsidP="007B30B3">
      <w:pPr>
        <w:widowControl w:val="0"/>
        <w:autoSpaceDE w:val="0"/>
        <w:autoSpaceDN w:val="0"/>
        <w:adjustRightInd w:val="0"/>
        <w:spacing w:after="0"/>
        <w:ind w:left="480" w:hanging="480"/>
        <w:rPr>
          <w:noProof/>
          <w:sz w:val="22"/>
          <w:szCs w:val="24"/>
          <w:lang w:val="fr-BE"/>
        </w:rPr>
      </w:pPr>
      <w:r w:rsidRPr="00B07A9F">
        <w:rPr>
          <w:noProof/>
          <w:sz w:val="22"/>
          <w:szCs w:val="24"/>
        </w:rPr>
        <w:t xml:space="preserve">Bala, N., Saha, S., Chakraborty, M., Maiti, M., Das, S., Basu, R., Nandy, P., 2014. RSC Advances Green synthesis of zinc oxide nanoparticles using Hibiscus subdari ff a leaf extract : e ff ect of. </w:t>
      </w:r>
      <w:r w:rsidRPr="00B07A9F">
        <w:rPr>
          <w:noProof/>
          <w:sz w:val="22"/>
          <w:szCs w:val="24"/>
          <w:lang w:val="fr-BE"/>
        </w:rPr>
        <w:t>RSC Adv. 5, 4993–5003. https://doi.org/10.1039/C4RA12784F</w:t>
      </w:r>
    </w:p>
    <w:p w14:paraId="04AF7DF3" w14:textId="77777777" w:rsidR="007B30B3" w:rsidRPr="00B07A9F" w:rsidRDefault="007B30B3" w:rsidP="007B30B3">
      <w:pPr>
        <w:widowControl w:val="0"/>
        <w:autoSpaceDE w:val="0"/>
        <w:autoSpaceDN w:val="0"/>
        <w:adjustRightInd w:val="0"/>
        <w:spacing w:after="0"/>
        <w:ind w:left="480" w:hanging="480"/>
        <w:rPr>
          <w:noProof/>
          <w:sz w:val="22"/>
          <w:szCs w:val="24"/>
        </w:rPr>
      </w:pPr>
      <w:r w:rsidRPr="00B07A9F">
        <w:rPr>
          <w:noProof/>
          <w:sz w:val="22"/>
          <w:szCs w:val="24"/>
          <w:lang w:val="fr-BE"/>
        </w:rPr>
        <w:t xml:space="preserve">Basnet, P., Inakhunbi Chanu, T., Samanta, D., Chatterjee, S., 2018. </w:t>
      </w:r>
      <w:r w:rsidRPr="00B07A9F">
        <w:rPr>
          <w:noProof/>
          <w:sz w:val="22"/>
          <w:szCs w:val="24"/>
        </w:rPr>
        <w:t>A review on bio-synthesized zinc oxide nanoparticles using plant extracts as reductants and stabilizing agents. J. Photochem. Photobiol. B Biol. 183, 201–221. https://doi.org/10.1016/j.jphotobiol.2018.04.036</w:t>
      </w:r>
    </w:p>
    <w:p w14:paraId="5B7F8507" w14:textId="6135DD6B" w:rsidR="007B30B3" w:rsidRPr="00B07A9F" w:rsidRDefault="00955671" w:rsidP="007B30B3">
      <w:pPr>
        <w:widowControl w:val="0"/>
        <w:autoSpaceDE w:val="0"/>
        <w:autoSpaceDN w:val="0"/>
        <w:adjustRightInd w:val="0"/>
        <w:spacing w:after="0"/>
        <w:ind w:left="480" w:hanging="480"/>
        <w:rPr>
          <w:noProof/>
          <w:sz w:val="22"/>
          <w:szCs w:val="24"/>
        </w:rPr>
      </w:pPr>
      <w:r w:rsidRPr="00B07A9F">
        <w:rPr>
          <w:noProof/>
          <w:sz w:val="22"/>
          <w:szCs w:val="24"/>
        </w:rPr>
        <w:t>Damilola, A., Adenike, O., Akinwunmi, O., Ekiti, A., 2021. Phytochemical quantification, in vitro antioxidant and antidiabetic potentials of methanol and dichloromethane extracts of Triclisia subcordata (Oliv) leaves. Trends Phytochem. Res. 4, 17–24</w:t>
      </w:r>
      <w:r w:rsidR="007B30B3" w:rsidRPr="00B07A9F">
        <w:rPr>
          <w:noProof/>
          <w:sz w:val="22"/>
          <w:szCs w:val="24"/>
        </w:rPr>
        <w:t>.</w:t>
      </w:r>
    </w:p>
    <w:p w14:paraId="461F4EC2" w14:textId="77777777" w:rsidR="007B30B3" w:rsidRPr="00B07A9F" w:rsidRDefault="007B30B3" w:rsidP="007B30B3">
      <w:pPr>
        <w:widowControl w:val="0"/>
        <w:autoSpaceDE w:val="0"/>
        <w:autoSpaceDN w:val="0"/>
        <w:adjustRightInd w:val="0"/>
        <w:spacing w:after="0"/>
        <w:ind w:left="480" w:hanging="480"/>
        <w:rPr>
          <w:noProof/>
          <w:sz w:val="22"/>
          <w:szCs w:val="24"/>
        </w:rPr>
      </w:pPr>
      <w:r w:rsidRPr="00B07A9F">
        <w:rPr>
          <w:noProof/>
          <w:sz w:val="22"/>
          <w:szCs w:val="24"/>
        </w:rPr>
        <w:t>Doan Thi, T.U., Nguyen, T.T., Thi, Y.D., Ta Thi, K.H., Phan, B.T., Pham, K.N., 2020. Green synthesis of ZnO nanoparticles using orange fruit peel extract for antibacterial activities. RSC Adv. 10, 23899–23907. https://doi.org/10.1039/d0ra04926c</w:t>
      </w:r>
    </w:p>
    <w:p w14:paraId="3A1D53ED" w14:textId="77777777" w:rsidR="007B30B3" w:rsidRPr="00B07A9F" w:rsidRDefault="007B30B3" w:rsidP="007B30B3">
      <w:pPr>
        <w:widowControl w:val="0"/>
        <w:autoSpaceDE w:val="0"/>
        <w:autoSpaceDN w:val="0"/>
        <w:adjustRightInd w:val="0"/>
        <w:spacing w:after="0"/>
        <w:ind w:left="480" w:hanging="480"/>
        <w:rPr>
          <w:noProof/>
          <w:sz w:val="22"/>
          <w:szCs w:val="24"/>
        </w:rPr>
      </w:pPr>
      <w:r w:rsidRPr="00B07A9F">
        <w:rPr>
          <w:noProof/>
          <w:sz w:val="22"/>
          <w:szCs w:val="24"/>
        </w:rPr>
        <w:t>Droepenu, E.K., Wee, B.S., Chin, S.F., Kok, K.Y., Maligan, M.F., 2022. Zinc oxide nanoparticles synthesis methods and its effect on morphology: A review. Biointerface Res. Appl. Chem. 12, 4261–4292. https://doi.org/10.33263/BRIAC123.42614292</w:t>
      </w:r>
    </w:p>
    <w:p w14:paraId="122970B6" w14:textId="77777777" w:rsidR="007B30B3" w:rsidRPr="00B07A9F" w:rsidRDefault="007B30B3" w:rsidP="007B30B3">
      <w:pPr>
        <w:widowControl w:val="0"/>
        <w:autoSpaceDE w:val="0"/>
        <w:autoSpaceDN w:val="0"/>
        <w:adjustRightInd w:val="0"/>
        <w:spacing w:after="0"/>
        <w:ind w:left="480" w:hanging="480"/>
        <w:rPr>
          <w:noProof/>
          <w:sz w:val="22"/>
          <w:szCs w:val="24"/>
        </w:rPr>
      </w:pPr>
      <w:r w:rsidRPr="00B07A9F">
        <w:rPr>
          <w:noProof/>
          <w:sz w:val="22"/>
          <w:szCs w:val="24"/>
        </w:rPr>
        <w:t>Duan, L., Zhang, L., Yan, F., Liu, Z., Bao, H., Liu, T., 2021. Solubility of ZnO Nanoparticles in Food Media: An Analysis Using a Novel Semiclosed Dynamic System. J. Agric. Food Chem. 69, 11065–11073. https://doi.org/10.1021/acs.jafc.1c04344</w:t>
      </w:r>
    </w:p>
    <w:p w14:paraId="5AD59FC7" w14:textId="66FF368E" w:rsidR="007B30B3" w:rsidRPr="00B07A9F" w:rsidRDefault="007B30B3" w:rsidP="007B30B3">
      <w:pPr>
        <w:widowControl w:val="0"/>
        <w:autoSpaceDE w:val="0"/>
        <w:autoSpaceDN w:val="0"/>
        <w:adjustRightInd w:val="0"/>
        <w:spacing w:after="0"/>
        <w:ind w:left="480" w:hanging="480"/>
        <w:rPr>
          <w:noProof/>
          <w:sz w:val="22"/>
          <w:szCs w:val="24"/>
        </w:rPr>
      </w:pPr>
      <w:r w:rsidRPr="00B07A9F">
        <w:rPr>
          <w:noProof/>
          <w:sz w:val="22"/>
          <w:szCs w:val="24"/>
        </w:rPr>
        <w:t>El-Gharbawy, R.M., Emara, A.M., Abu-Risha, S.E.S., 2016. Zinc oxide nanoparticles and a standard antidiabetic drug restore the function and structure of beta cells in Type-2 diabetes. Biomed. Pharmacother. 84, 810–820. https://doi.org/10.1016/j.biopha.2016.09.068</w:t>
      </w:r>
    </w:p>
    <w:p w14:paraId="67DCDE71" w14:textId="071A09D7" w:rsidR="00955671" w:rsidRPr="00B07A9F" w:rsidRDefault="00955671" w:rsidP="00955671">
      <w:pPr>
        <w:widowControl w:val="0"/>
        <w:autoSpaceDE w:val="0"/>
        <w:autoSpaceDN w:val="0"/>
        <w:adjustRightInd w:val="0"/>
        <w:spacing w:after="0"/>
        <w:ind w:left="480" w:hanging="480"/>
        <w:rPr>
          <w:noProof/>
          <w:sz w:val="22"/>
          <w:szCs w:val="24"/>
        </w:rPr>
      </w:pPr>
      <w:r w:rsidRPr="00B07A9F">
        <w:rPr>
          <w:noProof/>
          <w:sz w:val="22"/>
          <w:szCs w:val="24"/>
        </w:rPr>
        <w:t>European Pharmacopoeia 10.8. https://pheur.edqm.eu/app/10-8/search/</w:t>
      </w:r>
    </w:p>
    <w:p w14:paraId="505F6ED5" w14:textId="77777777" w:rsidR="007B30B3" w:rsidRPr="00B07A9F" w:rsidRDefault="007B30B3" w:rsidP="007B30B3">
      <w:pPr>
        <w:widowControl w:val="0"/>
        <w:autoSpaceDE w:val="0"/>
        <w:autoSpaceDN w:val="0"/>
        <w:adjustRightInd w:val="0"/>
        <w:spacing w:after="0"/>
        <w:ind w:left="480" w:hanging="480"/>
        <w:rPr>
          <w:noProof/>
          <w:sz w:val="22"/>
          <w:szCs w:val="24"/>
        </w:rPr>
      </w:pPr>
      <w:r w:rsidRPr="00B07A9F">
        <w:rPr>
          <w:noProof/>
          <w:sz w:val="22"/>
          <w:szCs w:val="24"/>
        </w:rPr>
        <w:t>Faisal, M., Hossain, A.I., Rahman, S., Jahan, R., Rahmatullah, M., 2014. A preliminary report on oral glucose tolerance and antinociceptive activity tests conducted with methanol extract of Xanthosoma violaceum aerial parts. BMC Complement. Altern. Med. 14, 1–5. https://doi.org/10.1186/1472-6882-14-335</w:t>
      </w:r>
    </w:p>
    <w:p w14:paraId="782BBD8A" w14:textId="77777777" w:rsidR="007B30B3" w:rsidRPr="00B07A9F" w:rsidRDefault="007B30B3" w:rsidP="007B30B3">
      <w:pPr>
        <w:widowControl w:val="0"/>
        <w:autoSpaceDE w:val="0"/>
        <w:autoSpaceDN w:val="0"/>
        <w:adjustRightInd w:val="0"/>
        <w:spacing w:after="0"/>
        <w:ind w:left="480" w:hanging="480"/>
        <w:rPr>
          <w:noProof/>
          <w:sz w:val="22"/>
          <w:szCs w:val="24"/>
        </w:rPr>
      </w:pPr>
      <w:r w:rsidRPr="00B07A9F">
        <w:rPr>
          <w:noProof/>
          <w:sz w:val="22"/>
          <w:szCs w:val="24"/>
        </w:rPr>
        <w:t>Fajardo, R.J., Karim, L., Calley, V.I., Bouxsein, M.L., 2014. A review of rodent models of type 2 diabetic skeletal fragility. J. Bone Miner. Res. 29, 1025–1040. https://doi.org/10.1002/jbmr.2210</w:t>
      </w:r>
    </w:p>
    <w:p w14:paraId="41134102" w14:textId="77777777" w:rsidR="007B30B3" w:rsidRPr="00B07A9F" w:rsidRDefault="007B30B3" w:rsidP="007B30B3">
      <w:pPr>
        <w:widowControl w:val="0"/>
        <w:autoSpaceDE w:val="0"/>
        <w:autoSpaceDN w:val="0"/>
        <w:adjustRightInd w:val="0"/>
        <w:spacing w:after="0"/>
        <w:ind w:left="480" w:hanging="480"/>
        <w:rPr>
          <w:noProof/>
          <w:sz w:val="22"/>
          <w:szCs w:val="24"/>
        </w:rPr>
      </w:pPr>
      <w:r w:rsidRPr="00B07A9F">
        <w:rPr>
          <w:noProof/>
          <w:sz w:val="22"/>
          <w:szCs w:val="24"/>
        </w:rPr>
        <w:t>Farooq, D., Alamri, A., Alwhahabi, B., Metwally, A., Kareem, K., 2020. The status of zinc in type 2 diabetic patients and its association with glycemic control. J. Fam. Community Med. 27, 29–36. https://doi.org/10.4103/jfcm.JFCM_113_19</w:t>
      </w:r>
    </w:p>
    <w:p w14:paraId="1AB1B688" w14:textId="77777777" w:rsidR="007B30B3" w:rsidRPr="00B07A9F" w:rsidRDefault="007B30B3" w:rsidP="007B30B3">
      <w:pPr>
        <w:widowControl w:val="0"/>
        <w:autoSpaceDE w:val="0"/>
        <w:autoSpaceDN w:val="0"/>
        <w:adjustRightInd w:val="0"/>
        <w:spacing w:after="0"/>
        <w:ind w:left="480" w:hanging="480"/>
        <w:rPr>
          <w:noProof/>
          <w:sz w:val="22"/>
          <w:szCs w:val="24"/>
        </w:rPr>
      </w:pPr>
      <w:r w:rsidRPr="00B07A9F">
        <w:rPr>
          <w:noProof/>
          <w:sz w:val="22"/>
          <w:szCs w:val="24"/>
        </w:rPr>
        <w:t>International Diabetes Federation, 2021. IDF Diabetes Atlas 2021 - 10th edition, Brussels, Belgium, Www.Diabetesatlas.Org.</w:t>
      </w:r>
    </w:p>
    <w:p w14:paraId="2EB439DA" w14:textId="77777777" w:rsidR="007B30B3" w:rsidRPr="00B07A9F" w:rsidRDefault="007B30B3" w:rsidP="007B30B3">
      <w:pPr>
        <w:widowControl w:val="0"/>
        <w:autoSpaceDE w:val="0"/>
        <w:autoSpaceDN w:val="0"/>
        <w:adjustRightInd w:val="0"/>
        <w:spacing w:after="0"/>
        <w:ind w:left="480" w:hanging="480"/>
        <w:rPr>
          <w:noProof/>
          <w:sz w:val="22"/>
          <w:szCs w:val="24"/>
        </w:rPr>
      </w:pPr>
      <w:r w:rsidRPr="00EB27F1">
        <w:rPr>
          <w:noProof/>
          <w:sz w:val="22"/>
          <w:szCs w:val="24"/>
          <w:lang w:val="fr-BE"/>
        </w:rPr>
        <w:t xml:space="preserve">Javed, R., Zia, M., Naz, S., Aisida, S.O., Ain, N. ul, Ao, Q., 2020. </w:t>
      </w:r>
      <w:r w:rsidRPr="00B07A9F">
        <w:rPr>
          <w:noProof/>
          <w:sz w:val="22"/>
          <w:szCs w:val="24"/>
        </w:rPr>
        <w:t>Role of capping agents in the application of nanoparticles in biomedicine and environmental remediation: recent trends and future prospects. J. Nanobiotechnology 18, 1–15. https://doi.org/10.1186/s12951-020-00704-4</w:t>
      </w:r>
    </w:p>
    <w:p w14:paraId="531C2DBF" w14:textId="77777777" w:rsidR="007B30B3" w:rsidRPr="00B07A9F" w:rsidRDefault="007B30B3" w:rsidP="007B30B3">
      <w:pPr>
        <w:widowControl w:val="0"/>
        <w:autoSpaceDE w:val="0"/>
        <w:autoSpaceDN w:val="0"/>
        <w:adjustRightInd w:val="0"/>
        <w:spacing w:after="0"/>
        <w:ind w:left="480" w:hanging="480"/>
        <w:rPr>
          <w:noProof/>
          <w:sz w:val="22"/>
          <w:szCs w:val="24"/>
        </w:rPr>
      </w:pPr>
      <w:r w:rsidRPr="00B07A9F">
        <w:rPr>
          <w:noProof/>
          <w:sz w:val="22"/>
          <w:szCs w:val="24"/>
        </w:rPr>
        <w:t>Kambale, E.K., Quetin-leclercq, J., Memvanga, P.B., Beloqui, A., 2022. An Overview of Herbal-Based Antidiabetic Drug Delivery Systems : Focus on Lipid- and Inorganic-Based Nanoformulations 1–39.</w:t>
      </w:r>
    </w:p>
    <w:p w14:paraId="7B13D226" w14:textId="77777777" w:rsidR="007B30B3" w:rsidRPr="00B07A9F" w:rsidRDefault="007B30B3" w:rsidP="007B30B3">
      <w:pPr>
        <w:widowControl w:val="0"/>
        <w:autoSpaceDE w:val="0"/>
        <w:autoSpaceDN w:val="0"/>
        <w:adjustRightInd w:val="0"/>
        <w:spacing w:after="0"/>
        <w:ind w:left="480" w:hanging="480"/>
        <w:rPr>
          <w:noProof/>
          <w:sz w:val="22"/>
          <w:szCs w:val="24"/>
        </w:rPr>
      </w:pPr>
      <w:r w:rsidRPr="00EB27F1">
        <w:rPr>
          <w:noProof/>
          <w:sz w:val="22"/>
          <w:szCs w:val="24"/>
          <w:lang w:val="es-ES"/>
        </w:rPr>
        <w:t xml:space="preserve">Kaneto, H., Katakami, N., Matsuhisa, M., Matsuoka, T.A., 2010. </w:t>
      </w:r>
      <w:r w:rsidRPr="00B07A9F">
        <w:rPr>
          <w:noProof/>
          <w:sz w:val="22"/>
          <w:szCs w:val="24"/>
        </w:rPr>
        <w:t>Role of reactive oxygen species in the progression of type 2 diabetes and atherosclerosis. Mediators Inflamm. 2010. https://doi.org/10.1155/2010/453892</w:t>
      </w:r>
    </w:p>
    <w:p w14:paraId="4271ECDF" w14:textId="77777777" w:rsidR="007B30B3" w:rsidRPr="00B07A9F" w:rsidRDefault="007B30B3" w:rsidP="007B30B3">
      <w:pPr>
        <w:widowControl w:val="0"/>
        <w:autoSpaceDE w:val="0"/>
        <w:autoSpaceDN w:val="0"/>
        <w:adjustRightInd w:val="0"/>
        <w:spacing w:after="0"/>
        <w:ind w:left="480" w:hanging="480"/>
        <w:rPr>
          <w:noProof/>
          <w:sz w:val="22"/>
          <w:szCs w:val="24"/>
        </w:rPr>
      </w:pPr>
      <w:r w:rsidRPr="00B07A9F">
        <w:rPr>
          <w:noProof/>
          <w:sz w:val="22"/>
          <w:szCs w:val="24"/>
        </w:rPr>
        <w:lastRenderedPageBreak/>
        <w:t>Katemo, F.M., Kadima, J.N., Marini, R.D., 2018. Determination of in vitro antioxidant activity, acute toxicity in guinea-pig and TLC-fingerprint of Panda oleosa (Pierre) bark extract used to treat diabetes in folk medicine. Int. J. Pharm. Pharm. Res. 13, 38–50.</w:t>
      </w:r>
    </w:p>
    <w:p w14:paraId="27990499" w14:textId="5390EB17" w:rsidR="007B30B3" w:rsidRPr="00B07A9F" w:rsidRDefault="007B30B3" w:rsidP="007B30B3">
      <w:pPr>
        <w:widowControl w:val="0"/>
        <w:autoSpaceDE w:val="0"/>
        <w:autoSpaceDN w:val="0"/>
        <w:adjustRightInd w:val="0"/>
        <w:spacing w:after="0"/>
        <w:ind w:left="480" w:hanging="480"/>
        <w:rPr>
          <w:noProof/>
          <w:sz w:val="22"/>
          <w:szCs w:val="24"/>
        </w:rPr>
      </w:pPr>
      <w:r w:rsidRPr="00B07A9F">
        <w:rPr>
          <w:noProof/>
          <w:sz w:val="22"/>
          <w:szCs w:val="24"/>
        </w:rPr>
        <w:t>Muhoya, F.K., Kadima, J.N., Ranarivelo, N., Frédérich, M., Hubert, P., Djang’eing’a, R.M., 2017. Preliminary Phytochemical Content and Antidiabetic Potential Investigations of</w:t>
      </w:r>
      <w:r w:rsidR="00955671" w:rsidRPr="00B07A9F">
        <w:rPr>
          <w:noProof/>
          <w:sz w:val="22"/>
          <w:szCs w:val="24"/>
        </w:rPr>
        <w:t xml:space="preserve"> </w:t>
      </w:r>
      <w:r w:rsidRPr="00B07A9F">
        <w:rPr>
          <w:noProof/>
          <w:sz w:val="22"/>
          <w:szCs w:val="24"/>
        </w:rPr>
        <w:t>Panda oleosa (Pierre) Used in Kisangani Areas. Am. J. Anal. Chem. 08, 564–581. https://doi.org/10.4236/ajac.2017.89041</w:t>
      </w:r>
    </w:p>
    <w:p w14:paraId="34523667" w14:textId="77777777" w:rsidR="007B30B3" w:rsidRPr="00B07A9F" w:rsidRDefault="007B30B3" w:rsidP="007B30B3">
      <w:pPr>
        <w:widowControl w:val="0"/>
        <w:autoSpaceDE w:val="0"/>
        <w:autoSpaceDN w:val="0"/>
        <w:adjustRightInd w:val="0"/>
        <w:spacing w:after="0"/>
        <w:ind w:left="480" w:hanging="480"/>
        <w:rPr>
          <w:noProof/>
          <w:sz w:val="22"/>
          <w:szCs w:val="24"/>
        </w:rPr>
      </w:pPr>
      <w:r w:rsidRPr="00B07A9F">
        <w:rPr>
          <w:noProof/>
          <w:sz w:val="22"/>
          <w:szCs w:val="24"/>
        </w:rPr>
        <w:t>Naseer, M., Aslam, U., Khalid, B., Chen, B., 2020. Green route to synthesize Zinc Oxide Nanoparticles using leaf extracts of Cassia fistula and Melia azadarach and their antibacterial potential. Sci. Rep. 10, 1–10. https://doi.org/10.1038/s41598-020-65949-3</w:t>
      </w:r>
    </w:p>
    <w:p w14:paraId="50FDD892" w14:textId="77777777" w:rsidR="007B30B3" w:rsidRPr="00B07A9F" w:rsidRDefault="007B30B3" w:rsidP="007B30B3">
      <w:pPr>
        <w:widowControl w:val="0"/>
        <w:autoSpaceDE w:val="0"/>
        <w:autoSpaceDN w:val="0"/>
        <w:adjustRightInd w:val="0"/>
        <w:spacing w:after="0"/>
        <w:ind w:left="480" w:hanging="480"/>
        <w:rPr>
          <w:noProof/>
          <w:sz w:val="22"/>
          <w:szCs w:val="24"/>
          <w:lang w:val="nl-BE"/>
        </w:rPr>
      </w:pPr>
      <w:r w:rsidRPr="00B07A9F">
        <w:rPr>
          <w:noProof/>
          <w:sz w:val="22"/>
          <w:szCs w:val="24"/>
        </w:rPr>
        <w:t xml:space="preserve">Naveed Ul Haq, A., Nadhman, A., Ullah, I., Mustafa, G., Yasinzai, M., Khan, I., 2017. Synthesis Approaches of Zinc Oxide Nanoparticles: The Dilemma of Ecotoxicity. </w:t>
      </w:r>
      <w:r w:rsidRPr="00B07A9F">
        <w:rPr>
          <w:noProof/>
          <w:sz w:val="22"/>
          <w:szCs w:val="24"/>
          <w:lang w:val="nl-BE"/>
        </w:rPr>
        <w:t>J. Nanomater. 2017. https://doi.org/10.1155/2017/8510342</w:t>
      </w:r>
    </w:p>
    <w:p w14:paraId="356A39FF" w14:textId="77777777" w:rsidR="007B30B3" w:rsidRPr="00B07A9F" w:rsidRDefault="007B30B3" w:rsidP="007B30B3">
      <w:pPr>
        <w:widowControl w:val="0"/>
        <w:autoSpaceDE w:val="0"/>
        <w:autoSpaceDN w:val="0"/>
        <w:adjustRightInd w:val="0"/>
        <w:spacing w:after="0"/>
        <w:ind w:left="480" w:hanging="480"/>
        <w:rPr>
          <w:noProof/>
          <w:sz w:val="22"/>
          <w:szCs w:val="24"/>
        </w:rPr>
      </w:pPr>
      <w:r w:rsidRPr="00B07A9F">
        <w:rPr>
          <w:noProof/>
          <w:sz w:val="22"/>
          <w:szCs w:val="24"/>
          <w:lang w:val="nl-BE"/>
        </w:rPr>
        <w:t xml:space="preserve">Nie, X., Chen, Z., Pang, L., Wang, L., Jiang, H., Chen, Y., Zhang, Z., Fu, C., Ren, B., Zhang, J., 2020. </w:t>
      </w:r>
      <w:r w:rsidRPr="00B07A9F">
        <w:rPr>
          <w:noProof/>
          <w:sz w:val="22"/>
          <w:szCs w:val="24"/>
        </w:rPr>
        <w:t>Oral Nano Drug Delivery Systems for the Treatment of Type 2 Diabetes Mellitus: An Available Administration Strategy for Antidiabetic Phytocompounds. Int. J. Nanomedicine 15, 10215–10240. https://doi.org/10.2147/IJN.S285134</w:t>
      </w:r>
    </w:p>
    <w:p w14:paraId="473FC720" w14:textId="77777777" w:rsidR="007B30B3" w:rsidRPr="00B07A9F" w:rsidRDefault="007B30B3" w:rsidP="007B30B3">
      <w:pPr>
        <w:widowControl w:val="0"/>
        <w:autoSpaceDE w:val="0"/>
        <w:autoSpaceDN w:val="0"/>
        <w:adjustRightInd w:val="0"/>
        <w:spacing w:after="0"/>
        <w:ind w:left="480" w:hanging="480"/>
        <w:rPr>
          <w:noProof/>
          <w:sz w:val="22"/>
          <w:szCs w:val="24"/>
        </w:rPr>
      </w:pPr>
      <w:r w:rsidRPr="00B07A9F">
        <w:rPr>
          <w:noProof/>
          <w:sz w:val="22"/>
          <w:szCs w:val="24"/>
        </w:rPr>
        <w:t>Olechnowicz, J., Tinkov, A., Skalny, A., Suliburska, J., 2018. Zinc status is associated with inflammation, oxidative stress, lipid, and glucose metabolism. J. Physiol. Sci. 68, 19–31. https://doi.org/10.1007/s12576-017-0571-7</w:t>
      </w:r>
    </w:p>
    <w:p w14:paraId="74C6E825" w14:textId="77777777" w:rsidR="007B30B3" w:rsidRPr="00B07A9F" w:rsidRDefault="007B30B3" w:rsidP="007B30B3">
      <w:pPr>
        <w:widowControl w:val="0"/>
        <w:autoSpaceDE w:val="0"/>
        <w:autoSpaceDN w:val="0"/>
        <w:adjustRightInd w:val="0"/>
        <w:spacing w:after="0"/>
        <w:ind w:left="480" w:hanging="480"/>
        <w:rPr>
          <w:noProof/>
          <w:sz w:val="22"/>
          <w:szCs w:val="24"/>
          <w:lang w:val="nl-BE"/>
        </w:rPr>
      </w:pPr>
      <w:r w:rsidRPr="00B07A9F">
        <w:rPr>
          <w:noProof/>
          <w:sz w:val="22"/>
          <w:szCs w:val="24"/>
        </w:rPr>
        <w:t xml:space="preserve">Parks, B.W., Sallam, T., Mehrabian, M., Psychogios, N., Hui, S.T., Norheim, F., Castellani, L.W., Rau, C.D., Pan, C., Phun, J., Zhou, Z., Yang, W.P., Neuhaus, I., Gargalovic, P.S., Kirchgessner, T.G., Graham, M., Lee, R., Tontonoz, P., Gerszten, R.E., Hevener, A.L., Lusis, A.J., 2015. Genetic architecture of insulin resistance in the mouse. Cell Metab. </w:t>
      </w:r>
      <w:r w:rsidRPr="00B07A9F">
        <w:rPr>
          <w:noProof/>
          <w:sz w:val="22"/>
          <w:szCs w:val="24"/>
          <w:lang w:val="nl-BE"/>
        </w:rPr>
        <w:t>21, 334–347. https://doi.org/10.1016/j.cmet.2015.01.002</w:t>
      </w:r>
    </w:p>
    <w:p w14:paraId="0DC4C543" w14:textId="77777777" w:rsidR="007B30B3" w:rsidRPr="00B07A9F" w:rsidRDefault="007B30B3" w:rsidP="007B30B3">
      <w:pPr>
        <w:widowControl w:val="0"/>
        <w:autoSpaceDE w:val="0"/>
        <w:autoSpaceDN w:val="0"/>
        <w:adjustRightInd w:val="0"/>
        <w:spacing w:after="0"/>
        <w:ind w:left="480" w:hanging="480"/>
        <w:rPr>
          <w:noProof/>
          <w:sz w:val="22"/>
          <w:szCs w:val="24"/>
        </w:rPr>
      </w:pPr>
      <w:r w:rsidRPr="00B07A9F">
        <w:rPr>
          <w:noProof/>
          <w:sz w:val="22"/>
          <w:szCs w:val="24"/>
          <w:lang w:val="nl-BE"/>
        </w:rPr>
        <w:t xml:space="preserve">Patil, P., Patil, S., Mane, A., Verma, S., 2013. </w:t>
      </w:r>
      <w:r w:rsidRPr="00B07A9F">
        <w:rPr>
          <w:noProof/>
          <w:sz w:val="22"/>
          <w:szCs w:val="24"/>
        </w:rPr>
        <w:t>Antidiabetic activity of alcoholic extract of neem (Azadirachta indica) root bark. Natl. J. Physiol. Pharm. Pharmacol. 3, 142–146. https://doi.org/10.5455/njppp.2013.3.134-138</w:t>
      </w:r>
    </w:p>
    <w:p w14:paraId="50D04B85" w14:textId="77777777" w:rsidR="007B30B3" w:rsidRPr="00B07A9F" w:rsidRDefault="007B30B3" w:rsidP="007B30B3">
      <w:pPr>
        <w:widowControl w:val="0"/>
        <w:autoSpaceDE w:val="0"/>
        <w:autoSpaceDN w:val="0"/>
        <w:adjustRightInd w:val="0"/>
        <w:spacing w:after="0"/>
        <w:ind w:left="480" w:hanging="480"/>
        <w:rPr>
          <w:noProof/>
          <w:sz w:val="22"/>
          <w:szCs w:val="24"/>
        </w:rPr>
      </w:pPr>
      <w:r w:rsidRPr="00B07A9F">
        <w:rPr>
          <w:noProof/>
          <w:sz w:val="22"/>
          <w:szCs w:val="24"/>
        </w:rPr>
        <w:t>Rahimi, R., Nikfar, S., Larijani, B., Abdollahi, M., 2005. A review on the role of antioxidants in the management of diabetes and its complications. Biomed. Pharmacother. 59, 365–373. https://doi.org/10.1016/j.biopha.2005.07.002</w:t>
      </w:r>
    </w:p>
    <w:p w14:paraId="61EDFF49" w14:textId="77777777" w:rsidR="007B30B3" w:rsidRPr="00B07A9F" w:rsidRDefault="007B30B3" w:rsidP="007B30B3">
      <w:pPr>
        <w:widowControl w:val="0"/>
        <w:autoSpaceDE w:val="0"/>
        <w:autoSpaceDN w:val="0"/>
        <w:adjustRightInd w:val="0"/>
        <w:spacing w:after="0"/>
        <w:ind w:left="480" w:hanging="480"/>
        <w:rPr>
          <w:noProof/>
          <w:sz w:val="22"/>
          <w:szCs w:val="24"/>
        </w:rPr>
      </w:pPr>
      <w:r w:rsidRPr="00B07A9F">
        <w:rPr>
          <w:noProof/>
          <w:sz w:val="22"/>
          <w:szCs w:val="24"/>
        </w:rPr>
        <w:t>Rajakumar, G., Thiruvengadam, M., Mydhili, G., Gomathi, T., Chung, I.M., 2018. Green approach for synthesis of zinc oxide nanoparticles from Andrographis paniculata leaf extract and evaluation of their antioxidant, anti-diabetic, and anti-inflammatory activities. Bioprocess Biosyst. Eng. 41, 21–30. https://doi.org/10.1007/s00449-017-1840-9</w:t>
      </w:r>
    </w:p>
    <w:p w14:paraId="026788C9" w14:textId="77777777" w:rsidR="007B30B3" w:rsidRPr="00B07A9F" w:rsidRDefault="007B30B3" w:rsidP="007B30B3">
      <w:pPr>
        <w:widowControl w:val="0"/>
        <w:autoSpaceDE w:val="0"/>
        <w:autoSpaceDN w:val="0"/>
        <w:adjustRightInd w:val="0"/>
        <w:spacing w:after="0"/>
        <w:ind w:left="480" w:hanging="480"/>
        <w:rPr>
          <w:noProof/>
          <w:sz w:val="22"/>
          <w:szCs w:val="24"/>
        </w:rPr>
      </w:pPr>
      <w:r w:rsidRPr="00B07A9F">
        <w:rPr>
          <w:noProof/>
          <w:sz w:val="22"/>
          <w:szCs w:val="24"/>
        </w:rPr>
        <w:t>Rehana, D., Mahendiran, D., Kumar, R.S., Rahiman, A.K., 2017. In vitro antioxidant and antidiabetic activities of zinc oxide nanoparticles synthesized using different plant extracts. Bioprocess Biosyst. Eng. 40, 943–957. https://doi.org/10.1007/s00449-017-1758-2</w:t>
      </w:r>
    </w:p>
    <w:p w14:paraId="58F744C2" w14:textId="77777777" w:rsidR="007B30B3" w:rsidRPr="00B07A9F" w:rsidRDefault="007B30B3" w:rsidP="007B30B3">
      <w:pPr>
        <w:widowControl w:val="0"/>
        <w:autoSpaceDE w:val="0"/>
        <w:autoSpaceDN w:val="0"/>
        <w:adjustRightInd w:val="0"/>
        <w:spacing w:after="0"/>
        <w:ind w:left="480" w:hanging="480"/>
        <w:rPr>
          <w:noProof/>
          <w:sz w:val="22"/>
          <w:szCs w:val="24"/>
        </w:rPr>
      </w:pPr>
      <w:r w:rsidRPr="00B07A9F">
        <w:rPr>
          <w:noProof/>
          <w:sz w:val="22"/>
          <w:szCs w:val="24"/>
        </w:rPr>
        <w:t>Rinthong, P.O., Maneechai, S., 2018. Total phenolic content and tyrosinase inhibitory potential of extracts from Cajanus cajan (L.) Millsp. Pharmacogn. J. 10, S109–S112. https://doi.org/10.5530/pj.2018.6s.21</w:t>
      </w:r>
    </w:p>
    <w:p w14:paraId="2115BA18" w14:textId="77777777" w:rsidR="007B30B3" w:rsidRPr="00B07A9F" w:rsidRDefault="007B30B3" w:rsidP="007B30B3">
      <w:pPr>
        <w:widowControl w:val="0"/>
        <w:autoSpaceDE w:val="0"/>
        <w:autoSpaceDN w:val="0"/>
        <w:adjustRightInd w:val="0"/>
        <w:spacing w:after="0"/>
        <w:ind w:left="480" w:hanging="480"/>
        <w:rPr>
          <w:noProof/>
          <w:sz w:val="22"/>
          <w:szCs w:val="24"/>
        </w:rPr>
      </w:pPr>
      <w:r w:rsidRPr="00B07A9F">
        <w:rPr>
          <w:noProof/>
          <w:sz w:val="22"/>
          <w:szCs w:val="24"/>
        </w:rPr>
        <w:t>Rónavári, A., Kovács, D., Igaz, N., Vágvölgyi, C., Boros, I.M., Kónya, Z., Pfeiffer, I., Kiricsi, M., 2017. Biological activity of green-synthesized silver nanoparticles depends on the applied natural extracts: A comprehensive study. Int. J. Nanomedicine 12, 871–883. https://doi.org/10.2147/IJN.S122842</w:t>
      </w:r>
    </w:p>
    <w:p w14:paraId="5990FF9C" w14:textId="77777777" w:rsidR="007B30B3" w:rsidRPr="00B07A9F" w:rsidRDefault="007B30B3" w:rsidP="007B30B3">
      <w:pPr>
        <w:widowControl w:val="0"/>
        <w:autoSpaceDE w:val="0"/>
        <w:autoSpaceDN w:val="0"/>
        <w:adjustRightInd w:val="0"/>
        <w:spacing w:after="0"/>
        <w:ind w:left="480" w:hanging="480"/>
        <w:rPr>
          <w:noProof/>
          <w:sz w:val="22"/>
          <w:szCs w:val="24"/>
        </w:rPr>
      </w:pPr>
      <w:r w:rsidRPr="00B07A9F">
        <w:rPr>
          <w:noProof/>
          <w:sz w:val="22"/>
          <w:szCs w:val="24"/>
        </w:rPr>
        <w:t>S. Naseem Shah, S. Imran Ali, S. Rizwan Ali, M. Naeem, Yasmeen Bibi, S. Rehan Ali, S. Masood Raza, Yousuf Khan, Sikander Khan Sherwani, 2016. Synthesis and Characterization of Zinc Oxide Nanoparticles for Antibacterial Applications. J. Basic Appl. Sci. 12, 205–210. https://doi.org/10.6000/1927-5129.2016.12.31</w:t>
      </w:r>
    </w:p>
    <w:p w14:paraId="2AAAFC28" w14:textId="77777777" w:rsidR="007B30B3" w:rsidRPr="00B07A9F" w:rsidRDefault="007B30B3" w:rsidP="007B30B3">
      <w:pPr>
        <w:widowControl w:val="0"/>
        <w:autoSpaceDE w:val="0"/>
        <w:autoSpaceDN w:val="0"/>
        <w:adjustRightInd w:val="0"/>
        <w:spacing w:after="0"/>
        <w:ind w:left="480" w:hanging="480"/>
        <w:rPr>
          <w:noProof/>
          <w:sz w:val="22"/>
          <w:szCs w:val="24"/>
        </w:rPr>
      </w:pPr>
      <w:r w:rsidRPr="00B07A9F">
        <w:rPr>
          <w:noProof/>
          <w:sz w:val="22"/>
          <w:szCs w:val="24"/>
        </w:rPr>
        <w:t>Siddiqui, S.A., Rashid, M.M.O., Uddin, M.G., Robel, F.N., Hossain, M.S., Haque, M.A., Jakaria, M., 2020. Biological efficacy of zinc oxide nanoparticles against diabetes: A preliminary study conducted in mice. Biosci. Rep. 40, 1–8. https://doi.org/10.1042/BSR20193972</w:t>
      </w:r>
    </w:p>
    <w:p w14:paraId="7C98675D" w14:textId="77777777" w:rsidR="007B30B3" w:rsidRPr="00B07A9F" w:rsidRDefault="007B30B3" w:rsidP="007B30B3">
      <w:pPr>
        <w:widowControl w:val="0"/>
        <w:autoSpaceDE w:val="0"/>
        <w:autoSpaceDN w:val="0"/>
        <w:adjustRightInd w:val="0"/>
        <w:spacing w:after="0"/>
        <w:ind w:left="480" w:hanging="480"/>
        <w:rPr>
          <w:noProof/>
          <w:sz w:val="22"/>
          <w:szCs w:val="24"/>
        </w:rPr>
      </w:pPr>
      <w:r w:rsidRPr="00B07A9F">
        <w:rPr>
          <w:noProof/>
          <w:sz w:val="22"/>
          <w:szCs w:val="24"/>
        </w:rPr>
        <w:t>Tang, K.S., 2019. The current and future perspectives of zinc oxide nanoparticles in the treatment of diabetes mellitus. Life Sci. 239, 117011. https://doi.org/10.1016/j.lfs.2019.117011</w:t>
      </w:r>
    </w:p>
    <w:p w14:paraId="7DC25D02" w14:textId="77777777" w:rsidR="007B30B3" w:rsidRPr="00B07A9F" w:rsidRDefault="007B30B3" w:rsidP="007B30B3">
      <w:pPr>
        <w:widowControl w:val="0"/>
        <w:autoSpaceDE w:val="0"/>
        <w:autoSpaceDN w:val="0"/>
        <w:adjustRightInd w:val="0"/>
        <w:spacing w:after="0"/>
        <w:ind w:left="480" w:hanging="480"/>
        <w:rPr>
          <w:noProof/>
          <w:sz w:val="22"/>
          <w:szCs w:val="24"/>
        </w:rPr>
      </w:pPr>
      <w:r w:rsidRPr="00B07A9F">
        <w:rPr>
          <w:noProof/>
          <w:sz w:val="22"/>
          <w:szCs w:val="24"/>
        </w:rPr>
        <w:t>Tohidi, B., Rahimmalek, M., Arzani, A., 2017. Essential oil composition, total phenolic, flavonoid contents, and antioxidant activity of Thymus species collected from different regions of Iran. Food Chem. 220, 153–161. https://doi.org/10.1016/j.foodchem.2016.09.203</w:t>
      </w:r>
    </w:p>
    <w:p w14:paraId="24770A3E" w14:textId="77777777" w:rsidR="007B30B3" w:rsidRPr="00B07A9F" w:rsidRDefault="007B30B3" w:rsidP="007B30B3">
      <w:pPr>
        <w:widowControl w:val="0"/>
        <w:autoSpaceDE w:val="0"/>
        <w:autoSpaceDN w:val="0"/>
        <w:adjustRightInd w:val="0"/>
        <w:spacing w:after="0"/>
        <w:ind w:left="480" w:hanging="480"/>
        <w:rPr>
          <w:noProof/>
          <w:sz w:val="22"/>
          <w:szCs w:val="24"/>
          <w:lang w:val="nl-BE"/>
        </w:rPr>
      </w:pPr>
      <w:r w:rsidRPr="00B07A9F">
        <w:rPr>
          <w:noProof/>
          <w:sz w:val="22"/>
          <w:szCs w:val="24"/>
        </w:rPr>
        <w:t xml:space="preserve">Uppal, S., Italiya, K.S., Chitkara, D., Mittal, A., 2018. Nanoparticulate-based drug delivery systems for small molecule anti-diabetic drugs: An emerging paradigm for effective therapy. </w:t>
      </w:r>
      <w:r w:rsidRPr="00B07A9F">
        <w:rPr>
          <w:noProof/>
          <w:sz w:val="22"/>
          <w:szCs w:val="24"/>
          <w:lang w:val="nl-BE"/>
        </w:rPr>
        <w:t xml:space="preserve">Acta Biomater. 81, 20–42. </w:t>
      </w:r>
      <w:r w:rsidRPr="00B07A9F">
        <w:rPr>
          <w:noProof/>
          <w:sz w:val="22"/>
          <w:szCs w:val="24"/>
          <w:lang w:val="nl-BE"/>
        </w:rPr>
        <w:lastRenderedPageBreak/>
        <w:t>https://doi.org/10.1016/j.actbio.2018.09.049</w:t>
      </w:r>
    </w:p>
    <w:p w14:paraId="05D0B163" w14:textId="77777777" w:rsidR="007B30B3" w:rsidRPr="00B07A9F" w:rsidRDefault="007B30B3" w:rsidP="007B30B3">
      <w:pPr>
        <w:widowControl w:val="0"/>
        <w:autoSpaceDE w:val="0"/>
        <w:autoSpaceDN w:val="0"/>
        <w:adjustRightInd w:val="0"/>
        <w:spacing w:after="0"/>
        <w:ind w:left="480" w:hanging="480"/>
        <w:rPr>
          <w:noProof/>
          <w:sz w:val="22"/>
          <w:szCs w:val="24"/>
        </w:rPr>
      </w:pPr>
      <w:r w:rsidRPr="00B07A9F">
        <w:rPr>
          <w:noProof/>
          <w:sz w:val="22"/>
          <w:szCs w:val="24"/>
          <w:lang w:val="nl-BE"/>
        </w:rPr>
        <w:t xml:space="preserve">Vermeire, E.I.J.J., Wens, J., Van Royen, P., Biot, Y., Hearnshaw, H., Lindenmeyer, A., 2005. </w:t>
      </w:r>
      <w:r w:rsidRPr="00B07A9F">
        <w:rPr>
          <w:noProof/>
          <w:sz w:val="22"/>
          <w:szCs w:val="24"/>
        </w:rPr>
        <w:t>Interventions for improving adherence to treatment recommendations in people with type 2 diabetes mellitus. Cochrane Database Syst. Rev. 2009. https://doi.org/10.1002/14651858.CD003638.pub2</w:t>
      </w:r>
    </w:p>
    <w:p w14:paraId="3231D3AB" w14:textId="77777777" w:rsidR="007B30B3" w:rsidRPr="00B07A9F" w:rsidRDefault="007B30B3" w:rsidP="007B30B3">
      <w:pPr>
        <w:widowControl w:val="0"/>
        <w:autoSpaceDE w:val="0"/>
        <w:autoSpaceDN w:val="0"/>
        <w:adjustRightInd w:val="0"/>
        <w:spacing w:after="0"/>
        <w:ind w:left="480" w:hanging="480"/>
        <w:rPr>
          <w:noProof/>
          <w:sz w:val="22"/>
          <w:szCs w:val="24"/>
        </w:rPr>
      </w:pPr>
      <w:r w:rsidRPr="00B07A9F">
        <w:rPr>
          <w:noProof/>
          <w:sz w:val="22"/>
          <w:szCs w:val="24"/>
        </w:rPr>
        <w:t>Xu, Y., Hul, M. Van, Suriano, F., Préat, V., Cani, P.D., Beloqui, A., 2020. Novel strategy for oral peptide delivery in incretin- ­ based diabetes treatment 911–919. https://doi.org/10.1136/gutjnl-2019-319146</w:t>
      </w:r>
    </w:p>
    <w:p w14:paraId="3C922382" w14:textId="77777777" w:rsidR="007B30B3" w:rsidRPr="00B07A9F" w:rsidRDefault="007B30B3" w:rsidP="007B30B3">
      <w:pPr>
        <w:widowControl w:val="0"/>
        <w:autoSpaceDE w:val="0"/>
        <w:autoSpaceDN w:val="0"/>
        <w:adjustRightInd w:val="0"/>
        <w:spacing w:after="0"/>
        <w:ind w:left="480" w:hanging="480"/>
        <w:rPr>
          <w:noProof/>
          <w:sz w:val="22"/>
        </w:rPr>
      </w:pPr>
      <w:r w:rsidRPr="00B07A9F">
        <w:rPr>
          <w:noProof/>
          <w:sz w:val="22"/>
          <w:szCs w:val="24"/>
          <w:lang w:val="es-ES"/>
        </w:rPr>
        <w:t xml:space="preserve">Zhu, W., Hu, C., Ren, Y., Lu, Y., Song, Y., Ji, Y., Han, C., He, J., 2021. </w:t>
      </w:r>
      <w:r w:rsidRPr="00B07A9F">
        <w:rPr>
          <w:noProof/>
          <w:sz w:val="22"/>
          <w:szCs w:val="24"/>
        </w:rPr>
        <w:t>Green synthesis of zinc oxide nanoparticles using Cinnamomum camphora (L.) Presl leaf extracts and its antifungal activity. J. Environ. Chem. Eng. 9. https://doi.org/10.1016/j.jece.2021.106659</w:t>
      </w:r>
    </w:p>
    <w:p w14:paraId="55DD6EE7" w14:textId="7FCAEDE2" w:rsidR="00981F50" w:rsidRPr="00907423" w:rsidRDefault="00244F16" w:rsidP="00244F16">
      <w:pPr>
        <w:spacing w:after="240"/>
        <w:rPr>
          <w:sz w:val="22"/>
          <w:szCs w:val="22"/>
        </w:rPr>
      </w:pPr>
      <w:r w:rsidRPr="00B07A9F">
        <w:rPr>
          <w:sz w:val="22"/>
        </w:rPr>
        <w:fldChar w:fldCharType="end"/>
      </w:r>
    </w:p>
    <w:bookmarkEnd w:id="19"/>
    <w:p w14:paraId="2AF47062" w14:textId="77777777" w:rsidR="00981F50" w:rsidRPr="00340920" w:rsidRDefault="00981F50" w:rsidP="00340920">
      <w:pPr>
        <w:spacing w:after="240"/>
        <w:rPr>
          <w:sz w:val="22"/>
          <w:szCs w:val="22"/>
        </w:rPr>
      </w:pPr>
    </w:p>
    <w:sectPr w:rsidR="00981F50" w:rsidRPr="00340920" w:rsidSect="0086578D">
      <w:type w:val="continuous"/>
      <w:pgSz w:w="12240" w:h="15840" w:code="1"/>
      <w:pgMar w:top="1224" w:right="1080" w:bottom="1440" w:left="1080" w:header="720" w:footer="720" w:gutter="0"/>
      <w:cols w:space="39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4CDCB7" w14:textId="77777777" w:rsidR="000B31E3" w:rsidRPr="00907423" w:rsidRDefault="000B31E3">
      <w:pPr>
        <w:spacing w:after="0"/>
      </w:pPr>
      <w:r w:rsidRPr="00907423">
        <w:separator/>
      </w:r>
    </w:p>
  </w:endnote>
  <w:endnote w:type="continuationSeparator" w:id="0">
    <w:p w14:paraId="0A4EFCC3" w14:textId="77777777" w:rsidR="000B31E3" w:rsidRPr="00907423" w:rsidRDefault="000B31E3">
      <w:pPr>
        <w:spacing w:after="0"/>
      </w:pPr>
      <w:r w:rsidRPr="0090742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Helvetica">
    <w:panose1 w:val="00000000000000000000"/>
    <w:charset w:val="00"/>
    <w:family w:val="auto"/>
    <w:pitch w:val="variable"/>
    <w:sig w:usb0="E00002FF" w:usb1="5000785B" w:usb2="00000000" w:usb3="00000000" w:csb0="0000019F" w:csb1="00000000"/>
  </w:font>
  <w:font w:name="Times">
    <w:altName w:val="Sylfaen"/>
    <w:panose1 w:val="00000500000000020000"/>
    <w:charset w:val="00"/>
    <w:family w:val="auto"/>
    <w:pitch w:val="variable"/>
    <w:sig w:usb0="E00002FF" w:usb1="5000205A"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2FF" w:usb1="400004FF" w:usb2="00000000" w:usb3="00000000" w:csb0="0000019F" w:csb1="00000000"/>
  </w:font>
  <w:font w:name="Consolas">
    <w:panose1 w:val="020B0609020204030204"/>
    <w:charset w:val="00"/>
    <w:family w:val="modern"/>
    <w:pitch w:val="fixed"/>
    <w:sig w:usb0="E10002FF" w:usb1="4000FCFF" w:usb2="00000009" w:usb3="00000000" w:csb0="0000019F" w:csb1="00000000"/>
  </w:font>
  <w:font w:name="Microsoft JhengHei">
    <w:panose1 w:val="020B0604030504040204"/>
    <w:charset w:val="88"/>
    <w:family w:val="swiss"/>
    <w:pitch w:val="variable"/>
    <w:sig w:usb0="00000087" w:usb1="288F4000" w:usb2="00000016" w:usb3="00000000" w:csb0="00100009" w:csb1="00000000"/>
  </w:font>
  <w:font w:name="Cambria Math">
    <w:panose1 w:val="02040503050406030204"/>
    <w:charset w:val="00"/>
    <w:family w:val="roman"/>
    <w:pitch w:val="variable"/>
    <w:sig w:usb0="E00002FF" w:usb1="42002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86110A" w14:textId="77777777" w:rsidR="00981F50" w:rsidRPr="00907423" w:rsidRDefault="00981F50" w:rsidP="0064236F">
    <w:pPr>
      <w:pStyle w:val="Footer"/>
      <w:tabs>
        <w:tab w:val="clear" w:pos="4320"/>
        <w:tab w:val="clear" w:pos="8640"/>
        <w:tab w:val="center" w:pos="5040"/>
      </w:tabs>
    </w:pPr>
    <w:r w:rsidRPr="00907423">
      <w:tab/>
      <w:t xml:space="preserve">- </w:t>
    </w:r>
    <w:r w:rsidRPr="00907423">
      <w:fldChar w:fldCharType="begin"/>
    </w:r>
    <w:r w:rsidRPr="00907423">
      <w:instrText xml:space="preserve"> PAGE </w:instrText>
    </w:r>
    <w:r w:rsidRPr="00907423">
      <w:fldChar w:fldCharType="separate"/>
    </w:r>
    <w:r w:rsidRPr="00907423">
      <w:rPr>
        <w:noProof/>
      </w:rPr>
      <w:t>1</w:t>
    </w:r>
    <w:r w:rsidRPr="00907423">
      <w:rPr>
        <w:noProof/>
      </w:rPr>
      <w:fldChar w:fldCharType="end"/>
    </w:r>
    <w:r w:rsidRPr="00907423">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964611" w14:textId="77777777" w:rsidR="000B31E3" w:rsidRPr="00907423" w:rsidRDefault="000B31E3">
      <w:pPr>
        <w:spacing w:after="0"/>
      </w:pPr>
      <w:r w:rsidRPr="00907423">
        <w:separator/>
      </w:r>
    </w:p>
  </w:footnote>
  <w:footnote w:type="continuationSeparator" w:id="0">
    <w:p w14:paraId="2F169874" w14:textId="77777777" w:rsidR="000B31E3" w:rsidRPr="00907423" w:rsidRDefault="000B31E3">
      <w:pPr>
        <w:spacing w:after="0"/>
      </w:pPr>
      <w:r w:rsidRPr="0090742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6D47E" w14:textId="77777777" w:rsidR="00981F50" w:rsidRDefault="00981F50" w:rsidP="0064236F">
    <w:pPr>
      <w:pStyle w:val="Header"/>
      <w:tabs>
        <w:tab w:val="clear" w:pos="4320"/>
        <w:tab w:val="clear" w:pos="8640"/>
        <w:tab w:val="left" w:pos="2660"/>
      </w:tabs>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F2EDC9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255A5C2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AF0C147E"/>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795EB0F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843EB82E"/>
    <w:lvl w:ilvl="0">
      <w:start w:val="1"/>
      <w:numFmt w:val="bullet"/>
      <w:pStyle w:val="ListBullet5"/>
      <w:lvlText w:val=""/>
      <w:lvlJc w:val="left"/>
      <w:pPr>
        <w:tabs>
          <w:tab w:val="num" w:pos="1800"/>
        </w:tabs>
        <w:ind w:left="1800" w:hanging="360"/>
      </w:pPr>
      <w:rPr>
        <w:rFonts w:ascii="Symbol" w:eastAsia="Times New Roman" w:hAnsi="Symbol" w:hint="default"/>
      </w:rPr>
    </w:lvl>
  </w:abstractNum>
  <w:abstractNum w:abstractNumId="5" w15:restartNumberingAfterBreak="0">
    <w:nsid w:val="FFFFFF81"/>
    <w:multiLevelType w:val="singleLevel"/>
    <w:tmpl w:val="BA480184"/>
    <w:lvl w:ilvl="0">
      <w:start w:val="1"/>
      <w:numFmt w:val="bullet"/>
      <w:pStyle w:val="ListBullet4"/>
      <w:lvlText w:val=""/>
      <w:lvlJc w:val="left"/>
      <w:pPr>
        <w:tabs>
          <w:tab w:val="num" w:pos="1440"/>
        </w:tabs>
        <w:ind w:left="1440" w:hanging="360"/>
      </w:pPr>
      <w:rPr>
        <w:rFonts w:ascii="Symbol" w:eastAsia="Times New Roman" w:hAnsi="Symbol" w:hint="default"/>
      </w:rPr>
    </w:lvl>
  </w:abstractNum>
  <w:abstractNum w:abstractNumId="6" w15:restartNumberingAfterBreak="0">
    <w:nsid w:val="FFFFFF82"/>
    <w:multiLevelType w:val="singleLevel"/>
    <w:tmpl w:val="9B1C1786"/>
    <w:lvl w:ilvl="0">
      <w:start w:val="1"/>
      <w:numFmt w:val="bullet"/>
      <w:pStyle w:val="ListBullet3"/>
      <w:lvlText w:val=""/>
      <w:lvlJc w:val="left"/>
      <w:pPr>
        <w:tabs>
          <w:tab w:val="num" w:pos="1080"/>
        </w:tabs>
        <w:ind w:left="1080" w:hanging="360"/>
      </w:pPr>
      <w:rPr>
        <w:rFonts w:ascii="Symbol" w:eastAsia="Times New Roman" w:hAnsi="Symbol" w:hint="default"/>
      </w:rPr>
    </w:lvl>
  </w:abstractNum>
  <w:abstractNum w:abstractNumId="7" w15:restartNumberingAfterBreak="0">
    <w:nsid w:val="FFFFFF83"/>
    <w:multiLevelType w:val="singleLevel"/>
    <w:tmpl w:val="536E19F6"/>
    <w:lvl w:ilvl="0">
      <w:start w:val="1"/>
      <w:numFmt w:val="bullet"/>
      <w:pStyle w:val="ListBullet2"/>
      <w:lvlText w:val=""/>
      <w:lvlJc w:val="left"/>
      <w:pPr>
        <w:tabs>
          <w:tab w:val="num" w:pos="720"/>
        </w:tabs>
        <w:ind w:left="720" w:hanging="360"/>
      </w:pPr>
      <w:rPr>
        <w:rFonts w:ascii="Symbol" w:eastAsia="Times New Roman" w:hAnsi="Symbol" w:hint="default"/>
      </w:rPr>
    </w:lvl>
  </w:abstractNum>
  <w:abstractNum w:abstractNumId="8" w15:restartNumberingAfterBreak="0">
    <w:nsid w:val="FFFFFF88"/>
    <w:multiLevelType w:val="singleLevel"/>
    <w:tmpl w:val="66E00E2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A836A8AC"/>
    <w:lvl w:ilvl="0">
      <w:start w:val="1"/>
      <w:numFmt w:val="bullet"/>
      <w:pStyle w:val="ListBullet"/>
      <w:lvlText w:val=""/>
      <w:lvlJc w:val="left"/>
      <w:pPr>
        <w:tabs>
          <w:tab w:val="num" w:pos="360"/>
        </w:tabs>
        <w:ind w:left="360" w:hanging="360"/>
      </w:pPr>
      <w:rPr>
        <w:rFonts w:ascii="Symbol" w:eastAsia="Times New Roman" w:hAnsi="Symbol" w:hint="default"/>
      </w:rPr>
    </w:lvl>
  </w:abstractNum>
  <w:abstractNum w:abstractNumId="1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1" w15:restartNumberingAfterBreak="0">
    <w:nsid w:val="FFFFFFFE"/>
    <w:multiLevelType w:val="singleLevel"/>
    <w:tmpl w:val="5CA6E12C"/>
    <w:lvl w:ilvl="0">
      <w:numFmt w:val="decimal"/>
      <w:lvlText w:val="*"/>
      <w:lvlJc w:val="left"/>
    </w:lvl>
  </w:abstractNum>
  <w:abstractNum w:abstractNumId="12" w15:restartNumberingAfterBreak="0">
    <w:nsid w:val="06686EE4"/>
    <w:multiLevelType w:val="multilevel"/>
    <w:tmpl w:val="97181DC6"/>
    <w:lvl w:ilvl="0">
      <w:start w:val="1"/>
      <w:numFmt w:val="bullet"/>
      <w:pStyle w:val="Bullet"/>
      <w:lvlText w:val=""/>
      <w:lvlJc w:val="left"/>
      <w:pPr>
        <w:tabs>
          <w:tab w:val="num" w:pos="720"/>
        </w:tabs>
        <w:ind w:left="720" w:hanging="360"/>
      </w:pPr>
      <w:rPr>
        <w:rFonts w:ascii="Symbol" w:eastAsia="Times New Roman"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eastAsia="Times New Roman"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eastAsia="Times New Roman"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A4D6441"/>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98D75AF"/>
    <w:multiLevelType w:val="singleLevel"/>
    <w:tmpl w:val="DDEE8D5E"/>
    <w:lvl w:ilvl="0">
      <w:start w:val="1"/>
      <w:numFmt w:val="decimal"/>
      <w:lvlText w:val="%1."/>
      <w:legacy w:legacy="1" w:legacySpace="0" w:legacyIndent="144"/>
      <w:lvlJc w:val="left"/>
      <w:pPr>
        <w:ind w:left="144" w:hanging="144"/>
      </w:pPr>
    </w:lvl>
  </w:abstractNum>
  <w:abstractNum w:abstractNumId="15" w15:restartNumberingAfterBreak="0">
    <w:nsid w:val="1C3A03E9"/>
    <w:multiLevelType w:val="hybridMultilevel"/>
    <w:tmpl w:val="4DBA4668"/>
    <w:lvl w:ilvl="0" w:tplc="A3E88686">
      <w:start w:val="1"/>
      <w:numFmt w:val="decimal"/>
      <w:lvlText w:val="%1."/>
      <w:lvlJc w:val="left"/>
      <w:pPr>
        <w:tabs>
          <w:tab w:val="num" w:pos="0"/>
        </w:tabs>
        <w:ind w:left="0" w:hanging="360"/>
      </w:pPr>
    </w:lvl>
    <w:lvl w:ilvl="1" w:tplc="455A232E" w:tentative="1">
      <w:start w:val="1"/>
      <w:numFmt w:val="lowerLetter"/>
      <w:lvlText w:val="%2."/>
      <w:lvlJc w:val="left"/>
      <w:pPr>
        <w:tabs>
          <w:tab w:val="num" w:pos="720"/>
        </w:tabs>
        <w:ind w:left="720" w:hanging="360"/>
      </w:pPr>
    </w:lvl>
    <w:lvl w:ilvl="2" w:tplc="13F28368" w:tentative="1">
      <w:start w:val="1"/>
      <w:numFmt w:val="lowerRoman"/>
      <w:lvlText w:val="%3."/>
      <w:lvlJc w:val="right"/>
      <w:pPr>
        <w:tabs>
          <w:tab w:val="num" w:pos="1440"/>
        </w:tabs>
        <w:ind w:left="1440" w:hanging="180"/>
      </w:pPr>
    </w:lvl>
    <w:lvl w:ilvl="3" w:tplc="A8FC4ADE" w:tentative="1">
      <w:start w:val="1"/>
      <w:numFmt w:val="decimal"/>
      <w:lvlText w:val="%4."/>
      <w:lvlJc w:val="left"/>
      <w:pPr>
        <w:tabs>
          <w:tab w:val="num" w:pos="2160"/>
        </w:tabs>
        <w:ind w:left="2160" w:hanging="360"/>
      </w:pPr>
    </w:lvl>
    <w:lvl w:ilvl="4" w:tplc="A84ABF42" w:tentative="1">
      <w:start w:val="1"/>
      <w:numFmt w:val="lowerLetter"/>
      <w:lvlText w:val="%5."/>
      <w:lvlJc w:val="left"/>
      <w:pPr>
        <w:tabs>
          <w:tab w:val="num" w:pos="2880"/>
        </w:tabs>
        <w:ind w:left="2880" w:hanging="360"/>
      </w:pPr>
    </w:lvl>
    <w:lvl w:ilvl="5" w:tplc="FF5E4CA8" w:tentative="1">
      <w:start w:val="1"/>
      <w:numFmt w:val="lowerRoman"/>
      <w:lvlText w:val="%6."/>
      <w:lvlJc w:val="right"/>
      <w:pPr>
        <w:tabs>
          <w:tab w:val="num" w:pos="3600"/>
        </w:tabs>
        <w:ind w:left="3600" w:hanging="180"/>
      </w:pPr>
    </w:lvl>
    <w:lvl w:ilvl="6" w:tplc="48FC6AAA" w:tentative="1">
      <w:start w:val="1"/>
      <w:numFmt w:val="decimal"/>
      <w:lvlText w:val="%7."/>
      <w:lvlJc w:val="left"/>
      <w:pPr>
        <w:tabs>
          <w:tab w:val="num" w:pos="4320"/>
        </w:tabs>
        <w:ind w:left="4320" w:hanging="360"/>
      </w:pPr>
    </w:lvl>
    <w:lvl w:ilvl="7" w:tplc="62B2A220" w:tentative="1">
      <w:start w:val="1"/>
      <w:numFmt w:val="lowerLetter"/>
      <w:lvlText w:val="%8."/>
      <w:lvlJc w:val="left"/>
      <w:pPr>
        <w:tabs>
          <w:tab w:val="num" w:pos="5040"/>
        </w:tabs>
        <w:ind w:left="5040" w:hanging="360"/>
      </w:pPr>
    </w:lvl>
    <w:lvl w:ilvl="8" w:tplc="1B12D2BC" w:tentative="1">
      <w:start w:val="1"/>
      <w:numFmt w:val="lowerRoman"/>
      <w:lvlText w:val="%9."/>
      <w:lvlJc w:val="right"/>
      <w:pPr>
        <w:tabs>
          <w:tab w:val="num" w:pos="5760"/>
        </w:tabs>
        <w:ind w:left="5760" w:hanging="180"/>
      </w:pPr>
    </w:lvl>
  </w:abstractNum>
  <w:abstractNum w:abstractNumId="16" w15:restartNumberingAfterBreak="0">
    <w:nsid w:val="1F1D5A6B"/>
    <w:multiLevelType w:val="multilevel"/>
    <w:tmpl w:val="C3CAC4D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7" w15:restartNumberingAfterBreak="0">
    <w:nsid w:val="2390763B"/>
    <w:multiLevelType w:val="hybridMultilevel"/>
    <w:tmpl w:val="15D00B98"/>
    <w:lvl w:ilvl="0" w:tplc="B9CAE83A">
      <w:start w:val="1"/>
      <w:numFmt w:val="bullet"/>
      <w:lvlText w:val=""/>
      <w:lvlJc w:val="left"/>
      <w:pPr>
        <w:tabs>
          <w:tab w:val="num" w:pos="720"/>
        </w:tabs>
        <w:ind w:left="720" w:hanging="360"/>
      </w:pPr>
      <w:rPr>
        <w:rFonts w:ascii="Wingdings" w:hAnsi="Wingdings" w:hint="default"/>
      </w:rPr>
    </w:lvl>
    <w:lvl w:ilvl="1" w:tplc="9006C8E8" w:tentative="1">
      <w:start w:val="1"/>
      <w:numFmt w:val="bullet"/>
      <w:lvlText w:val=""/>
      <w:lvlJc w:val="left"/>
      <w:pPr>
        <w:tabs>
          <w:tab w:val="num" w:pos="1440"/>
        </w:tabs>
        <w:ind w:left="1440" w:hanging="360"/>
      </w:pPr>
      <w:rPr>
        <w:rFonts w:ascii="Wingdings" w:hAnsi="Wingdings" w:hint="default"/>
      </w:rPr>
    </w:lvl>
    <w:lvl w:ilvl="2" w:tplc="27E2759C" w:tentative="1">
      <w:start w:val="1"/>
      <w:numFmt w:val="bullet"/>
      <w:lvlText w:val=""/>
      <w:lvlJc w:val="left"/>
      <w:pPr>
        <w:tabs>
          <w:tab w:val="num" w:pos="2160"/>
        </w:tabs>
        <w:ind w:left="2160" w:hanging="360"/>
      </w:pPr>
      <w:rPr>
        <w:rFonts w:ascii="Wingdings" w:hAnsi="Wingdings" w:hint="default"/>
      </w:rPr>
    </w:lvl>
    <w:lvl w:ilvl="3" w:tplc="4DEE17F2" w:tentative="1">
      <w:start w:val="1"/>
      <w:numFmt w:val="bullet"/>
      <w:lvlText w:val=""/>
      <w:lvlJc w:val="left"/>
      <w:pPr>
        <w:tabs>
          <w:tab w:val="num" w:pos="2880"/>
        </w:tabs>
        <w:ind w:left="2880" w:hanging="360"/>
      </w:pPr>
      <w:rPr>
        <w:rFonts w:ascii="Wingdings" w:hAnsi="Wingdings" w:hint="default"/>
      </w:rPr>
    </w:lvl>
    <w:lvl w:ilvl="4" w:tplc="FA36A266" w:tentative="1">
      <w:start w:val="1"/>
      <w:numFmt w:val="bullet"/>
      <w:lvlText w:val=""/>
      <w:lvlJc w:val="left"/>
      <w:pPr>
        <w:tabs>
          <w:tab w:val="num" w:pos="3600"/>
        </w:tabs>
        <w:ind w:left="3600" w:hanging="360"/>
      </w:pPr>
      <w:rPr>
        <w:rFonts w:ascii="Wingdings" w:hAnsi="Wingdings" w:hint="default"/>
      </w:rPr>
    </w:lvl>
    <w:lvl w:ilvl="5" w:tplc="992A7262" w:tentative="1">
      <w:start w:val="1"/>
      <w:numFmt w:val="bullet"/>
      <w:lvlText w:val=""/>
      <w:lvlJc w:val="left"/>
      <w:pPr>
        <w:tabs>
          <w:tab w:val="num" w:pos="4320"/>
        </w:tabs>
        <w:ind w:left="4320" w:hanging="360"/>
      </w:pPr>
      <w:rPr>
        <w:rFonts w:ascii="Wingdings" w:hAnsi="Wingdings" w:hint="default"/>
      </w:rPr>
    </w:lvl>
    <w:lvl w:ilvl="6" w:tplc="8668B410" w:tentative="1">
      <w:start w:val="1"/>
      <w:numFmt w:val="bullet"/>
      <w:lvlText w:val=""/>
      <w:lvlJc w:val="left"/>
      <w:pPr>
        <w:tabs>
          <w:tab w:val="num" w:pos="5040"/>
        </w:tabs>
        <w:ind w:left="5040" w:hanging="360"/>
      </w:pPr>
      <w:rPr>
        <w:rFonts w:ascii="Wingdings" w:hAnsi="Wingdings" w:hint="default"/>
      </w:rPr>
    </w:lvl>
    <w:lvl w:ilvl="7" w:tplc="43CA305E" w:tentative="1">
      <w:start w:val="1"/>
      <w:numFmt w:val="bullet"/>
      <w:lvlText w:val=""/>
      <w:lvlJc w:val="left"/>
      <w:pPr>
        <w:tabs>
          <w:tab w:val="num" w:pos="5760"/>
        </w:tabs>
        <w:ind w:left="5760" w:hanging="360"/>
      </w:pPr>
      <w:rPr>
        <w:rFonts w:ascii="Wingdings" w:hAnsi="Wingdings" w:hint="default"/>
      </w:rPr>
    </w:lvl>
    <w:lvl w:ilvl="8" w:tplc="F9E43AD8"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AB17545"/>
    <w:multiLevelType w:val="singleLevel"/>
    <w:tmpl w:val="DDEE8D5E"/>
    <w:lvl w:ilvl="0">
      <w:start w:val="1"/>
      <w:numFmt w:val="decimal"/>
      <w:lvlText w:val="%1."/>
      <w:legacy w:legacy="1" w:legacySpace="0" w:legacyIndent="144"/>
      <w:lvlJc w:val="left"/>
      <w:pPr>
        <w:ind w:left="144" w:hanging="144"/>
      </w:pPr>
    </w:lvl>
  </w:abstractNum>
  <w:abstractNum w:abstractNumId="19" w15:restartNumberingAfterBreak="0">
    <w:nsid w:val="330F08CD"/>
    <w:multiLevelType w:val="multilevel"/>
    <w:tmpl w:val="DDEE8D5E"/>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20" w15:restartNumberingAfterBreak="0">
    <w:nsid w:val="33AB5B20"/>
    <w:multiLevelType w:val="multilevel"/>
    <w:tmpl w:val="04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4229611F"/>
    <w:multiLevelType w:val="singleLevel"/>
    <w:tmpl w:val="DDEE8D5E"/>
    <w:lvl w:ilvl="0">
      <w:start w:val="1"/>
      <w:numFmt w:val="decimal"/>
      <w:lvlText w:val="%1."/>
      <w:legacy w:legacy="1" w:legacySpace="0" w:legacyIndent="144"/>
      <w:lvlJc w:val="left"/>
      <w:pPr>
        <w:ind w:left="144" w:hanging="144"/>
      </w:pPr>
    </w:lvl>
  </w:abstractNum>
  <w:abstractNum w:abstractNumId="22" w15:restartNumberingAfterBreak="0">
    <w:nsid w:val="4AAC6963"/>
    <w:multiLevelType w:val="singleLevel"/>
    <w:tmpl w:val="DDEE8D5E"/>
    <w:lvl w:ilvl="0">
      <w:start w:val="1"/>
      <w:numFmt w:val="decimal"/>
      <w:lvlText w:val="%1."/>
      <w:legacy w:legacy="1" w:legacySpace="0" w:legacyIndent="144"/>
      <w:lvlJc w:val="left"/>
      <w:pPr>
        <w:ind w:left="144" w:hanging="144"/>
      </w:pPr>
    </w:lvl>
  </w:abstractNum>
  <w:abstractNum w:abstractNumId="23" w15:restartNumberingAfterBreak="0">
    <w:nsid w:val="519F768F"/>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22A664B"/>
    <w:multiLevelType w:val="hybridMultilevel"/>
    <w:tmpl w:val="26142764"/>
    <w:lvl w:ilvl="0" w:tplc="F68E3088">
      <w:start w:val="1"/>
      <w:numFmt w:val="bullet"/>
      <w:lvlText w:val=""/>
      <w:lvlJc w:val="left"/>
      <w:pPr>
        <w:tabs>
          <w:tab w:val="num" w:pos="720"/>
        </w:tabs>
        <w:ind w:left="720" w:hanging="360"/>
      </w:pPr>
      <w:rPr>
        <w:rFonts w:ascii="Wingdings" w:hAnsi="Wingdings" w:hint="default"/>
      </w:rPr>
    </w:lvl>
    <w:lvl w:ilvl="1" w:tplc="39B0A530" w:tentative="1">
      <w:start w:val="1"/>
      <w:numFmt w:val="bullet"/>
      <w:lvlText w:val=""/>
      <w:lvlJc w:val="left"/>
      <w:pPr>
        <w:tabs>
          <w:tab w:val="num" w:pos="1440"/>
        </w:tabs>
        <w:ind w:left="1440" w:hanging="360"/>
      </w:pPr>
      <w:rPr>
        <w:rFonts w:ascii="Wingdings" w:hAnsi="Wingdings" w:hint="default"/>
      </w:rPr>
    </w:lvl>
    <w:lvl w:ilvl="2" w:tplc="A68E0324" w:tentative="1">
      <w:start w:val="1"/>
      <w:numFmt w:val="bullet"/>
      <w:lvlText w:val=""/>
      <w:lvlJc w:val="left"/>
      <w:pPr>
        <w:tabs>
          <w:tab w:val="num" w:pos="2160"/>
        </w:tabs>
        <w:ind w:left="2160" w:hanging="360"/>
      </w:pPr>
      <w:rPr>
        <w:rFonts w:ascii="Wingdings" w:hAnsi="Wingdings" w:hint="default"/>
      </w:rPr>
    </w:lvl>
    <w:lvl w:ilvl="3" w:tplc="F18E535E" w:tentative="1">
      <w:start w:val="1"/>
      <w:numFmt w:val="bullet"/>
      <w:lvlText w:val=""/>
      <w:lvlJc w:val="left"/>
      <w:pPr>
        <w:tabs>
          <w:tab w:val="num" w:pos="2880"/>
        </w:tabs>
        <w:ind w:left="2880" w:hanging="360"/>
      </w:pPr>
      <w:rPr>
        <w:rFonts w:ascii="Wingdings" w:hAnsi="Wingdings" w:hint="default"/>
      </w:rPr>
    </w:lvl>
    <w:lvl w:ilvl="4" w:tplc="A93E3C9C" w:tentative="1">
      <w:start w:val="1"/>
      <w:numFmt w:val="bullet"/>
      <w:lvlText w:val=""/>
      <w:lvlJc w:val="left"/>
      <w:pPr>
        <w:tabs>
          <w:tab w:val="num" w:pos="3600"/>
        </w:tabs>
        <w:ind w:left="3600" w:hanging="360"/>
      </w:pPr>
      <w:rPr>
        <w:rFonts w:ascii="Wingdings" w:hAnsi="Wingdings" w:hint="default"/>
      </w:rPr>
    </w:lvl>
    <w:lvl w:ilvl="5" w:tplc="A05442A2" w:tentative="1">
      <w:start w:val="1"/>
      <w:numFmt w:val="bullet"/>
      <w:lvlText w:val=""/>
      <w:lvlJc w:val="left"/>
      <w:pPr>
        <w:tabs>
          <w:tab w:val="num" w:pos="4320"/>
        </w:tabs>
        <w:ind w:left="4320" w:hanging="360"/>
      </w:pPr>
      <w:rPr>
        <w:rFonts w:ascii="Wingdings" w:hAnsi="Wingdings" w:hint="default"/>
      </w:rPr>
    </w:lvl>
    <w:lvl w:ilvl="6" w:tplc="B526EC6E" w:tentative="1">
      <w:start w:val="1"/>
      <w:numFmt w:val="bullet"/>
      <w:lvlText w:val=""/>
      <w:lvlJc w:val="left"/>
      <w:pPr>
        <w:tabs>
          <w:tab w:val="num" w:pos="5040"/>
        </w:tabs>
        <w:ind w:left="5040" w:hanging="360"/>
      </w:pPr>
      <w:rPr>
        <w:rFonts w:ascii="Wingdings" w:hAnsi="Wingdings" w:hint="default"/>
      </w:rPr>
    </w:lvl>
    <w:lvl w:ilvl="7" w:tplc="DCECC9FA" w:tentative="1">
      <w:start w:val="1"/>
      <w:numFmt w:val="bullet"/>
      <w:lvlText w:val=""/>
      <w:lvlJc w:val="left"/>
      <w:pPr>
        <w:tabs>
          <w:tab w:val="num" w:pos="5760"/>
        </w:tabs>
        <w:ind w:left="5760" w:hanging="360"/>
      </w:pPr>
      <w:rPr>
        <w:rFonts w:ascii="Wingdings" w:hAnsi="Wingdings" w:hint="default"/>
      </w:rPr>
    </w:lvl>
    <w:lvl w:ilvl="8" w:tplc="F0F47CF6"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289287D"/>
    <w:multiLevelType w:val="singleLevel"/>
    <w:tmpl w:val="DDEE8D5E"/>
    <w:lvl w:ilvl="0">
      <w:start w:val="1"/>
      <w:numFmt w:val="decimal"/>
      <w:lvlText w:val="%1."/>
      <w:legacy w:legacy="1" w:legacySpace="0" w:legacyIndent="144"/>
      <w:lvlJc w:val="left"/>
      <w:pPr>
        <w:ind w:left="144" w:hanging="144"/>
      </w:pPr>
    </w:lvl>
  </w:abstractNum>
  <w:abstractNum w:abstractNumId="26" w15:restartNumberingAfterBreak="0">
    <w:nsid w:val="53C74079"/>
    <w:multiLevelType w:val="singleLevel"/>
    <w:tmpl w:val="25A808D6"/>
    <w:lvl w:ilvl="0">
      <w:start w:val="1"/>
      <w:numFmt w:val="decimal"/>
      <w:lvlText w:val="%1."/>
      <w:legacy w:legacy="1" w:legacySpace="0" w:legacyIndent="144"/>
      <w:lvlJc w:val="left"/>
      <w:pPr>
        <w:ind w:left="144" w:hanging="144"/>
      </w:pPr>
      <w:rPr>
        <w:rFonts w:ascii="Helvetica" w:hAnsi="Helvetica" w:hint="default"/>
      </w:rPr>
    </w:lvl>
  </w:abstractNum>
  <w:abstractNum w:abstractNumId="27" w15:restartNumberingAfterBreak="0">
    <w:nsid w:val="56D26E87"/>
    <w:multiLevelType w:val="hybridMultilevel"/>
    <w:tmpl w:val="7F045602"/>
    <w:lvl w:ilvl="0" w:tplc="631C88B2">
      <w:start w:val="1"/>
      <w:numFmt w:val="lowerRoman"/>
      <w:lvlText w:val="(%1)"/>
      <w:lvlJc w:val="left"/>
      <w:pPr>
        <w:ind w:left="1080" w:hanging="720"/>
      </w:pPr>
      <w:rPr>
        <w:rFonts w:hint="default"/>
      </w:rPr>
    </w:lvl>
    <w:lvl w:ilvl="1" w:tplc="7EEA73B8" w:tentative="1">
      <w:start w:val="1"/>
      <w:numFmt w:val="lowerLetter"/>
      <w:lvlText w:val="%2."/>
      <w:lvlJc w:val="left"/>
      <w:pPr>
        <w:ind w:left="1440" w:hanging="360"/>
      </w:pPr>
    </w:lvl>
    <w:lvl w:ilvl="2" w:tplc="B90C9E50" w:tentative="1">
      <w:start w:val="1"/>
      <w:numFmt w:val="lowerRoman"/>
      <w:lvlText w:val="%3."/>
      <w:lvlJc w:val="right"/>
      <w:pPr>
        <w:ind w:left="2160" w:hanging="180"/>
      </w:pPr>
    </w:lvl>
    <w:lvl w:ilvl="3" w:tplc="D96ED8AA" w:tentative="1">
      <w:start w:val="1"/>
      <w:numFmt w:val="decimal"/>
      <w:lvlText w:val="%4."/>
      <w:lvlJc w:val="left"/>
      <w:pPr>
        <w:ind w:left="2880" w:hanging="360"/>
      </w:pPr>
    </w:lvl>
    <w:lvl w:ilvl="4" w:tplc="9A22AB8C" w:tentative="1">
      <w:start w:val="1"/>
      <w:numFmt w:val="lowerLetter"/>
      <w:lvlText w:val="%5."/>
      <w:lvlJc w:val="left"/>
      <w:pPr>
        <w:ind w:left="3600" w:hanging="360"/>
      </w:pPr>
    </w:lvl>
    <w:lvl w:ilvl="5" w:tplc="C870F058" w:tentative="1">
      <w:start w:val="1"/>
      <w:numFmt w:val="lowerRoman"/>
      <w:lvlText w:val="%6."/>
      <w:lvlJc w:val="right"/>
      <w:pPr>
        <w:ind w:left="4320" w:hanging="180"/>
      </w:pPr>
    </w:lvl>
    <w:lvl w:ilvl="6" w:tplc="E3804518" w:tentative="1">
      <w:start w:val="1"/>
      <w:numFmt w:val="decimal"/>
      <w:lvlText w:val="%7."/>
      <w:lvlJc w:val="left"/>
      <w:pPr>
        <w:ind w:left="5040" w:hanging="360"/>
      </w:pPr>
    </w:lvl>
    <w:lvl w:ilvl="7" w:tplc="F4ECACB8" w:tentative="1">
      <w:start w:val="1"/>
      <w:numFmt w:val="lowerLetter"/>
      <w:lvlText w:val="%8."/>
      <w:lvlJc w:val="left"/>
      <w:pPr>
        <w:ind w:left="5760" w:hanging="360"/>
      </w:pPr>
    </w:lvl>
    <w:lvl w:ilvl="8" w:tplc="970ACC3E" w:tentative="1">
      <w:start w:val="1"/>
      <w:numFmt w:val="lowerRoman"/>
      <w:lvlText w:val="%9."/>
      <w:lvlJc w:val="right"/>
      <w:pPr>
        <w:ind w:left="6480" w:hanging="180"/>
      </w:pPr>
    </w:lvl>
  </w:abstractNum>
  <w:abstractNum w:abstractNumId="28" w15:restartNumberingAfterBreak="0">
    <w:nsid w:val="58D51CC0"/>
    <w:multiLevelType w:val="singleLevel"/>
    <w:tmpl w:val="DDEE8D5E"/>
    <w:lvl w:ilvl="0">
      <w:start w:val="1"/>
      <w:numFmt w:val="decimal"/>
      <w:lvlText w:val="%1."/>
      <w:legacy w:legacy="1" w:legacySpace="0" w:legacyIndent="144"/>
      <w:lvlJc w:val="left"/>
      <w:pPr>
        <w:ind w:left="144" w:hanging="144"/>
      </w:pPr>
    </w:lvl>
  </w:abstractNum>
  <w:abstractNum w:abstractNumId="29" w15:restartNumberingAfterBreak="0">
    <w:nsid w:val="5A0A036E"/>
    <w:multiLevelType w:val="singleLevel"/>
    <w:tmpl w:val="61E616DA"/>
    <w:lvl w:ilvl="0">
      <w:start w:val="1"/>
      <w:numFmt w:val="decimal"/>
      <w:lvlText w:val="%1."/>
      <w:legacy w:legacy="1" w:legacySpace="0" w:legacyIndent="144"/>
      <w:lvlJc w:val="left"/>
      <w:pPr>
        <w:ind w:left="144" w:hanging="144"/>
      </w:pPr>
    </w:lvl>
  </w:abstractNum>
  <w:num w:numId="1" w16cid:durableId="1732070403">
    <w:abstractNumId w:val="9"/>
  </w:num>
  <w:num w:numId="2" w16cid:durableId="104662977">
    <w:abstractNumId w:val="7"/>
  </w:num>
  <w:num w:numId="3" w16cid:durableId="369958433">
    <w:abstractNumId w:val="6"/>
  </w:num>
  <w:num w:numId="4" w16cid:durableId="1770731383">
    <w:abstractNumId w:val="5"/>
  </w:num>
  <w:num w:numId="5" w16cid:durableId="213348447">
    <w:abstractNumId w:val="4"/>
  </w:num>
  <w:num w:numId="6" w16cid:durableId="1900359182">
    <w:abstractNumId w:val="8"/>
  </w:num>
  <w:num w:numId="7" w16cid:durableId="1641572271">
    <w:abstractNumId w:val="3"/>
  </w:num>
  <w:num w:numId="8" w16cid:durableId="417562514">
    <w:abstractNumId w:val="2"/>
  </w:num>
  <w:num w:numId="9" w16cid:durableId="666783814">
    <w:abstractNumId w:val="1"/>
  </w:num>
  <w:num w:numId="10" w16cid:durableId="29192315">
    <w:abstractNumId w:val="0"/>
  </w:num>
  <w:num w:numId="11" w16cid:durableId="376399575">
    <w:abstractNumId w:val="9"/>
  </w:num>
  <w:num w:numId="12" w16cid:durableId="336809110">
    <w:abstractNumId w:val="7"/>
  </w:num>
  <w:num w:numId="13" w16cid:durableId="1422142930">
    <w:abstractNumId w:val="6"/>
  </w:num>
  <w:num w:numId="14" w16cid:durableId="877401719">
    <w:abstractNumId w:val="5"/>
  </w:num>
  <w:num w:numId="15" w16cid:durableId="1802570767">
    <w:abstractNumId w:val="4"/>
  </w:num>
  <w:num w:numId="16" w16cid:durableId="1381126363">
    <w:abstractNumId w:val="8"/>
  </w:num>
  <w:num w:numId="17" w16cid:durableId="95492483">
    <w:abstractNumId w:val="3"/>
  </w:num>
  <w:num w:numId="18" w16cid:durableId="1516649177">
    <w:abstractNumId w:val="2"/>
  </w:num>
  <w:num w:numId="19" w16cid:durableId="673147814">
    <w:abstractNumId w:val="1"/>
  </w:num>
  <w:num w:numId="20" w16cid:durableId="849099791">
    <w:abstractNumId w:val="0"/>
  </w:num>
  <w:num w:numId="21" w16cid:durableId="308436790">
    <w:abstractNumId w:val="11"/>
    <w:lvlOverride w:ilvl="0">
      <w:lvl w:ilvl="0">
        <w:start w:val="1"/>
        <w:numFmt w:val="bullet"/>
        <w:lvlText w:val=""/>
        <w:legacy w:legacy="1" w:legacySpace="0" w:legacyIndent="360"/>
        <w:lvlJc w:val="left"/>
        <w:pPr>
          <w:ind w:left="360" w:hanging="360"/>
        </w:pPr>
        <w:rPr>
          <w:rFonts w:ascii="Symbol" w:eastAsia="Times New Roman" w:hAnsi="Symbol" w:hint="default"/>
        </w:rPr>
      </w:lvl>
    </w:lvlOverride>
  </w:num>
  <w:num w:numId="22" w16cid:durableId="1501964767">
    <w:abstractNumId w:val="29"/>
  </w:num>
  <w:num w:numId="23" w16cid:durableId="1320772101">
    <w:abstractNumId w:val="19"/>
  </w:num>
  <w:num w:numId="24" w16cid:durableId="1768387567">
    <w:abstractNumId w:val="10"/>
  </w:num>
  <w:num w:numId="25" w16cid:durableId="1300459619">
    <w:abstractNumId w:val="21"/>
  </w:num>
  <w:num w:numId="26" w16cid:durableId="938636414">
    <w:abstractNumId w:val="18"/>
  </w:num>
  <w:num w:numId="27" w16cid:durableId="1331716787">
    <w:abstractNumId w:val="22"/>
  </w:num>
  <w:num w:numId="28" w16cid:durableId="724645695">
    <w:abstractNumId w:val="25"/>
  </w:num>
  <w:num w:numId="29" w16cid:durableId="967928075">
    <w:abstractNumId w:val="14"/>
  </w:num>
  <w:num w:numId="30" w16cid:durableId="397435401">
    <w:abstractNumId w:val="28"/>
  </w:num>
  <w:num w:numId="31" w16cid:durableId="2100059144">
    <w:abstractNumId w:val="12"/>
  </w:num>
  <w:num w:numId="32" w16cid:durableId="1540388669">
    <w:abstractNumId w:val="15"/>
  </w:num>
  <w:num w:numId="33" w16cid:durableId="2001694277">
    <w:abstractNumId w:val="26"/>
  </w:num>
  <w:num w:numId="34" w16cid:durableId="609895732">
    <w:abstractNumId w:val="16"/>
  </w:num>
  <w:num w:numId="35" w16cid:durableId="569534183">
    <w:abstractNumId w:val="17"/>
  </w:num>
  <w:num w:numId="36" w16cid:durableId="1848137034">
    <w:abstractNumId w:val="24"/>
  </w:num>
  <w:num w:numId="37" w16cid:durableId="2117826991">
    <w:abstractNumId w:val="27"/>
  </w:num>
  <w:num w:numId="38" w16cid:durableId="964123165">
    <w:abstractNumId w:val="23"/>
  </w:num>
  <w:num w:numId="39" w16cid:durableId="1283075778">
    <w:abstractNumId w:val="13"/>
  </w:num>
  <w:num w:numId="40" w16cid:durableId="41826009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HIPaperNum" w:val="400"/>
    <w:docVar w:name="MachineID" w:val="205|207|197|206|186|197|199|199|197|188|186|197|198|201|197|185|198|"/>
    <w:docVar w:name="Username" w:val="Editor"/>
  </w:docVars>
  <w:rsids>
    <w:rsidRoot w:val="004F7602"/>
    <w:rsid w:val="00001688"/>
    <w:rsid w:val="000043DF"/>
    <w:rsid w:val="00006D7D"/>
    <w:rsid w:val="00007AC7"/>
    <w:rsid w:val="000107E9"/>
    <w:rsid w:val="00012964"/>
    <w:rsid w:val="00013539"/>
    <w:rsid w:val="00015E71"/>
    <w:rsid w:val="000210C8"/>
    <w:rsid w:val="0002265D"/>
    <w:rsid w:val="00022C21"/>
    <w:rsid w:val="00023140"/>
    <w:rsid w:val="00024460"/>
    <w:rsid w:val="00026A0F"/>
    <w:rsid w:val="00030095"/>
    <w:rsid w:val="000309AD"/>
    <w:rsid w:val="00033E5B"/>
    <w:rsid w:val="00035DFF"/>
    <w:rsid w:val="00042E35"/>
    <w:rsid w:val="00042F11"/>
    <w:rsid w:val="000475CB"/>
    <w:rsid w:val="00050729"/>
    <w:rsid w:val="00052CB6"/>
    <w:rsid w:val="00053487"/>
    <w:rsid w:val="0006250D"/>
    <w:rsid w:val="0006379C"/>
    <w:rsid w:val="00064D70"/>
    <w:rsid w:val="00065EF7"/>
    <w:rsid w:val="000660CE"/>
    <w:rsid w:val="0006656A"/>
    <w:rsid w:val="000731E1"/>
    <w:rsid w:val="000743E6"/>
    <w:rsid w:val="00074660"/>
    <w:rsid w:val="000753E5"/>
    <w:rsid w:val="00075443"/>
    <w:rsid w:val="0008032A"/>
    <w:rsid w:val="000813E3"/>
    <w:rsid w:val="000817CB"/>
    <w:rsid w:val="00082885"/>
    <w:rsid w:val="00083DCB"/>
    <w:rsid w:val="0008440A"/>
    <w:rsid w:val="00085D8C"/>
    <w:rsid w:val="0009059B"/>
    <w:rsid w:val="00091CA8"/>
    <w:rsid w:val="0009266D"/>
    <w:rsid w:val="000962FA"/>
    <w:rsid w:val="00096C8C"/>
    <w:rsid w:val="00097C1D"/>
    <w:rsid w:val="000A2268"/>
    <w:rsid w:val="000A6841"/>
    <w:rsid w:val="000B013A"/>
    <w:rsid w:val="000B31E3"/>
    <w:rsid w:val="000B337E"/>
    <w:rsid w:val="000B4C63"/>
    <w:rsid w:val="000B75A2"/>
    <w:rsid w:val="000B7F85"/>
    <w:rsid w:val="000C369F"/>
    <w:rsid w:val="000C3AA3"/>
    <w:rsid w:val="000C468E"/>
    <w:rsid w:val="000C7549"/>
    <w:rsid w:val="000C7FBD"/>
    <w:rsid w:val="000D1780"/>
    <w:rsid w:val="000D5783"/>
    <w:rsid w:val="000D69C9"/>
    <w:rsid w:val="000D69F2"/>
    <w:rsid w:val="000D7D0F"/>
    <w:rsid w:val="000E10AF"/>
    <w:rsid w:val="000E2868"/>
    <w:rsid w:val="000E6512"/>
    <w:rsid w:val="000E752A"/>
    <w:rsid w:val="000F048E"/>
    <w:rsid w:val="000F07BD"/>
    <w:rsid w:val="000F2039"/>
    <w:rsid w:val="000F575D"/>
    <w:rsid w:val="000F5EF4"/>
    <w:rsid w:val="000F7661"/>
    <w:rsid w:val="001044BA"/>
    <w:rsid w:val="001062BD"/>
    <w:rsid w:val="00107457"/>
    <w:rsid w:val="00110391"/>
    <w:rsid w:val="001157D8"/>
    <w:rsid w:val="0011582A"/>
    <w:rsid w:val="00116CEA"/>
    <w:rsid w:val="001216A1"/>
    <w:rsid w:val="00121C2B"/>
    <w:rsid w:val="00122A4B"/>
    <w:rsid w:val="001248B9"/>
    <w:rsid w:val="001250C4"/>
    <w:rsid w:val="00127585"/>
    <w:rsid w:val="00127D07"/>
    <w:rsid w:val="00130FB4"/>
    <w:rsid w:val="0013394E"/>
    <w:rsid w:val="00134813"/>
    <w:rsid w:val="00137BF7"/>
    <w:rsid w:val="00140383"/>
    <w:rsid w:val="00141281"/>
    <w:rsid w:val="00143CEC"/>
    <w:rsid w:val="00145A72"/>
    <w:rsid w:val="0015204B"/>
    <w:rsid w:val="00156910"/>
    <w:rsid w:val="001603B2"/>
    <w:rsid w:val="00164FC0"/>
    <w:rsid w:val="0016763E"/>
    <w:rsid w:val="001676F6"/>
    <w:rsid w:val="0017173A"/>
    <w:rsid w:val="00174172"/>
    <w:rsid w:val="00175002"/>
    <w:rsid w:val="00175444"/>
    <w:rsid w:val="00175FCC"/>
    <w:rsid w:val="001800B2"/>
    <w:rsid w:val="00180802"/>
    <w:rsid w:val="0018192E"/>
    <w:rsid w:val="00183A72"/>
    <w:rsid w:val="00186B65"/>
    <w:rsid w:val="001873F5"/>
    <w:rsid w:val="001916E3"/>
    <w:rsid w:val="001923E9"/>
    <w:rsid w:val="001926F2"/>
    <w:rsid w:val="001936E7"/>
    <w:rsid w:val="00193A0C"/>
    <w:rsid w:val="00194BFF"/>
    <w:rsid w:val="00195262"/>
    <w:rsid w:val="001972B2"/>
    <w:rsid w:val="001A4987"/>
    <w:rsid w:val="001B094C"/>
    <w:rsid w:val="001B12ED"/>
    <w:rsid w:val="001B1A71"/>
    <w:rsid w:val="001B1FA7"/>
    <w:rsid w:val="001B3687"/>
    <w:rsid w:val="001B5481"/>
    <w:rsid w:val="001B6033"/>
    <w:rsid w:val="001B6240"/>
    <w:rsid w:val="001B6746"/>
    <w:rsid w:val="001B6C6C"/>
    <w:rsid w:val="001C0814"/>
    <w:rsid w:val="001C0839"/>
    <w:rsid w:val="001C1B24"/>
    <w:rsid w:val="001C25F5"/>
    <w:rsid w:val="001D194D"/>
    <w:rsid w:val="001D2553"/>
    <w:rsid w:val="001D4BB7"/>
    <w:rsid w:val="001D546E"/>
    <w:rsid w:val="001D5F18"/>
    <w:rsid w:val="001D6581"/>
    <w:rsid w:val="001D7305"/>
    <w:rsid w:val="001E24E3"/>
    <w:rsid w:val="001E2CAF"/>
    <w:rsid w:val="001E3B80"/>
    <w:rsid w:val="001E3F60"/>
    <w:rsid w:val="001E67E8"/>
    <w:rsid w:val="001F08EA"/>
    <w:rsid w:val="001F473E"/>
    <w:rsid w:val="001F6505"/>
    <w:rsid w:val="001F6837"/>
    <w:rsid w:val="001F7DD7"/>
    <w:rsid w:val="0020091A"/>
    <w:rsid w:val="002020C8"/>
    <w:rsid w:val="00202BE4"/>
    <w:rsid w:val="00204D5D"/>
    <w:rsid w:val="00205CE7"/>
    <w:rsid w:val="002071EF"/>
    <w:rsid w:val="002110B1"/>
    <w:rsid w:val="00216749"/>
    <w:rsid w:val="002170B8"/>
    <w:rsid w:val="0021733F"/>
    <w:rsid w:val="00217E6F"/>
    <w:rsid w:val="00220499"/>
    <w:rsid w:val="00220BB5"/>
    <w:rsid w:val="002233D9"/>
    <w:rsid w:val="0022541B"/>
    <w:rsid w:val="00225969"/>
    <w:rsid w:val="00225CD3"/>
    <w:rsid w:val="002328F2"/>
    <w:rsid w:val="00233D67"/>
    <w:rsid w:val="00233DEF"/>
    <w:rsid w:val="002341D6"/>
    <w:rsid w:val="00235D30"/>
    <w:rsid w:val="002362E4"/>
    <w:rsid w:val="00237E9C"/>
    <w:rsid w:val="00240AAB"/>
    <w:rsid w:val="00241027"/>
    <w:rsid w:val="00244F16"/>
    <w:rsid w:val="00245052"/>
    <w:rsid w:val="00245E0D"/>
    <w:rsid w:val="0025119A"/>
    <w:rsid w:val="0025312D"/>
    <w:rsid w:val="0025519A"/>
    <w:rsid w:val="00256CD4"/>
    <w:rsid w:val="002600FC"/>
    <w:rsid w:val="00264517"/>
    <w:rsid w:val="00265039"/>
    <w:rsid w:val="002664F7"/>
    <w:rsid w:val="00270965"/>
    <w:rsid w:val="002710F1"/>
    <w:rsid w:val="00276FEB"/>
    <w:rsid w:val="0027740F"/>
    <w:rsid w:val="00280996"/>
    <w:rsid w:val="002822A3"/>
    <w:rsid w:val="002835CB"/>
    <w:rsid w:val="0029018B"/>
    <w:rsid w:val="00291113"/>
    <w:rsid w:val="00291A7E"/>
    <w:rsid w:val="00291C55"/>
    <w:rsid w:val="00292403"/>
    <w:rsid w:val="002930B0"/>
    <w:rsid w:val="0029635A"/>
    <w:rsid w:val="00296FEE"/>
    <w:rsid w:val="002A08B6"/>
    <w:rsid w:val="002A23B9"/>
    <w:rsid w:val="002A402F"/>
    <w:rsid w:val="002A542F"/>
    <w:rsid w:val="002A54B7"/>
    <w:rsid w:val="002A65F2"/>
    <w:rsid w:val="002A6606"/>
    <w:rsid w:val="002B0BA2"/>
    <w:rsid w:val="002B24D5"/>
    <w:rsid w:val="002B4F84"/>
    <w:rsid w:val="002C456E"/>
    <w:rsid w:val="002C5412"/>
    <w:rsid w:val="002C6498"/>
    <w:rsid w:val="002D010E"/>
    <w:rsid w:val="002D0176"/>
    <w:rsid w:val="002D4E5C"/>
    <w:rsid w:val="002D5960"/>
    <w:rsid w:val="002D5D21"/>
    <w:rsid w:val="002D5F27"/>
    <w:rsid w:val="002E05AD"/>
    <w:rsid w:val="002E18EF"/>
    <w:rsid w:val="002E43FB"/>
    <w:rsid w:val="002E4D84"/>
    <w:rsid w:val="002E4F09"/>
    <w:rsid w:val="002E6DB8"/>
    <w:rsid w:val="002F07EB"/>
    <w:rsid w:val="002F11E5"/>
    <w:rsid w:val="002F1DCB"/>
    <w:rsid w:val="002F42F9"/>
    <w:rsid w:val="002F4534"/>
    <w:rsid w:val="002F73A5"/>
    <w:rsid w:val="0030134B"/>
    <w:rsid w:val="00303274"/>
    <w:rsid w:val="0030503C"/>
    <w:rsid w:val="003053F8"/>
    <w:rsid w:val="00307A1F"/>
    <w:rsid w:val="003117B3"/>
    <w:rsid w:val="00312ADE"/>
    <w:rsid w:val="00312F5A"/>
    <w:rsid w:val="00315E89"/>
    <w:rsid w:val="00321330"/>
    <w:rsid w:val="00322808"/>
    <w:rsid w:val="0032531F"/>
    <w:rsid w:val="00326909"/>
    <w:rsid w:val="00330611"/>
    <w:rsid w:val="00332526"/>
    <w:rsid w:val="00332BC4"/>
    <w:rsid w:val="0033356E"/>
    <w:rsid w:val="00333574"/>
    <w:rsid w:val="003338E4"/>
    <w:rsid w:val="00333BE7"/>
    <w:rsid w:val="00333CBE"/>
    <w:rsid w:val="003360CF"/>
    <w:rsid w:val="003375FF"/>
    <w:rsid w:val="00340796"/>
    <w:rsid w:val="00343E08"/>
    <w:rsid w:val="00351A53"/>
    <w:rsid w:val="00352E93"/>
    <w:rsid w:val="0035576B"/>
    <w:rsid w:val="00355CA4"/>
    <w:rsid w:val="00361505"/>
    <w:rsid w:val="00365B9E"/>
    <w:rsid w:val="00366647"/>
    <w:rsid w:val="00367A2D"/>
    <w:rsid w:val="003721A3"/>
    <w:rsid w:val="00373403"/>
    <w:rsid w:val="003756FC"/>
    <w:rsid w:val="003762D5"/>
    <w:rsid w:val="00376F06"/>
    <w:rsid w:val="003776E3"/>
    <w:rsid w:val="00382858"/>
    <w:rsid w:val="00385900"/>
    <w:rsid w:val="00387229"/>
    <w:rsid w:val="0039026F"/>
    <w:rsid w:val="003913D6"/>
    <w:rsid w:val="00391D41"/>
    <w:rsid w:val="003946C3"/>
    <w:rsid w:val="00394ED5"/>
    <w:rsid w:val="003A03CE"/>
    <w:rsid w:val="003A062B"/>
    <w:rsid w:val="003A14B2"/>
    <w:rsid w:val="003A27AA"/>
    <w:rsid w:val="003A2CB4"/>
    <w:rsid w:val="003A546A"/>
    <w:rsid w:val="003A76B0"/>
    <w:rsid w:val="003B158A"/>
    <w:rsid w:val="003B1AA7"/>
    <w:rsid w:val="003B2CCD"/>
    <w:rsid w:val="003B4065"/>
    <w:rsid w:val="003B48A0"/>
    <w:rsid w:val="003B52BE"/>
    <w:rsid w:val="003C0283"/>
    <w:rsid w:val="003C086D"/>
    <w:rsid w:val="003C138B"/>
    <w:rsid w:val="003C2CC3"/>
    <w:rsid w:val="003C2F5D"/>
    <w:rsid w:val="003C34B9"/>
    <w:rsid w:val="003C36B9"/>
    <w:rsid w:val="003C4D8F"/>
    <w:rsid w:val="003D0165"/>
    <w:rsid w:val="003D0905"/>
    <w:rsid w:val="003D113B"/>
    <w:rsid w:val="003D1817"/>
    <w:rsid w:val="003D1859"/>
    <w:rsid w:val="003D2269"/>
    <w:rsid w:val="003D2511"/>
    <w:rsid w:val="003D50B5"/>
    <w:rsid w:val="003D6980"/>
    <w:rsid w:val="003D7A43"/>
    <w:rsid w:val="003E0554"/>
    <w:rsid w:val="003E328B"/>
    <w:rsid w:val="003E3BFC"/>
    <w:rsid w:val="003E42CC"/>
    <w:rsid w:val="003F1B4B"/>
    <w:rsid w:val="003F31F0"/>
    <w:rsid w:val="003F37FC"/>
    <w:rsid w:val="003F447E"/>
    <w:rsid w:val="003F4517"/>
    <w:rsid w:val="003F533F"/>
    <w:rsid w:val="003F78A8"/>
    <w:rsid w:val="00400549"/>
    <w:rsid w:val="00400BA5"/>
    <w:rsid w:val="00402ACA"/>
    <w:rsid w:val="00402D1E"/>
    <w:rsid w:val="00403447"/>
    <w:rsid w:val="00403FE4"/>
    <w:rsid w:val="00404BE6"/>
    <w:rsid w:val="004062EC"/>
    <w:rsid w:val="0041060E"/>
    <w:rsid w:val="004109A4"/>
    <w:rsid w:val="0041330B"/>
    <w:rsid w:val="004162B1"/>
    <w:rsid w:val="00416B87"/>
    <w:rsid w:val="004204BA"/>
    <w:rsid w:val="00421485"/>
    <w:rsid w:val="00421D7F"/>
    <w:rsid w:val="00424824"/>
    <w:rsid w:val="00426306"/>
    <w:rsid w:val="00433AE6"/>
    <w:rsid w:val="00436A9E"/>
    <w:rsid w:val="00437057"/>
    <w:rsid w:val="00440170"/>
    <w:rsid w:val="00440E6E"/>
    <w:rsid w:val="00444E6F"/>
    <w:rsid w:val="00446984"/>
    <w:rsid w:val="00451415"/>
    <w:rsid w:val="00451D91"/>
    <w:rsid w:val="0045216D"/>
    <w:rsid w:val="00452C56"/>
    <w:rsid w:val="00454661"/>
    <w:rsid w:val="00455BC3"/>
    <w:rsid w:val="0045697A"/>
    <w:rsid w:val="00460235"/>
    <w:rsid w:val="004610EF"/>
    <w:rsid w:val="0046184E"/>
    <w:rsid w:val="00471496"/>
    <w:rsid w:val="0047269B"/>
    <w:rsid w:val="0047476D"/>
    <w:rsid w:val="00474B5E"/>
    <w:rsid w:val="004752D9"/>
    <w:rsid w:val="00475FC6"/>
    <w:rsid w:val="00476874"/>
    <w:rsid w:val="00481356"/>
    <w:rsid w:val="004842A3"/>
    <w:rsid w:val="004852FF"/>
    <w:rsid w:val="00487B56"/>
    <w:rsid w:val="004920B6"/>
    <w:rsid w:val="0049304C"/>
    <w:rsid w:val="00493640"/>
    <w:rsid w:val="004A052F"/>
    <w:rsid w:val="004A1FC1"/>
    <w:rsid w:val="004A305E"/>
    <w:rsid w:val="004A311C"/>
    <w:rsid w:val="004A4EC4"/>
    <w:rsid w:val="004A4FA4"/>
    <w:rsid w:val="004A6D19"/>
    <w:rsid w:val="004B024F"/>
    <w:rsid w:val="004B1F71"/>
    <w:rsid w:val="004B73EB"/>
    <w:rsid w:val="004C242D"/>
    <w:rsid w:val="004C36AE"/>
    <w:rsid w:val="004C51DB"/>
    <w:rsid w:val="004C61A1"/>
    <w:rsid w:val="004C6617"/>
    <w:rsid w:val="004C6C99"/>
    <w:rsid w:val="004D0D0D"/>
    <w:rsid w:val="004D1501"/>
    <w:rsid w:val="004D1DE5"/>
    <w:rsid w:val="004D242C"/>
    <w:rsid w:val="004D42BE"/>
    <w:rsid w:val="004D46C6"/>
    <w:rsid w:val="004D4A8D"/>
    <w:rsid w:val="004D5D90"/>
    <w:rsid w:val="004D62FC"/>
    <w:rsid w:val="004E3041"/>
    <w:rsid w:val="004E542E"/>
    <w:rsid w:val="004E6003"/>
    <w:rsid w:val="004F08DA"/>
    <w:rsid w:val="004F1572"/>
    <w:rsid w:val="004F2296"/>
    <w:rsid w:val="004F3EBC"/>
    <w:rsid w:val="004F40D9"/>
    <w:rsid w:val="004F5A51"/>
    <w:rsid w:val="004F756F"/>
    <w:rsid w:val="004F7602"/>
    <w:rsid w:val="0050092F"/>
    <w:rsid w:val="0050414E"/>
    <w:rsid w:val="00505826"/>
    <w:rsid w:val="00510520"/>
    <w:rsid w:val="00510BDF"/>
    <w:rsid w:val="005123F9"/>
    <w:rsid w:val="00512E9C"/>
    <w:rsid w:val="00525ADB"/>
    <w:rsid w:val="00525C96"/>
    <w:rsid w:val="005327B6"/>
    <w:rsid w:val="00535106"/>
    <w:rsid w:val="00535D04"/>
    <w:rsid w:val="00536598"/>
    <w:rsid w:val="005367B8"/>
    <w:rsid w:val="0053737C"/>
    <w:rsid w:val="00544376"/>
    <w:rsid w:val="00544BFF"/>
    <w:rsid w:val="00545B60"/>
    <w:rsid w:val="005474E7"/>
    <w:rsid w:val="0054791B"/>
    <w:rsid w:val="005501C2"/>
    <w:rsid w:val="00550AE7"/>
    <w:rsid w:val="00550D1B"/>
    <w:rsid w:val="00551B77"/>
    <w:rsid w:val="00553908"/>
    <w:rsid w:val="0055498A"/>
    <w:rsid w:val="005552ED"/>
    <w:rsid w:val="00555F75"/>
    <w:rsid w:val="00560068"/>
    <w:rsid w:val="00561584"/>
    <w:rsid w:val="00561F9A"/>
    <w:rsid w:val="005620E4"/>
    <w:rsid w:val="0056235D"/>
    <w:rsid w:val="005627C6"/>
    <w:rsid w:val="00562C06"/>
    <w:rsid w:val="005657C9"/>
    <w:rsid w:val="005713E7"/>
    <w:rsid w:val="005739DD"/>
    <w:rsid w:val="00575988"/>
    <w:rsid w:val="00577F56"/>
    <w:rsid w:val="00580934"/>
    <w:rsid w:val="00583D1B"/>
    <w:rsid w:val="00586DB0"/>
    <w:rsid w:val="005946A7"/>
    <w:rsid w:val="00596F1D"/>
    <w:rsid w:val="005A39C1"/>
    <w:rsid w:val="005A3B3E"/>
    <w:rsid w:val="005A765F"/>
    <w:rsid w:val="005B066D"/>
    <w:rsid w:val="005B11E4"/>
    <w:rsid w:val="005B1310"/>
    <w:rsid w:val="005B15BD"/>
    <w:rsid w:val="005B1E27"/>
    <w:rsid w:val="005B344C"/>
    <w:rsid w:val="005B4DCA"/>
    <w:rsid w:val="005B5883"/>
    <w:rsid w:val="005B61B3"/>
    <w:rsid w:val="005B6E62"/>
    <w:rsid w:val="005C21C3"/>
    <w:rsid w:val="005C2667"/>
    <w:rsid w:val="005C668B"/>
    <w:rsid w:val="005C75E2"/>
    <w:rsid w:val="005D0602"/>
    <w:rsid w:val="005D0DF7"/>
    <w:rsid w:val="005D2575"/>
    <w:rsid w:val="005D5517"/>
    <w:rsid w:val="005D615D"/>
    <w:rsid w:val="005D6B12"/>
    <w:rsid w:val="005E1397"/>
    <w:rsid w:val="005E1C3F"/>
    <w:rsid w:val="005E306E"/>
    <w:rsid w:val="005E3115"/>
    <w:rsid w:val="005E3832"/>
    <w:rsid w:val="005E3C79"/>
    <w:rsid w:val="005E4521"/>
    <w:rsid w:val="005E5A13"/>
    <w:rsid w:val="005E7CFF"/>
    <w:rsid w:val="005E7E6C"/>
    <w:rsid w:val="005F22A4"/>
    <w:rsid w:val="005F4C0D"/>
    <w:rsid w:val="005F6117"/>
    <w:rsid w:val="005F7F24"/>
    <w:rsid w:val="006029EC"/>
    <w:rsid w:val="00603764"/>
    <w:rsid w:val="0060658B"/>
    <w:rsid w:val="006069A0"/>
    <w:rsid w:val="00606D37"/>
    <w:rsid w:val="006103CA"/>
    <w:rsid w:val="00615CFD"/>
    <w:rsid w:val="006171BF"/>
    <w:rsid w:val="006218EC"/>
    <w:rsid w:val="006243BD"/>
    <w:rsid w:val="0062634B"/>
    <w:rsid w:val="006276AE"/>
    <w:rsid w:val="006307B9"/>
    <w:rsid w:val="00630A77"/>
    <w:rsid w:val="00630FD4"/>
    <w:rsid w:val="00633C2D"/>
    <w:rsid w:val="0063428B"/>
    <w:rsid w:val="0063549B"/>
    <w:rsid w:val="00635544"/>
    <w:rsid w:val="006366FD"/>
    <w:rsid w:val="00636988"/>
    <w:rsid w:val="00636F6C"/>
    <w:rsid w:val="0064212A"/>
    <w:rsid w:val="0064236F"/>
    <w:rsid w:val="006441E3"/>
    <w:rsid w:val="006455F2"/>
    <w:rsid w:val="0064723D"/>
    <w:rsid w:val="00647580"/>
    <w:rsid w:val="006506CF"/>
    <w:rsid w:val="00650CBB"/>
    <w:rsid w:val="0065183A"/>
    <w:rsid w:val="00651B6C"/>
    <w:rsid w:val="00651B73"/>
    <w:rsid w:val="00651C0E"/>
    <w:rsid w:val="00652368"/>
    <w:rsid w:val="0065356B"/>
    <w:rsid w:val="00655A83"/>
    <w:rsid w:val="0066020E"/>
    <w:rsid w:val="006648D5"/>
    <w:rsid w:val="00666537"/>
    <w:rsid w:val="00670202"/>
    <w:rsid w:val="00670EFF"/>
    <w:rsid w:val="00673767"/>
    <w:rsid w:val="006737D5"/>
    <w:rsid w:val="00674512"/>
    <w:rsid w:val="00677A8B"/>
    <w:rsid w:val="00677BB3"/>
    <w:rsid w:val="00680708"/>
    <w:rsid w:val="00680F3C"/>
    <w:rsid w:val="00681495"/>
    <w:rsid w:val="00682AC0"/>
    <w:rsid w:val="00686A4A"/>
    <w:rsid w:val="00690C6B"/>
    <w:rsid w:val="00694719"/>
    <w:rsid w:val="006956BB"/>
    <w:rsid w:val="00696662"/>
    <w:rsid w:val="006A0B33"/>
    <w:rsid w:val="006A4000"/>
    <w:rsid w:val="006A42C3"/>
    <w:rsid w:val="006A7659"/>
    <w:rsid w:val="006A7B45"/>
    <w:rsid w:val="006B2A99"/>
    <w:rsid w:val="006B2C4F"/>
    <w:rsid w:val="006B559F"/>
    <w:rsid w:val="006B580F"/>
    <w:rsid w:val="006B5AD5"/>
    <w:rsid w:val="006B6081"/>
    <w:rsid w:val="006B7E34"/>
    <w:rsid w:val="006C0FFF"/>
    <w:rsid w:val="006C1958"/>
    <w:rsid w:val="006C2046"/>
    <w:rsid w:val="006C5526"/>
    <w:rsid w:val="006C5730"/>
    <w:rsid w:val="006C5B7C"/>
    <w:rsid w:val="006C65F4"/>
    <w:rsid w:val="006D051E"/>
    <w:rsid w:val="006D1937"/>
    <w:rsid w:val="006D1F7B"/>
    <w:rsid w:val="006D3F29"/>
    <w:rsid w:val="006D7667"/>
    <w:rsid w:val="006E0933"/>
    <w:rsid w:val="006E1CB9"/>
    <w:rsid w:val="006E2F97"/>
    <w:rsid w:val="006E626B"/>
    <w:rsid w:val="006E653E"/>
    <w:rsid w:val="006E6712"/>
    <w:rsid w:val="006E6D7A"/>
    <w:rsid w:val="006E6FAB"/>
    <w:rsid w:val="006F3CCB"/>
    <w:rsid w:val="006F4340"/>
    <w:rsid w:val="006F4D26"/>
    <w:rsid w:val="006F68D0"/>
    <w:rsid w:val="006F7759"/>
    <w:rsid w:val="00701EC2"/>
    <w:rsid w:val="007025A2"/>
    <w:rsid w:val="00703B69"/>
    <w:rsid w:val="00704473"/>
    <w:rsid w:val="00706FEF"/>
    <w:rsid w:val="007102F4"/>
    <w:rsid w:val="0071281A"/>
    <w:rsid w:val="00712CB5"/>
    <w:rsid w:val="007145A1"/>
    <w:rsid w:val="0071581F"/>
    <w:rsid w:val="0071618A"/>
    <w:rsid w:val="00717227"/>
    <w:rsid w:val="0071767E"/>
    <w:rsid w:val="00720860"/>
    <w:rsid w:val="00721EBC"/>
    <w:rsid w:val="007224A4"/>
    <w:rsid w:val="00724368"/>
    <w:rsid w:val="00725D7A"/>
    <w:rsid w:val="00725E91"/>
    <w:rsid w:val="007300AA"/>
    <w:rsid w:val="0073101F"/>
    <w:rsid w:val="00737048"/>
    <w:rsid w:val="007417FF"/>
    <w:rsid w:val="00742A60"/>
    <w:rsid w:val="00743BB9"/>
    <w:rsid w:val="00744A74"/>
    <w:rsid w:val="00747268"/>
    <w:rsid w:val="00751F92"/>
    <w:rsid w:val="007524B7"/>
    <w:rsid w:val="00754EAF"/>
    <w:rsid w:val="007555AD"/>
    <w:rsid w:val="0075583D"/>
    <w:rsid w:val="007558EC"/>
    <w:rsid w:val="00756BF5"/>
    <w:rsid w:val="0076140A"/>
    <w:rsid w:val="0076317D"/>
    <w:rsid w:val="007643CE"/>
    <w:rsid w:val="0076535C"/>
    <w:rsid w:val="007705A6"/>
    <w:rsid w:val="00771A5D"/>
    <w:rsid w:val="007721DA"/>
    <w:rsid w:val="00772C6E"/>
    <w:rsid w:val="00773384"/>
    <w:rsid w:val="00775C30"/>
    <w:rsid w:val="00780335"/>
    <w:rsid w:val="00787EDC"/>
    <w:rsid w:val="00793D59"/>
    <w:rsid w:val="00794B49"/>
    <w:rsid w:val="00796C2E"/>
    <w:rsid w:val="00796DC6"/>
    <w:rsid w:val="007A282E"/>
    <w:rsid w:val="007A3045"/>
    <w:rsid w:val="007A445E"/>
    <w:rsid w:val="007A466D"/>
    <w:rsid w:val="007A4967"/>
    <w:rsid w:val="007A6034"/>
    <w:rsid w:val="007A75E9"/>
    <w:rsid w:val="007B035F"/>
    <w:rsid w:val="007B05C2"/>
    <w:rsid w:val="007B0CCF"/>
    <w:rsid w:val="007B30B3"/>
    <w:rsid w:val="007B3B9A"/>
    <w:rsid w:val="007B4E70"/>
    <w:rsid w:val="007B56B2"/>
    <w:rsid w:val="007B687A"/>
    <w:rsid w:val="007B75E4"/>
    <w:rsid w:val="007C1E7A"/>
    <w:rsid w:val="007C5608"/>
    <w:rsid w:val="007D4779"/>
    <w:rsid w:val="007D63FD"/>
    <w:rsid w:val="007E1B5E"/>
    <w:rsid w:val="007E1BAC"/>
    <w:rsid w:val="007F0C8E"/>
    <w:rsid w:val="007F1478"/>
    <w:rsid w:val="007F69D7"/>
    <w:rsid w:val="007F7A0B"/>
    <w:rsid w:val="008011EC"/>
    <w:rsid w:val="00801D66"/>
    <w:rsid w:val="00806C30"/>
    <w:rsid w:val="0081020E"/>
    <w:rsid w:val="008136DB"/>
    <w:rsid w:val="00814332"/>
    <w:rsid w:val="00817C32"/>
    <w:rsid w:val="008208AF"/>
    <w:rsid w:val="00827109"/>
    <w:rsid w:val="00830470"/>
    <w:rsid w:val="0083314B"/>
    <w:rsid w:val="00836C4E"/>
    <w:rsid w:val="00837989"/>
    <w:rsid w:val="008404D3"/>
    <w:rsid w:val="00841FCE"/>
    <w:rsid w:val="00842631"/>
    <w:rsid w:val="00843383"/>
    <w:rsid w:val="00844F8C"/>
    <w:rsid w:val="00845F55"/>
    <w:rsid w:val="0084640B"/>
    <w:rsid w:val="00852BC8"/>
    <w:rsid w:val="0085372A"/>
    <w:rsid w:val="008541C6"/>
    <w:rsid w:val="00860718"/>
    <w:rsid w:val="00863819"/>
    <w:rsid w:val="0086578D"/>
    <w:rsid w:val="008707DA"/>
    <w:rsid w:val="00872A7C"/>
    <w:rsid w:val="008735DF"/>
    <w:rsid w:val="00876D37"/>
    <w:rsid w:val="008800E1"/>
    <w:rsid w:val="00880D6F"/>
    <w:rsid w:val="00882176"/>
    <w:rsid w:val="0088542F"/>
    <w:rsid w:val="00887B5B"/>
    <w:rsid w:val="00890B87"/>
    <w:rsid w:val="0089294F"/>
    <w:rsid w:val="00893028"/>
    <w:rsid w:val="0089363D"/>
    <w:rsid w:val="00895C72"/>
    <w:rsid w:val="008966B9"/>
    <w:rsid w:val="008A0A17"/>
    <w:rsid w:val="008A2D95"/>
    <w:rsid w:val="008A3E32"/>
    <w:rsid w:val="008A44ED"/>
    <w:rsid w:val="008A78E5"/>
    <w:rsid w:val="008B0036"/>
    <w:rsid w:val="008B0246"/>
    <w:rsid w:val="008B0927"/>
    <w:rsid w:val="008B24A9"/>
    <w:rsid w:val="008B3112"/>
    <w:rsid w:val="008B6A71"/>
    <w:rsid w:val="008B7145"/>
    <w:rsid w:val="008B7422"/>
    <w:rsid w:val="008C1434"/>
    <w:rsid w:val="008C2B85"/>
    <w:rsid w:val="008C4C18"/>
    <w:rsid w:val="008C708E"/>
    <w:rsid w:val="008D3B80"/>
    <w:rsid w:val="008D69B0"/>
    <w:rsid w:val="008E2C48"/>
    <w:rsid w:val="008E35FA"/>
    <w:rsid w:val="008E3B03"/>
    <w:rsid w:val="008E5568"/>
    <w:rsid w:val="008E5A6A"/>
    <w:rsid w:val="008F1E47"/>
    <w:rsid w:val="008F21D8"/>
    <w:rsid w:val="008F4EBD"/>
    <w:rsid w:val="008F521B"/>
    <w:rsid w:val="008F789E"/>
    <w:rsid w:val="009006A4"/>
    <w:rsid w:val="00903728"/>
    <w:rsid w:val="00904872"/>
    <w:rsid w:val="0090571A"/>
    <w:rsid w:val="00907423"/>
    <w:rsid w:val="00913291"/>
    <w:rsid w:val="00914799"/>
    <w:rsid w:val="00915E02"/>
    <w:rsid w:val="00916DD1"/>
    <w:rsid w:val="0092183F"/>
    <w:rsid w:val="00923047"/>
    <w:rsid w:val="00926637"/>
    <w:rsid w:val="00926CBC"/>
    <w:rsid w:val="00927E39"/>
    <w:rsid w:val="00930700"/>
    <w:rsid w:val="00930DB3"/>
    <w:rsid w:val="00931CE3"/>
    <w:rsid w:val="00932213"/>
    <w:rsid w:val="0093625F"/>
    <w:rsid w:val="00937F63"/>
    <w:rsid w:val="009403B3"/>
    <w:rsid w:val="00943698"/>
    <w:rsid w:val="00944A27"/>
    <w:rsid w:val="00947AF4"/>
    <w:rsid w:val="00955671"/>
    <w:rsid w:val="009568CB"/>
    <w:rsid w:val="00957BA7"/>
    <w:rsid w:val="00961BBC"/>
    <w:rsid w:val="00961E6E"/>
    <w:rsid w:val="00962B22"/>
    <w:rsid w:val="009657B9"/>
    <w:rsid w:val="0096614F"/>
    <w:rsid w:val="009675F1"/>
    <w:rsid w:val="009677EF"/>
    <w:rsid w:val="00970095"/>
    <w:rsid w:val="009710E8"/>
    <w:rsid w:val="0097144C"/>
    <w:rsid w:val="00973B3E"/>
    <w:rsid w:val="00981F50"/>
    <w:rsid w:val="00983429"/>
    <w:rsid w:val="00985D94"/>
    <w:rsid w:val="009860CD"/>
    <w:rsid w:val="0099219F"/>
    <w:rsid w:val="009926D8"/>
    <w:rsid w:val="0099701C"/>
    <w:rsid w:val="00997B0F"/>
    <w:rsid w:val="009A0F05"/>
    <w:rsid w:val="009A0F89"/>
    <w:rsid w:val="009A1CC0"/>
    <w:rsid w:val="009A3682"/>
    <w:rsid w:val="009A7D44"/>
    <w:rsid w:val="009B062A"/>
    <w:rsid w:val="009B5BD6"/>
    <w:rsid w:val="009B66FD"/>
    <w:rsid w:val="009C41E2"/>
    <w:rsid w:val="009C5454"/>
    <w:rsid w:val="009D09A4"/>
    <w:rsid w:val="009D1A92"/>
    <w:rsid w:val="009D3D83"/>
    <w:rsid w:val="009D4472"/>
    <w:rsid w:val="009D7346"/>
    <w:rsid w:val="009E0284"/>
    <w:rsid w:val="009E041D"/>
    <w:rsid w:val="009E1359"/>
    <w:rsid w:val="009E355A"/>
    <w:rsid w:val="009E3EA4"/>
    <w:rsid w:val="009E69DB"/>
    <w:rsid w:val="009F1610"/>
    <w:rsid w:val="009F45D4"/>
    <w:rsid w:val="009F4606"/>
    <w:rsid w:val="009F53FC"/>
    <w:rsid w:val="009F5DD1"/>
    <w:rsid w:val="009F7C8A"/>
    <w:rsid w:val="00A01287"/>
    <w:rsid w:val="00A02481"/>
    <w:rsid w:val="00A02A53"/>
    <w:rsid w:val="00A02AFF"/>
    <w:rsid w:val="00A02DC3"/>
    <w:rsid w:val="00A05DAB"/>
    <w:rsid w:val="00A0742C"/>
    <w:rsid w:val="00A10901"/>
    <w:rsid w:val="00A17082"/>
    <w:rsid w:val="00A176AA"/>
    <w:rsid w:val="00A17BD2"/>
    <w:rsid w:val="00A205A9"/>
    <w:rsid w:val="00A35B07"/>
    <w:rsid w:val="00A36082"/>
    <w:rsid w:val="00A36BC0"/>
    <w:rsid w:val="00A3746E"/>
    <w:rsid w:val="00A37FE9"/>
    <w:rsid w:val="00A42AF2"/>
    <w:rsid w:val="00A42E2C"/>
    <w:rsid w:val="00A476AB"/>
    <w:rsid w:val="00A50F3B"/>
    <w:rsid w:val="00A544D8"/>
    <w:rsid w:val="00A56F19"/>
    <w:rsid w:val="00A60795"/>
    <w:rsid w:val="00A62A41"/>
    <w:rsid w:val="00A63C5C"/>
    <w:rsid w:val="00A641B8"/>
    <w:rsid w:val="00A6464C"/>
    <w:rsid w:val="00A675AC"/>
    <w:rsid w:val="00A75F46"/>
    <w:rsid w:val="00A76CC2"/>
    <w:rsid w:val="00A77948"/>
    <w:rsid w:val="00A81D5A"/>
    <w:rsid w:val="00A81F0B"/>
    <w:rsid w:val="00A827DE"/>
    <w:rsid w:val="00A829A2"/>
    <w:rsid w:val="00A84785"/>
    <w:rsid w:val="00A85F91"/>
    <w:rsid w:val="00A87834"/>
    <w:rsid w:val="00A9017F"/>
    <w:rsid w:val="00A923C1"/>
    <w:rsid w:val="00A94D51"/>
    <w:rsid w:val="00A97EE4"/>
    <w:rsid w:val="00AA65A6"/>
    <w:rsid w:val="00AB1813"/>
    <w:rsid w:val="00AB33EC"/>
    <w:rsid w:val="00AB3D61"/>
    <w:rsid w:val="00AB455C"/>
    <w:rsid w:val="00AB51C2"/>
    <w:rsid w:val="00AB5985"/>
    <w:rsid w:val="00AB64B3"/>
    <w:rsid w:val="00AB6B4D"/>
    <w:rsid w:val="00AB77C0"/>
    <w:rsid w:val="00AC1850"/>
    <w:rsid w:val="00AC1E7A"/>
    <w:rsid w:val="00AC3FE9"/>
    <w:rsid w:val="00AC5135"/>
    <w:rsid w:val="00AC5264"/>
    <w:rsid w:val="00AC73F5"/>
    <w:rsid w:val="00AC79BB"/>
    <w:rsid w:val="00AC7ED4"/>
    <w:rsid w:val="00AD0958"/>
    <w:rsid w:val="00AD0B8A"/>
    <w:rsid w:val="00AD2216"/>
    <w:rsid w:val="00AD22E9"/>
    <w:rsid w:val="00AD2C4F"/>
    <w:rsid w:val="00AD63B6"/>
    <w:rsid w:val="00AD68A8"/>
    <w:rsid w:val="00AD7A5E"/>
    <w:rsid w:val="00AE0D85"/>
    <w:rsid w:val="00AE1BF9"/>
    <w:rsid w:val="00AE20BA"/>
    <w:rsid w:val="00AE2D4B"/>
    <w:rsid w:val="00AE553F"/>
    <w:rsid w:val="00AE5A12"/>
    <w:rsid w:val="00AE634F"/>
    <w:rsid w:val="00AE6488"/>
    <w:rsid w:val="00AE674D"/>
    <w:rsid w:val="00AE6A38"/>
    <w:rsid w:val="00AE71D4"/>
    <w:rsid w:val="00AF329B"/>
    <w:rsid w:val="00AF3444"/>
    <w:rsid w:val="00AF51E9"/>
    <w:rsid w:val="00AF779A"/>
    <w:rsid w:val="00B07A9F"/>
    <w:rsid w:val="00B110BF"/>
    <w:rsid w:val="00B12C34"/>
    <w:rsid w:val="00B137F0"/>
    <w:rsid w:val="00B144A7"/>
    <w:rsid w:val="00B16607"/>
    <w:rsid w:val="00B16ED0"/>
    <w:rsid w:val="00B1704A"/>
    <w:rsid w:val="00B17344"/>
    <w:rsid w:val="00B17548"/>
    <w:rsid w:val="00B202FB"/>
    <w:rsid w:val="00B22340"/>
    <w:rsid w:val="00B2288C"/>
    <w:rsid w:val="00B23F42"/>
    <w:rsid w:val="00B255C5"/>
    <w:rsid w:val="00B2626B"/>
    <w:rsid w:val="00B275DF"/>
    <w:rsid w:val="00B278D5"/>
    <w:rsid w:val="00B27E4D"/>
    <w:rsid w:val="00B309CA"/>
    <w:rsid w:val="00B31D9A"/>
    <w:rsid w:val="00B3290B"/>
    <w:rsid w:val="00B32B10"/>
    <w:rsid w:val="00B33676"/>
    <w:rsid w:val="00B33677"/>
    <w:rsid w:val="00B35925"/>
    <w:rsid w:val="00B35B98"/>
    <w:rsid w:val="00B36CCA"/>
    <w:rsid w:val="00B4585B"/>
    <w:rsid w:val="00B50618"/>
    <w:rsid w:val="00B50B61"/>
    <w:rsid w:val="00B52208"/>
    <w:rsid w:val="00B5349A"/>
    <w:rsid w:val="00B549F0"/>
    <w:rsid w:val="00B552CB"/>
    <w:rsid w:val="00B5569E"/>
    <w:rsid w:val="00B55B31"/>
    <w:rsid w:val="00B55C4B"/>
    <w:rsid w:val="00B561F5"/>
    <w:rsid w:val="00B574A9"/>
    <w:rsid w:val="00B57776"/>
    <w:rsid w:val="00B61922"/>
    <w:rsid w:val="00B61FC8"/>
    <w:rsid w:val="00B6272F"/>
    <w:rsid w:val="00B633B4"/>
    <w:rsid w:val="00B63CDA"/>
    <w:rsid w:val="00B6491D"/>
    <w:rsid w:val="00B70972"/>
    <w:rsid w:val="00B74272"/>
    <w:rsid w:val="00B75407"/>
    <w:rsid w:val="00B764D0"/>
    <w:rsid w:val="00B769A0"/>
    <w:rsid w:val="00B76C69"/>
    <w:rsid w:val="00B823D0"/>
    <w:rsid w:val="00B83548"/>
    <w:rsid w:val="00B83ADA"/>
    <w:rsid w:val="00B87204"/>
    <w:rsid w:val="00B9040A"/>
    <w:rsid w:val="00B92249"/>
    <w:rsid w:val="00B92CD6"/>
    <w:rsid w:val="00B9543F"/>
    <w:rsid w:val="00B95598"/>
    <w:rsid w:val="00B97053"/>
    <w:rsid w:val="00BA29AF"/>
    <w:rsid w:val="00BA3601"/>
    <w:rsid w:val="00BA5B4A"/>
    <w:rsid w:val="00BA69B3"/>
    <w:rsid w:val="00BA7124"/>
    <w:rsid w:val="00BA7749"/>
    <w:rsid w:val="00BB04C1"/>
    <w:rsid w:val="00BB2489"/>
    <w:rsid w:val="00BB36FC"/>
    <w:rsid w:val="00BB402A"/>
    <w:rsid w:val="00BC17E5"/>
    <w:rsid w:val="00BC1D5D"/>
    <w:rsid w:val="00BC308D"/>
    <w:rsid w:val="00BC31AF"/>
    <w:rsid w:val="00BC3A3D"/>
    <w:rsid w:val="00BC3D48"/>
    <w:rsid w:val="00BC7E7D"/>
    <w:rsid w:val="00BD7974"/>
    <w:rsid w:val="00BD7A13"/>
    <w:rsid w:val="00BD7B12"/>
    <w:rsid w:val="00BE0988"/>
    <w:rsid w:val="00BE1077"/>
    <w:rsid w:val="00BE2674"/>
    <w:rsid w:val="00BE3A34"/>
    <w:rsid w:val="00BE6753"/>
    <w:rsid w:val="00BE6CEE"/>
    <w:rsid w:val="00BE73FA"/>
    <w:rsid w:val="00BF0156"/>
    <w:rsid w:val="00BF0563"/>
    <w:rsid w:val="00BF2AFB"/>
    <w:rsid w:val="00BF2F4C"/>
    <w:rsid w:val="00BF48DA"/>
    <w:rsid w:val="00BF6CD7"/>
    <w:rsid w:val="00C054A2"/>
    <w:rsid w:val="00C102F2"/>
    <w:rsid w:val="00C10EE5"/>
    <w:rsid w:val="00C14694"/>
    <w:rsid w:val="00C15BF5"/>
    <w:rsid w:val="00C17960"/>
    <w:rsid w:val="00C213C9"/>
    <w:rsid w:val="00C22806"/>
    <w:rsid w:val="00C2502A"/>
    <w:rsid w:val="00C26F80"/>
    <w:rsid w:val="00C30DAF"/>
    <w:rsid w:val="00C34621"/>
    <w:rsid w:val="00C3489B"/>
    <w:rsid w:val="00C41E75"/>
    <w:rsid w:val="00C433F4"/>
    <w:rsid w:val="00C4350C"/>
    <w:rsid w:val="00C47966"/>
    <w:rsid w:val="00C5047E"/>
    <w:rsid w:val="00C564DE"/>
    <w:rsid w:val="00C63944"/>
    <w:rsid w:val="00C7006B"/>
    <w:rsid w:val="00C71236"/>
    <w:rsid w:val="00C71E1E"/>
    <w:rsid w:val="00C7750A"/>
    <w:rsid w:val="00C82717"/>
    <w:rsid w:val="00C84CFF"/>
    <w:rsid w:val="00C84EDA"/>
    <w:rsid w:val="00C84FD2"/>
    <w:rsid w:val="00C855E0"/>
    <w:rsid w:val="00C94BA7"/>
    <w:rsid w:val="00C950A1"/>
    <w:rsid w:val="00C95A54"/>
    <w:rsid w:val="00C95C80"/>
    <w:rsid w:val="00C96518"/>
    <w:rsid w:val="00CA2661"/>
    <w:rsid w:val="00CA2C01"/>
    <w:rsid w:val="00CA33DB"/>
    <w:rsid w:val="00CA4372"/>
    <w:rsid w:val="00CA7E4C"/>
    <w:rsid w:val="00CB1948"/>
    <w:rsid w:val="00CB200B"/>
    <w:rsid w:val="00CB20D4"/>
    <w:rsid w:val="00CB46A3"/>
    <w:rsid w:val="00CB51BA"/>
    <w:rsid w:val="00CC1098"/>
    <w:rsid w:val="00CC56BE"/>
    <w:rsid w:val="00CC589D"/>
    <w:rsid w:val="00CD137E"/>
    <w:rsid w:val="00CD13E0"/>
    <w:rsid w:val="00CD1911"/>
    <w:rsid w:val="00CD1B07"/>
    <w:rsid w:val="00CD2F1C"/>
    <w:rsid w:val="00CD2FA1"/>
    <w:rsid w:val="00CD37B9"/>
    <w:rsid w:val="00CD3B66"/>
    <w:rsid w:val="00CD53A2"/>
    <w:rsid w:val="00CD5E52"/>
    <w:rsid w:val="00CD680C"/>
    <w:rsid w:val="00CD6E2B"/>
    <w:rsid w:val="00CD7A42"/>
    <w:rsid w:val="00CE1225"/>
    <w:rsid w:val="00CE21D0"/>
    <w:rsid w:val="00CE24D1"/>
    <w:rsid w:val="00CE5253"/>
    <w:rsid w:val="00CE588C"/>
    <w:rsid w:val="00CF1157"/>
    <w:rsid w:val="00CF37AC"/>
    <w:rsid w:val="00CF3E5A"/>
    <w:rsid w:val="00CF3FF1"/>
    <w:rsid w:val="00CF4D39"/>
    <w:rsid w:val="00CF5267"/>
    <w:rsid w:val="00CF605D"/>
    <w:rsid w:val="00D021A3"/>
    <w:rsid w:val="00D02AF2"/>
    <w:rsid w:val="00D04EDA"/>
    <w:rsid w:val="00D068D7"/>
    <w:rsid w:val="00D07339"/>
    <w:rsid w:val="00D07EBC"/>
    <w:rsid w:val="00D134C4"/>
    <w:rsid w:val="00D134EB"/>
    <w:rsid w:val="00D16EF3"/>
    <w:rsid w:val="00D2010C"/>
    <w:rsid w:val="00D20C1E"/>
    <w:rsid w:val="00D22641"/>
    <w:rsid w:val="00D23182"/>
    <w:rsid w:val="00D237AE"/>
    <w:rsid w:val="00D25954"/>
    <w:rsid w:val="00D333EB"/>
    <w:rsid w:val="00D34AEC"/>
    <w:rsid w:val="00D41EC2"/>
    <w:rsid w:val="00D42F4F"/>
    <w:rsid w:val="00D445B7"/>
    <w:rsid w:val="00D448B0"/>
    <w:rsid w:val="00D459BF"/>
    <w:rsid w:val="00D46578"/>
    <w:rsid w:val="00D503A8"/>
    <w:rsid w:val="00D54158"/>
    <w:rsid w:val="00D55D70"/>
    <w:rsid w:val="00D55E02"/>
    <w:rsid w:val="00D57231"/>
    <w:rsid w:val="00D62D9D"/>
    <w:rsid w:val="00D63001"/>
    <w:rsid w:val="00D6367F"/>
    <w:rsid w:val="00D64BC1"/>
    <w:rsid w:val="00D65A74"/>
    <w:rsid w:val="00D65E3B"/>
    <w:rsid w:val="00D65EA6"/>
    <w:rsid w:val="00D704E6"/>
    <w:rsid w:val="00D708CD"/>
    <w:rsid w:val="00D71658"/>
    <w:rsid w:val="00D73030"/>
    <w:rsid w:val="00D746E1"/>
    <w:rsid w:val="00D7596F"/>
    <w:rsid w:val="00D76E7D"/>
    <w:rsid w:val="00D779BD"/>
    <w:rsid w:val="00D77A1B"/>
    <w:rsid w:val="00D77D82"/>
    <w:rsid w:val="00D8062A"/>
    <w:rsid w:val="00D8255C"/>
    <w:rsid w:val="00D82869"/>
    <w:rsid w:val="00D87EE7"/>
    <w:rsid w:val="00D90DD9"/>
    <w:rsid w:val="00D920B4"/>
    <w:rsid w:val="00D93600"/>
    <w:rsid w:val="00D93A1D"/>
    <w:rsid w:val="00D978A4"/>
    <w:rsid w:val="00DA466E"/>
    <w:rsid w:val="00DA54D5"/>
    <w:rsid w:val="00DA5AAF"/>
    <w:rsid w:val="00DB05E3"/>
    <w:rsid w:val="00DB0FB4"/>
    <w:rsid w:val="00DB272D"/>
    <w:rsid w:val="00DB384F"/>
    <w:rsid w:val="00DB3B0D"/>
    <w:rsid w:val="00DB3CE8"/>
    <w:rsid w:val="00DB73A3"/>
    <w:rsid w:val="00DC0D3B"/>
    <w:rsid w:val="00DC1E3F"/>
    <w:rsid w:val="00DC2E19"/>
    <w:rsid w:val="00DC4A1E"/>
    <w:rsid w:val="00DC5025"/>
    <w:rsid w:val="00DC749C"/>
    <w:rsid w:val="00DD0F0A"/>
    <w:rsid w:val="00DD4180"/>
    <w:rsid w:val="00DD73BA"/>
    <w:rsid w:val="00DE2843"/>
    <w:rsid w:val="00DE3835"/>
    <w:rsid w:val="00DE454F"/>
    <w:rsid w:val="00DE4926"/>
    <w:rsid w:val="00DE7D6C"/>
    <w:rsid w:val="00DF2514"/>
    <w:rsid w:val="00DF2C45"/>
    <w:rsid w:val="00DF43A8"/>
    <w:rsid w:val="00DF6748"/>
    <w:rsid w:val="00DF6FF8"/>
    <w:rsid w:val="00E014BD"/>
    <w:rsid w:val="00E03122"/>
    <w:rsid w:val="00E03B1D"/>
    <w:rsid w:val="00E047B9"/>
    <w:rsid w:val="00E04DB1"/>
    <w:rsid w:val="00E04E86"/>
    <w:rsid w:val="00E058EC"/>
    <w:rsid w:val="00E06198"/>
    <w:rsid w:val="00E16D45"/>
    <w:rsid w:val="00E208EA"/>
    <w:rsid w:val="00E24B1B"/>
    <w:rsid w:val="00E2501E"/>
    <w:rsid w:val="00E25783"/>
    <w:rsid w:val="00E25B88"/>
    <w:rsid w:val="00E26B8C"/>
    <w:rsid w:val="00E26D27"/>
    <w:rsid w:val="00E26EC4"/>
    <w:rsid w:val="00E27245"/>
    <w:rsid w:val="00E3128C"/>
    <w:rsid w:val="00E33094"/>
    <w:rsid w:val="00E407C3"/>
    <w:rsid w:val="00E40953"/>
    <w:rsid w:val="00E42AB8"/>
    <w:rsid w:val="00E42B94"/>
    <w:rsid w:val="00E43526"/>
    <w:rsid w:val="00E4780B"/>
    <w:rsid w:val="00E52444"/>
    <w:rsid w:val="00E62116"/>
    <w:rsid w:val="00E638C0"/>
    <w:rsid w:val="00E65630"/>
    <w:rsid w:val="00E662E2"/>
    <w:rsid w:val="00E67B88"/>
    <w:rsid w:val="00E67C2E"/>
    <w:rsid w:val="00E7210C"/>
    <w:rsid w:val="00E72B2C"/>
    <w:rsid w:val="00E74B5E"/>
    <w:rsid w:val="00E81FD6"/>
    <w:rsid w:val="00E8245B"/>
    <w:rsid w:val="00E854A4"/>
    <w:rsid w:val="00E86A69"/>
    <w:rsid w:val="00E9286F"/>
    <w:rsid w:val="00E9384E"/>
    <w:rsid w:val="00E96924"/>
    <w:rsid w:val="00E97CA5"/>
    <w:rsid w:val="00E97E4A"/>
    <w:rsid w:val="00EA1265"/>
    <w:rsid w:val="00EA1DCC"/>
    <w:rsid w:val="00EA38A2"/>
    <w:rsid w:val="00EA6229"/>
    <w:rsid w:val="00EA789D"/>
    <w:rsid w:val="00EB0EDE"/>
    <w:rsid w:val="00EB1C7D"/>
    <w:rsid w:val="00EB27F1"/>
    <w:rsid w:val="00EB3529"/>
    <w:rsid w:val="00EB3B75"/>
    <w:rsid w:val="00EB47C3"/>
    <w:rsid w:val="00EB5B6D"/>
    <w:rsid w:val="00EB5F22"/>
    <w:rsid w:val="00EB6051"/>
    <w:rsid w:val="00EC09D2"/>
    <w:rsid w:val="00EC18BA"/>
    <w:rsid w:val="00EC4F13"/>
    <w:rsid w:val="00EC66B8"/>
    <w:rsid w:val="00EC6C85"/>
    <w:rsid w:val="00ED141A"/>
    <w:rsid w:val="00ED1D07"/>
    <w:rsid w:val="00ED1ECB"/>
    <w:rsid w:val="00ED23A6"/>
    <w:rsid w:val="00ED30ED"/>
    <w:rsid w:val="00ED4CAA"/>
    <w:rsid w:val="00ED6216"/>
    <w:rsid w:val="00EE0F28"/>
    <w:rsid w:val="00EE3254"/>
    <w:rsid w:val="00EE53D4"/>
    <w:rsid w:val="00EF4D66"/>
    <w:rsid w:val="00EF515A"/>
    <w:rsid w:val="00EF639F"/>
    <w:rsid w:val="00F02866"/>
    <w:rsid w:val="00F02EF3"/>
    <w:rsid w:val="00F03A40"/>
    <w:rsid w:val="00F04CE6"/>
    <w:rsid w:val="00F0770A"/>
    <w:rsid w:val="00F117B9"/>
    <w:rsid w:val="00F1263A"/>
    <w:rsid w:val="00F13BAE"/>
    <w:rsid w:val="00F1652B"/>
    <w:rsid w:val="00F16A5D"/>
    <w:rsid w:val="00F16D5F"/>
    <w:rsid w:val="00F17243"/>
    <w:rsid w:val="00F2037D"/>
    <w:rsid w:val="00F203F5"/>
    <w:rsid w:val="00F2346E"/>
    <w:rsid w:val="00F244C2"/>
    <w:rsid w:val="00F247ED"/>
    <w:rsid w:val="00F24E62"/>
    <w:rsid w:val="00F25F3C"/>
    <w:rsid w:val="00F26C09"/>
    <w:rsid w:val="00F31D41"/>
    <w:rsid w:val="00F329F9"/>
    <w:rsid w:val="00F36D1E"/>
    <w:rsid w:val="00F37F0F"/>
    <w:rsid w:val="00F4169C"/>
    <w:rsid w:val="00F436A8"/>
    <w:rsid w:val="00F46E41"/>
    <w:rsid w:val="00F47237"/>
    <w:rsid w:val="00F47FDC"/>
    <w:rsid w:val="00F51251"/>
    <w:rsid w:val="00F520EA"/>
    <w:rsid w:val="00F561C5"/>
    <w:rsid w:val="00F56225"/>
    <w:rsid w:val="00F606CB"/>
    <w:rsid w:val="00F61001"/>
    <w:rsid w:val="00F623EE"/>
    <w:rsid w:val="00F6243F"/>
    <w:rsid w:val="00F67183"/>
    <w:rsid w:val="00F674F3"/>
    <w:rsid w:val="00F6760D"/>
    <w:rsid w:val="00F67C69"/>
    <w:rsid w:val="00F67D63"/>
    <w:rsid w:val="00F67D99"/>
    <w:rsid w:val="00F67EE7"/>
    <w:rsid w:val="00F72585"/>
    <w:rsid w:val="00F7316B"/>
    <w:rsid w:val="00F73BF1"/>
    <w:rsid w:val="00F741B4"/>
    <w:rsid w:val="00F744B1"/>
    <w:rsid w:val="00F81751"/>
    <w:rsid w:val="00F8459A"/>
    <w:rsid w:val="00F85F5E"/>
    <w:rsid w:val="00F86D68"/>
    <w:rsid w:val="00F878EA"/>
    <w:rsid w:val="00F94522"/>
    <w:rsid w:val="00F96DC6"/>
    <w:rsid w:val="00FA1EB1"/>
    <w:rsid w:val="00FA2A44"/>
    <w:rsid w:val="00FA5230"/>
    <w:rsid w:val="00FA6A48"/>
    <w:rsid w:val="00FB0750"/>
    <w:rsid w:val="00FB2115"/>
    <w:rsid w:val="00FB253F"/>
    <w:rsid w:val="00FB3122"/>
    <w:rsid w:val="00FB31C6"/>
    <w:rsid w:val="00FC1259"/>
    <w:rsid w:val="00FC4CAE"/>
    <w:rsid w:val="00FC55BD"/>
    <w:rsid w:val="00FC6D8B"/>
    <w:rsid w:val="00FC7C2A"/>
    <w:rsid w:val="00FD0DF5"/>
    <w:rsid w:val="00FD301B"/>
    <w:rsid w:val="00FD3166"/>
    <w:rsid w:val="00FD4EB4"/>
    <w:rsid w:val="00FD584A"/>
    <w:rsid w:val="00FD6FE7"/>
    <w:rsid w:val="00FE18CD"/>
    <w:rsid w:val="00FE2763"/>
    <w:rsid w:val="00FE343A"/>
    <w:rsid w:val="00FE3846"/>
    <w:rsid w:val="00FE5D37"/>
    <w:rsid w:val="00FE5E8F"/>
    <w:rsid w:val="00FF2E89"/>
    <w:rsid w:val="00FF3C4C"/>
    <w:rsid w:val="00FF58A3"/>
    <w:rsid w:val="00FF72E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85264C"/>
  <w15:docId w15:val="{4B04ED93-7E14-4930-9476-41C5EC291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035F"/>
    <w:pPr>
      <w:spacing w:after="120"/>
      <w:jc w:val="both"/>
    </w:pPr>
    <w:rPr>
      <w:rFonts w:ascii="Times New Roman" w:eastAsia="Times New Roman" w:hAnsi="Times New Roman"/>
      <w:lang w:val="en-US" w:eastAsia="en-US"/>
    </w:rPr>
  </w:style>
  <w:style w:type="paragraph" w:styleId="Heading1">
    <w:name w:val="heading 1"/>
    <w:basedOn w:val="Normal"/>
    <w:next w:val="Normal"/>
    <w:link w:val="Heading1Char"/>
    <w:qFormat/>
    <w:pPr>
      <w:keepNext/>
      <w:keepLines/>
      <w:spacing w:before="120" w:after="0"/>
      <w:outlineLvl w:val="0"/>
    </w:pPr>
    <w:rPr>
      <w:rFonts w:ascii="Arial" w:hAnsi="Arial"/>
      <w:b/>
      <w:caps/>
      <w:kern w:val="32"/>
      <w:sz w:val="18"/>
    </w:rPr>
  </w:style>
  <w:style w:type="paragraph" w:styleId="Heading2">
    <w:name w:val="heading 2"/>
    <w:basedOn w:val="Heading1"/>
    <w:next w:val="Normal"/>
    <w:link w:val="Heading2Char"/>
    <w:qFormat/>
    <w:pPr>
      <w:outlineLvl w:val="1"/>
    </w:pPr>
    <w:rPr>
      <w:caps w:val="0"/>
    </w:rPr>
  </w:style>
  <w:style w:type="paragraph" w:styleId="Heading3">
    <w:name w:val="heading 3"/>
    <w:basedOn w:val="Heading2"/>
    <w:next w:val="Normal"/>
    <w:qFormat/>
    <w:pPr>
      <w:outlineLvl w:val="2"/>
    </w:pPr>
    <w:rPr>
      <w:b w:val="0"/>
      <w:i/>
    </w:rPr>
  </w:style>
  <w:style w:type="paragraph" w:styleId="Heading4">
    <w:name w:val="heading 4"/>
    <w:basedOn w:val="Normal"/>
    <w:next w:val="Normal"/>
    <w:qFormat/>
    <w:pPr>
      <w:keepNext/>
      <w:numPr>
        <w:ilvl w:val="3"/>
        <w:numId w:val="23"/>
      </w:numPr>
      <w:spacing w:before="240" w:after="60"/>
      <w:outlineLvl w:val="3"/>
    </w:pPr>
    <w:rPr>
      <w:b/>
      <w:sz w:val="28"/>
    </w:rPr>
  </w:style>
  <w:style w:type="paragraph" w:styleId="Heading5">
    <w:name w:val="heading 5"/>
    <w:basedOn w:val="Normal"/>
    <w:next w:val="Normal"/>
    <w:qFormat/>
    <w:pPr>
      <w:numPr>
        <w:ilvl w:val="4"/>
        <w:numId w:val="23"/>
      </w:numPr>
      <w:spacing w:before="240" w:after="60"/>
      <w:outlineLvl w:val="4"/>
    </w:pPr>
    <w:rPr>
      <w:b/>
      <w:i/>
      <w:sz w:val="26"/>
    </w:rPr>
  </w:style>
  <w:style w:type="paragraph" w:styleId="Heading6">
    <w:name w:val="heading 6"/>
    <w:basedOn w:val="Normal"/>
    <w:next w:val="Normal"/>
    <w:qFormat/>
    <w:pPr>
      <w:numPr>
        <w:ilvl w:val="5"/>
        <w:numId w:val="23"/>
      </w:numPr>
      <w:spacing w:before="240" w:after="60"/>
      <w:outlineLvl w:val="5"/>
    </w:pPr>
    <w:rPr>
      <w:b/>
      <w:sz w:val="22"/>
    </w:rPr>
  </w:style>
  <w:style w:type="paragraph" w:styleId="Heading7">
    <w:name w:val="heading 7"/>
    <w:basedOn w:val="Normal"/>
    <w:next w:val="Normal"/>
    <w:qFormat/>
    <w:pPr>
      <w:numPr>
        <w:ilvl w:val="6"/>
        <w:numId w:val="23"/>
      </w:numPr>
      <w:spacing w:before="240" w:after="60"/>
      <w:outlineLvl w:val="6"/>
    </w:pPr>
  </w:style>
  <w:style w:type="paragraph" w:styleId="Heading8">
    <w:name w:val="heading 8"/>
    <w:basedOn w:val="Normal"/>
    <w:next w:val="Normal"/>
    <w:qFormat/>
    <w:pPr>
      <w:numPr>
        <w:ilvl w:val="7"/>
        <w:numId w:val="23"/>
      </w:numPr>
      <w:spacing w:before="240" w:after="60"/>
      <w:outlineLvl w:val="7"/>
    </w:pPr>
    <w:rPr>
      <w:i/>
    </w:rPr>
  </w:style>
  <w:style w:type="paragraph" w:styleId="Heading9">
    <w:name w:val="heading 9"/>
    <w:basedOn w:val="Normal"/>
    <w:next w:val="Normal"/>
    <w:qFormat/>
    <w:pPr>
      <w:numPr>
        <w:ilvl w:val="8"/>
        <w:numId w:val="23"/>
      </w:numPr>
      <w:spacing w:before="240" w:after="60"/>
      <w:outlineLvl w:val="8"/>
    </w:pPr>
    <w:rPr>
      <w:rFonts w:ascii="Arial" w:hAnsi="Arial"/>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paragraph" w:styleId="Header">
    <w:name w:val="header"/>
    <w:basedOn w:val="Normal"/>
    <w:pPr>
      <w:tabs>
        <w:tab w:val="center" w:pos="4320"/>
        <w:tab w:val="right" w:pos="8640"/>
      </w:tabs>
    </w:pPr>
    <w:rPr>
      <w:rFonts w:ascii="Arial" w:hAnsi="Arial"/>
    </w:rPr>
  </w:style>
  <w:style w:type="paragraph" w:customStyle="1" w:styleId="Author">
    <w:name w:val="Author"/>
    <w:basedOn w:val="Normal"/>
    <w:pPr>
      <w:spacing w:after="0"/>
      <w:jc w:val="center"/>
    </w:pPr>
    <w:rPr>
      <w:b/>
      <w:color w:val="000000"/>
      <w:sz w:val="24"/>
    </w:rPr>
  </w:style>
  <w:style w:type="character" w:styleId="PageNumber">
    <w:name w:val="page number"/>
    <w:basedOn w:val="DefaultParagraphFont"/>
  </w:style>
  <w:style w:type="paragraph" w:styleId="Title">
    <w:name w:val="Title"/>
    <w:basedOn w:val="Normal"/>
    <w:link w:val="TitleChar"/>
    <w:qFormat/>
    <w:pPr>
      <w:spacing w:before="100" w:beforeAutospacing="1"/>
      <w:jc w:val="center"/>
      <w:outlineLvl w:val="0"/>
    </w:pPr>
    <w:rPr>
      <w:rFonts w:ascii="Arial" w:hAnsi="Arial"/>
      <w:b/>
      <w:kern w:val="28"/>
      <w:sz w:val="36"/>
    </w:rPr>
  </w:style>
  <w:style w:type="paragraph" w:styleId="BlockText">
    <w:name w:val="Block Text"/>
    <w:basedOn w:val="Normal"/>
    <w:pPr>
      <w:ind w:left="1440" w:right="1440"/>
    </w:pPr>
  </w:style>
  <w:style w:type="paragraph" w:styleId="Caption">
    <w:name w:val="caption"/>
    <w:basedOn w:val="Normal"/>
    <w:next w:val="Normal"/>
    <w:qFormat/>
    <w:pPr>
      <w:keepNext/>
      <w:spacing w:before="120"/>
      <w:jc w:val="center"/>
    </w:pPr>
    <w:rPr>
      <w:b/>
      <w:sz w:val="18"/>
    </w:rPr>
  </w:style>
  <w:style w:type="paragraph" w:styleId="Closing">
    <w:name w:val="Closing"/>
    <w:basedOn w:val="Normal"/>
    <w:pPr>
      <w:ind w:left="4320"/>
    </w:pPr>
  </w:style>
  <w:style w:type="paragraph" w:styleId="CommentText">
    <w:name w:val="annotation text"/>
    <w:basedOn w:val="Normal"/>
    <w:link w:val="CommentTextChar"/>
    <w:uiPriority w:val="99"/>
    <w:semiHidden/>
    <w:rPr>
      <w:rFonts w:ascii="Tahoma" w:hAnsi="Tahoma" w:cs="Tahoma"/>
      <w:sz w:val="16"/>
    </w:rPr>
  </w:style>
  <w:style w:type="paragraph" w:styleId="Date">
    <w:name w:val="Date"/>
    <w:basedOn w:val="Normal"/>
    <w:next w:val="Normal"/>
  </w:style>
  <w:style w:type="paragraph" w:styleId="DocumentMap">
    <w:name w:val="Document Map"/>
    <w:basedOn w:val="Normal"/>
    <w:semiHidden/>
    <w:pPr>
      <w:shd w:val="clear" w:color="auto" w:fill="000080"/>
    </w:pPr>
    <w:rPr>
      <w:rFonts w:ascii="Tahoma" w:hAnsi="Tahoma"/>
    </w:rPr>
  </w:style>
  <w:style w:type="paragraph" w:styleId="FootnoteText">
    <w:name w:val="footnote text"/>
    <w:basedOn w:val="Normal"/>
    <w:semiHidden/>
    <w:pPr>
      <w:tabs>
        <w:tab w:val="left" w:pos="360"/>
      </w:tabs>
    </w:pPr>
  </w:style>
  <w:style w:type="paragraph" w:styleId="Index1">
    <w:name w:val="index 1"/>
    <w:basedOn w:val="Normal"/>
    <w:next w:val="Normal"/>
    <w:semiHidden/>
    <w:pPr>
      <w:ind w:left="240" w:hanging="240"/>
    </w:pPr>
  </w:style>
  <w:style w:type="paragraph" w:styleId="Index2">
    <w:name w:val="index 2"/>
    <w:basedOn w:val="Normal"/>
    <w:next w:val="Normal"/>
    <w:semiHidden/>
    <w:pPr>
      <w:ind w:left="480" w:hanging="240"/>
    </w:pPr>
  </w:style>
  <w:style w:type="paragraph" w:styleId="Index3">
    <w:name w:val="index 3"/>
    <w:basedOn w:val="Normal"/>
    <w:next w:val="Normal"/>
    <w:semiHidden/>
    <w:pPr>
      <w:ind w:left="720" w:hanging="240"/>
    </w:pPr>
  </w:style>
  <w:style w:type="paragraph" w:styleId="Index4">
    <w:name w:val="index 4"/>
    <w:basedOn w:val="Normal"/>
    <w:next w:val="Normal"/>
    <w:semiHidden/>
    <w:pPr>
      <w:ind w:left="960" w:hanging="240"/>
    </w:pPr>
  </w:style>
  <w:style w:type="paragraph" w:styleId="Index5">
    <w:name w:val="index 5"/>
    <w:basedOn w:val="Normal"/>
    <w:next w:val="Normal"/>
    <w:semiHidden/>
    <w:pPr>
      <w:ind w:left="1200" w:hanging="240"/>
    </w:pPr>
  </w:style>
  <w:style w:type="paragraph" w:styleId="Index6">
    <w:name w:val="index 6"/>
    <w:basedOn w:val="Normal"/>
    <w:next w:val="Normal"/>
    <w:semiHidden/>
    <w:pPr>
      <w:ind w:left="1440" w:hanging="240"/>
    </w:pPr>
  </w:style>
  <w:style w:type="paragraph" w:styleId="Index7">
    <w:name w:val="index 7"/>
    <w:basedOn w:val="Normal"/>
    <w:next w:val="Normal"/>
    <w:semiHidden/>
    <w:pPr>
      <w:ind w:left="1680" w:hanging="240"/>
    </w:pPr>
  </w:style>
  <w:style w:type="paragraph" w:styleId="Index8">
    <w:name w:val="index 8"/>
    <w:basedOn w:val="Normal"/>
    <w:next w:val="Normal"/>
    <w:semiHidden/>
    <w:pPr>
      <w:ind w:left="1920" w:hanging="240"/>
    </w:pPr>
  </w:style>
  <w:style w:type="paragraph" w:styleId="Index9">
    <w:name w:val="index 9"/>
    <w:basedOn w:val="Normal"/>
    <w:next w:val="Normal"/>
    <w:semiHidden/>
    <w:pPr>
      <w:ind w:left="2160" w:hanging="240"/>
    </w:pPr>
  </w:style>
  <w:style w:type="paragraph" w:styleId="IndexHeading">
    <w:name w:val="index heading"/>
    <w:basedOn w:val="Normal"/>
    <w:next w:val="Index1"/>
    <w:semiHidden/>
    <w:rPr>
      <w:rFonts w:ascii="Arial" w:hAnsi="Arial"/>
      <w:b/>
    </w:rPr>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pPr>
      <w:numPr>
        <w:numId w:val="11"/>
      </w:numPr>
    </w:pPr>
  </w:style>
  <w:style w:type="paragraph" w:styleId="ListBullet2">
    <w:name w:val="List Bullet 2"/>
    <w:basedOn w:val="Normal"/>
    <w:pPr>
      <w:numPr>
        <w:numId w:val="12"/>
      </w:numPr>
    </w:pPr>
  </w:style>
  <w:style w:type="paragraph" w:styleId="ListBullet3">
    <w:name w:val="List Bullet 3"/>
    <w:basedOn w:val="Normal"/>
    <w:pPr>
      <w:numPr>
        <w:numId w:val="13"/>
      </w:numPr>
    </w:pPr>
  </w:style>
  <w:style w:type="paragraph" w:styleId="ListBullet4">
    <w:name w:val="List Bullet 4"/>
    <w:basedOn w:val="Normal"/>
    <w:pPr>
      <w:numPr>
        <w:numId w:val="14"/>
      </w:numPr>
    </w:pPr>
  </w:style>
  <w:style w:type="paragraph" w:styleId="ListBullet5">
    <w:name w:val="List Bullet 5"/>
    <w:basedOn w:val="Normal"/>
    <w:pPr>
      <w:numPr>
        <w:numId w:val="15"/>
      </w:numPr>
    </w:pPr>
  </w:style>
  <w:style w:type="paragraph" w:styleId="ListContinue">
    <w:name w:val="List Continue"/>
    <w:basedOn w:val="Normal"/>
    <w:pPr>
      <w:ind w:left="360"/>
    </w:pPr>
  </w:style>
  <w:style w:type="paragraph" w:styleId="ListContinue2">
    <w:name w:val="List Continue 2"/>
    <w:basedOn w:val="Normal"/>
    <w:pPr>
      <w:ind w:left="720"/>
    </w:pPr>
  </w:style>
  <w:style w:type="paragraph" w:styleId="ListContinue3">
    <w:name w:val="List Continue 3"/>
    <w:basedOn w:val="Normal"/>
    <w:pPr>
      <w:ind w:left="1080"/>
    </w:pPr>
  </w:style>
  <w:style w:type="paragraph" w:styleId="ListContinue4">
    <w:name w:val="List Continue 4"/>
    <w:basedOn w:val="Normal"/>
    <w:pPr>
      <w:ind w:left="1440"/>
    </w:pPr>
  </w:style>
  <w:style w:type="paragraph" w:styleId="ListContinue5">
    <w:name w:val="List Continue 5"/>
    <w:basedOn w:val="Normal"/>
    <w:pPr>
      <w:ind w:left="1800"/>
    </w:pPr>
  </w:style>
  <w:style w:type="paragraph" w:styleId="ListNumber">
    <w:name w:val="List Number"/>
    <w:basedOn w:val="Normal"/>
    <w:pPr>
      <w:numPr>
        <w:numId w:val="16"/>
      </w:numPr>
    </w:pPr>
  </w:style>
  <w:style w:type="paragraph" w:styleId="ListNumber2">
    <w:name w:val="List Number 2"/>
    <w:basedOn w:val="Normal"/>
    <w:pPr>
      <w:numPr>
        <w:numId w:val="17"/>
      </w:numPr>
    </w:pPr>
  </w:style>
  <w:style w:type="paragraph" w:styleId="ListNumber3">
    <w:name w:val="List Number 3"/>
    <w:basedOn w:val="Normal"/>
    <w:pPr>
      <w:numPr>
        <w:numId w:val="18"/>
      </w:numPr>
    </w:pPr>
  </w:style>
  <w:style w:type="paragraph" w:styleId="ListNumber4">
    <w:name w:val="List Number 4"/>
    <w:basedOn w:val="Normal"/>
    <w:pPr>
      <w:numPr>
        <w:numId w:val="19"/>
      </w:numPr>
    </w:pPr>
  </w:style>
  <w:style w:type="paragraph" w:styleId="ListNumber5">
    <w:name w:val="List Number 5"/>
    <w:basedOn w:val="Normal"/>
    <w:pPr>
      <w:numPr>
        <w:numId w:val="20"/>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lang w:val="en-US" w:eastAsia="en-US"/>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rPr>
  </w:style>
  <w:style w:type="paragraph" w:styleId="NormalWeb">
    <w:name w:val="Normal (Web)"/>
    <w:basedOn w:val="Normal"/>
    <w:uiPriority w:val="99"/>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rPr>
  </w:style>
  <w:style w:type="paragraph" w:styleId="Salutation">
    <w:name w:val="Salutation"/>
    <w:basedOn w:val="Normal"/>
    <w:next w:val="Normal"/>
  </w:style>
  <w:style w:type="paragraph" w:styleId="Signature">
    <w:name w:val="Signature"/>
    <w:basedOn w:val="Normal"/>
    <w:pPr>
      <w:ind w:left="4320"/>
    </w:pPr>
  </w:style>
  <w:style w:type="paragraph" w:styleId="Subtitle">
    <w:name w:val="Subtitle"/>
    <w:basedOn w:val="Normal"/>
    <w:qFormat/>
    <w:pPr>
      <w:spacing w:after="60"/>
      <w:jc w:val="center"/>
      <w:outlineLvl w:val="1"/>
    </w:pPr>
    <w:rPr>
      <w:rFonts w:ascii="Arial" w:hAnsi="Arial"/>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OAHeading">
    <w:name w:val="toa heading"/>
    <w:basedOn w:val="Normal"/>
    <w:next w:val="Normal"/>
    <w:semiHidden/>
    <w:pPr>
      <w:spacing w:before="120"/>
    </w:pPr>
    <w:rPr>
      <w:rFonts w:ascii="Arial" w:hAnsi="Arial"/>
      <w:b/>
    </w:rPr>
  </w:style>
  <w:style w:type="paragraph" w:styleId="TOC1">
    <w:name w:val="toc 1"/>
    <w:basedOn w:val="Normal"/>
    <w:next w:val="Normal"/>
    <w:semiHidden/>
  </w:style>
  <w:style w:type="paragraph" w:styleId="TOC2">
    <w:name w:val="toc 2"/>
    <w:basedOn w:val="Normal"/>
    <w:next w:val="Normal"/>
    <w:semiHidden/>
    <w:pPr>
      <w:ind w:left="240"/>
    </w:pPr>
  </w:style>
  <w:style w:type="paragraph" w:styleId="TOC3">
    <w:name w:val="toc 3"/>
    <w:basedOn w:val="Normal"/>
    <w:next w:val="Normal"/>
    <w:semiHidden/>
    <w:pPr>
      <w:ind w:left="480"/>
    </w:pPr>
  </w:style>
  <w:style w:type="paragraph" w:styleId="TOC4">
    <w:name w:val="toc 4"/>
    <w:basedOn w:val="Normal"/>
    <w:next w:val="Normal"/>
    <w:semiHidden/>
    <w:pPr>
      <w:ind w:left="720"/>
    </w:pPr>
  </w:style>
  <w:style w:type="paragraph" w:styleId="TOC5">
    <w:name w:val="toc 5"/>
    <w:basedOn w:val="Normal"/>
    <w:next w:val="Normal"/>
    <w:semiHidden/>
    <w:pPr>
      <w:ind w:left="960"/>
    </w:pPr>
  </w:style>
  <w:style w:type="paragraph" w:styleId="TOC6">
    <w:name w:val="toc 6"/>
    <w:basedOn w:val="Normal"/>
    <w:next w:val="Normal"/>
    <w:semiHidden/>
    <w:pPr>
      <w:ind w:left="1200"/>
    </w:pPr>
  </w:style>
  <w:style w:type="paragraph" w:styleId="TOC7">
    <w:name w:val="toc 7"/>
    <w:basedOn w:val="Normal"/>
    <w:next w:val="Normal"/>
    <w:semiHidden/>
    <w:pPr>
      <w:ind w:left="1440"/>
    </w:pPr>
  </w:style>
  <w:style w:type="paragraph" w:styleId="TOC8">
    <w:name w:val="toc 8"/>
    <w:basedOn w:val="Normal"/>
    <w:next w:val="Normal"/>
    <w:semiHidden/>
    <w:pPr>
      <w:ind w:left="1680"/>
    </w:pPr>
  </w:style>
  <w:style w:type="paragraph" w:styleId="TOC9">
    <w:name w:val="toc 9"/>
    <w:basedOn w:val="Normal"/>
    <w:next w:val="Normal"/>
    <w:semiHidden/>
    <w:pPr>
      <w:ind w:left="1920"/>
    </w:pPr>
  </w:style>
  <w:style w:type="character" w:styleId="FootnoteReference">
    <w:name w:val="footnote reference"/>
    <w:semiHidden/>
    <w:rPr>
      <w:vertAlign w:val="superscript"/>
    </w:rPr>
  </w:style>
  <w:style w:type="paragraph" w:customStyle="1" w:styleId="Bullet">
    <w:name w:val="Bullet"/>
    <w:basedOn w:val="Normal"/>
    <w:pPr>
      <w:numPr>
        <w:numId w:val="31"/>
      </w:numPr>
      <w:tabs>
        <w:tab w:val="clear" w:pos="720"/>
        <w:tab w:val="left" w:pos="180"/>
      </w:tabs>
      <w:overflowPunct w:val="0"/>
      <w:autoSpaceDE w:val="0"/>
      <w:autoSpaceDN w:val="0"/>
      <w:adjustRightInd w:val="0"/>
      <w:spacing w:after="80"/>
      <w:ind w:left="180" w:hanging="180"/>
      <w:textAlignment w:val="baseline"/>
    </w:pPr>
  </w:style>
  <w:style w:type="paragraph" w:customStyle="1" w:styleId="Paper-Title">
    <w:name w:val="Paper-Title"/>
    <w:basedOn w:val="Normal"/>
    <w:pPr>
      <w:overflowPunct w:val="0"/>
      <w:autoSpaceDE w:val="0"/>
      <w:autoSpaceDN w:val="0"/>
      <w:adjustRightInd w:val="0"/>
      <w:jc w:val="center"/>
      <w:textAlignment w:val="baseline"/>
    </w:pPr>
    <w:rPr>
      <w:rFonts w:ascii="Helvetica" w:hAnsi="Helvetica"/>
      <w:b/>
      <w:sz w:val="36"/>
    </w:rPr>
  </w:style>
  <w:style w:type="paragraph" w:customStyle="1" w:styleId="References">
    <w:name w:val="References"/>
    <w:basedOn w:val="Normal"/>
    <w:pPr>
      <w:overflowPunct w:val="0"/>
      <w:autoSpaceDE w:val="0"/>
      <w:autoSpaceDN w:val="0"/>
      <w:adjustRightInd w:val="0"/>
      <w:spacing w:after="80"/>
      <w:ind w:left="270" w:hanging="270"/>
      <w:textAlignment w:val="baseline"/>
    </w:pPr>
  </w:style>
  <w:style w:type="character" w:styleId="CommentReference">
    <w:name w:val="annotation reference"/>
    <w:uiPriority w:val="99"/>
    <w:semiHidden/>
    <w:rPr>
      <w:sz w:val="16"/>
    </w:rPr>
  </w:style>
  <w:style w:type="paragraph" w:customStyle="1" w:styleId="Abstract">
    <w:name w:val="Abstract"/>
    <w:basedOn w:val="Heading1"/>
    <w:pPr>
      <w:spacing w:before="40"/>
      <w:outlineLvl w:val="9"/>
    </w:pPr>
    <w:rPr>
      <w:rFonts w:ascii="Times New Roman" w:hAnsi="Times New Roman"/>
      <w:kern w:val="28"/>
      <w:sz w:val="24"/>
    </w:rPr>
  </w:style>
  <w:style w:type="character" w:styleId="Hyperlink">
    <w:name w:val="Hyperlink"/>
    <w:rPr>
      <w:color w:val="0000FF"/>
      <w:u w:val="single"/>
    </w:rPr>
  </w:style>
  <w:style w:type="paragraph" w:customStyle="1" w:styleId="Affiliation">
    <w:name w:val="Affiliation"/>
    <w:basedOn w:val="Author"/>
    <w:rPr>
      <w:b w:val="0"/>
    </w:rPr>
  </w:style>
  <w:style w:type="paragraph" w:customStyle="1" w:styleId="Figure">
    <w:name w:val="Figure"/>
    <w:basedOn w:val="Normal"/>
    <w:pPr>
      <w:spacing w:after="0"/>
    </w:pPr>
  </w:style>
  <w:style w:type="paragraph" w:customStyle="1" w:styleId="Copyright">
    <w:name w:val="Copyright"/>
    <w:basedOn w:val="Normal"/>
    <w:pPr>
      <w:framePr w:w="4680" w:h="1977" w:hRule="exact" w:hSpace="187" w:wrap="auto" w:vAnchor="page" w:hAnchor="page" w:x="1155" w:y="12605" w:anchorLock="1"/>
      <w:spacing w:after="0"/>
    </w:pPr>
    <w:rPr>
      <w:sz w:val="16"/>
    </w:rPr>
  </w:style>
  <w:style w:type="paragraph" w:customStyle="1" w:styleId="cell">
    <w:name w:val="cell"/>
    <w:basedOn w:val="Normal"/>
    <w:pPr>
      <w:keepNext/>
      <w:keepLines/>
      <w:jc w:val="center"/>
    </w:pPr>
    <w:rPr>
      <w:b/>
    </w:rPr>
  </w:style>
  <w:style w:type="character" w:customStyle="1" w:styleId="v8n000000">
    <w:name w:val="v8n000000"/>
    <w:basedOn w:val="DefaultParagraphFont"/>
  </w:style>
  <w:style w:type="paragraph" w:customStyle="1" w:styleId="TableText">
    <w:name w:val="Table Text"/>
    <w:basedOn w:val="Normal"/>
    <w:pPr>
      <w:keepLines/>
      <w:spacing w:before="40" w:after="40"/>
      <w:jc w:val="left"/>
    </w:pPr>
  </w:style>
  <w:style w:type="character" w:styleId="FollowedHyperlink">
    <w:name w:val="FollowedHyperlink"/>
    <w:rPr>
      <w:color w:val="800080"/>
      <w:u w:val="single"/>
    </w:rPr>
  </w:style>
  <w:style w:type="paragraph" w:styleId="CommentSubject">
    <w:name w:val="annotation subject"/>
    <w:basedOn w:val="CommentText"/>
    <w:next w:val="CommentText"/>
    <w:semiHidden/>
    <w:rsid w:val="006D66A4"/>
    <w:rPr>
      <w:b/>
      <w:bCs/>
    </w:rPr>
  </w:style>
  <w:style w:type="paragraph" w:styleId="BalloonText">
    <w:name w:val="Balloon Text"/>
    <w:basedOn w:val="Normal"/>
    <w:semiHidden/>
    <w:rsid w:val="006D66A4"/>
    <w:rPr>
      <w:rFonts w:ascii="Tahoma" w:hAnsi="Tahoma" w:cs="Tahoma"/>
      <w:sz w:val="16"/>
      <w:szCs w:val="16"/>
    </w:rPr>
  </w:style>
  <w:style w:type="character" w:customStyle="1" w:styleId="q">
    <w:name w:val="q"/>
    <w:basedOn w:val="DefaultParagraphFont"/>
    <w:rsid w:val="00F01986"/>
  </w:style>
  <w:style w:type="paragraph" w:customStyle="1" w:styleId="MDPI16affiliation">
    <w:name w:val="MDPI_1.6_affiliation"/>
    <w:qFormat/>
    <w:rsid w:val="00837989"/>
    <w:pPr>
      <w:adjustRightInd w:val="0"/>
      <w:snapToGrid w:val="0"/>
      <w:spacing w:line="200" w:lineRule="atLeast"/>
      <w:ind w:left="2806" w:hanging="198"/>
    </w:pPr>
    <w:rPr>
      <w:rFonts w:ascii="Palatino Linotype" w:eastAsia="Times New Roman" w:hAnsi="Palatino Linotype"/>
      <w:color w:val="000000"/>
      <w:sz w:val="16"/>
      <w:szCs w:val="18"/>
      <w:lang w:val="en-US" w:bidi="en-US"/>
    </w:rPr>
  </w:style>
  <w:style w:type="character" w:customStyle="1" w:styleId="Heading2Char">
    <w:name w:val="Heading 2 Char"/>
    <w:basedOn w:val="DefaultParagraphFont"/>
    <w:link w:val="Heading2"/>
    <w:rsid w:val="008B24A9"/>
    <w:rPr>
      <w:rFonts w:ascii="Arial" w:eastAsia="Times New Roman" w:hAnsi="Arial"/>
      <w:b/>
      <w:kern w:val="32"/>
      <w:sz w:val="18"/>
      <w:lang w:val="en-US" w:eastAsia="en-US"/>
    </w:rPr>
  </w:style>
  <w:style w:type="character" w:customStyle="1" w:styleId="Heading1Char">
    <w:name w:val="Heading 1 Char"/>
    <w:basedOn w:val="DefaultParagraphFont"/>
    <w:link w:val="Heading1"/>
    <w:rsid w:val="003F37FC"/>
    <w:rPr>
      <w:rFonts w:ascii="Arial" w:eastAsia="Times New Roman" w:hAnsi="Arial"/>
      <w:b/>
      <w:caps/>
      <w:kern w:val="32"/>
      <w:sz w:val="18"/>
      <w:lang w:val="en-US" w:eastAsia="en-US"/>
    </w:rPr>
  </w:style>
  <w:style w:type="table" w:customStyle="1" w:styleId="Grilledetableauclaire1">
    <w:name w:val="Grille de tableau claire1"/>
    <w:basedOn w:val="TableNormal"/>
    <w:uiPriority w:val="40"/>
    <w:rsid w:val="0033357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Mentionnonrsolue1">
    <w:name w:val="Mention non résolue1"/>
    <w:basedOn w:val="DefaultParagraphFont"/>
    <w:uiPriority w:val="99"/>
    <w:semiHidden/>
    <w:unhideWhenUsed/>
    <w:rsid w:val="007E1B5E"/>
    <w:rPr>
      <w:color w:val="605E5C"/>
      <w:shd w:val="clear" w:color="auto" w:fill="E1DFDD"/>
    </w:rPr>
  </w:style>
  <w:style w:type="table" w:customStyle="1" w:styleId="TableauListe2-Accentuation11">
    <w:name w:val="Tableau Liste 2 - Accentuation 11"/>
    <w:basedOn w:val="TableNormal"/>
    <w:uiPriority w:val="47"/>
    <w:rsid w:val="004B1F71"/>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PlaceholderText">
    <w:name w:val="Placeholder Text"/>
    <w:basedOn w:val="DefaultParagraphFont"/>
    <w:uiPriority w:val="99"/>
    <w:semiHidden/>
    <w:rsid w:val="003C2CC3"/>
    <w:rPr>
      <w:color w:val="808080"/>
    </w:rPr>
  </w:style>
  <w:style w:type="paragraph" w:styleId="Revision">
    <w:name w:val="Revision"/>
    <w:hidden/>
    <w:uiPriority w:val="99"/>
    <w:semiHidden/>
    <w:rsid w:val="00E16D45"/>
    <w:rPr>
      <w:rFonts w:ascii="Times New Roman" w:eastAsia="Times New Roman" w:hAnsi="Times New Roman"/>
      <w:lang w:val="en-US" w:eastAsia="en-US"/>
    </w:rPr>
  </w:style>
  <w:style w:type="character" w:customStyle="1" w:styleId="TitleChar">
    <w:name w:val="Title Char"/>
    <w:basedOn w:val="DefaultParagraphFont"/>
    <w:link w:val="Title"/>
    <w:rsid w:val="00E16D45"/>
    <w:rPr>
      <w:rFonts w:ascii="Arial" w:eastAsia="Times New Roman" w:hAnsi="Arial"/>
      <w:b/>
      <w:kern w:val="28"/>
      <w:sz w:val="36"/>
      <w:lang w:val="en-US" w:eastAsia="en-US"/>
    </w:rPr>
  </w:style>
  <w:style w:type="character" w:customStyle="1" w:styleId="CommentTextChar">
    <w:name w:val="Comment Text Char"/>
    <w:basedOn w:val="DefaultParagraphFont"/>
    <w:link w:val="CommentText"/>
    <w:uiPriority w:val="99"/>
    <w:semiHidden/>
    <w:rsid w:val="00C433F4"/>
    <w:rPr>
      <w:rFonts w:ascii="Tahoma" w:eastAsia="Times New Roman" w:hAnsi="Tahoma" w:cs="Tahoma"/>
      <w:sz w:val="16"/>
      <w:lang w:val="en-US" w:eastAsia="en-US"/>
    </w:rPr>
  </w:style>
  <w:style w:type="paragraph" w:styleId="HTMLPreformatted">
    <w:name w:val="HTML Preformatted"/>
    <w:basedOn w:val="Normal"/>
    <w:link w:val="HTMLPreformattedChar"/>
    <w:uiPriority w:val="99"/>
    <w:semiHidden/>
    <w:unhideWhenUsed/>
    <w:rsid w:val="007643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Courier New" w:hAnsi="Courier New" w:cs="Courier New"/>
      <w:lang w:val="fr-FR" w:eastAsia="fr-FR"/>
    </w:rPr>
  </w:style>
  <w:style w:type="character" w:customStyle="1" w:styleId="HTMLPreformattedChar">
    <w:name w:val="HTML Preformatted Char"/>
    <w:basedOn w:val="DefaultParagraphFont"/>
    <w:link w:val="HTMLPreformatted"/>
    <w:uiPriority w:val="99"/>
    <w:semiHidden/>
    <w:rsid w:val="007643CE"/>
    <w:rPr>
      <w:rFonts w:ascii="Courier New" w:eastAsia="Times New Roman" w:hAnsi="Courier New" w:cs="Courier New"/>
      <w:lang w:val="fr-FR" w:eastAsia="fr-FR"/>
    </w:rPr>
  </w:style>
  <w:style w:type="character" w:customStyle="1" w:styleId="y2iqfc">
    <w:name w:val="y2iqfc"/>
    <w:basedOn w:val="DefaultParagraphFont"/>
    <w:rsid w:val="007643CE"/>
  </w:style>
  <w:style w:type="paragraph" w:styleId="ListParagraph">
    <w:name w:val="List Paragraph"/>
    <w:basedOn w:val="Normal"/>
    <w:uiPriority w:val="34"/>
    <w:qFormat/>
    <w:rsid w:val="00706FEF"/>
    <w:pPr>
      <w:ind w:left="720"/>
      <w:contextualSpacing/>
    </w:pPr>
  </w:style>
  <w:style w:type="character" w:customStyle="1" w:styleId="Mentionnonrsolue2">
    <w:name w:val="Mention non résolue2"/>
    <w:basedOn w:val="DefaultParagraphFont"/>
    <w:uiPriority w:val="99"/>
    <w:semiHidden/>
    <w:unhideWhenUsed/>
    <w:rsid w:val="0022541B"/>
    <w:rPr>
      <w:color w:val="605E5C"/>
      <w:shd w:val="clear" w:color="auto" w:fill="E1DFDD"/>
    </w:rPr>
  </w:style>
  <w:style w:type="table" w:customStyle="1" w:styleId="Tableausimple21">
    <w:name w:val="Tableau simple 21"/>
    <w:basedOn w:val="TableNormal"/>
    <w:uiPriority w:val="42"/>
    <w:rsid w:val="003C36B9"/>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edqm-textalign-center">
    <w:name w:val="edqm-textalign-center"/>
    <w:basedOn w:val="Normal"/>
    <w:rsid w:val="00C26F80"/>
    <w:pPr>
      <w:spacing w:before="100" w:beforeAutospacing="1" w:after="100" w:afterAutospacing="1"/>
      <w:jc w:val="left"/>
    </w:pPr>
    <w:rPr>
      <w:sz w:val="24"/>
      <w:szCs w:val="24"/>
      <w:lang w:val="fr-BE" w:eastAsia="fr-BE"/>
    </w:rPr>
  </w:style>
  <w:style w:type="table" w:styleId="TableGrid">
    <w:name w:val="Table Grid"/>
    <w:basedOn w:val="TableNormal"/>
    <w:uiPriority w:val="59"/>
    <w:rsid w:val="008011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simple41">
    <w:name w:val="Tableau simple 41"/>
    <w:basedOn w:val="TableNormal"/>
    <w:uiPriority w:val="44"/>
    <w:rsid w:val="002C5412"/>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lledetableauclaire2">
    <w:name w:val="Grille de tableau claire2"/>
    <w:basedOn w:val="TableNormal"/>
    <w:uiPriority w:val="40"/>
    <w:rsid w:val="002C5412"/>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styleId="111111">
    <w:name w:val="Outline List 2"/>
    <w:basedOn w:val="NoList"/>
    <w:uiPriority w:val="99"/>
    <w:semiHidden/>
    <w:unhideWhenUsed/>
    <w:rsid w:val="00907423"/>
    <w:pPr>
      <w:numPr>
        <w:numId w:val="38"/>
      </w:numPr>
    </w:pPr>
  </w:style>
  <w:style w:type="numbering" w:styleId="1ai">
    <w:name w:val="Outline List 1"/>
    <w:basedOn w:val="NoList"/>
    <w:uiPriority w:val="99"/>
    <w:semiHidden/>
    <w:unhideWhenUsed/>
    <w:rsid w:val="00907423"/>
    <w:pPr>
      <w:numPr>
        <w:numId w:val="39"/>
      </w:numPr>
    </w:pPr>
  </w:style>
  <w:style w:type="numbering" w:styleId="ArticleSection">
    <w:name w:val="Outline List 3"/>
    <w:basedOn w:val="NoList"/>
    <w:uiPriority w:val="99"/>
    <w:semiHidden/>
    <w:unhideWhenUsed/>
    <w:rsid w:val="00907423"/>
    <w:pPr>
      <w:numPr>
        <w:numId w:val="40"/>
      </w:numPr>
    </w:pPr>
  </w:style>
  <w:style w:type="paragraph" w:styleId="Bibliography">
    <w:name w:val="Bibliography"/>
    <w:basedOn w:val="Normal"/>
    <w:next w:val="Normal"/>
    <w:uiPriority w:val="37"/>
    <w:semiHidden/>
    <w:unhideWhenUsed/>
    <w:rsid w:val="00907423"/>
  </w:style>
  <w:style w:type="paragraph" w:styleId="BodyText">
    <w:name w:val="Body Text"/>
    <w:basedOn w:val="Normal"/>
    <w:link w:val="BodyTextChar"/>
    <w:uiPriority w:val="99"/>
    <w:semiHidden/>
    <w:unhideWhenUsed/>
    <w:rsid w:val="00907423"/>
  </w:style>
  <w:style w:type="character" w:customStyle="1" w:styleId="BodyTextChar">
    <w:name w:val="Body Text Char"/>
    <w:basedOn w:val="DefaultParagraphFont"/>
    <w:link w:val="BodyText"/>
    <w:uiPriority w:val="99"/>
    <w:semiHidden/>
    <w:rsid w:val="00907423"/>
    <w:rPr>
      <w:rFonts w:ascii="Times New Roman" w:eastAsia="Times New Roman" w:hAnsi="Times New Roman"/>
      <w:lang w:val="en-US" w:eastAsia="en-US"/>
    </w:rPr>
  </w:style>
  <w:style w:type="paragraph" w:styleId="BodyText2">
    <w:name w:val="Body Text 2"/>
    <w:basedOn w:val="Normal"/>
    <w:link w:val="BodyText2Char"/>
    <w:uiPriority w:val="99"/>
    <w:semiHidden/>
    <w:unhideWhenUsed/>
    <w:rsid w:val="00907423"/>
    <w:pPr>
      <w:spacing w:line="480" w:lineRule="auto"/>
    </w:pPr>
  </w:style>
  <w:style w:type="character" w:customStyle="1" w:styleId="BodyText2Char">
    <w:name w:val="Body Text 2 Char"/>
    <w:basedOn w:val="DefaultParagraphFont"/>
    <w:link w:val="BodyText2"/>
    <w:uiPriority w:val="99"/>
    <w:semiHidden/>
    <w:rsid w:val="00907423"/>
    <w:rPr>
      <w:rFonts w:ascii="Times New Roman" w:eastAsia="Times New Roman" w:hAnsi="Times New Roman"/>
      <w:lang w:val="en-US" w:eastAsia="en-US"/>
    </w:rPr>
  </w:style>
  <w:style w:type="paragraph" w:styleId="BodyText3">
    <w:name w:val="Body Text 3"/>
    <w:basedOn w:val="Normal"/>
    <w:link w:val="BodyText3Char"/>
    <w:uiPriority w:val="99"/>
    <w:semiHidden/>
    <w:unhideWhenUsed/>
    <w:rsid w:val="00907423"/>
    <w:rPr>
      <w:sz w:val="16"/>
      <w:szCs w:val="16"/>
    </w:rPr>
  </w:style>
  <w:style w:type="character" w:customStyle="1" w:styleId="BodyText3Char">
    <w:name w:val="Body Text 3 Char"/>
    <w:basedOn w:val="DefaultParagraphFont"/>
    <w:link w:val="BodyText3"/>
    <w:uiPriority w:val="99"/>
    <w:semiHidden/>
    <w:rsid w:val="00907423"/>
    <w:rPr>
      <w:rFonts w:ascii="Times New Roman" w:eastAsia="Times New Roman" w:hAnsi="Times New Roman"/>
      <w:sz w:val="16"/>
      <w:szCs w:val="16"/>
      <w:lang w:val="en-US" w:eastAsia="en-US"/>
    </w:rPr>
  </w:style>
  <w:style w:type="paragraph" w:styleId="BodyTextFirstIndent">
    <w:name w:val="Body Text First Indent"/>
    <w:basedOn w:val="BodyText"/>
    <w:link w:val="BodyTextFirstIndentChar"/>
    <w:uiPriority w:val="99"/>
    <w:semiHidden/>
    <w:unhideWhenUsed/>
    <w:rsid w:val="00907423"/>
    <w:pPr>
      <w:ind w:firstLine="360"/>
    </w:pPr>
  </w:style>
  <w:style w:type="character" w:customStyle="1" w:styleId="BodyTextFirstIndentChar">
    <w:name w:val="Body Text First Indent Char"/>
    <w:basedOn w:val="BodyTextChar"/>
    <w:link w:val="BodyTextFirstIndent"/>
    <w:uiPriority w:val="99"/>
    <w:semiHidden/>
    <w:rsid w:val="00907423"/>
    <w:rPr>
      <w:rFonts w:ascii="Times New Roman" w:eastAsia="Times New Roman" w:hAnsi="Times New Roman"/>
      <w:lang w:val="en-US" w:eastAsia="en-US"/>
    </w:rPr>
  </w:style>
  <w:style w:type="paragraph" w:styleId="BodyTextIndent">
    <w:name w:val="Body Text Indent"/>
    <w:basedOn w:val="Normal"/>
    <w:link w:val="BodyTextIndentChar"/>
    <w:uiPriority w:val="99"/>
    <w:semiHidden/>
    <w:unhideWhenUsed/>
    <w:rsid w:val="00907423"/>
    <w:pPr>
      <w:ind w:left="360"/>
    </w:pPr>
  </w:style>
  <w:style w:type="character" w:customStyle="1" w:styleId="BodyTextIndentChar">
    <w:name w:val="Body Text Indent Char"/>
    <w:basedOn w:val="DefaultParagraphFont"/>
    <w:link w:val="BodyTextIndent"/>
    <w:uiPriority w:val="99"/>
    <w:semiHidden/>
    <w:rsid w:val="00907423"/>
    <w:rPr>
      <w:rFonts w:ascii="Times New Roman" w:eastAsia="Times New Roman" w:hAnsi="Times New Roman"/>
      <w:lang w:val="en-US" w:eastAsia="en-US"/>
    </w:rPr>
  </w:style>
  <w:style w:type="paragraph" w:styleId="BodyTextFirstIndent2">
    <w:name w:val="Body Text First Indent 2"/>
    <w:basedOn w:val="BodyTextIndent"/>
    <w:link w:val="BodyTextFirstIndent2Char"/>
    <w:uiPriority w:val="99"/>
    <w:semiHidden/>
    <w:unhideWhenUsed/>
    <w:rsid w:val="00907423"/>
    <w:pPr>
      <w:ind w:firstLine="360"/>
    </w:pPr>
  </w:style>
  <w:style w:type="character" w:customStyle="1" w:styleId="BodyTextFirstIndent2Char">
    <w:name w:val="Body Text First Indent 2 Char"/>
    <w:basedOn w:val="BodyTextIndentChar"/>
    <w:link w:val="BodyTextFirstIndent2"/>
    <w:uiPriority w:val="99"/>
    <w:semiHidden/>
    <w:rsid w:val="00907423"/>
    <w:rPr>
      <w:rFonts w:ascii="Times New Roman" w:eastAsia="Times New Roman" w:hAnsi="Times New Roman"/>
      <w:lang w:val="en-US" w:eastAsia="en-US"/>
    </w:rPr>
  </w:style>
  <w:style w:type="paragraph" w:styleId="BodyTextIndent2">
    <w:name w:val="Body Text Indent 2"/>
    <w:basedOn w:val="Normal"/>
    <w:link w:val="BodyTextIndent2Char"/>
    <w:uiPriority w:val="99"/>
    <w:semiHidden/>
    <w:unhideWhenUsed/>
    <w:rsid w:val="00907423"/>
    <w:pPr>
      <w:spacing w:line="480" w:lineRule="auto"/>
      <w:ind w:left="360"/>
    </w:pPr>
  </w:style>
  <w:style w:type="character" w:customStyle="1" w:styleId="BodyTextIndent2Char">
    <w:name w:val="Body Text Indent 2 Char"/>
    <w:basedOn w:val="DefaultParagraphFont"/>
    <w:link w:val="BodyTextIndent2"/>
    <w:uiPriority w:val="99"/>
    <w:semiHidden/>
    <w:rsid w:val="00907423"/>
    <w:rPr>
      <w:rFonts w:ascii="Times New Roman" w:eastAsia="Times New Roman" w:hAnsi="Times New Roman"/>
      <w:lang w:val="en-US" w:eastAsia="en-US"/>
    </w:rPr>
  </w:style>
  <w:style w:type="paragraph" w:styleId="BodyTextIndent3">
    <w:name w:val="Body Text Indent 3"/>
    <w:basedOn w:val="Normal"/>
    <w:link w:val="BodyTextIndent3Char"/>
    <w:uiPriority w:val="99"/>
    <w:semiHidden/>
    <w:unhideWhenUsed/>
    <w:rsid w:val="00907423"/>
    <w:pPr>
      <w:ind w:left="360"/>
    </w:pPr>
    <w:rPr>
      <w:sz w:val="16"/>
      <w:szCs w:val="16"/>
    </w:rPr>
  </w:style>
  <w:style w:type="character" w:customStyle="1" w:styleId="BodyTextIndent3Char">
    <w:name w:val="Body Text Indent 3 Char"/>
    <w:basedOn w:val="DefaultParagraphFont"/>
    <w:link w:val="BodyTextIndent3"/>
    <w:uiPriority w:val="99"/>
    <w:semiHidden/>
    <w:rsid w:val="00907423"/>
    <w:rPr>
      <w:rFonts w:ascii="Times New Roman" w:eastAsia="Times New Roman" w:hAnsi="Times New Roman"/>
      <w:sz w:val="16"/>
      <w:szCs w:val="16"/>
      <w:lang w:val="en-US" w:eastAsia="en-US"/>
    </w:rPr>
  </w:style>
  <w:style w:type="character" w:styleId="BookTitle">
    <w:name w:val="Book Title"/>
    <w:basedOn w:val="DefaultParagraphFont"/>
    <w:uiPriority w:val="33"/>
    <w:qFormat/>
    <w:rsid w:val="00907423"/>
    <w:rPr>
      <w:b/>
      <w:bCs/>
      <w:i/>
      <w:iCs/>
      <w:spacing w:val="5"/>
    </w:rPr>
  </w:style>
  <w:style w:type="table" w:styleId="ColourfulGrid">
    <w:name w:val="Colorful Grid"/>
    <w:basedOn w:val="TableNormal"/>
    <w:uiPriority w:val="73"/>
    <w:semiHidden/>
    <w:unhideWhenUsed/>
    <w:rsid w:val="00907423"/>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semiHidden/>
    <w:unhideWhenUsed/>
    <w:rsid w:val="00907423"/>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semiHidden/>
    <w:unhideWhenUsed/>
    <w:rsid w:val="00907423"/>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semiHidden/>
    <w:unhideWhenUsed/>
    <w:rsid w:val="00907423"/>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semiHidden/>
    <w:unhideWhenUsed/>
    <w:rsid w:val="00907423"/>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semiHidden/>
    <w:unhideWhenUsed/>
    <w:rsid w:val="00907423"/>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907423"/>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urfulList">
    <w:name w:val="Colorful List"/>
    <w:basedOn w:val="TableNormal"/>
    <w:uiPriority w:val="72"/>
    <w:semiHidden/>
    <w:unhideWhenUsed/>
    <w:rsid w:val="00907423"/>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semiHidden/>
    <w:unhideWhenUsed/>
    <w:rsid w:val="00907423"/>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semiHidden/>
    <w:unhideWhenUsed/>
    <w:rsid w:val="00907423"/>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semiHidden/>
    <w:unhideWhenUsed/>
    <w:rsid w:val="00907423"/>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semiHidden/>
    <w:unhideWhenUsed/>
    <w:rsid w:val="00907423"/>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semiHidden/>
    <w:unhideWhenUsed/>
    <w:rsid w:val="00907423"/>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907423"/>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Shading">
    <w:name w:val="Colorful Shading"/>
    <w:basedOn w:val="TableNormal"/>
    <w:uiPriority w:val="71"/>
    <w:semiHidden/>
    <w:unhideWhenUsed/>
    <w:rsid w:val="00907423"/>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semiHidden/>
    <w:unhideWhenUsed/>
    <w:rsid w:val="00907423"/>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semiHidden/>
    <w:unhideWhenUsed/>
    <w:rsid w:val="00907423"/>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semiHidden/>
    <w:unhideWhenUsed/>
    <w:rsid w:val="00907423"/>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semiHidden/>
    <w:unhideWhenUsed/>
    <w:rsid w:val="00907423"/>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semiHidden/>
    <w:unhideWhenUsed/>
    <w:rsid w:val="00907423"/>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907423"/>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sid w:val="00907423"/>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907423"/>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semiHidden/>
    <w:unhideWhenUsed/>
    <w:rsid w:val="00907423"/>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semiHidden/>
    <w:unhideWhenUsed/>
    <w:rsid w:val="00907423"/>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semiHidden/>
    <w:unhideWhenUsed/>
    <w:rsid w:val="00907423"/>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semiHidden/>
    <w:unhideWhenUsed/>
    <w:rsid w:val="00907423"/>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907423"/>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EmailSignature">
    <w:name w:val="E-mail Signature"/>
    <w:basedOn w:val="Normal"/>
    <w:link w:val="EmailSignatureChar"/>
    <w:uiPriority w:val="99"/>
    <w:semiHidden/>
    <w:unhideWhenUsed/>
    <w:rsid w:val="00907423"/>
    <w:pPr>
      <w:spacing w:after="0"/>
    </w:pPr>
  </w:style>
  <w:style w:type="character" w:customStyle="1" w:styleId="EmailSignatureChar">
    <w:name w:val="Email Signature Char"/>
    <w:basedOn w:val="DefaultParagraphFont"/>
    <w:link w:val="EmailSignature"/>
    <w:uiPriority w:val="99"/>
    <w:semiHidden/>
    <w:rsid w:val="00907423"/>
    <w:rPr>
      <w:rFonts w:ascii="Times New Roman" w:eastAsia="Times New Roman" w:hAnsi="Times New Roman"/>
      <w:lang w:val="en-US" w:eastAsia="en-US"/>
    </w:rPr>
  </w:style>
  <w:style w:type="character" w:styleId="Emphasis">
    <w:name w:val="Emphasis"/>
    <w:basedOn w:val="DefaultParagraphFont"/>
    <w:uiPriority w:val="20"/>
    <w:qFormat/>
    <w:rsid w:val="00907423"/>
    <w:rPr>
      <w:i/>
      <w:iCs/>
    </w:rPr>
  </w:style>
  <w:style w:type="character" w:styleId="EndnoteReference">
    <w:name w:val="endnote reference"/>
    <w:basedOn w:val="DefaultParagraphFont"/>
    <w:uiPriority w:val="99"/>
    <w:semiHidden/>
    <w:unhideWhenUsed/>
    <w:rsid w:val="00907423"/>
    <w:rPr>
      <w:vertAlign w:val="superscript"/>
    </w:rPr>
  </w:style>
  <w:style w:type="paragraph" w:styleId="EndnoteText">
    <w:name w:val="endnote text"/>
    <w:basedOn w:val="Normal"/>
    <w:link w:val="EndnoteTextChar"/>
    <w:uiPriority w:val="99"/>
    <w:semiHidden/>
    <w:unhideWhenUsed/>
    <w:rsid w:val="00907423"/>
    <w:pPr>
      <w:spacing w:after="0"/>
    </w:pPr>
  </w:style>
  <w:style w:type="character" w:customStyle="1" w:styleId="EndnoteTextChar">
    <w:name w:val="Endnote Text Char"/>
    <w:basedOn w:val="DefaultParagraphFont"/>
    <w:link w:val="EndnoteText"/>
    <w:uiPriority w:val="99"/>
    <w:semiHidden/>
    <w:rsid w:val="00907423"/>
    <w:rPr>
      <w:rFonts w:ascii="Times New Roman" w:eastAsia="Times New Roman" w:hAnsi="Times New Roman"/>
      <w:lang w:val="en-US" w:eastAsia="en-US"/>
    </w:rPr>
  </w:style>
  <w:style w:type="paragraph" w:styleId="EnvelopeAddress">
    <w:name w:val="envelope address"/>
    <w:basedOn w:val="Normal"/>
    <w:uiPriority w:val="99"/>
    <w:semiHidden/>
    <w:unhideWhenUsed/>
    <w:rsid w:val="00907423"/>
    <w:pPr>
      <w:framePr w:w="7920" w:h="1980" w:hRule="exact" w:hSpace="180" w:wrap="auto" w:hAnchor="page" w:xAlign="center" w:yAlign="bottom"/>
      <w:spacing w:after="0"/>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907423"/>
    <w:pPr>
      <w:spacing w:after="0"/>
    </w:pPr>
    <w:rPr>
      <w:rFonts w:asciiTheme="majorHAnsi" w:eastAsiaTheme="majorEastAsia" w:hAnsiTheme="majorHAnsi" w:cstheme="majorBidi"/>
    </w:rPr>
  </w:style>
  <w:style w:type="table" w:styleId="GridTable1Light">
    <w:name w:val="Grid Table 1 Light"/>
    <w:basedOn w:val="TableNormal"/>
    <w:uiPriority w:val="46"/>
    <w:rsid w:val="00907423"/>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907423"/>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907423"/>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907423"/>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907423"/>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907423"/>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907423"/>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907423"/>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907423"/>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2-Accent2">
    <w:name w:val="Grid Table 2 Accent 2"/>
    <w:basedOn w:val="TableNormal"/>
    <w:uiPriority w:val="47"/>
    <w:rsid w:val="00907423"/>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2-Accent3">
    <w:name w:val="Grid Table 2 Accent 3"/>
    <w:basedOn w:val="TableNormal"/>
    <w:uiPriority w:val="47"/>
    <w:rsid w:val="00907423"/>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2-Accent4">
    <w:name w:val="Grid Table 2 Accent 4"/>
    <w:basedOn w:val="TableNormal"/>
    <w:uiPriority w:val="47"/>
    <w:rsid w:val="00907423"/>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2-Accent5">
    <w:name w:val="Grid Table 2 Accent 5"/>
    <w:basedOn w:val="TableNormal"/>
    <w:uiPriority w:val="47"/>
    <w:rsid w:val="00907423"/>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2-Accent6">
    <w:name w:val="Grid Table 2 Accent 6"/>
    <w:basedOn w:val="TableNormal"/>
    <w:uiPriority w:val="47"/>
    <w:rsid w:val="00907423"/>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3">
    <w:name w:val="Grid Table 3"/>
    <w:basedOn w:val="TableNormal"/>
    <w:uiPriority w:val="48"/>
    <w:rsid w:val="00907423"/>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907423"/>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3-Accent2">
    <w:name w:val="Grid Table 3 Accent 2"/>
    <w:basedOn w:val="TableNormal"/>
    <w:uiPriority w:val="48"/>
    <w:rsid w:val="00907423"/>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3-Accent3">
    <w:name w:val="Grid Table 3 Accent 3"/>
    <w:basedOn w:val="TableNormal"/>
    <w:uiPriority w:val="48"/>
    <w:rsid w:val="00907423"/>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3-Accent4">
    <w:name w:val="Grid Table 3 Accent 4"/>
    <w:basedOn w:val="TableNormal"/>
    <w:uiPriority w:val="48"/>
    <w:rsid w:val="00907423"/>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3-Accent5">
    <w:name w:val="Grid Table 3 Accent 5"/>
    <w:basedOn w:val="TableNormal"/>
    <w:uiPriority w:val="48"/>
    <w:rsid w:val="00907423"/>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3-Accent6">
    <w:name w:val="Grid Table 3 Accent 6"/>
    <w:basedOn w:val="TableNormal"/>
    <w:uiPriority w:val="48"/>
    <w:rsid w:val="00907423"/>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GridTable4">
    <w:name w:val="Grid Table 4"/>
    <w:basedOn w:val="TableNormal"/>
    <w:uiPriority w:val="49"/>
    <w:rsid w:val="00907423"/>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907423"/>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2">
    <w:name w:val="Grid Table 4 Accent 2"/>
    <w:basedOn w:val="TableNormal"/>
    <w:uiPriority w:val="49"/>
    <w:rsid w:val="00907423"/>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4-Accent3">
    <w:name w:val="Grid Table 4 Accent 3"/>
    <w:basedOn w:val="TableNormal"/>
    <w:uiPriority w:val="49"/>
    <w:rsid w:val="00907423"/>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4-Accent4">
    <w:name w:val="Grid Table 4 Accent 4"/>
    <w:basedOn w:val="TableNormal"/>
    <w:uiPriority w:val="49"/>
    <w:rsid w:val="00907423"/>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4-Accent5">
    <w:name w:val="Grid Table 4 Accent 5"/>
    <w:basedOn w:val="TableNormal"/>
    <w:uiPriority w:val="49"/>
    <w:rsid w:val="00907423"/>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4-Accent6">
    <w:name w:val="Grid Table 4 Accent 6"/>
    <w:basedOn w:val="TableNormal"/>
    <w:uiPriority w:val="49"/>
    <w:rsid w:val="00907423"/>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5Dark">
    <w:name w:val="Grid Table 5 Dark"/>
    <w:basedOn w:val="TableNormal"/>
    <w:uiPriority w:val="50"/>
    <w:rsid w:val="0090742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90742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2">
    <w:name w:val="Grid Table 5 Dark Accent 2"/>
    <w:basedOn w:val="TableNormal"/>
    <w:uiPriority w:val="50"/>
    <w:rsid w:val="0090742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ridTable5Dark-Accent3">
    <w:name w:val="Grid Table 5 Dark Accent 3"/>
    <w:basedOn w:val="TableNormal"/>
    <w:uiPriority w:val="50"/>
    <w:rsid w:val="0090742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5Dark-Accent4">
    <w:name w:val="Grid Table 5 Dark Accent 4"/>
    <w:basedOn w:val="TableNormal"/>
    <w:uiPriority w:val="50"/>
    <w:rsid w:val="0090742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GridTable5Dark-Accent5">
    <w:name w:val="Grid Table 5 Dark Accent 5"/>
    <w:basedOn w:val="TableNormal"/>
    <w:uiPriority w:val="50"/>
    <w:rsid w:val="0090742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5Dark-Accent6">
    <w:name w:val="Grid Table 5 Dark Accent 6"/>
    <w:basedOn w:val="TableNormal"/>
    <w:uiPriority w:val="50"/>
    <w:rsid w:val="0090742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ridTable6Colourful">
    <w:name w:val="Grid Table 6 Colorful"/>
    <w:basedOn w:val="TableNormal"/>
    <w:uiPriority w:val="51"/>
    <w:rsid w:val="00907423"/>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urfulAccent1">
    <w:name w:val="Grid Table 6 Colorful Accent 1"/>
    <w:basedOn w:val="TableNormal"/>
    <w:uiPriority w:val="51"/>
    <w:rsid w:val="0090742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6ColourfulAccent2">
    <w:name w:val="Grid Table 6 Colorful Accent 2"/>
    <w:basedOn w:val="TableNormal"/>
    <w:uiPriority w:val="51"/>
    <w:rsid w:val="00907423"/>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6ColourfulAccent3">
    <w:name w:val="Grid Table 6 Colorful Accent 3"/>
    <w:basedOn w:val="TableNormal"/>
    <w:uiPriority w:val="51"/>
    <w:rsid w:val="00907423"/>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6ColourfulAccent4">
    <w:name w:val="Grid Table 6 Colorful Accent 4"/>
    <w:basedOn w:val="TableNormal"/>
    <w:uiPriority w:val="51"/>
    <w:rsid w:val="00907423"/>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6ColourfulAccent5">
    <w:name w:val="Grid Table 6 Colorful Accent 5"/>
    <w:basedOn w:val="TableNormal"/>
    <w:uiPriority w:val="51"/>
    <w:rsid w:val="00907423"/>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6ColourfulAccent6">
    <w:name w:val="Grid Table 6 Colorful Accent 6"/>
    <w:basedOn w:val="TableNormal"/>
    <w:uiPriority w:val="51"/>
    <w:rsid w:val="00907423"/>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7Colourful">
    <w:name w:val="Grid Table 7 Colorful"/>
    <w:basedOn w:val="TableNormal"/>
    <w:uiPriority w:val="52"/>
    <w:rsid w:val="00907423"/>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urfulAccent1">
    <w:name w:val="Grid Table 7 Colorful Accent 1"/>
    <w:basedOn w:val="TableNormal"/>
    <w:uiPriority w:val="52"/>
    <w:rsid w:val="0090742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7ColourfulAccent2">
    <w:name w:val="Grid Table 7 Colorful Accent 2"/>
    <w:basedOn w:val="TableNormal"/>
    <w:uiPriority w:val="52"/>
    <w:rsid w:val="00907423"/>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7ColourfulAccent3">
    <w:name w:val="Grid Table 7 Colorful Accent 3"/>
    <w:basedOn w:val="TableNormal"/>
    <w:uiPriority w:val="52"/>
    <w:rsid w:val="00907423"/>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7ColourfulAccent4">
    <w:name w:val="Grid Table 7 Colorful Accent 4"/>
    <w:basedOn w:val="TableNormal"/>
    <w:uiPriority w:val="52"/>
    <w:rsid w:val="00907423"/>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7ColourfulAccent5">
    <w:name w:val="Grid Table 7 Colorful Accent 5"/>
    <w:basedOn w:val="TableNormal"/>
    <w:uiPriority w:val="52"/>
    <w:rsid w:val="00907423"/>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7ColourfulAccent6">
    <w:name w:val="Grid Table 7 Colorful Accent 6"/>
    <w:basedOn w:val="TableNormal"/>
    <w:uiPriority w:val="52"/>
    <w:rsid w:val="00907423"/>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character" w:styleId="Hashtag">
    <w:name w:val="Hashtag"/>
    <w:basedOn w:val="DefaultParagraphFont"/>
    <w:uiPriority w:val="99"/>
    <w:semiHidden/>
    <w:unhideWhenUsed/>
    <w:rsid w:val="00907423"/>
    <w:rPr>
      <w:color w:val="2B579A"/>
      <w:shd w:val="clear" w:color="auto" w:fill="E1DFDD"/>
    </w:rPr>
  </w:style>
  <w:style w:type="character" w:styleId="HTMLAcronym">
    <w:name w:val="HTML Acronym"/>
    <w:basedOn w:val="DefaultParagraphFont"/>
    <w:uiPriority w:val="99"/>
    <w:semiHidden/>
    <w:unhideWhenUsed/>
    <w:rsid w:val="00907423"/>
  </w:style>
  <w:style w:type="paragraph" w:styleId="HTMLAddress">
    <w:name w:val="HTML Address"/>
    <w:basedOn w:val="Normal"/>
    <w:link w:val="HTMLAddressChar"/>
    <w:uiPriority w:val="99"/>
    <w:semiHidden/>
    <w:unhideWhenUsed/>
    <w:rsid w:val="00907423"/>
    <w:pPr>
      <w:spacing w:after="0"/>
    </w:pPr>
    <w:rPr>
      <w:i/>
      <w:iCs/>
    </w:rPr>
  </w:style>
  <w:style w:type="character" w:customStyle="1" w:styleId="HTMLAddressChar">
    <w:name w:val="HTML Address Char"/>
    <w:basedOn w:val="DefaultParagraphFont"/>
    <w:link w:val="HTMLAddress"/>
    <w:uiPriority w:val="99"/>
    <w:semiHidden/>
    <w:rsid w:val="00907423"/>
    <w:rPr>
      <w:rFonts w:ascii="Times New Roman" w:eastAsia="Times New Roman" w:hAnsi="Times New Roman"/>
      <w:i/>
      <w:iCs/>
      <w:lang w:val="en-US" w:eastAsia="en-US"/>
    </w:rPr>
  </w:style>
  <w:style w:type="character" w:styleId="HTMLCite">
    <w:name w:val="HTML Cite"/>
    <w:basedOn w:val="DefaultParagraphFont"/>
    <w:uiPriority w:val="99"/>
    <w:semiHidden/>
    <w:unhideWhenUsed/>
    <w:rsid w:val="00907423"/>
    <w:rPr>
      <w:i/>
      <w:iCs/>
    </w:rPr>
  </w:style>
  <w:style w:type="character" w:styleId="HTMLCode">
    <w:name w:val="HTML Code"/>
    <w:basedOn w:val="DefaultParagraphFont"/>
    <w:uiPriority w:val="99"/>
    <w:semiHidden/>
    <w:unhideWhenUsed/>
    <w:rsid w:val="00907423"/>
    <w:rPr>
      <w:rFonts w:ascii="Consolas" w:hAnsi="Consolas"/>
      <w:sz w:val="20"/>
      <w:szCs w:val="20"/>
    </w:rPr>
  </w:style>
  <w:style w:type="character" w:styleId="HTMLDefinition">
    <w:name w:val="HTML Definition"/>
    <w:basedOn w:val="DefaultParagraphFont"/>
    <w:uiPriority w:val="99"/>
    <w:semiHidden/>
    <w:unhideWhenUsed/>
    <w:rsid w:val="00907423"/>
    <w:rPr>
      <w:i/>
      <w:iCs/>
    </w:rPr>
  </w:style>
  <w:style w:type="character" w:styleId="HTMLKeyboard">
    <w:name w:val="HTML Keyboard"/>
    <w:basedOn w:val="DefaultParagraphFont"/>
    <w:uiPriority w:val="99"/>
    <w:semiHidden/>
    <w:unhideWhenUsed/>
    <w:rsid w:val="00907423"/>
    <w:rPr>
      <w:rFonts w:ascii="Consolas" w:hAnsi="Consolas"/>
      <w:sz w:val="20"/>
      <w:szCs w:val="20"/>
    </w:rPr>
  </w:style>
  <w:style w:type="character" w:styleId="HTMLSample">
    <w:name w:val="HTML Sample"/>
    <w:basedOn w:val="DefaultParagraphFont"/>
    <w:uiPriority w:val="99"/>
    <w:semiHidden/>
    <w:unhideWhenUsed/>
    <w:rsid w:val="00907423"/>
    <w:rPr>
      <w:rFonts w:ascii="Consolas" w:hAnsi="Consolas"/>
      <w:sz w:val="24"/>
      <w:szCs w:val="24"/>
    </w:rPr>
  </w:style>
  <w:style w:type="character" w:styleId="HTMLTypewriter">
    <w:name w:val="HTML Typewriter"/>
    <w:basedOn w:val="DefaultParagraphFont"/>
    <w:uiPriority w:val="99"/>
    <w:semiHidden/>
    <w:unhideWhenUsed/>
    <w:rsid w:val="00907423"/>
    <w:rPr>
      <w:rFonts w:ascii="Consolas" w:hAnsi="Consolas"/>
      <w:sz w:val="20"/>
      <w:szCs w:val="20"/>
    </w:rPr>
  </w:style>
  <w:style w:type="character" w:styleId="HTMLVariable">
    <w:name w:val="HTML Variable"/>
    <w:basedOn w:val="DefaultParagraphFont"/>
    <w:uiPriority w:val="99"/>
    <w:semiHidden/>
    <w:unhideWhenUsed/>
    <w:rsid w:val="00907423"/>
    <w:rPr>
      <w:i/>
      <w:iCs/>
    </w:rPr>
  </w:style>
  <w:style w:type="character" w:styleId="IntenseEmphasis">
    <w:name w:val="Intense Emphasis"/>
    <w:basedOn w:val="DefaultParagraphFont"/>
    <w:uiPriority w:val="21"/>
    <w:qFormat/>
    <w:rsid w:val="00907423"/>
    <w:rPr>
      <w:i/>
      <w:iCs/>
      <w:color w:val="4F81BD" w:themeColor="accent1"/>
    </w:rPr>
  </w:style>
  <w:style w:type="paragraph" w:styleId="IntenseQuote">
    <w:name w:val="Intense Quote"/>
    <w:basedOn w:val="Normal"/>
    <w:next w:val="Normal"/>
    <w:link w:val="IntenseQuoteChar"/>
    <w:uiPriority w:val="30"/>
    <w:qFormat/>
    <w:rsid w:val="00907423"/>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907423"/>
    <w:rPr>
      <w:rFonts w:ascii="Times New Roman" w:eastAsia="Times New Roman" w:hAnsi="Times New Roman"/>
      <w:i/>
      <w:iCs/>
      <w:color w:val="4F81BD" w:themeColor="accent1"/>
      <w:lang w:val="en-US" w:eastAsia="en-US"/>
    </w:rPr>
  </w:style>
  <w:style w:type="character" w:styleId="IntenseReference">
    <w:name w:val="Intense Reference"/>
    <w:basedOn w:val="DefaultParagraphFont"/>
    <w:uiPriority w:val="32"/>
    <w:qFormat/>
    <w:rsid w:val="00907423"/>
    <w:rPr>
      <w:b/>
      <w:bCs/>
      <w:smallCaps/>
      <w:color w:val="4F81BD" w:themeColor="accent1"/>
      <w:spacing w:val="5"/>
    </w:rPr>
  </w:style>
  <w:style w:type="table" w:styleId="LightGrid">
    <w:name w:val="Light Grid"/>
    <w:basedOn w:val="TableNormal"/>
    <w:uiPriority w:val="62"/>
    <w:semiHidden/>
    <w:unhideWhenUsed/>
    <w:rsid w:val="00907423"/>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907423"/>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semiHidden/>
    <w:unhideWhenUsed/>
    <w:rsid w:val="00907423"/>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semiHidden/>
    <w:unhideWhenUsed/>
    <w:rsid w:val="00907423"/>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semiHidden/>
    <w:unhideWhenUsed/>
    <w:rsid w:val="00907423"/>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semiHidden/>
    <w:unhideWhenUsed/>
    <w:rsid w:val="00907423"/>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semiHidden/>
    <w:unhideWhenUsed/>
    <w:rsid w:val="00907423"/>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semiHidden/>
    <w:unhideWhenUsed/>
    <w:rsid w:val="00907423"/>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907423"/>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semiHidden/>
    <w:unhideWhenUsed/>
    <w:rsid w:val="00907423"/>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semiHidden/>
    <w:unhideWhenUsed/>
    <w:rsid w:val="00907423"/>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semiHidden/>
    <w:unhideWhenUsed/>
    <w:rsid w:val="00907423"/>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semiHidden/>
    <w:unhideWhenUsed/>
    <w:rsid w:val="00907423"/>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semiHidden/>
    <w:unhideWhenUsed/>
    <w:rsid w:val="00907423"/>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semiHidden/>
    <w:unhideWhenUsed/>
    <w:rsid w:val="00907423"/>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907423"/>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semiHidden/>
    <w:unhideWhenUsed/>
    <w:rsid w:val="00907423"/>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semiHidden/>
    <w:unhideWhenUsed/>
    <w:rsid w:val="00907423"/>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semiHidden/>
    <w:unhideWhenUsed/>
    <w:rsid w:val="00907423"/>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semiHidden/>
    <w:unhideWhenUsed/>
    <w:rsid w:val="00907423"/>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semiHidden/>
    <w:unhideWhenUsed/>
    <w:rsid w:val="00907423"/>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uiPriority w:val="99"/>
    <w:semiHidden/>
    <w:unhideWhenUsed/>
    <w:rsid w:val="00907423"/>
  </w:style>
  <w:style w:type="table" w:styleId="ListTable1Light">
    <w:name w:val="List Table 1 Light"/>
    <w:basedOn w:val="TableNormal"/>
    <w:uiPriority w:val="46"/>
    <w:rsid w:val="00907423"/>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907423"/>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1Light-Accent2">
    <w:name w:val="List Table 1 Light Accent 2"/>
    <w:basedOn w:val="TableNormal"/>
    <w:uiPriority w:val="46"/>
    <w:rsid w:val="00907423"/>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1Light-Accent3">
    <w:name w:val="List Table 1 Light Accent 3"/>
    <w:basedOn w:val="TableNormal"/>
    <w:uiPriority w:val="46"/>
    <w:rsid w:val="00907423"/>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1Light-Accent4">
    <w:name w:val="List Table 1 Light Accent 4"/>
    <w:basedOn w:val="TableNormal"/>
    <w:uiPriority w:val="46"/>
    <w:rsid w:val="00907423"/>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1Light-Accent5">
    <w:name w:val="List Table 1 Light Accent 5"/>
    <w:basedOn w:val="TableNormal"/>
    <w:uiPriority w:val="46"/>
    <w:rsid w:val="00907423"/>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1Light-Accent6">
    <w:name w:val="List Table 1 Light Accent 6"/>
    <w:basedOn w:val="TableNormal"/>
    <w:uiPriority w:val="46"/>
    <w:rsid w:val="00907423"/>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2">
    <w:name w:val="List Table 2"/>
    <w:basedOn w:val="TableNormal"/>
    <w:uiPriority w:val="47"/>
    <w:rsid w:val="00907423"/>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907423"/>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2-Accent2">
    <w:name w:val="List Table 2 Accent 2"/>
    <w:basedOn w:val="TableNormal"/>
    <w:uiPriority w:val="47"/>
    <w:rsid w:val="00907423"/>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2-Accent3">
    <w:name w:val="List Table 2 Accent 3"/>
    <w:basedOn w:val="TableNormal"/>
    <w:uiPriority w:val="47"/>
    <w:rsid w:val="00907423"/>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2-Accent4">
    <w:name w:val="List Table 2 Accent 4"/>
    <w:basedOn w:val="TableNormal"/>
    <w:uiPriority w:val="47"/>
    <w:rsid w:val="00907423"/>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2-Accent5">
    <w:name w:val="List Table 2 Accent 5"/>
    <w:basedOn w:val="TableNormal"/>
    <w:uiPriority w:val="47"/>
    <w:rsid w:val="00907423"/>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2-Accent6">
    <w:name w:val="List Table 2 Accent 6"/>
    <w:basedOn w:val="TableNormal"/>
    <w:uiPriority w:val="47"/>
    <w:rsid w:val="00907423"/>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3">
    <w:name w:val="List Table 3"/>
    <w:basedOn w:val="TableNormal"/>
    <w:uiPriority w:val="48"/>
    <w:rsid w:val="00907423"/>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907423"/>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ListTable3-Accent2">
    <w:name w:val="List Table 3 Accent 2"/>
    <w:basedOn w:val="TableNormal"/>
    <w:uiPriority w:val="48"/>
    <w:rsid w:val="00907423"/>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stTable3-Accent3">
    <w:name w:val="List Table 3 Accent 3"/>
    <w:basedOn w:val="TableNormal"/>
    <w:uiPriority w:val="48"/>
    <w:rsid w:val="00907423"/>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stTable3-Accent4">
    <w:name w:val="List Table 3 Accent 4"/>
    <w:basedOn w:val="TableNormal"/>
    <w:uiPriority w:val="48"/>
    <w:rsid w:val="00907423"/>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ListTable3-Accent5">
    <w:name w:val="List Table 3 Accent 5"/>
    <w:basedOn w:val="TableNormal"/>
    <w:uiPriority w:val="48"/>
    <w:rsid w:val="00907423"/>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ListTable3-Accent6">
    <w:name w:val="List Table 3 Accent 6"/>
    <w:basedOn w:val="TableNormal"/>
    <w:uiPriority w:val="48"/>
    <w:rsid w:val="00907423"/>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ListTable4">
    <w:name w:val="List Table 4"/>
    <w:basedOn w:val="TableNormal"/>
    <w:uiPriority w:val="49"/>
    <w:rsid w:val="00907423"/>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907423"/>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2">
    <w:name w:val="List Table 4 Accent 2"/>
    <w:basedOn w:val="TableNormal"/>
    <w:uiPriority w:val="49"/>
    <w:rsid w:val="00907423"/>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4-Accent3">
    <w:name w:val="List Table 4 Accent 3"/>
    <w:basedOn w:val="TableNormal"/>
    <w:uiPriority w:val="49"/>
    <w:rsid w:val="00907423"/>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4-Accent4">
    <w:name w:val="List Table 4 Accent 4"/>
    <w:basedOn w:val="TableNormal"/>
    <w:uiPriority w:val="49"/>
    <w:rsid w:val="00907423"/>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4-Accent5">
    <w:name w:val="List Table 4 Accent 5"/>
    <w:basedOn w:val="TableNormal"/>
    <w:uiPriority w:val="49"/>
    <w:rsid w:val="00907423"/>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4-Accent6">
    <w:name w:val="List Table 4 Accent 6"/>
    <w:basedOn w:val="TableNormal"/>
    <w:uiPriority w:val="49"/>
    <w:rsid w:val="00907423"/>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5Dark">
    <w:name w:val="List Table 5 Dark"/>
    <w:basedOn w:val="TableNormal"/>
    <w:uiPriority w:val="50"/>
    <w:rsid w:val="00907423"/>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907423"/>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907423"/>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907423"/>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907423"/>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907423"/>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907423"/>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urful">
    <w:name w:val="List Table 6 Colorful"/>
    <w:basedOn w:val="TableNormal"/>
    <w:uiPriority w:val="51"/>
    <w:rsid w:val="00907423"/>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urfulAccent1">
    <w:name w:val="List Table 6 Colorful Accent 1"/>
    <w:basedOn w:val="TableNormal"/>
    <w:uiPriority w:val="51"/>
    <w:rsid w:val="00907423"/>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6ColourfulAccent2">
    <w:name w:val="List Table 6 Colorful Accent 2"/>
    <w:basedOn w:val="TableNormal"/>
    <w:uiPriority w:val="51"/>
    <w:rsid w:val="00907423"/>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6ColourfulAccent3">
    <w:name w:val="List Table 6 Colorful Accent 3"/>
    <w:basedOn w:val="TableNormal"/>
    <w:uiPriority w:val="51"/>
    <w:rsid w:val="00907423"/>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6ColourfulAccent4">
    <w:name w:val="List Table 6 Colorful Accent 4"/>
    <w:basedOn w:val="TableNormal"/>
    <w:uiPriority w:val="51"/>
    <w:rsid w:val="00907423"/>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urfulAccent5">
    <w:name w:val="List Table 6 Colorful Accent 5"/>
    <w:basedOn w:val="TableNormal"/>
    <w:uiPriority w:val="51"/>
    <w:rsid w:val="00907423"/>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6ColourfulAccent6">
    <w:name w:val="List Table 6 Colorful Accent 6"/>
    <w:basedOn w:val="TableNormal"/>
    <w:uiPriority w:val="51"/>
    <w:rsid w:val="00907423"/>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7Colourful">
    <w:name w:val="List Table 7 Colorful"/>
    <w:basedOn w:val="TableNormal"/>
    <w:uiPriority w:val="52"/>
    <w:rsid w:val="00907423"/>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1">
    <w:name w:val="List Table 7 Colorful Accent 1"/>
    <w:basedOn w:val="TableNormal"/>
    <w:uiPriority w:val="52"/>
    <w:rsid w:val="00907423"/>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2">
    <w:name w:val="List Table 7 Colorful Accent 2"/>
    <w:basedOn w:val="TableNormal"/>
    <w:uiPriority w:val="52"/>
    <w:rsid w:val="00907423"/>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3">
    <w:name w:val="List Table 7 Colorful Accent 3"/>
    <w:basedOn w:val="TableNormal"/>
    <w:uiPriority w:val="52"/>
    <w:rsid w:val="00907423"/>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4">
    <w:name w:val="List Table 7 Colorful Accent 4"/>
    <w:basedOn w:val="TableNormal"/>
    <w:uiPriority w:val="52"/>
    <w:rsid w:val="00907423"/>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5">
    <w:name w:val="List Table 7 Colorful Accent 5"/>
    <w:basedOn w:val="TableNormal"/>
    <w:uiPriority w:val="52"/>
    <w:rsid w:val="00907423"/>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6">
    <w:name w:val="List Table 7 Colorful Accent 6"/>
    <w:basedOn w:val="TableNormal"/>
    <w:uiPriority w:val="52"/>
    <w:rsid w:val="00907423"/>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unhideWhenUsed/>
    <w:rsid w:val="00907423"/>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907423"/>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semiHidden/>
    <w:unhideWhenUsed/>
    <w:rsid w:val="00907423"/>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semiHidden/>
    <w:unhideWhenUsed/>
    <w:rsid w:val="00907423"/>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semiHidden/>
    <w:unhideWhenUsed/>
    <w:rsid w:val="00907423"/>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semiHidden/>
    <w:unhideWhenUsed/>
    <w:rsid w:val="00907423"/>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semiHidden/>
    <w:unhideWhenUsed/>
    <w:rsid w:val="00907423"/>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semiHidden/>
    <w:unhideWhenUsed/>
    <w:rsid w:val="00907423"/>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907423"/>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907423"/>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907423"/>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907423"/>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907423"/>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907423"/>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90742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90742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semiHidden/>
    <w:unhideWhenUsed/>
    <w:rsid w:val="0090742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semiHidden/>
    <w:unhideWhenUsed/>
    <w:rsid w:val="0090742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semiHidden/>
    <w:unhideWhenUsed/>
    <w:rsid w:val="0090742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semiHidden/>
    <w:unhideWhenUsed/>
    <w:rsid w:val="0090742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90742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semiHidden/>
    <w:unhideWhenUsed/>
    <w:rsid w:val="00907423"/>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907423"/>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semiHidden/>
    <w:unhideWhenUsed/>
    <w:rsid w:val="00907423"/>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semiHidden/>
    <w:unhideWhenUsed/>
    <w:rsid w:val="00907423"/>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semiHidden/>
    <w:unhideWhenUsed/>
    <w:rsid w:val="00907423"/>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semiHidden/>
    <w:unhideWhenUsed/>
    <w:rsid w:val="00907423"/>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semiHidden/>
    <w:unhideWhenUsed/>
    <w:rsid w:val="00907423"/>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semiHidden/>
    <w:unhideWhenUsed/>
    <w:rsid w:val="00907423"/>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907423"/>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907423"/>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907423"/>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907423"/>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907423"/>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907423"/>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907423"/>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07423"/>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907423"/>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907423"/>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907423"/>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907423"/>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907423"/>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90742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0742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rsid w:val="0090742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rsid w:val="0090742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rsid w:val="0090742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rsid w:val="0090742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rsid w:val="0090742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Mention">
    <w:name w:val="Mention"/>
    <w:basedOn w:val="DefaultParagraphFont"/>
    <w:uiPriority w:val="99"/>
    <w:semiHidden/>
    <w:unhideWhenUsed/>
    <w:rsid w:val="00907423"/>
    <w:rPr>
      <w:color w:val="2B579A"/>
      <w:shd w:val="clear" w:color="auto" w:fill="E1DFDD"/>
    </w:rPr>
  </w:style>
  <w:style w:type="paragraph" w:styleId="NoSpacing">
    <w:name w:val="No Spacing"/>
    <w:uiPriority w:val="1"/>
    <w:qFormat/>
    <w:rsid w:val="00907423"/>
    <w:pPr>
      <w:jc w:val="both"/>
    </w:pPr>
    <w:rPr>
      <w:rFonts w:ascii="Times New Roman" w:eastAsia="Times New Roman" w:hAnsi="Times New Roman"/>
      <w:lang w:val="en-US" w:eastAsia="en-US"/>
    </w:rPr>
  </w:style>
  <w:style w:type="table" w:styleId="PlainTable1">
    <w:name w:val="Plain Table 1"/>
    <w:basedOn w:val="TableNormal"/>
    <w:uiPriority w:val="41"/>
    <w:rsid w:val="00907423"/>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907423"/>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907423"/>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907423"/>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907423"/>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Quote">
    <w:name w:val="Quote"/>
    <w:basedOn w:val="Normal"/>
    <w:next w:val="Normal"/>
    <w:link w:val="QuoteChar"/>
    <w:uiPriority w:val="29"/>
    <w:qFormat/>
    <w:rsid w:val="00907423"/>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907423"/>
    <w:rPr>
      <w:rFonts w:ascii="Times New Roman" w:eastAsia="Times New Roman" w:hAnsi="Times New Roman"/>
      <w:i/>
      <w:iCs/>
      <w:color w:val="404040" w:themeColor="text1" w:themeTint="BF"/>
      <w:lang w:val="en-US" w:eastAsia="en-US"/>
    </w:rPr>
  </w:style>
  <w:style w:type="character" w:styleId="SmartHyperlink">
    <w:name w:val="Smart Hyperlink"/>
    <w:basedOn w:val="DefaultParagraphFont"/>
    <w:uiPriority w:val="99"/>
    <w:semiHidden/>
    <w:unhideWhenUsed/>
    <w:rsid w:val="00907423"/>
    <w:rPr>
      <w:u w:val="dotted"/>
    </w:rPr>
  </w:style>
  <w:style w:type="character" w:customStyle="1" w:styleId="SmartLink1">
    <w:name w:val="SmartLink1"/>
    <w:basedOn w:val="DefaultParagraphFont"/>
    <w:uiPriority w:val="99"/>
    <w:semiHidden/>
    <w:unhideWhenUsed/>
    <w:rsid w:val="00907423"/>
    <w:rPr>
      <w:color w:val="0000FF"/>
      <w:u w:val="single"/>
      <w:shd w:val="clear" w:color="auto" w:fill="F3F2F1"/>
    </w:rPr>
  </w:style>
  <w:style w:type="character" w:styleId="Strong">
    <w:name w:val="Strong"/>
    <w:basedOn w:val="DefaultParagraphFont"/>
    <w:uiPriority w:val="22"/>
    <w:qFormat/>
    <w:rsid w:val="00907423"/>
    <w:rPr>
      <w:b/>
      <w:bCs/>
    </w:rPr>
  </w:style>
  <w:style w:type="character" w:styleId="SubtleEmphasis">
    <w:name w:val="Subtle Emphasis"/>
    <w:basedOn w:val="DefaultParagraphFont"/>
    <w:uiPriority w:val="19"/>
    <w:qFormat/>
    <w:rsid w:val="00907423"/>
    <w:rPr>
      <w:i/>
      <w:iCs/>
      <w:color w:val="404040" w:themeColor="text1" w:themeTint="BF"/>
    </w:rPr>
  </w:style>
  <w:style w:type="character" w:styleId="SubtleReference">
    <w:name w:val="Subtle Reference"/>
    <w:basedOn w:val="DefaultParagraphFont"/>
    <w:uiPriority w:val="31"/>
    <w:qFormat/>
    <w:rsid w:val="00907423"/>
    <w:rPr>
      <w:smallCaps/>
      <w:color w:val="5A5A5A" w:themeColor="text1" w:themeTint="A5"/>
    </w:rPr>
  </w:style>
  <w:style w:type="table" w:styleId="Table3Deffects1">
    <w:name w:val="Table 3D effects 1"/>
    <w:basedOn w:val="TableNormal"/>
    <w:uiPriority w:val="99"/>
    <w:semiHidden/>
    <w:unhideWhenUsed/>
    <w:rsid w:val="00907423"/>
    <w:pPr>
      <w:spacing w:after="120"/>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07423"/>
    <w:pPr>
      <w:spacing w:after="120"/>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07423"/>
    <w:pPr>
      <w:spacing w:after="120"/>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07423"/>
    <w:pPr>
      <w:spacing w:after="120"/>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07423"/>
    <w:pPr>
      <w:spacing w:after="120"/>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07423"/>
    <w:pPr>
      <w:spacing w:after="120"/>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07423"/>
    <w:pPr>
      <w:spacing w:after="120"/>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urful1">
    <w:name w:val="Table Colorful 1"/>
    <w:basedOn w:val="TableNormal"/>
    <w:uiPriority w:val="99"/>
    <w:semiHidden/>
    <w:unhideWhenUsed/>
    <w:rsid w:val="00907423"/>
    <w:pPr>
      <w:spacing w:after="120"/>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urful2">
    <w:name w:val="Table Colorful 2"/>
    <w:basedOn w:val="TableNormal"/>
    <w:uiPriority w:val="99"/>
    <w:semiHidden/>
    <w:unhideWhenUsed/>
    <w:rsid w:val="00907423"/>
    <w:pPr>
      <w:spacing w:after="12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urful3">
    <w:name w:val="Table Colorful 3"/>
    <w:basedOn w:val="TableNormal"/>
    <w:uiPriority w:val="99"/>
    <w:semiHidden/>
    <w:unhideWhenUsed/>
    <w:rsid w:val="00907423"/>
    <w:pPr>
      <w:spacing w:after="120"/>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07423"/>
    <w:pPr>
      <w:spacing w:after="120"/>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07423"/>
    <w:pPr>
      <w:spacing w:after="120"/>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07423"/>
    <w:pPr>
      <w:spacing w:after="120"/>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07423"/>
    <w:pPr>
      <w:spacing w:after="120"/>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07423"/>
    <w:pPr>
      <w:spacing w:after="120"/>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07423"/>
    <w:pPr>
      <w:spacing w:after="120"/>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07423"/>
    <w:pPr>
      <w:spacing w:after="12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07423"/>
    <w:pPr>
      <w:spacing w:after="12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07423"/>
    <w:pPr>
      <w:spacing w:after="120"/>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07423"/>
    <w:pPr>
      <w:spacing w:after="120"/>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07423"/>
    <w:pPr>
      <w:spacing w:after="120"/>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07423"/>
    <w:pPr>
      <w:spacing w:after="120"/>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07423"/>
    <w:pPr>
      <w:spacing w:after="120"/>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07423"/>
    <w:pPr>
      <w:spacing w:after="120"/>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07423"/>
    <w:pPr>
      <w:spacing w:after="120"/>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907423"/>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907423"/>
    <w:pPr>
      <w:spacing w:after="120"/>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07423"/>
    <w:pPr>
      <w:spacing w:after="120"/>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07423"/>
    <w:pPr>
      <w:spacing w:after="120"/>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07423"/>
    <w:pPr>
      <w:spacing w:after="120"/>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07423"/>
    <w:pPr>
      <w:spacing w:after="120"/>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07423"/>
    <w:pPr>
      <w:spacing w:after="120"/>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07423"/>
    <w:pPr>
      <w:spacing w:after="120"/>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07423"/>
    <w:pPr>
      <w:spacing w:after="120"/>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07423"/>
    <w:pPr>
      <w:spacing w:after="12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07423"/>
    <w:pPr>
      <w:spacing w:after="120"/>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07423"/>
    <w:pPr>
      <w:spacing w:after="120"/>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07423"/>
    <w:pPr>
      <w:spacing w:after="120"/>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rsid w:val="00907423"/>
    <w:pPr>
      <w:spacing w:after="120"/>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07423"/>
    <w:pPr>
      <w:spacing w:after="120"/>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07423"/>
    <w:pPr>
      <w:spacing w:after="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07423"/>
    <w:pPr>
      <w:spacing w:after="120"/>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rsid w:val="00907423"/>
    <w:pPr>
      <w:spacing w:after="120"/>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rsid w:val="00907423"/>
    <w:pPr>
      <w:spacing w:after="120"/>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Heading">
    <w:name w:val="TOC Heading"/>
    <w:basedOn w:val="Heading1"/>
    <w:next w:val="Normal"/>
    <w:uiPriority w:val="39"/>
    <w:semiHidden/>
    <w:unhideWhenUsed/>
    <w:qFormat/>
    <w:rsid w:val="00907423"/>
    <w:pPr>
      <w:spacing w:before="240"/>
      <w:outlineLvl w:val="9"/>
    </w:pPr>
    <w:rPr>
      <w:rFonts w:asciiTheme="majorHAnsi" w:eastAsiaTheme="majorEastAsia" w:hAnsiTheme="majorHAnsi" w:cstheme="majorBidi"/>
      <w:b w:val="0"/>
      <w:caps w:val="0"/>
      <w:color w:val="365F91" w:themeColor="accent1" w:themeShade="BF"/>
      <w:kern w:val="0"/>
      <w:sz w:val="32"/>
      <w:szCs w:val="32"/>
    </w:rPr>
  </w:style>
  <w:style w:type="character" w:styleId="UnresolvedMention">
    <w:name w:val="Unresolved Mention"/>
    <w:basedOn w:val="DefaultParagraphFont"/>
    <w:uiPriority w:val="99"/>
    <w:semiHidden/>
    <w:unhideWhenUsed/>
    <w:rsid w:val="009074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oleObject" Target="embeddings/oleObject1.bin"/><Relationship Id="rId18" Type="http://schemas.openxmlformats.org/officeDocument/2006/relationships/image" Target="media/image4.emf"/><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1.emf"/><Relationship Id="rId17" Type="http://schemas.openxmlformats.org/officeDocument/2006/relationships/oleObject" Target="embeddings/oleObject3.bin"/><Relationship Id="rId2" Type="http://schemas.openxmlformats.org/officeDocument/2006/relationships/numbering" Target="numbering.xml"/><Relationship Id="rId16" Type="http://schemas.openxmlformats.org/officeDocument/2006/relationships/image" Target="media/image3.e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javascript:try%20%7B%20openDoc('3005900E.htm',%20'_self')%20%7D%20catch(e)%20%7B%20%7D;" TargetMode="External"/><Relationship Id="rId5" Type="http://schemas.openxmlformats.org/officeDocument/2006/relationships/webSettings" Target="webSettings.xml"/><Relationship Id="rId15" Type="http://schemas.openxmlformats.org/officeDocument/2006/relationships/oleObject" Target="embeddings/oleObject2.bin"/><Relationship Id="rId10" Type="http://schemas.openxmlformats.org/officeDocument/2006/relationships/hyperlink" Target="javascript:try%20%7B%20openDoc('1070700E.htm',%20'_self')%20%7D%20catch(e)%20%7B%20%7D;" TargetMode="External"/><Relationship Id="rId19" Type="http://schemas.openxmlformats.org/officeDocument/2006/relationships/oleObject" Target="embeddings/oleObject4.bin"/><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2.emf"/></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B1C942-3E56-F54E-A621-D8514DDDCD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1593</TotalTime>
  <Pages>16</Pages>
  <Words>24712</Words>
  <Characters>140860</Characters>
  <Application>Microsoft Office Word</Application>
  <DocSecurity>0</DocSecurity>
  <Lines>1173</Lines>
  <Paragraphs>330</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165242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Quality Control Editor</dc:creator>
  <cp:keywords/>
  <dc:description/>
  <cp:lastModifiedBy>Ana Beloqui Garcia</cp:lastModifiedBy>
  <cp:revision>53</cp:revision>
  <dcterms:created xsi:type="dcterms:W3CDTF">2022-12-05T06:10:00Z</dcterms:created>
  <dcterms:modified xsi:type="dcterms:W3CDTF">2023-02-08T10:08:00Z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minderText">
    <vt:lpwstr>_3CH9RLGN</vt:lpwstr>
  </property>
  <property fmtid="{D5CDD505-2E9C-101B-9397-08002B2CF9AE}" pid="3" name="Mendeley Recent Style Id 0_1">
    <vt:lpwstr>http://www.zotero.org/styles/acs-applied-energy-materials</vt:lpwstr>
  </property>
  <property fmtid="{D5CDD505-2E9C-101B-9397-08002B2CF9AE}" pid="4" name="Mendeley Recent Style Name 0_1">
    <vt:lpwstr>ACS Applied Energy Materials</vt:lpwstr>
  </property>
  <property fmtid="{D5CDD505-2E9C-101B-9397-08002B2CF9AE}" pid="5" name="Mendeley Recent Style Id 1_1">
    <vt:lpwstr>http://www.zotero.org/styles/acs-applied-materials-and-interfaces</vt:lpwstr>
  </property>
  <property fmtid="{D5CDD505-2E9C-101B-9397-08002B2CF9AE}" pid="6" name="Mendeley Recent Style Name 1_1">
    <vt:lpwstr>ACS Applied Materials &amp; Interfaces</vt:lpwstr>
  </property>
  <property fmtid="{D5CDD505-2E9C-101B-9397-08002B2CF9AE}" pid="7" name="Mendeley Recent Style Id 2_1">
    <vt:lpwstr>http://www.zotero.org/styles/acs-nano</vt:lpwstr>
  </property>
  <property fmtid="{D5CDD505-2E9C-101B-9397-08002B2CF9AE}" pid="8" name="Mendeley Recent Style Name 2_1">
    <vt:lpwstr>ACS Nano</vt:lpwstr>
  </property>
  <property fmtid="{D5CDD505-2E9C-101B-9397-08002B2CF9AE}" pid="9" name="Mendeley Recent Style Id 3_1">
    <vt:lpwstr>http://www.zotero.org/styles/international-journal-of-pharmaceutics</vt:lpwstr>
  </property>
  <property fmtid="{D5CDD505-2E9C-101B-9397-08002B2CF9AE}" pid="10" name="Mendeley Recent Style Name 3_1">
    <vt:lpwstr>International Journal of Pharmaceutics</vt:lpwstr>
  </property>
  <property fmtid="{D5CDD505-2E9C-101B-9397-08002B2CF9AE}" pid="11" name="Mendeley Recent Style Id 4_1">
    <vt:lpwstr>http://www.zotero.org/styles/modern-humanities-research-association</vt:lpwstr>
  </property>
  <property fmtid="{D5CDD505-2E9C-101B-9397-08002B2CF9AE}" pid="12" name="Mendeley Recent Style Name 4_1">
    <vt:lpwstr>Modern Humanities Research Association 3rd edition (note with bibliography)</vt:lpwstr>
  </property>
  <property fmtid="{D5CDD505-2E9C-101B-9397-08002B2CF9AE}" pid="13" name="Mendeley Recent Style Id 5_1">
    <vt:lpwstr>http://www.zotero.org/styles/modern-language-association</vt:lpwstr>
  </property>
  <property fmtid="{D5CDD505-2E9C-101B-9397-08002B2CF9AE}" pid="14" name="Mendeley Recent Style Name 5_1">
    <vt:lpwstr>Modern Language Association 8th edition</vt:lpwstr>
  </property>
  <property fmtid="{D5CDD505-2E9C-101B-9397-08002B2CF9AE}" pid="15" name="Mendeley Recent Style Id 6_1">
    <vt:lpwstr>http://www.zotero.org/styles/national-library-of-medicine</vt:lpwstr>
  </property>
  <property fmtid="{D5CDD505-2E9C-101B-9397-08002B2CF9AE}" pid="16" name="Mendeley Recent Style Name 6_1">
    <vt:lpwstr>National Library of Medicine</vt:lpwstr>
  </property>
  <property fmtid="{D5CDD505-2E9C-101B-9397-08002B2CF9AE}" pid="17" name="Mendeley Recent Style Id 7_1">
    <vt:lpwstr>http://www.zotero.org/styles/nature</vt:lpwstr>
  </property>
  <property fmtid="{D5CDD505-2E9C-101B-9397-08002B2CF9AE}" pid="18" name="Mendeley Recent Style Name 7_1">
    <vt:lpwstr>Nature</vt:lpwstr>
  </property>
  <property fmtid="{D5CDD505-2E9C-101B-9397-08002B2CF9AE}" pid="19" name="Mendeley Recent Style Id 8_1">
    <vt:lpwstr>http://www.zotero.org/styles/pharmaceutics</vt:lpwstr>
  </property>
  <property fmtid="{D5CDD505-2E9C-101B-9397-08002B2CF9AE}" pid="20" name="Mendeley Recent Style Name 8_1">
    <vt:lpwstr>Pharmaceutics</vt:lpwstr>
  </property>
  <property fmtid="{D5CDD505-2E9C-101B-9397-08002B2CF9AE}" pid="21" name="Mendeley Recent Style Id 9_1">
    <vt:lpwstr>http://www.zotero.org/styles/vancouver</vt:lpwstr>
  </property>
  <property fmtid="{D5CDD505-2E9C-101B-9397-08002B2CF9AE}" pid="22" name="Mendeley Recent Style Name 9_1">
    <vt:lpwstr>Vancouver</vt:lpwstr>
  </property>
  <property fmtid="{D5CDD505-2E9C-101B-9397-08002B2CF9AE}" pid="23" name="Mendeley Document_1">
    <vt:lpwstr>True</vt:lpwstr>
  </property>
  <property fmtid="{D5CDD505-2E9C-101B-9397-08002B2CF9AE}" pid="24" name="Mendeley Unique User Id_1">
    <vt:lpwstr>1d5a6413-e9ca-3b65-afb8-773c6419d386</vt:lpwstr>
  </property>
  <property fmtid="{D5CDD505-2E9C-101B-9397-08002B2CF9AE}" pid="25" name="Mendeley Citation Style_1">
    <vt:lpwstr>http://www.zotero.org/styles/international-journal-of-pharmaceutics</vt:lpwstr>
  </property>
</Properties>
</file>