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50EF" w14:textId="77777777" w:rsidR="000D5379" w:rsidRPr="00BE3749" w:rsidRDefault="007A15C8" w:rsidP="00156205">
      <w:pPr>
        <w:jc w:val="both"/>
        <w:rPr>
          <w:rFonts w:ascii="Calibri" w:hAnsi="Calibri" w:cs="Calibri"/>
          <w:sz w:val="16"/>
          <w:szCs w:val="16"/>
        </w:rPr>
      </w:pPr>
      <w:r w:rsidRPr="00156205">
        <w:rPr>
          <w:rFonts w:ascii="Calibri" w:hAnsi="Calibri" w:cs="Calibri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6400E" wp14:editId="4F611B50">
                <wp:simplePos x="0" y="0"/>
                <wp:positionH relativeFrom="column">
                  <wp:posOffset>-67213</wp:posOffset>
                </wp:positionH>
                <wp:positionV relativeFrom="paragraph">
                  <wp:posOffset>94782</wp:posOffset>
                </wp:positionV>
                <wp:extent cx="1748413" cy="378000"/>
                <wp:effectExtent l="0" t="0" r="4445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413" cy="37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7AEE1" w14:textId="4C08FBB4" w:rsidR="00156205" w:rsidRPr="007A15C8" w:rsidRDefault="003E2E6B" w:rsidP="007A15C8">
                            <w:pPr>
                              <w:shd w:val="clear" w:color="auto" w:fill="C00000"/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  <w:t>Brève</w:t>
                            </w:r>
                            <w:r w:rsidR="007221ED" w:rsidRPr="007A15C8"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6400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5.3pt;margin-top:7.45pt;width:137.65pt;height: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" fillcolor="white [3201]" stroked="f" strokeweight=".5pt">
                <v:textbox>
                  <w:txbxContent>
                    <w:p w14:paraId="30E7AEE1" w14:textId="4C08FBB4" w:rsidR="00156205" w:rsidRPr="007A15C8" w:rsidRDefault="003E2E6B" w:rsidP="007A15C8">
                      <w:pPr>
                        <w:shd w:val="clear" w:color="auto" w:fill="C00000"/>
                        <w:jc w:val="center"/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>Brève</w:t>
                      </w:r>
                      <w:r w:rsidR="007221ED" w:rsidRPr="007A15C8"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617A708" w14:textId="77777777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346FBF50" w14:textId="77777777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3E0B3EFF" w14:textId="77777777" w:rsidR="00156205" w:rsidRPr="00100859" w:rsidRDefault="00156205" w:rsidP="00156205">
      <w:pPr>
        <w:autoSpaceDE w:val="0"/>
        <w:autoSpaceDN w:val="0"/>
        <w:adjustRightInd w:val="0"/>
        <w:jc w:val="both"/>
        <w:rPr>
          <w:rFonts w:ascii="Calibri" w:hAnsi="Calibri" w:cs="Calibri"/>
          <w:color w:val="C90025"/>
          <w:sz w:val="16"/>
          <w:szCs w:val="16"/>
          <w:lang w:val="fr-FR"/>
        </w:rPr>
      </w:pPr>
    </w:p>
    <w:p w14:paraId="0EBDE677" w14:textId="6066CB29" w:rsidR="00E56176" w:rsidRPr="00E56176" w:rsidRDefault="002A2A67" w:rsidP="00F05899">
      <w:pPr>
        <w:pStyle w:val="Titre1"/>
        <w:spacing w:after="240"/>
        <w:jc w:val="both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fr-BE"/>
        </w:rPr>
      </w:pPr>
      <w:r>
        <w:rPr>
          <w:rFonts w:cstheme="majorHAnsi"/>
          <w:color w:val="C90025"/>
          <w:sz w:val="36"/>
          <w:szCs w:val="36"/>
          <w:lang w:val="fr-FR"/>
        </w:rPr>
        <w:t>L</w:t>
      </w:r>
      <w:r w:rsidR="00E56176">
        <w:rPr>
          <w:rFonts w:cstheme="majorHAnsi"/>
          <w:color w:val="C90025"/>
          <w:sz w:val="36"/>
          <w:szCs w:val="36"/>
          <w:lang w:val="fr-FR"/>
        </w:rPr>
        <w:t xml:space="preserve">e refus des </w:t>
      </w:r>
      <w:r>
        <w:rPr>
          <w:rFonts w:cstheme="majorHAnsi"/>
          <w:color w:val="C90025"/>
          <w:sz w:val="36"/>
          <w:szCs w:val="36"/>
          <w:lang w:val="fr-FR"/>
        </w:rPr>
        <w:t>héritiers</w:t>
      </w:r>
      <w:r w:rsidR="00E56176">
        <w:rPr>
          <w:rFonts w:cstheme="majorHAnsi"/>
          <w:color w:val="C90025"/>
          <w:sz w:val="36"/>
          <w:szCs w:val="36"/>
          <w:lang w:val="fr-FR"/>
        </w:rPr>
        <w:t xml:space="preserve"> du défunt de </w:t>
      </w:r>
      <w:r w:rsidR="00F67ED4">
        <w:rPr>
          <w:rFonts w:cstheme="majorHAnsi"/>
          <w:color w:val="C90025"/>
          <w:sz w:val="36"/>
          <w:szCs w:val="36"/>
          <w:lang w:val="fr-FR"/>
        </w:rPr>
        <w:t xml:space="preserve">se soumettre </w:t>
      </w:r>
      <w:r w:rsidR="00E56176">
        <w:rPr>
          <w:rFonts w:cstheme="majorHAnsi"/>
          <w:color w:val="C90025"/>
          <w:sz w:val="36"/>
          <w:szCs w:val="36"/>
          <w:lang w:val="fr-FR"/>
        </w:rPr>
        <w:t xml:space="preserve">à une expertise génétique </w:t>
      </w:r>
      <w:r w:rsidR="00B441D9">
        <w:rPr>
          <w:rFonts w:cstheme="majorHAnsi"/>
          <w:color w:val="C90025"/>
          <w:sz w:val="36"/>
          <w:szCs w:val="36"/>
          <w:lang w:val="fr-FR"/>
        </w:rPr>
        <w:t>peut entrainer une présomption de fait</w:t>
      </w:r>
      <w:r w:rsidR="00046D97">
        <w:rPr>
          <w:rFonts w:cstheme="majorHAnsi"/>
          <w:color w:val="C90025"/>
          <w:sz w:val="36"/>
          <w:szCs w:val="36"/>
          <w:lang w:val="fr-FR"/>
        </w:rPr>
        <w:t xml:space="preserve"> fondant le lien de filiation</w:t>
      </w:r>
    </w:p>
    <w:p w14:paraId="06D394C0" w14:textId="3B048D6B" w:rsidR="00CD7D5E" w:rsidRPr="002D1ADA" w:rsidRDefault="002A2A67" w:rsidP="00056401">
      <w:pPr>
        <w:autoSpaceDE w:val="0"/>
        <w:autoSpaceDN w:val="0"/>
        <w:adjustRightInd w:val="0"/>
        <w:spacing w:before="120" w:after="120"/>
        <w:jc w:val="both"/>
        <w:rPr>
          <w:rFonts w:asciiTheme="majorHAnsi" w:eastAsia="Dotum" w:hAnsiTheme="majorHAnsi" w:cstheme="majorHAnsi"/>
          <w:color w:val="7F7F7F" w:themeColor="text1" w:themeTint="80"/>
          <w:sz w:val="22"/>
          <w:szCs w:val="22"/>
          <w:lang w:val="fr-FR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B</w:t>
      </w:r>
      <w:r w:rsidR="0033445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>ien que la filiation peut être fondée sur la base de l’existence d’une possession d’état, il n’en reste pas moins que la preuve par toute voie</w:t>
      </w:r>
      <w:r w:rsidR="00903E79" w:rsidRPr="002D1ADA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footnoteReference w:id="2"/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>, et</w:t>
      </w:r>
      <w:r w:rsidR="00AB7B9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 xml:space="preserve"> plus particulièrement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 xml:space="preserve"> le recours à un test ADN, </w:t>
      </w:r>
      <w:r w:rsidR="0033445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 xml:space="preserve">reste 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 xml:space="preserve">la panacée, </w:t>
      </w:r>
      <w:r w:rsidR="00BE202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>puis</w:t>
      </w:r>
      <w:r w:rsidR="008F69A0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 xml:space="preserve">que 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lang w:val="fr-FR"/>
        </w:rPr>
        <w:t>le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juge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8F69A0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qui estime les éléments produits insuffisants pour statuer</w:t>
      </w:r>
      <w:r w:rsidR="00AB7B9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peut 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ordonner, même d’office, u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ne expertise génétique</w:t>
      </w:r>
      <w:r w:rsidR="00903E79" w:rsidRPr="002D1ADA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3"/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. </w:t>
      </w:r>
    </w:p>
    <w:p w14:paraId="5EFA5D1C" w14:textId="081D5263" w:rsidR="0017041A" w:rsidRPr="002D1ADA" w:rsidRDefault="00E33C5B" w:rsidP="00056401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7F7F7F" w:themeColor="text1" w:themeTint="80"/>
          <w:sz w:val="22"/>
          <w:szCs w:val="22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Au vu</w:t>
      </w:r>
      <w:r w:rsidR="00A717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de l’intérêt de l’enfant à connaitre ses origines, 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le juge est</w:t>
      </w:r>
      <w:r w:rsidR="00903E7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autorisé à déduire d</w:t>
      </w:r>
      <w:r w:rsidR="009C49D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u</w:t>
      </w:r>
      <w:r w:rsidR="00B8549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refus du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8746B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défendeur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2265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 se soumettre à </w:t>
      </w:r>
      <w:r w:rsidR="0051675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l’expertise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2265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non justifié par un motif légitime, 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une présomption d’existence du </w:t>
      </w:r>
      <w:r w:rsidR="002265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lien biologique, </w:t>
      </w:r>
      <w:r w:rsidR="00D60C4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si</w:t>
      </w:r>
      <w:r w:rsidR="00CD7D5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2265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d’autres éléments viennent corroborer ce</w:t>
      </w:r>
      <w:r w:rsidR="009C49D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lui-ci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 et ainsi considérer qu’il existe un faisceau de présomptions suffisamment concordantes et graves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pour établir </w:t>
      </w:r>
      <w:r w:rsidR="00D60C4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la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filiation</w:t>
      </w:r>
      <w:r w:rsidR="00F0041E" w:rsidRPr="002D1ADA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4"/>
      </w:r>
      <w:r w:rsidR="0022654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.</w:t>
      </w:r>
      <w:r w:rsidR="0017041A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</w:p>
    <w:p w14:paraId="33F4722D" w14:textId="7E26B9FF" w:rsidR="00CD7D5E" w:rsidRPr="002D1ADA" w:rsidRDefault="00344722" w:rsidP="00056401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7F7F7F" w:themeColor="text1" w:themeTint="80"/>
          <w:sz w:val="22"/>
          <w:szCs w:val="22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n cas d’action </w:t>
      </w:r>
      <w:r w:rsidR="00C21387" w:rsidRPr="002D1ADA">
        <w:rPr>
          <w:rFonts w:asciiTheme="majorHAnsi" w:hAnsiTheme="majorHAnsi" w:cstheme="majorHAnsi"/>
          <w:i/>
          <w:iCs/>
          <w:color w:val="7F7F7F" w:themeColor="text1" w:themeTint="80"/>
          <w:sz w:val="22"/>
          <w:szCs w:val="22"/>
        </w:rPr>
        <w:t>post mortem</w:t>
      </w: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 l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 juge peut également ordonner un</w:t>
      </w:r>
      <w:r w:rsidR="0022223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test ADN </w:t>
      </w:r>
      <w:r w:rsidR="00204403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sur</w:t>
      </w:r>
      <w:r w:rsidR="0052654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22223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le défunt 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aux fins de réunir les éléments probatoires</w:t>
      </w:r>
      <w:r w:rsidR="00C21387" w:rsidRPr="002D1ADA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5"/>
      </w:r>
      <w:r w:rsidR="009068D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C21387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9068D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et l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orsqu’il est impossible d’effectuer un prélèvement sur la dépouille mortelle, </w:t>
      </w:r>
      <w:r w:rsidR="00C0374D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il </w:t>
      </w:r>
      <w:r w:rsidR="00E509F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peut 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conc</w:t>
      </w:r>
      <w:r w:rsidR="00E509F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éder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un prélèvement ADN sur</w:t>
      </w:r>
      <w:r w:rsidR="0005349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des</w:t>
      </w:r>
      <w:r w:rsidR="00B2743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membres de la famille</w:t>
      </w:r>
      <w:r w:rsidR="00053494" w:rsidRPr="002D1ADA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6"/>
      </w:r>
      <w:r w:rsidR="00E509F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.</w:t>
      </w:r>
    </w:p>
    <w:p w14:paraId="5841F8C3" w14:textId="487900DF" w:rsidR="001B36C2" w:rsidRPr="002D1ADA" w:rsidRDefault="00E9043A" w:rsidP="00056401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7F7F7F" w:themeColor="text1" w:themeTint="80"/>
          <w:sz w:val="22"/>
          <w:szCs w:val="22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P</w:t>
      </w:r>
      <w:r w:rsidR="00E509F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eut-on également tirer du refus de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s ayants droit </w:t>
      </w:r>
      <w:r w:rsidR="0037746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 </w:t>
      </w:r>
      <w:r w:rsidR="001B36C2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coopérer</w:t>
      </w:r>
      <w:r w:rsidR="0037746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à </w:t>
      </w:r>
      <w:r w:rsidR="001B36C2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un</w:t>
      </w:r>
      <w:r w:rsidR="00EA3F9C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 expertise</w:t>
      </w:r>
      <w:r w:rsidR="001B36C2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une présomption de fait </w:t>
      </w:r>
      <w:r w:rsidR="0037544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permettant de fonder la filiation ?</w:t>
      </w:r>
      <w:r w:rsidR="00E509F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F67ED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37746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La</w:t>
      </w:r>
      <w:r w:rsidR="00F67ED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Cour de cassation </w:t>
      </w:r>
      <w:r w:rsidR="0037746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a répondu par l’affirmative </w:t>
      </w:r>
      <w:r w:rsidR="009068D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dans un arrêt du 28 septembre 2023</w:t>
      </w:r>
      <w:r w:rsidR="006D4BDD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7"/>
      </w:r>
      <w:r w:rsidR="00377469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en </w:t>
      </w:r>
      <w:r w:rsidR="001B36C2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rejetant un pourvoi </w:t>
      </w:r>
      <w:r w:rsidR="00BE591D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dirigé contre </w:t>
      </w:r>
      <w:r w:rsidR="001B36C2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un arrêt de la Cour d’appel de Bruxelles qui avait déclaré fondé un lien de filiation sur cette base. </w:t>
      </w:r>
    </w:p>
    <w:p w14:paraId="3DAE75B9" w14:textId="1A3EA88A" w:rsidR="00F05899" w:rsidRPr="002D1ADA" w:rsidRDefault="001B36C2" w:rsidP="00056401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7F7F7F" w:themeColor="text1" w:themeTint="80"/>
          <w:sz w:val="22"/>
          <w:szCs w:val="22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La Cour motive sa décision au regard du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nouveau droit de la preuve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et plus particulièrement </w:t>
      </w:r>
      <w:r w:rsidR="0002061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l’article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8.1</w:t>
      </w:r>
      <w:r w:rsidR="00440886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9°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du nouveau Code civil qui définit la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présomption de fait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comme 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un mode de preuve par lequel le juge déduit l'existence </w:t>
      </w:r>
      <w:r w:rsidR="00B8549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d’</w:t>
      </w:r>
      <w:r w:rsidR="0051216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un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fait inconnu à partir d'un fait</w:t>
      </w:r>
      <w:r w:rsidR="0051216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connu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, </w:t>
      </w:r>
      <w:r w:rsidR="0002061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 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l’article 8.4</w:t>
      </w:r>
      <w:r w:rsidR="00440886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al. 3 du même Code qui précise que toutes les parties doivent collaborer à l'administration de la preuve et</w:t>
      </w:r>
      <w:r w:rsidR="00440886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enfin</w:t>
      </w:r>
      <w:r w:rsidR="00440886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02061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l’article 8.29 qui dispose que l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a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valeur probante 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des présomptions de fait 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est laissée à l'appréciation du juge, qui ne doit les retenir que si elles reposent sur un ou plusieurs indices sérieux</w:t>
      </w:r>
      <w:r w:rsidR="00512168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 p</w:t>
      </w:r>
      <w:r w:rsidR="00885BA5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récis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1C17EF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et </w:t>
      </w:r>
      <w:r w:rsidR="009019D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concordants.</w:t>
      </w:r>
      <w:r w:rsidR="00E1287B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La Cour rappelle le prescrit de l’article 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972</w:t>
      </w:r>
      <w:r w:rsidR="00567461" w:rsidRPr="002D1ADA">
        <w:rPr>
          <w:rFonts w:asciiTheme="majorHAnsi" w:hAnsiTheme="majorHAnsi" w:cstheme="majorHAnsi"/>
          <w:i/>
          <w:iCs/>
          <w:color w:val="7F7F7F" w:themeColor="text1" w:themeTint="80"/>
          <w:sz w:val="22"/>
          <w:szCs w:val="22"/>
        </w:rPr>
        <w:t>bis</w:t>
      </w:r>
      <w:r w:rsidR="00E1287B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§1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  <w:vertAlign w:val="superscript"/>
        </w:rPr>
        <w:t>er</w:t>
      </w:r>
      <w:r w:rsidR="00F67ED4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E1287B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du Code judiciaire selon lequel</w:t>
      </w:r>
      <w:r w:rsidR="002306B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le juge peut</w:t>
      </w:r>
      <w:r w:rsidR="00F517B3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tirer toute conséquence </w:t>
      </w:r>
      <w:r w:rsidR="00F517B3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jugée</w:t>
      </w:r>
      <w:r w:rsidR="002306BE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567461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appropriée</w:t>
      </w:r>
      <w:r w:rsidR="00F517B3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du défaut pour les parties de collaborer à l'expertise.</w:t>
      </w:r>
    </w:p>
    <w:p w14:paraId="4064C4A3" w14:textId="636F8014" w:rsidR="00F60402" w:rsidRPr="00B70C1E" w:rsidRDefault="00F60402" w:rsidP="00885BA5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La Cour a considéré</w:t>
      </w:r>
      <w:r w:rsidR="00C95A66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</w:t>
      </w:r>
      <w:r w:rsidR="00D540E0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D540E0" w:rsidRPr="002D1ADA">
        <w:rPr>
          <w:rFonts w:asciiTheme="majorHAnsi" w:hAnsiTheme="majorHAnsi" w:cstheme="majorHAnsi"/>
          <w:i/>
          <w:iCs/>
          <w:color w:val="7F7F7F" w:themeColor="text1" w:themeTint="80"/>
          <w:sz w:val="22"/>
          <w:szCs w:val="22"/>
        </w:rPr>
        <w:t>in casu</w:t>
      </w:r>
      <w:r w:rsidR="00C95A66" w:rsidRPr="002D1ADA">
        <w:rPr>
          <w:rFonts w:asciiTheme="majorHAnsi" w:hAnsiTheme="majorHAnsi" w:cstheme="majorHAnsi"/>
          <w:i/>
          <w:iCs/>
          <w:color w:val="7F7F7F" w:themeColor="text1" w:themeTint="80"/>
          <w:sz w:val="22"/>
          <w:szCs w:val="22"/>
        </w:rPr>
        <w:t>,</w:t>
      </w: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que plusieurs indices sérieux, précis et concordants (notamment des courriels du père présumé, un test ADN priv</w:t>
      </w:r>
      <w:r w:rsidR="0097721A"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é</w:t>
      </w:r>
      <w:r w:rsidRPr="002D1ADA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 des versements spontanés effectués par le père présumé au profit de l’enfant) ont pu justifier de retenir une présomption de fait du refus des héritiers de se soumettre à l’expertise ordonnée, fondant la filiation.</w:t>
      </w:r>
    </w:p>
    <w:p w14:paraId="7FB58F81" w14:textId="3500FFC1" w:rsidR="00885BA5" w:rsidRPr="00B70C1E" w:rsidRDefault="00B84E0A" w:rsidP="00885BA5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lastRenderedPageBreak/>
        <w:t>C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ette solution p</w:t>
      </w:r>
      <w:r w:rsidR="00A3037F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ourrai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t </w:t>
      </w:r>
      <w:r w:rsidR="00F60402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aussi 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se fonder sur l’article 8.4, al</w:t>
      </w:r>
      <w:r w:rsidR="00B70C1E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.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5 d</w:t>
      </w:r>
      <w:r w:rsidR="00B70C1E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u nouveau Code civil</w:t>
      </w:r>
      <w:r w:rsidR="00885BA5" w:rsidRPr="00F15DC8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8"/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,  qui p</w:t>
      </w:r>
      <w:r w:rsidR="00A3037F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ermet au juge de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« sanctionner (…) un refus fautif d’une partie de collaborer à l’administration de la preuve</w:t>
      </w:r>
      <w:r w:rsidR="00B70C1E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 xml:space="preserve"> </w:t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»</w:t>
      </w:r>
      <w:r w:rsidR="00885BA5" w:rsidRPr="00F15DC8">
        <w:rPr>
          <w:rStyle w:val="Appelnotedebasdep"/>
          <w:rFonts w:asciiTheme="majorHAnsi" w:hAnsiTheme="majorHAnsi" w:cstheme="majorHAnsi"/>
          <w:color w:val="7F7F7F" w:themeColor="text1" w:themeTint="80"/>
          <w:sz w:val="22"/>
          <w:szCs w:val="22"/>
        </w:rPr>
        <w:footnoteReference w:id="9"/>
      </w:r>
      <w:r w:rsidR="00885BA5" w:rsidRPr="00F15DC8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.</w:t>
      </w:r>
    </w:p>
    <w:p w14:paraId="4971F97F" w14:textId="77777777" w:rsidR="00823727" w:rsidRDefault="00823727" w:rsidP="00056401">
      <w:pPr>
        <w:autoSpaceDE w:val="0"/>
        <w:autoSpaceDN w:val="0"/>
        <w:adjustRightInd w:val="0"/>
        <w:spacing w:before="120" w:after="12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</w:p>
    <w:p w14:paraId="347D6A4F" w14:textId="632AD6E5" w:rsidR="00BE3749" w:rsidRDefault="00CD7D5E" w:rsidP="00902CE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C90025"/>
          <w:sz w:val="44"/>
          <w:szCs w:val="44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6"/>
          <w:szCs w:val="26"/>
          <w:lang w:val="fr-FR"/>
        </w:rPr>
        <w:t xml:space="preserve">Ophélie De Cuyper </w:t>
      </w:r>
      <w:r w:rsidR="00BE3749" w:rsidRPr="00BE3749">
        <w:rPr>
          <w:rFonts w:ascii="Times New Roman" w:hAnsi="Times New Roman" w:cs="Times New Roman"/>
          <w:color w:val="C90025"/>
          <w:lang w:val="fr-FR"/>
        </w:rPr>
        <w:t>■</w:t>
      </w:r>
    </w:p>
    <w:p w14:paraId="4A642520" w14:textId="7918ECD8" w:rsidR="00902CEB" w:rsidRPr="00902CEB" w:rsidRDefault="00BE3749" w:rsidP="00902CEB">
      <w:pPr>
        <w:autoSpaceDE w:val="0"/>
        <w:autoSpaceDN w:val="0"/>
        <w:adjustRightInd w:val="0"/>
        <w:jc w:val="right"/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</w:pPr>
      <w:r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Assistant</w:t>
      </w:r>
      <w:r w:rsidR="00CD7D5E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e</w:t>
      </w:r>
      <w:r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 à l’</w:t>
      </w:r>
      <w:r w:rsidR="00EC43FD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UCLouvain</w:t>
      </w:r>
      <w:r w:rsidR="00CD7D5E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 Saint-Louis</w:t>
      </w:r>
      <w:r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 Bruxelles</w:t>
      </w:r>
    </w:p>
    <w:p w14:paraId="7EF120F3" w14:textId="22F900A8" w:rsidR="007A15C8" w:rsidRPr="00056401" w:rsidRDefault="00BE3749" w:rsidP="00056401">
      <w:pPr>
        <w:autoSpaceDE w:val="0"/>
        <w:autoSpaceDN w:val="0"/>
        <w:adjustRightInd w:val="0"/>
        <w:jc w:val="right"/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</w:pPr>
      <w:r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Avocat</w:t>
      </w:r>
      <w:r w:rsidR="00CD7D5E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e</w:t>
      </w:r>
      <w:r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 au barreau de Bruxelles</w:t>
      </w:r>
    </w:p>
    <w:p w14:paraId="038A12CD" w14:textId="77777777" w:rsidR="009D7A02" w:rsidRPr="009D7A02" w:rsidRDefault="009D7A02" w:rsidP="009D7A02">
      <w:pPr>
        <w:rPr>
          <w:rFonts w:ascii="Calibri Light" w:eastAsia="Dotum" w:hAnsi="Calibri Light" w:cs="Calibri Light"/>
          <w:sz w:val="18"/>
          <w:szCs w:val="18"/>
          <w:lang w:val="fr-FR"/>
        </w:rPr>
      </w:pPr>
    </w:p>
    <w:p w14:paraId="62FFF426" w14:textId="4646DA48" w:rsidR="009D7A02" w:rsidRPr="009D7A02" w:rsidRDefault="009D7A02" w:rsidP="009D7A02">
      <w:pPr>
        <w:rPr>
          <w:rFonts w:ascii="Calibri Light" w:eastAsia="Dotum" w:hAnsi="Calibri Light" w:cs="Calibri Light"/>
          <w:sz w:val="18"/>
          <w:szCs w:val="18"/>
          <w:lang w:val="fr-FR"/>
        </w:rPr>
      </w:pPr>
    </w:p>
    <w:sectPr w:rsidR="009D7A02" w:rsidRPr="009D7A02" w:rsidSect="0071088A">
      <w:headerReference w:type="default" r:id="rId7"/>
      <w:footerReference w:type="default" r:id="rId8"/>
      <w:pgSz w:w="11900" w:h="16840"/>
      <w:pgMar w:top="571" w:right="985" w:bottom="851" w:left="992" w:header="571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398D" w14:textId="77777777" w:rsidR="0071088A" w:rsidRDefault="0071088A" w:rsidP="00ED0A00">
      <w:r>
        <w:separator/>
      </w:r>
    </w:p>
  </w:endnote>
  <w:endnote w:type="continuationSeparator" w:id="0">
    <w:p w14:paraId="0B4266A8" w14:textId="77777777" w:rsidR="0071088A" w:rsidRDefault="0071088A" w:rsidP="00ED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altName w:val="﷽﷽﷽﷽﷽﷽﷽﷽at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6433" w14:textId="77777777" w:rsidR="00056401" w:rsidRDefault="00056401" w:rsidP="00056401">
    <w:pPr>
      <w:pStyle w:val="Pieddepage"/>
      <w:jc w:val="right"/>
    </w:pPr>
    <w:r>
      <w:rPr>
        <w:noProof/>
        <w:lang w:eastAsia="fr-BE"/>
      </w:rPr>
      <w:drawing>
        <wp:inline distT="0" distB="0" distL="0" distR="0" wp14:anchorId="1391D0E0" wp14:editId="5C06DD9E">
          <wp:extent cx="757382" cy="757382"/>
          <wp:effectExtent l="0" t="0" r="5080" b="5080"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Usaintlou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835" cy="78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A02">
      <w:rPr>
        <w:noProof/>
        <w:lang w:eastAsia="fr-BE"/>
      </w:rPr>
      <w:drawing>
        <wp:inline distT="0" distB="0" distL="0" distR="0" wp14:anchorId="0E70D1BD" wp14:editId="192B0340">
          <wp:extent cx="1943100" cy="609600"/>
          <wp:effectExtent l="0" t="0" r="0" b="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ePr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A593" w14:textId="77777777" w:rsidR="0071088A" w:rsidRPr="00823727" w:rsidRDefault="0071088A" w:rsidP="00ED0A00">
      <w:pPr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</w:pPr>
      <w:r w:rsidRPr="00823727"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  <w:separator/>
      </w:r>
    </w:p>
    <w:p w14:paraId="4FF6D5F3" w14:textId="77777777" w:rsidR="0071088A" w:rsidRDefault="0071088A"/>
  </w:footnote>
  <w:footnote w:type="continuationSeparator" w:id="0">
    <w:p w14:paraId="3CB84F14" w14:textId="77777777" w:rsidR="0071088A" w:rsidRDefault="0071088A" w:rsidP="00ED0A00">
      <w:r>
        <w:continuationSeparator/>
      </w:r>
    </w:p>
  </w:footnote>
  <w:footnote w:type="continuationNotice" w:id="1">
    <w:p w14:paraId="77ECB22E" w14:textId="77777777" w:rsidR="0071088A" w:rsidRDefault="0071088A"/>
  </w:footnote>
  <w:footnote w:id="2">
    <w:p w14:paraId="210977DE" w14:textId="0E557C81" w:rsidR="00903E79" w:rsidRPr="00F15DC8" w:rsidRDefault="00903E79" w:rsidP="00F15DC8">
      <w:pPr>
        <w:pStyle w:val="Notedebasdepage"/>
        <w:jc w:val="both"/>
        <w:rPr>
          <w:color w:val="7F7F7F" w:themeColor="text1" w:themeTint="80"/>
          <w:sz w:val="16"/>
          <w:szCs w:val="16"/>
        </w:rPr>
      </w:pPr>
      <w:r w:rsidRPr="00F15DC8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F15DC8">
        <w:rPr>
          <w:color w:val="7F7F7F" w:themeColor="text1" w:themeTint="80"/>
          <w:sz w:val="16"/>
          <w:szCs w:val="16"/>
        </w:rPr>
        <w:t xml:space="preserve"> Art. 314</w:t>
      </w:r>
      <w:r w:rsidR="008B0155" w:rsidRPr="00F15DC8">
        <w:rPr>
          <w:color w:val="7F7F7F" w:themeColor="text1" w:themeTint="80"/>
          <w:sz w:val="16"/>
          <w:szCs w:val="16"/>
        </w:rPr>
        <w:t xml:space="preserve"> </w:t>
      </w:r>
      <w:r w:rsidR="00EE37E2" w:rsidRPr="00F15DC8">
        <w:rPr>
          <w:color w:val="7F7F7F" w:themeColor="text1" w:themeTint="80"/>
          <w:sz w:val="16"/>
          <w:szCs w:val="16"/>
        </w:rPr>
        <w:t>et</w:t>
      </w:r>
      <w:r w:rsidRPr="00F15DC8">
        <w:rPr>
          <w:color w:val="7F7F7F" w:themeColor="text1" w:themeTint="80"/>
          <w:sz w:val="16"/>
          <w:szCs w:val="16"/>
        </w:rPr>
        <w:t xml:space="preserve">. 324 anc. C. civ. </w:t>
      </w:r>
    </w:p>
  </w:footnote>
  <w:footnote w:id="3">
    <w:p w14:paraId="5D19BDA8" w14:textId="28006643" w:rsidR="00903E79" w:rsidRPr="00B30D12" w:rsidRDefault="00903E79" w:rsidP="00F15DC8">
      <w:pPr>
        <w:pStyle w:val="Notedebasdepage"/>
        <w:jc w:val="both"/>
        <w:rPr>
          <w:color w:val="7F7F7F" w:themeColor="text1" w:themeTint="80"/>
          <w:sz w:val="16"/>
          <w:szCs w:val="16"/>
        </w:rPr>
      </w:pPr>
      <w:r w:rsidRPr="00F15DC8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B30D12">
        <w:rPr>
          <w:color w:val="7F7F7F" w:themeColor="text1" w:themeTint="80"/>
          <w:sz w:val="16"/>
          <w:szCs w:val="16"/>
        </w:rPr>
        <w:t xml:space="preserve"> Art. 331</w:t>
      </w:r>
      <w:r w:rsidRPr="00B30D12">
        <w:rPr>
          <w:i/>
          <w:iCs/>
          <w:color w:val="7F7F7F" w:themeColor="text1" w:themeTint="80"/>
          <w:sz w:val="16"/>
          <w:szCs w:val="16"/>
        </w:rPr>
        <w:t>octies</w:t>
      </w:r>
      <w:r w:rsidRPr="00B30D12">
        <w:rPr>
          <w:color w:val="7F7F7F" w:themeColor="text1" w:themeTint="80"/>
          <w:sz w:val="16"/>
          <w:szCs w:val="16"/>
        </w:rPr>
        <w:t xml:space="preserve"> anc. C. civ.</w:t>
      </w:r>
    </w:p>
  </w:footnote>
  <w:footnote w:id="4">
    <w:p w14:paraId="4112EABD" w14:textId="59FE9A57" w:rsidR="00F0041E" w:rsidRPr="00F15DC8" w:rsidRDefault="00F0041E" w:rsidP="00F15DC8">
      <w:pPr>
        <w:pStyle w:val="Notedebasdepage"/>
        <w:jc w:val="both"/>
        <w:rPr>
          <w:color w:val="7F7F7F" w:themeColor="text1" w:themeTint="80"/>
          <w:sz w:val="16"/>
          <w:szCs w:val="16"/>
          <w:lang w:val="fr-FR"/>
        </w:rPr>
      </w:pPr>
      <w:r w:rsidRPr="00F15DC8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F15DC8">
        <w:rPr>
          <w:color w:val="7F7F7F" w:themeColor="text1" w:themeTint="80"/>
          <w:sz w:val="16"/>
          <w:szCs w:val="16"/>
        </w:rPr>
        <w:t xml:space="preserve"> G. </w:t>
      </w:r>
      <w:r w:rsidRPr="00F15DC8">
        <w:rPr>
          <w:smallCaps/>
          <w:color w:val="7F7F7F" w:themeColor="text1" w:themeTint="80"/>
          <w:sz w:val="16"/>
          <w:szCs w:val="16"/>
        </w:rPr>
        <w:t>Mathieu,</w:t>
      </w:r>
      <w:r w:rsidRPr="00F15DC8">
        <w:rPr>
          <w:color w:val="7F7F7F" w:themeColor="text1" w:themeTint="80"/>
          <w:sz w:val="16"/>
          <w:szCs w:val="16"/>
        </w:rPr>
        <w:t xml:space="preserve"> « Le recours à l'expertise génétique comme mode de preuve de la filiation : le droit au respect de la vie privée et de l'intégrité physique face au droit de l'enfant de voir sa filiation établie », </w:t>
      </w:r>
      <w:r w:rsidRPr="00F15DC8">
        <w:rPr>
          <w:i/>
          <w:iCs/>
          <w:color w:val="7F7F7F" w:themeColor="text1" w:themeTint="80"/>
          <w:sz w:val="16"/>
          <w:szCs w:val="16"/>
        </w:rPr>
        <w:t>R.T.D.F</w:t>
      </w:r>
      <w:r w:rsidRPr="00F15DC8">
        <w:rPr>
          <w:color w:val="7F7F7F" w:themeColor="text1" w:themeTint="80"/>
          <w:sz w:val="16"/>
          <w:szCs w:val="16"/>
        </w:rPr>
        <w:t>., 2012/3, p. 760</w:t>
      </w:r>
      <w:r w:rsidR="003E0267" w:rsidRPr="00F15DC8">
        <w:rPr>
          <w:color w:val="7F7F7F" w:themeColor="text1" w:themeTint="80"/>
          <w:sz w:val="16"/>
          <w:szCs w:val="16"/>
        </w:rPr>
        <w:t>.</w:t>
      </w:r>
    </w:p>
  </w:footnote>
  <w:footnote w:id="5">
    <w:p w14:paraId="023FD588" w14:textId="174E2A28" w:rsidR="00C21387" w:rsidRPr="00F15DC8" w:rsidRDefault="00C21387" w:rsidP="00F15DC8">
      <w:pPr>
        <w:pStyle w:val="Notedebasdepage"/>
        <w:jc w:val="both"/>
        <w:rPr>
          <w:color w:val="7F7F7F" w:themeColor="text1" w:themeTint="80"/>
          <w:sz w:val="16"/>
          <w:szCs w:val="16"/>
        </w:rPr>
      </w:pPr>
      <w:r w:rsidRPr="00F15DC8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F15DC8">
        <w:rPr>
          <w:color w:val="7F7F7F" w:themeColor="text1" w:themeTint="80"/>
          <w:sz w:val="16"/>
          <w:szCs w:val="16"/>
        </w:rPr>
        <w:t xml:space="preserve"> N. </w:t>
      </w:r>
      <w:r w:rsidRPr="00F15DC8">
        <w:rPr>
          <w:smallCaps/>
          <w:color w:val="7F7F7F" w:themeColor="text1" w:themeTint="80"/>
          <w:sz w:val="16"/>
          <w:szCs w:val="16"/>
        </w:rPr>
        <w:t>Gallus</w:t>
      </w:r>
      <w:r w:rsidRPr="00F15DC8">
        <w:rPr>
          <w:color w:val="7F7F7F" w:themeColor="text1" w:themeTint="80"/>
          <w:sz w:val="16"/>
          <w:szCs w:val="16"/>
        </w:rPr>
        <w:t xml:space="preserve">, </w:t>
      </w:r>
      <w:r w:rsidRPr="00F15DC8">
        <w:rPr>
          <w:i/>
          <w:iCs/>
          <w:color w:val="7F7F7F" w:themeColor="text1" w:themeTint="80"/>
          <w:sz w:val="16"/>
          <w:szCs w:val="16"/>
        </w:rPr>
        <w:t>Filiation</w:t>
      </w:r>
      <w:r w:rsidRPr="00F15DC8">
        <w:rPr>
          <w:color w:val="7F7F7F" w:themeColor="text1" w:themeTint="80"/>
          <w:sz w:val="16"/>
          <w:szCs w:val="16"/>
        </w:rPr>
        <w:t>, Bruxelles, Bruylant, 2016, pp. 56 à 58.</w:t>
      </w:r>
    </w:p>
  </w:footnote>
  <w:footnote w:id="6">
    <w:p w14:paraId="279E063E" w14:textId="0126C2E6" w:rsidR="00053494" w:rsidRPr="006E38FA" w:rsidRDefault="00053494" w:rsidP="00F15DC8">
      <w:pPr>
        <w:pStyle w:val="Notedebasdepage"/>
        <w:jc w:val="both"/>
      </w:pPr>
      <w:r w:rsidRPr="00F15DC8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F15DC8">
        <w:rPr>
          <w:color w:val="7F7F7F" w:themeColor="text1" w:themeTint="80"/>
          <w:sz w:val="16"/>
          <w:szCs w:val="16"/>
        </w:rPr>
        <w:t xml:space="preserve"> </w:t>
      </w:r>
      <w:r w:rsidR="006E38FA" w:rsidRPr="00F15DC8">
        <w:rPr>
          <w:color w:val="7F7F7F" w:themeColor="text1" w:themeTint="80"/>
          <w:sz w:val="16"/>
          <w:szCs w:val="16"/>
        </w:rPr>
        <w:t>Bruxelles (3</w:t>
      </w:r>
      <w:r w:rsidR="006E38FA" w:rsidRPr="00F15DC8">
        <w:rPr>
          <w:color w:val="7F7F7F" w:themeColor="text1" w:themeTint="80"/>
          <w:sz w:val="16"/>
          <w:szCs w:val="16"/>
          <w:vertAlign w:val="superscript"/>
        </w:rPr>
        <w:t xml:space="preserve">e </w:t>
      </w:r>
      <w:r w:rsidR="006E38FA" w:rsidRPr="00F15DC8">
        <w:rPr>
          <w:color w:val="7F7F7F" w:themeColor="text1" w:themeTint="80"/>
          <w:sz w:val="16"/>
          <w:szCs w:val="16"/>
        </w:rPr>
        <w:t>chambre), 1</w:t>
      </w:r>
      <w:r w:rsidR="006E38FA" w:rsidRPr="00F15DC8">
        <w:rPr>
          <w:color w:val="7F7F7F" w:themeColor="text1" w:themeTint="80"/>
          <w:sz w:val="16"/>
          <w:szCs w:val="16"/>
          <w:vertAlign w:val="superscript"/>
        </w:rPr>
        <w:t>er</w:t>
      </w:r>
      <w:r w:rsidR="006E38FA" w:rsidRPr="00F15DC8">
        <w:rPr>
          <w:color w:val="7F7F7F" w:themeColor="text1" w:themeTint="80"/>
          <w:sz w:val="16"/>
          <w:szCs w:val="16"/>
        </w:rPr>
        <w:t xml:space="preserve"> décembre 2006, </w:t>
      </w:r>
      <w:r w:rsidR="006E38FA" w:rsidRPr="00F15DC8">
        <w:rPr>
          <w:i/>
          <w:iCs/>
          <w:color w:val="7F7F7F" w:themeColor="text1" w:themeTint="80"/>
          <w:sz w:val="16"/>
          <w:szCs w:val="16"/>
        </w:rPr>
        <w:t>J.L.M.B.,</w:t>
      </w:r>
      <w:r w:rsidR="006E38FA" w:rsidRPr="00F15DC8">
        <w:rPr>
          <w:color w:val="7F7F7F" w:themeColor="text1" w:themeTint="80"/>
          <w:sz w:val="16"/>
          <w:szCs w:val="16"/>
        </w:rPr>
        <w:t xml:space="preserve"> 2007/13, pp. 526-532</w:t>
      </w:r>
      <w:r w:rsidR="00347821" w:rsidRPr="00F15DC8">
        <w:rPr>
          <w:color w:val="7F7F7F" w:themeColor="text1" w:themeTint="80"/>
          <w:sz w:val="16"/>
          <w:szCs w:val="16"/>
        </w:rPr>
        <w:t> </w:t>
      </w:r>
      <w:r w:rsidR="00E509F6" w:rsidRPr="00F15DC8">
        <w:rPr>
          <w:color w:val="7F7F7F" w:themeColor="text1" w:themeTint="80"/>
          <w:sz w:val="16"/>
          <w:szCs w:val="16"/>
        </w:rPr>
        <w:t>et</w:t>
      </w:r>
      <w:r w:rsidR="00347821" w:rsidRPr="00F15DC8">
        <w:rPr>
          <w:color w:val="7F7F7F" w:themeColor="text1" w:themeTint="80"/>
          <w:sz w:val="16"/>
          <w:szCs w:val="16"/>
        </w:rPr>
        <w:t xml:space="preserve"> </w:t>
      </w:r>
      <w:r w:rsidR="006F0319" w:rsidRPr="00F15DC8">
        <w:rPr>
          <w:color w:val="7F7F7F" w:themeColor="text1" w:themeTint="80"/>
          <w:sz w:val="16"/>
          <w:szCs w:val="16"/>
        </w:rPr>
        <w:t>Gand (11</w:t>
      </w:r>
      <w:r w:rsidR="006F0319" w:rsidRPr="00F15DC8">
        <w:rPr>
          <w:color w:val="7F7F7F" w:themeColor="text1" w:themeTint="80"/>
          <w:sz w:val="16"/>
          <w:szCs w:val="16"/>
          <w:vertAlign w:val="superscript"/>
        </w:rPr>
        <w:t xml:space="preserve">e </w:t>
      </w:r>
      <w:r w:rsidR="006F0319" w:rsidRPr="00F15DC8">
        <w:rPr>
          <w:color w:val="7F7F7F" w:themeColor="text1" w:themeTint="80"/>
          <w:sz w:val="16"/>
          <w:szCs w:val="16"/>
        </w:rPr>
        <w:t xml:space="preserve">ch.), 24 mai 2012, </w:t>
      </w:r>
      <w:r w:rsidR="006F0319" w:rsidRPr="00F15DC8">
        <w:rPr>
          <w:i/>
          <w:iCs/>
          <w:color w:val="7F7F7F" w:themeColor="text1" w:themeTint="80"/>
          <w:sz w:val="16"/>
          <w:szCs w:val="16"/>
        </w:rPr>
        <w:t>R.T.D.F.,</w:t>
      </w:r>
      <w:r w:rsidR="006F0319" w:rsidRPr="00F15DC8">
        <w:rPr>
          <w:color w:val="7F7F7F" w:themeColor="text1" w:themeTint="80"/>
          <w:sz w:val="16"/>
          <w:szCs w:val="16"/>
        </w:rPr>
        <w:t xml:space="preserve"> 2013/1, p. 335</w:t>
      </w:r>
      <w:r w:rsidR="00743AC4" w:rsidRPr="00F15DC8">
        <w:rPr>
          <w:color w:val="7F7F7F" w:themeColor="text1" w:themeTint="80"/>
          <w:sz w:val="16"/>
          <w:szCs w:val="16"/>
        </w:rPr>
        <w:t>.</w:t>
      </w:r>
    </w:p>
  </w:footnote>
  <w:footnote w:id="7">
    <w:p w14:paraId="65234A79" w14:textId="17BFAF79" w:rsidR="006D4BDD" w:rsidRPr="00B30D12" w:rsidRDefault="006D4BDD">
      <w:pPr>
        <w:pStyle w:val="Notedebasdepage"/>
        <w:rPr>
          <w:sz w:val="16"/>
          <w:szCs w:val="16"/>
        </w:rPr>
      </w:pPr>
      <w:r w:rsidRPr="00B30D12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B30D12">
        <w:rPr>
          <w:color w:val="7F7F7F" w:themeColor="text1" w:themeTint="80"/>
          <w:sz w:val="16"/>
          <w:szCs w:val="16"/>
        </w:rPr>
        <w:t xml:space="preserve"> Cass., 28 septembre 2023, </w:t>
      </w:r>
      <w:r w:rsidR="00B30D12" w:rsidRPr="00B30D12">
        <w:rPr>
          <w:color w:val="7F7F7F" w:themeColor="text1" w:themeTint="80"/>
          <w:sz w:val="16"/>
          <w:szCs w:val="16"/>
        </w:rPr>
        <w:t xml:space="preserve">R.G. n° C.22.0458.N/1, </w:t>
      </w:r>
      <w:r w:rsidRPr="00B30D12">
        <w:rPr>
          <w:color w:val="7F7F7F" w:themeColor="text1" w:themeTint="80"/>
          <w:sz w:val="16"/>
          <w:szCs w:val="16"/>
        </w:rPr>
        <w:t xml:space="preserve">disponible sur </w:t>
      </w:r>
      <w:hyperlink r:id="rId1" w:history="1">
        <w:r w:rsidRPr="00B30D12">
          <w:rPr>
            <w:rStyle w:val="Lienhypertexte"/>
            <w:color w:val="7F7F7F" w:themeColor="text1" w:themeTint="80"/>
            <w:sz w:val="16"/>
            <w:szCs w:val="16"/>
          </w:rPr>
          <w:t>www.juportal.be</w:t>
        </w:r>
      </w:hyperlink>
      <w:r w:rsidRPr="00B30D12">
        <w:rPr>
          <w:color w:val="7F7F7F" w:themeColor="text1" w:themeTint="80"/>
          <w:sz w:val="16"/>
          <w:szCs w:val="16"/>
        </w:rPr>
        <w:t xml:space="preserve">. </w:t>
      </w:r>
    </w:p>
  </w:footnote>
  <w:footnote w:id="8">
    <w:p w14:paraId="734F4EF5" w14:textId="77777777" w:rsidR="00885BA5" w:rsidRPr="0062140D" w:rsidRDefault="00885BA5" w:rsidP="00885BA5">
      <w:pPr>
        <w:pStyle w:val="Notedebasdepage"/>
        <w:jc w:val="both"/>
        <w:rPr>
          <w:color w:val="7F7F7F" w:themeColor="text1" w:themeTint="80"/>
          <w:sz w:val="16"/>
          <w:szCs w:val="16"/>
        </w:rPr>
      </w:pPr>
      <w:r w:rsidRPr="0062140D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62140D">
        <w:rPr>
          <w:color w:val="7F7F7F" w:themeColor="text1" w:themeTint="80"/>
          <w:sz w:val="16"/>
          <w:szCs w:val="16"/>
        </w:rPr>
        <w:t xml:space="preserve"> J. </w:t>
      </w:r>
      <w:r w:rsidRPr="0062140D">
        <w:rPr>
          <w:smallCaps/>
          <w:color w:val="7F7F7F" w:themeColor="text1" w:themeTint="80"/>
          <w:sz w:val="16"/>
          <w:szCs w:val="16"/>
        </w:rPr>
        <w:t>van Compernolle</w:t>
      </w:r>
      <w:r w:rsidRPr="0062140D">
        <w:rPr>
          <w:color w:val="7F7F7F" w:themeColor="text1" w:themeTint="80"/>
          <w:sz w:val="16"/>
          <w:szCs w:val="16"/>
        </w:rPr>
        <w:t xml:space="preserve"> et G. </w:t>
      </w:r>
      <w:r w:rsidRPr="0062140D">
        <w:rPr>
          <w:smallCaps/>
          <w:color w:val="7F7F7F" w:themeColor="text1" w:themeTint="80"/>
          <w:sz w:val="16"/>
          <w:szCs w:val="16"/>
        </w:rPr>
        <w:t>de Leval</w:t>
      </w:r>
      <w:r w:rsidRPr="0062140D">
        <w:rPr>
          <w:color w:val="7F7F7F" w:themeColor="text1" w:themeTint="80"/>
          <w:sz w:val="16"/>
          <w:szCs w:val="16"/>
        </w:rPr>
        <w:t xml:space="preserve">, « Astreinte </w:t>
      </w:r>
      <w:r w:rsidRPr="0062140D">
        <w:rPr>
          <w:i/>
          <w:iCs/>
          <w:color w:val="7F7F7F" w:themeColor="text1" w:themeTint="80"/>
          <w:sz w:val="16"/>
          <w:szCs w:val="16"/>
        </w:rPr>
        <w:t>», Rép. not., T. XIII, La procédure notariale</w:t>
      </w:r>
      <w:r w:rsidRPr="0062140D">
        <w:rPr>
          <w:color w:val="7F7F7F" w:themeColor="text1" w:themeTint="80"/>
          <w:sz w:val="16"/>
          <w:szCs w:val="16"/>
        </w:rPr>
        <w:t>, Livre 4/6, Bruxelles, Larcier, 2020, n° 45.</w:t>
      </w:r>
    </w:p>
  </w:footnote>
  <w:footnote w:id="9">
    <w:p w14:paraId="4494FA06" w14:textId="45827EB6" w:rsidR="00885BA5" w:rsidRPr="0017041A" w:rsidRDefault="00885BA5" w:rsidP="00885BA5">
      <w:pPr>
        <w:pStyle w:val="Notedebasdepage"/>
        <w:jc w:val="both"/>
      </w:pPr>
      <w:r w:rsidRPr="0062140D">
        <w:rPr>
          <w:rStyle w:val="Appelnotedebasdep"/>
          <w:color w:val="7F7F7F" w:themeColor="text1" w:themeTint="80"/>
          <w:sz w:val="16"/>
          <w:szCs w:val="16"/>
        </w:rPr>
        <w:footnoteRef/>
      </w:r>
      <w:r w:rsidRPr="0062140D">
        <w:rPr>
          <w:color w:val="7F7F7F" w:themeColor="text1" w:themeTint="80"/>
          <w:sz w:val="16"/>
          <w:szCs w:val="16"/>
        </w:rPr>
        <w:t xml:space="preserve"> Projet de loi portant insertion du Livre 8 « La preuve » dans le nouveau Code civil (</w:t>
      </w:r>
      <w:r w:rsidRPr="0062140D">
        <w:rPr>
          <w:i/>
          <w:iCs/>
          <w:color w:val="7F7F7F" w:themeColor="text1" w:themeTint="80"/>
          <w:sz w:val="16"/>
          <w:szCs w:val="16"/>
        </w:rPr>
        <w:t>Doc. parl</w:t>
      </w:r>
      <w:r w:rsidRPr="0062140D">
        <w:rPr>
          <w:color w:val="7F7F7F" w:themeColor="text1" w:themeTint="80"/>
          <w:sz w:val="16"/>
          <w:szCs w:val="16"/>
        </w:rPr>
        <w:t>., Chambre, sess. 2018-2019, n° 54-3349/001, pp. 14-15</w:t>
      </w:r>
      <w:r w:rsidR="005368FF" w:rsidRPr="0062140D">
        <w:rPr>
          <w:color w:val="7F7F7F" w:themeColor="text1" w:themeTint="80"/>
          <w:sz w:val="16"/>
          <w:szCs w:val="16"/>
        </w:rPr>
        <w:t>)</w:t>
      </w:r>
      <w:r w:rsidRPr="0062140D">
        <w:rPr>
          <w:color w:val="7F7F7F" w:themeColor="text1" w:themeTint="80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17D5" w14:textId="77777777" w:rsidR="00ED0A00" w:rsidRDefault="00ED0A00" w:rsidP="00ED0A0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 wp14:anchorId="33D08527" wp14:editId="619105A1">
          <wp:simplePos x="0" y="0"/>
          <wp:positionH relativeFrom="column">
            <wp:posOffset>610</wp:posOffset>
          </wp:positionH>
          <wp:positionV relativeFrom="paragraph">
            <wp:posOffset>-177858</wp:posOffset>
          </wp:positionV>
          <wp:extent cx="2519806" cy="1052945"/>
          <wp:effectExtent l="0" t="0" r="0" b="127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esP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806" cy="105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4E0EFF19" w14:textId="77777777" w:rsidR="00ED0A00" w:rsidRPr="00902CEB" w:rsidRDefault="00ED0A00" w:rsidP="00ED0A00">
    <w:pPr>
      <w:pStyle w:val="En-tte"/>
      <w:rPr>
        <w:rFonts w:asciiTheme="majorHAnsi" w:hAnsiTheme="majorHAnsi" w:cstheme="majorHAnsi"/>
      </w:rPr>
    </w:pPr>
  </w:p>
  <w:p w14:paraId="305D4F2E" w14:textId="77777777" w:rsidR="00156205" w:rsidRPr="00902CEB" w:rsidRDefault="00156205" w:rsidP="00ED0A00">
    <w:pPr>
      <w:pStyle w:val="En-tte"/>
      <w:jc w:val="right"/>
      <w:rPr>
        <w:rFonts w:asciiTheme="majorHAnsi" w:hAnsiTheme="majorHAnsi" w:cstheme="majorHAnsi"/>
        <w:color w:val="000000"/>
        <w:lang w:val="fr-FR"/>
      </w:rPr>
    </w:pPr>
  </w:p>
  <w:p w14:paraId="06B35D2C" w14:textId="77AF788D" w:rsidR="00ED0A00" w:rsidRPr="00902CEB" w:rsidRDefault="00ED0A00" w:rsidP="00ED0A00">
    <w:pPr>
      <w:pStyle w:val="En-tte"/>
      <w:jc w:val="right"/>
      <w:rPr>
        <w:rFonts w:asciiTheme="majorHAnsi" w:hAnsiTheme="majorHAnsi" w:cstheme="majorHAnsi"/>
        <w:color w:val="7F7F7F" w:themeColor="text1" w:themeTint="80"/>
        <w:lang w:val="fr-FR"/>
      </w:rPr>
    </w:pPr>
    <w:r w:rsidRPr="00902CEB">
      <w:rPr>
        <w:rFonts w:asciiTheme="majorHAnsi" w:hAnsiTheme="majorHAnsi" w:cstheme="majorHAnsi"/>
        <w:color w:val="7F7F7F" w:themeColor="text1" w:themeTint="80"/>
        <w:lang w:val="fr-FR"/>
      </w:rPr>
      <w:t>20</w:t>
    </w:r>
    <w:r w:rsidR="00AA7F0A">
      <w:rPr>
        <w:rFonts w:asciiTheme="majorHAnsi" w:hAnsiTheme="majorHAnsi" w:cstheme="majorHAnsi"/>
        <w:color w:val="7F7F7F" w:themeColor="text1" w:themeTint="80"/>
        <w:lang w:val="fr-FR"/>
      </w:rPr>
      <w:t>2</w:t>
    </w:r>
    <w:r w:rsidR="002D1ADA">
      <w:rPr>
        <w:rFonts w:asciiTheme="majorHAnsi" w:hAnsiTheme="majorHAnsi" w:cstheme="majorHAnsi"/>
        <w:color w:val="7F7F7F" w:themeColor="text1" w:themeTint="80"/>
        <w:lang w:val="fr-FR"/>
      </w:rPr>
      <w:t>4</w:t>
    </w:r>
    <w:r w:rsidR="00BE3749"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 </w:t>
    </w:r>
    <w:r w:rsidR="00BE3749" w:rsidRPr="00902CEB">
      <w:rPr>
        <w:rFonts w:ascii="Arial" w:hAnsi="Arial" w:cs="Arial"/>
        <w:color w:val="C90025"/>
        <w:lang w:val="fr-FR"/>
      </w:rPr>
      <w:t>■</w:t>
    </w:r>
    <w:r w:rsidR="00BE3749" w:rsidRPr="00902CEB">
      <w:rPr>
        <w:rFonts w:asciiTheme="majorHAnsi" w:hAnsiTheme="majorHAnsi" w:cstheme="majorHAnsi"/>
        <w:color w:val="C90025"/>
        <w:lang w:val="fr-FR"/>
      </w:rPr>
      <w:t xml:space="preserve"> </w:t>
    </w:r>
    <w:r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n° </w:t>
    </w:r>
    <w:r w:rsidR="006251A0">
      <w:rPr>
        <w:rFonts w:asciiTheme="majorHAnsi" w:hAnsiTheme="majorHAnsi" w:cstheme="majorHAnsi"/>
        <w:color w:val="7F7F7F" w:themeColor="text1" w:themeTint="80"/>
        <w:lang w:val="fr-FR"/>
      </w:rPr>
      <w:t>1</w:t>
    </w:r>
    <w:r w:rsidR="002D1ADA">
      <w:rPr>
        <w:rFonts w:asciiTheme="majorHAnsi" w:hAnsiTheme="majorHAnsi" w:cstheme="majorHAnsi"/>
        <w:color w:val="7F7F7F" w:themeColor="text1" w:themeTint="80"/>
        <w:lang w:val="fr-FR"/>
      </w:rPr>
      <w:t>66</w:t>
    </w:r>
  </w:p>
  <w:p w14:paraId="2A0A2313" w14:textId="77777777" w:rsidR="00ED0A00" w:rsidRPr="00902CEB" w:rsidRDefault="00156205" w:rsidP="00156205">
    <w:pPr>
      <w:pStyle w:val="En-tte"/>
      <w:jc w:val="center"/>
      <w:rPr>
        <w:color w:val="7F7F7F" w:themeColor="text1" w:themeTint="80"/>
        <w:sz w:val="20"/>
        <w:szCs w:val="20"/>
      </w:rPr>
    </w:pPr>
    <w:r w:rsidRPr="00902CEB">
      <w:rPr>
        <w:color w:val="7F7F7F" w:themeColor="text1" w:themeTint="80"/>
        <w:sz w:val="20"/>
        <w:szCs w:val="20"/>
      </w:rPr>
      <w:t>__________________________</w:t>
    </w:r>
    <w:r w:rsidR="00902CEB">
      <w:rPr>
        <w:color w:val="7F7F7F" w:themeColor="text1" w:themeTint="80"/>
        <w:sz w:val="20"/>
        <w:szCs w:val="20"/>
      </w:rPr>
      <w:t>_______________</w:t>
    </w:r>
    <w:r w:rsidRPr="00902CEB">
      <w:rPr>
        <w:color w:val="7F7F7F" w:themeColor="text1" w:themeTint="80"/>
        <w:sz w:val="20"/>
        <w:szCs w:val="20"/>
      </w:rPr>
      <w:t>__________________</w:t>
    </w:r>
    <w:r w:rsidR="0094795D">
      <w:rPr>
        <w:color w:val="7F7F7F" w:themeColor="text1" w:themeTint="80"/>
        <w:sz w:val="20"/>
        <w:szCs w:val="20"/>
      </w:rPr>
      <w:t>______</w:t>
    </w:r>
    <w:r w:rsidRPr="00902CEB">
      <w:rPr>
        <w:color w:val="7F7F7F" w:themeColor="text1" w:themeTint="80"/>
        <w:sz w:val="20"/>
        <w:szCs w:val="20"/>
      </w:rPr>
      <w:t>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A00"/>
    <w:rsid w:val="0002061E"/>
    <w:rsid w:val="00046971"/>
    <w:rsid w:val="00046D97"/>
    <w:rsid w:val="00053494"/>
    <w:rsid w:val="00056401"/>
    <w:rsid w:val="000642BB"/>
    <w:rsid w:val="00074668"/>
    <w:rsid w:val="00086E03"/>
    <w:rsid w:val="000A495A"/>
    <w:rsid w:val="000B69AC"/>
    <w:rsid w:val="000C76C7"/>
    <w:rsid w:val="000D23DB"/>
    <w:rsid w:val="000D5379"/>
    <w:rsid w:val="00100859"/>
    <w:rsid w:val="00156205"/>
    <w:rsid w:val="0017041A"/>
    <w:rsid w:val="001B36C2"/>
    <w:rsid w:val="001C17EF"/>
    <w:rsid w:val="00204403"/>
    <w:rsid w:val="00222236"/>
    <w:rsid w:val="0022654E"/>
    <w:rsid w:val="002306BE"/>
    <w:rsid w:val="00287C1D"/>
    <w:rsid w:val="002A2A67"/>
    <w:rsid w:val="002B1669"/>
    <w:rsid w:val="002D1ADA"/>
    <w:rsid w:val="00307B1F"/>
    <w:rsid w:val="00334455"/>
    <w:rsid w:val="00334651"/>
    <w:rsid w:val="00336BDB"/>
    <w:rsid w:val="00344722"/>
    <w:rsid w:val="00347821"/>
    <w:rsid w:val="003511AC"/>
    <w:rsid w:val="0037544F"/>
    <w:rsid w:val="00377469"/>
    <w:rsid w:val="00383D4A"/>
    <w:rsid w:val="003E0267"/>
    <w:rsid w:val="003E2E6B"/>
    <w:rsid w:val="00401D87"/>
    <w:rsid w:val="00440886"/>
    <w:rsid w:val="00452EDA"/>
    <w:rsid w:val="00494C13"/>
    <w:rsid w:val="004E11A2"/>
    <w:rsid w:val="00512168"/>
    <w:rsid w:val="00516757"/>
    <w:rsid w:val="00526544"/>
    <w:rsid w:val="005368FF"/>
    <w:rsid w:val="0055359A"/>
    <w:rsid w:val="00567461"/>
    <w:rsid w:val="005A53ED"/>
    <w:rsid w:val="005D4C85"/>
    <w:rsid w:val="00620B45"/>
    <w:rsid w:val="0062140D"/>
    <w:rsid w:val="006240F8"/>
    <w:rsid w:val="006251A0"/>
    <w:rsid w:val="006A1078"/>
    <w:rsid w:val="006D4BDD"/>
    <w:rsid w:val="006E38FA"/>
    <w:rsid w:val="006F0319"/>
    <w:rsid w:val="007056CE"/>
    <w:rsid w:val="0071088A"/>
    <w:rsid w:val="0072213D"/>
    <w:rsid w:val="007221ED"/>
    <w:rsid w:val="00743AC4"/>
    <w:rsid w:val="00755FFD"/>
    <w:rsid w:val="007A15C8"/>
    <w:rsid w:val="007B483F"/>
    <w:rsid w:val="007B485A"/>
    <w:rsid w:val="007D14B7"/>
    <w:rsid w:val="00800562"/>
    <w:rsid w:val="00823727"/>
    <w:rsid w:val="008738C3"/>
    <w:rsid w:val="008746B4"/>
    <w:rsid w:val="00885BA5"/>
    <w:rsid w:val="008B0155"/>
    <w:rsid w:val="008F1CA0"/>
    <w:rsid w:val="008F69A0"/>
    <w:rsid w:val="009019DE"/>
    <w:rsid w:val="00902CEB"/>
    <w:rsid w:val="00903E79"/>
    <w:rsid w:val="009068D6"/>
    <w:rsid w:val="0094795D"/>
    <w:rsid w:val="0097721A"/>
    <w:rsid w:val="009C49D4"/>
    <w:rsid w:val="009D0A6B"/>
    <w:rsid w:val="009D7A02"/>
    <w:rsid w:val="009F777A"/>
    <w:rsid w:val="00A3037F"/>
    <w:rsid w:val="00A7174E"/>
    <w:rsid w:val="00A8681F"/>
    <w:rsid w:val="00AA4511"/>
    <w:rsid w:val="00AA7F0A"/>
    <w:rsid w:val="00AB72FE"/>
    <w:rsid w:val="00AB7B9F"/>
    <w:rsid w:val="00AF4B7F"/>
    <w:rsid w:val="00B04F77"/>
    <w:rsid w:val="00B07EF4"/>
    <w:rsid w:val="00B27438"/>
    <w:rsid w:val="00B30D12"/>
    <w:rsid w:val="00B441D9"/>
    <w:rsid w:val="00B504B0"/>
    <w:rsid w:val="00B70C1E"/>
    <w:rsid w:val="00B83E88"/>
    <w:rsid w:val="00B84E0A"/>
    <w:rsid w:val="00B8549E"/>
    <w:rsid w:val="00BE2025"/>
    <w:rsid w:val="00BE3749"/>
    <w:rsid w:val="00BE591D"/>
    <w:rsid w:val="00C0374D"/>
    <w:rsid w:val="00C21387"/>
    <w:rsid w:val="00C53C4B"/>
    <w:rsid w:val="00C85074"/>
    <w:rsid w:val="00C933B5"/>
    <w:rsid w:val="00C95A66"/>
    <w:rsid w:val="00C97C04"/>
    <w:rsid w:val="00CA1899"/>
    <w:rsid w:val="00CD7D5E"/>
    <w:rsid w:val="00CE0938"/>
    <w:rsid w:val="00CF0945"/>
    <w:rsid w:val="00D07F4C"/>
    <w:rsid w:val="00D2726D"/>
    <w:rsid w:val="00D40DC5"/>
    <w:rsid w:val="00D525AF"/>
    <w:rsid w:val="00D540E0"/>
    <w:rsid w:val="00D60C45"/>
    <w:rsid w:val="00DA1DC8"/>
    <w:rsid w:val="00DE745E"/>
    <w:rsid w:val="00E1287B"/>
    <w:rsid w:val="00E33C5B"/>
    <w:rsid w:val="00E509F6"/>
    <w:rsid w:val="00E56176"/>
    <w:rsid w:val="00E9043A"/>
    <w:rsid w:val="00EA3F9C"/>
    <w:rsid w:val="00EC43FD"/>
    <w:rsid w:val="00ED0A00"/>
    <w:rsid w:val="00EE37E2"/>
    <w:rsid w:val="00F0041E"/>
    <w:rsid w:val="00F05899"/>
    <w:rsid w:val="00F15DC8"/>
    <w:rsid w:val="00F517B3"/>
    <w:rsid w:val="00F60402"/>
    <w:rsid w:val="00F67ED4"/>
    <w:rsid w:val="00F7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214E7"/>
  <w15:chartTrackingRefBased/>
  <w15:docId w15:val="{80F69347-0601-4E47-9750-FB15017D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6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0A00"/>
  </w:style>
  <w:style w:type="paragraph" w:styleId="Pieddepage">
    <w:name w:val="footer"/>
    <w:basedOn w:val="Normal"/>
    <w:link w:val="Pieddepag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0A00"/>
  </w:style>
  <w:style w:type="character" w:styleId="Lienhypertexte">
    <w:name w:val="Hyperlink"/>
    <w:basedOn w:val="Policepardfaut"/>
    <w:uiPriority w:val="99"/>
    <w:unhideWhenUsed/>
    <w:rsid w:val="00ED0A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D0A0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4F7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04F7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4F7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561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BE"/>
    </w:rPr>
  </w:style>
  <w:style w:type="character" w:styleId="lev">
    <w:name w:val="Strong"/>
    <w:basedOn w:val="Policepardfaut"/>
    <w:uiPriority w:val="22"/>
    <w:qFormat/>
    <w:rsid w:val="00E56176"/>
    <w:rPr>
      <w:b/>
      <w:bCs/>
    </w:rPr>
  </w:style>
  <w:style w:type="character" w:customStyle="1" w:styleId="highlightdoc">
    <w:name w:val="highlightdoc"/>
    <w:basedOn w:val="Policepardfaut"/>
    <w:rsid w:val="00E56176"/>
  </w:style>
  <w:style w:type="character" w:customStyle="1" w:styleId="Titre1Car">
    <w:name w:val="Titre 1 Car"/>
    <w:basedOn w:val="Policepardfaut"/>
    <w:link w:val="Titre1"/>
    <w:uiPriority w:val="9"/>
    <w:rsid w:val="00E56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046971"/>
  </w:style>
  <w:style w:type="character" w:styleId="Marquedecommentaire">
    <w:name w:val="annotation reference"/>
    <w:basedOn w:val="Policepardfaut"/>
    <w:uiPriority w:val="99"/>
    <w:semiHidden/>
    <w:unhideWhenUsed/>
    <w:rsid w:val="004408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08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08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08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0886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6D4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portal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7C4EF-FFFC-E042-B924-467F86F9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Salima Tafranti</cp:lastModifiedBy>
  <cp:revision>3</cp:revision>
  <dcterms:created xsi:type="dcterms:W3CDTF">2024-02-20T18:01:00Z</dcterms:created>
  <dcterms:modified xsi:type="dcterms:W3CDTF">2024-02-26T10:50:00Z</dcterms:modified>
</cp:coreProperties>
</file>