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F2B4D" w14:textId="77777777" w:rsidR="00F15A71" w:rsidRPr="00062A1D" w:rsidRDefault="00CD7BA6" w:rsidP="002C69E4">
      <w:pPr>
        <w:spacing w:line="276" w:lineRule="auto"/>
        <w:ind w:firstLine="567"/>
        <w:jc w:val="center"/>
        <w:rPr>
          <w:rFonts w:ascii="Times New Roman" w:hAnsi="Times New Roman" w:cs="Times New Roman"/>
          <w:b/>
          <w:sz w:val="24"/>
          <w:szCs w:val="24"/>
          <w:lang w:val="fr-FR"/>
        </w:rPr>
      </w:pPr>
      <w:r w:rsidRPr="00062A1D">
        <w:rPr>
          <w:rFonts w:ascii="Times New Roman" w:hAnsi="Times New Roman" w:cs="Times New Roman"/>
          <w:b/>
          <w:sz w:val="24"/>
          <w:szCs w:val="24"/>
          <w:lang w:val="fr-FR"/>
        </w:rPr>
        <w:t>Freins psychologiques à la prise de décision en médiation</w:t>
      </w:r>
    </w:p>
    <w:p w14:paraId="01CD1A6B" w14:textId="2DEAE10A" w:rsidR="00546598" w:rsidRDefault="00546598" w:rsidP="002C69E4">
      <w:pPr>
        <w:spacing w:line="276" w:lineRule="auto"/>
        <w:ind w:firstLine="567"/>
        <w:jc w:val="center"/>
        <w:rPr>
          <w:rFonts w:ascii="Times New Roman" w:hAnsi="Times New Roman" w:cs="Times New Roman"/>
          <w:b/>
          <w:sz w:val="24"/>
          <w:szCs w:val="24"/>
          <w:lang w:val="fr-FR"/>
        </w:rPr>
      </w:pPr>
      <w:r w:rsidRPr="00062A1D">
        <w:rPr>
          <w:rFonts w:ascii="Times New Roman" w:hAnsi="Times New Roman" w:cs="Times New Roman"/>
          <w:b/>
          <w:sz w:val="24"/>
          <w:szCs w:val="24"/>
          <w:lang w:val="fr-FR"/>
        </w:rPr>
        <w:t>Stéphanie Demoulin</w:t>
      </w:r>
    </w:p>
    <w:p w14:paraId="26C80324" w14:textId="1DB1FC98" w:rsidR="005A201D" w:rsidRDefault="005A201D" w:rsidP="001044DA">
      <w:pPr>
        <w:spacing w:line="276" w:lineRule="auto"/>
        <w:ind w:firstLine="567"/>
        <w:rPr>
          <w:rFonts w:ascii="Times New Roman" w:hAnsi="Times New Roman" w:cs="Times New Roman"/>
          <w:b/>
          <w:sz w:val="24"/>
          <w:szCs w:val="24"/>
          <w:lang w:val="fr-FR"/>
        </w:rPr>
      </w:pPr>
      <w:r>
        <w:rPr>
          <w:rFonts w:ascii="Times New Roman" w:hAnsi="Times New Roman" w:cs="Times New Roman"/>
          <w:b/>
          <w:sz w:val="24"/>
          <w:szCs w:val="24"/>
          <w:lang w:val="fr-FR"/>
        </w:rPr>
        <w:t>Résumé</w:t>
      </w:r>
    </w:p>
    <w:p w14:paraId="6F1AD592" w14:textId="7F6252F5" w:rsidR="005A201D" w:rsidRDefault="005A201D" w:rsidP="005A201D">
      <w:pPr>
        <w:spacing w:line="276" w:lineRule="auto"/>
        <w:ind w:firstLine="567"/>
        <w:rPr>
          <w:rFonts w:ascii="Times New Roman" w:hAnsi="Times New Roman" w:cs="Times New Roman"/>
          <w:sz w:val="24"/>
          <w:szCs w:val="24"/>
          <w:lang w:val="fr-FR"/>
        </w:rPr>
      </w:pPr>
      <w:r>
        <w:rPr>
          <w:rFonts w:ascii="Times New Roman" w:hAnsi="Times New Roman" w:cs="Times New Roman"/>
          <w:sz w:val="24"/>
          <w:szCs w:val="24"/>
          <w:lang w:val="fr-FR"/>
        </w:rPr>
        <w:t>Aussi bien menée qu’elle soit, la médiation n’aboutit pas toujours à un accord ou, lorsqu’elle aboutit, c’est parfois au terme d’un processus bien plus long qu’anticipé au premier abord. C’est que pour aboutir à une décision, les parties, accompagnées par les gestionnaires de conflit, auront à surmonter une série de freins psychologiques qui rend difficile, voire impossible, la prise de décision. Dans cet article, nous abordons les freins qui surviennent au moment des phases d’évaluation</w:t>
      </w:r>
      <w:r w:rsidR="000A165A">
        <w:rPr>
          <w:rFonts w:ascii="Times New Roman" w:hAnsi="Times New Roman" w:cs="Times New Roman"/>
          <w:sz w:val="24"/>
          <w:szCs w:val="24"/>
          <w:lang w:val="fr-FR"/>
        </w:rPr>
        <w:t xml:space="preserve"> et </w:t>
      </w:r>
      <w:r>
        <w:rPr>
          <w:rFonts w:ascii="Times New Roman" w:hAnsi="Times New Roman" w:cs="Times New Roman"/>
          <w:sz w:val="24"/>
          <w:szCs w:val="24"/>
          <w:lang w:val="fr-FR"/>
        </w:rPr>
        <w:t xml:space="preserve">de négociation des options, </w:t>
      </w:r>
      <w:r w:rsidR="000A165A">
        <w:rPr>
          <w:rFonts w:ascii="Times New Roman" w:hAnsi="Times New Roman" w:cs="Times New Roman"/>
          <w:sz w:val="24"/>
          <w:szCs w:val="24"/>
          <w:lang w:val="fr-FR"/>
        </w:rPr>
        <w:t xml:space="preserve">ainsi qu’au moment où le choix de l’accord final vient à se poser. Nous abordons également les difficultés supplémentaires associées à la dissolution d’une relation dont une ou toutes les parties n’ont pas encore fait complètement le deuil. Sans se vouloir exhaustive, cette liste de freins est destinée à attirer l’attention des médiateurs et médiatrices sur la façon dont des processus psychologiques généraux peuvent entraver la finalisation d’un processus de médiation pourtant prometteur. </w:t>
      </w:r>
    </w:p>
    <w:p w14:paraId="7A1589AB" w14:textId="274F7150" w:rsidR="000A165A" w:rsidRDefault="000A165A" w:rsidP="005A201D">
      <w:pPr>
        <w:spacing w:line="276" w:lineRule="auto"/>
        <w:ind w:firstLine="567"/>
        <w:rPr>
          <w:rFonts w:ascii="Times New Roman" w:hAnsi="Times New Roman" w:cs="Times New Roman"/>
          <w:sz w:val="24"/>
          <w:szCs w:val="24"/>
          <w:lang w:val="fr-FR"/>
        </w:rPr>
      </w:pPr>
    </w:p>
    <w:p w14:paraId="2DBADE35" w14:textId="74EB706A" w:rsidR="000A165A" w:rsidRDefault="000A165A" w:rsidP="005A201D">
      <w:pPr>
        <w:spacing w:line="276" w:lineRule="auto"/>
        <w:ind w:firstLine="567"/>
        <w:rPr>
          <w:rFonts w:ascii="Times New Roman" w:hAnsi="Times New Roman" w:cs="Times New Roman"/>
          <w:sz w:val="24"/>
          <w:szCs w:val="24"/>
          <w:lang w:val="fr-FR"/>
        </w:rPr>
      </w:pPr>
    </w:p>
    <w:p w14:paraId="0744988F" w14:textId="77777777" w:rsidR="000A165A" w:rsidRPr="001044DA" w:rsidRDefault="000A165A" w:rsidP="001044DA">
      <w:pPr>
        <w:spacing w:line="276" w:lineRule="auto"/>
        <w:ind w:firstLine="567"/>
        <w:rPr>
          <w:rFonts w:ascii="Times New Roman" w:hAnsi="Times New Roman" w:cs="Times New Roman"/>
          <w:sz w:val="24"/>
          <w:szCs w:val="24"/>
          <w:lang w:val="fr-FR"/>
        </w:rPr>
      </w:pPr>
    </w:p>
    <w:p w14:paraId="347B2EA6" w14:textId="28EFA061" w:rsidR="00D369C4" w:rsidRPr="00062A1D" w:rsidRDefault="00094AEA" w:rsidP="002C69E4">
      <w:pPr>
        <w:spacing w:line="276" w:lineRule="auto"/>
        <w:ind w:firstLine="567"/>
        <w:rPr>
          <w:rFonts w:ascii="Times New Roman" w:hAnsi="Times New Roman" w:cs="Times New Roman"/>
          <w:sz w:val="24"/>
          <w:szCs w:val="24"/>
          <w:lang w:val="fr-FR"/>
        </w:rPr>
      </w:pPr>
      <w:r w:rsidRPr="00062A1D">
        <w:rPr>
          <w:rFonts w:ascii="Times New Roman" w:hAnsi="Times New Roman" w:cs="Times New Roman"/>
          <w:sz w:val="24"/>
          <w:szCs w:val="24"/>
          <w:lang w:val="fr-FR"/>
        </w:rPr>
        <w:t xml:space="preserve">Toute médiation est constituée d’un nombre de phases relativement restreint et assez </w:t>
      </w:r>
      <w:r w:rsidR="00A32B36">
        <w:rPr>
          <w:rFonts w:ascii="Times New Roman" w:hAnsi="Times New Roman" w:cs="Times New Roman"/>
          <w:sz w:val="24"/>
          <w:szCs w:val="24"/>
          <w:lang w:val="fr-FR"/>
        </w:rPr>
        <w:t>uniforme</w:t>
      </w:r>
      <w:r w:rsidRPr="00062A1D">
        <w:rPr>
          <w:rFonts w:ascii="Times New Roman" w:hAnsi="Times New Roman" w:cs="Times New Roman"/>
          <w:sz w:val="24"/>
          <w:szCs w:val="24"/>
          <w:lang w:val="fr-FR"/>
        </w:rPr>
        <w:t xml:space="preserve">. L’initiation, l’installation, la narration et le développement d’options constituent les premières étapes de ce processus et ce sont celles qui attirent souvent le plus notre attention. De fait, lors des trois premières étapes, le conflit est souvent plus intense et nécessite de la part des médiateurs et médiatrices le déploiement de stratégies d’apaisement. La phase de développement </w:t>
      </w:r>
      <w:r w:rsidR="0099227D" w:rsidRPr="00062A1D">
        <w:rPr>
          <w:rFonts w:ascii="Times New Roman" w:hAnsi="Times New Roman" w:cs="Times New Roman"/>
          <w:sz w:val="24"/>
          <w:szCs w:val="24"/>
          <w:lang w:val="fr-FR"/>
        </w:rPr>
        <w:t xml:space="preserve">et d’exploration des </w:t>
      </w:r>
      <w:r w:rsidRPr="00062A1D">
        <w:rPr>
          <w:rFonts w:ascii="Times New Roman" w:hAnsi="Times New Roman" w:cs="Times New Roman"/>
          <w:sz w:val="24"/>
          <w:szCs w:val="24"/>
          <w:lang w:val="fr-FR"/>
        </w:rPr>
        <w:t xml:space="preserve">options, quant à elle, </w:t>
      </w:r>
      <w:proofErr w:type="gramStart"/>
      <w:r w:rsidR="00152186" w:rsidRPr="00062A1D">
        <w:rPr>
          <w:rFonts w:ascii="Times New Roman" w:hAnsi="Times New Roman" w:cs="Times New Roman"/>
          <w:sz w:val="24"/>
          <w:szCs w:val="24"/>
          <w:lang w:val="fr-FR"/>
        </w:rPr>
        <w:t>de par</w:t>
      </w:r>
      <w:proofErr w:type="gramEnd"/>
      <w:r w:rsidR="00152186" w:rsidRPr="00062A1D">
        <w:rPr>
          <w:rFonts w:ascii="Times New Roman" w:hAnsi="Times New Roman" w:cs="Times New Roman"/>
          <w:sz w:val="24"/>
          <w:szCs w:val="24"/>
          <w:lang w:val="fr-FR"/>
        </w:rPr>
        <w:t xml:space="preserve"> la dose de créativité qu’elle requiert, apparait souvent comme l’étape la plus active et la plus enrichissante. Reste qu’une fois les différentes options circonscrites, </w:t>
      </w:r>
      <w:r w:rsidR="00D369C4" w:rsidRPr="00062A1D">
        <w:rPr>
          <w:rFonts w:ascii="Times New Roman" w:hAnsi="Times New Roman" w:cs="Times New Roman"/>
          <w:sz w:val="24"/>
          <w:szCs w:val="24"/>
          <w:lang w:val="fr-FR"/>
        </w:rPr>
        <w:t xml:space="preserve">le processus </w:t>
      </w:r>
      <w:r w:rsidR="00991609" w:rsidRPr="00062A1D">
        <w:rPr>
          <w:rFonts w:ascii="Times New Roman" w:hAnsi="Times New Roman" w:cs="Times New Roman"/>
          <w:sz w:val="24"/>
          <w:szCs w:val="24"/>
          <w:lang w:val="fr-FR"/>
        </w:rPr>
        <w:t>requier</w:t>
      </w:r>
      <w:r w:rsidR="00991609">
        <w:rPr>
          <w:rFonts w:ascii="Times New Roman" w:hAnsi="Times New Roman" w:cs="Times New Roman"/>
          <w:sz w:val="24"/>
          <w:szCs w:val="24"/>
          <w:lang w:val="fr-FR"/>
        </w:rPr>
        <w:t>t</w:t>
      </w:r>
      <w:r w:rsidR="00D369C4" w:rsidRPr="00062A1D">
        <w:rPr>
          <w:rFonts w:ascii="Times New Roman" w:hAnsi="Times New Roman" w:cs="Times New Roman"/>
          <w:sz w:val="24"/>
          <w:szCs w:val="24"/>
          <w:lang w:val="fr-FR"/>
        </w:rPr>
        <w:t xml:space="preserve"> encore qu’une décision finale soit adoptée et entérinée par toutes les parties en conflit. Si, vu de l’extérieur, on pourrait être tenté de penser que cette dernière étape n’est plus qu’une formalité, rien n’est moins vrai. En effet, aussi positif qu’ait été le processus de médiation, la phase de négociation et de prise de décision reste une étape délicate qu’on ne saurait négliger. Dans le présent article, nous détaillerons les multiples freins psychologiques qui entravent </w:t>
      </w:r>
      <w:r w:rsidR="0099227D" w:rsidRPr="00062A1D">
        <w:rPr>
          <w:rFonts w:ascii="Times New Roman" w:hAnsi="Times New Roman" w:cs="Times New Roman"/>
          <w:sz w:val="24"/>
          <w:szCs w:val="24"/>
          <w:lang w:val="fr-FR"/>
        </w:rPr>
        <w:t xml:space="preserve">ou rendent compliquée </w:t>
      </w:r>
      <w:r w:rsidR="00D369C4" w:rsidRPr="00062A1D">
        <w:rPr>
          <w:rFonts w:ascii="Times New Roman" w:hAnsi="Times New Roman" w:cs="Times New Roman"/>
          <w:sz w:val="24"/>
          <w:szCs w:val="24"/>
          <w:lang w:val="fr-FR"/>
        </w:rPr>
        <w:t xml:space="preserve">la prise de décision en médiation. </w:t>
      </w:r>
      <w:r w:rsidR="0099227D" w:rsidRPr="00062A1D">
        <w:rPr>
          <w:rFonts w:ascii="Times New Roman" w:hAnsi="Times New Roman" w:cs="Times New Roman"/>
          <w:sz w:val="24"/>
          <w:szCs w:val="24"/>
          <w:lang w:val="fr-FR"/>
        </w:rPr>
        <w:t xml:space="preserve">Pour ce faire, nous </w:t>
      </w:r>
      <w:r w:rsidR="000921E6">
        <w:rPr>
          <w:rFonts w:ascii="Times New Roman" w:hAnsi="Times New Roman" w:cs="Times New Roman"/>
          <w:sz w:val="24"/>
          <w:szCs w:val="24"/>
          <w:lang w:val="fr-FR"/>
        </w:rPr>
        <w:t>découperons l’étape de prise de décision en trois sous</w:t>
      </w:r>
      <w:r w:rsidR="00A32B36">
        <w:rPr>
          <w:rFonts w:ascii="Times New Roman" w:hAnsi="Times New Roman" w:cs="Times New Roman"/>
          <w:sz w:val="24"/>
          <w:szCs w:val="24"/>
          <w:lang w:val="fr-FR"/>
        </w:rPr>
        <w:t>-</w:t>
      </w:r>
      <w:r w:rsidR="000921E6">
        <w:rPr>
          <w:rFonts w:ascii="Times New Roman" w:hAnsi="Times New Roman" w:cs="Times New Roman"/>
          <w:sz w:val="24"/>
          <w:szCs w:val="24"/>
          <w:lang w:val="fr-FR"/>
        </w:rPr>
        <w:t>composante</w:t>
      </w:r>
      <w:r w:rsidR="00A32B36">
        <w:rPr>
          <w:rFonts w:ascii="Times New Roman" w:hAnsi="Times New Roman" w:cs="Times New Roman"/>
          <w:sz w:val="24"/>
          <w:szCs w:val="24"/>
          <w:lang w:val="fr-FR"/>
        </w:rPr>
        <w:t>s</w:t>
      </w:r>
      <w:r w:rsidR="000921E6">
        <w:rPr>
          <w:rFonts w:ascii="Times New Roman" w:hAnsi="Times New Roman" w:cs="Times New Roman"/>
          <w:sz w:val="24"/>
          <w:szCs w:val="24"/>
          <w:lang w:val="fr-FR"/>
        </w:rPr>
        <w:t xml:space="preserve">. Nous </w:t>
      </w:r>
      <w:r w:rsidR="0099227D" w:rsidRPr="00062A1D">
        <w:rPr>
          <w:rFonts w:ascii="Times New Roman" w:hAnsi="Times New Roman" w:cs="Times New Roman"/>
          <w:sz w:val="24"/>
          <w:szCs w:val="24"/>
          <w:lang w:val="fr-FR"/>
        </w:rPr>
        <w:t xml:space="preserve">aborderons d’abord </w:t>
      </w:r>
      <w:r w:rsidR="000921E6">
        <w:rPr>
          <w:rFonts w:ascii="Times New Roman" w:hAnsi="Times New Roman" w:cs="Times New Roman"/>
          <w:sz w:val="24"/>
          <w:szCs w:val="24"/>
          <w:lang w:val="fr-FR"/>
        </w:rPr>
        <w:t>la phase d’évaluation des options générées</w:t>
      </w:r>
      <w:r w:rsidR="0099227D" w:rsidRPr="00062A1D">
        <w:rPr>
          <w:rFonts w:ascii="Times New Roman" w:hAnsi="Times New Roman" w:cs="Times New Roman"/>
          <w:sz w:val="24"/>
          <w:szCs w:val="24"/>
          <w:lang w:val="fr-FR"/>
        </w:rPr>
        <w:t>. Ensuite</w:t>
      </w:r>
      <w:r w:rsidR="000921E6">
        <w:rPr>
          <w:rFonts w:ascii="Times New Roman" w:hAnsi="Times New Roman" w:cs="Times New Roman"/>
          <w:sz w:val="24"/>
          <w:szCs w:val="24"/>
          <w:lang w:val="fr-FR"/>
        </w:rPr>
        <w:t>,</w:t>
      </w:r>
      <w:r w:rsidR="0099227D" w:rsidRPr="00062A1D">
        <w:rPr>
          <w:rFonts w:ascii="Times New Roman" w:hAnsi="Times New Roman" w:cs="Times New Roman"/>
          <w:sz w:val="24"/>
          <w:szCs w:val="24"/>
          <w:lang w:val="fr-FR"/>
        </w:rPr>
        <w:t xml:space="preserve"> nous nous intéresserons à </w:t>
      </w:r>
      <w:r w:rsidR="000921E6">
        <w:rPr>
          <w:rFonts w:ascii="Times New Roman" w:hAnsi="Times New Roman" w:cs="Times New Roman"/>
          <w:sz w:val="24"/>
          <w:szCs w:val="24"/>
          <w:lang w:val="fr-FR"/>
        </w:rPr>
        <w:t>la négociation qui surviendrait en cas de désaccord quant à l’option préférentielle retenue par chaque partie</w:t>
      </w:r>
      <w:r w:rsidR="0099227D" w:rsidRPr="00062A1D">
        <w:rPr>
          <w:rFonts w:ascii="Times New Roman" w:hAnsi="Times New Roman" w:cs="Times New Roman"/>
          <w:sz w:val="24"/>
          <w:szCs w:val="24"/>
          <w:lang w:val="fr-FR"/>
        </w:rPr>
        <w:t xml:space="preserve">. Enfin, nous discuterons </w:t>
      </w:r>
      <w:r w:rsidR="000921E6">
        <w:rPr>
          <w:rFonts w:ascii="Times New Roman" w:hAnsi="Times New Roman" w:cs="Times New Roman"/>
          <w:sz w:val="24"/>
          <w:szCs w:val="24"/>
          <w:lang w:val="fr-FR"/>
        </w:rPr>
        <w:t>le processus de décision en tant que tel</w:t>
      </w:r>
      <w:r w:rsidR="00D321C3">
        <w:rPr>
          <w:rFonts w:ascii="Times New Roman" w:hAnsi="Times New Roman" w:cs="Times New Roman"/>
          <w:sz w:val="24"/>
          <w:szCs w:val="24"/>
          <w:lang w:val="fr-FR"/>
        </w:rPr>
        <w:t xml:space="preserve"> et les variables qui le compliquent</w:t>
      </w:r>
      <w:r w:rsidR="0099227D" w:rsidRPr="00062A1D">
        <w:rPr>
          <w:rFonts w:ascii="Times New Roman" w:hAnsi="Times New Roman" w:cs="Times New Roman"/>
          <w:sz w:val="24"/>
          <w:szCs w:val="24"/>
          <w:lang w:val="fr-FR"/>
        </w:rPr>
        <w:t xml:space="preserve">. </w:t>
      </w:r>
    </w:p>
    <w:p w14:paraId="74B95D7C" w14:textId="77777777" w:rsidR="00DD1231" w:rsidRPr="00062A1D" w:rsidRDefault="00DD1231" w:rsidP="002C69E4">
      <w:pPr>
        <w:spacing w:line="276" w:lineRule="auto"/>
        <w:ind w:firstLine="567"/>
        <w:rPr>
          <w:rFonts w:ascii="Times New Roman" w:hAnsi="Times New Roman" w:cs="Times New Roman"/>
          <w:b/>
          <w:sz w:val="24"/>
          <w:szCs w:val="24"/>
          <w:lang w:val="fr-FR"/>
        </w:rPr>
      </w:pPr>
      <w:r w:rsidRPr="00062A1D">
        <w:rPr>
          <w:rFonts w:ascii="Times New Roman" w:hAnsi="Times New Roman" w:cs="Times New Roman"/>
          <w:b/>
          <w:sz w:val="24"/>
          <w:szCs w:val="24"/>
          <w:lang w:val="fr-FR"/>
        </w:rPr>
        <w:t>La difficile tâche de l’évaluation des options</w:t>
      </w:r>
    </w:p>
    <w:p w14:paraId="06446452" w14:textId="0BE87FC9" w:rsidR="00DD1231" w:rsidRPr="00062A1D" w:rsidRDefault="00DD1231" w:rsidP="002C69E4">
      <w:pPr>
        <w:spacing w:line="276" w:lineRule="auto"/>
        <w:ind w:firstLine="567"/>
        <w:rPr>
          <w:rFonts w:ascii="Times New Roman" w:hAnsi="Times New Roman" w:cs="Times New Roman"/>
          <w:sz w:val="24"/>
          <w:szCs w:val="24"/>
          <w:lang w:val="fr-FR"/>
        </w:rPr>
      </w:pPr>
      <w:r w:rsidRPr="00062A1D">
        <w:rPr>
          <w:rFonts w:ascii="Times New Roman" w:hAnsi="Times New Roman" w:cs="Times New Roman"/>
          <w:sz w:val="24"/>
          <w:szCs w:val="24"/>
          <w:lang w:val="fr-FR"/>
        </w:rPr>
        <w:t xml:space="preserve">Pour pouvoir prendre une décision quant à l’option qu’elles souhaitent </w:t>
      </w:r>
      <w:r w:rsidR="005C4E10" w:rsidRPr="00062A1D">
        <w:rPr>
          <w:rFonts w:ascii="Times New Roman" w:hAnsi="Times New Roman" w:cs="Times New Roman"/>
          <w:sz w:val="24"/>
          <w:szCs w:val="24"/>
          <w:lang w:val="fr-FR"/>
        </w:rPr>
        <w:t xml:space="preserve">transformer en </w:t>
      </w:r>
      <w:r w:rsidRPr="00062A1D">
        <w:rPr>
          <w:rFonts w:ascii="Times New Roman" w:hAnsi="Times New Roman" w:cs="Times New Roman"/>
          <w:sz w:val="24"/>
          <w:szCs w:val="24"/>
          <w:lang w:val="fr-FR"/>
        </w:rPr>
        <w:t xml:space="preserve">accord, les parties </w:t>
      </w:r>
      <w:r w:rsidR="00991609">
        <w:rPr>
          <w:rFonts w:ascii="Times New Roman" w:hAnsi="Times New Roman" w:cs="Times New Roman"/>
          <w:sz w:val="24"/>
          <w:szCs w:val="24"/>
          <w:lang w:val="fr-FR"/>
        </w:rPr>
        <w:t xml:space="preserve">évaluent </w:t>
      </w:r>
      <w:r w:rsidR="005C4978">
        <w:rPr>
          <w:rFonts w:ascii="Times New Roman" w:hAnsi="Times New Roman" w:cs="Times New Roman"/>
          <w:sz w:val="24"/>
          <w:szCs w:val="24"/>
          <w:lang w:val="fr-FR"/>
        </w:rPr>
        <w:t>l</w:t>
      </w:r>
      <w:r w:rsidRPr="00062A1D">
        <w:rPr>
          <w:rFonts w:ascii="Times New Roman" w:hAnsi="Times New Roman" w:cs="Times New Roman"/>
          <w:sz w:val="24"/>
          <w:szCs w:val="24"/>
          <w:lang w:val="fr-FR"/>
        </w:rPr>
        <w:t>es différentes options qui ont été explorées. Le</w:t>
      </w:r>
      <w:r w:rsidR="005C4E10" w:rsidRPr="00062A1D">
        <w:rPr>
          <w:rFonts w:ascii="Times New Roman" w:hAnsi="Times New Roman" w:cs="Times New Roman"/>
          <w:sz w:val="24"/>
          <w:szCs w:val="24"/>
          <w:lang w:val="fr-FR"/>
        </w:rPr>
        <w:t xml:space="preserve"> travail </w:t>
      </w:r>
      <w:r w:rsidR="005C4E10" w:rsidRPr="00062A1D">
        <w:rPr>
          <w:rFonts w:ascii="Times New Roman" w:hAnsi="Times New Roman" w:cs="Times New Roman"/>
          <w:sz w:val="24"/>
          <w:szCs w:val="24"/>
          <w:lang w:val="fr-FR"/>
        </w:rPr>
        <w:lastRenderedPageBreak/>
        <w:t>d’</w:t>
      </w:r>
      <w:r w:rsidRPr="00062A1D">
        <w:rPr>
          <w:rFonts w:ascii="Times New Roman" w:hAnsi="Times New Roman" w:cs="Times New Roman"/>
          <w:sz w:val="24"/>
          <w:szCs w:val="24"/>
          <w:lang w:val="fr-FR"/>
        </w:rPr>
        <w:t>évaluation, quel qu’</w:t>
      </w:r>
      <w:r w:rsidR="005C4E10" w:rsidRPr="00062A1D">
        <w:rPr>
          <w:rFonts w:ascii="Times New Roman" w:hAnsi="Times New Roman" w:cs="Times New Roman"/>
          <w:sz w:val="24"/>
          <w:szCs w:val="24"/>
          <w:lang w:val="fr-FR"/>
        </w:rPr>
        <w:t>il</w:t>
      </w:r>
      <w:r w:rsidRPr="00062A1D">
        <w:rPr>
          <w:rFonts w:ascii="Times New Roman" w:hAnsi="Times New Roman" w:cs="Times New Roman"/>
          <w:sz w:val="24"/>
          <w:szCs w:val="24"/>
          <w:lang w:val="fr-FR"/>
        </w:rPr>
        <w:t xml:space="preserve"> soit, représent</w:t>
      </w:r>
      <w:r w:rsidR="005C4E10" w:rsidRPr="00062A1D">
        <w:rPr>
          <w:rFonts w:ascii="Times New Roman" w:hAnsi="Times New Roman" w:cs="Times New Roman"/>
          <w:sz w:val="24"/>
          <w:szCs w:val="24"/>
          <w:lang w:val="fr-FR"/>
        </w:rPr>
        <w:t>e</w:t>
      </w:r>
      <w:r w:rsidRPr="00062A1D">
        <w:rPr>
          <w:rFonts w:ascii="Times New Roman" w:hAnsi="Times New Roman" w:cs="Times New Roman"/>
          <w:sz w:val="24"/>
          <w:szCs w:val="24"/>
          <w:lang w:val="fr-FR"/>
        </w:rPr>
        <w:t xml:space="preserve"> toujours une tâche malaisée. En effet, pour émettre un jugement et décider si une option donnée est tout juste acceptable, parfaitement valable, </w:t>
      </w:r>
      <w:r w:rsidR="00991609">
        <w:rPr>
          <w:rFonts w:ascii="Times New Roman" w:hAnsi="Times New Roman" w:cs="Times New Roman"/>
          <w:sz w:val="24"/>
          <w:szCs w:val="24"/>
          <w:lang w:val="fr-FR"/>
        </w:rPr>
        <w:t>ou</w:t>
      </w:r>
      <w:r w:rsidRPr="00062A1D">
        <w:rPr>
          <w:rFonts w:ascii="Times New Roman" w:hAnsi="Times New Roman" w:cs="Times New Roman"/>
          <w:sz w:val="24"/>
          <w:szCs w:val="24"/>
          <w:lang w:val="fr-FR"/>
        </w:rPr>
        <w:t xml:space="preserve"> très appréciable, les parties </w:t>
      </w:r>
      <w:r w:rsidR="005C4E10" w:rsidRPr="00062A1D">
        <w:rPr>
          <w:rFonts w:ascii="Times New Roman" w:hAnsi="Times New Roman" w:cs="Times New Roman"/>
          <w:sz w:val="24"/>
          <w:szCs w:val="24"/>
          <w:lang w:val="fr-FR"/>
        </w:rPr>
        <w:t xml:space="preserve">devront procéder </w:t>
      </w:r>
      <w:r w:rsidRPr="00062A1D">
        <w:rPr>
          <w:rFonts w:ascii="Times New Roman" w:hAnsi="Times New Roman" w:cs="Times New Roman"/>
          <w:sz w:val="24"/>
          <w:szCs w:val="24"/>
          <w:lang w:val="fr-FR"/>
        </w:rPr>
        <w:t xml:space="preserve">par comparaison </w:t>
      </w:r>
      <w:r w:rsidR="005C4E10" w:rsidRPr="00062A1D">
        <w:rPr>
          <w:rFonts w:ascii="Times New Roman" w:hAnsi="Times New Roman" w:cs="Times New Roman"/>
          <w:sz w:val="24"/>
          <w:szCs w:val="24"/>
          <w:lang w:val="fr-FR"/>
        </w:rPr>
        <w:t>avec</w:t>
      </w:r>
      <w:r w:rsidRPr="00062A1D">
        <w:rPr>
          <w:rFonts w:ascii="Times New Roman" w:hAnsi="Times New Roman" w:cs="Times New Roman"/>
          <w:sz w:val="24"/>
          <w:szCs w:val="24"/>
          <w:lang w:val="fr-FR"/>
        </w:rPr>
        <w:t xml:space="preserve"> des standards et les standards qu’elles utilise</w:t>
      </w:r>
      <w:r w:rsidR="005C4E10" w:rsidRPr="00062A1D">
        <w:rPr>
          <w:rFonts w:ascii="Times New Roman" w:hAnsi="Times New Roman" w:cs="Times New Roman"/>
          <w:sz w:val="24"/>
          <w:szCs w:val="24"/>
          <w:lang w:val="fr-FR"/>
        </w:rPr>
        <w:t>ro</w:t>
      </w:r>
      <w:r w:rsidRPr="00062A1D">
        <w:rPr>
          <w:rFonts w:ascii="Times New Roman" w:hAnsi="Times New Roman" w:cs="Times New Roman"/>
          <w:sz w:val="24"/>
          <w:szCs w:val="24"/>
          <w:lang w:val="fr-FR"/>
        </w:rPr>
        <w:t>nt dépendront du contexte dans lequel intervient la décision</w:t>
      </w:r>
      <w:r w:rsidR="00FC1546" w:rsidRPr="00062A1D">
        <w:rPr>
          <w:rStyle w:val="Appelnotedebasdep"/>
          <w:rFonts w:ascii="Times New Roman" w:hAnsi="Times New Roman" w:cs="Times New Roman"/>
          <w:sz w:val="24"/>
          <w:szCs w:val="24"/>
          <w:lang w:val="fr-FR"/>
        </w:rPr>
        <w:footnoteReference w:id="1"/>
      </w:r>
      <w:r w:rsidRPr="00062A1D">
        <w:rPr>
          <w:rFonts w:ascii="Times New Roman" w:hAnsi="Times New Roman" w:cs="Times New Roman"/>
          <w:sz w:val="24"/>
          <w:szCs w:val="24"/>
          <w:lang w:val="fr-FR"/>
        </w:rPr>
        <w:t xml:space="preserve">. </w:t>
      </w:r>
    </w:p>
    <w:p w14:paraId="08C96473" w14:textId="7691E876" w:rsidR="00DD1231" w:rsidRPr="00062A1D" w:rsidRDefault="00DD1231" w:rsidP="002C69E4">
      <w:pPr>
        <w:spacing w:line="276" w:lineRule="auto"/>
        <w:ind w:firstLine="567"/>
        <w:rPr>
          <w:rFonts w:ascii="Times New Roman" w:hAnsi="Times New Roman" w:cs="Times New Roman"/>
          <w:sz w:val="24"/>
          <w:szCs w:val="24"/>
          <w:lang w:val="fr-FR"/>
        </w:rPr>
      </w:pPr>
      <w:r w:rsidRPr="00062A1D">
        <w:rPr>
          <w:rFonts w:ascii="Times New Roman" w:hAnsi="Times New Roman" w:cs="Times New Roman"/>
          <w:sz w:val="24"/>
          <w:szCs w:val="24"/>
          <w:lang w:val="fr-FR"/>
        </w:rPr>
        <w:t>Par exemple, si les parties en conflit évaluent la qualité d’un dédommagement de 1000</w:t>
      </w:r>
      <w:proofErr w:type="gramStart"/>
      <w:r w:rsidR="007A69F7">
        <w:rPr>
          <w:rFonts w:ascii="Times New Roman" w:hAnsi="Times New Roman" w:cs="Times New Roman"/>
          <w:sz w:val="24"/>
          <w:szCs w:val="24"/>
          <w:lang w:val="fr-FR"/>
        </w:rPr>
        <w:t>€</w:t>
      </w:r>
      <w:r w:rsidRPr="00062A1D">
        <w:rPr>
          <w:rFonts w:ascii="Times New Roman" w:hAnsi="Times New Roman" w:cs="Times New Roman"/>
          <w:sz w:val="24"/>
          <w:szCs w:val="24"/>
          <w:lang w:val="fr-FR"/>
        </w:rPr>
        <w:t xml:space="preserve"> </w:t>
      </w:r>
      <w:r w:rsidR="007A69F7" w:rsidRPr="00062A1D">
        <w:rPr>
          <w:rFonts w:ascii="Times New Roman" w:hAnsi="Times New Roman" w:cs="Times New Roman"/>
          <w:sz w:val="24"/>
          <w:szCs w:val="24"/>
          <w:lang w:val="fr-FR"/>
        </w:rPr>
        <w:t xml:space="preserve"> </w:t>
      </w:r>
      <w:r w:rsidRPr="00062A1D">
        <w:rPr>
          <w:rFonts w:ascii="Times New Roman" w:hAnsi="Times New Roman" w:cs="Times New Roman"/>
          <w:sz w:val="24"/>
          <w:szCs w:val="24"/>
          <w:lang w:val="fr-FR"/>
        </w:rPr>
        <w:t>pour</w:t>
      </w:r>
      <w:proofErr w:type="gramEnd"/>
      <w:r w:rsidRPr="00062A1D">
        <w:rPr>
          <w:rFonts w:ascii="Times New Roman" w:hAnsi="Times New Roman" w:cs="Times New Roman"/>
          <w:sz w:val="24"/>
          <w:szCs w:val="24"/>
          <w:lang w:val="fr-FR"/>
        </w:rPr>
        <w:t xml:space="preserve"> une perte </w:t>
      </w:r>
      <w:r w:rsidR="0058150D" w:rsidRPr="00062A1D">
        <w:rPr>
          <w:rFonts w:ascii="Times New Roman" w:hAnsi="Times New Roman" w:cs="Times New Roman"/>
          <w:sz w:val="24"/>
          <w:szCs w:val="24"/>
          <w:lang w:val="fr-FR"/>
        </w:rPr>
        <w:t xml:space="preserve">matérielle </w:t>
      </w:r>
      <w:r w:rsidRPr="00062A1D">
        <w:rPr>
          <w:rFonts w:ascii="Times New Roman" w:hAnsi="Times New Roman" w:cs="Times New Roman"/>
          <w:sz w:val="24"/>
          <w:szCs w:val="24"/>
          <w:lang w:val="fr-FR"/>
        </w:rPr>
        <w:t xml:space="preserve">subie, le jugement qualitatif d’une telle somme dépendra </w:t>
      </w:r>
      <w:r w:rsidR="0058150D" w:rsidRPr="00062A1D">
        <w:rPr>
          <w:rFonts w:ascii="Times New Roman" w:hAnsi="Times New Roman" w:cs="Times New Roman"/>
          <w:sz w:val="24"/>
          <w:szCs w:val="24"/>
          <w:lang w:val="fr-FR"/>
        </w:rPr>
        <w:t>autant de l’objet de la perte (est-ce un téléphone, un vélo, une voiture ?)</w:t>
      </w:r>
      <w:r w:rsidRPr="00062A1D">
        <w:rPr>
          <w:rFonts w:ascii="Times New Roman" w:hAnsi="Times New Roman" w:cs="Times New Roman"/>
          <w:sz w:val="24"/>
          <w:szCs w:val="24"/>
          <w:lang w:val="fr-FR"/>
        </w:rPr>
        <w:t xml:space="preserve"> </w:t>
      </w:r>
      <w:r w:rsidR="0058150D" w:rsidRPr="00062A1D">
        <w:rPr>
          <w:rFonts w:ascii="Times New Roman" w:hAnsi="Times New Roman" w:cs="Times New Roman"/>
          <w:sz w:val="24"/>
          <w:szCs w:val="24"/>
          <w:lang w:val="fr-FR"/>
        </w:rPr>
        <w:t>que des standards de comparaison accessibles au moment de l’évaluation</w:t>
      </w:r>
      <w:r w:rsidR="0077686C">
        <w:rPr>
          <w:rStyle w:val="Appelnotedebasdep"/>
          <w:rFonts w:ascii="Times New Roman" w:hAnsi="Times New Roman" w:cs="Times New Roman"/>
          <w:sz w:val="24"/>
          <w:szCs w:val="24"/>
          <w:lang w:val="fr-FR"/>
        </w:rPr>
        <w:footnoteReference w:id="2"/>
      </w:r>
      <w:r w:rsidR="0058150D" w:rsidRPr="00062A1D">
        <w:rPr>
          <w:rFonts w:ascii="Times New Roman" w:hAnsi="Times New Roman" w:cs="Times New Roman"/>
          <w:sz w:val="24"/>
          <w:szCs w:val="24"/>
          <w:lang w:val="fr-FR"/>
        </w:rPr>
        <w:t xml:space="preserve">. </w:t>
      </w:r>
      <w:r w:rsidR="00885850" w:rsidRPr="00062A1D">
        <w:rPr>
          <w:rFonts w:ascii="Times New Roman" w:hAnsi="Times New Roman" w:cs="Times New Roman"/>
          <w:sz w:val="24"/>
          <w:szCs w:val="24"/>
          <w:lang w:val="fr-FR"/>
        </w:rPr>
        <w:t xml:space="preserve">Ces standards peuvent être multiples. Ainsi, il </w:t>
      </w:r>
      <w:proofErr w:type="gramStart"/>
      <w:r w:rsidR="00885850" w:rsidRPr="00062A1D">
        <w:rPr>
          <w:rFonts w:ascii="Times New Roman" w:hAnsi="Times New Roman" w:cs="Times New Roman"/>
          <w:sz w:val="24"/>
          <w:szCs w:val="24"/>
          <w:lang w:val="fr-FR"/>
        </w:rPr>
        <w:t>est  par</w:t>
      </w:r>
      <w:proofErr w:type="gramEnd"/>
      <w:r w:rsidR="00885850" w:rsidRPr="00062A1D">
        <w:rPr>
          <w:rFonts w:ascii="Times New Roman" w:hAnsi="Times New Roman" w:cs="Times New Roman"/>
          <w:sz w:val="24"/>
          <w:szCs w:val="24"/>
          <w:lang w:val="fr-FR"/>
        </w:rPr>
        <w:t xml:space="preserve"> exemple possible de comparer les 1000 </w:t>
      </w:r>
      <w:r w:rsidR="005C4978">
        <w:rPr>
          <w:rFonts w:ascii="Times New Roman" w:hAnsi="Times New Roman" w:cs="Times New Roman"/>
          <w:sz w:val="24"/>
          <w:szCs w:val="24"/>
          <w:lang w:val="fr-FR"/>
        </w:rPr>
        <w:t>€</w:t>
      </w:r>
      <w:r w:rsidR="00885850" w:rsidRPr="00062A1D">
        <w:rPr>
          <w:rFonts w:ascii="Times New Roman" w:hAnsi="Times New Roman" w:cs="Times New Roman"/>
          <w:sz w:val="24"/>
          <w:szCs w:val="24"/>
          <w:lang w:val="fr-FR"/>
        </w:rPr>
        <w:t xml:space="preserve"> de dédommagement :</w:t>
      </w:r>
    </w:p>
    <w:p w14:paraId="311F4E45" w14:textId="568FE071" w:rsidR="00885850" w:rsidRPr="00062A1D" w:rsidRDefault="00885850" w:rsidP="002C69E4">
      <w:pPr>
        <w:pStyle w:val="Paragraphedeliste"/>
        <w:numPr>
          <w:ilvl w:val="0"/>
          <w:numId w:val="1"/>
        </w:numPr>
        <w:spacing w:line="276" w:lineRule="auto"/>
        <w:rPr>
          <w:rFonts w:ascii="Times New Roman" w:hAnsi="Times New Roman" w:cs="Times New Roman"/>
          <w:sz w:val="24"/>
          <w:szCs w:val="24"/>
          <w:lang w:val="fr-FR"/>
        </w:rPr>
      </w:pPr>
      <w:r w:rsidRPr="00062A1D">
        <w:rPr>
          <w:rFonts w:ascii="Times New Roman" w:hAnsi="Times New Roman" w:cs="Times New Roman"/>
          <w:sz w:val="24"/>
          <w:szCs w:val="24"/>
          <w:lang w:val="fr-FR"/>
        </w:rPr>
        <w:t xml:space="preserve">Aux 800 </w:t>
      </w:r>
      <w:r w:rsidR="005C4978">
        <w:rPr>
          <w:rFonts w:ascii="Times New Roman" w:hAnsi="Times New Roman" w:cs="Times New Roman"/>
          <w:sz w:val="24"/>
          <w:szCs w:val="24"/>
          <w:lang w:val="fr-FR"/>
        </w:rPr>
        <w:t>€</w:t>
      </w:r>
      <w:r w:rsidRPr="00062A1D">
        <w:rPr>
          <w:rFonts w:ascii="Times New Roman" w:hAnsi="Times New Roman" w:cs="Times New Roman"/>
          <w:sz w:val="24"/>
          <w:szCs w:val="24"/>
          <w:lang w:val="fr-FR"/>
        </w:rPr>
        <w:t xml:space="preserve"> obtenus pour un dommage similaire l’année dernière</w:t>
      </w:r>
    </w:p>
    <w:p w14:paraId="190A7347" w14:textId="68A22657" w:rsidR="00885850" w:rsidRPr="00062A1D" w:rsidRDefault="00885850" w:rsidP="002C69E4">
      <w:pPr>
        <w:pStyle w:val="Paragraphedeliste"/>
        <w:numPr>
          <w:ilvl w:val="0"/>
          <w:numId w:val="1"/>
        </w:numPr>
        <w:spacing w:line="276" w:lineRule="auto"/>
        <w:rPr>
          <w:rFonts w:ascii="Times New Roman" w:hAnsi="Times New Roman" w:cs="Times New Roman"/>
          <w:sz w:val="24"/>
          <w:szCs w:val="24"/>
          <w:lang w:val="fr-FR"/>
        </w:rPr>
      </w:pPr>
      <w:r w:rsidRPr="00062A1D">
        <w:rPr>
          <w:rFonts w:ascii="Times New Roman" w:hAnsi="Times New Roman" w:cs="Times New Roman"/>
          <w:sz w:val="24"/>
          <w:szCs w:val="24"/>
          <w:lang w:val="fr-FR"/>
        </w:rPr>
        <w:t xml:space="preserve">Aux 950 </w:t>
      </w:r>
      <w:r w:rsidR="005C4978">
        <w:rPr>
          <w:rFonts w:ascii="Times New Roman" w:hAnsi="Times New Roman" w:cs="Times New Roman"/>
          <w:sz w:val="24"/>
          <w:szCs w:val="24"/>
          <w:lang w:val="fr-FR"/>
        </w:rPr>
        <w:t>€</w:t>
      </w:r>
      <w:r w:rsidRPr="00062A1D">
        <w:rPr>
          <w:rFonts w:ascii="Times New Roman" w:hAnsi="Times New Roman" w:cs="Times New Roman"/>
          <w:sz w:val="24"/>
          <w:szCs w:val="24"/>
          <w:lang w:val="fr-FR"/>
        </w:rPr>
        <w:t xml:space="preserve"> que mon voisin m’avait fait miroiter pour l’achat de cet objet</w:t>
      </w:r>
      <w:r w:rsidR="00991609">
        <w:rPr>
          <w:rFonts w:ascii="Times New Roman" w:hAnsi="Times New Roman" w:cs="Times New Roman"/>
          <w:sz w:val="24"/>
          <w:szCs w:val="24"/>
          <w:lang w:val="fr-FR"/>
        </w:rPr>
        <w:t xml:space="preserve"> avant qu’il ne soit perdu</w:t>
      </w:r>
    </w:p>
    <w:p w14:paraId="40F525D6" w14:textId="2FA5C8E6" w:rsidR="00885850" w:rsidRPr="00062A1D" w:rsidRDefault="00885850" w:rsidP="002C69E4">
      <w:pPr>
        <w:pStyle w:val="Paragraphedeliste"/>
        <w:numPr>
          <w:ilvl w:val="0"/>
          <w:numId w:val="1"/>
        </w:numPr>
        <w:spacing w:line="276" w:lineRule="auto"/>
        <w:rPr>
          <w:rFonts w:ascii="Times New Roman" w:hAnsi="Times New Roman" w:cs="Times New Roman"/>
          <w:sz w:val="24"/>
          <w:szCs w:val="24"/>
          <w:lang w:val="fr-FR"/>
        </w:rPr>
      </w:pPr>
      <w:r w:rsidRPr="00062A1D">
        <w:rPr>
          <w:rFonts w:ascii="Times New Roman" w:hAnsi="Times New Roman" w:cs="Times New Roman"/>
          <w:sz w:val="24"/>
          <w:szCs w:val="24"/>
          <w:lang w:val="fr-FR"/>
        </w:rPr>
        <w:t xml:space="preserve">Aux 2000 </w:t>
      </w:r>
      <w:r w:rsidR="005C4978">
        <w:rPr>
          <w:rFonts w:ascii="Times New Roman" w:hAnsi="Times New Roman" w:cs="Times New Roman"/>
          <w:sz w:val="24"/>
          <w:szCs w:val="24"/>
          <w:lang w:val="fr-FR"/>
        </w:rPr>
        <w:t>€</w:t>
      </w:r>
      <w:r w:rsidRPr="00062A1D">
        <w:rPr>
          <w:rFonts w:ascii="Times New Roman" w:hAnsi="Times New Roman" w:cs="Times New Roman"/>
          <w:sz w:val="24"/>
          <w:szCs w:val="24"/>
          <w:lang w:val="fr-FR"/>
        </w:rPr>
        <w:t xml:space="preserve"> que j’espérais obtenir en dédommagement avant d’entamer la médiation</w:t>
      </w:r>
    </w:p>
    <w:p w14:paraId="17B961AE" w14:textId="0618EB9C" w:rsidR="00885850" w:rsidRDefault="00885850" w:rsidP="002C69E4">
      <w:pPr>
        <w:pStyle w:val="Paragraphedeliste"/>
        <w:numPr>
          <w:ilvl w:val="0"/>
          <w:numId w:val="1"/>
        </w:numPr>
        <w:spacing w:line="276" w:lineRule="auto"/>
        <w:rPr>
          <w:rFonts w:ascii="Times New Roman" w:hAnsi="Times New Roman" w:cs="Times New Roman"/>
          <w:sz w:val="24"/>
          <w:szCs w:val="24"/>
          <w:lang w:val="fr-FR"/>
        </w:rPr>
      </w:pPr>
      <w:r w:rsidRPr="00062A1D">
        <w:rPr>
          <w:rFonts w:ascii="Times New Roman" w:hAnsi="Times New Roman" w:cs="Times New Roman"/>
          <w:sz w:val="24"/>
          <w:szCs w:val="24"/>
          <w:lang w:val="fr-FR"/>
        </w:rPr>
        <w:t xml:space="preserve">Aux 3000 </w:t>
      </w:r>
      <w:r w:rsidR="005C4978">
        <w:rPr>
          <w:rFonts w:ascii="Times New Roman" w:hAnsi="Times New Roman" w:cs="Times New Roman"/>
          <w:sz w:val="24"/>
          <w:szCs w:val="24"/>
          <w:lang w:val="fr-FR"/>
        </w:rPr>
        <w:t>€</w:t>
      </w:r>
      <w:r w:rsidRPr="00062A1D">
        <w:rPr>
          <w:rFonts w:ascii="Times New Roman" w:hAnsi="Times New Roman" w:cs="Times New Roman"/>
          <w:sz w:val="24"/>
          <w:szCs w:val="24"/>
          <w:lang w:val="fr-FR"/>
        </w:rPr>
        <w:t xml:space="preserve"> que me coûtera le remplacement de l’objet perdu si je décide de m’en procurer un neuf</w:t>
      </w:r>
    </w:p>
    <w:p w14:paraId="02498299" w14:textId="39792488" w:rsidR="005C4978" w:rsidRDefault="005C4978" w:rsidP="005C4978">
      <w:pPr>
        <w:spacing w:line="276" w:lineRule="auto"/>
        <w:rPr>
          <w:rFonts w:ascii="Times New Roman" w:hAnsi="Times New Roman" w:cs="Times New Roman"/>
          <w:sz w:val="24"/>
          <w:szCs w:val="24"/>
          <w:lang w:val="fr-FR"/>
        </w:rPr>
      </w:pPr>
    </w:p>
    <w:p w14:paraId="3DE50902" w14:textId="257456B1" w:rsidR="00B3733F" w:rsidRPr="00062A1D" w:rsidRDefault="00B3733F" w:rsidP="002C69E4">
      <w:pPr>
        <w:spacing w:line="276" w:lineRule="auto"/>
        <w:ind w:firstLine="567"/>
        <w:rPr>
          <w:rFonts w:ascii="Times New Roman" w:hAnsi="Times New Roman" w:cs="Times New Roman"/>
          <w:sz w:val="24"/>
          <w:szCs w:val="24"/>
          <w:lang w:val="fr-FR"/>
        </w:rPr>
      </w:pPr>
      <w:r w:rsidRPr="00062A1D">
        <w:rPr>
          <w:rFonts w:ascii="Times New Roman" w:hAnsi="Times New Roman" w:cs="Times New Roman"/>
          <w:sz w:val="24"/>
          <w:szCs w:val="24"/>
          <w:lang w:val="fr-FR"/>
        </w:rPr>
        <w:t>Clairement</w:t>
      </w:r>
      <w:r w:rsidR="005C4978">
        <w:rPr>
          <w:rFonts w:ascii="Times New Roman" w:hAnsi="Times New Roman" w:cs="Times New Roman"/>
          <w:sz w:val="24"/>
          <w:szCs w:val="24"/>
          <w:lang w:val="fr-FR"/>
        </w:rPr>
        <w:t>,</w:t>
      </w:r>
      <w:r w:rsidRPr="00062A1D">
        <w:rPr>
          <w:rFonts w:ascii="Times New Roman" w:hAnsi="Times New Roman" w:cs="Times New Roman"/>
          <w:sz w:val="24"/>
          <w:szCs w:val="24"/>
          <w:lang w:val="fr-FR"/>
        </w:rPr>
        <w:t xml:space="preserve"> l’interprétation qualitative des 1000 </w:t>
      </w:r>
      <w:r w:rsidR="005C4978">
        <w:rPr>
          <w:rFonts w:ascii="Times New Roman" w:hAnsi="Times New Roman" w:cs="Times New Roman"/>
          <w:sz w:val="24"/>
          <w:szCs w:val="24"/>
          <w:lang w:val="fr-FR"/>
        </w:rPr>
        <w:t>€</w:t>
      </w:r>
      <w:r w:rsidRPr="00062A1D">
        <w:rPr>
          <w:rFonts w:ascii="Times New Roman" w:hAnsi="Times New Roman" w:cs="Times New Roman"/>
          <w:sz w:val="24"/>
          <w:szCs w:val="24"/>
          <w:lang w:val="fr-FR"/>
        </w:rPr>
        <w:t xml:space="preserve"> </w:t>
      </w:r>
      <w:r w:rsidR="00991609">
        <w:rPr>
          <w:rFonts w:ascii="Times New Roman" w:hAnsi="Times New Roman" w:cs="Times New Roman"/>
          <w:sz w:val="24"/>
          <w:szCs w:val="24"/>
          <w:lang w:val="fr-FR"/>
        </w:rPr>
        <w:t xml:space="preserve">sera </w:t>
      </w:r>
      <w:r w:rsidRPr="00062A1D">
        <w:rPr>
          <w:rFonts w:ascii="Times New Roman" w:hAnsi="Times New Roman" w:cs="Times New Roman"/>
          <w:sz w:val="24"/>
          <w:szCs w:val="24"/>
          <w:lang w:val="fr-FR"/>
        </w:rPr>
        <w:t xml:space="preserve">substantiellement </w:t>
      </w:r>
      <w:r w:rsidR="005C4978">
        <w:rPr>
          <w:rFonts w:ascii="Times New Roman" w:hAnsi="Times New Roman" w:cs="Times New Roman"/>
          <w:sz w:val="24"/>
          <w:szCs w:val="24"/>
          <w:lang w:val="fr-FR"/>
        </w:rPr>
        <w:t xml:space="preserve">différente </w:t>
      </w:r>
      <w:r w:rsidRPr="00062A1D">
        <w:rPr>
          <w:rFonts w:ascii="Times New Roman" w:hAnsi="Times New Roman" w:cs="Times New Roman"/>
          <w:sz w:val="24"/>
          <w:szCs w:val="24"/>
          <w:lang w:val="fr-FR"/>
        </w:rPr>
        <w:t>au travers de ces situations et cette interprétation dépendra directement d</w:t>
      </w:r>
      <w:r w:rsidR="005C4978">
        <w:rPr>
          <w:rFonts w:ascii="Times New Roman" w:hAnsi="Times New Roman" w:cs="Times New Roman"/>
          <w:sz w:val="24"/>
          <w:szCs w:val="24"/>
          <w:lang w:val="fr-FR"/>
        </w:rPr>
        <w:t xml:space="preserve">u caractère </w:t>
      </w:r>
      <w:r w:rsidRPr="00062A1D">
        <w:rPr>
          <w:rFonts w:ascii="Times New Roman" w:hAnsi="Times New Roman" w:cs="Times New Roman"/>
          <w:sz w:val="24"/>
          <w:szCs w:val="24"/>
          <w:lang w:val="fr-FR"/>
        </w:rPr>
        <w:t>ascendant ou descendant de la comparaison. En toute logique, lorsque la proposition à laquelle je fais face est moins bonne que le standard de comparaison (</w:t>
      </w:r>
      <w:r w:rsidR="007B6E7B" w:rsidRPr="00062A1D">
        <w:rPr>
          <w:rFonts w:ascii="Times New Roman" w:hAnsi="Times New Roman" w:cs="Times New Roman"/>
          <w:sz w:val="24"/>
          <w:szCs w:val="24"/>
          <w:lang w:val="fr-FR"/>
        </w:rPr>
        <w:t xml:space="preserve">c’est une comparaison ascendante - </w:t>
      </w:r>
      <w:r w:rsidRPr="00062A1D">
        <w:rPr>
          <w:rFonts w:ascii="Times New Roman" w:hAnsi="Times New Roman" w:cs="Times New Roman"/>
          <w:sz w:val="24"/>
          <w:szCs w:val="24"/>
          <w:lang w:val="fr-FR"/>
        </w:rPr>
        <w:t xml:space="preserve">les </w:t>
      </w:r>
      <w:r w:rsidR="007B6E7B" w:rsidRPr="00062A1D">
        <w:rPr>
          <w:rFonts w:ascii="Times New Roman" w:hAnsi="Times New Roman" w:cs="Times New Roman"/>
          <w:sz w:val="24"/>
          <w:szCs w:val="24"/>
          <w:lang w:val="fr-FR"/>
        </w:rPr>
        <w:t xml:space="preserve">deux </w:t>
      </w:r>
      <w:r w:rsidRPr="00062A1D">
        <w:rPr>
          <w:rFonts w:ascii="Times New Roman" w:hAnsi="Times New Roman" w:cs="Times New Roman"/>
          <w:sz w:val="24"/>
          <w:szCs w:val="24"/>
          <w:lang w:val="fr-FR"/>
        </w:rPr>
        <w:t>dernières situations dans l’exemple ci-dessus), j’évaluerai la proposition négativement</w:t>
      </w:r>
      <w:r w:rsidR="00344DB1" w:rsidRPr="00062A1D">
        <w:rPr>
          <w:rFonts w:ascii="Times New Roman" w:hAnsi="Times New Roman" w:cs="Times New Roman"/>
          <w:sz w:val="24"/>
          <w:szCs w:val="24"/>
          <w:lang w:val="fr-FR"/>
        </w:rPr>
        <w:t>, comme une perte,</w:t>
      </w:r>
      <w:r w:rsidR="007B6E7B" w:rsidRPr="00062A1D">
        <w:rPr>
          <w:rFonts w:ascii="Times New Roman" w:hAnsi="Times New Roman" w:cs="Times New Roman"/>
          <w:sz w:val="24"/>
          <w:szCs w:val="24"/>
          <w:lang w:val="fr-FR"/>
        </w:rPr>
        <w:t xml:space="preserve"> et serai tentée de la rejeter. A contrario, lorsque la comparaison s’effectue vers le bas, j’obtiens mieux que mon standard de comparaison (c’est une comparaison descendante – les deux premières situations dans l’exemple ci-dessus), j</w:t>
      </w:r>
      <w:r w:rsidR="00635063" w:rsidRPr="00062A1D">
        <w:rPr>
          <w:rFonts w:ascii="Times New Roman" w:hAnsi="Times New Roman" w:cs="Times New Roman"/>
          <w:sz w:val="24"/>
          <w:szCs w:val="24"/>
          <w:lang w:val="fr-FR"/>
        </w:rPr>
        <w:t xml:space="preserve">’interpréterai ma situation comme un gain et me </w:t>
      </w:r>
      <w:r w:rsidR="007B6E7B" w:rsidRPr="00062A1D">
        <w:rPr>
          <w:rFonts w:ascii="Times New Roman" w:hAnsi="Times New Roman" w:cs="Times New Roman"/>
          <w:sz w:val="24"/>
          <w:szCs w:val="24"/>
          <w:lang w:val="fr-FR"/>
        </w:rPr>
        <w:t xml:space="preserve">montrerai </w:t>
      </w:r>
      <w:r w:rsidR="00635063" w:rsidRPr="00062A1D">
        <w:rPr>
          <w:rFonts w:ascii="Times New Roman" w:hAnsi="Times New Roman" w:cs="Times New Roman"/>
          <w:sz w:val="24"/>
          <w:szCs w:val="24"/>
          <w:lang w:val="fr-FR"/>
        </w:rPr>
        <w:t xml:space="preserve">dès lors </w:t>
      </w:r>
      <w:r w:rsidR="007B6E7B" w:rsidRPr="00062A1D">
        <w:rPr>
          <w:rFonts w:ascii="Times New Roman" w:hAnsi="Times New Roman" w:cs="Times New Roman"/>
          <w:sz w:val="24"/>
          <w:szCs w:val="24"/>
          <w:lang w:val="fr-FR"/>
        </w:rPr>
        <w:t xml:space="preserve">satisfaite de la proposition. </w:t>
      </w:r>
      <w:r w:rsidRPr="00062A1D">
        <w:rPr>
          <w:rFonts w:ascii="Times New Roman" w:hAnsi="Times New Roman" w:cs="Times New Roman"/>
          <w:sz w:val="24"/>
          <w:szCs w:val="24"/>
          <w:lang w:val="fr-FR"/>
        </w:rPr>
        <w:t xml:space="preserve"> </w:t>
      </w:r>
    </w:p>
    <w:p w14:paraId="16975F6E" w14:textId="42878A04" w:rsidR="00377355" w:rsidRPr="00062A1D" w:rsidRDefault="00377355" w:rsidP="002C69E4">
      <w:pPr>
        <w:spacing w:line="276" w:lineRule="auto"/>
        <w:ind w:firstLine="567"/>
        <w:rPr>
          <w:rFonts w:ascii="Times New Roman" w:hAnsi="Times New Roman" w:cs="Times New Roman"/>
          <w:sz w:val="24"/>
          <w:szCs w:val="24"/>
          <w:lang w:val="fr-FR"/>
        </w:rPr>
      </w:pPr>
      <w:r w:rsidRPr="00062A1D">
        <w:rPr>
          <w:rFonts w:ascii="Times New Roman" w:hAnsi="Times New Roman" w:cs="Times New Roman"/>
          <w:sz w:val="24"/>
          <w:szCs w:val="24"/>
          <w:lang w:val="fr-FR"/>
        </w:rPr>
        <w:t xml:space="preserve">C’est dire si les standards de comparaison utilisés par les parties ont une influence déterminante dans l’adoption ou le rejet d’un accord. Plus généralement, </w:t>
      </w:r>
      <w:r w:rsidRPr="001044DA">
        <w:rPr>
          <w:rFonts w:ascii="Times New Roman" w:hAnsi="Times New Roman" w:cs="Times New Roman"/>
          <w:b/>
          <w:sz w:val="24"/>
          <w:szCs w:val="24"/>
          <w:lang w:val="fr-FR"/>
        </w:rPr>
        <w:t>la focalisation des parties sur les pertes qu’un accord est susceptible d’entrainer augmente d’autant leurs réticences à s’engager</w:t>
      </w:r>
      <w:r w:rsidRPr="00062A1D">
        <w:rPr>
          <w:rFonts w:ascii="Times New Roman" w:hAnsi="Times New Roman" w:cs="Times New Roman"/>
          <w:sz w:val="24"/>
          <w:szCs w:val="24"/>
          <w:lang w:val="fr-FR"/>
        </w:rPr>
        <w:t>. L’être humain est</w:t>
      </w:r>
      <w:r w:rsidR="005C4E10" w:rsidRPr="00062A1D">
        <w:rPr>
          <w:rFonts w:ascii="Times New Roman" w:hAnsi="Times New Roman" w:cs="Times New Roman"/>
          <w:sz w:val="24"/>
          <w:szCs w:val="24"/>
          <w:lang w:val="fr-FR"/>
        </w:rPr>
        <w:t>,</w:t>
      </w:r>
      <w:r w:rsidRPr="00062A1D">
        <w:rPr>
          <w:rFonts w:ascii="Times New Roman" w:hAnsi="Times New Roman" w:cs="Times New Roman"/>
          <w:sz w:val="24"/>
          <w:szCs w:val="24"/>
          <w:lang w:val="fr-FR"/>
        </w:rPr>
        <w:t xml:space="preserve"> en effet</w:t>
      </w:r>
      <w:r w:rsidR="005C4E10" w:rsidRPr="00062A1D">
        <w:rPr>
          <w:rFonts w:ascii="Times New Roman" w:hAnsi="Times New Roman" w:cs="Times New Roman"/>
          <w:sz w:val="24"/>
          <w:szCs w:val="24"/>
          <w:lang w:val="fr-FR"/>
        </w:rPr>
        <w:t>,</w:t>
      </w:r>
      <w:r w:rsidRPr="00062A1D">
        <w:rPr>
          <w:rFonts w:ascii="Times New Roman" w:hAnsi="Times New Roman" w:cs="Times New Roman"/>
          <w:sz w:val="24"/>
          <w:szCs w:val="24"/>
          <w:lang w:val="fr-FR"/>
        </w:rPr>
        <w:t xml:space="preserve"> « aversif aux pertes »</w:t>
      </w:r>
      <w:r w:rsidR="002A1B8D" w:rsidRPr="00062A1D">
        <w:rPr>
          <w:rFonts w:ascii="Times New Roman" w:hAnsi="Times New Roman" w:cs="Times New Roman"/>
          <w:sz w:val="24"/>
          <w:szCs w:val="24"/>
          <w:lang w:val="fr-FR"/>
        </w:rPr>
        <w:t> : il</w:t>
      </w:r>
      <w:r w:rsidRPr="00062A1D">
        <w:rPr>
          <w:rFonts w:ascii="Times New Roman" w:hAnsi="Times New Roman" w:cs="Times New Roman"/>
          <w:sz w:val="24"/>
          <w:szCs w:val="24"/>
          <w:lang w:val="fr-FR"/>
        </w:rPr>
        <w:t xml:space="preserve"> réagit plus négativement aux pertes qu’il subit que ce qu’il ne réagit </w:t>
      </w:r>
      <w:r w:rsidR="002A1B8D" w:rsidRPr="00062A1D">
        <w:rPr>
          <w:rFonts w:ascii="Times New Roman" w:hAnsi="Times New Roman" w:cs="Times New Roman"/>
          <w:sz w:val="24"/>
          <w:szCs w:val="24"/>
          <w:lang w:val="fr-FR"/>
        </w:rPr>
        <w:t xml:space="preserve">positivement </w:t>
      </w:r>
      <w:r w:rsidRPr="00062A1D">
        <w:rPr>
          <w:rFonts w:ascii="Times New Roman" w:hAnsi="Times New Roman" w:cs="Times New Roman"/>
          <w:sz w:val="24"/>
          <w:szCs w:val="24"/>
          <w:lang w:val="fr-FR"/>
        </w:rPr>
        <w:t>aux gains de même ampleur qu’il engrange</w:t>
      </w:r>
      <w:r w:rsidR="00993736" w:rsidRPr="00062A1D">
        <w:rPr>
          <w:rStyle w:val="Appelnotedebasdep"/>
          <w:rFonts w:ascii="Times New Roman" w:hAnsi="Times New Roman" w:cs="Times New Roman"/>
          <w:sz w:val="24"/>
          <w:szCs w:val="24"/>
          <w:lang w:val="fr-FR"/>
        </w:rPr>
        <w:footnoteReference w:id="3"/>
      </w:r>
      <w:r w:rsidRPr="00062A1D">
        <w:rPr>
          <w:rFonts w:ascii="Times New Roman" w:hAnsi="Times New Roman" w:cs="Times New Roman"/>
          <w:sz w:val="24"/>
          <w:szCs w:val="24"/>
          <w:lang w:val="fr-FR"/>
        </w:rPr>
        <w:t xml:space="preserve">. </w:t>
      </w:r>
      <w:r w:rsidR="00002C35" w:rsidRPr="00062A1D">
        <w:rPr>
          <w:rFonts w:ascii="Times New Roman" w:hAnsi="Times New Roman" w:cs="Times New Roman"/>
          <w:sz w:val="24"/>
          <w:szCs w:val="24"/>
          <w:lang w:val="fr-FR"/>
        </w:rPr>
        <w:t>Cette aversion à la perte agit sur le comportement des parties en leur faisant prendre plus de risque</w:t>
      </w:r>
      <w:r w:rsidR="007A69F7">
        <w:rPr>
          <w:rFonts w:ascii="Times New Roman" w:hAnsi="Times New Roman" w:cs="Times New Roman"/>
          <w:sz w:val="24"/>
          <w:szCs w:val="24"/>
          <w:lang w:val="fr-FR"/>
        </w:rPr>
        <w:t>s</w:t>
      </w:r>
      <w:r w:rsidR="00002C35" w:rsidRPr="00062A1D">
        <w:rPr>
          <w:rFonts w:ascii="Times New Roman" w:hAnsi="Times New Roman" w:cs="Times New Roman"/>
          <w:sz w:val="24"/>
          <w:szCs w:val="24"/>
          <w:lang w:val="fr-FR"/>
        </w:rPr>
        <w:t xml:space="preserve"> et en </w:t>
      </w:r>
      <w:r w:rsidR="00611620">
        <w:rPr>
          <w:rFonts w:ascii="Times New Roman" w:hAnsi="Times New Roman" w:cs="Times New Roman"/>
          <w:sz w:val="24"/>
          <w:szCs w:val="24"/>
          <w:lang w:val="fr-FR"/>
        </w:rPr>
        <w:t xml:space="preserve">les amenant à </w:t>
      </w:r>
      <w:r w:rsidR="00002C35" w:rsidRPr="00062A1D">
        <w:rPr>
          <w:rFonts w:ascii="Times New Roman" w:hAnsi="Times New Roman" w:cs="Times New Roman"/>
          <w:sz w:val="24"/>
          <w:szCs w:val="24"/>
          <w:lang w:val="fr-FR"/>
        </w:rPr>
        <w:t>opt</w:t>
      </w:r>
      <w:r w:rsidR="00611620">
        <w:rPr>
          <w:rFonts w:ascii="Times New Roman" w:hAnsi="Times New Roman" w:cs="Times New Roman"/>
          <w:sz w:val="24"/>
          <w:szCs w:val="24"/>
          <w:lang w:val="fr-FR"/>
        </w:rPr>
        <w:t>er</w:t>
      </w:r>
      <w:r w:rsidR="00002C35" w:rsidRPr="00062A1D">
        <w:rPr>
          <w:rFonts w:ascii="Times New Roman" w:hAnsi="Times New Roman" w:cs="Times New Roman"/>
          <w:sz w:val="24"/>
          <w:szCs w:val="24"/>
          <w:lang w:val="fr-FR"/>
        </w:rPr>
        <w:t xml:space="preserve"> pour des stratégies plus agressives</w:t>
      </w:r>
      <w:r w:rsidR="00993736" w:rsidRPr="00062A1D">
        <w:rPr>
          <w:rStyle w:val="Appelnotedebasdep"/>
          <w:rFonts w:ascii="Times New Roman" w:hAnsi="Times New Roman" w:cs="Times New Roman"/>
          <w:sz w:val="24"/>
          <w:szCs w:val="24"/>
          <w:lang w:val="fr-FR"/>
        </w:rPr>
        <w:footnoteReference w:id="4"/>
      </w:r>
      <w:r w:rsidR="00002C35" w:rsidRPr="00062A1D">
        <w:rPr>
          <w:rFonts w:ascii="Times New Roman" w:hAnsi="Times New Roman" w:cs="Times New Roman"/>
          <w:sz w:val="24"/>
          <w:szCs w:val="24"/>
          <w:lang w:val="fr-FR"/>
        </w:rPr>
        <w:t xml:space="preserve"> ce </w:t>
      </w:r>
      <w:r w:rsidR="00002C35" w:rsidRPr="00062A1D">
        <w:rPr>
          <w:rFonts w:ascii="Times New Roman" w:hAnsi="Times New Roman" w:cs="Times New Roman"/>
          <w:sz w:val="24"/>
          <w:szCs w:val="24"/>
          <w:lang w:val="fr-FR"/>
        </w:rPr>
        <w:lastRenderedPageBreak/>
        <w:t xml:space="preserve">qui, dans le cas d’un processus de médiation, </w:t>
      </w:r>
      <w:r w:rsidR="007A69F7">
        <w:rPr>
          <w:rFonts w:ascii="Times New Roman" w:hAnsi="Times New Roman" w:cs="Times New Roman"/>
          <w:sz w:val="24"/>
          <w:szCs w:val="24"/>
          <w:lang w:val="fr-FR"/>
        </w:rPr>
        <w:t>peut</w:t>
      </w:r>
      <w:r w:rsidR="00002C35" w:rsidRPr="00062A1D">
        <w:rPr>
          <w:rFonts w:ascii="Times New Roman" w:hAnsi="Times New Roman" w:cs="Times New Roman"/>
          <w:sz w:val="24"/>
          <w:szCs w:val="24"/>
          <w:lang w:val="fr-FR"/>
        </w:rPr>
        <w:t xml:space="preserve"> les faire pencher pour le retour au tribunal plutôt que pour la conclusion d’un accord à l’amiable. </w:t>
      </w:r>
    </w:p>
    <w:p w14:paraId="4834C04C" w14:textId="2EF8CB56" w:rsidR="00A80DD6" w:rsidRPr="00062A1D" w:rsidRDefault="00A80DD6" w:rsidP="002C69E4">
      <w:pPr>
        <w:spacing w:line="276" w:lineRule="auto"/>
        <w:ind w:firstLine="567"/>
        <w:rPr>
          <w:rFonts w:ascii="Times New Roman" w:hAnsi="Times New Roman" w:cs="Times New Roman"/>
          <w:sz w:val="24"/>
          <w:szCs w:val="24"/>
          <w:lang w:val="fr-FR"/>
        </w:rPr>
      </w:pPr>
      <w:r w:rsidRPr="00062A1D">
        <w:rPr>
          <w:rFonts w:ascii="Times New Roman" w:hAnsi="Times New Roman" w:cs="Times New Roman"/>
          <w:sz w:val="24"/>
          <w:szCs w:val="24"/>
          <w:lang w:val="fr-FR"/>
        </w:rPr>
        <w:t xml:space="preserve">Outre d’orienter les parties vers une analyse des gains </w:t>
      </w:r>
      <w:r w:rsidR="00F71680" w:rsidRPr="00062A1D">
        <w:rPr>
          <w:rFonts w:ascii="Times New Roman" w:hAnsi="Times New Roman" w:cs="Times New Roman"/>
          <w:sz w:val="24"/>
          <w:szCs w:val="24"/>
          <w:lang w:val="fr-FR"/>
        </w:rPr>
        <w:t xml:space="preserve">(plutôt que des pertes) </w:t>
      </w:r>
      <w:r w:rsidRPr="00062A1D">
        <w:rPr>
          <w:rFonts w:ascii="Times New Roman" w:hAnsi="Times New Roman" w:cs="Times New Roman"/>
          <w:sz w:val="24"/>
          <w:szCs w:val="24"/>
          <w:lang w:val="fr-FR"/>
        </w:rPr>
        <w:t>potentiels liés à chaque à accord</w:t>
      </w:r>
      <w:r w:rsidR="00C80C76" w:rsidRPr="00062A1D">
        <w:rPr>
          <w:rStyle w:val="Appelnotedebasdep"/>
          <w:rFonts w:ascii="Times New Roman" w:hAnsi="Times New Roman" w:cs="Times New Roman"/>
          <w:sz w:val="24"/>
          <w:szCs w:val="24"/>
          <w:lang w:val="fr-FR"/>
        </w:rPr>
        <w:footnoteReference w:id="5"/>
      </w:r>
      <w:r w:rsidR="00F71680" w:rsidRPr="00062A1D">
        <w:rPr>
          <w:rFonts w:ascii="Times New Roman" w:hAnsi="Times New Roman" w:cs="Times New Roman"/>
          <w:sz w:val="24"/>
          <w:szCs w:val="24"/>
          <w:lang w:val="fr-FR"/>
        </w:rPr>
        <w:t xml:space="preserve">, les médiateurs et médiatrices </w:t>
      </w:r>
      <w:r w:rsidR="005C4E10" w:rsidRPr="00062A1D">
        <w:rPr>
          <w:rFonts w:ascii="Times New Roman" w:hAnsi="Times New Roman" w:cs="Times New Roman"/>
          <w:sz w:val="24"/>
          <w:szCs w:val="24"/>
          <w:lang w:val="fr-FR"/>
        </w:rPr>
        <w:t>peuvent</w:t>
      </w:r>
      <w:r w:rsidR="00F71680" w:rsidRPr="00062A1D">
        <w:rPr>
          <w:rFonts w:ascii="Times New Roman" w:hAnsi="Times New Roman" w:cs="Times New Roman"/>
          <w:sz w:val="24"/>
          <w:szCs w:val="24"/>
          <w:lang w:val="fr-FR"/>
        </w:rPr>
        <w:t xml:space="preserve"> également être attentifs et attentives à la manière dont l’évaluation des options est </w:t>
      </w:r>
      <w:r w:rsidR="007A69F7">
        <w:rPr>
          <w:rFonts w:ascii="Times New Roman" w:hAnsi="Times New Roman" w:cs="Times New Roman"/>
          <w:sz w:val="24"/>
          <w:szCs w:val="24"/>
          <w:lang w:val="fr-FR"/>
        </w:rPr>
        <w:t>réalisée</w:t>
      </w:r>
      <w:r w:rsidR="00F71680" w:rsidRPr="00062A1D">
        <w:rPr>
          <w:rFonts w:ascii="Times New Roman" w:hAnsi="Times New Roman" w:cs="Times New Roman"/>
          <w:sz w:val="24"/>
          <w:szCs w:val="24"/>
          <w:lang w:val="fr-FR"/>
        </w:rPr>
        <w:t xml:space="preserve">. Les recherches montrent en effet qu’avoir à </w:t>
      </w:r>
      <w:r w:rsidR="00D6360B" w:rsidRPr="00062A1D">
        <w:rPr>
          <w:rFonts w:ascii="Times New Roman" w:hAnsi="Times New Roman" w:cs="Times New Roman"/>
          <w:sz w:val="24"/>
          <w:szCs w:val="24"/>
          <w:lang w:val="fr-FR"/>
        </w:rPr>
        <w:t>« </w:t>
      </w:r>
      <w:r w:rsidR="00F71680" w:rsidRPr="00062A1D">
        <w:rPr>
          <w:rFonts w:ascii="Times New Roman" w:hAnsi="Times New Roman" w:cs="Times New Roman"/>
          <w:sz w:val="24"/>
          <w:szCs w:val="24"/>
          <w:lang w:val="fr-FR"/>
        </w:rPr>
        <w:t>choisir</w:t>
      </w:r>
      <w:r w:rsidR="00D6360B" w:rsidRPr="00062A1D">
        <w:rPr>
          <w:rFonts w:ascii="Times New Roman" w:hAnsi="Times New Roman" w:cs="Times New Roman"/>
          <w:sz w:val="24"/>
          <w:szCs w:val="24"/>
          <w:lang w:val="fr-FR"/>
        </w:rPr>
        <w:t xml:space="preserve"> » </w:t>
      </w:r>
      <w:r w:rsidR="00F71680" w:rsidRPr="00062A1D">
        <w:rPr>
          <w:rFonts w:ascii="Times New Roman" w:hAnsi="Times New Roman" w:cs="Times New Roman"/>
          <w:sz w:val="24"/>
          <w:szCs w:val="24"/>
          <w:lang w:val="fr-FR"/>
        </w:rPr>
        <w:t>la meilleure option n’a pas les mêmes conséquences psychologiques que de devoir décider quelles options sont à</w:t>
      </w:r>
      <w:r w:rsidR="00D6360B" w:rsidRPr="00062A1D">
        <w:rPr>
          <w:rFonts w:ascii="Times New Roman" w:hAnsi="Times New Roman" w:cs="Times New Roman"/>
          <w:sz w:val="24"/>
          <w:szCs w:val="24"/>
          <w:lang w:val="fr-FR"/>
        </w:rPr>
        <w:t xml:space="preserve"> « </w:t>
      </w:r>
      <w:r w:rsidR="00F71680" w:rsidRPr="00062A1D">
        <w:rPr>
          <w:rFonts w:ascii="Times New Roman" w:hAnsi="Times New Roman" w:cs="Times New Roman"/>
          <w:sz w:val="24"/>
          <w:szCs w:val="24"/>
          <w:lang w:val="fr-FR"/>
        </w:rPr>
        <w:t>rejeter</w:t>
      </w:r>
      <w:r w:rsidR="00D6360B" w:rsidRPr="00062A1D">
        <w:rPr>
          <w:rFonts w:ascii="Times New Roman" w:hAnsi="Times New Roman" w:cs="Times New Roman"/>
          <w:sz w:val="24"/>
          <w:szCs w:val="24"/>
          <w:lang w:val="fr-FR"/>
        </w:rPr>
        <w:t> »</w:t>
      </w:r>
      <w:r w:rsidR="00C80C76" w:rsidRPr="00062A1D">
        <w:rPr>
          <w:rStyle w:val="Appelnotedebasdep"/>
          <w:rFonts w:ascii="Times New Roman" w:hAnsi="Times New Roman" w:cs="Times New Roman"/>
          <w:sz w:val="24"/>
          <w:szCs w:val="24"/>
          <w:lang w:val="fr-FR"/>
        </w:rPr>
        <w:footnoteReference w:id="6"/>
      </w:r>
      <w:r w:rsidR="00F71680" w:rsidRPr="00062A1D">
        <w:rPr>
          <w:rFonts w:ascii="Times New Roman" w:hAnsi="Times New Roman" w:cs="Times New Roman"/>
          <w:sz w:val="24"/>
          <w:szCs w:val="24"/>
          <w:lang w:val="fr-FR"/>
        </w:rPr>
        <w:t xml:space="preserve">. D’abord parce que le travail de rejet des options les moins appropriées met </w:t>
      </w:r>
      <w:r w:rsidR="00F71680" w:rsidRPr="00062A1D">
        <w:rPr>
          <w:rFonts w:ascii="Times New Roman" w:hAnsi="Times New Roman" w:cs="Times New Roman"/>
          <w:i/>
          <w:sz w:val="24"/>
          <w:szCs w:val="24"/>
          <w:lang w:val="fr-FR"/>
        </w:rPr>
        <w:t>de facto</w:t>
      </w:r>
      <w:r w:rsidR="00F71680" w:rsidRPr="00062A1D">
        <w:rPr>
          <w:rFonts w:ascii="Times New Roman" w:hAnsi="Times New Roman" w:cs="Times New Roman"/>
          <w:sz w:val="24"/>
          <w:szCs w:val="24"/>
          <w:lang w:val="fr-FR"/>
        </w:rPr>
        <w:t xml:space="preserve"> l’accent sur les défauts de chacune</w:t>
      </w:r>
      <w:r w:rsidR="00E061EF">
        <w:rPr>
          <w:rFonts w:ascii="Times New Roman" w:hAnsi="Times New Roman" w:cs="Times New Roman"/>
          <w:sz w:val="24"/>
          <w:szCs w:val="24"/>
          <w:lang w:val="fr-FR"/>
        </w:rPr>
        <w:t>,</w:t>
      </w:r>
      <w:r w:rsidR="00F71680" w:rsidRPr="00062A1D">
        <w:rPr>
          <w:rFonts w:ascii="Times New Roman" w:hAnsi="Times New Roman" w:cs="Times New Roman"/>
          <w:sz w:val="24"/>
          <w:szCs w:val="24"/>
          <w:lang w:val="fr-FR"/>
        </w:rPr>
        <w:t xml:space="preserve"> ce qui attise le phénomène d’aversion à la perte. </w:t>
      </w:r>
      <w:r w:rsidR="00556EA8" w:rsidRPr="00062A1D">
        <w:rPr>
          <w:rFonts w:ascii="Times New Roman" w:hAnsi="Times New Roman" w:cs="Times New Roman"/>
          <w:sz w:val="24"/>
          <w:szCs w:val="24"/>
          <w:lang w:val="fr-FR"/>
        </w:rPr>
        <w:t xml:space="preserve">Ensuite, </w:t>
      </w:r>
      <w:r w:rsidR="00D6360B" w:rsidRPr="00062A1D">
        <w:rPr>
          <w:rFonts w:ascii="Times New Roman" w:hAnsi="Times New Roman" w:cs="Times New Roman"/>
          <w:sz w:val="24"/>
          <w:szCs w:val="24"/>
          <w:lang w:val="fr-FR"/>
        </w:rPr>
        <w:t>parce l’activité de rejet pousse les individus à analyser les accords en détail</w:t>
      </w:r>
      <w:r w:rsidR="0001332A" w:rsidRPr="00062A1D">
        <w:rPr>
          <w:rStyle w:val="Appelnotedebasdep"/>
          <w:rFonts w:ascii="Times New Roman" w:hAnsi="Times New Roman" w:cs="Times New Roman"/>
          <w:sz w:val="24"/>
          <w:szCs w:val="24"/>
          <w:lang w:val="fr-FR"/>
        </w:rPr>
        <w:footnoteReference w:id="7"/>
      </w:r>
      <w:r w:rsidR="00D6360B" w:rsidRPr="00062A1D">
        <w:rPr>
          <w:rFonts w:ascii="Times New Roman" w:hAnsi="Times New Roman" w:cs="Times New Roman"/>
          <w:sz w:val="24"/>
          <w:szCs w:val="24"/>
          <w:lang w:val="fr-FR"/>
        </w:rPr>
        <w:t xml:space="preserve"> et</w:t>
      </w:r>
      <w:r w:rsidR="00E061EF">
        <w:rPr>
          <w:rFonts w:ascii="Times New Roman" w:hAnsi="Times New Roman" w:cs="Times New Roman"/>
          <w:sz w:val="24"/>
          <w:szCs w:val="24"/>
          <w:lang w:val="fr-FR"/>
        </w:rPr>
        <w:t xml:space="preserve"> à</w:t>
      </w:r>
      <w:r w:rsidR="00D6360B" w:rsidRPr="00062A1D">
        <w:rPr>
          <w:rFonts w:ascii="Times New Roman" w:hAnsi="Times New Roman" w:cs="Times New Roman"/>
          <w:sz w:val="24"/>
          <w:szCs w:val="24"/>
          <w:lang w:val="fr-FR"/>
        </w:rPr>
        <w:t xml:space="preserve"> les rendre plus indécis, notamment lorsqu’il s’agit de se défaire d’options dont la qualité est ambigüe plutôt qu’évidente</w:t>
      </w:r>
      <w:r w:rsidR="0001332A" w:rsidRPr="00062A1D">
        <w:rPr>
          <w:rStyle w:val="Appelnotedebasdep"/>
          <w:rFonts w:ascii="Times New Roman" w:hAnsi="Times New Roman" w:cs="Times New Roman"/>
          <w:sz w:val="24"/>
          <w:szCs w:val="24"/>
          <w:lang w:val="fr-FR"/>
        </w:rPr>
        <w:footnoteReference w:id="8"/>
      </w:r>
      <w:r w:rsidR="00D6360B" w:rsidRPr="00062A1D">
        <w:rPr>
          <w:rFonts w:ascii="Times New Roman" w:hAnsi="Times New Roman" w:cs="Times New Roman"/>
          <w:sz w:val="24"/>
          <w:szCs w:val="24"/>
          <w:lang w:val="fr-FR"/>
        </w:rPr>
        <w:t xml:space="preserve">. </w:t>
      </w:r>
    </w:p>
    <w:p w14:paraId="2AC20C70" w14:textId="199D72F1" w:rsidR="00002C35" w:rsidRPr="00062A1D" w:rsidRDefault="00D6360B" w:rsidP="002C69E4">
      <w:pPr>
        <w:spacing w:line="276" w:lineRule="auto"/>
        <w:ind w:firstLine="567"/>
        <w:rPr>
          <w:rFonts w:ascii="Times New Roman" w:hAnsi="Times New Roman" w:cs="Times New Roman"/>
          <w:sz w:val="24"/>
          <w:szCs w:val="24"/>
          <w:lang w:val="fr-FR"/>
        </w:rPr>
      </w:pPr>
      <w:r w:rsidRPr="00062A1D">
        <w:rPr>
          <w:rFonts w:ascii="Times New Roman" w:hAnsi="Times New Roman" w:cs="Times New Roman"/>
          <w:sz w:val="24"/>
          <w:szCs w:val="24"/>
          <w:lang w:val="fr-FR"/>
        </w:rPr>
        <w:t xml:space="preserve">Notons enfin </w:t>
      </w:r>
      <w:r w:rsidR="00002C35" w:rsidRPr="00062A1D">
        <w:rPr>
          <w:rFonts w:ascii="Times New Roman" w:hAnsi="Times New Roman" w:cs="Times New Roman"/>
          <w:sz w:val="24"/>
          <w:szCs w:val="24"/>
          <w:lang w:val="fr-FR"/>
        </w:rPr>
        <w:t xml:space="preserve">que le phénomène d’aversion à la perte </w:t>
      </w:r>
      <w:r w:rsidRPr="00062A1D">
        <w:rPr>
          <w:rFonts w:ascii="Times New Roman" w:hAnsi="Times New Roman" w:cs="Times New Roman"/>
          <w:sz w:val="24"/>
          <w:szCs w:val="24"/>
          <w:lang w:val="fr-FR"/>
        </w:rPr>
        <w:t xml:space="preserve">est également accentué </w:t>
      </w:r>
      <w:r w:rsidR="00002C35" w:rsidRPr="00062A1D">
        <w:rPr>
          <w:rFonts w:ascii="Times New Roman" w:hAnsi="Times New Roman" w:cs="Times New Roman"/>
          <w:sz w:val="24"/>
          <w:szCs w:val="24"/>
          <w:lang w:val="fr-FR"/>
        </w:rPr>
        <w:t xml:space="preserve">lorsque les </w:t>
      </w:r>
      <w:r w:rsidR="005C4E10" w:rsidRPr="00062A1D">
        <w:rPr>
          <w:rFonts w:ascii="Times New Roman" w:hAnsi="Times New Roman" w:cs="Times New Roman"/>
          <w:sz w:val="24"/>
          <w:szCs w:val="24"/>
          <w:lang w:val="fr-FR"/>
        </w:rPr>
        <w:t xml:space="preserve">différentes </w:t>
      </w:r>
      <w:r w:rsidR="00002C35" w:rsidRPr="00062A1D">
        <w:rPr>
          <w:rFonts w:ascii="Times New Roman" w:hAnsi="Times New Roman" w:cs="Times New Roman"/>
          <w:sz w:val="24"/>
          <w:szCs w:val="24"/>
          <w:lang w:val="fr-FR"/>
        </w:rPr>
        <w:t xml:space="preserve">options sont évaluées en parallèle, </w:t>
      </w:r>
      <w:r w:rsidR="00611620">
        <w:rPr>
          <w:rFonts w:ascii="Times New Roman" w:hAnsi="Times New Roman" w:cs="Times New Roman"/>
          <w:sz w:val="24"/>
          <w:szCs w:val="24"/>
          <w:lang w:val="fr-FR"/>
        </w:rPr>
        <w:t xml:space="preserve">c’est-à-dire </w:t>
      </w:r>
      <w:r w:rsidR="00BF4D68" w:rsidRPr="00062A1D">
        <w:rPr>
          <w:rFonts w:ascii="Times New Roman" w:hAnsi="Times New Roman" w:cs="Times New Roman"/>
          <w:sz w:val="24"/>
          <w:szCs w:val="24"/>
          <w:lang w:val="fr-FR"/>
        </w:rPr>
        <w:t xml:space="preserve">comparativement les unes par rapport aux autres, plutôt que de manière indépendante. </w:t>
      </w:r>
      <w:r w:rsidR="005C4E10" w:rsidRPr="00062A1D">
        <w:rPr>
          <w:rFonts w:ascii="Times New Roman" w:hAnsi="Times New Roman" w:cs="Times New Roman"/>
          <w:sz w:val="24"/>
          <w:szCs w:val="24"/>
          <w:lang w:val="fr-FR"/>
        </w:rPr>
        <w:t>En effet, la comparaison des options a pour corollaire la mise</w:t>
      </w:r>
      <w:r w:rsidR="00E061EF">
        <w:rPr>
          <w:rFonts w:ascii="Times New Roman" w:hAnsi="Times New Roman" w:cs="Times New Roman"/>
          <w:sz w:val="24"/>
          <w:szCs w:val="24"/>
          <w:lang w:val="fr-FR"/>
        </w:rPr>
        <w:t xml:space="preserve"> en</w:t>
      </w:r>
      <w:r w:rsidR="005C4E10" w:rsidRPr="00062A1D">
        <w:rPr>
          <w:rFonts w:ascii="Times New Roman" w:hAnsi="Times New Roman" w:cs="Times New Roman"/>
          <w:sz w:val="24"/>
          <w:szCs w:val="24"/>
          <w:lang w:val="fr-FR"/>
        </w:rPr>
        <w:t xml:space="preserve"> lumière des insuffisances de chacune</w:t>
      </w:r>
      <w:r w:rsidR="00E061EF">
        <w:rPr>
          <w:rFonts w:ascii="Times New Roman" w:hAnsi="Times New Roman" w:cs="Times New Roman"/>
          <w:sz w:val="24"/>
          <w:szCs w:val="24"/>
          <w:lang w:val="fr-FR"/>
        </w:rPr>
        <w:t>,</w:t>
      </w:r>
      <w:r w:rsidR="005C4E10" w:rsidRPr="00062A1D">
        <w:rPr>
          <w:rFonts w:ascii="Times New Roman" w:hAnsi="Times New Roman" w:cs="Times New Roman"/>
          <w:sz w:val="24"/>
          <w:szCs w:val="24"/>
          <w:lang w:val="fr-FR"/>
        </w:rPr>
        <w:t xml:space="preserve"> ce qui </w:t>
      </w:r>
      <w:r w:rsidR="00D4321C" w:rsidRPr="00062A1D">
        <w:rPr>
          <w:rFonts w:ascii="Times New Roman" w:hAnsi="Times New Roman" w:cs="Times New Roman"/>
          <w:sz w:val="24"/>
          <w:szCs w:val="24"/>
          <w:lang w:val="fr-FR"/>
        </w:rPr>
        <w:t>attise l’impression de perte</w:t>
      </w:r>
      <w:r w:rsidR="00856C2E" w:rsidRPr="00062A1D">
        <w:rPr>
          <w:rFonts w:ascii="Times New Roman" w:hAnsi="Times New Roman" w:cs="Times New Roman"/>
          <w:sz w:val="24"/>
          <w:szCs w:val="24"/>
          <w:lang w:val="fr-FR"/>
        </w:rPr>
        <w:t xml:space="preserve"> et augmente la probabilité d’une absence d’accord</w:t>
      </w:r>
      <w:r w:rsidR="00AE3CC8" w:rsidRPr="00062A1D">
        <w:rPr>
          <w:rFonts w:ascii="Times New Roman" w:hAnsi="Times New Roman" w:cs="Times New Roman"/>
          <w:sz w:val="24"/>
          <w:szCs w:val="24"/>
          <w:lang w:val="fr-FR"/>
        </w:rPr>
        <w:t xml:space="preserve">. </w:t>
      </w:r>
    </w:p>
    <w:p w14:paraId="7163DC95" w14:textId="77777777" w:rsidR="0099227D" w:rsidRPr="00062A1D" w:rsidRDefault="0099227D" w:rsidP="002C69E4">
      <w:pPr>
        <w:spacing w:line="276" w:lineRule="auto"/>
        <w:ind w:firstLine="567"/>
        <w:rPr>
          <w:rFonts w:ascii="Times New Roman" w:hAnsi="Times New Roman" w:cs="Times New Roman"/>
          <w:b/>
          <w:sz w:val="24"/>
          <w:szCs w:val="24"/>
          <w:lang w:val="fr-FR"/>
        </w:rPr>
      </w:pPr>
      <w:r w:rsidRPr="00062A1D">
        <w:rPr>
          <w:rFonts w:ascii="Times New Roman" w:hAnsi="Times New Roman" w:cs="Times New Roman"/>
          <w:b/>
          <w:sz w:val="24"/>
          <w:szCs w:val="24"/>
          <w:lang w:val="fr-FR"/>
        </w:rPr>
        <w:t>Négocier avant de choisir, ou l’inévitable retour des comportements compétitifs</w:t>
      </w:r>
    </w:p>
    <w:p w14:paraId="1F122D4D" w14:textId="263303B4" w:rsidR="004B6408" w:rsidRPr="00062A1D" w:rsidRDefault="00F66328" w:rsidP="002C69E4">
      <w:pPr>
        <w:spacing w:line="276" w:lineRule="auto"/>
        <w:ind w:firstLine="567"/>
        <w:rPr>
          <w:rFonts w:ascii="Times New Roman" w:hAnsi="Times New Roman" w:cs="Times New Roman"/>
          <w:sz w:val="24"/>
          <w:szCs w:val="24"/>
          <w:lang w:val="fr-FR"/>
        </w:rPr>
      </w:pPr>
      <w:r w:rsidRPr="00062A1D">
        <w:rPr>
          <w:rFonts w:ascii="Times New Roman" w:hAnsi="Times New Roman" w:cs="Times New Roman"/>
          <w:sz w:val="24"/>
          <w:szCs w:val="24"/>
          <w:lang w:val="fr-FR"/>
        </w:rPr>
        <w:t>Ayant évalu</w:t>
      </w:r>
      <w:r w:rsidR="00715F95">
        <w:rPr>
          <w:rFonts w:ascii="Times New Roman" w:hAnsi="Times New Roman" w:cs="Times New Roman"/>
          <w:sz w:val="24"/>
          <w:szCs w:val="24"/>
          <w:lang w:val="fr-FR"/>
        </w:rPr>
        <w:t>é</w:t>
      </w:r>
      <w:r w:rsidRPr="00062A1D">
        <w:rPr>
          <w:rFonts w:ascii="Times New Roman" w:hAnsi="Times New Roman" w:cs="Times New Roman"/>
          <w:sz w:val="24"/>
          <w:szCs w:val="24"/>
          <w:lang w:val="fr-FR"/>
        </w:rPr>
        <w:t xml:space="preserve"> les différentes options, les parties vont ensuite entrer en phase de négociation proprement dite. Si la </w:t>
      </w:r>
      <w:r w:rsidR="00AC598F" w:rsidRPr="00062A1D">
        <w:rPr>
          <w:rFonts w:ascii="Times New Roman" w:hAnsi="Times New Roman" w:cs="Times New Roman"/>
          <w:sz w:val="24"/>
          <w:szCs w:val="24"/>
          <w:lang w:val="fr-FR"/>
        </w:rPr>
        <w:t xml:space="preserve">médiation s’est déroulée de façon optimale, </w:t>
      </w:r>
      <w:r w:rsidR="00A517CA" w:rsidRPr="00062A1D">
        <w:rPr>
          <w:rFonts w:ascii="Times New Roman" w:hAnsi="Times New Roman" w:cs="Times New Roman"/>
          <w:sz w:val="24"/>
          <w:szCs w:val="24"/>
          <w:lang w:val="fr-FR"/>
        </w:rPr>
        <w:t xml:space="preserve">les parties en désaccord ont généralement réussi à mettre de côté, au moins temporairement, leurs divergences </w:t>
      </w:r>
      <w:r w:rsidRPr="00062A1D">
        <w:rPr>
          <w:rFonts w:ascii="Times New Roman" w:hAnsi="Times New Roman" w:cs="Times New Roman"/>
          <w:sz w:val="24"/>
          <w:szCs w:val="24"/>
          <w:lang w:val="fr-FR"/>
        </w:rPr>
        <w:t xml:space="preserve">ce qui a permis </w:t>
      </w:r>
      <w:r w:rsidR="00A517CA" w:rsidRPr="00062A1D">
        <w:rPr>
          <w:rFonts w:ascii="Times New Roman" w:hAnsi="Times New Roman" w:cs="Times New Roman"/>
          <w:sz w:val="24"/>
          <w:szCs w:val="24"/>
          <w:lang w:val="fr-FR"/>
        </w:rPr>
        <w:t>au processus créatif de se déployer de manière optimale.</w:t>
      </w:r>
      <w:r w:rsidR="00780E90" w:rsidRPr="00062A1D">
        <w:rPr>
          <w:rFonts w:ascii="Times New Roman" w:hAnsi="Times New Roman" w:cs="Times New Roman"/>
          <w:sz w:val="24"/>
          <w:szCs w:val="24"/>
          <w:lang w:val="fr-FR"/>
        </w:rPr>
        <w:t xml:space="preserve"> Mais une fois le processus créatif arrivé à son terme</w:t>
      </w:r>
      <w:r w:rsidRPr="00062A1D">
        <w:rPr>
          <w:rFonts w:ascii="Times New Roman" w:hAnsi="Times New Roman" w:cs="Times New Roman"/>
          <w:sz w:val="24"/>
          <w:szCs w:val="24"/>
          <w:lang w:val="fr-FR"/>
        </w:rPr>
        <w:t xml:space="preserve"> et l’évaluation des options accomplie</w:t>
      </w:r>
      <w:r w:rsidR="00780E90" w:rsidRPr="00062A1D">
        <w:rPr>
          <w:rFonts w:ascii="Times New Roman" w:hAnsi="Times New Roman" w:cs="Times New Roman"/>
          <w:sz w:val="24"/>
          <w:szCs w:val="24"/>
          <w:lang w:val="fr-FR"/>
        </w:rPr>
        <w:t>, un tournant important s’opère : les parties doivent à présent négocier et décider laquelle, parmi toutes les options envisagées, elle</w:t>
      </w:r>
      <w:r w:rsidR="00341BCA" w:rsidRPr="00062A1D">
        <w:rPr>
          <w:rFonts w:ascii="Times New Roman" w:hAnsi="Times New Roman" w:cs="Times New Roman"/>
          <w:sz w:val="24"/>
          <w:szCs w:val="24"/>
          <w:lang w:val="fr-FR"/>
        </w:rPr>
        <w:t>s</w:t>
      </w:r>
      <w:r w:rsidR="00780E90" w:rsidRPr="00062A1D">
        <w:rPr>
          <w:rFonts w:ascii="Times New Roman" w:hAnsi="Times New Roman" w:cs="Times New Roman"/>
          <w:sz w:val="24"/>
          <w:szCs w:val="24"/>
          <w:lang w:val="fr-FR"/>
        </w:rPr>
        <w:t xml:space="preserve"> souhaitent </w:t>
      </w:r>
      <w:r w:rsidR="00615A57" w:rsidRPr="00062A1D">
        <w:rPr>
          <w:rFonts w:ascii="Times New Roman" w:hAnsi="Times New Roman" w:cs="Times New Roman"/>
          <w:sz w:val="24"/>
          <w:szCs w:val="24"/>
          <w:lang w:val="fr-FR"/>
        </w:rPr>
        <w:t xml:space="preserve">communément </w:t>
      </w:r>
      <w:r w:rsidR="00780E90" w:rsidRPr="00062A1D">
        <w:rPr>
          <w:rFonts w:ascii="Times New Roman" w:hAnsi="Times New Roman" w:cs="Times New Roman"/>
          <w:sz w:val="24"/>
          <w:szCs w:val="24"/>
          <w:lang w:val="fr-FR"/>
        </w:rPr>
        <w:t xml:space="preserve">adopter. </w:t>
      </w:r>
      <w:r w:rsidR="004B6408" w:rsidRPr="00062A1D">
        <w:rPr>
          <w:rFonts w:ascii="Times New Roman" w:hAnsi="Times New Roman" w:cs="Times New Roman"/>
          <w:sz w:val="24"/>
          <w:szCs w:val="24"/>
          <w:lang w:val="fr-FR"/>
        </w:rPr>
        <w:t xml:space="preserve">Or, s’il est envisageable que toutes les parties s’accordent sur la qualité de chacune des options, il est tout aussi possible que leur avis sur la question diverge. En effet, même lorsqu’elles auront eu à cœur de se dégoter des intérêts communs, une partie n’est jamais totalement l’autre et ce qui tient à cœur à l’une n’est pas nécessairement valorisé par l’autre. </w:t>
      </w:r>
      <w:r w:rsidR="00C422F9" w:rsidRPr="00062A1D">
        <w:rPr>
          <w:rFonts w:ascii="Times New Roman" w:hAnsi="Times New Roman" w:cs="Times New Roman"/>
          <w:sz w:val="24"/>
          <w:szCs w:val="24"/>
          <w:lang w:val="fr-FR"/>
        </w:rPr>
        <w:t>Certes des propositions bien ficelées prennent normalement en considération ce genre d’écart</w:t>
      </w:r>
      <w:r w:rsidR="00715F95">
        <w:rPr>
          <w:rFonts w:ascii="Times New Roman" w:hAnsi="Times New Roman" w:cs="Times New Roman"/>
          <w:sz w:val="24"/>
          <w:szCs w:val="24"/>
          <w:lang w:val="fr-FR"/>
        </w:rPr>
        <w:t>,</w:t>
      </w:r>
      <w:r w:rsidR="00C422F9" w:rsidRPr="00062A1D">
        <w:rPr>
          <w:rFonts w:ascii="Times New Roman" w:hAnsi="Times New Roman" w:cs="Times New Roman"/>
          <w:sz w:val="24"/>
          <w:szCs w:val="24"/>
          <w:lang w:val="fr-FR"/>
        </w:rPr>
        <w:t xml:space="preserve"> mais aussi intégratives et coopératives soient-elles, les options « parfaites », c’est-à-dire celles qui répondent </w:t>
      </w:r>
      <w:r w:rsidR="00C422F9" w:rsidRPr="00062A1D">
        <w:rPr>
          <w:rFonts w:ascii="Times New Roman" w:hAnsi="Times New Roman" w:cs="Times New Roman"/>
          <w:sz w:val="24"/>
          <w:szCs w:val="24"/>
          <w:lang w:val="fr-FR"/>
        </w:rPr>
        <w:lastRenderedPageBreak/>
        <w:t xml:space="preserve">parfaitement aux intérêts et priorités de toutes les parties, sont plutôt rares et des concessions restent souvent de mise. </w:t>
      </w:r>
    </w:p>
    <w:p w14:paraId="1760AF7A" w14:textId="77777777" w:rsidR="00602EA4" w:rsidRPr="00062A1D" w:rsidRDefault="00C422F9" w:rsidP="002C69E4">
      <w:pPr>
        <w:spacing w:line="276" w:lineRule="auto"/>
        <w:ind w:firstLine="567"/>
        <w:rPr>
          <w:rFonts w:ascii="Times New Roman" w:hAnsi="Times New Roman" w:cs="Times New Roman"/>
          <w:sz w:val="24"/>
          <w:szCs w:val="24"/>
          <w:lang w:val="fr-FR"/>
        </w:rPr>
      </w:pPr>
      <w:r w:rsidRPr="00062A1D">
        <w:rPr>
          <w:rFonts w:ascii="Times New Roman" w:hAnsi="Times New Roman" w:cs="Times New Roman"/>
          <w:sz w:val="24"/>
          <w:szCs w:val="24"/>
          <w:lang w:val="fr-FR"/>
        </w:rPr>
        <w:t xml:space="preserve">Bien que cette phase de négociation entre les options envisagées soit parfaitement naturelle et nécessaire, elle coïncide malheureusement souvent avec </w:t>
      </w:r>
      <w:r w:rsidR="00341BCA" w:rsidRPr="00062A1D">
        <w:rPr>
          <w:rFonts w:ascii="Times New Roman" w:hAnsi="Times New Roman" w:cs="Times New Roman"/>
          <w:sz w:val="24"/>
          <w:szCs w:val="24"/>
          <w:lang w:val="fr-FR"/>
        </w:rPr>
        <w:t xml:space="preserve">le retour de comportements plus compétitifs. </w:t>
      </w:r>
      <w:r w:rsidR="00602EA4" w:rsidRPr="00062A1D">
        <w:rPr>
          <w:rFonts w:ascii="Times New Roman" w:hAnsi="Times New Roman" w:cs="Times New Roman"/>
          <w:sz w:val="24"/>
          <w:szCs w:val="24"/>
          <w:lang w:val="fr-FR"/>
        </w:rPr>
        <w:t>Cet inévitable retour de la divergence à la table des discussions s’accompagne des habituelles erreurs associées à la compétition. Parmi les erreurs de jugement compétitives les plus communes</w:t>
      </w:r>
      <w:r w:rsidR="00A632A1" w:rsidRPr="00062A1D">
        <w:rPr>
          <w:rFonts w:ascii="Times New Roman" w:hAnsi="Times New Roman" w:cs="Times New Roman"/>
          <w:sz w:val="24"/>
          <w:szCs w:val="24"/>
          <w:lang w:val="fr-FR"/>
        </w:rPr>
        <w:t>,</w:t>
      </w:r>
      <w:r w:rsidR="00602EA4" w:rsidRPr="00062A1D">
        <w:rPr>
          <w:rFonts w:ascii="Times New Roman" w:hAnsi="Times New Roman" w:cs="Times New Roman"/>
          <w:sz w:val="24"/>
          <w:szCs w:val="24"/>
          <w:lang w:val="fr-FR"/>
        </w:rPr>
        <w:t xml:space="preserve"> qui risquent </w:t>
      </w:r>
      <w:r w:rsidR="00A632A1" w:rsidRPr="00062A1D">
        <w:rPr>
          <w:rFonts w:ascii="Times New Roman" w:hAnsi="Times New Roman" w:cs="Times New Roman"/>
          <w:sz w:val="24"/>
          <w:szCs w:val="24"/>
          <w:lang w:val="fr-FR"/>
        </w:rPr>
        <w:t>mettre en péril l’adoption d’un accord définitif</w:t>
      </w:r>
      <w:r w:rsidR="00602EA4" w:rsidRPr="00062A1D">
        <w:rPr>
          <w:rFonts w:ascii="Times New Roman" w:hAnsi="Times New Roman" w:cs="Times New Roman"/>
          <w:sz w:val="24"/>
          <w:szCs w:val="24"/>
          <w:lang w:val="fr-FR"/>
        </w:rPr>
        <w:t xml:space="preserve">, nous en </w:t>
      </w:r>
      <w:r w:rsidR="00A632A1" w:rsidRPr="00062A1D">
        <w:rPr>
          <w:rFonts w:ascii="Times New Roman" w:hAnsi="Times New Roman" w:cs="Times New Roman"/>
          <w:sz w:val="24"/>
          <w:szCs w:val="24"/>
          <w:lang w:val="fr-FR"/>
        </w:rPr>
        <w:t>détaillerons</w:t>
      </w:r>
      <w:r w:rsidR="00602EA4" w:rsidRPr="00062A1D">
        <w:rPr>
          <w:rFonts w:ascii="Times New Roman" w:hAnsi="Times New Roman" w:cs="Times New Roman"/>
          <w:sz w:val="24"/>
          <w:szCs w:val="24"/>
          <w:lang w:val="fr-FR"/>
        </w:rPr>
        <w:t xml:space="preserve"> </w:t>
      </w:r>
      <w:r w:rsidR="00A632A1" w:rsidRPr="00062A1D">
        <w:rPr>
          <w:rFonts w:ascii="Times New Roman" w:hAnsi="Times New Roman" w:cs="Times New Roman"/>
          <w:sz w:val="24"/>
          <w:szCs w:val="24"/>
          <w:lang w:val="fr-FR"/>
        </w:rPr>
        <w:t>deux</w:t>
      </w:r>
      <w:r w:rsidR="00602EA4" w:rsidRPr="00062A1D">
        <w:rPr>
          <w:rFonts w:ascii="Times New Roman" w:hAnsi="Times New Roman" w:cs="Times New Roman"/>
          <w:sz w:val="24"/>
          <w:szCs w:val="24"/>
          <w:lang w:val="fr-FR"/>
        </w:rPr>
        <w:t xml:space="preserve"> : </w:t>
      </w:r>
      <w:r w:rsidR="00A632A1" w:rsidRPr="00062A1D">
        <w:rPr>
          <w:rFonts w:ascii="Times New Roman" w:hAnsi="Times New Roman" w:cs="Times New Roman"/>
          <w:sz w:val="24"/>
          <w:szCs w:val="24"/>
          <w:lang w:val="fr-FR"/>
        </w:rPr>
        <w:t>la dévalorisation réactive et l’optimisme excessif.</w:t>
      </w:r>
    </w:p>
    <w:p w14:paraId="7338A040" w14:textId="434C6BD3" w:rsidR="00A632A1" w:rsidRPr="00062A1D" w:rsidRDefault="00A632A1" w:rsidP="002C69E4">
      <w:pPr>
        <w:spacing w:line="276" w:lineRule="auto"/>
        <w:ind w:firstLine="567"/>
        <w:rPr>
          <w:rFonts w:ascii="Times New Roman" w:hAnsi="Times New Roman" w:cs="Times New Roman"/>
          <w:sz w:val="24"/>
          <w:szCs w:val="24"/>
          <w:lang w:val="fr-FR"/>
        </w:rPr>
      </w:pPr>
      <w:r w:rsidRPr="00062A1D">
        <w:rPr>
          <w:rFonts w:ascii="Times New Roman" w:hAnsi="Times New Roman" w:cs="Times New Roman"/>
          <w:sz w:val="24"/>
          <w:szCs w:val="24"/>
          <w:lang w:val="fr-FR"/>
        </w:rPr>
        <w:t xml:space="preserve">Lorsqu’une personne est en mode « compétitif » d’un point de vue psychologique, </w:t>
      </w:r>
      <w:r w:rsidR="004E3E5F" w:rsidRPr="00062A1D">
        <w:rPr>
          <w:rFonts w:ascii="Times New Roman" w:hAnsi="Times New Roman" w:cs="Times New Roman"/>
          <w:sz w:val="24"/>
          <w:szCs w:val="24"/>
          <w:lang w:val="fr-FR"/>
        </w:rPr>
        <w:t>elle tombe fréquemment dans le piège de la dévalorisation réactive</w:t>
      </w:r>
      <w:r w:rsidR="000A6C4B" w:rsidRPr="00062A1D">
        <w:rPr>
          <w:rStyle w:val="Appelnotedebasdep"/>
          <w:rFonts w:ascii="Times New Roman" w:hAnsi="Times New Roman" w:cs="Times New Roman"/>
          <w:sz w:val="24"/>
          <w:szCs w:val="24"/>
          <w:lang w:val="fr-FR"/>
        </w:rPr>
        <w:footnoteReference w:id="9"/>
      </w:r>
      <w:r w:rsidR="004E3E5F" w:rsidRPr="00062A1D">
        <w:rPr>
          <w:rFonts w:ascii="Times New Roman" w:hAnsi="Times New Roman" w:cs="Times New Roman"/>
          <w:sz w:val="24"/>
          <w:szCs w:val="24"/>
          <w:lang w:val="fr-FR"/>
        </w:rPr>
        <w:t xml:space="preserve">. Cette erreur fait référence à la dépréciation systématique des propositions et prises de position de l’interlocuteur ou de l’interlocutrice. Une telle dépréciation n’est pas liée </w:t>
      </w:r>
      <w:r w:rsidR="00715F95">
        <w:rPr>
          <w:rFonts w:ascii="Times New Roman" w:hAnsi="Times New Roman" w:cs="Times New Roman"/>
          <w:sz w:val="24"/>
          <w:szCs w:val="24"/>
          <w:lang w:val="fr-FR"/>
        </w:rPr>
        <w:t>au</w:t>
      </w:r>
      <w:r w:rsidR="004E3E5F" w:rsidRPr="00062A1D">
        <w:rPr>
          <w:rFonts w:ascii="Times New Roman" w:hAnsi="Times New Roman" w:cs="Times New Roman"/>
          <w:sz w:val="24"/>
          <w:szCs w:val="24"/>
          <w:lang w:val="fr-FR"/>
        </w:rPr>
        <w:t xml:space="preserve"> fait que les propositions soutenues par l’interlocuteur sont objectivement de nature </w:t>
      </w:r>
      <w:r w:rsidR="00D673D9" w:rsidRPr="00062A1D">
        <w:rPr>
          <w:rFonts w:ascii="Times New Roman" w:hAnsi="Times New Roman" w:cs="Times New Roman"/>
          <w:sz w:val="24"/>
          <w:szCs w:val="24"/>
          <w:lang w:val="fr-FR"/>
        </w:rPr>
        <w:t xml:space="preserve">à </w:t>
      </w:r>
      <w:r w:rsidR="004E3E5F" w:rsidRPr="00062A1D">
        <w:rPr>
          <w:rFonts w:ascii="Times New Roman" w:hAnsi="Times New Roman" w:cs="Times New Roman"/>
          <w:sz w:val="24"/>
          <w:szCs w:val="24"/>
          <w:lang w:val="fr-FR"/>
        </w:rPr>
        <w:t>le favoriser</w:t>
      </w:r>
      <w:r w:rsidR="00715F95">
        <w:rPr>
          <w:rFonts w:ascii="Times New Roman" w:hAnsi="Times New Roman" w:cs="Times New Roman"/>
          <w:sz w:val="24"/>
          <w:szCs w:val="24"/>
          <w:lang w:val="fr-FR"/>
        </w:rPr>
        <w:t>,</w:t>
      </w:r>
      <w:r w:rsidR="004E3E5F" w:rsidRPr="00062A1D">
        <w:rPr>
          <w:rFonts w:ascii="Times New Roman" w:hAnsi="Times New Roman" w:cs="Times New Roman"/>
          <w:sz w:val="24"/>
          <w:szCs w:val="24"/>
          <w:lang w:val="fr-FR"/>
        </w:rPr>
        <w:t xml:space="preserve"> mais bien au fait que ces propositions ont été émises par lui et</w:t>
      </w:r>
      <w:r w:rsidR="00E061EF">
        <w:rPr>
          <w:rFonts w:ascii="Times New Roman" w:hAnsi="Times New Roman" w:cs="Times New Roman"/>
          <w:sz w:val="24"/>
          <w:szCs w:val="24"/>
          <w:lang w:val="fr-FR"/>
        </w:rPr>
        <w:t>,</w:t>
      </w:r>
      <w:r w:rsidR="004E3E5F" w:rsidRPr="00062A1D">
        <w:rPr>
          <w:rFonts w:ascii="Times New Roman" w:hAnsi="Times New Roman" w:cs="Times New Roman"/>
          <w:sz w:val="24"/>
          <w:szCs w:val="24"/>
          <w:lang w:val="fr-FR"/>
        </w:rPr>
        <w:t xml:space="preserve"> qu’en tant que telle</w:t>
      </w:r>
      <w:r w:rsidR="00715F95">
        <w:rPr>
          <w:rFonts w:ascii="Times New Roman" w:hAnsi="Times New Roman" w:cs="Times New Roman"/>
          <w:sz w:val="24"/>
          <w:szCs w:val="24"/>
          <w:lang w:val="fr-FR"/>
        </w:rPr>
        <w:t>s</w:t>
      </w:r>
      <w:r w:rsidR="00E061EF">
        <w:rPr>
          <w:rFonts w:ascii="Times New Roman" w:hAnsi="Times New Roman" w:cs="Times New Roman"/>
          <w:sz w:val="24"/>
          <w:szCs w:val="24"/>
          <w:lang w:val="fr-FR"/>
        </w:rPr>
        <w:t>,</w:t>
      </w:r>
      <w:r w:rsidR="00D673D9" w:rsidRPr="00062A1D">
        <w:rPr>
          <w:rFonts w:ascii="Times New Roman" w:hAnsi="Times New Roman" w:cs="Times New Roman"/>
          <w:sz w:val="24"/>
          <w:szCs w:val="24"/>
          <w:lang w:val="fr-FR"/>
        </w:rPr>
        <w:t xml:space="preserve"> sont suspectées de servir prioritairement ses intérêts au détriment des nôtres. </w:t>
      </w:r>
      <w:r w:rsidR="002C734C" w:rsidRPr="00062A1D">
        <w:rPr>
          <w:rFonts w:ascii="Times New Roman" w:hAnsi="Times New Roman" w:cs="Times New Roman"/>
          <w:sz w:val="24"/>
          <w:szCs w:val="24"/>
          <w:lang w:val="fr-FR"/>
        </w:rPr>
        <w:t xml:space="preserve">La dévalorisation réactive </w:t>
      </w:r>
      <w:r w:rsidR="005E65B8" w:rsidRPr="00062A1D">
        <w:rPr>
          <w:rFonts w:ascii="Times New Roman" w:hAnsi="Times New Roman" w:cs="Times New Roman"/>
          <w:sz w:val="24"/>
          <w:szCs w:val="24"/>
          <w:lang w:val="fr-FR"/>
        </w:rPr>
        <w:t>nuit potentiellement à la prise de décision</w:t>
      </w:r>
      <w:r w:rsidR="00715F95">
        <w:rPr>
          <w:rFonts w:ascii="Times New Roman" w:hAnsi="Times New Roman" w:cs="Times New Roman"/>
          <w:sz w:val="24"/>
          <w:szCs w:val="24"/>
          <w:lang w:val="fr-FR"/>
        </w:rPr>
        <w:t>,</w:t>
      </w:r>
      <w:r w:rsidR="005E65B8" w:rsidRPr="00062A1D">
        <w:rPr>
          <w:rFonts w:ascii="Times New Roman" w:hAnsi="Times New Roman" w:cs="Times New Roman"/>
          <w:sz w:val="24"/>
          <w:szCs w:val="24"/>
          <w:lang w:val="fr-FR"/>
        </w:rPr>
        <w:t xml:space="preserve"> car elle pousse les parties à rejeter indument des propositions qui leur sont pourtant favorables. </w:t>
      </w:r>
    </w:p>
    <w:p w14:paraId="5E68BBA6" w14:textId="5C02B3B3" w:rsidR="005E65B8" w:rsidRDefault="00715F95" w:rsidP="002C69E4">
      <w:pPr>
        <w:spacing w:line="276" w:lineRule="auto"/>
        <w:ind w:firstLine="567"/>
        <w:rPr>
          <w:rFonts w:ascii="Times New Roman" w:hAnsi="Times New Roman" w:cs="Times New Roman"/>
          <w:sz w:val="24"/>
          <w:szCs w:val="24"/>
          <w:lang w:val="fr-FR"/>
        </w:rPr>
      </w:pPr>
      <w:r>
        <w:rPr>
          <w:rFonts w:ascii="Times New Roman" w:hAnsi="Times New Roman" w:cs="Times New Roman"/>
          <w:sz w:val="24"/>
          <w:szCs w:val="24"/>
          <w:lang w:val="fr-FR"/>
        </w:rPr>
        <w:t>À</w:t>
      </w:r>
      <w:r w:rsidR="005E65B8" w:rsidRPr="00062A1D">
        <w:rPr>
          <w:rFonts w:ascii="Times New Roman" w:hAnsi="Times New Roman" w:cs="Times New Roman"/>
          <w:sz w:val="24"/>
          <w:szCs w:val="24"/>
          <w:lang w:val="fr-FR"/>
        </w:rPr>
        <w:t xml:space="preserve"> côté de la dévalorisation réactive, l’optimisme excessif constitue également un frein à l’adoption d’accords à l’amiable. </w:t>
      </w:r>
      <w:r w:rsidR="00F17D48" w:rsidRPr="00062A1D">
        <w:rPr>
          <w:rFonts w:ascii="Times New Roman" w:hAnsi="Times New Roman" w:cs="Times New Roman"/>
          <w:sz w:val="24"/>
          <w:szCs w:val="24"/>
          <w:lang w:val="fr-FR"/>
        </w:rPr>
        <w:t xml:space="preserve">Par optimisme excessif on entend </w:t>
      </w:r>
      <w:r w:rsidR="00F17D48" w:rsidRPr="001044DA">
        <w:rPr>
          <w:rFonts w:ascii="Times New Roman" w:hAnsi="Times New Roman" w:cs="Times New Roman"/>
          <w:b/>
          <w:sz w:val="24"/>
          <w:szCs w:val="24"/>
          <w:lang w:val="fr-FR"/>
        </w:rPr>
        <w:t xml:space="preserve">la tendance des individus à surévaluer la qualité de leur </w:t>
      </w:r>
      <w:r w:rsidR="00F06C4A" w:rsidRPr="001044DA">
        <w:rPr>
          <w:rFonts w:ascii="Times New Roman" w:hAnsi="Times New Roman" w:cs="Times New Roman"/>
          <w:b/>
          <w:sz w:val="24"/>
          <w:szCs w:val="24"/>
          <w:lang w:val="fr-FR"/>
        </w:rPr>
        <w:t>dossier et ainsi surestimer la probabilité d’obtenir gain de cause auprès d’un juge ou d’une juge lors d’une procédure judiciaire classique</w:t>
      </w:r>
      <w:r w:rsidR="000A6C4B" w:rsidRPr="00062A1D">
        <w:rPr>
          <w:rStyle w:val="Appelnotedebasdep"/>
          <w:rFonts w:ascii="Times New Roman" w:hAnsi="Times New Roman" w:cs="Times New Roman"/>
          <w:sz w:val="24"/>
          <w:szCs w:val="24"/>
          <w:lang w:val="fr-FR"/>
        </w:rPr>
        <w:footnoteReference w:id="10"/>
      </w:r>
      <w:r w:rsidR="00F06C4A" w:rsidRPr="00062A1D">
        <w:rPr>
          <w:rFonts w:ascii="Times New Roman" w:hAnsi="Times New Roman" w:cs="Times New Roman"/>
          <w:sz w:val="24"/>
          <w:szCs w:val="24"/>
          <w:lang w:val="fr-FR"/>
        </w:rPr>
        <w:t xml:space="preserve">. Malgré tous les efforts des médiateurs et médiatrices à orienter </w:t>
      </w:r>
      <w:r w:rsidR="00A452F7" w:rsidRPr="00062A1D">
        <w:rPr>
          <w:rFonts w:ascii="Times New Roman" w:hAnsi="Times New Roman" w:cs="Times New Roman"/>
          <w:sz w:val="24"/>
          <w:szCs w:val="24"/>
          <w:lang w:val="fr-FR"/>
        </w:rPr>
        <w:t>l’attention des parties vers un mode de résolution à l’amiable de leur conflit, le retour à la procédure judiciaire classique reste jusqu’au bout une potentialité</w:t>
      </w:r>
      <w:r w:rsidR="00E061EF">
        <w:rPr>
          <w:rFonts w:ascii="Times New Roman" w:hAnsi="Times New Roman" w:cs="Times New Roman"/>
          <w:sz w:val="24"/>
          <w:szCs w:val="24"/>
          <w:lang w:val="fr-FR"/>
        </w:rPr>
        <w:t>. U</w:t>
      </w:r>
      <w:r w:rsidR="006D6087" w:rsidRPr="00062A1D">
        <w:rPr>
          <w:rFonts w:ascii="Times New Roman" w:hAnsi="Times New Roman" w:cs="Times New Roman"/>
          <w:sz w:val="24"/>
          <w:szCs w:val="24"/>
          <w:lang w:val="fr-FR"/>
        </w:rPr>
        <w:t xml:space="preserve">ne partie insatisfaite en phase de négociation des options risque fort d’être tentée d’y replonger, convaincue de </w:t>
      </w:r>
      <w:r w:rsidR="00E061EF">
        <w:rPr>
          <w:rFonts w:ascii="Times New Roman" w:hAnsi="Times New Roman" w:cs="Times New Roman"/>
          <w:sz w:val="24"/>
          <w:szCs w:val="24"/>
          <w:lang w:val="fr-FR"/>
        </w:rPr>
        <w:t xml:space="preserve">pouvoir </w:t>
      </w:r>
      <w:r w:rsidR="006D6087" w:rsidRPr="00062A1D">
        <w:rPr>
          <w:rFonts w:ascii="Times New Roman" w:hAnsi="Times New Roman" w:cs="Times New Roman"/>
          <w:sz w:val="24"/>
          <w:szCs w:val="24"/>
          <w:lang w:val="fr-FR"/>
        </w:rPr>
        <w:t>remporter l</w:t>
      </w:r>
      <w:r w:rsidR="000A6C4B" w:rsidRPr="00062A1D">
        <w:rPr>
          <w:rFonts w:ascii="Times New Roman" w:hAnsi="Times New Roman" w:cs="Times New Roman"/>
          <w:sz w:val="24"/>
          <w:szCs w:val="24"/>
          <w:lang w:val="fr-FR"/>
        </w:rPr>
        <w:t>a</w:t>
      </w:r>
      <w:r w:rsidR="006D6087" w:rsidRPr="00062A1D">
        <w:rPr>
          <w:rFonts w:ascii="Times New Roman" w:hAnsi="Times New Roman" w:cs="Times New Roman"/>
          <w:sz w:val="24"/>
          <w:szCs w:val="24"/>
          <w:lang w:val="fr-FR"/>
        </w:rPr>
        <w:t xml:space="preserve"> mise en cas de procès. </w:t>
      </w:r>
      <w:r w:rsidR="00337D2B" w:rsidRPr="00062A1D">
        <w:rPr>
          <w:rFonts w:ascii="Times New Roman" w:hAnsi="Times New Roman" w:cs="Times New Roman"/>
          <w:sz w:val="24"/>
          <w:szCs w:val="24"/>
          <w:lang w:val="fr-FR"/>
        </w:rPr>
        <w:t xml:space="preserve">Pour Russell </w:t>
      </w:r>
      <w:proofErr w:type="spellStart"/>
      <w:r w:rsidR="00337D2B" w:rsidRPr="00062A1D">
        <w:rPr>
          <w:rFonts w:ascii="Times New Roman" w:hAnsi="Times New Roman" w:cs="Times New Roman"/>
          <w:sz w:val="24"/>
          <w:szCs w:val="24"/>
          <w:lang w:val="fr-FR"/>
        </w:rPr>
        <w:t>Korobkin</w:t>
      </w:r>
      <w:proofErr w:type="spellEnd"/>
      <w:r w:rsidR="00337D2B" w:rsidRPr="00062A1D">
        <w:rPr>
          <w:rFonts w:ascii="Times New Roman" w:hAnsi="Times New Roman" w:cs="Times New Roman"/>
          <w:sz w:val="24"/>
          <w:szCs w:val="24"/>
          <w:lang w:val="fr-FR"/>
        </w:rPr>
        <w:t>, le biais d’optimisme excessif est d’ailleurs</w:t>
      </w:r>
      <w:r w:rsidR="00DD5B54" w:rsidRPr="00062A1D">
        <w:rPr>
          <w:rFonts w:ascii="Times New Roman" w:hAnsi="Times New Roman" w:cs="Times New Roman"/>
          <w:sz w:val="24"/>
          <w:szCs w:val="24"/>
          <w:lang w:val="fr-FR"/>
        </w:rPr>
        <w:t xml:space="preserve"> « l’obstacle psychologique le plus important à l’atteinte d’un accord en médiation </w:t>
      </w:r>
      <w:proofErr w:type="gramStart"/>
      <w:r w:rsidR="00DD5B54" w:rsidRPr="00062A1D">
        <w:rPr>
          <w:rFonts w:ascii="Times New Roman" w:hAnsi="Times New Roman" w:cs="Times New Roman"/>
          <w:sz w:val="24"/>
          <w:szCs w:val="24"/>
          <w:lang w:val="fr-FR"/>
        </w:rPr>
        <w:t xml:space="preserve">» </w:t>
      </w:r>
      <w:r w:rsidR="00DD5B54" w:rsidRPr="001044DA">
        <w:rPr>
          <w:rFonts w:ascii="Times New Roman" w:hAnsi="Times New Roman" w:cs="Times New Roman"/>
          <w:sz w:val="24"/>
          <w:szCs w:val="24"/>
          <w:highlight w:val="yellow"/>
          <w:lang w:val="fr-FR"/>
        </w:rPr>
        <w:t>.</w:t>
      </w:r>
      <w:proofErr w:type="gramEnd"/>
      <w:r w:rsidR="00DD5B54" w:rsidRPr="00062A1D">
        <w:rPr>
          <w:rFonts w:ascii="Times New Roman" w:hAnsi="Times New Roman" w:cs="Times New Roman"/>
          <w:sz w:val="24"/>
          <w:szCs w:val="24"/>
          <w:lang w:val="fr-FR"/>
        </w:rPr>
        <w:t xml:space="preserve"> </w:t>
      </w:r>
    </w:p>
    <w:p w14:paraId="72F3A7A4" w14:textId="6EB4C0AD" w:rsidR="00062A1D" w:rsidRPr="00062A1D" w:rsidRDefault="00185146" w:rsidP="002C69E4">
      <w:pPr>
        <w:spacing w:line="276" w:lineRule="auto"/>
        <w:ind w:firstLine="567"/>
        <w:rPr>
          <w:rFonts w:ascii="Times New Roman" w:hAnsi="Times New Roman" w:cs="Times New Roman"/>
          <w:sz w:val="24"/>
          <w:szCs w:val="24"/>
          <w:lang w:val="fr-FR"/>
        </w:rPr>
      </w:pPr>
      <w:r>
        <w:rPr>
          <w:rFonts w:ascii="Times New Roman" w:hAnsi="Times New Roman" w:cs="Times New Roman"/>
          <w:sz w:val="24"/>
          <w:szCs w:val="24"/>
          <w:lang w:val="fr-FR"/>
        </w:rPr>
        <w:t xml:space="preserve">Pour terminer cette section, notons que même lorsque les parties résistent à la tentation du retour à la compétition, la phase de négociation des options n’est toujours des plus aisées. Paradoxalement même, la volonté de coopération qu’elles entretiennent </w:t>
      </w:r>
      <w:r w:rsidR="00513488">
        <w:rPr>
          <w:rFonts w:ascii="Times New Roman" w:hAnsi="Times New Roman" w:cs="Times New Roman"/>
          <w:sz w:val="24"/>
          <w:szCs w:val="24"/>
          <w:lang w:val="fr-FR"/>
        </w:rPr>
        <w:t>risque de les amener à</w:t>
      </w:r>
      <w:r w:rsidR="00035DC0">
        <w:rPr>
          <w:rFonts w:ascii="Times New Roman" w:hAnsi="Times New Roman" w:cs="Times New Roman"/>
          <w:sz w:val="24"/>
          <w:szCs w:val="24"/>
          <w:lang w:val="fr-FR"/>
        </w:rPr>
        <w:t xml:space="preserve"> ne pas défendre avec suffisamment d’assertivité les intérêts qu’elles poursuivent</w:t>
      </w:r>
      <w:r w:rsidR="00715F95">
        <w:rPr>
          <w:rFonts w:ascii="Times New Roman" w:hAnsi="Times New Roman" w:cs="Times New Roman"/>
          <w:sz w:val="24"/>
          <w:szCs w:val="24"/>
          <w:lang w:val="fr-FR"/>
        </w:rPr>
        <w:t>,</w:t>
      </w:r>
      <w:r w:rsidR="00035DC0">
        <w:rPr>
          <w:rFonts w:ascii="Times New Roman" w:hAnsi="Times New Roman" w:cs="Times New Roman"/>
          <w:sz w:val="24"/>
          <w:szCs w:val="24"/>
          <w:lang w:val="fr-FR"/>
        </w:rPr>
        <w:t xml:space="preserve"> et ce dans le but de préserver la qualité nouvelle de leur relation. Outre </w:t>
      </w:r>
      <w:r w:rsidR="00930518">
        <w:rPr>
          <w:rFonts w:ascii="Times New Roman" w:hAnsi="Times New Roman" w:cs="Times New Roman"/>
          <w:sz w:val="24"/>
          <w:szCs w:val="24"/>
          <w:lang w:val="fr-FR"/>
        </w:rPr>
        <w:t xml:space="preserve">que cette accommodation excessive aux demandes du partenaire n’est pas aussi profitable à la qualité de la relation que ce qu’on </w:t>
      </w:r>
      <w:r w:rsidR="00930518">
        <w:rPr>
          <w:rFonts w:ascii="Times New Roman" w:hAnsi="Times New Roman" w:cs="Times New Roman"/>
          <w:sz w:val="24"/>
          <w:szCs w:val="24"/>
          <w:lang w:val="fr-FR"/>
        </w:rPr>
        <w:lastRenderedPageBreak/>
        <w:t>ne peut se l’imaginer</w:t>
      </w:r>
      <w:r w:rsidR="00281B89">
        <w:rPr>
          <w:rStyle w:val="Appelnotedebasdep"/>
          <w:rFonts w:ascii="Times New Roman" w:hAnsi="Times New Roman" w:cs="Times New Roman"/>
          <w:sz w:val="24"/>
          <w:szCs w:val="24"/>
          <w:lang w:val="fr-FR"/>
        </w:rPr>
        <w:footnoteReference w:id="11"/>
      </w:r>
      <w:r w:rsidR="00930518">
        <w:rPr>
          <w:rFonts w:ascii="Times New Roman" w:hAnsi="Times New Roman" w:cs="Times New Roman"/>
          <w:sz w:val="24"/>
          <w:szCs w:val="24"/>
          <w:lang w:val="fr-FR"/>
        </w:rPr>
        <w:t xml:space="preserve">, une telle stratégie risque également d’amener les parties à entériner des accords qui ne sont profitables pour aucune d’elles. </w:t>
      </w:r>
      <w:r w:rsidR="005338BE">
        <w:rPr>
          <w:rFonts w:ascii="Times New Roman" w:hAnsi="Times New Roman" w:cs="Times New Roman"/>
          <w:sz w:val="24"/>
          <w:szCs w:val="24"/>
          <w:lang w:val="fr-FR"/>
        </w:rPr>
        <w:t>Cet effet paradoxal est produit notamment par le biais d’ignorance plurielle</w:t>
      </w:r>
      <w:r w:rsidR="00DD313C">
        <w:rPr>
          <w:rStyle w:val="Appelnotedebasdep"/>
          <w:rFonts w:ascii="Times New Roman" w:hAnsi="Times New Roman" w:cs="Times New Roman"/>
          <w:sz w:val="24"/>
          <w:szCs w:val="24"/>
          <w:lang w:val="fr-FR"/>
        </w:rPr>
        <w:footnoteReference w:id="12"/>
      </w:r>
      <w:r w:rsidR="005338BE">
        <w:rPr>
          <w:rFonts w:ascii="Times New Roman" w:hAnsi="Times New Roman" w:cs="Times New Roman"/>
          <w:sz w:val="24"/>
          <w:szCs w:val="24"/>
          <w:lang w:val="fr-FR"/>
        </w:rPr>
        <w:t> : le fait de défendre publiquement une opinion (comme, par exemple, afficher une préférence pour l’option A) différente de notre intime conviction parce que nous sommes convaincus que les personnes qui nous entourent ont une opinion opposée à la nôtre (c’est-à-dire une préférence pour l’option B). Lorsque toutes les parties raisonnent de la sorte, elles peuvent être amenée</w:t>
      </w:r>
      <w:r w:rsidR="00715F95">
        <w:rPr>
          <w:rFonts w:ascii="Times New Roman" w:hAnsi="Times New Roman" w:cs="Times New Roman"/>
          <w:sz w:val="24"/>
          <w:szCs w:val="24"/>
          <w:lang w:val="fr-FR"/>
        </w:rPr>
        <w:t>s</w:t>
      </w:r>
      <w:r w:rsidR="005338BE">
        <w:rPr>
          <w:rFonts w:ascii="Times New Roman" w:hAnsi="Times New Roman" w:cs="Times New Roman"/>
          <w:sz w:val="24"/>
          <w:szCs w:val="24"/>
          <w:lang w:val="fr-FR"/>
        </w:rPr>
        <w:t xml:space="preserve"> à adopter un accord qui ne satisfait en réalité aucune d’elles (donc l’option B). </w:t>
      </w:r>
      <w:r w:rsidR="00A00F6E">
        <w:rPr>
          <w:rFonts w:ascii="Times New Roman" w:hAnsi="Times New Roman" w:cs="Times New Roman"/>
          <w:sz w:val="24"/>
          <w:szCs w:val="24"/>
          <w:lang w:val="fr-FR"/>
        </w:rPr>
        <w:t>Il ne s’agit dans ce cas plus d’une absence de décision sur un accord</w:t>
      </w:r>
      <w:r w:rsidR="00715F95">
        <w:rPr>
          <w:rFonts w:ascii="Times New Roman" w:hAnsi="Times New Roman" w:cs="Times New Roman"/>
          <w:sz w:val="24"/>
          <w:szCs w:val="24"/>
          <w:lang w:val="fr-FR"/>
        </w:rPr>
        <w:t>,</w:t>
      </w:r>
      <w:r w:rsidR="00A00F6E">
        <w:rPr>
          <w:rFonts w:ascii="Times New Roman" w:hAnsi="Times New Roman" w:cs="Times New Roman"/>
          <w:sz w:val="24"/>
          <w:szCs w:val="24"/>
          <w:lang w:val="fr-FR"/>
        </w:rPr>
        <w:t xml:space="preserve"> mais bien d’une décision mutuellement délétère aux parties. </w:t>
      </w:r>
    </w:p>
    <w:p w14:paraId="087344B4" w14:textId="77777777" w:rsidR="00A632A1" w:rsidRPr="000E4514" w:rsidRDefault="000E4514" w:rsidP="002C69E4">
      <w:pPr>
        <w:spacing w:line="276" w:lineRule="auto"/>
        <w:ind w:firstLine="567"/>
        <w:rPr>
          <w:rFonts w:ascii="Times New Roman" w:hAnsi="Times New Roman" w:cs="Times New Roman"/>
          <w:b/>
          <w:sz w:val="24"/>
          <w:szCs w:val="24"/>
          <w:lang w:val="fr-FR"/>
        </w:rPr>
      </w:pPr>
      <w:r w:rsidRPr="000E4514">
        <w:rPr>
          <w:rFonts w:ascii="Times New Roman" w:hAnsi="Times New Roman" w:cs="Times New Roman"/>
          <w:b/>
          <w:sz w:val="24"/>
          <w:szCs w:val="24"/>
          <w:lang w:val="fr-FR"/>
        </w:rPr>
        <w:t>Finir par se décider</w:t>
      </w:r>
    </w:p>
    <w:p w14:paraId="491F6643" w14:textId="43371BFC" w:rsidR="00131476" w:rsidRDefault="00F15A71" w:rsidP="002C69E4">
      <w:pPr>
        <w:spacing w:line="276" w:lineRule="auto"/>
        <w:ind w:firstLine="567"/>
        <w:rPr>
          <w:rFonts w:ascii="Times New Roman" w:hAnsi="Times New Roman" w:cs="Times New Roman"/>
          <w:sz w:val="24"/>
          <w:szCs w:val="24"/>
          <w:lang w:val="fr-FR"/>
        </w:rPr>
      </w:pPr>
      <w:r>
        <w:rPr>
          <w:rFonts w:ascii="Times New Roman" w:hAnsi="Times New Roman" w:cs="Times New Roman"/>
          <w:sz w:val="24"/>
          <w:szCs w:val="24"/>
          <w:lang w:val="fr-FR"/>
        </w:rPr>
        <w:t xml:space="preserve">Lorsque la phase d’exploration des options a été particulièrement créative, il est possible que les parties en conflit aient fini par dégager plusieurs </w:t>
      </w:r>
      <w:r w:rsidR="00676FDE">
        <w:rPr>
          <w:rFonts w:ascii="Times New Roman" w:hAnsi="Times New Roman" w:cs="Times New Roman"/>
          <w:sz w:val="24"/>
          <w:szCs w:val="24"/>
          <w:lang w:val="fr-FR"/>
        </w:rPr>
        <w:t>« </w:t>
      </w:r>
      <w:proofErr w:type="gramStart"/>
      <w:r>
        <w:rPr>
          <w:rFonts w:ascii="Times New Roman" w:hAnsi="Times New Roman" w:cs="Times New Roman"/>
          <w:sz w:val="24"/>
          <w:szCs w:val="24"/>
          <w:lang w:val="fr-FR"/>
        </w:rPr>
        <w:t>package</w:t>
      </w:r>
      <w:proofErr w:type="gramEnd"/>
      <w:r w:rsidR="00676FDE">
        <w:rPr>
          <w:rFonts w:ascii="Times New Roman" w:hAnsi="Times New Roman" w:cs="Times New Roman"/>
          <w:sz w:val="24"/>
          <w:szCs w:val="24"/>
          <w:lang w:val="fr-FR"/>
        </w:rPr>
        <w:t> »</w:t>
      </w:r>
      <w:r>
        <w:rPr>
          <w:rFonts w:ascii="Times New Roman" w:hAnsi="Times New Roman" w:cs="Times New Roman"/>
          <w:sz w:val="24"/>
          <w:szCs w:val="24"/>
          <w:lang w:val="fr-FR"/>
        </w:rPr>
        <w:t xml:space="preserve"> d’options toutes plus attractives les unes que les autres. Si on ne peut que se féliciter d’une telle réussite, la multitude d’options</w:t>
      </w:r>
      <w:r w:rsidR="00676FDE">
        <w:rPr>
          <w:rFonts w:ascii="Times New Roman" w:hAnsi="Times New Roman" w:cs="Times New Roman"/>
          <w:sz w:val="24"/>
          <w:szCs w:val="24"/>
          <w:lang w:val="fr-FR"/>
        </w:rPr>
        <w:t xml:space="preserve"> complique plutôt qu’elle ne favorise la prise de décision. </w:t>
      </w:r>
      <w:r w:rsidR="000E4839">
        <w:rPr>
          <w:rFonts w:ascii="Times New Roman" w:hAnsi="Times New Roman" w:cs="Times New Roman"/>
          <w:sz w:val="24"/>
          <w:szCs w:val="24"/>
          <w:lang w:val="fr-FR"/>
        </w:rPr>
        <w:t xml:space="preserve">Les recherches montrent en effet que l’abondance de choix démotive les personnes et </w:t>
      </w:r>
      <w:r w:rsidR="00D54554">
        <w:rPr>
          <w:rFonts w:ascii="Times New Roman" w:hAnsi="Times New Roman" w:cs="Times New Roman"/>
          <w:sz w:val="24"/>
          <w:szCs w:val="24"/>
          <w:lang w:val="fr-FR"/>
        </w:rPr>
        <w:t>rend les décisions moins probables</w:t>
      </w:r>
      <w:r w:rsidR="000E4839">
        <w:rPr>
          <w:rStyle w:val="Appelnotedebasdep"/>
          <w:rFonts w:ascii="Times New Roman" w:hAnsi="Times New Roman" w:cs="Times New Roman"/>
          <w:sz w:val="24"/>
          <w:szCs w:val="24"/>
          <w:lang w:val="fr-FR"/>
        </w:rPr>
        <w:footnoteReference w:id="13"/>
      </w:r>
      <w:r w:rsidR="000E4839">
        <w:rPr>
          <w:rFonts w:ascii="Times New Roman" w:hAnsi="Times New Roman" w:cs="Times New Roman"/>
          <w:sz w:val="24"/>
          <w:szCs w:val="24"/>
          <w:lang w:val="fr-FR"/>
        </w:rPr>
        <w:t xml:space="preserve">. </w:t>
      </w:r>
      <w:r w:rsidR="00131476">
        <w:rPr>
          <w:rFonts w:ascii="Times New Roman" w:hAnsi="Times New Roman" w:cs="Times New Roman"/>
          <w:sz w:val="24"/>
          <w:szCs w:val="24"/>
          <w:lang w:val="fr-FR"/>
        </w:rPr>
        <w:t xml:space="preserve">Cet effet délétère de l’abondance est d’autant plus important que la décision à prendre est difficile, que les choix sont complexes et que les préférences sont incertaines, autant de facteurs aggravants que nous retrouvons souvent </w:t>
      </w:r>
      <w:r w:rsidR="00E061EF">
        <w:rPr>
          <w:rFonts w:ascii="Times New Roman" w:hAnsi="Times New Roman" w:cs="Times New Roman"/>
          <w:sz w:val="24"/>
          <w:szCs w:val="24"/>
          <w:lang w:val="fr-FR"/>
        </w:rPr>
        <w:t xml:space="preserve">dans une </w:t>
      </w:r>
      <w:r w:rsidR="00131476">
        <w:rPr>
          <w:rFonts w:ascii="Times New Roman" w:hAnsi="Times New Roman" w:cs="Times New Roman"/>
          <w:sz w:val="24"/>
          <w:szCs w:val="24"/>
          <w:lang w:val="fr-FR"/>
        </w:rPr>
        <w:t>situation conflictuelle</w:t>
      </w:r>
      <w:r w:rsidR="00131476">
        <w:rPr>
          <w:rStyle w:val="Appelnotedebasdep"/>
          <w:rFonts w:ascii="Times New Roman" w:hAnsi="Times New Roman" w:cs="Times New Roman"/>
          <w:sz w:val="24"/>
          <w:szCs w:val="24"/>
          <w:lang w:val="fr-FR"/>
        </w:rPr>
        <w:footnoteReference w:id="14"/>
      </w:r>
      <w:r w:rsidR="00131476">
        <w:rPr>
          <w:rFonts w:ascii="Times New Roman" w:hAnsi="Times New Roman" w:cs="Times New Roman"/>
          <w:sz w:val="24"/>
          <w:szCs w:val="24"/>
          <w:lang w:val="fr-FR"/>
        </w:rPr>
        <w:t>.</w:t>
      </w:r>
    </w:p>
    <w:p w14:paraId="54A2ED02" w14:textId="77777777" w:rsidR="000E4514" w:rsidRDefault="00424346" w:rsidP="002C69E4">
      <w:pPr>
        <w:spacing w:line="276" w:lineRule="auto"/>
        <w:ind w:firstLine="567"/>
        <w:rPr>
          <w:rFonts w:ascii="Times New Roman" w:hAnsi="Times New Roman" w:cs="Times New Roman"/>
          <w:sz w:val="24"/>
          <w:szCs w:val="24"/>
          <w:lang w:val="fr-FR"/>
        </w:rPr>
      </w:pPr>
      <w:r>
        <w:rPr>
          <w:rFonts w:ascii="Times New Roman" w:hAnsi="Times New Roman" w:cs="Times New Roman"/>
          <w:sz w:val="24"/>
          <w:szCs w:val="24"/>
          <w:lang w:val="fr-FR"/>
        </w:rPr>
        <w:t xml:space="preserve">Plus problématique encore, l’abondance de choix tend à diminuer la satisfaction rapport à l’option qui a finalement été retenue. </w:t>
      </w:r>
      <w:r w:rsidR="003E46FC">
        <w:rPr>
          <w:rFonts w:ascii="Times New Roman" w:hAnsi="Times New Roman" w:cs="Times New Roman"/>
          <w:sz w:val="24"/>
          <w:szCs w:val="24"/>
          <w:lang w:val="fr-FR"/>
        </w:rPr>
        <w:t>Ayant pris leur décision, les parties ne pourront en effet s’empêcher de se demander ce qu’il serait advenu si elles avaient opté pour telle ou telle autre option</w:t>
      </w:r>
      <w:r w:rsidR="006122E2">
        <w:rPr>
          <w:rStyle w:val="Appelnotedebasdep"/>
          <w:rFonts w:ascii="Times New Roman" w:hAnsi="Times New Roman" w:cs="Times New Roman"/>
          <w:sz w:val="24"/>
          <w:szCs w:val="24"/>
          <w:lang w:val="fr-FR"/>
        </w:rPr>
        <w:footnoteReference w:id="15"/>
      </w:r>
      <w:r w:rsidR="003E46FC">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Or, tous les gestionnaires de conflit le savent, la satisfaction subjective que les parties ressentent </w:t>
      </w:r>
      <w:r w:rsidR="003E46FC">
        <w:rPr>
          <w:rFonts w:ascii="Times New Roman" w:hAnsi="Times New Roman" w:cs="Times New Roman"/>
          <w:sz w:val="24"/>
          <w:szCs w:val="24"/>
          <w:lang w:val="fr-FR"/>
        </w:rPr>
        <w:t>vis-à-vis de leur accord est un des déterminants premiers du respect des termes de l’accord et de la restauration à long terme de relations harmonieuses entre les parties</w:t>
      </w:r>
      <w:r w:rsidR="006122E2">
        <w:rPr>
          <w:rStyle w:val="Appelnotedebasdep"/>
          <w:rFonts w:ascii="Times New Roman" w:hAnsi="Times New Roman" w:cs="Times New Roman"/>
          <w:sz w:val="24"/>
          <w:szCs w:val="24"/>
          <w:lang w:val="fr-FR"/>
        </w:rPr>
        <w:footnoteReference w:id="16"/>
      </w:r>
      <w:r w:rsidR="003E46FC">
        <w:rPr>
          <w:rFonts w:ascii="Times New Roman" w:hAnsi="Times New Roman" w:cs="Times New Roman"/>
          <w:sz w:val="24"/>
          <w:szCs w:val="24"/>
          <w:lang w:val="fr-FR"/>
        </w:rPr>
        <w:t xml:space="preserve">. </w:t>
      </w:r>
    </w:p>
    <w:p w14:paraId="096B494F" w14:textId="44256FBD" w:rsidR="00131476" w:rsidRDefault="00131476" w:rsidP="002C69E4">
      <w:pPr>
        <w:spacing w:line="276" w:lineRule="auto"/>
        <w:ind w:firstLine="567"/>
        <w:rPr>
          <w:rFonts w:ascii="Times New Roman" w:hAnsi="Times New Roman" w:cs="Times New Roman"/>
          <w:sz w:val="24"/>
          <w:szCs w:val="24"/>
          <w:lang w:val="fr-FR"/>
        </w:rPr>
      </w:pPr>
      <w:r>
        <w:rPr>
          <w:rFonts w:ascii="Times New Roman" w:hAnsi="Times New Roman" w:cs="Times New Roman"/>
          <w:sz w:val="24"/>
          <w:szCs w:val="24"/>
          <w:lang w:val="fr-FR"/>
        </w:rPr>
        <w:lastRenderedPageBreak/>
        <w:t>Il est une option un peu plus particulière que les autres</w:t>
      </w:r>
      <w:r w:rsidR="00E061EF">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00FE0C0F">
        <w:rPr>
          <w:rFonts w:ascii="Times New Roman" w:hAnsi="Times New Roman" w:cs="Times New Roman"/>
          <w:sz w:val="24"/>
          <w:szCs w:val="24"/>
          <w:lang w:val="fr-FR"/>
        </w:rPr>
        <w:t>pour</w:t>
      </w:r>
      <w:r>
        <w:rPr>
          <w:rFonts w:ascii="Times New Roman" w:hAnsi="Times New Roman" w:cs="Times New Roman"/>
          <w:sz w:val="24"/>
          <w:szCs w:val="24"/>
          <w:lang w:val="fr-FR"/>
        </w:rPr>
        <w:t xml:space="preserve"> laquelle les parties devront faire leur deuil</w:t>
      </w:r>
      <w:r w:rsidR="00E061EF">
        <w:rPr>
          <w:rFonts w:ascii="Times New Roman" w:hAnsi="Times New Roman" w:cs="Times New Roman"/>
          <w:sz w:val="24"/>
          <w:szCs w:val="24"/>
          <w:lang w:val="fr-FR"/>
        </w:rPr>
        <w:t>,</w:t>
      </w:r>
      <w:r>
        <w:rPr>
          <w:rFonts w:ascii="Times New Roman" w:hAnsi="Times New Roman" w:cs="Times New Roman"/>
          <w:sz w:val="24"/>
          <w:szCs w:val="24"/>
          <w:lang w:val="fr-FR"/>
        </w:rPr>
        <w:t xml:space="preserve"> c’est l’option judiciaire. </w:t>
      </w:r>
      <w:r w:rsidR="00FE0C0F">
        <w:rPr>
          <w:rFonts w:ascii="Times New Roman" w:hAnsi="Times New Roman" w:cs="Times New Roman"/>
          <w:sz w:val="24"/>
          <w:szCs w:val="24"/>
          <w:lang w:val="fr-FR"/>
        </w:rPr>
        <w:t>Afin d’opter pour l’accord médié les parties se doivent, en effet, de renoncer à l’alternative traditionnelle. Au moment de la prise de décision, elles évalueront alors les regrets qu’elles risquent d’éprouver dans le futur suite à un tel renoncement. C’est ce que les chercheurs nomment les regrets anticipés</w:t>
      </w:r>
      <w:r w:rsidR="00C14B41">
        <w:rPr>
          <w:rStyle w:val="Appelnotedebasdep"/>
          <w:rFonts w:ascii="Times New Roman" w:hAnsi="Times New Roman" w:cs="Times New Roman"/>
          <w:sz w:val="24"/>
          <w:szCs w:val="24"/>
          <w:lang w:val="fr-FR"/>
        </w:rPr>
        <w:footnoteReference w:id="17"/>
      </w:r>
      <w:r w:rsidR="00FE0C0F">
        <w:rPr>
          <w:rFonts w:ascii="Times New Roman" w:hAnsi="Times New Roman" w:cs="Times New Roman"/>
          <w:sz w:val="24"/>
          <w:szCs w:val="24"/>
          <w:lang w:val="fr-FR"/>
        </w:rPr>
        <w:t xml:space="preserve">. </w:t>
      </w:r>
    </w:p>
    <w:p w14:paraId="73E81E88" w14:textId="4CAFBEEE" w:rsidR="00FE0C0F" w:rsidRDefault="00FE0C0F" w:rsidP="002C69E4">
      <w:pPr>
        <w:spacing w:line="276" w:lineRule="auto"/>
        <w:ind w:firstLine="567"/>
        <w:rPr>
          <w:rFonts w:ascii="Times New Roman" w:hAnsi="Times New Roman" w:cs="Times New Roman"/>
          <w:sz w:val="24"/>
          <w:szCs w:val="24"/>
          <w:lang w:val="fr-FR"/>
        </w:rPr>
      </w:pPr>
      <w:r>
        <w:rPr>
          <w:rFonts w:ascii="Times New Roman" w:hAnsi="Times New Roman" w:cs="Times New Roman"/>
          <w:sz w:val="24"/>
          <w:szCs w:val="24"/>
          <w:lang w:val="fr-FR"/>
        </w:rPr>
        <w:t>Comme c’est le cas pour la plupart des émotions</w:t>
      </w:r>
      <w:r w:rsidR="00D24AFA">
        <w:rPr>
          <w:rStyle w:val="Appelnotedebasdep"/>
          <w:rFonts w:ascii="Times New Roman" w:hAnsi="Times New Roman" w:cs="Times New Roman"/>
          <w:sz w:val="24"/>
          <w:szCs w:val="24"/>
          <w:lang w:val="fr-FR"/>
        </w:rPr>
        <w:footnoteReference w:id="18"/>
      </w:r>
      <w:r>
        <w:rPr>
          <w:rFonts w:ascii="Times New Roman" w:hAnsi="Times New Roman" w:cs="Times New Roman"/>
          <w:sz w:val="24"/>
          <w:szCs w:val="24"/>
          <w:lang w:val="fr-FR"/>
        </w:rPr>
        <w:t xml:space="preserve">, les êtres humains ne sont pas particulièrement bons à estimer l’ampleur de leurs regrets futurs et les prédictions erronées prennent généralement la forme d’une surestimation des futurs regrets. </w:t>
      </w:r>
      <w:r w:rsidRPr="001044DA">
        <w:rPr>
          <w:rFonts w:ascii="Times New Roman" w:hAnsi="Times New Roman" w:cs="Times New Roman"/>
          <w:b/>
          <w:sz w:val="24"/>
          <w:szCs w:val="24"/>
          <w:lang w:val="fr-FR"/>
        </w:rPr>
        <w:t>Plus une des parties ressentira anticipativement des regrets, plus frileuse elle sera à s’engager dans l’accord médié</w:t>
      </w:r>
      <w:r>
        <w:rPr>
          <w:rFonts w:ascii="Times New Roman" w:hAnsi="Times New Roman" w:cs="Times New Roman"/>
          <w:sz w:val="24"/>
          <w:szCs w:val="24"/>
          <w:lang w:val="fr-FR"/>
        </w:rPr>
        <w:t>. La puissance de l’effet de regret anticipé est ce qui a mené Robert Creo à dire que « le regret devient alors souvent la dernière barrière se plaçant en travers de la résolution »</w:t>
      </w:r>
      <w:r w:rsidR="0004013B">
        <w:rPr>
          <w:rStyle w:val="Appelnotedebasdep"/>
          <w:rFonts w:ascii="Times New Roman" w:hAnsi="Times New Roman" w:cs="Times New Roman"/>
          <w:sz w:val="24"/>
          <w:szCs w:val="24"/>
          <w:lang w:val="fr-FR"/>
        </w:rPr>
        <w:footnoteReference w:id="19"/>
      </w:r>
      <w:r>
        <w:rPr>
          <w:rFonts w:ascii="Times New Roman" w:hAnsi="Times New Roman" w:cs="Times New Roman"/>
          <w:sz w:val="24"/>
          <w:szCs w:val="24"/>
          <w:lang w:val="fr-FR"/>
        </w:rPr>
        <w:t xml:space="preserve">. </w:t>
      </w:r>
      <w:r w:rsidR="003D7838">
        <w:rPr>
          <w:rFonts w:ascii="Times New Roman" w:hAnsi="Times New Roman" w:cs="Times New Roman"/>
          <w:sz w:val="24"/>
          <w:szCs w:val="24"/>
          <w:lang w:val="fr-FR"/>
        </w:rPr>
        <w:t xml:space="preserve">Pour contrer cet effet, ce praticien </w:t>
      </w:r>
      <w:r w:rsidR="00852F77">
        <w:rPr>
          <w:rFonts w:ascii="Times New Roman" w:hAnsi="Times New Roman" w:cs="Times New Roman"/>
          <w:sz w:val="24"/>
          <w:szCs w:val="24"/>
          <w:lang w:val="fr-FR"/>
        </w:rPr>
        <w:t xml:space="preserve">reconnu, nommé par deux fois médiateur de l’année à Pittsburgh, recommande aux gestionnaires de conflit de souligner l’avantage d’un accord certain au regard de l’incertitude engendrée par un long et coûteux procès et de signaler que des regrets il en sera toujours question, quelle que soit l’option finalement endossée. </w:t>
      </w:r>
    </w:p>
    <w:p w14:paraId="48EEBD00" w14:textId="679A1FA5" w:rsidR="002E7971" w:rsidRPr="001044DA" w:rsidRDefault="002E7971" w:rsidP="002C69E4">
      <w:pPr>
        <w:spacing w:line="276" w:lineRule="auto"/>
        <w:ind w:firstLine="567"/>
        <w:rPr>
          <w:rFonts w:ascii="Times New Roman" w:hAnsi="Times New Roman" w:cs="Times New Roman"/>
          <w:b/>
          <w:sz w:val="24"/>
          <w:szCs w:val="24"/>
          <w:lang w:val="fr-FR"/>
        </w:rPr>
      </w:pPr>
      <w:r w:rsidRPr="001044DA">
        <w:rPr>
          <w:rFonts w:ascii="Times New Roman" w:hAnsi="Times New Roman" w:cs="Times New Roman"/>
          <w:b/>
          <w:sz w:val="24"/>
          <w:szCs w:val="24"/>
          <w:lang w:val="fr-FR"/>
        </w:rPr>
        <w:t>Quand la fin d’une médiation rime avec dissolution de la relation</w:t>
      </w:r>
    </w:p>
    <w:p w14:paraId="1EBCFB93" w14:textId="7D700EDF" w:rsidR="002E7971" w:rsidRDefault="00A0771E" w:rsidP="002C69E4">
      <w:pPr>
        <w:spacing w:line="276" w:lineRule="auto"/>
        <w:ind w:firstLine="567"/>
        <w:rPr>
          <w:rFonts w:ascii="Times New Roman" w:hAnsi="Times New Roman" w:cs="Times New Roman"/>
          <w:sz w:val="24"/>
          <w:szCs w:val="24"/>
          <w:lang w:val="fr-FR"/>
        </w:rPr>
      </w:pPr>
      <w:r>
        <w:rPr>
          <w:rFonts w:ascii="Times New Roman" w:hAnsi="Times New Roman" w:cs="Times New Roman"/>
          <w:sz w:val="24"/>
          <w:szCs w:val="24"/>
          <w:lang w:val="fr-FR"/>
        </w:rPr>
        <w:t xml:space="preserve">Tous les conflits ne sont pas équivalents et certains portent en particulier sur la dissolution d’une relation autrefois émotionnellement très importante aux yeux des parties. C’est le cas notamment des médiations traitant de divorces ou de licenciements. </w:t>
      </w:r>
      <w:r w:rsidR="00F20CB9">
        <w:rPr>
          <w:rFonts w:ascii="Times New Roman" w:hAnsi="Times New Roman" w:cs="Times New Roman"/>
          <w:sz w:val="24"/>
          <w:szCs w:val="24"/>
          <w:lang w:val="fr-FR"/>
        </w:rPr>
        <w:t xml:space="preserve">Dans </w:t>
      </w:r>
      <w:r>
        <w:rPr>
          <w:rFonts w:ascii="Times New Roman" w:hAnsi="Times New Roman" w:cs="Times New Roman"/>
          <w:sz w:val="24"/>
          <w:szCs w:val="24"/>
          <w:lang w:val="fr-FR"/>
        </w:rPr>
        <w:t xml:space="preserve">ce type de médiation, un frein supplémentaire à la conclusion d’un accord peut également apparaître : celui posé par une ou des parties qui n’ont pas encore totalement fait le deuil de leur relation. </w:t>
      </w:r>
    </w:p>
    <w:p w14:paraId="34644149" w14:textId="283E205E" w:rsidR="004E4310" w:rsidRDefault="00C107A5" w:rsidP="002C69E4">
      <w:pPr>
        <w:spacing w:line="276" w:lineRule="auto"/>
        <w:ind w:firstLine="567"/>
        <w:rPr>
          <w:rFonts w:ascii="Times New Roman" w:hAnsi="Times New Roman" w:cs="Times New Roman"/>
          <w:sz w:val="24"/>
          <w:szCs w:val="24"/>
          <w:lang w:val="fr-FR"/>
        </w:rPr>
      </w:pPr>
      <w:r>
        <w:rPr>
          <w:rFonts w:ascii="Times New Roman" w:hAnsi="Times New Roman" w:cs="Times New Roman"/>
          <w:sz w:val="24"/>
          <w:szCs w:val="24"/>
          <w:lang w:val="fr-FR"/>
        </w:rPr>
        <w:t xml:space="preserve">Cette question est directement associée à celle de la temporalité optimale d’une médiation. </w:t>
      </w:r>
      <w:r w:rsidR="007430F6">
        <w:rPr>
          <w:rFonts w:ascii="Times New Roman" w:hAnsi="Times New Roman" w:cs="Times New Roman"/>
          <w:sz w:val="24"/>
          <w:szCs w:val="24"/>
          <w:lang w:val="fr-FR"/>
        </w:rPr>
        <w:t xml:space="preserve">La médiation, tout comme la négociation, implique pour atteindre une issue favorable, que les parties se trouvent dans des prédispositions psychologiques favorables. Pour </w:t>
      </w:r>
      <w:proofErr w:type="spellStart"/>
      <w:r w:rsidR="007430F6">
        <w:rPr>
          <w:rFonts w:ascii="Times New Roman" w:hAnsi="Times New Roman" w:cs="Times New Roman"/>
          <w:sz w:val="24"/>
          <w:szCs w:val="24"/>
          <w:lang w:val="fr-FR"/>
        </w:rPr>
        <w:t>Zartman</w:t>
      </w:r>
      <w:proofErr w:type="spellEnd"/>
      <w:r w:rsidR="005C79FD">
        <w:rPr>
          <w:rStyle w:val="Appelnotedebasdep"/>
          <w:rFonts w:ascii="Times New Roman" w:hAnsi="Times New Roman" w:cs="Times New Roman"/>
          <w:sz w:val="24"/>
          <w:szCs w:val="24"/>
          <w:lang w:val="fr-FR"/>
        </w:rPr>
        <w:footnoteReference w:id="20"/>
      </w:r>
      <w:r w:rsidR="007430F6">
        <w:rPr>
          <w:rFonts w:ascii="Times New Roman" w:hAnsi="Times New Roman" w:cs="Times New Roman"/>
          <w:sz w:val="24"/>
          <w:szCs w:val="24"/>
          <w:lang w:val="fr-FR"/>
        </w:rPr>
        <w:t xml:space="preserve">, par exemple, le conflit doit être arrivé à maturité et cette maturité </w:t>
      </w:r>
      <w:r w:rsidR="00F20CB9">
        <w:rPr>
          <w:rFonts w:ascii="Times New Roman" w:hAnsi="Times New Roman" w:cs="Times New Roman"/>
          <w:sz w:val="24"/>
          <w:szCs w:val="24"/>
          <w:lang w:val="fr-FR"/>
        </w:rPr>
        <w:t>arrive lors</w:t>
      </w:r>
      <w:r w:rsidR="007430F6">
        <w:rPr>
          <w:rFonts w:ascii="Times New Roman" w:hAnsi="Times New Roman" w:cs="Times New Roman"/>
          <w:sz w:val="24"/>
          <w:szCs w:val="24"/>
          <w:lang w:val="fr-FR"/>
        </w:rPr>
        <w:t xml:space="preserve">que les parties perçoivent se trouver dans une impasse qui leur est mutuellement défavorable et qu’elles entrevoient la négociation ou la médiation comme ayant des chances raisonnables d’aboutir. </w:t>
      </w:r>
      <w:r w:rsidR="00F20CB9">
        <w:rPr>
          <w:rFonts w:ascii="Times New Roman" w:hAnsi="Times New Roman" w:cs="Times New Roman"/>
          <w:sz w:val="24"/>
          <w:szCs w:val="24"/>
          <w:lang w:val="fr-FR"/>
        </w:rPr>
        <w:t>Dans le même ordre d’idée, p</w:t>
      </w:r>
      <w:r w:rsidR="007430F6">
        <w:rPr>
          <w:rFonts w:ascii="Times New Roman" w:hAnsi="Times New Roman" w:cs="Times New Roman"/>
          <w:sz w:val="24"/>
          <w:szCs w:val="24"/>
          <w:lang w:val="fr-FR"/>
        </w:rPr>
        <w:t xml:space="preserve">our </w:t>
      </w:r>
      <w:proofErr w:type="spellStart"/>
      <w:r w:rsidR="007430F6">
        <w:rPr>
          <w:rFonts w:ascii="Times New Roman" w:hAnsi="Times New Roman" w:cs="Times New Roman"/>
          <w:sz w:val="24"/>
          <w:szCs w:val="24"/>
          <w:lang w:val="fr-FR"/>
        </w:rPr>
        <w:t>Pruitt</w:t>
      </w:r>
      <w:proofErr w:type="spellEnd"/>
      <w:r w:rsidR="005C79FD">
        <w:rPr>
          <w:rStyle w:val="Appelnotedebasdep"/>
          <w:rFonts w:ascii="Times New Roman" w:hAnsi="Times New Roman" w:cs="Times New Roman"/>
          <w:sz w:val="24"/>
          <w:szCs w:val="24"/>
          <w:lang w:val="fr-FR"/>
        </w:rPr>
        <w:footnoteReference w:id="21"/>
      </w:r>
      <w:r w:rsidR="007430F6">
        <w:rPr>
          <w:rFonts w:ascii="Times New Roman" w:hAnsi="Times New Roman" w:cs="Times New Roman"/>
          <w:sz w:val="24"/>
          <w:szCs w:val="24"/>
          <w:lang w:val="fr-FR"/>
        </w:rPr>
        <w:t xml:space="preserve">, </w:t>
      </w:r>
      <w:r w:rsidR="0066504C">
        <w:rPr>
          <w:rFonts w:ascii="Times New Roman" w:hAnsi="Times New Roman" w:cs="Times New Roman"/>
          <w:sz w:val="24"/>
          <w:szCs w:val="24"/>
          <w:lang w:val="fr-FR"/>
        </w:rPr>
        <w:t>le conflit n</w:t>
      </w:r>
      <w:r w:rsidR="00F20CB9">
        <w:rPr>
          <w:rFonts w:ascii="Times New Roman" w:hAnsi="Times New Roman" w:cs="Times New Roman"/>
          <w:sz w:val="24"/>
          <w:szCs w:val="24"/>
          <w:lang w:val="fr-FR"/>
        </w:rPr>
        <w:t xml:space="preserve">’est </w:t>
      </w:r>
      <w:r w:rsidR="0066504C">
        <w:rPr>
          <w:rFonts w:ascii="Times New Roman" w:hAnsi="Times New Roman" w:cs="Times New Roman"/>
          <w:sz w:val="24"/>
          <w:szCs w:val="24"/>
          <w:lang w:val="fr-FR"/>
        </w:rPr>
        <w:t>prêt à être négocié ou médié que lorsque les parties éprouve</w:t>
      </w:r>
      <w:r w:rsidR="00F20CB9">
        <w:rPr>
          <w:rFonts w:ascii="Times New Roman" w:hAnsi="Times New Roman" w:cs="Times New Roman"/>
          <w:sz w:val="24"/>
          <w:szCs w:val="24"/>
          <w:lang w:val="fr-FR"/>
        </w:rPr>
        <w:t>nt</w:t>
      </w:r>
      <w:r w:rsidR="0066504C">
        <w:rPr>
          <w:rFonts w:ascii="Times New Roman" w:hAnsi="Times New Roman" w:cs="Times New Roman"/>
          <w:sz w:val="24"/>
          <w:szCs w:val="24"/>
          <w:lang w:val="fr-FR"/>
        </w:rPr>
        <w:t xml:space="preserve"> un degré suffisant de motivation que pour y mettre fin et qu’elles sont optimistes quant aux chances d’émergence d’un accord. A ces </w:t>
      </w:r>
      <w:r w:rsidR="0066504C">
        <w:rPr>
          <w:rFonts w:ascii="Times New Roman" w:hAnsi="Times New Roman" w:cs="Times New Roman"/>
          <w:sz w:val="24"/>
          <w:szCs w:val="24"/>
          <w:lang w:val="fr-FR"/>
        </w:rPr>
        <w:lastRenderedPageBreak/>
        <w:t xml:space="preserve">deux premières conditions, Arnaud </w:t>
      </w:r>
      <w:proofErr w:type="spellStart"/>
      <w:r w:rsidR="0066504C">
        <w:rPr>
          <w:rFonts w:ascii="Times New Roman" w:hAnsi="Times New Roman" w:cs="Times New Roman"/>
          <w:sz w:val="24"/>
          <w:szCs w:val="24"/>
          <w:lang w:val="fr-FR"/>
        </w:rPr>
        <w:t>Stimec</w:t>
      </w:r>
      <w:proofErr w:type="spellEnd"/>
      <w:r w:rsidR="0066504C">
        <w:rPr>
          <w:rFonts w:ascii="Times New Roman" w:hAnsi="Times New Roman" w:cs="Times New Roman"/>
          <w:sz w:val="24"/>
          <w:szCs w:val="24"/>
          <w:lang w:val="fr-FR"/>
        </w:rPr>
        <w:t xml:space="preserve"> et </w:t>
      </w:r>
      <w:r w:rsidR="00413353">
        <w:rPr>
          <w:rFonts w:ascii="Times New Roman" w:hAnsi="Times New Roman" w:cs="Times New Roman"/>
          <w:sz w:val="24"/>
          <w:szCs w:val="24"/>
          <w:lang w:val="fr-FR"/>
        </w:rPr>
        <w:t>ses collaborateurs</w:t>
      </w:r>
      <w:r w:rsidR="00413353">
        <w:rPr>
          <w:rStyle w:val="Appelnotedebasdep"/>
          <w:rFonts w:ascii="Times New Roman" w:hAnsi="Times New Roman" w:cs="Times New Roman"/>
          <w:sz w:val="24"/>
          <w:szCs w:val="24"/>
          <w:lang w:val="fr-FR"/>
        </w:rPr>
        <w:footnoteReference w:id="22"/>
      </w:r>
      <w:r w:rsidR="0066504C">
        <w:rPr>
          <w:rFonts w:ascii="Times New Roman" w:hAnsi="Times New Roman" w:cs="Times New Roman"/>
          <w:sz w:val="24"/>
          <w:szCs w:val="24"/>
          <w:lang w:val="fr-FR"/>
        </w:rPr>
        <w:t xml:space="preserve"> en ajoute</w:t>
      </w:r>
      <w:r w:rsidR="00413353">
        <w:rPr>
          <w:rFonts w:ascii="Times New Roman" w:hAnsi="Times New Roman" w:cs="Times New Roman"/>
          <w:sz w:val="24"/>
          <w:szCs w:val="24"/>
          <w:lang w:val="fr-FR"/>
        </w:rPr>
        <w:t>nt</w:t>
      </w:r>
      <w:r w:rsidR="0066504C">
        <w:rPr>
          <w:rFonts w:ascii="Times New Roman" w:hAnsi="Times New Roman" w:cs="Times New Roman"/>
          <w:sz w:val="24"/>
          <w:szCs w:val="24"/>
          <w:lang w:val="fr-FR"/>
        </w:rPr>
        <w:t xml:space="preserve"> </w:t>
      </w:r>
      <w:r w:rsidR="00F20CB9">
        <w:rPr>
          <w:rFonts w:ascii="Times New Roman" w:hAnsi="Times New Roman" w:cs="Times New Roman"/>
          <w:sz w:val="24"/>
          <w:szCs w:val="24"/>
          <w:lang w:val="fr-FR"/>
        </w:rPr>
        <w:t xml:space="preserve">une, </w:t>
      </w:r>
      <w:r w:rsidR="0066504C">
        <w:rPr>
          <w:rFonts w:ascii="Times New Roman" w:hAnsi="Times New Roman" w:cs="Times New Roman"/>
          <w:sz w:val="24"/>
          <w:szCs w:val="24"/>
          <w:lang w:val="fr-FR"/>
        </w:rPr>
        <w:t xml:space="preserve">tirée des théories du deuil : </w:t>
      </w:r>
      <w:r w:rsidR="00F20CB9">
        <w:rPr>
          <w:rFonts w:ascii="Times New Roman" w:hAnsi="Times New Roman" w:cs="Times New Roman"/>
          <w:sz w:val="24"/>
          <w:szCs w:val="24"/>
          <w:lang w:val="fr-FR"/>
        </w:rPr>
        <w:t>la</w:t>
      </w:r>
      <w:r w:rsidR="0066504C">
        <w:rPr>
          <w:rFonts w:ascii="Times New Roman" w:hAnsi="Times New Roman" w:cs="Times New Roman"/>
          <w:sz w:val="24"/>
          <w:szCs w:val="24"/>
          <w:lang w:val="fr-FR"/>
        </w:rPr>
        <w:t xml:space="preserve"> transition. Concrètement, l’aboutissement favorable d’une médiation ou d’une négociation ne pourra se faire que lorsque les parties auront atteint un stade dans le deuil de leur relation qui leur permet d’accepter que le passé </w:t>
      </w:r>
      <w:proofErr w:type="gramStart"/>
      <w:r w:rsidR="0066504C">
        <w:rPr>
          <w:rFonts w:ascii="Times New Roman" w:hAnsi="Times New Roman" w:cs="Times New Roman"/>
          <w:sz w:val="24"/>
          <w:szCs w:val="24"/>
          <w:lang w:val="fr-FR"/>
        </w:rPr>
        <w:t>est</w:t>
      </w:r>
      <w:proofErr w:type="gramEnd"/>
      <w:r w:rsidR="0066504C">
        <w:rPr>
          <w:rFonts w:ascii="Times New Roman" w:hAnsi="Times New Roman" w:cs="Times New Roman"/>
          <w:sz w:val="24"/>
          <w:szCs w:val="24"/>
          <w:lang w:val="fr-FR"/>
        </w:rPr>
        <w:t xml:space="preserve"> révolu et de commencer à se tourner vers l’avenir. En somme, </w:t>
      </w:r>
      <w:r w:rsidR="0066504C" w:rsidRPr="001044DA">
        <w:rPr>
          <w:rFonts w:ascii="Times New Roman" w:hAnsi="Times New Roman" w:cs="Times New Roman"/>
          <w:b/>
          <w:sz w:val="24"/>
          <w:szCs w:val="24"/>
          <w:lang w:val="fr-FR"/>
        </w:rPr>
        <w:t>tant que les parties n’auront pas réalisé ou totalement accepté le fait que les choses ne seront plus jamais les mêmes, tou</w:t>
      </w:r>
      <w:r w:rsidR="00FA7B3C" w:rsidRPr="001044DA">
        <w:rPr>
          <w:rFonts w:ascii="Times New Roman" w:hAnsi="Times New Roman" w:cs="Times New Roman"/>
          <w:b/>
          <w:sz w:val="24"/>
          <w:szCs w:val="24"/>
          <w:lang w:val="fr-FR"/>
        </w:rPr>
        <w:t>s leurs comportements s’orienteront vers la restauration du passé ou vers le maintien du statu quo</w:t>
      </w:r>
      <w:r w:rsidR="00FA7B3C">
        <w:rPr>
          <w:rFonts w:ascii="Times New Roman" w:hAnsi="Times New Roman" w:cs="Times New Roman"/>
          <w:sz w:val="24"/>
          <w:szCs w:val="24"/>
          <w:lang w:val="fr-FR"/>
        </w:rPr>
        <w:t xml:space="preserve">. </w:t>
      </w:r>
    </w:p>
    <w:p w14:paraId="11737FD6" w14:textId="1F145B6E" w:rsidR="00FA7B3C" w:rsidRDefault="00FA7B3C" w:rsidP="002C69E4">
      <w:pPr>
        <w:spacing w:line="276" w:lineRule="auto"/>
        <w:ind w:firstLine="567"/>
        <w:rPr>
          <w:rFonts w:ascii="Times New Roman" w:hAnsi="Times New Roman" w:cs="Times New Roman"/>
          <w:sz w:val="24"/>
          <w:szCs w:val="24"/>
          <w:lang w:val="fr-FR"/>
        </w:rPr>
      </w:pPr>
      <w:r>
        <w:rPr>
          <w:rFonts w:ascii="Times New Roman" w:hAnsi="Times New Roman" w:cs="Times New Roman"/>
          <w:sz w:val="24"/>
          <w:szCs w:val="24"/>
          <w:lang w:val="fr-FR"/>
        </w:rPr>
        <w:t xml:space="preserve">La problématique de la dissolution des relations est potentiellement d’autant plus aigüe que les parties abordent la médiation en se trouvant à des stades différents du deuil ou que les émotions qu’elles éprouvent à l’égard de la relation, du futur ex-partenaire ou des comportements de celui-ci sont intenses. </w:t>
      </w:r>
      <w:r w:rsidR="00F20CB9">
        <w:rPr>
          <w:rFonts w:ascii="Times New Roman" w:hAnsi="Times New Roman" w:cs="Times New Roman"/>
          <w:sz w:val="24"/>
          <w:szCs w:val="24"/>
          <w:lang w:val="fr-FR"/>
        </w:rPr>
        <w:t xml:space="preserve">Comme le notent </w:t>
      </w:r>
      <w:proofErr w:type="spellStart"/>
      <w:r w:rsidR="00F20CB9">
        <w:rPr>
          <w:rFonts w:ascii="Times New Roman" w:hAnsi="Times New Roman" w:cs="Times New Roman"/>
          <w:sz w:val="24"/>
          <w:szCs w:val="24"/>
          <w:lang w:val="fr-FR"/>
        </w:rPr>
        <w:t>Margulies</w:t>
      </w:r>
      <w:proofErr w:type="spellEnd"/>
      <w:r w:rsidR="00F20CB9">
        <w:rPr>
          <w:rFonts w:ascii="Times New Roman" w:hAnsi="Times New Roman" w:cs="Times New Roman"/>
          <w:sz w:val="24"/>
          <w:szCs w:val="24"/>
          <w:lang w:val="fr-FR"/>
        </w:rPr>
        <w:t xml:space="preserve"> et </w:t>
      </w:r>
      <w:proofErr w:type="spellStart"/>
      <w:r w:rsidR="00F20CB9">
        <w:rPr>
          <w:rFonts w:ascii="Times New Roman" w:hAnsi="Times New Roman" w:cs="Times New Roman"/>
          <w:sz w:val="24"/>
          <w:szCs w:val="24"/>
          <w:lang w:val="fr-FR"/>
        </w:rPr>
        <w:t>Luchow</w:t>
      </w:r>
      <w:proofErr w:type="spellEnd"/>
      <w:r w:rsidR="00F20CB9">
        <w:rPr>
          <w:rFonts w:ascii="Times New Roman" w:hAnsi="Times New Roman" w:cs="Times New Roman"/>
          <w:sz w:val="24"/>
          <w:szCs w:val="24"/>
          <w:lang w:val="fr-FR"/>
        </w:rPr>
        <w:t xml:space="preserve">, la décision de mettre un terme à la relation (en particulier dans les cas de divorce) est rarement totalement mutuelle et la personne ayant l’initiative du divorce possède généralement un avantage psychologique de par le stade de deuil plus avancé dans lequel elle se trouve. Un déséquilibre se crée alors entre l’initiateur qui est motivé à avancer et le non-initiateur dont la motivation première est de résister au changement. </w:t>
      </w:r>
      <w:r w:rsidR="0063700B">
        <w:rPr>
          <w:rFonts w:ascii="Times New Roman" w:hAnsi="Times New Roman" w:cs="Times New Roman"/>
          <w:sz w:val="24"/>
          <w:szCs w:val="24"/>
          <w:lang w:val="fr-FR"/>
        </w:rPr>
        <w:t xml:space="preserve">La résistance au changement est, de ce fait, un frein psychologique supplémentaire à la prise de décision et à l’aboutissement des médiations et ce frein se traduit, parfois, par des parties n’arrivant pas à se mettre d’accord sur un « détail » (ex : le partage d’un dernier meuble) alors qu’elles se sont déjà mises d’accord sur des enjeux de nettement plus grande importance. </w:t>
      </w:r>
    </w:p>
    <w:p w14:paraId="2AE84882" w14:textId="77777777" w:rsidR="00F15A71" w:rsidRPr="00F82E18" w:rsidRDefault="00F82E18" w:rsidP="002C69E4">
      <w:pPr>
        <w:spacing w:line="276" w:lineRule="auto"/>
        <w:ind w:firstLine="567"/>
        <w:rPr>
          <w:rFonts w:ascii="Times New Roman" w:hAnsi="Times New Roman" w:cs="Times New Roman"/>
          <w:b/>
          <w:sz w:val="24"/>
          <w:szCs w:val="24"/>
          <w:lang w:val="fr-FR"/>
        </w:rPr>
      </w:pPr>
      <w:r w:rsidRPr="00F82E18">
        <w:rPr>
          <w:rFonts w:ascii="Times New Roman" w:hAnsi="Times New Roman" w:cs="Times New Roman"/>
          <w:b/>
          <w:sz w:val="24"/>
          <w:szCs w:val="24"/>
          <w:lang w:val="fr-FR"/>
        </w:rPr>
        <w:t>En conclusion</w:t>
      </w:r>
    </w:p>
    <w:p w14:paraId="2C327BDE" w14:textId="30C372A0" w:rsidR="00F82E18" w:rsidRDefault="0006520D" w:rsidP="002C69E4">
      <w:pPr>
        <w:spacing w:line="276" w:lineRule="auto"/>
        <w:ind w:firstLine="567"/>
        <w:rPr>
          <w:rFonts w:ascii="Times New Roman" w:hAnsi="Times New Roman" w:cs="Times New Roman"/>
          <w:sz w:val="24"/>
          <w:szCs w:val="24"/>
          <w:lang w:val="fr-FR"/>
        </w:rPr>
      </w:pPr>
      <w:r>
        <w:rPr>
          <w:rFonts w:ascii="Times New Roman" w:hAnsi="Times New Roman" w:cs="Times New Roman"/>
          <w:sz w:val="24"/>
          <w:szCs w:val="24"/>
          <w:lang w:val="fr-FR"/>
        </w:rPr>
        <w:t xml:space="preserve">Dans cet article, nous avons mis l’accent sur plusieurs facteurs psychologiques susceptibles de freiner la prise de décision en médiation et, en particulier, l’acceptation de l’accord médié. </w:t>
      </w:r>
      <w:r w:rsidR="00D01CE3">
        <w:rPr>
          <w:rFonts w:ascii="Times New Roman" w:hAnsi="Times New Roman" w:cs="Times New Roman"/>
          <w:sz w:val="24"/>
          <w:szCs w:val="24"/>
          <w:lang w:val="fr-FR"/>
        </w:rPr>
        <w:t xml:space="preserve">La plupart des variables que nous avons abordées relèvent du fonctionnement cognitif des individus et de la façon dont ceux-ci analysent les situations de conflit auxquelles ils font face. </w:t>
      </w:r>
      <w:r w:rsidR="00715F95">
        <w:rPr>
          <w:rFonts w:ascii="Times New Roman" w:hAnsi="Times New Roman" w:cs="Times New Roman"/>
          <w:sz w:val="24"/>
          <w:szCs w:val="24"/>
          <w:lang w:val="fr-FR"/>
        </w:rPr>
        <w:t>À</w:t>
      </w:r>
      <w:r w:rsidR="00D01CE3">
        <w:rPr>
          <w:rFonts w:ascii="Times New Roman" w:hAnsi="Times New Roman" w:cs="Times New Roman"/>
          <w:sz w:val="24"/>
          <w:szCs w:val="24"/>
          <w:lang w:val="fr-FR"/>
        </w:rPr>
        <w:t xml:space="preserve"> côté de ces facteurs cognitifs, il va de soi que les variables émotionnelles et motivationnelles jouent un rôle non négligeable dans la volonté qu’auront les parties de s’engager dans un accord à l’amiable. </w:t>
      </w:r>
      <w:r w:rsidR="00413353">
        <w:rPr>
          <w:rFonts w:ascii="Times New Roman" w:hAnsi="Times New Roman" w:cs="Times New Roman"/>
          <w:sz w:val="24"/>
          <w:szCs w:val="24"/>
          <w:lang w:val="fr-FR"/>
        </w:rPr>
        <w:t xml:space="preserve">Nous avons déjà abordé ces aspects dans la section précédente. </w:t>
      </w:r>
      <w:r w:rsidR="001F1B86">
        <w:rPr>
          <w:rFonts w:ascii="Times New Roman" w:hAnsi="Times New Roman" w:cs="Times New Roman"/>
          <w:sz w:val="24"/>
          <w:szCs w:val="24"/>
          <w:lang w:val="fr-FR"/>
        </w:rPr>
        <w:t>A côté de la problématique du deuil de la relation, d</w:t>
      </w:r>
      <w:r w:rsidR="00D01CE3">
        <w:rPr>
          <w:rFonts w:ascii="Times New Roman" w:hAnsi="Times New Roman" w:cs="Times New Roman"/>
          <w:sz w:val="24"/>
          <w:szCs w:val="24"/>
          <w:lang w:val="fr-FR"/>
        </w:rPr>
        <w:t xml:space="preserve">eux </w:t>
      </w:r>
      <w:r w:rsidR="001F1B86">
        <w:rPr>
          <w:rFonts w:ascii="Times New Roman" w:hAnsi="Times New Roman" w:cs="Times New Roman"/>
          <w:sz w:val="24"/>
          <w:szCs w:val="24"/>
          <w:lang w:val="fr-FR"/>
        </w:rPr>
        <w:t xml:space="preserve">autres </w:t>
      </w:r>
      <w:r w:rsidR="00D01CE3">
        <w:rPr>
          <w:rFonts w:ascii="Times New Roman" w:hAnsi="Times New Roman" w:cs="Times New Roman"/>
          <w:sz w:val="24"/>
          <w:szCs w:val="24"/>
          <w:lang w:val="fr-FR"/>
        </w:rPr>
        <w:t xml:space="preserve">émotions </w:t>
      </w:r>
      <w:r w:rsidR="00160B13">
        <w:rPr>
          <w:rFonts w:ascii="Times New Roman" w:hAnsi="Times New Roman" w:cs="Times New Roman"/>
          <w:sz w:val="24"/>
          <w:szCs w:val="24"/>
          <w:lang w:val="fr-FR"/>
        </w:rPr>
        <w:t xml:space="preserve">méritent ici d’être </w:t>
      </w:r>
      <w:r w:rsidR="00BB6952">
        <w:rPr>
          <w:rFonts w:ascii="Times New Roman" w:hAnsi="Times New Roman" w:cs="Times New Roman"/>
          <w:sz w:val="24"/>
          <w:szCs w:val="24"/>
          <w:lang w:val="fr-FR"/>
        </w:rPr>
        <w:t>abordées</w:t>
      </w:r>
      <w:r w:rsidR="00D01CE3">
        <w:rPr>
          <w:rFonts w:ascii="Times New Roman" w:hAnsi="Times New Roman" w:cs="Times New Roman"/>
          <w:sz w:val="24"/>
          <w:szCs w:val="24"/>
          <w:lang w:val="fr-FR"/>
        </w:rPr>
        <w:t>. La première d’entre elle</w:t>
      </w:r>
      <w:r w:rsidR="00715F95">
        <w:rPr>
          <w:rFonts w:ascii="Times New Roman" w:hAnsi="Times New Roman" w:cs="Times New Roman"/>
          <w:sz w:val="24"/>
          <w:szCs w:val="24"/>
          <w:lang w:val="fr-FR"/>
        </w:rPr>
        <w:t>s</w:t>
      </w:r>
      <w:r w:rsidR="00D01CE3">
        <w:rPr>
          <w:rFonts w:ascii="Times New Roman" w:hAnsi="Times New Roman" w:cs="Times New Roman"/>
          <w:sz w:val="24"/>
          <w:szCs w:val="24"/>
          <w:lang w:val="fr-FR"/>
        </w:rPr>
        <w:t xml:space="preserve"> est la colère. La colère est une émotion qui survient notamment lorsqu’une personne a l’impression d’avoir été heurtée par une autre ou lorsqu’une valeur importante à ses yeux a été mise à mal. Face </w:t>
      </w:r>
      <w:r w:rsidR="00BB6952">
        <w:rPr>
          <w:rFonts w:ascii="Times New Roman" w:hAnsi="Times New Roman" w:cs="Times New Roman"/>
          <w:sz w:val="24"/>
          <w:szCs w:val="24"/>
          <w:lang w:val="fr-FR"/>
        </w:rPr>
        <w:t xml:space="preserve">à </w:t>
      </w:r>
      <w:r w:rsidR="00C10724">
        <w:rPr>
          <w:rFonts w:ascii="Times New Roman" w:hAnsi="Times New Roman" w:cs="Times New Roman"/>
          <w:sz w:val="24"/>
          <w:szCs w:val="24"/>
          <w:lang w:val="fr-FR"/>
        </w:rPr>
        <w:t>ce</w:t>
      </w:r>
      <w:r w:rsidR="00D01CE3">
        <w:rPr>
          <w:rFonts w:ascii="Times New Roman" w:hAnsi="Times New Roman" w:cs="Times New Roman"/>
          <w:sz w:val="24"/>
          <w:szCs w:val="24"/>
          <w:lang w:val="fr-FR"/>
        </w:rPr>
        <w:t xml:space="preserve"> sentiment </w:t>
      </w:r>
      <w:r w:rsidR="00C10724">
        <w:rPr>
          <w:rFonts w:ascii="Times New Roman" w:hAnsi="Times New Roman" w:cs="Times New Roman"/>
          <w:sz w:val="24"/>
          <w:szCs w:val="24"/>
          <w:lang w:val="fr-FR"/>
        </w:rPr>
        <w:t>d’inconfort</w:t>
      </w:r>
      <w:r w:rsidR="00D01CE3">
        <w:rPr>
          <w:rFonts w:ascii="Times New Roman" w:hAnsi="Times New Roman" w:cs="Times New Roman"/>
          <w:sz w:val="24"/>
          <w:szCs w:val="24"/>
          <w:lang w:val="fr-FR"/>
        </w:rPr>
        <w:t>, la colère</w:t>
      </w:r>
      <w:r w:rsidR="00C10724">
        <w:rPr>
          <w:rFonts w:ascii="Times New Roman" w:hAnsi="Times New Roman" w:cs="Times New Roman"/>
          <w:sz w:val="24"/>
          <w:szCs w:val="24"/>
          <w:lang w:val="fr-FR"/>
        </w:rPr>
        <w:t xml:space="preserve"> promeut parfois la vengeance, une manière </w:t>
      </w:r>
      <w:r w:rsidR="007A69F7">
        <w:rPr>
          <w:rFonts w:ascii="Times New Roman" w:hAnsi="Times New Roman" w:cs="Times New Roman"/>
          <w:sz w:val="24"/>
          <w:szCs w:val="24"/>
          <w:lang w:val="fr-FR"/>
        </w:rPr>
        <w:t xml:space="preserve">de </w:t>
      </w:r>
      <w:r w:rsidR="00C10724">
        <w:rPr>
          <w:rFonts w:ascii="Times New Roman" w:hAnsi="Times New Roman" w:cs="Times New Roman"/>
          <w:sz w:val="24"/>
          <w:szCs w:val="24"/>
          <w:lang w:val="fr-FR"/>
        </w:rPr>
        <w:t>rectifier l’injustice en créant chez l’autre un inconfort semblable à celui vécu par la personne offensée</w:t>
      </w:r>
      <w:r w:rsidR="00C10724">
        <w:rPr>
          <w:rStyle w:val="Appelnotedebasdep"/>
          <w:rFonts w:ascii="Times New Roman" w:hAnsi="Times New Roman" w:cs="Times New Roman"/>
          <w:sz w:val="24"/>
          <w:szCs w:val="24"/>
          <w:lang w:val="fr-FR"/>
        </w:rPr>
        <w:footnoteReference w:id="23"/>
      </w:r>
      <w:r w:rsidR="00C10724">
        <w:rPr>
          <w:rFonts w:ascii="Times New Roman" w:hAnsi="Times New Roman" w:cs="Times New Roman"/>
          <w:sz w:val="24"/>
          <w:szCs w:val="24"/>
          <w:lang w:val="fr-FR"/>
        </w:rPr>
        <w:t xml:space="preserve">. </w:t>
      </w:r>
      <w:r w:rsidR="00FC758B">
        <w:rPr>
          <w:rFonts w:ascii="Times New Roman" w:hAnsi="Times New Roman" w:cs="Times New Roman"/>
          <w:sz w:val="24"/>
          <w:szCs w:val="24"/>
          <w:lang w:val="fr-FR"/>
        </w:rPr>
        <w:t xml:space="preserve">De ce fait, il n’est pas rare d’observer </w:t>
      </w:r>
      <w:r w:rsidR="007A69F7">
        <w:rPr>
          <w:rFonts w:ascii="Times New Roman" w:hAnsi="Times New Roman" w:cs="Times New Roman"/>
          <w:sz w:val="24"/>
          <w:szCs w:val="24"/>
          <w:lang w:val="fr-FR"/>
        </w:rPr>
        <w:t xml:space="preserve">que </w:t>
      </w:r>
      <w:r w:rsidR="00FC758B">
        <w:rPr>
          <w:rFonts w:ascii="Times New Roman" w:hAnsi="Times New Roman" w:cs="Times New Roman"/>
          <w:sz w:val="24"/>
          <w:szCs w:val="24"/>
          <w:lang w:val="fr-FR"/>
        </w:rPr>
        <w:t xml:space="preserve">de très bons accords potentiels </w:t>
      </w:r>
      <w:r w:rsidR="007A69F7">
        <w:rPr>
          <w:rFonts w:ascii="Times New Roman" w:hAnsi="Times New Roman" w:cs="Times New Roman"/>
          <w:sz w:val="24"/>
          <w:szCs w:val="24"/>
          <w:lang w:val="fr-FR"/>
        </w:rPr>
        <w:t xml:space="preserve">sont </w:t>
      </w:r>
      <w:r w:rsidR="00FC758B">
        <w:rPr>
          <w:rFonts w:ascii="Times New Roman" w:hAnsi="Times New Roman" w:cs="Times New Roman"/>
          <w:sz w:val="24"/>
          <w:szCs w:val="24"/>
          <w:lang w:val="fr-FR"/>
        </w:rPr>
        <w:t xml:space="preserve">rejetés « par principe » par une partie dont l’émotion de colère a été mal gérée. On ne le dira jamais assez, le prédicteur premier d’une </w:t>
      </w:r>
      <w:r w:rsidR="00FC758B">
        <w:rPr>
          <w:rFonts w:ascii="Times New Roman" w:hAnsi="Times New Roman" w:cs="Times New Roman"/>
          <w:sz w:val="24"/>
          <w:szCs w:val="24"/>
          <w:lang w:val="fr-FR"/>
        </w:rPr>
        <w:lastRenderedPageBreak/>
        <w:t>médiation qui aboutit reste, encore et toujours, la volonté réelle des parties à coopérer et à dégager un accord à l’amiable</w:t>
      </w:r>
      <w:r w:rsidR="00FC758B">
        <w:rPr>
          <w:rStyle w:val="Appelnotedebasdep"/>
          <w:rFonts w:ascii="Times New Roman" w:hAnsi="Times New Roman" w:cs="Times New Roman"/>
          <w:sz w:val="24"/>
          <w:szCs w:val="24"/>
          <w:lang w:val="fr-FR"/>
        </w:rPr>
        <w:footnoteReference w:id="24"/>
      </w:r>
      <w:r w:rsidR="00FC758B">
        <w:rPr>
          <w:rFonts w:ascii="Times New Roman" w:hAnsi="Times New Roman" w:cs="Times New Roman"/>
          <w:sz w:val="24"/>
          <w:szCs w:val="24"/>
          <w:lang w:val="fr-FR"/>
        </w:rPr>
        <w:t>.</w:t>
      </w:r>
    </w:p>
    <w:p w14:paraId="27C6C8EB" w14:textId="77777777" w:rsidR="00FC758B" w:rsidRDefault="00BB6952" w:rsidP="002C69E4">
      <w:pPr>
        <w:spacing w:line="276" w:lineRule="auto"/>
        <w:ind w:firstLine="567"/>
        <w:rPr>
          <w:rFonts w:ascii="Times New Roman" w:hAnsi="Times New Roman" w:cs="Times New Roman"/>
          <w:sz w:val="24"/>
          <w:szCs w:val="24"/>
          <w:lang w:val="fr-FR"/>
        </w:rPr>
      </w:pPr>
      <w:r>
        <w:rPr>
          <w:rFonts w:ascii="Times New Roman" w:hAnsi="Times New Roman" w:cs="Times New Roman"/>
          <w:sz w:val="24"/>
          <w:szCs w:val="24"/>
          <w:lang w:val="fr-FR"/>
        </w:rPr>
        <w:t>L’autre émotion d’intérêt est la peur. Contrairement à la colère qui favorise l’action, la peur est une émotion paralysante qui suscite l’évitement plutôt que l’approche</w:t>
      </w:r>
      <w:r>
        <w:rPr>
          <w:rStyle w:val="Appelnotedebasdep"/>
          <w:rFonts w:ascii="Times New Roman" w:hAnsi="Times New Roman" w:cs="Times New Roman"/>
          <w:sz w:val="24"/>
          <w:szCs w:val="24"/>
          <w:lang w:val="fr-FR"/>
        </w:rPr>
        <w:footnoteReference w:id="25"/>
      </w:r>
      <w:r>
        <w:rPr>
          <w:rFonts w:ascii="Times New Roman" w:hAnsi="Times New Roman" w:cs="Times New Roman"/>
          <w:sz w:val="24"/>
          <w:szCs w:val="24"/>
          <w:lang w:val="fr-FR"/>
        </w:rPr>
        <w:t xml:space="preserve">. La peur dont il peut être question ici est la peur de « mal choisir », de ne pas être armé ou armée pour prendre une décision éclairée. Lorsqu’une telle peur prédomine, les conseils des parties peuvent avoir leur rôle à jouer notamment en les rassurant quant aux aspects juridiques liés à leur litige. C’est aussi cette même peur qui peut augmenter l’attractivité d’autres modes alternatifs de gestion de la divergence, telle la tierce décision obligatoire. </w:t>
      </w:r>
    </w:p>
    <w:sectPr w:rsidR="00FC75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1C87" w14:textId="77777777" w:rsidR="00367161" w:rsidRDefault="00367161" w:rsidP="00993736">
      <w:pPr>
        <w:spacing w:after="0" w:line="240" w:lineRule="auto"/>
      </w:pPr>
      <w:r>
        <w:separator/>
      </w:r>
    </w:p>
  </w:endnote>
  <w:endnote w:type="continuationSeparator" w:id="0">
    <w:p w14:paraId="03BB522E" w14:textId="77777777" w:rsidR="00367161" w:rsidRDefault="00367161" w:rsidP="00993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Laffont-Rom">
    <w:altName w:val="Yu Gothic"/>
    <w:panose1 w:val="00000000000000000000"/>
    <w:charset w:val="80"/>
    <w:family w:val="auto"/>
    <w:notTrueType/>
    <w:pitch w:val="default"/>
    <w:sig w:usb0="00000001" w:usb1="08070000" w:usb2="00000010" w:usb3="00000000" w:csb0="00020000" w:csb1="00000000"/>
  </w:font>
  <w:font w:name="NewLaffont-Ital">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1584F" w14:textId="77777777" w:rsidR="00367161" w:rsidRDefault="00367161" w:rsidP="00993736">
      <w:pPr>
        <w:spacing w:after="0" w:line="240" w:lineRule="auto"/>
      </w:pPr>
      <w:r>
        <w:separator/>
      </w:r>
    </w:p>
  </w:footnote>
  <w:footnote w:type="continuationSeparator" w:id="0">
    <w:p w14:paraId="1BAB83AB" w14:textId="77777777" w:rsidR="00367161" w:rsidRDefault="00367161" w:rsidP="00993736">
      <w:pPr>
        <w:spacing w:after="0" w:line="240" w:lineRule="auto"/>
      </w:pPr>
      <w:r>
        <w:continuationSeparator/>
      </w:r>
    </w:p>
  </w:footnote>
  <w:footnote w:id="1">
    <w:p w14:paraId="683704CE" w14:textId="77777777" w:rsidR="00F15A71" w:rsidRPr="001044DA" w:rsidRDefault="00F15A71" w:rsidP="00A32B36">
      <w:pPr>
        <w:pStyle w:val="Notedebasdepage"/>
        <w:spacing w:line="276" w:lineRule="auto"/>
        <w:rPr>
          <w:lang w:val="nl-BE"/>
        </w:rPr>
      </w:pPr>
      <w:r>
        <w:rPr>
          <w:rStyle w:val="Appelnotedebasdep"/>
        </w:rPr>
        <w:footnoteRef/>
      </w:r>
      <w:r w:rsidRPr="00A32B36">
        <w:rPr>
          <w:lang w:val="en-US"/>
        </w:rPr>
        <w:t xml:space="preserve"> </w:t>
      </w:r>
      <w:r w:rsidRPr="004543A0">
        <w:rPr>
          <w:lang w:val="en-US"/>
        </w:rPr>
        <w:t xml:space="preserve">Schwarz, N., &amp; Bless, H. (1991). Constructing reality and its alternatives: an inclusion/ exclusion model of assimilation and contrast effects in social judgment. </w:t>
      </w:r>
      <w:r w:rsidRPr="001044DA">
        <w:rPr>
          <w:lang w:val="nl-BE"/>
        </w:rPr>
        <w:t>(ZUMA-Arbeitsbericht, 1991/05). Mannheim: Zentrum für Umfragen, Methoden und Analysen -ZUMA-. https://nbn-resolving.org/urn:nbn:de:0168-ssoar-68883</w:t>
      </w:r>
    </w:p>
  </w:footnote>
  <w:footnote w:id="2">
    <w:p w14:paraId="21C03CF0" w14:textId="77777777" w:rsidR="0077686C" w:rsidRPr="00A32B36" w:rsidRDefault="0077686C" w:rsidP="00A32B36">
      <w:pPr>
        <w:pStyle w:val="Notedebasdepage"/>
        <w:spacing w:line="276" w:lineRule="auto"/>
        <w:rPr>
          <w:lang w:val="en-US"/>
        </w:rPr>
      </w:pPr>
      <w:r>
        <w:rPr>
          <w:rStyle w:val="Appelnotedebasdep"/>
        </w:rPr>
        <w:footnoteRef/>
      </w:r>
      <w:r>
        <w:t xml:space="preserve"> </w:t>
      </w:r>
      <w:r w:rsidRPr="00131476">
        <w:rPr>
          <w:rFonts w:cstheme="minorHAnsi"/>
          <w:color w:val="222222"/>
          <w:shd w:val="clear" w:color="auto" w:fill="FFFFFF"/>
        </w:rPr>
        <w:t>Demoulin, S. (2021). </w:t>
      </w:r>
      <w:r w:rsidRPr="00131476">
        <w:rPr>
          <w:rFonts w:cstheme="minorHAnsi"/>
          <w:i/>
          <w:iCs/>
          <w:color w:val="222222"/>
          <w:shd w:val="clear" w:color="auto" w:fill="FFFFFF"/>
        </w:rPr>
        <w:t>Psychologie de la médiation et de la gestion des conflits</w:t>
      </w:r>
      <w:r w:rsidR="00131476" w:rsidRPr="00131476">
        <w:rPr>
          <w:rFonts w:cstheme="minorHAnsi"/>
          <w:i/>
          <w:iCs/>
          <w:color w:val="222222"/>
          <w:shd w:val="clear" w:color="auto" w:fill="FFFFFF"/>
        </w:rPr>
        <w:t xml:space="preserve">. </w:t>
      </w:r>
      <w:proofErr w:type="gramStart"/>
      <w:r w:rsidR="00131476" w:rsidRPr="00A32B36">
        <w:rPr>
          <w:rFonts w:cstheme="minorHAnsi"/>
          <w:iCs/>
          <w:color w:val="222222"/>
          <w:shd w:val="clear" w:color="auto" w:fill="FFFFFF"/>
          <w:lang w:val="en-US"/>
        </w:rPr>
        <w:t>Bruxelles :</w:t>
      </w:r>
      <w:proofErr w:type="gramEnd"/>
      <w:r w:rsidR="00131476" w:rsidRPr="00A32B36">
        <w:rPr>
          <w:rFonts w:cstheme="minorHAnsi"/>
          <w:i/>
          <w:iCs/>
          <w:color w:val="222222"/>
          <w:shd w:val="clear" w:color="auto" w:fill="FFFFFF"/>
          <w:lang w:val="en-US"/>
        </w:rPr>
        <w:t xml:space="preserve"> </w:t>
      </w:r>
      <w:r w:rsidRPr="00A32B36">
        <w:rPr>
          <w:rFonts w:cstheme="minorHAnsi"/>
          <w:color w:val="222222"/>
          <w:shd w:val="clear" w:color="auto" w:fill="FFFFFF"/>
          <w:lang w:val="en-US"/>
        </w:rPr>
        <w:t>Mardaga.</w:t>
      </w:r>
    </w:p>
  </w:footnote>
  <w:footnote w:id="3">
    <w:p w14:paraId="66EE7E74" w14:textId="77777777" w:rsidR="00F15A71" w:rsidRPr="00993736" w:rsidRDefault="00F15A71" w:rsidP="00A32B36">
      <w:pPr>
        <w:pStyle w:val="Notedebasdepage"/>
        <w:spacing w:line="276" w:lineRule="auto"/>
        <w:rPr>
          <w:lang w:val="en-US"/>
        </w:rPr>
      </w:pPr>
      <w:r>
        <w:rPr>
          <w:rStyle w:val="Appelnotedebasdep"/>
        </w:rPr>
        <w:footnoteRef/>
      </w:r>
      <w:r w:rsidRPr="00A32B36">
        <w:rPr>
          <w:lang w:val="en-US"/>
        </w:rPr>
        <w:t xml:space="preserve"> </w:t>
      </w:r>
      <w:r w:rsidRPr="00A32B36">
        <w:rPr>
          <w:rFonts w:ascii="Calibri" w:hAnsi="Calibri" w:cs="Calibri"/>
          <w:noProof/>
          <w:szCs w:val="24"/>
          <w:lang w:val="en-US"/>
        </w:rPr>
        <w:t xml:space="preserve">Tversky, A., &amp; Kahneman, D. (1991). </w:t>
      </w:r>
      <w:r w:rsidRPr="00993736">
        <w:rPr>
          <w:rFonts w:ascii="Calibri" w:hAnsi="Calibri" w:cs="Calibri"/>
          <w:noProof/>
          <w:szCs w:val="24"/>
          <w:lang w:val="en-US"/>
        </w:rPr>
        <w:t xml:space="preserve">Loss Aversion in Riskless Choice : A Reference-Dependent Model. </w:t>
      </w:r>
      <w:r w:rsidRPr="00993736">
        <w:rPr>
          <w:rFonts w:ascii="Calibri" w:hAnsi="Calibri" w:cs="Calibri"/>
          <w:i/>
          <w:iCs/>
          <w:noProof/>
          <w:szCs w:val="24"/>
          <w:lang w:val="en-US"/>
        </w:rPr>
        <w:t>The Quarterly Journal of Economics</w:t>
      </w:r>
      <w:r w:rsidRPr="00993736">
        <w:rPr>
          <w:rFonts w:ascii="Calibri" w:hAnsi="Calibri" w:cs="Calibri"/>
          <w:noProof/>
          <w:szCs w:val="24"/>
          <w:lang w:val="en-US"/>
        </w:rPr>
        <w:t xml:space="preserve">, </w:t>
      </w:r>
      <w:r w:rsidRPr="00993736">
        <w:rPr>
          <w:rFonts w:ascii="Calibri" w:hAnsi="Calibri" w:cs="Calibri"/>
          <w:i/>
          <w:iCs/>
          <w:noProof/>
          <w:szCs w:val="24"/>
          <w:lang w:val="en-US"/>
        </w:rPr>
        <w:t>106</w:t>
      </w:r>
      <w:r w:rsidRPr="00993736">
        <w:rPr>
          <w:rFonts w:ascii="Calibri" w:hAnsi="Calibri" w:cs="Calibri"/>
          <w:noProof/>
          <w:szCs w:val="24"/>
          <w:lang w:val="en-US"/>
        </w:rPr>
        <w:t>(4), 1039–1061. Retrieved from http://www.jstor.com/stable/2937956</w:t>
      </w:r>
    </w:p>
  </w:footnote>
  <w:footnote w:id="4">
    <w:p w14:paraId="66761BFA" w14:textId="77777777" w:rsidR="00F15A71" w:rsidRPr="00A32B36" w:rsidRDefault="00F15A71" w:rsidP="00A32B36">
      <w:pPr>
        <w:pStyle w:val="Notedebasdepage"/>
        <w:spacing w:line="276" w:lineRule="auto"/>
        <w:rPr>
          <w:lang w:val="en-US"/>
        </w:rPr>
      </w:pPr>
      <w:r>
        <w:rPr>
          <w:rStyle w:val="Appelnotedebasdep"/>
        </w:rPr>
        <w:footnoteRef/>
      </w:r>
      <w:r w:rsidRPr="00993736">
        <w:rPr>
          <w:lang w:val="en-US"/>
        </w:rPr>
        <w:t xml:space="preserve"> </w:t>
      </w:r>
      <w:r w:rsidRPr="00993736">
        <w:rPr>
          <w:rFonts w:ascii="Calibri" w:hAnsi="Calibri" w:cs="Calibri"/>
          <w:noProof/>
          <w:szCs w:val="24"/>
          <w:lang w:val="en-US"/>
        </w:rPr>
        <w:t xml:space="preserve">Neale, M., &amp; Bazerman, M. (1985). The Effects of Framing and Negotiator Overconfidence on Bargaining Behaviors and Outcomes Author ( s ): Margaret A . Neale and Max H . Bazerman Published by : Academy of Management Stable URL : http://www.jstor.org/stable/256060 REFERENCES Linked referenc. </w:t>
      </w:r>
      <w:r w:rsidRPr="00A32B36">
        <w:rPr>
          <w:rFonts w:ascii="Calibri" w:hAnsi="Calibri" w:cs="Calibri"/>
          <w:i/>
          <w:iCs/>
          <w:noProof/>
          <w:szCs w:val="24"/>
          <w:lang w:val="en-US"/>
        </w:rPr>
        <w:t>The Academy of Management Journal</w:t>
      </w:r>
      <w:r w:rsidRPr="00A32B36">
        <w:rPr>
          <w:rFonts w:ascii="Calibri" w:hAnsi="Calibri" w:cs="Calibri"/>
          <w:noProof/>
          <w:szCs w:val="24"/>
          <w:lang w:val="en-US"/>
        </w:rPr>
        <w:t xml:space="preserve">, </w:t>
      </w:r>
      <w:r w:rsidRPr="00A32B36">
        <w:rPr>
          <w:rFonts w:ascii="Calibri" w:hAnsi="Calibri" w:cs="Calibri"/>
          <w:i/>
          <w:iCs/>
          <w:noProof/>
          <w:szCs w:val="24"/>
          <w:lang w:val="en-US"/>
        </w:rPr>
        <w:t>28</w:t>
      </w:r>
      <w:r w:rsidRPr="00A32B36">
        <w:rPr>
          <w:rFonts w:ascii="Calibri" w:hAnsi="Calibri" w:cs="Calibri"/>
          <w:noProof/>
          <w:szCs w:val="24"/>
          <w:lang w:val="en-US"/>
        </w:rPr>
        <w:t>(1), 34–49.</w:t>
      </w:r>
    </w:p>
  </w:footnote>
  <w:footnote w:id="5">
    <w:p w14:paraId="5C1C3EFA" w14:textId="77777777" w:rsidR="00F15A71" w:rsidRPr="00C80C76" w:rsidRDefault="00F15A71" w:rsidP="00A32B36">
      <w:pPr>
        <w:widowControl w:val="0"/>
        <w:autoSpaceDE w:val="0"/>
        <w:autoSpaceDN w:val="0"/>
        <w:adjustRightInd w:val="0"/>
        <w:spacing w:line="276" w:lineRule="auto"/>
        <w:rPr>
          <w:rFonts w:ascii="Calibri" w:hAnsi="Calibri" w:cs="Calibri"/>
          <w:i/>
          <w:iCs/>
          <w:noProof/>
          <w:sz w:val="20"/>
          <w:szCs w:val="20"/>
          <w:lang w:val="en-US"/>
        </w:rPr>
      </w:pPr>
      <w:r w:rsidRPr="00C80C76">
        <w:rPr>
          <w:rStyle w:val="Appelnotedebasdep"/>
          <w:sz w:val="20"/>
          <w:szCs w:val="20"/>
        </w:rPr>
        <w:footnoteRef/>
      </w:r>
      <w:r w:rsidRPr="00C80C76">
        <w:rPr>
          <w:sz w:val="20"/>
          <w:szCs w:val="20"/>
          <w:lang w:val="en-US"/>
        </w:rPr>
        <w:t xml:space="preserve"> </w:t>
      </w:r>
      <w:r w:rsidRPr="00C80C76">
        <w:rPr>
          <w:rFonts w:ascii="Calibri" w:hAnsi="Calibri" w:cs="Calibri"/>
          <w:noProof/>
          <w:sz w:val="20"/>
          <w:szCs w:val="20"/>
          <w:lang w:val="en-US"/>
        </w:rPr>
        <w:t xml:space="preserve">Milburn, T., &amp; Isaac, P. (1995). Prospect theory: Implications for international mediation. </w:t>
      </w:r>
      <w:r w:rsidRPr="00C80C76">
        <w:rPr>
          <w:rFonts w:ascii="Calibri" w:hAnsi="Calibri" w:cs="Calibri"/>
          <w:i/>
          <w:iCs/>
          <w:noProof/>
          <w:sz w:val="20"/>
          <w:szCs w:val="20"/>
          <w:lang w:val="en-US"/>
        </w:rPr>
        <w:t>Peace and Conflict:</w:t>
      </w:r>
      <w:r>
        <w:rPr>
          <w:rFonts w:ascii="Calibri" w:hAnsi="Calibri" w:cs="Calibri"/>
          <w:i/>
          <w:iCs/>
          <w:noProof/>
          <w:sz w:val="20"/>
          <w:szCs w:val="20"/>
          <w:lang w:val="en-US"/>
        </w:rPr>
        <w:t xml:space="preserve"> </w:t>
      </w:r>
      <w:r w:rsidRPr="00C80C76">
        <w:rPr>
          <w:rFonts w:ascii="Calibri" w:hAnsi="Calibri" w:cs="Calibri"/>
          <w:i/>
          <w:iCs/>
          <w:noProof/>
          <w:sz w:val="20"/>
          <w:szCs w:val="20"/>
          <w:lang w:val="en-US"/>
        </w:rPr>
        <w:t>Journal of Peace Psychology</w:t>
      </w:r>
      <w:r w:rsidRPr="00C80C76">
        <w:rPr>
          <w:rFonts w:ascii="Calibri" w:hAnsi="Calibri" w:cs="Calibri"/>
          <w:noProof/>
          <w:sz w:val="20"/>
          <w:szCs w:val="20"/>
          <w:lang w:val="en-US"/>
        </w:rPr>
        <w:t xml:space="preserve">, </w:t>
      </w:r>
      <w:r w:rsidRPr="00C80C76">
        <w:rPr>
          <w:rFonts w:ascii="Calibri" w:hAnsi="Calibri" w:cs="Calibri"/>
          <w:i/>
          <w:iCs/>
          <w:noProof/>
          <w:sz w:val="20"/>
          <w:szCs w:val="20"/>
          <w:lang w:val="en-US"/>
        </w:rPr>
        <w:t>1</w:t>
      </w:r>
      <w:r w:rsidRPr="00C80C76">
        <w:rPr>
          <w:rFonts w:ascii="Calibri" w:hAnsi="Calibri" w:cs="Calibri"/>
          <w:noProof/>
          <w:sz w:val="20"/>
          <w:szCs w:val="20"/>
          <w:lang w:val="en-US"/>
        </w:rPr>
        <w:t>(4), 333–342. https://doi.org/10.1207/s15327949pac0104_3</w:t>
      </w:r>
    </w:p>
  </w:footnote>
  <w:footnote w:id="6">
    <w:p w14:paraId="42A8F202" w14:textId="77777777" w:rsidR="00F15A71" w:rsidRPr="00A32B36" w:rsidRDefault="00F15A71" w:rsidP="00A32B36">
      <w:pPr>
        <w:widowControl w:val="0"/>
        <w:autoSpaceDE w:val="0"/>
        <w:autoSpaceDN w:val="0"/>
        <w:adjustRightInd w:val="0"/>
        <w:spacing w:line="276" w:lineRule="auto"/>
        <w:rPr>
          <w:rFonts w:ascii="Calibri" w:hAnsi="Calibri" w:cs="Calibri"/>
          <w:noProof/>
          <w:sz w:val="20"/>
          <w:szCs w:val="20"/>
          <w:lang w:val="en-US"/>
        </w:rPr>
      </w:pPr>
      <w:r w:rsidRPr="00C80C76">
        <w:rPr>
          <w:rStyle w:val="Appelnotedebasdep"/>
          <w:sz w:val="20"/>
          <w:szCs w:val="20"/>
        </w:rPr>
        <w:footnoteRef/>
      </w:r>
      <w:r w:rsidRPr="00C80C76">
        <w:rPr>
          <w:sz w:val="20"/>
          <w:szCs w:val="20"/>
          <w:lang w:val="en-US"/>
        </w:rPr>
        <w:t xml:space="preserve"> </w:t>
      </w:r>
      <w:r w:rsidRPr="00C80C76">
        <w:rPr>
          <w:rFonts w:ascii="Calibri" w:hAnsi="Calibri" w:cs="Calibri"/>
          <w:noProof/>
          <w:sz w:val="20"/>
          <w:szCs w:val="20"/>
          <w:lang w:val="en-US"/>
        </w:rPr>
        <w:t xml:space="preserve">Perfecto, H., Galak, J., Simmons, J. P., &amp; Nelson, L. D. (2017). Rejecting a bad option feels like choosing a good one. </w:t>
      </w:r>
      <w:r w:rsidRPr="00A32B36">
        <w:rPr>
          <w:rFonts w:ascii="Calibri" w:hAnsi="Calibri" w:cs="Calibri"/>
          <w:i/>
          <w:iCs/>
          <w:noProof/>
          <w:sz w:val="20"/>
          <w:szCs w:val="20"/>
          <w:lang w:val="en-US"/>
        </w:rPr>
        <w:t>Journal of Personality and Social Psychology</w:t>
      </w:r>
      <w:r w:rsidRPr="00A32B36">
        <w:rPr>
          <w:rFonts w:ascii="Calibri" w:hAnsi="Calibri" w:cs="Calibri"/>
          <w:noProof/>
          <w:sz w:val="20"/>
          <w:szCs w:val="20"/>
          <w:lang w:val="en-US"/>
        </w:rPr>
        <w:t xml:space="preserve">, </w:t>
      </w:r>
      <w:r w:rsidRPr="00A32B36">
        <w:rPr>
          <w:rFonts w:ascii="Calibri" w:hAnsi="Calibri" w:cs="Calibri"/>
          <w:i/>
          <w:iCs/>
          <w:noProof/>
          <w:sz w:val="20"/>
          <w:szCs w:val="20"/>
          <w:lang w:val="en-US"/>
        </w:rPr>
        <w:t>113</w:t>
      </w:r>
      <w:r w:rsidRPr="00A32B36">
        <w:rPr>
          <w:rFonts w:ascii="Calibri" w:hAnsi="Calibri" w:cs="Calibri"/>
          <w:noProof/>
          <w:sz w:val="20"/>
          <w:szCs w:val="20"/>
          <w:lang w:val="en-US"/>
        </w:rPr>
        <w:t>(5), 659–670. https://doi.org/10.1037/pspa0000092</w:t>
      </w:r>
    </w:p>
  </w:footnote>
  <w:footnote w:id="7">
    <w:p w14:paraId="665913DC" w14:textId="77777777" w:rsidR="00F15A71" w:rsidRPr="00A32B36" w:rsidRDefault="00F15A71" w:rsidP="00A32B36">
      <w:pPr>
        <w:pStyle w:val="Notedebasdepage"/>
        <w:spacing w:line="276" w:lineRule="auto"/>
        <w:rPr>
          <w:lang w:val="en-US"/>
        </w:rPr>
      </w:pPr>
      <w:r>
        <w:rPr>
          <w:rStyle w:val="Appelnotedebasdep"/>
        </w:rPr>
        <w:footnoteRef/>
      </w:r>
      <w:r w:rsidRPr="0001332A">
        <w:rPr>
          <w:lang w:val="en-US"/>
        </w:rPr>
        <w:t xml:space="preserve"> </w:t>
      </w:r>
      <w:r w:rsidRPr="0001332A">
        <w:rPr>
          <w:rFonts w:ascii="Calibri" w:hAnsi="Calibri" w:cs="Calibri"/>
          <w:noProof/>
          <w:szCs w:val="24"/>
          <w:lang w:val="en-US"/>
        </w:rPr>
        <w:t xml:space="preserve">Sokolova, T., &amp; Krishna, A. (2016). Take it or leave it: How choosing versus rejecting alternatives affects information processing. </w:t>
      </w:r>
      <w:r w:rsidRPr="00A32B36">
        <w:rPr>
          <w:rFonts w:ascii="Calibri" w:hAnsi="Calibri" w:cs="Calibri"/>
          <w:i/>
          <w:iCs/>
          <w:noProof/>
          <w:szCs w:val="24"/>
          <w:lang w:val="en-US"/>
        </w:rPr>
        <w:t>Journal of Consumer Research</w:t>
      </w:r>
      <w:r w:rsidRPr="00A32B36">
        <w:rPr>
          <w:rFonts w:ascii="Calibri" w:hAnsi="Calibri" w:cs="Calibri"/>
          <w:noProof/>
          <w:szCs w:val="24"/>
          <w:lang w:val="en-US"/>
        </w:rPr>
        <w:t xml:space="preserve">, </w:t>
      </w:r>
      <w:r w:rsidRPr="00A32B36">
        <w:rPr>
          <w:rFonts w:ascii="Calibri" w:hAnsi="Calibri" w:cs="Calibri"/>
          <w:i/>
          <w:iCs/>
          <w:noProof/>
          <w:szCs w:val="24"/>
          <w:lang w:val="en-US"/>
        </w:rPr>
        <w:t>43</w:t>
      </w:r>
      <w:r w:rsidRPr="00A32B36">
        <w:rPr>
          <w:rFonts w:ascii="Calibri" w:hAnsi="Calibri" w:cs="Calibri"/>
          <w:noProof/>
          <w:szCs w:val="24"/>
          <w:lang w:val="en-US"/>
        </w:rPr>
        <w:t>(4), 614–635.</w:t>
      </w:r>
    </w:p>
  </w:footnote>
  <w:footnote w:id="8">
    <w:p w14:paraId="025BD6A9" w14:textId="77777777" w:rsidR="00F15A71" w:rsidRPr="0001332A" w:rsidRDefault="00F15A71" w:rsidP="00A32B36">
      <w:pPr>
        <w:pStyle w:val="Notedebasdepage"/>
        <w:spacing w:line="276" w:lineRule="auto"/>
        <w:rPr>
          <w:lang w:val="en-US"/>
        </w:rPr>
      </w:pPr>
      <w:r>
        <w:rPr>
          <w:rStyle w:val="Appelnotedebasdep"/>
        </w:rPr>
        <w:footnoteRef/>
      </w:r>
      <w:r w:rsidRPr="0001332A">
        <w:rPr>
          <w:lang w:val="en-US"/>
        </w:rPr>
        <w:t xml:space="preserve"> </w:t>
      </w:r>
      <w:r w:rsidRPr="0001332A">
        <w:rPr>
          <w:rFonts w:ascii="Calibri" w:hAnsi="Calibri" w:cs="Calibri"/>
          <w:noProof/>
          <w:szCs w:val="24"/>
          <w:lang w:val="en-US"/>
        </w:rPr>
        <w:t xml:space="preserve">Levin, I. P., Jasper, J. D., &amp; Forbes, W. S. (1998). Choosing versus rejecting options at different stages of decision making. </w:t>
      </w:r>
      <w:r w:rsidRPr="0001332A">
        <w:rPr>
          <w:rFonts w:ascii="Calibri" w:hAnsi="Calibri" w:cs="Calibri"/>
          <w:i/>
          <w:iCs/>
          <w:noProof/>
          <w:szCs w:val="24"/>
          <w:lang w:val="en-US"/>
        </w:rPr>
        <w:t>Journal of Behavioral Decision Making</w:t>
      </w:r>
      <w:r w:rsidRPr="0001332A">
        <w:rPr>
          <w:rFonts w:ascii="Calibri" w:hAnsi="Calibri" w:cs="Calibri"/>
          <w:noProof/>
          <w:szCs w:val="24"/>
          <w:lang w:val="en-US"/>
        </w:rPr>
        <w:t xml:space="preserve">, </w:t>
      </w:r>
      <w:r w:rsidRPr="0001332A">
        <w:rPr>
          <w:rFonts w:ascii="Calibri" w:hAnsi="Calibri" w:cs="Calibri"/>
          <w:i/>
          <w:iCs/>
          <w:noProof/>
          <w:szCs w:val="24"/>
          <w:lang w:val="en-US"/>
        </w:rPr>
        <w:t>11</w:t>
      </w:r>
      <w:r w:rsidRPr="0001332A">
        <w:rPr>
          <w:rFonts w:ascii="Calibri" w:hAnsi="Calibri" w:cs="Calibri"/>
          <w:noProof/>
          <w:szCs w:val="24"/>
          <w:lang w:val="en-US"/>
        </w:rPr>
        <w:t>(3), 193–210. https://doi.org/10.1002/(sici)1099-0771(199809)11:3&lt;193::aid-bdm297&gt;3.3.co;2-7</w:t>
      </w:r>
    </w:p>
  </w:footnote>
  <w:footnote w:id="9">
    <w:p w14:paraId="1846CEEA" w14:textId="77777777" w:rsidR="00F15A71" w:rsidRPr="00A32B36" w:rsidRDefault="00F15A71" w:rsidP="00A32B36">
      <w:pPr>
        <w:autoSpaceDE w:val="0"/>
        <w:autoSpaceDN w:val="0"/>
        <w:adjustRightInd w:val="0"/>
        <w:spacing w:after="0" w:line="276" w:lineRule="auto"/>
        <w:rPr>
          <w:lang w:val="en-US"/>
        </w:rPr>
      </w:pPr>
      <w:r>
        <w:rPr>
          <w:rStyle w:val="Appelnotedebasdep"/>
        </w:rPr>
        <w:footnoteRef/>
      </w:r>
      <w:r w:rsidRPr="000A6C4B">
        <w:rPr>
          <w:lang w:val="en-US"/>
        </w:rPr>
        <w:t xml:space="preserve"> </w:t>
      </w:r>
      <w:r w:rsidRPr="000A6C4B">
        <w:rPr>
          <w:rFonts w:ascii="NewLaffont-Rom" w:eastAsia="NewLaffont-Rom" w:cs="NewLaffont-Rom"/>
          <w:sz w:val="20"/>
          <w:szCs w:val="20"/>
          <w:lang w:val="en-US"/>
        </w:rPr>
        <w:t>Maoz, I., Ward, A., Katz, M., &amp; Ross, L. (2002). Reactive devaluation of an</w:t>
      </w:r>
      <w:r>
        <w:rPr>
          <w:rFonts w:ascii="NewLaffont-Rom" w:eastAsia="NewLaffont-Rom" w:cs="NewLaffont-Rom"/>
          <w:sz w:val="20"/>
          <w:szCs w:val="20"/>
          <w:lang w:val="en-US"/>
        </w:rPr>
        <w:t xml:space="preserve"> </w:t>
      </w:r>
      <w:r w:rsidRPr="000A6C4B">
        <w:rPr>
          <w:rFonts w:ascii="NewLaffont-Rom" w:eastAsia="NewLaffont-Rom" w:cs="NewLaffont-Rom" w:hint="eastAsia"/>
          <w:sz w:val="20"/>
          <w:szCs w:val="20"/>
          <w:lang w:val="en-US"/>
        </w:rPr>
        <w:t>≪Israeli≫ vs. ≪Palestinian≫ peace propos</w:t>
      </w:r>
      <w:r w:rsidRPr="000A6C4B">
        <w:rPr>
          <w:rFonts w:ascii="NewLaffont-Rom" w:eastAsia="NewLaffont-Rom" w:cs="NewLaffont-Rom"/>
          <w:sz w:val="20"/>
          <w:szCs w:val="20"/>
          <w:lang w:val="en-US"/>
        </w:rPr>
        <w:t xml:space="preserve">al. </w:t>
      </w:r>
      <w:r w:rsidRPr="000A6C4B">
        <w:rPr>
          <w:rFonts w:ascii="NewLaffont-Ital" w:eastAsia="NewLaffont-Rom" w:hAnsi="NewLaffont-Ital" w:cs="NewLaffont-Ital"/>
          <w:i/>
          <w:iCs/>
          <w:sz w:val="20"/>
          <w:szCs w:val="20"/>
          <w:lang w:val="en-US"/>
        </w:rPr>
        <w:t>The International Journal of</w:t>
      </w:r>
      <w:r>
        <w:rPr>
          <w:rFonts w:ascii="NewLaffont-Ital" w:eastAsia="NewLaffont-Rom" w:hAnsi="NewLaffont-Ital" w:cs="NewLaffont-Ital"/>
          <w:i/>
          <w:iCs/>
          <w:sz w:val="20"/>
          <w:szCs w:val="20"/>
          <w:lang w:val="en-US"/>
        </w:rPr>
        <w:t xml:space="preserve"> </w:t>
      </w:r>
      <w:r w:rsidRPr="00A32B36">
        <w:rPr>
          <w:rFonts w:ascii="NewLaffont-Ital" w:eastAsia="NewLaffont-Rom" w:hAnsi="NewLaffont-Ital" w:cs="NewLaffont-Ital"/>
          <w:i/>
          <w:iCs/>
          <w:sz w:val="20"/>
          <w:szCs w:val="20"/>
          <w:lang w:val="en-US"/>
        </w:rPr>
        <w:t>Conflict Resolution</w:t>
      </w:r>
      <w:r w:rsidRPr="00A32B36">
        <w:rPr>
          <w:rFonts w:ascii="NewLaffont-Rom" w:eastAsia="NewLaffont-Rom" w:cs="NewLaffont-Rom"/>
          <w:sz w:val="20"/>
          <w:szCs w:val="20"/>
          <w:lang w:val="en-US"/>
        </w:rPr>
        <w:t xml:space="preserve">, </w:t>
      </w:r>
      <w:r w:rsidRPr="00A32B36">
        <w:rPr>
          <w:rFonts w:ascii="NewLaffont-Ital" w:eastAsia="NewLaffont-Rom" w:hAnsi="NewLaffont-Ital" w:cs="NewLaffont-Ital"/>
          <w:i/>
          <w:iCs/>
          <w:sz w:val="20"/>
          <w:szCs w:val="20"/>
          <w:lang w:val="en-US"/>
        </w:rPr>
        <w:t>46</w:t>
      </w:r>
      <w:r w:rsidRPr="00A32B36">
        <w:rPr>
          <w:rFonts w:ascii="NewLaffont-Rom" w:eastAsia="NewLaffont-Rom" w:cs="NewLaffont-Rom"/>
          <w:sz w:val="20"/>
          <w:szCs w:val="20"/>
          <w:lang w:val="en-US"/>
        </w:rPr>
        <w:t>(4), 515-546.</w:t>
      </w:r>
    </w:p>
  </w:footnote>
  <w:footnote w:id="10">
    <w:p w14:paraId="6F7C9F5B" w14:textId="77777777" w:rsidR="00F15A71" w:rsidRPr="000A6C4B" w:rsidRDefault="00F15A71" w:rsidP="00A32B36">
      <w:pPr>
        <w:widowControl w:val="0"/>
        <w:autoSpaceDE w:val="0"/>
        <w:autoSpaceDN w:val="0"/>
        <w:adjustRightInd w:val="0"/>
        <w:spacing w:line="276" w:lineRule="auto"/>
        <w:rPr>
          <w:rFonts w:ascii="Calibri" w:hAnsi="Calibri" w:cs="Calibri"/>
          <w:noProof/>
          <w:szCs w:val="24"/>
          <w:lang w:val="en-US"/>
        </w:rPr>
      </w:pPr>
      <w:r>
        <w:rPr>
          <w:rStyle w:val="Appelnotedebasdep"/>
        </w:rPr>
        <w:footnoteRef/>
      </w:r>
      <w:r w:rsidRPr="000A6C4B">
        <w:rPr>
          <w:lang w:val="en-US"/>
        </w:rPr>
        <w:t xml:space="preserve"> </w:t>
      </w:r>
      <w:r w:rsidRPr="000A6C4B">
        <w:rPr>
          <w:rFonts w:ascii="Calibri" w:hAnsi="Calibri" w:cs="Calibri"/>
          <w:noProof/>
          <w:szCs w:val="24"/>
          <w:lang w:val="en-US"/>
        </w:rPr>
        <w:t xml:space="preserve">Korobkin, R. (2006). How neutrals can overcome the psychology of disputing: The effect of framing and reactive devaluation in mediation. </w:t>
      </w:r>
      <w:r w:rsidRPr="000A6C4B">
        <w:rPr>
          <w:rFonts w:ascii="Calibri" w:hAnsi="Calibri" w:cs="Calibri"/>
          <w:i/>
          <w:iCs/>
          <w:noProof/>
          <w:szCs w:val="24"/>
          <w:lang w:val="en-US"/>
        </w:rPr>
        <w:t>Alternatives to the High Cost of Litigation</w:t>
      </w:r>
      <w:r w:rsidRPr="000A6C4B">
        <w:rPr>
          <w:rFonts w:ascii="Calibri" w:hAnsi="Calibri" w:cs="Calibri"/>
          <w:noProof/>
          <w:szCs w:val="24"/>
          <w:lang w:val="en-US"/>
        </w:rPr>
        <w:t xml:space="preserve">, </w:t>
      </w:r>
      <w:r w:rsidRPr="000A6C4B">
        <w:rPr>
          <w:rFonts w:ascii="Calibri" w:hAnsi="Calibri" w:cs="Calibri"/>
          <w:i/>
          <w:iCs/>
          <w:noProof/>
          <w:szCs w:val="24"/>
          <w:lang w:val="en-US"/>
        </w:rPr>
        <w:t>24</w:t>
      </w:r>
      <w:r w:rsidRPr="000A6C4B">
        <w:rPr>
          <w:rFonts w:ascii="Calibri" w:hAnsi="Calibri" w:cs="Calibri"/>
          <w:noProof/>
          <w:szCs w:val="24"/>
          <w:lang w:val="en-US"/>
        </w:rPr>
        <w:t>(5), 83–86. https://doi.org/10.1002/alt.20127</w:t>
      </w:r>
    </w:p>
    <w:p w14:paraId="1AFA4751" w14:textId="77777777" w:rsidR="00F15A71" w:rsidRPr="000A6C4B" w:rsidRDefault="00F15A71" w:rsidP="00A32B36">
      <w:pPr>
        <w:pStyle w:val="Notedebasdepage"/>
        <w:spacing w:line="276" w:lineRule="auto"/>
        <w:rPr>
          <w:lang w:val="en-US"/>
        </w:rPr>
      </w:pPr>
    </w:p>
  </w:footnote>
  <w:footnote w:id="11">
    <w:p w14:paraId="0E8EBF94" w14:textId="77777777" w:rsidR="00281B89" w:rsidRPr="00A32B36" w:rsidRDefault="00281B89" w:rsidP="00A32B36">
      <w:pPr>
        <w:pStyle w:val="Notedebasdepage"/>
        <w:spacing w:line="276" w:lineRule="auto"/>
        <w:rPr>
          <w:lang w:val="en-US"/>
        </w:rPr>
      </w:pPr>
      <w:r>
        <w:rPr>
          <w:rStyle w:val="Appelnotedebasdep"/>
        </w:rPr>
        <w:footnoteRef/>
      </w:r>
      <w:r w:rsidRPr="00281B89">
        <w:rPr>
          <w:lang w:val="en-US"/>
        </w:rPr>
        <w:t xml:space="preserve"> </w:t>
      </w:r>
      <w:r w:rsidRPr="00281B89">
        <w:rPr>
          <w:rFonts w:ascii="Arial" w:hAnsi="Arial" w:cs="Arial"/>
          <w:color w:val="222222"/>
          <w:shd w:val="clear" w:color="auto" w:fill="FFFFFF"/>
          <w:lang w:val="en-US"/>
        </w:rPr>
        <w:t xml:space="preserve">Amanatullah, E. T., Morris, M. W., &amp; </w:t>
      </w:r>
      <w:proofErr w:type="spellStart"/>
      <w:r w:rsidRPr="00281B89">
        <w:rPr>
          <w:rFonts w:ascii="Arial" w:hAnsi="Arial" w:cs="Arial"/>
          <w:color w:val="222222"/>
          <w:shd w:val="clear" w:color="auto" w:fill="FFFFFF"/>
          <w:lang w:val="en-US"/>
        </w:rPr>
        <w:t>Curhan</w:t>
      </w:r>
      <w:proofErr w:type="spellEnd"/>
      <w:r w:rsidRPr="00281B89">
        <w:rPr>
          <w:rFonts w:ascii="Arial" w:hAnsi="Arial" w:cs="Arial"/>
          <w:color w:val="222222"/>
          <w:shd w:val="clear" w:color="auto" w:fill="FFFFFF"/>
          <w:lang w:val="en-US"/>
        </w:rPr>
        <w:t>, J. R. (2008). Negotiators who give too much: unmitigated communion, relational anxieties, and economic costs in distributive and integrative bargaining. </w:t>
      </w:r>
      <w:r w:rsidRPr="00A32B36">
        <w:rPr>
          <w:rFonts w:ascii="Arial" w:hAnsi="Arial" w:cs="Arial"/>
          <w:i/>
          <w:iCs/>
          <w:color w:val="222222"/>
          <w:shd w:val="clear" w:color="auto" w:fill="FFFFFF"/>
          <w:lang w:val="en-US"/>
        </w:rPr>
        <w:t>Journal of personality and social psychology</w:t>
      </w:r>
      <w:r w:rsidRPr="00A32B36">
        <w:rPr>
          <w:rFonts w:ascii="Arial" w:hAnsi="Arial" w:cs="Arial"/>
          <w:color w:val="222222"/>
          <w:shd w:val="clear" w:color="auto" w:fill="FFFFFF"/>
          <w:lang w:val="en-US"/>
        </w:rPr>
        <w:t>, </w:t>
      </w:r>
      <w:r w:rsidRPr="00A32B36">
        <w:rPr>
          <w:rFonts w:ascii="Arial" w:hAnsi="Arial" w:cs="Arial"/>
          <w:i/>
          <w:iCs/>
          <w:color w:val="222222"/>
          <w:shd w:val="clear" w:color="auto" w:fill="FFFFFF"/>
          <w:lang w:val="en-US"/>
        </w:rPr>
        <w:t>95</w:t>
      </w:r>
      <w:r w:rsidRPr="00A32B36">
        <w:rPr>
          <w:rFonts w:ascii="Arial" w:hAnsi="Arial" w:cs="Arial"/>
          <w:color w:val="222222"/>
          <w:shd w:val="clear" w:color="auto" w:fill="FFFFFF"/>
          <w:lang w:val="en-US"/>
        </w:rPr>
        <w:t>(3), 723.</w:t>
      </w:r>
    </w:p>
  </w:footnote>
  <w:footnote w:id="12">
    <w:p w14:paraId="15583961" w14:textId="77777777" w:rsidR="00F15A71" w:rsidRPr="00D52D4E" w:rsidRDefault="00F15A71" w:rsidP="00A32B36">
      <w:pPr>
        <w:pStyle w:val="Notedebasdepage"/>
        <w:spacing w:line="276" w:lineRule="auto"/>
        <w:rPr>
          <w:rFonts w:ascii="Calibri" w:hAnsi="Calibri" w:cs="Calibri"/>
          <w:noProof/>
          <w:szCs w:val="24"/>
          <w:lang w:val="en-US"/>
        </w:rPr>
      </w:pPr>
      <w:r>
        <w:rPr>
          <w:rStyle w:val="Appelnotedebasdep"/>
        </w:rPr>
        <w:footnoteRef/>
      </w:r>
      <w:r w:rsidRPr="001044DA">
        <w:t xml:space="preserve"> </w:t>
      </w:r>
      <w:r w:rsidRPr="001044DA">
        <w:rPr>
          <w:rFonts w:ascii="Calibri" w:hAnsi="Calibri" w:cs="Calibri"/>
          <w:noProof/>
          <w:szCs w:val="24"/>
        </w:rPr>
        <w:t xml:space="preserve">Miller, D. T., &amp; McFarland, C. (1987). </w:t>
      </w:r>
      <w:r w:rsidRPr="00DD313C">
        <w:rPr>
          <w:rFonts w:ascii="Calibri" w:hAnsi="Calibri" w:cs="Calibri"/>
          <w:noProof/>
          <w:szCs w:val="24"/>
          <w:lang w:val="en-US"/>
        </w:rPr>
        <w:t xml:space="preserve">Pluralistic Ignorance: When Similarity is Interpreted as Dissimilarity. </w:t>
      </w:r>
      <w:r w:rsidRPr="00A32B36">
        <w:rPr>
          <w:rFonts w:ascii="Calibri" w:hAnsi="Calibri" w:cs="Calibri"/>
          <w:i/>
          <w:iCs/>
          <w:noProof/>
          <w:szCs w:val="24"/>
          <w:lang w:val="en-US"/>
        </w:rPr>
        <w:t>Journal of Personality and Social Psychology</w:t>
      </w:r>
      <w:r w:rsidRPr="00A32B36">
        <w:rPr>
          <w:rFonts w:ascii="Calibri" w:hAnsi="Calibri" w:cs="Calibri"/>
          <w:noProof/>
          <w:szCs w:val="24"/>
          <w:lang w:val="en-US"/>
        </w:rPr>
        <w:t xml:space="preserve">, </w:t>
      </w:r>
      <w:r w:rsidRPr="00A32B36">
        <w:rPr>
          <w:rFonts w:ascii="Calibri" w:hAnsi="Calibri" w:cs="Calibri"/>
          <w:i/>
          <w:iCs/>
          <w:noProof/>
          <w:szCs w:val="24"/>
          <w:lang w:val="en-US"/>
        </w:rPr>
        <w:t>53</w:t>
      </w:r>
      <w:r w:rsidRPr="00A32B36">
        <w:rPr>
          <w:rFonts w:ascii="Calibri" w:hAnsi="Calibri" w:cs="Calibri"/>
          <w:noProof/>
          <w:szCs w:val="24"/>
          <w:lang w:val="en-US"/>
        </w:rPr>
        <w:t xml:space="preserve">(2), 298–305. </w:t>
      </w:r>
      <w:hyperlink r:id="rId1" w:history="1">
        <w:r w:rsidRPr="00D52D4E">
          <w:rPr>
            <w:rStyle w:val="Lienhypertexte"/>
            <w:rFonts w:ascii="Calibri" w:hAnsi="Calibri" w:cs="Calibri"/>
            <w:noProof/>
            <w:szCs w:val="24"/>
            <w:lang w:val="en-US"/>
          </w:rPr>
          <w:t>https://doi.org/10.1037/0022-3514.53.2.298</w:t>
        </w:r>
      </w:hyperlink>
    </w:p>
    <w:p w14:paraId="749E02F2" w14:textId="77777777" w:rsidR="00F15A71" w:rsidRPr="00DD313C" w:rsidRDefault="00F15A71" w:rsidP="00A32B36">
      <w:pPr>
        <w:pStyle w:val="Notedebasdepage"/>
        <w:spacing w:line="276" w:lineRule="auto"/>
        <w:rPr>
          <w:lang w:val="fr-FR"/>
        </w:rPr>
      </w:pPr>
      <w:r w:rsidRPr="00D52D4E">
        <w:rPr>
          <w:rFonts w:ascii="Calibri" w:hAnsi="Calibri" w:cs="Calibri"/>
          <w:noProof/>
          <w:szCs w:val="24"/>
          <w:lang w:val="en-US"/>
        </w:rPr>
        <w:t xml:space="preserve">Mendes, A., Lopez-Valeiras, E., &amp; Lunkes, R. J. (2017). Pluralistic ignorance: Conceptual framework, antecedents and consequences. </w:t>
      </w:r>
      <w:r w:rsidRPr="00C3001C">
        <w:rPr>
          <w:rFonts w:ascii="Calibri" w:hAnsi="Calibri" w:cs="Calibri"/>
          <w:i/>
          <w:iCs/>
          <w:noProof/>
          <w:szCs w:val="24"/>
        </w:rPr>
        <w:t>Intangible Capital</w:t>
      </w:r>
      <w:r w:rsidRPr="00C3001C">
        <w:rPr>
          <w:rFonts w:ascii="Calibri" w:hAnsi="Calibri" w:cs="Calibri"/>
          <w:noProof/>
          <w:szCs w:val="24"/>
        </w:rPr>
        <w:t xml:space="preserve">, </w:t>
      </w:r>
      <w:r w:rsidRPr="00C3001C">
        <w:rPr>
          <w:rFonts w:ascii="Calibri" w:hAnsi="Calibri" w:cs="Calibri"/>
          <w:i/>
          <w:iCs/>
          <w:noProof/>
          <w:szCs w:val="24"/>
        </w:rPr>
        <w:t>13</w:t>
      </w:r>
      <w:r w:rsidRPr="00C3001C">
        <w:rPr>
          <w:rFonts w:ascii="Calibri" w:hAnsi="Calibri" w:cs="Calibri"/>
          <w:noProof/>
          <w:szCs w:val="24"/>
        </w:rPr>
        <w:t>(4), 781–804. https://doi.org/10.3926/ic.1063</w:t>
      </w:r>
    </w:p>
  </w:footnote>
  <w:footnote w:id="13">
    <w:p w14:paraId="6CE3ED68" w14:textId="77777777" w:rsidR="000E4839" w:rsidRPr="00A32B36" w:rsidRDefault="000E4839" w:rsidP="00A32B36">
      <w:pPr>
        <w:widowControl w:val="0"/>
        <w:autoSpaceDE w:val="0"/>
        <w:autoSpaceDN w:val="0"/>
        <w:adjustRightInd w:val="0"/>
        <w:spacing w:line="276" w:lineRule="auto"/>
        <w:rPr>
          <w:lang w:val="en-US"/>
        </w:rPr>
      </w:pPr>
      <w:r w:rsidRPr="000E4839">
        <w:rPr>
          <w:rStyle w:val="Appelnotedebasdep"/>
          <w:sz w:val="20"/>
          <w:szCs w:val="20"/>
        </w:rPr>
        <w:footnoteRef/>
      </w:r>
      <w:r w:rsidRPr="000E4839">
        <w:rPr>
          <w:sz w:val="20"/>
          <w:szCs w:val="20"/>
        </w:rPr>
        <w:t xml:space="preserve"> </w:t>
      </w:r>
      <w:r w:rsidRPr="000E4839">
        <w:rPr>
          <w:rFonts w:ascii="Calibri" w:hAnsi="Calibri" w:cs="Calibri"/>
          <w:noProof/>
          <w:sz w:val="20"/>
          <w:szCs w:val="20"/>
        </w:rPr>
        <w:t xml:space="preserve">Iyengar, S. S., &amp; Lepper, M. R. (2000). </w:t>
      </w:r>
      <w:r w:rsidRPr="000E4839">
        <w:rPr>
          <w:rFonts w:ascii="Calibri" w:hAnsi="Calibri" w:cs="Calibri"/>
          <w:noProof/>
          <w:sz w:val="20"/>
          <w:szCs w:val="20"/>
          <w:lang w:val="en-US"/>
        </w:rPr>
        <w:t xml:space="preserve">When choice is demotivating: Can one desire too much of a good thing? </w:t>
      </w:r>
      <w:r w:rsidRPr="00A32B36">
        <w:rPr>
          <w:rFonts w:ascii="Calibri" w:hAnsi="Calibri" w:cs="Calibri"/>
          <w:i/>
          <w:iCs/>
          <w:noProof/>
          <w:sz w:val="20"/>
          <w:szCs w:val="20"/>
          <w:lang w:val="en-US"/>
        </w:rPr>
        <w:t>Journal of Personality and Social Psychology</w:t>
      </w:r>
      <w:r w:rsidRPr="00A32B36">
        <w:rPr>
          <w:rFonts w:ascii="Calibri" w:hAnsi="Calibri" w:cs="Calibri"/>
          <w:noProof/>
          <w:sz w:val="20"/>
          <w:szCs w:val="20"/>
          <w:lang w:val="en-US"/>
        </w:rPr>
        <w:t xml:space="preserve">, </w:t>
      </w:r>
      <w:r w:rsidRPr="00A32B36">
        <w:rPr>
          <w:rFonts w:ascii="Calibri" w:hAnsi="Calibri" w:cs="Calibri"/>
          <w:i/>
          <w:iCs/>
          <w:noProof/>
          <w:sz w:val="20"/>
          <w:szCs w:val="20"/>
          <w:lang w:val="en-US"/>
        </w:rPr>
        <w:t>79</w:t>
      </w:r>
      <w:r w:rsidRPr="00A32B36">
        <w:rPr>
          <w:rFonts w:ascii="Calibri" w:hAnsi="Calibri" w:cs="Calibri"/>
          <w:noProof/>
          <w:sz w:val="20"/>
          <w:szCs w:val="20"/>
          <w:lang w:val="en-US"/>
        </w:rPr>
        <w:t>(6), 995–1006. https://doi.org/10.1037/0022-3514.79.6.995</w:t>
      </w:r>
    </w:p>
  </w:footnote>
  <w:footnote w:id="14">
    <w:p w14:paraId="7F179368" w14:textId="77777777" w:rsidR="00131476" w:rsidRPr="00A32B36" w:rsidRDefault="00131476" w:rsidP="00A32B36">
      <w:pPr>
        <w:pStyle w:val="Notedebasdepage"/>
        <w:spacing w:line="276" w:lineRule="auto"/>
        <w:rPr>
          <w:lang w:val="en-US"/>
        </w:rPr>
      </w:pPr>
      <w:r>
        <w:rPr>
          <w:rStyle w:val="Appelnotedebasdep"/>
        </w:rPr>
        <w:footnoteRef/>
      </w:r>
      <w:r w:rsidRPr="00131476">
        <w:rPr>
          <w:lang w:val="en-US"/>
        </w:rPr>
        <w:t xml:space="preserve"> </w:t>
      </w:r>
      <w:r w:rsidRPr="00131476">
        <w:rPr>
          <w:rFonts w:ascii="Arial" w:hAnsi="Arial" w:cs="Arial"/>
          <w:color w:val="222222"/>
          <w:shd w:val="clear" w:color="auto" w:fill="FFFFFF"/>
          <w:lang w:val="en-US"/>
        </w:rPr>
        <w:t xml:space="preserve">Chernev, A., </w:t>
      </w:r>
      <w:proofErr w:type="spellStart"/>
      <w:r w:rsidRPr="00131476">
        <w:rPr>
          <w:rFonts w:ascii="Arial" w:hAnsi="Arial" w:cs="Arial"/>
          <w:color w:val="222222"/>
          <w:shd w:val="clear" w:color="auto" w:fill="FFFFFF"/>
          <w:lang w:val="en-US"/>
        </w:rPr>
        <w:t>Böckenholt</w:t>
      </w:r>
      <w:proofErr w:type="spellEnd"/>
      <w:r w:rsidRPr="00131476">
        <w:rPr>
          <w:rFonts w:ascii="Arial" w:hAnsi="Arial" w:cs="Arial"/>
          <w:color w:val="222222"/>
          <w:shd w:val="clear" w:color="auto" w:fill="FFFFFF"/>
          <w:lang w:val="en-US"/>
        </w:rPr>
        <w:t>, U., &amp; Goodman, J. (2015). Choice overload: A conceptual review and meta</w:t>
      </w:r>
      <w:r w:rsidRPr="00131476">
        <w:rPr>
          <w:rFonts w:ascii="Cambria Math" w:hAnsi="Cambria Math" w:cs="Cambria Math"/>
          <w:color w:val="222222"/>
          <w:shd w:val="clear" w:color="auto" w:fill="FFFFFF"/>
          <w:lang w:val="en-US"/>
        </w:rPr>
        <w:t>‐</w:t>
      </w:r>
      <w:r w:rsidRPr="00131476">
        <w:rPr>
          <w:rFonts w:ascii="Arial" w:hAnsi="Arial" w:cs="Arial"/>
          <w:color w:val="222222"/>
          <w:shd w:val="clear" w:color="auto" w:fill="FFFFFF"/>
          <w:lang w:val="en-US"/>
        </w:rPr>
        <w:t>analysis. </w:t>
      </w:r>
      <w:r w:rsidRPr="00A32B36">
        <w:rPr>
          <w:rFonts w:ascii="Arial" w:hAnsi="Arial" w:cs="Arial"/>
          <w:i/>
          <w:iCs/>
          <w:color w:val="222222"/>
          <w:shd w:val="clear" w:color="auto" w:fill="FFFFFF"/>
          <w:lang w:val="en-US"/>
        </w:rPr>
        <w:t>Journal of Consumer Psychology</w:t>
      </w:r>
      <w:r w:rsidRPr="00A32B36">
        <w:rPr>
          <w:rFonts w:ascii="Arial" w:hAnsi="Arial" w:cs="Arial"/>
          <w:color w:val="222222"/>
          <w:shd w:val="clear" w:color="auto" w:fill="FFFFFF"/>
          <w:lang w:val="en-US"/>
        </w:rPr>
        <w:t>, </w:t>
      </w:r>
      <w:r w:rsidRPr="00A32B36">
        <w:rPr>
          <w:rFonts w:ascii="Arial" w:hAnsi="Arial" w:cs="Arial"/>
          <w:i/>
          <w:iCs/>
          <w:color w:val="222222"/>
          <w:shd w:val="clear" w:color="auto" w:fill="FFFFFF"/>
          <w:lang w:val="en-US"/>
        </w:rPr>
        <w:t>25</w:t>
      </w:r>
      <w:r w:rsidRPr="00A32B36">
        <w:rPr>
          <w:rFonts w:ascii="Arial" w:hAnsi="Arial" w:cs="Arial"/>
          <w:color w:val="222222"/>
          <w:shd w:val="clear" w:color="auto" w:fill="FFFFFF"/>
          <w:lang w:val="en-US"/>
        </w:rPr>
        <w:t>(2), 333-358.</w:t>
      </w:r>
    </w:p>
  </w:footnote>
  <w:footnote w:id="15">
    <w:p w14:paraId="467EFAE3" w14:textId="77777777" w:rsidR="006122E2" w:rsidRPr="006122E2" w:rsidRDefault="006122E2" w:rsidP="00A32B36">
      <w:pPr>
        <w:pStyle w:val="Notedebasdepage"/>
        <w:spacing w:line="276" w:lineRule="auto"/>
        <w:rPr>
          <w:rFonts w:cstheme="minorHAnsi"/>
          <w:lang w:val="fr-FR"/>
        </w:rPr>
      </w:pPr>
      <w:r w:rsidRPr="006122E2">
        <w:rPr>
          <w:rStyle w:val="Appelnotedebasdep"/>
          <w:rFonts w:cstheme="minorHAnsi"/>
        </w:rPr>
        <w:footnoteRef/>
      </w:r>
      <w:r w:rsidRPr="006122E2">
        <w:rPr>
          <w:rFonts w:cstheme="minorHAnsi"/>
          <w:lang w:val="en-US"/>
        </w:rPr>
        <w:t xml:space="preserve"> </w:t>
      </w:r>
      <w:r w:rsidRPr="006122E2">
        <w:rPr>
          <w:rFonts w:cstheme="minorHAnsi"/>
          <w:color w:val="222222"/>
          <w:shd w:val="clear" w:color="auto" w:fill="FFFFFF"/>
          <w:lang w:val="en-US"/>
        </w:rPr>
        <w:t>Naquin, C. E. (2003). The agony of opportunity in negotiation: Number of negotiable issues, counterfactual thinking, and feelings of satisfaction. </w:t>
      </w:r>
      <w:proofErr w:type="spellStart"/>
      <w:r w:rsidRPr="006122E2">
        <w:rPr>
          <w:rFonts w:cstheme="minorHAnsi"/>
          <w:i/>
          <w:iCs/>
          <w:color w:val="222222"/>
          <w:shd w:val="clear" w:color="auto" w:fill="FFFFFF"/>
        </w:rPr>
        <w:t>Organizational</w:t>
      </w:r>
      <w:proofErr w:type="spellEnd"/>
      <w:r w:rsidRPr="006122E2">
        <w:rPr>
          <w:rFonts w:cstheme="minorHAnsi"/>
          <w:i/>
          <w:iCs/>
          <w:color w:val="222222"/>
          <w:shd w:val="clear" w:color="auto" w:fill="FFFFFF"/>
        </w:rPr>
        <w:t xml:space="preserve"> </w:t>
      </w:r>
      <w:proofErr w:type="spellStart"/>
      <w:r w:rsidRPr="006122E2">
        <w:rPr>
          <w:rFonts w:cstheme="minorHAnsi"/>
          <w:i/>
          <w:iCs/>
          <w:color w:val="222222"/>
          <w:shd w:val="clear" w:color="auto" w:fill="FFFFFF"/>
        </w:rPr>
        <w:t>Behavior</w:t>
      </w:r>
      <w:proofErr w:type="spellEnd"/>
      <w:r w:rsidRPr="006122E2">
        <w:rPr>
          <w:rFonts w:cstheme="minorHAnsi"/>
          <w:i/>
          <w:iCs/>
          <w:color w:val="222222"/>
          <w:shd w:val="clear" w:color="auto" w:fill="FFFFFF"/>
        </w:rPr>
        <w:t xml:space="preserve"> and Human </w:t>
      </w:r>
      <w:proofErr w:type="spellStart"/>
      <w:r w:rsidRPr="006122E2">
        <w:rPr>
          <w:rFonts w:cstheme="minorHAnsi"/>
          <w:i/>
          <w:iCs/>
          <w:color w:val="222222"/>
          <w:shd w:val="clear" w:color="auto" w:fill="FFFFFF"/>
        </w:rPr>
        <w:t>Decision</w:t>
      </w:r>
      <w:proofErr w:type="spellEnd"/>
      <w:r w:rsidRPr="006122E2">
        <w:rPr>
          <w:rFonts w:cstheme="minorHAnsi"/>
          <w:i/>
          <w:iCs/>
          <w:color w:val="222222"/>
          <w:shd w:val="clear" w:color="auto" w:fill="FFFFFF"/>
        </w:rPr>
        <w:t xml:space="preserve"> </w:t>
      </w:r>
      <w:proofErr w:type="spellStart"/>
      <w:r w:rsidRPr="006122E2">
        <w:rPr>
          <w:rFonts w:cstheme="minorHAnsi"/>
          <w:i/>
          <w:iCs/>
          <w:color w:val="222222"/>
          <w:shd w:val="clear" w:color="auto" w:fill="FFFFFF"/>
        </w:rPr>
        <w:t>Processes</w:t>
      </w:r>
      <w:proofErr w:type="spellEnd"/>
      <w:r w:rsidRPr="006122E2">
        <w:rPr>
          <w:rFonts w:cstheme="minorHAnsi"/>
          <w:color w:val="222222"/>
          <w:shd w:val="clear" w:color="auto" w:fill="FFFFFF"/>
        </w:rPr>
        <w:t>, </w:t>
      </w:r>
      <w:r w:rsidRPr="006122E2">
        <w:rPr>
          <w:rFonts w:cstheme="minorHAnsi"/>
          <w:i/>
          <w:iCs/>
          <w:color w:val="222222"/>
          <w:shd w:val="clear" w:color="auto" w:fill="FFFFFF"/>
        </w:rPr>
        <w:t>91</w:t>
      </w:r>
      <w:r w:rsidRPr="006122E2">
        <w:rPr>
          <w:rFonts w:cstheme="minorHAnsi"/>
          <w:color w:val="222222"/>
          <w:shd w:val="clear" w:color="auto" w:fill="FFFFFF"/>
        </w:rPr>
        <w:t>(1), 97-107.</w:t>
      </w:r>
    </w:p>
  </w:footnote>
  <w:footnote w:id="16">
    <w:p w14:paraId="106BA4EB" w14:textId="77777777" w:rsidR="006122E2" w:rsidRPr="00A32B36" w:rsidRDefault="006122E2" w:rsidP="00A32B36">
      <w:pPr>
        <w:pStyle w:val="Notedebasdepage"/>
        <w:spacing w:line="276" w:lineRule="auto"/>
        <w:rPr>
          <w:lang w:val="en-US"/>
        </w:rPr>
      </w:pPr>
      <w:r>
        <w:rPr>
          <w:rStyle w:val="Appelnotedebasdep"/>
        </w:rPr>
        <w:footnoteRef/>
      </w:r>
      <w:r>
        <w:t xml:space="preserve"> </w:t>
      </w:r>
      <w:r w:rsidRPr="006122E2">
        <w:rPr>
          <w:rFonts w:cstheme="minorHAnsi"/>
          <w:color w:val="222222"/>
          <w:shd w:val="clear" w:color="auto" w:fill="FFFFFF"/>
        </w:rPr>
        <w:t>Demoulin, S. (2020). </w:t>
      </w:r>
      <w:r w:rsidRPr="006122E2">
        <w:rPr>
          <w:rFonts w:cstheme="minorHAnsi"/>
          <w:i/>
          <w:iCs/>
          <w:color w:val="222222"/>
          <w:shd w:val="clear" w:color="auto" w:fill="FFFFFF"/>
        </w:rPr>
        <w:t>Petit traité de la négociation au quotidien: L’ouvrage de référence pour mener (enfin) des négociations gagnantes!</w:t>
      </w:r>
      <w:r w:rsidRPr="006122E2">
        <w:rPr>
          <w:rFonts w:cstheme="minorHAnsi"/>
          <w:color w:val="222222"/>
          <w:shd w:val="clear" w:color="auto" w:fill="FFFFFF"/>
        </w:rPr>
        <w:t xml:space="preserve">. </w:t>
      </w:r>
      <w:proofErr w:type="gramStart"/>
      <w:r w:rsidRPr="00F15F2C">
        <w:rPr>
          <w:rFonts w:cstheme="minorHAnsi"/>
          <w:color w:val="222222"/>
          <w:shd w:val="clear" w:color="auto" w:fill="FFFFFF"/>
          <w:lang w:val="en-US"/>
        </w:rPr>
        <w:t>Bruxelles :</w:t>
      </w:r>
      <w:proofErr w:type="gramEnd"/>
      <w:r w:rsidRPr="00F15F2C">
        <w:rPr>
          <w:rFonts w:cstheme="minorHAnsi"/>
          <w:color w:val="222222"/>
          <w:shd w:val="clear" w:color="auto" w:fill="FFFFFF"/>
          <w:lang w:val="en-US"/>
        </w:rPr>
        <w:t xml:space="preserve"> Mardaga.</w:t>
      </w:r>
    </w:p>
  </w:footnote>
  <w:footnote w:id="17">
    <w:p w14:paraId="0CA285AB" w14:textId="77777777" w:rsidR="00C14B41" w:rsidRPr="00C14B41" w:rsidRDefault="00C14B41" w:rsidP="00A32B36">
      <w:pPr>
        <w:pStyle w:val="Notedebasdepage"/>
        <w:spacing w:line="276" w:lineRule="auto"/>
        <w:rPr>
          <w:lang w:val="en-US"/>
        </w:rPr>
      </w:pPr>
      <w:r>
        <w:rPr>
          <w:rStyle w:val="Appelnotedebasdep"/>
        </w:rPr>
        <w:footnoteRef/>
      </w:r>
      <w:r w:rsidRPr="00C14B41">
        <w:rPr>
          <w:lang w:val="en-US"/>
        </w:rPr>
        <w:t xml:space="preserve"> </w:t>
      </w:r>
      <w:proofErr w:type="spellStart"/>
      <w:r w:rsidRPr="00C14B41">
        <w:rPr>
          <w:rFonts w:ascii="Arial" w:hAnsi="Arial" w:cs="Arial"/>
          <w:color w:val="222222"/>
          <w:shd w:val="clear" w:color="auto" w:fill="FFFFFF"/>
          <w:lang w:val="en-US"/>
        </w:rPr>
        <w:t>Zeelenberg</w:t>
      </w:r>
      <w:proofErr w:type="spellEnd"/>
      <w:r w:rsidRPr="00C14B41">
        <w:rPr>
          <w:rFonts w:ascii="Arial" w:hAnsi="Arial" w:cs="Arial"/>
          <w:color w:val="222222"/>
          <w:shd w:val="clear" w:color="auto" w:fill="FFFFFF"/>
          <w:lang w:val="en-US"/>
        </w:rPr>
        <w:t>, M. (1999). Anticipated regret, expected feedback and behavioral decision making. </w:t>
      </w:r>
      <w:r w:rsidRPr="00A32B36">
        <w:rPr>
          <w:rFonts w:ascii="Arial" w:hAnsi="Arial" w:cs="Arial"/>
          <w:i/>
          <w:iCs/>
          <w:color w:val="222222"/>
          <w:shd w:val="clear" w:color="auto" w:fill="FFFFFF"/>
          <w:lang w:val="en-US"/>
        </w:rPr>
        <w:t>Journal of behavioral decision making</w:t>
      </w:r>
      <w:r w:rsidRPr="00A32B36">
        <w:rPr>
          <w:rFonts w:ascii="Arial" w:hAnsi="Arial" w:cs="Arial"/>
          <w:color w:val="222222"/>
          <w:shd w:val="clear" w:color="auto" w:fill="FFFFFF"/>
          <w:lang w:val="en-US"/>
        </w:rPr>
        <w:t>, </w:t>
      </w:r>
      <w:r w:rsidRPr="00A32B36">
        <w:rPr>
          <w:rFonts w:ascii="Arial" w:hAnsi="Arial" w:cs="Arial"/>
          <w:i/>
          <w:iCs/>
          <w:color w:val="222222"/>
          <w:shd w:val="clear" w:color="auto" w:fill="FFFFFF"/>
          <w:lang w:val="en-US"/>
        </w:rPr>
        <w:t>12</w:t>
      </w:r>
      <w:r w:rsidRPr="00A32B36">
        <w:rPr>
          <w:rFonts w:ascii="Arial" w:hAnsi="Arial" w:cs="Arial"/>
          <w:color w:val="222222"/>
          <w:shd w:val="clear" w:color="auto" w:fill="FFFFFF"/>
          <w:lang w:val="en-US"/>
        </w:rPr>
        <w:t>(2), 93-106.</w:t>
      </w:r>
    </w:p>
  </w:footnote>
  <w:footnote w:id="18">
    <w:p w14:paraId="51EEB0BC" w14:textId="77777777" w:rsidR="00D24AFA" w:rsidRPr="00A32B36" w:rsidRDefault="00D24AFA" w:rsidP="00A32B36">
      <w:pPr>
        <w:pStyle w:val="Notedebasdepage"/>
        <w:spacing w:line="276" w:lineRule="auto"/>
        <w:rPr>
          <w:lang w:val="en-US"/>
        </w:rPr>
      </w:pPr>
      <w:r>
        <w:rPr>
          <w:rStyle w:val="Appelnotedebasdep"/>
        </w:rPr>
        <w:footnoteRef/>
      </w:r>
      <w:r w:rsidRPr="00D24AFA">
        <w:rPr>
          <w:lang w:val="en-US"/>
        </w:rPr>
        <w:t xml:space="preserve"> </w:t>
      </w:r>
      <w:r w:rsidRPr="00D24AFA">
        <w:rPr>
          <w:rFonts w:ascii="Arial" w:hAnsi="Arial" w:cs="Arial"/>
          <w:color w:val="222222"/>
          <w:shd w:val="clear" w:color="auto" w:fill="FFFFFF"/>
          <w:lang w:val="en-US"/>
        </w:rPr>
        <w:t>Wilson, T. D., &amp; Gilbert, D. T. (2005). Affective forecasting: Knowing what to want. </w:t>
      </w:r>
      <w:r w:rsidRPr="00A32B36">
        <w:rPr>
          <w:rFonts w:ascii="Arial" w:hAnsi="Arial" w:cs="Arial"/>
          <w:i/>
          <w:iCs/>
          <w:color w:val="222222"/>
          <w:shd w:val="clear" w:color="auto" w:fill="FFFFFF"/>
          <w:lang w:val="en-US"/>
        </w:rPr>
        <w:t>Current directions in psychological science</w:t>
      </w:r>
      <w:r w:rsidRPr="00A32B36">
        <w:rPr>
          <w:rFonts w:ascii="Arial" w:hAnsi="Arial" w:cs="Arial"/>
          <w:color w:val="222222"/>
          <w:shd w:val="clear" w:color="auto" w:fill="FFFFFF"/>
          <w:lang w:val="en-US"/>
        </w:rPr>
        <w:t>, </w:t>
      </w:r>
      <w:r w:rsidRPr="00A32B36">
        <w:rPr>
          <w:rFonts w:ascii="Arial" w:hAnsi="Arial" w:cs="Arial"/>
          <w:i/>
          <w:iCs/>
          <w:color w:val="222222"/>
          <w:shd w:val="clear" w:color="auto" w:fill="FFFFFF"/>
          <w:lang w:val="en-US"/>
        </w:rPr>
        <w:t>14</w:t>
      </w:r>
      <w:r w:rsidRPr="00A32B36">
        <w:rPr>
          <w:rFonts w:ascii="Arial" w:hAnsi="Arial" w:cs="Arial"/>
          <w:color w:val="222222"/>
          <w:shd w:val="clear" w:color="auto" w:fill="FFFFFF"/>
          <w:lang w:val="en-US"/>
        </w:rPr>
        <w:t>(3), 131-134.</w:t>
      </w:r>
    </w:p>
  </w:footnote>
  <w:footnote w:id="19">
    <w:p w14:paraId="4CFEFE4D" w14:textId="77777777" w:rsidR="0004013B" w:rsidRPr="00A32B36" w:rsidRDefault="0004013B" w:rsidP="00A32B36">
      <w:pPr>
        <w:pStyle w:val="Notedebasdepage"/>
        <w:spacing w:line="276" w:lineRule="auto"/>
        <w:rPr>
          <w:lang w:val="en-US"/>
        </w:rPr>
      </w:pPr>
      <w:r>
        <w:rPr>
          <w:rStyle w:val="Appelnotedebasdep"/>
        </w:rPr>
        <w:footnoteRef/>
      </w:r>
      <w:r w:rsidRPr="0004013B">
        <w:rPr>
          <w:lang w:val="en-US"/>
        </w:rPr>
        <w:t xml:space="preserve"> </w:t>
      </w:r>
      <w:r w:rsidRPr="0004013B">
        <w:rPr>
          <w:rFonts w:ascii="Arial" w:hAnsi="Arial" w:cs="Arial"/>
          <w:color w:val="222222"/>
          <w:shd w:val="clear" w:color="auto" w:fill="FFFFFF"/>
          <w:lang w:val="en-US"/>
        </w:rPr>
        <w:t>Creo, R. A. (2017). Having Second Thoughts? How Regret Motivates Settlement Decisions. </w:t>
      </w:r>
      <w:r w:rsidRPr="00A32B36">
        <w:rPr>
          <w:rFonts w:ascii="Arial" w:hAnsi="Arial" w:cs="Arial"/>
          <w:i/>
          <w:iCs/>
          <w:color w:val="222222"/>
          <w:shd w:val="clear" w:color="auto" w:fill="FFFFFF"/>
          <w:lang w:val="en-US"/>
        </w:rPr>
        <w:t>Alternatives to the High Cost of Litigation</w:t>
      </w:r>
      <w:r w:rsidRPr="00A32B36">
        <w:rPr>
          <w:rFonts w:ascii="Arial" w:hAnsi="Arial" w:cs="Arial"/>
          <w:color w:val="222222"/>
          <w:shd w:val="clear" w:color="auto" w:fill="FFFFFF"/>
          <w:lang w:val="en-US"/>
        </w:rPr>
        <w:t>, </w:t>
      </w:r>
      <w:r w:rsidRPr="00A32B36">
        <w:rPr>
          <w:rFonts w:ascii="Arial" w:hAnsi="Arial" w:cs="Arial"/>
          <w:i/>
          <w:iCs/>
          <w:color w:val="222222"/>
          <w:shd w:val="clear" w:color="auto" w:fill="FFFFFF"/>
          <w:lang w:val="en-US"/>
        </w:rPr>
        <w:t>5</w:t>
      </w:r>
      <w:r w:rsidRPr="00A32B36">
        <w:rPr>
          <w:rFonts w:ascii="Arial" w:hAnsi="Arial" w:cs="Arial"/>
          <w:color w:val="222222"/>
          <w:shd w:val="clear" w:color="auto" w:fill="FFFFFF"/>
          <w:lang w:val="en-US"/>
        </w:rPr>
        <w:t>(35), 72-73.</w:t>
      </w:r>
    </w:p>
  </w:footnote>
  <w:footnote w:id="20">
    <w:p w14:paraId="35C60F22" w14:textId="74BB97C6" w:rsidR="005C79FD" w:rsidRPr="001044DA" w:rsidRDefault="005C79FD">
      <w:pPr>
        <w:pStyle w:val="Notedebasdepage"/>
        <w:rPr>
          <w:lang w:val="en-US"/>
        </w:rPr>
      </w:pPr>
      <w:r>
        <w:rPr>
          <w:rStyle w:val="Appelnotedebasdep"/>
        </w:rPr>
        <w:footnoteRef/>
      </w:r>
      <w:r w:rsidRPr="001044DA">
        <w:rPr>
          <w:lang w:val="en-US"/>
        </w:rPr>
        <w:t xml:space="preserve"> </w:t>
      </w:r>
      <w:r w:rsidRPr="001044DA">
        <w:rPr>
          <w:rFonts w:ascii="Arial" w:hAnsi="Arial" w:cs="Arial"/>
          <w:color w:val="222222"/>
          <w:shd w:val="clear" w:color="auto" w:fill="FFFFFF"/>
          <w:lang w:val="en-US"/>
        </w:rPr>
        <w:t>Zartman, I. W. (2000). Ripeness: The hurting stalemate and beyond. </w:t>
      </w:r>
      <w:r w:rsidRPr="001044DA">
        <w:rPr>
          <w:rFonts w:ascii="Arial" w:hAnsi="Arial" w:cs="Arial"/>
          <w:i/>
          <w:iCs/>
          <w:color w:val="222222"/>
          <w:shd w:val="clear" w:color="auto" w:fill="FFFFFF"/>
          <w:lang w:val="en-US"/>
        </w:rPr>
        <w:t>International conflict resolution after the Cold War</w:t>
      </w:r>
      <w:r w:rsidRPr="001044DA">
        <w:rPr>
          <w:rFonts w:ascii="Arial" w:hAnsi="Arial" w:cs="Arial"/>
          <w:color w:val="222222"/>
          <w:shd w:val="clear" w:color="auto" w:fill="FFFFFF"/>
          <w:lang w:val="en-US"/>
        </w:rPr>
        <w:t>, </w:t>
      </w:r>
      <w:r w:rsidRPr="001044DA">
        <w:rPr>
          <w:rFonts w:ascii="Arial" w:hAnsi="Arial" w:cs="Arial"/>
          <w:i/>
          <w:iCs/>
          <w:color w:val="222222"/>
          <w:shd w:val="clear" w:color="auto" w:fill="FFFFFF"/>
          <w:lang w:val="en-US"/>
        </w:rPr>
        <w:t>2</w:t>
      </w:r>
      <w:r w:rsidRPr="001044DA">
        <w:rPr>
          <w:rFonts w:ascii="Arial" w:hAnsi="Arial" w:cs="Arial"/>
          <w:color w:val="222222"/>
          <w:shd w:val="clear" w:color="auto" w:fill="FFFFFF"/>
          <w:lang w:val="en-US"/>
        </w:rPr>
        <w:t>, 225-250.</w:t>
      </w:r>
    </w:p>
  </w:footnote>
  <w:footnote w:id="21">
    <w:p w14:paraId="1AB2BBAB" w14:textId="5554AAB1" w:rsidR="005C79FD" w:rsidRPr="001044DA" w:rsidRDefault="005C79FD">
      <w:pPr>
        <w:pStyle w:val="Notedebasdepage"/>
        <w:rPr>
          <w:lang w:val="en-US"/>
        </w:rPr>
      </w:pPr>
      <w:r>
        <w:rPr>
          <w:rStyle w:val="Appelnotedebasdep"/>
        </w:rPr>
        <w:footnoteRef/>
      </w:r>
      <w:r w:rsidRPr="001044DA">
        <w:rPr>
          <w:lang w:val="en-US"/>
        </w:rPr>
        <w:t xml:space="preserve"> </w:t>
      </w:r>
      <w:r w:rsidRPr="001044DA">
        <w:rPr>
          <w:rFonts w:ascii="Arial" w:hAnsi="Arial" w:cs="Arial"/>
          <w:color w:val="222222"/>
          <w:shd w:val="clear" w:color="auto" w:fill="FFFFFF"/>
          <w:lang w:val="en-US"/>
        </w:rPr>
        <w:t>Pruitt, D. G. (2005). Escalation, readiness for negotiation, and third-party functions. </w:t>
      </w:r>
      <w:r>
        <w:rPr>
          <w:rFonts w:ascii="Arial" w:hAnsi="Arial" w:cs="Arial"/>
          <w:color w:val="222222"/>
          <w:shd w:val="clear" w:color="auto" w:fill="FFFFFF"/>
          <w:lang w:val="en-US"/>
        </w:rPr>
        <w:t xml:space="preserve">In </w:t>
      </w:r>
      <w:r w:rsidRPr="001044DA">
        <w:rPr>
          <w:rFonts w:ascii="Arial" w:hAnsi="Arial" w:cs="Arial"/>
          <w:color w:val="222222"/>
          <w:shd w:val="clear" w:color="auto" w:fill="FFFFFF"/>
          <w:lang w:val="en-US"/>
        </w:rPr>
        <w:t xml:space="preserve">Zartman, I. W., &amp; Faure, G. O. (Eds.). </w:t>
      </w:r>
      <w:r w:rsidRPr="001044DA">
        <w:rPr>
          <w:rFonts w:ascii="Arial" w:hAnsi="Arial" w:cs="Arial"/>
          <w:i/>
          <w:iCs/>
          <w:color w:val="222222"/>
          <w:shd w:val="clear" w:color="auto" w:fill="FFFFFF"/>
          <w:lang w:val="en-US"/>
        </w:rPr>
        <w:t>Escalation and negotiation in international conflicts</w:t>
      </w:r>
      <w:r>
        <w:rPr>
          <w:rFonts w:ascii="Arial" w:hAnsi="Arial" w:cs="Arial"/>
          <w:i/>
          <w:iCs/>
          <w:color w:val="222222"/>
          <w:shd w:val="clear" w:color="auto" w:fill="FFFFFF"/>
          <w:lang w:val="en-US"/>
        </w:rPr>
        <w:t xml:space="preserve">, pp. </w:t>
      </w:r>
      <w:r w:rsidRPr="00F40875">
        <w:rPr>
          <w:rFonts w:ascii="Arial" w:hAnsi="Arial" w:cs="Arial"/>
          <w:color w:val="222222"/>
          <w:shd w:val="clear" w:color="auto" w:fill="FFFFFF"/>
          <w:lang w:val="en-US"/>
        </w:rPr>
        <w:t>251-270</w:t>
      </w:r>
      <w:r w:rsidRPr="001044DA">
        <w:rPr>
          <w:rFonts w:ascii="Arial" w:hAnsi="Arial" w:cs="Arial"/>
          <w:color w:val="222222"/>
          <w:shd w:val="clear" w:color="auto" w:fill="FFFFFF"/>
          <w:lang w:val="en-US"/>
        </w:rPr>
        <w:t>. Cambridge University Press.</w:t>
      </w:r>
    </w:p>
  </w:footnote>
  <w:footnote w:id="22">
    <w:p w14:paraId="5982B7B5" w14:textId="45B0310F" w:rsidR="00413353" w:rsidRPr="001044DA" w:rsidRDefault="00413353">
      <w:pPr>
        <w:pStyle w:val="Notedebasdepage"/>
        <w:rPr>
          <w:lang w:val="en-US"/>
        </w:rPr>
      </w:pPr>
      <w:r>
        <w:rPr>
          <w:rStyle w:val="Appelnotedebasdep"/>
        </w:rPr>
        <w:footnoteRef/>
      </w:r>
      <w:r w:rsidRPr="001044DA">
        <w:rPr>
          <w:lang w:val="en-US"/>
        </w:rPr>
        <w:t xml:space="preserve"> </w:t>
      </w:r>
      <w:proofErr w:type="spellStart"/>
      <w:r w:rsidRPr="001044DA">
        <w:rPr>
          <w:rFonts w:ascii="Arial" w:hAnsi="Arial" w:cs="Arial"/>
          <w:color w:val="222222"/>
          <w:shd w:val="clear" w:color="auto" w:fill="FFFFFF"/>
          <w:lang w:val="en-US"/>
        </w:rPr>
        <w:t>Stimec</w:t>
      </w:r>
      <w:proofErr w:type="spellEnd"/>
      <w:r w:rsidRPr="001044DA">
        <w:rPr>
          <w:rFonts w:ascii="Arial" w:hAnsi="Arial" w:cs="Arial"/>
          <w:color w:val="222222"/>
          <w:shd w:val="clear" w:color="auto" w:fill="FFFFFF"/>
          <w:lang w:val="en-US"/>
        </w:rPr>
        <w:t>, A., Poitras, J., &amp; Campbell, J. J. (2010). Ripeness, Readiness and Grief in conflict analysis. </w:t>
      </w:r>
      <w:r w:rsidRPr="001044DA">
        <w:rPr>
          <w:rFonts w:ascii="Arial" w:hAnsi="Arial" w:cs="Arial"/>
          <w:i/>
          <w:iCs/>
          <w:color w:val="222222"/>
          <w:shd w:val="clear" w:color="auto" w:fill="FFFFFF"/>
          <w:lang w:val="en-US"/>
        </w:rPr>
        <w:t>Critical Issues in Peace and Conflict Studies: Theory, Practice and Pedagogy</w:t>
      </w:r>
      <w:r w:rsidRPr="001044DA">
        <w:rPr>
          <w:rFonts w:ascii="Arial" w:hAnsi="Arial" w:cs="Arial"/>
          <w:color w:val="222222"/>
          <w:shd w:val="clear" w:color="auto" w:fill="FFFFFF"/>
          <w:lang w:val="en-US"/>
        </w:rPr>
        <w:t>, 143-157.</w:t>
      </w:r>
    </w:p>
  </w:footnote>
  <w:footnote w:id="23">
    <w:p w14:paraId="6D6EC04A" w14:textId="77777777" w:rsidR="00C10724" w:rsidRPr="001044DA" w:rsidRDefault="00C10724" w:rsidP="00A32B36">
      <w:pPr>
        <w:pStyle w:val="Notedebasdepage"/>
        <w:spacing w:line="276" w:lineRule="auto"/>
        <w:rPr>
          <w:lang w:val="en-US"/>
        </w:rPr>
      </w:pPr>
      <w:r>
        <w:rPr>
          <w:rStyle w:val="Appelnotedebasdep"/>
        </w:rPr>
        <w:footnoteRef/>
      </w:r>
      <w:r w:rsidRPr="00C10724">
        <w:rPr>
          <w:lang w:val="en-US"/>
        </w:rPr>
        <w:t xml:space="preserve"> </w:t>
      </w:r>
      <w:r w:rsidRPr="00C10724">
        <w:rPr>
          <w:rFonts w:ascii="Arial" w:hAnsi="Arial" w:cs="Arial"/>
          <w:color w:val="222222"/>
          <w:shd w:val="clear" w:color="auto" w:fill="FFFFFF"/>
          <w:lang w:val="en-US"/>
        </w:rPr>
        <w:t>Carver, C. S., &amp; Harmon-Jones, E. (2009). Anger is an approach-related affect: evidence and implications. </w:t>
      </w:r>
      <w:r w:rsidRPr="001044DA">
        <w:rPr>
          <w:rFonts w:ascii="Arial" w:hAnsi="Arial" w:cs="Arial"/>
          <w:i/>
          <w:iCs/>
          <w:color w:val="222222"/>
          <w:shd w:val="clear" w:color="auto" w:fill="FFFFFF"/>
          <w:lang w:val="en-US"/>
        </w:rPr>
        <w:t>Psychological bulletin</w:t>
      </w:r>
      <w:r w:rsidRPr="001044DA">
        <w:rPr>
          <w:rFonts w:ascii="Arial" w:hAnsi="Arial" w:cs="Arial"/>
          <w:color w:val="222222"/>
          <w:shd w:val="clear" w:color="auto" w:fill="FFFFFF"/>
          <w:lang w:val="en-US"/>
        </w:rPr>
        <w:t>, </w:t>
      </w:r>
      <w:r w:rsidRPr="001044DA">
        <w:rPr>
          <w:rFonts w:ascii="Arial" w:hAnsi="Arial" w:cs="Arial"/>
          <w:i/>
          <w:iCs/>
          <w:color w:val="222222"/>
          <w:shd w:val="clear" w:color="auto" w:fill="FFFFFF"/>
          <w:lang w:val="en-US"/>
        </w:rPr>
        <w:t>135</w:t>
      </w:r>
      <w:r w:rsidRPr="001044DA">
        <w:rPr>
          <w:rFonts w:ascii="Arial" w:hAnsi="Arial" w:cs="Arial"/>
          <w:color w:val="222222"/>
          <w:shd w:val="clear" w:color="auto" w:fill="FFFFFF"/>
          <w:lang w:val="en-US"/>
        </w:rPr>
        <w:t>(2), 183.</w:t>
      </w:r>
    </w:p>
  </w:footnote>
  <w:footnote w:id="24">
    <w:p w14:paraId="4CD3BB70" w14:textId="77777777" w:rsidR="00FC758B" w:rsidRPr="00A32B36" w:rsidRDefault="00FC758B" w:rsidP="00A32B36">
      <w:pPr>
        <w:pStyle w:val="Notedebasdepage"/>
        <w:spacing w:line="276" w:lineRule="auto"/>
        <w:rPr>
          <w:lang w:val="en-US"/>
        </w:rPr>
      </w:pPr>
      <w:r>
        <w:rPr>
          <w:rStyle w:val="Appelnotedebasdep"/>
        </w:rPr>
        <w:footnoteRef/>
      </w:r>
      <w:r w:rsidRPr="00FC758B">
        <w:rPr>
          <w:lang w:val="en-US"/>
        </w:rPr>
        <w:t xml:space="preserve"> </w:t>
      </w:r>
      <w:r w:rsidRPr="00FC758B">
        <w:rPr>
          <w:rFonts w:ascii="Arial" w:hAnsi="Arial" w:cs="Arial"/>
          <w:color w:val="222222"/>
          <w:shd w:val="clear" w:color="auto" w:fill="FFFFFF"/>
          <w:lang w:val="en-US"/>
        </w:rPr>
        <w:t>Mareschal, P. M. (2005). What makes mediation work? Mediators’ perspectives on resolving disputes. </w:t>
      </w:r>
      <w:r w:rsidRPr="00A32B36">
        <w:rPr>
          <w:rFonts w:ascii="Arial" w:hAnsi="Arial" w:cs="Arial"/>
          <w:i/>
          <w:iCs/>
          <w:color w:val="222222"/>
          <w:shd w:val="clear" w:color="auto" w:fill="FFFFFF"/>
          <w:lang w:val="en-US"/>
        </w:rPr>
        <w:t>Industrial Relations: A Journal of Economy and Society</w:t>
      </w:r>
      <w:r w:rsidRPr="00A32B36">
        <w:rPr>
          <w:rFonts w:ascii="Arial" w:hAnsi="Arial" w:cs="Arial"/>
          <w:color w:val="222222"/>
          <w:shd w:val="clear" w:color="auto" w:fill="FFFFFF"/>
          <w:lang w:val="en-US"/>
        </w:rPr>
        <w:t>, </w:t>
      </w:r>
      <w:r w:rsidRPr="00A32B36">
        <w:rPr>
          <w:rFonts w:ascii="Arial" w:hAnsi="Arial" w:cs="Arial"/>
          <w:i/>
          <w:iCs/>
          <w:color w:val="222222"/>
          <w:shd w:val="clear" w:color="auto" w:fill="FFFFFF"/>
          <w:lang w:val="en-US"/>
        </w:rPr>
        <w:t>44</w:t>
      </w:r>
      <w:r w:rsidRPr="00A32B36">
        <w:rPr>
          <w:rFonts w:ascii="Arial" w:hAnsi="Arial" w:cs="Arial"/>
          <w:color w:val="222222"/>
          <w:shd w:val="clear" w:color="auto" w:fill="FFFFFF"/>
          <w:lang w:val="en-US"/>
        </w:rPr>
        <w:t>(3), 509-517.</w:t>
      </w:r>
    </w:p>
  </w:footnote>
  <w:footnote w:id="25">
    <w:p w14:paraId="71CA8888" w14:textId="77777777" w:rsidR="00BB6952" w:rsidRPr="00BB6952" w:rsidRDefault="00BB6952" w:rsidP="00A32B36">
      <w:pPr>
        <w:pStyle w:val="Notedebasdepage"/>
        <w:spacing w:line="276" w:lineRule="auto"/>
        <w:rPr>
          <w:lang w:val="fr-FR"/>
        </w:rPr>
      </w:pPr>
      <w:r>
        <w:rPr>
          <w:rStyle w:val="Appelnotedebasdep"/>
        </w:rPr>
        <w:footnoteRef/>
      </w:r>
      <w:r w:rsidRPr="00BB6952">
        <w:rPr>
          <w:lang w:val="en-US"/>
        </w:rPr>
        <w:t xml:space="preserve"> </w:t>
      </w:r>
      <w:r w:rsidRPr="00BB6952">
        <w:rPr>
          <w:rFonts w:ascii="Arial" w:hAnsi="Arial" w:cs="Arial"/>
          <w:color w:val="222222"/>
          <w:shd w:val="clear" w:color="auto" w:fill="FFFFFF"/>
          <w:lang w:val="en-US"/>
        </w:rPr>
        <w:t>Adler, R. S., Rosen, B., &amp; Silverstein, E. M. (1998). Emotions in negotiation: How to manage fear and anger. </w:t>
      </w:r>
      <w:proofErr w:type="spellStart"/>
      <w:r>
        <w:rPr>
          <w:rFonts w:ascii="Arial" w:hAnsi="Arial" w:cs="Arial"/>
          <w:i/>
          <w:iCs/>
          <w:color w:val="222222"/>
          <w:shd w:val="clear" w:color="auto" w:fill="FFFFFF"/>
        </w:rPr>
        <w:t>Negotiation</w:t>
      </w:r>
      <w:proofErr w:type="spellEnd"/>
      <w:r>
        <w:rPr>
          <w:rFonts w:ascii="Arial" w:hAnsi="Arial" w:cs="Arial"/>
          <w:i/>
          <w:iCs/>
          <w:color w:val="222222"/>
          <w:shd w:val="clear" w:color="auto" w:fill="FFFFFF"/>
        </w:rPr>
        <w:t xml:space="preserve"> journal</w:t>
      </w:r>
      <w:r>
        <w:rPr>
          <w:rFonts w:ascii="Arial" w:hAnsi="Arial" w:cs="Arial"/>
          <w:color w:val="222222"/>
          <w:shd w:val="clear" w:color="auto" w:fill="FFFFFF"/>
        </w:rPr>
        <w:t>, </w:t>
      </w:r>
      <w:r>
        <w:rPr>
          <w:rFonts w:ascii="Arial" w:hAnsi="Arial" w:cs="Arial"/>
          <w:i/>
          <w:iCs/>
          <w:color w:val="222222"/>
          <w:shd w:val="clear" w:color="auto" w:fill="FFFFFF"/>
        </w:rPr>
        <w:t>14</w:t>
      </w:r>
      <w:r>
        <w:rPr>
          <w:rFonts w:ascii="Arial" w:hAnsi="Arial" w:cs="Arial"/>
          <w:color w:val="222222"/>
          <w:shd w:val="clear" w:color="auto" w:fill="FFFFFF"/>
        </w:rPr>
        <w:t>(2), 161-179.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06039"/>
    <w:multiLevelType w:val="hybridMultilevel"/>
    <w:tmpl w:val="48A6616E"/>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 w15:restartNumberingAfterBreak="0">
    <w:nsid w:val="54F510E4"/>
    <w:multiLevelType w:val="hybridMultilevel"/>
    <w:tmpl w:val="571AD8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21984586">
    <w:abstractNumId w:val="0"/>
  </w:num>
  <w:num w:numId="2" w16cid:durableId="335497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A6"/>
    <w:rsid w:val="00002C35"/>
    <w:rsid w:val="0001332A"/>
    <w:rsid w:val="00035DC0"/>
    <w:rsid w:val="0004013B"/>
    <w:rsid w:val="00062A1D"/>
    <w:rsid w:val="0006520D"/>
    <w:rsid w:val="00077BAC"/>
    <w:rsid w:val="00087C73"/>
    <w:rsid w:val="000921E6"/>
    <w:rsid w:val="00094AEA"/>
    <w:rsid w:val="000A165A"/>
    <w:rsid w:val="000A6C4B"/>
    <w:rsid w:val="000E4514"/>
    <w:rsid w:val="000E4839"/>
    <w:rsid w:val="001044DA"/>
    <w:rsid w:val="00131476"/>
    <w:rsid w:val="00152186"/>
    <w:rsid w:val="00160B13"/>
    <w:rsid w:val="0017491D"/>
    <w:rsid w:val="00185146"/>
    <w:rsid w:val="001F1B86"/>
    <w:rsid w:val="00280607"/>
    <w:rsid w:val="00281B89"/>
    <w:rsid w:val="002A1B8D"/>
    <w:rsid w:val="002C69E4"/>
    <w:rsid w:val="002C734C"/>
    <w:rsid w:val="002E7971"/>
    <w:rsid w:val="003074E3"/>
    <w:rsid w:val="00320E82"/>
    <w:rsid w:val="00337D2B"/>
    <w:rsid w:val="00341BCA"/>
    <w:rsid w:val="00344DB1"/>
    <w:rsid w:val="00367161"/>
    <w:rsid w:val="00377355"/>
    <w:rsid w:val="003D7838"/>
    <w:rsid w:val="003E46FC"/>
    <w:rsid w:val="00413353"/>
    <w:rsid w:val="00424346"/>
    <w:rsid w:val="004313F6"/>
    <w:rsid w:val="004543A0"/>
    <w:rsid w:val="00454743"/>
    <w:rsid w:val="004B6408"/>
    <w:rsid w:val="004E3E5F"/>
    <w:rsid w:val="004E4310"/>
    <w:rsid w:val="00513488"/>
    <w:rsid w:val="005338BE"/>
    <w:rsid w:val="00546598"/>
    <w:rsid w:val="00556EA8"/>
    <w:rsid w:val="0058150D"/>
    <w:rsid w:val="005A201D"/>
    <w:rsid w:val="005C4978"/>
    <w:rsid w:val="005C4E10"/>
    <w:rsid w:val="005C79FD"/>
    <w:rsid w:val="005E65B8"/>
    <w:rsid w:val="00602EA4"/>
    <w:rsid w:val="00611620"/>
    <w:rsid w:val="006122E2"/>
    <w:rsid w:val="00615A57"/>
    <w:rsid w:val="00635063"/>
    <w:rsid w:val="0063700B"/>
    <w:rsid w:val="0066504C"/>
    <w:rsid w:val="00676FDE"/>
    <w:rsid w:val="00683F69"/>
    <w:rsid w:val="00690E49"/>
    <w:rsid w:val="006B4776"/>
    <w:rsid w:val="006D6087"/>
    <w:rsid w:val="00715F95"/>
    <w:rsid w:val="007430F6"/>
    <w:rsid w:val="00750CAB"/>
    <w:rsid w:val="0077686C"/>
    <w:rsid w:val="00780E90"/>
    <w:rsid w:val="007A69F7"/>
    <w:rsid w:val="007B6E7B"/>
    <w:rsid w:val="007C4224"/>
    <w:rsid w:val="007C6C3E"/>
    <w:rsid w:val="008363D3"/>
    <w:rsid w:val="00852F77"/>
    <w:rsid w:val="00856C2E"/>
    <w:rsid w:val="00885850"/>
    <w:rsid w:val="00930518"/>
    <w:rsid w:val="009464DA"/>
    <w:rsid w:val="00991609"/>
    <w:rsid w:val="0099227D"/>
    <w:rsid w:val="00993736"/>
    <w:rsid w:val="00994F24"/>
    <w:rsid w:val="009D5641"/>
    <w:rsid w:val="00A00F6E"/>
    <w:rsid w:val="00A0771E"/>
    <w:rsid w:val="00A32B36"/>
    <w:rsid w:val="00A452F7"/>
    <w:rsid w:val="00A517CA"/>
    <w:rsid w:val="00A632A1"/>
    <w:rsid w:val="00A6577A"/>
    <w:rsid w:val="00A80DD6"/>
    <w:rsid w:val="00AC598F"/>
    <w:rsid w:val="00AE3CC8"/>
    <w:rsid w:val="00B3733F"/>
    <w:rsid w:val="00BB6952"/>
    <w:rsid w:val="00BF4D68"/>
    <w:rsid w:val="00C10724"/>
    <w:rsid w:val="00C107A5"/>
    <w:rsid w:val="00C14B41"/>
    <w:rsid w:val="00C422F9"/>
    <w:rsid w:val="00C80C76"/>
    <w:rsid w:val="00CB5E54"/>
    <w:rsid w:val="00CD50A6"/>
    <w:rsid w:val="00CD7BA6"/>
    <w:rsid w:val="00D01CE3"/>
    <w:rsid w:val="00D24AFA"/>
    <w:rsid w:val="00D321C3"/>
    <w:rsid w:val="00D369C4"/>
    <w:rsid w:val="00D4321C"/>
    <w:rsid w:val="00D43FFF"/>
    <w:rsid w:val="00D52D4E"/>
    <w:rsid w:val="00D54554"/>
    <w:rsid w:val="00D6360B"/>
    <w:rsid w:val="00D673D9"/>
    <w:rsid w:val="00D743C4"/>
    <w:rsid w:val="00D90DAD"/>
    <w:rsid w:val="00DD1231"/>
    <w:rsid w:val="00DD313C"/>
    <w:rsid w:val="00DD5B54"/>
    <w:rsid w:val="00DF6666"/>
    <w:rsid w:val="00E061EF"/>
    <w:rsid w:val="00E94F61"/>
    <w:rsid w:val="00F06C4A"/>
    <w:rsid w:val="00F13D20"/>
    <w:rsid w:val="00F15A71"/>
    <w:rsid w:val="00F15F2C"/>
    <w:rsid w:val="00F17D48"/>
    <w:rsid w:val="00F20CB9"/>
    <w:rsid w:val="00F20F55"/>
    <w:rsid w:val="00F66328"/>
    <w:rsid w:val="00F71680"/>
    <w:rsid w:val="00F82E18"/>
    <w:rsid w:val="00FA7B3C"/>
    <w:rsid w:val="00FB217A"/>
    <w:rsid w:val="00FC1546"/>
    <w:rsid w:val="00FC758B"/>
    <w:rsid w:val="00FE0C0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8B2A7"/>
  <w15:chartTrackingRefBased/>
  <w15:docId w15:val="{EBE0CE05-318E-4BAA-843E-F0AE5164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5850"/>
    <w:pPr>
      <w:ind w:left="720"/>
      <w:contextualSpacing/>
    </w:pPr>
  </w:style>
  <w:style w:type="paragraph" w:styleId="Notedebasdepage">
    <w:name w:val="footnote text"/>
    <w:basedOn w:val="Normal"/>
    <w:link w:val="NotedebasdepageCar"/>
    <w:uiPriority w:val="99"/>
    <w:semiHidden/>
    <w:unhideWhenUsed/>
    <w:rsid w:val="0099373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93736"/>
    <w:rPr>
      <w:sz w:val="20"/>
      <w:szCs w:val="20"/>
    </w:rPr>
  </w:style>
  <w:style w:type="character" w:styleId="Appelnotedebasdep">
    <w:name w:val="footnote reference"/>
    <w:basedOn w:val="Policepardfaut"/>
    <w:uiPriority w:val="99"/>
    <w:semiHidden/>
    <w:unhideWhenUsed/>
    <w:rsid w:val="00993736"/>
    <w:rPr>
      <w:vertAlign w:val="superscript"/>
    </w:rPr>
  </w:style>
  <w:style w:type="paragraph" w:styleId="Notedefin">
    <w:name w:val="endnote text"/>
    <w:basedOn w:val="Normal"/>
    <w:link w:val="NotedefinCar"/>
    <w:uiPriority w:val="99"/>
    <w:semiHidden/>
    <w:unhideWhenUsed/>
    <w:rsid w:val="00C80C76"/>
    <w:pPr>
      <w:spacing w:after="0" w:line="240" w:lineRule="auto"/>
    </w:pPr>
    <w:rPr>
      <w:sz w:val="20"/>
      <w:szCs w:val="20"/>
    </w:rPr>
  </w:style>
  <w:style w:type="character" w:customStyle="1" w:styleId="NotedefinCar">
    <w:name w:val="Note de fin Car"/>
    <w:basedOn w:val="Policepardfaut"/>
    <w:link w:val="Notedefin"/>
    <w:uiPriority w:val="99"/>
    <w:semiHidden/>
    <w:rsid w:val="00C80C76"/>
    <w:rPr>
      <w:sz w:val="20"/>
      <w:szCs w:val="20"/>
    </w:rPr>
  </w:style>
  <w:style w:type="character" w:styleId="Appeldenotedefin">
    <w:name w:val="endnote reference"/>
    <w:basedOn w:val="Policepardfaut"/>
    <w:uiPriority w:val="99"/>
    <w:semiHidden/>
    <w:unhideWhenUsed/>
    <w:rsid w:val="00C80C76"/>
    <w:rPr>
      <w:vertAlign w:val="superscript"/>
    </w:rPr>
  </w:style>
  <w:style w:type="character" w:styleId="Lienhypertexte">
    <w:name w:val="Hyperlink"/>
    <w:basedOn w:val="Policepardfaut"/>
    <w:uiPriority w:val="99"/>
    <w:unhideWhenUsed/>
    <w:rsid w:val="00D52D4E"/>
    <w:rPr>
      <w:color w:val="0563C1" w:themeColor="hyperlink"/>
      <w:u w:val="single"/>
    </w:rPr>
  </w:style>
  <w:style w:type="character" w:styleId="Mentionnonrsolue">
    <w:name w:val="Unresolved Mention"/>
    <w:basedOn w:val="Policepardfaut"/>
    <w:uiPriority w:val="99"/>
    <w:semiHidden/>
    <w:unhideWhenUsed/>
    <w:rsid w:val="00D52D4E"/>
    <w:rPr>
      <w:color w:val="605E5C"/>
      <w:shd w:val="clear" w:color="auto" w:fill="E1DFDD"/>
    </w:rPr>
  </w:style>
  <w:style w:type="paragraph" w:styleId="Rvision">
    <w:name w:val="Revision"/>
    <w:hidden/>
    <w:uiPriority w:val="99"/>
    <w:semiHidden/>
    <w:rsid w:val="005C4978"/>
    <w:pPr>
      <w:spacing w:after="0" w:line="240" w:lineRule="auto"/>
    </w:pPr>
  </w:style>
  <w:style w:type="paragraph" w:styleId="Textedebulles">
    <w:name w:val="Balloon Text"/>
    <w:basedOn w:val="Normal"/>
    <w:link w:val="TextedebullesCar"/>
    <w:uiPriority w:val="99"/>
    <w:semiHidden/>
    <w:unhideWhenUsed/>
    <w:rsid w:val="00F13D2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13D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37/0022-3514.53.2.29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1687C-0A6D-4EFF-88FB-5801685EC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2861</Words>
  <Characters>17085</Characters>
  <Application>Microsoft Office Word</Application>
  <DocSecurity>0</DocSecurity>
  <Lines>280</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Demoulin</dc:creator>
  <cp:keywords/>
  <dc:description/>
  <cp:lastModifiedBy>Stéphanie Demoulin</cp:lastModifiedBy>
  <cp:revision>3</cp:revision>
  <dcterms:created xsi:type="dcterms:W3CDTF">2026-01-09T13:33:00Z</dcterms:created>
  <dcterms:modified xsi:type="dcterms:W3CDTF">2026-01-09T13:33:00Z</dcterms:modified>
</cp:coreProperties>
</file>