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8CA2F2" w14:textId="7777AB1C" w:rsidR="0099128C" w:rsidRPr="00355893" w:rsidRDefault="0099128C" w:rsidP="00654B52">
      <w:pPr>
        <w:pStyle w:val="Affiliation"/>
        <w:spacing w:line="480" w:lineRule="auto"/>
        <w:jc w:val="center"/>
        <w:rPr>
          <w:b/>
          <w:i w:val="0"/>
        </w:rPr>
      </w:pPr>
      <w:bookmarkStart w:id="0" w:name="_GoBack"/>
      <w:bookmarkEnd w:id="0"/>
      <w:r w:rsidRPr="00355893">
        <w:rPr>
          <w:b/>
          <w:i w:val="0"/>
        </w:rPr>
        <w:t xml:space="preserve">SUPPLY CHAIN AGILITY, ADAPTABILITY AND ALIGNMENT: EMPIRICAL EVIDENCE FROM </w:t>
      </w:r>
      <w:r w:rsidR="00FE035C" w:rsidRPr="00355893">
        <w:rPr>
          <w:b/>
          <w:i w:val="0"/>
        </w:rPr>
        <w:t xml:space="preserve">THE </w:t>
      </w:r>
      <w:r w:rsidRPr="00355893">
        <w:rPr>
          <w:b/>
          <w:i w:val="0"/>
        </w:rPr>
        <w:t>INDIAN AU</w:t>
      </w:r>
      <w:r w:rsidR="00146793" w:rsidRPr="00355893">
        <w:rPr>
          <w:b/>
          <w:i w:val="0"/>
        </w:rPr>
        <w:t>T</w:t>
      </w:r>
      <w:r w:rsidRPr="00355893">
        <w:rPr>
          <w:b/>
          <w:i w:val="0"/>
        </w:rPr>
        <w:t>O COMPONENTS INDUSTRY</w:t>
      </w:r>
    </w:p>
    <w:p w14:paraId="741F63AB" w14:textId="77777777" w:rsidR="00C514ED" w:rsidRPr="00355893" w:rsidRDefault="00C514ED" w:rsidP="00654B52">
      <w:pPr>
        <w:spacing w:line="480" w:lineRule="auto"/>
        <w:rPr>
          <w:rFonts w:ascii="Times New Roman" w:hAnsi="Times New Roman" w:cs="Times New Roman"/>
          <w:b/>
          <w:sz w:val="24"/>
          <w:szCs w:val="24"/>
        </w:rPr>
      </w:pPr>
    </w:p>
    <w:p w14:paraId="1911A4B8" w14:textId="77777777" w:rsidR="00C3098E" w:rsidRPr="00355893" w:rsidRDefault="00C3098E" w:rsidP="00654B52">
      <w:pPr>
        <w:spacing w:line="480" w:lineRule="auto"/>
        <w:rPr>
          <w:rFonts w:ascii="Times New Roman" w:hAnsi="Times New Roman" w:cs="Times New Roman"/>
          <w:b/>
          <w:sz w:val="24"/>
          <w:szCs w:val="24"/>
        </w:rPr>
      </w:pPr>
      <w:r w:rsidRPr="00355893">
        <w:rPr>
          <w:rFonts w:ascii="Times New Roman" w:hAnsi="Times New Roman" w:cs="Times New Roman"/>
          <w:b/>
          <w:sz w:val="24"/>
          <w:szCs w:val="24"/>
        </w:rPr>
        <w:t>Abstract</w:t>
      </w:r>
    </w:p>
    <w:p w14:paraId="15CD4903" w14:textId="6FA9BF4A" w:rsidR="00431C5D" w:rsidRPr="00355893" w:rsidRDefault="00796FB7" w:rsidP="00654B52">
      <w:pPr>
        <w:spacing w:line="480" w:lineRule="auto"/>
        <w:jc w:val="both"/>
        <w:rPr>
          <w:rFonts w:ascii="Times New Roman" w:hAnsi="Times New Roman" w:cs="Times New Roman"/>
          <w:sz w:val="24"/>
          <w:szCs w:val="24"/>
        </w:rPr>
      </w:pPr>
      <w:r w:rsidRPr="00355893">
        <w:rPr>
          <w:rFonts w:ascii="Times New Roman" w:hAnsi="Times New Roman" w:cs="Times New Roman"/>
          <w:b/>
          <w:sz w:val="24"/>
          <w:szCs w:val="24"/>
        </w:rPr>
        <w:t xml:space="preserve">Purpose – </w:t>
      </w:r>
      <w:r w:rsidR="00296B87" w:rsidRPr="00355893">
        <w:rPr>
          <w:rFonts w:ascii="Times New Roman" w:hAnsi="Times New Roman" w:cs="Times New Roman"/>
          <w:sz w:val="24"/>
          <w:szCs w:val="24"/>
        </w:rPr>
        <w:t xml:space="preserve">To examine when and how </w:t>
      </w:r>
      <w:r w:rsidR="007F6D99" w:rsidRPr="00355893">
        <w:rPr>
          <w:rFonts w:ascii="Times New Roman" w:hAnsi="Times New Roman" w:cs="Times New Roman"/>
          <w:sz w:val="24"/>
          <w:szCs w:val="24"/>
        </w:rPr>
        <w:t xml:space="preserve">organizations create </w:t>
      </w:r>
      <w:r w:rsidR="00296B87" w:rsidRPr="00355893">
        <w:rPr>
          <w:rFonts w:ascii="Times New Roman" w:hAnsi="Times New Roman" w:cs="Times New Roman"/>
          <w:sz w:val="24"/>
          <w:szCs w:val="24"/>
        </w:rPr>
        <w:t>agility, adaptability, and alignment as distinct supply chain properties to gain sustainable competitive advantage.</w:t>
      </w:r>
    </w:p>
    <w:p w14:paraId="50558988" w14:textId="3F4D11AC" w:rsidR="00796FB7" w:rsidRPr="00355893" w:rsidRDefault="00796FB7" w:rsidP="00654B52">
      <w:pPr>
        <w:spacing w:line="480" w:lineRule="auto"/>
        <w:jc w:val="both"/>
        <w:rPr>
          <w:rFonts w:ascii="Times New Roman" w:hAnsi="Times New Roman" w:cs="Times New Roman"/>
          <w:b/>
          <w:sz w:val="24"/>
          <w:szCs w:val="24"/>
        </w:rPr>
      </w:pPr>
      <w:r w:rsidRPr="00355893">
        <w:rPr>
          <w:rFonts w:ascii="Times New Roman" w:hAnsi="Times New Roman" w:cs="Times New Roman"/>
          <w:b/>
          <w:sz w:val="24"/>
          <w:szCs w:val="24"/>
        </w:rPr>
        <w:t>Design/methodology/approach –</w:t>
      </w:r>
      <w:r w:rsidR="00FF15F7" w:rsidRPr="00355893">
        <w:rPr>
          <w:rFonts w:ascii="Times New Roman" w:hAnsi="Times New Roman" w:cs="Times New Roman"/>
          <w:b/>
          <w:sz w:val="24"/>
          <w:szCs w:val="24"/>
        </w:rPr>
        <w:t xml:space="preserve"> </w:t>
      </w:r>
      <w:r w:rsidR="00FF15F7" w:rsidRPr="00355893">
        <w:rPr>
          <w:rFonts w:ascii="Times New Roman" w:hAnsi="Times New Roman" w:cs="Times New Roman"/>
          <w:sz w:val="24"/>
          <w:szCs w:val="24"/>
        </w:rPr>
        <w:t xml:space="preserve">The current study utilizes </w:t>
      </w:r>
      <w:r w:rsidR="005F7285" w:rsidRPr="00355893">
        <w:rPr>
          <w:rFonts w:ascii="Times New Roman" w:hAnsi="Times New Roman" w:cs="Times New Roman"/>
          <w:sz w:val="24"/>
          <w:szCs w:val="24"/>
        </w:rPr>
        <w:t xml:space="preserve">the </w:t>
      </w:r>
      <w:r w:rsidR="00F85E15" w:rsidRPr="00355893">
        <w:rPr>
          <w:rFonts w:ascii="Times New Roman" w:hAnsi="Times New Roman" w:cs="Times New Roman"/>
          <w:sz w:val="24"/>
          <w:szCs w:val="24"/>
        </w:rPr>
        <w:t>resource-</w:t>
      </w:r>
      <w:r w:rsidR="00FF15F7" w:rsidRPr="00355893">
        <w:rPr>
          <w:rFonts w:ascii="Times New Roman" w:hAnsi="Times New Roman" w:cs="Times New Roman"/>
          <w:sz w:val="24"/>
          <w:szCs w:val="24"/>
        </w:rPr>
        <w:t xml:space="preserve">based view (RBV) </w:t>
      </w:r>
      <w:r w:rsidR="00296B87" w:rsidRPr="00355893">
        <w:rPr>
          <w:rFonts w:ascii="Times New Roman" w:hAnsi="Times New Roman" w:cs="Times New Roman"/>
          <w:sz w:val="24"/>
          <w:szCs w:val="24"/>
        </w:rPr>
        <w:t xml:space="preserve">under </w:t>
      </w:r>
      <w:r w:rsidR="00202073" w:rsidRPr="00355893">
        <w:rPr>
          <w:rFonts w:ascii="Times New Roman" w:hAnsi="Times New Roman" w:cs="Times New Roman"/>
          <w:sz w:val="24"/>
          <w:szCs w:val="24"/>
        </w:rPr>
        <w:t xml:space="preserve">the </w:t>
      </w:r>
      <w:r w:rsidR="00296B87" w:rsidRPr="00355893">
        <w:rPr>
          <w:rFonts w:ascii="Times New Roman" w:hAnsi="Times New Roman" w:cs="Times New Roman"/>
          <w:sz w:val="24"/>
          <w:szCs w:val="24"/>
        </w:rPr>
        <w:t>moderating effect of top management commitment.</w:t>
      </w:r>
      <w:r w:rsidR="00FF15F7" w:rsidRPr="00355893">
        <w:rPr>
          <w:rFonts w:ascii="Times New Roman" w:hAnsi="Times New Roman" w:cs="Times New Roman"/>
          <w:sz w:val="24"/>
          <w:szCs w:val="24"/>
        </w:rPr>
        <w:t xml:space="preserve"> To test our research </w:t>
      </w:r>
      <w:r w:rsidR="00AB1562" w:rsidRPr="00355893">
        <w:rPr>
          <w:rFonts w:ascii="Times New Roman" w:hAnsi="Times New Roman" w:cs="Times New Roman"/>
          <w:sz w:val="24"/>
          <w:szCs w:val="24"/>
        </w:rPr>
        <w:t>hypotheses,</w:t>
      </w:r>
      <w:r w:rsidR="00FF15F7" w:rsidRPr="00355893">
        <w:rPr>
          <w:rFonts w:ascii="Times New Roman" w:hAnsi="Times New Roman" w:cs="Times New Roman"/>
          <w:sz w:val="24"/>
          <w:szCs w:val="24"/>
        </w:rPr>
        <w:t xml:space="preserve"> we gathered 351 usable responses using a pre</w:t>
      </w:r>
      <w:r w:rsidR="00D25EB7" w:rsidRPr="00355893">
        <w:rPr>
          <w:rFonts w:ascii="Times New Roman" w:hAnsi="Times New Roman" w:cs="Times New Roman"/>
          <w:sz w:val="24"/>
          <w:szCs w:val="24"/>
        </w:rPr>
        <w:t>-</w:t>
      </w:r>
      <w:r w:rsidR="00FF15F7" w:rsidRPr="00355893">
        <w:rPr>
          <w:rFonts w:ascii="Times New Roman" w:hAnsi="Times New Roman" w:cs="Times New Roman"/>
          <w:sz w:val="24"/>
          <w:szCs w:val="24"/>
        </w:rPr>
        <w:t>tested questionnaire.</w:t>
      </w:r>
    </w:p>
    <w:p w14:paraId="1D193F42" w14:textId="0E586DB1" w:rsidR="00796FB7" w:rsidRPr="00355893" w:rsidRDefault="00796FB7" w:rsidP="00654B52">
      <w:pPr>
        <w:spacing w:line="480" w:lineRule="auto"/>
        <w:jc w:val="both"/>
        <w:rPr>
          <w:rFonts w:ascii="Times New Roman" w:hAnsi="Times New Roman" w:cs="Times New Roman"/>
          <w:b/>
          <w:sz w:val="24"/>
          <w:szCs w:val="24"/>
        </w:rPr>
      </w:pPr>
      <w:r w:rsidRPr="00355893">
        <w:rPr>
          <w:rFonts w:ascii="Times New Roman" w:hAnsi="Times New Roman" w:cs="Times New Roman"/>
          <w:b/>
          <w:sz w:val="24"/>
          <w:szCs w:val="24"/>
        </w:rPr>
        <w:t>Findings –</w:t>
      </w:r>
      <w:r w:rsidR="00FF15F7" w:rsidRPr="00355893">
        <w:rPr>
          <w:rFonts w:ascii="Times New Roman" w:hAnsi="Times New Roman" w:cs="Times New Roman"/>
          <w:sz w:val="24"/>
          <w:szCs w:val="24"/>
        </w:rPr>
        <w:t xml:space="preserve"> Our </w:t>
      </w:r>
      <w:r w:rsidR="003435FF" w:rsidRPr="00355893">
        <w:rPr>
          <w:rFonts w:ascii="Times New Roman" w:hAnsi="Times New Roman" w:cs="Times New Roman"/>
          <w:sz w:val="24"/>
          <w:szCs w:val="24"/>
        </w:rPr>
        <w:t>statistical analyses</w:t>
      </w:r>
      <w:r w:rsidR="00FF15F7" w:rsidRPr="00355893">
        <w:rPr>
          <w:rFonts w:ascii="Times New Roman" w:hAnsi="Times New Roman" w:cs="Times New Roman"/>
          <w:sz w:val="24"/>
          <w:szCs w:val="24"/>
        </w:rPr>
        <w:t xml:space="preserve"> suggest that information sharing and supply chain connectivity resources influence supply chain visibility</w:t>
      </w:r>
      <w:r w:rsidR="00AF3DF5" w:rsidRPr="00355893">
        <w:rPr>
          <w:rFonts w:ascii="Times New Roman" w:hAnsi="Times New Roman" w:cs="Times New Roman"/>
          <w:sz w:val="24"/>
          <w:szCs w:val="24"/>
        </w:rPr>
        <w:t xml:space="preserve"> capability</w:t>
      </w:r>
      <w:r w:rsidR="001724D3" w:rsidRPr="00355893">
        <w:rPr>
          <w:rFonts w:ascii="Times New Roman" w:hAnsi="Times New Roman" w:cs="Times New Roman"/>
          <w:sz w:val="24"/>
          <w:szCs w:val="24"/>
        </w:rPr>
        <w:t>,</w:t>
      </w:r>
      <w:r w:rsidR="00FF15F7" w:rsidRPr="00355893">
        <w:rPr>
          <w:rFonts w:ascii="Times New Roman" w:hAnsi="Times New Roman" w:cs="Times New Roman"/>
          <w:sz w:val="24"/>
          <w:szCs w:val="24"/>
        </w:rPr>
        <w:t xml:space="preserve"> which, under the </w:t>
      </w:r>
      <w:r w:rsidR="00CF1780" w:rsidRPr="00355893">
        <w:rPr>
          <w:rFonts w:ascii="Times New Roman" w:hAnsi="Times New Roman" w:cs="Times New Roman"/>
          <w:sz w:val="24"/>
          <w:szCs w:val="24"/>
        </w:rPr>
        <w:t xml:space="preserve">moderating </w:t>
      </w:r>
      <w:r w:rsidR="00FF15F7" w:rsidRPr="00355893">
        <w:rPr>
          <w:rFonts w:ascii="Times New Roman" w:hAnsi="Times New Roman" w:cs="Times New Roman"/>
          <w:sz w:val="24"/>
          <w:szCs w:val="24"/>
        </w:rPr>
        <w:t>effect of top</w:t>
      </w:r>
      <w:r w:rsidR="00256F17" w:rsidRPr="00355893">
        <w:rPr>
          <w:rFonts w:ascii="Times New Roman" w:hAnsi="Times New Roman" w:cs="Times New Roman"/>
          <w:sz w:val="24"/>
          <w:szCs w:val="24"/>
        </w:rPr>
        <w:t xml:space="preserve"> management commitment, enhance</w:t>
      </w:r>
      <w:r w:rsidR="00FF15F7" w:rsidRPr="00355893">
        <w:rPr>
          <w:rFonts w:ascii="Times New Roman" w:hAnsi="Times New Roman" w:cs="Times New Roman"/>
          <w:sz w:val="24"/>
          <w:szCs w:val="24"/>
        </w:rPr>
        <w:t xml:space="preserve"> supply chain agility, adaptability and alignment.</w:t>
      </w:r>
    </w:p>
    <w:p w14:paraId="08A59342" w14:textId="27CA24DB" w:rsidR="00796FB7" w:rsidRPr="00355893" w:rsidRDefault="00796FB7" w:rsidP="00654B52">
      <w:pPr>
        <w:spacing w:line="480" w:lineRule="auto"/>
        <w:jc w:val="both"/>
        <w:rPr>
          <w:rFonts w:ascii="Times New Roman" w:hAnsi="Times New Roman" w:cs="Times New Roman"/>
          <w:sz w:val="24"/>
          <w:szCs w:val="24"/>
        </w:rPr>
      </w:pPr>
      <w:r w:rsidRPr="00355893">
        <w:rPr>
          <w:rFonts w:ascii="Times New Roman" w:hAnsi="Times New Roman" w:cs="Times New Roman"/>
          <w:b/>
          <w:sz w:val="24"/>
          <w:szCs w:val="24"/>
        </w:rPr>
        <w:t>Originality/value</w:t>
      </w:r>
      <w:r w:rsidR="00431C5D" w:rsidRPr="00355893">
        <w:rPr>
          <w:rFonts w:ascii="Times New Roman" w:hAnsi="Times New Roman" w:cs="Times New Roman"/>
          <w:b/>
          <w:sz w:val="24"/>
          <w:szCs w:val="24"/>
        </w:rPr>
        <w:t xml:space="preserve"> –</w:t>
      </w:r>
      <w:r w:rsidR="00C163FB" w:rsidRPr="00355893">
        <w:rPr>
          <w:rFonts w:ascii="Times New Roman" w:hAnsi="Times New Roman" w:cs="Times New Roman"/>
        </w:rPr>
        <w:t xml:space="preserve"> </w:t>
      </w:r>
      <w:r w:rsidR="00227270" w:rsidRPr="00355893">
        <w:rPr>
          <w:rFonts w:ascii="Times New Roman" w:hAnsi="Times New Roman" w:cs="Times New Roman"/>
          <w:sz w:val="24"/>
          <w:szCs w:val="24"/>
        </w:rPr>
        <w:t>Our contribution lies in</w:t>
      </w:r>
      <w:r w:rsidR="003019E9" w:rsidRPr="00355893">
        <w:rPr>
          <w:rFonts w:ascii="Times New Roman" w:hAnsi="Times New Roman" w:cs="Times New Roman"/>
          <w:sz w:val="24"/>
          <w:szCs w:val="24"/>
        </w:rPr>
        <w:t>:</w:t>
      </w:r>
      <w:r w:rsidR="00227270" w:rsidRPr="00355893">
        <w:rPr>
          <w:rFonts w:ascii="Times New Roman" w:hAnsi="Times New Roman" w:cs="Times New Roman"/>
          <w:sz w:val="24"/>
          <w:szCs w:val="24"/>
        </w:rPr>
        <w:t xml:space="preserve"> (i) </w:t>
      </w:r>
      <w:r w:rsidR="00392C9D" w:rsidRPr="00355893">
        <w:rPr>
          <w:rFonts w:ascii="Times New Roman" w:hAnsi="Times New Roman" w:cs="Times New Roman"/>
          <w:sz w:val="24"/>
          <w:szCs w:val="24"/>
        </w:rPr>
        <w:t>providing a holistic study o</w:t>
      </w:r>
      <w:r w:rsidR="00FA2068" w:rsidRPr="00355893">
        <w:rPr>
          <w:rFonts w:ascii="Times New Roman" w:hAnsi="Times New Roman" w:cs="Times New Roman"/>
          <w:sz w:val="24"/>
          <w:szCs w:val="24"/>
        </w:rPr>
        <w:t>f</w:t>
      </w:r>
      <w:r w:rsidR="00392C9D" w:rsidRPr="00355893">
        <w:rPr>
          <w:rFonts w:ascii="Times New Roman" w:hAnsi="Times New Roman" w:cs="Times New Roman"/>
          <w:sz w:val="24"/>
          <w:szCs w:val="24"/>
        </w:rPr>
        <w:t xml:space="preserve"> </w:t>
      </w:r>
      <w:r w:rsidR="00FA2068" w:rsidRPr="00355893">
        <w:rPr>
          <w:rFonts w:ascii="Times New Roman" w:hAnsi="Times New Roman" w:cs="Times New Roman"/>
          <w:sz w:val="24"/>
          <w:szCs w:val="24"/>
        </w:rPr>
        <w:t xml:space="preserve">the antecedents of </w:t>
      </w:r>
      <w:r w:rsidR="00CC182B" w:rsidRPr="00355893">
        <w:rPr>
          <w:rFonts w:ascii="Times New Roman" w:hAnsi="Times New Roman" w:cs="Times New Roman"/>
          <w:sz w:val="24"/>
          <w:szCs w:val="24"/>
        </w:rPr>
        <w:t>agility,</w:t>
      </w:r>
      <w:r w:rsidR="00FA2068" w:rsidRPr="00355893">
        <w:rPr>
          <w:rFonts w:ascii="Times New Roman" w:hAnsi="Times New Roman" w:cs="Times New Roman"/>
          <w:sz w:val="24"/>
          <w:szCs w:val="24"/>
        </w:rPr>
        <w:t xml:space="preserve"> </w:t>
      </w:r>
      <w:r w:rsidR="004331E7" w:rsidRPr="00355893">
        <w:rPr>
          <w:rFonts w:ascii="Times New Roman" w:hAnsi="Times New Roman" w:cs="Times New Roman"/>
          <w:sz w:val="24"/>
          <w:szCs w:val="24"/>
        </w:rPr>
        <w:t>adaptability</w:t>
      </w:r>
      <w:r w:rsidR="00CC182B" w:rsidRPr="00355893">
        <w:rPr>
          <w:rFonts w:ascii="Times New Roman" w:hAnsi="Times New Roman" w:cs="Times New Roman"/>
          <w:sz w:val="24"/>
          <w:szCs w:val="24"/>
        </w:rPr>
        <w:t xml:space="preserve"> and alignment</w:t>
      </w:r>
      <w:r w:rsidR="00992A64" w:rsidRPr="00355893">
        <w:rPr>
          <w:rFonts w:ascii="Times New Roman" w:hAnsi="Times New Roman" w:cs="Times New Roman"/>
          <w:sz w:val="24"/>
          <w:szCs w:val="24"/>
        </w:rPr>
        <w:t xml:space="preserve">; (ii) </w:t>
      </w:r>
      <w:r w:rsidR="00227270" w:rsidRPr="00355893">
        <w:rPr>
          <w:rFonts w:ascii="Times New Roman" w:hAnsi="Times New Roman" w:cs="Times New Roman"/>
          <w:sz w:val="24"/>
          <w:szCs w:val="24"/>
        </w:rPr>
        <w:t>investigating</w:t>
      </w:r>
      <w:r w:rsidR="00C163FB" w:rsidRPr="00355893">
        <w:rPr>
          <w:rFonts w:ascii="Times New Roman" w:hAnsi="Times New Roman" w:cs="Times New Roman"/>
          <w:sz w:val="24"/>
          <w:szCs w:val="24"/>
        </w:rPr>
        <w:t xml:space="preserve"> the </w:t>
      </w:r>
      <w:r w:rsidR="008D495B" w:rsidRPr="00355893">
        <w:rPr>
          <w:rFonts w:ascii="Times New Roman" w:hAnsi="Times New Roman" w:cs="Times New Roman"/>
          <w:sz w:val="24"/>
          <w:szCs w:val="24"/>
        </w:rPr>
        <w:t>moderating</w:t>
      </w:r>
      <w:r w:rsidR="00C163FB" w:rsidRPr="00355893">
        <w:rPr>
          <w:rFonts w:ascii="Times New Roman" w:hAnsi="Times New Roman" w:cs="Times New Roman"/>
          <w:sz w:val="24"/>
          <w:szCs w:val="24"/>
        </w:rPr>
        <w:t xml:space="preserve"> role of top management commitment on supply chain agili</w:t>
      </w:r>
      <w:r w:rsidR="00D25A62" w:rsidRPr="00355893">
        <w:rPr>
          <w:rFonts w:ascii="Times New Roman" w:hAnsi="Times New Roman" w:cs="Times New Roman"/>
          <w:sz w:val="24"/>
          <w:szCs w:val="24"/>
        </w:rPr>
        <w:t xml:space="preserve">ty, adaptability and alignment; (iii) </w:t>
      </w:r>
      <w:r w:rsidR="00E379D5" w:rsidRPr="00355893">
        <w:rPr>
          <w:rFonts w:ascii="Times New Roman" w:hAnsi="Times New Roman" w:cs="Times New Roman"/>
          <w:sz w:val="24"/>
          <w:szCs w:val="24"/>
        </w:rPr>
        <w:t>following the RBV</w:t>
      </w:r>
      <w:r w:rsidR="008775EF" w:rsidRPr="00355893">
        <w:rPr>
          <w:rFonts w:ascii="Times New Roman" w:hAnsi="Times New Roman" w:cs="Times New Roman"/>
          <w:sz w:val="24"/>
          <w:szCs w:val="24"/>
        </w:rPr>
        <w:t xml:space="preserve"> and </w:t>
      </w:r>
      <w:r w:rsidR="00D25A62" w:rsidRPr="00355893">
        <w:rPr>
          <w:rFonts w:ascii="Times New Roman" w:hAnsi="Times New Roman" w:cs="Times New Roman"/>
          <w:sz w:val="24"/>
          <w:szCs w:val="24"/>
        </w:rPr>
        <w:t>address</w:t>
      </w:r>
      <w:r w:rsidR="002E464B" w:rsidRPr="00355893">
        <w:rPr>
          <w:rFonts w:ascii="Times New Roman" w:hAnsi="Times New Roman" w:cs="Times New Roman"/>
          <w:sz w:val="24"/>
          <w:szCs w:val="24"/>
        </w:rPr>
        <w:t>ing</w:t>
      </w:r>
      <w:r w:rsidR="00D25A62" w:rsidRPr="00355893">
        <w:rPr>
          <w:rFonts w:ascii="Times New Roman" w:hAnsi="Times New Roman" w:cs="Times New Roman"/>
          <w:sz w:val="24"/>
          <w:szCs w:val="24"/>
        </w:rPr>
        <w:t xml:space="preserve"> calls for </w:t>
      </w:r>
      <w:r w:rsidR="001E7927" w:rsidRPr="00355893">
        <w:rPr>
          <w:rFonts w:ascii="Times New Roman" w:hAnsi="Times New Roman" w:cs="Times New Roman"/>
          <w:sz w:val="24"/>
          <w:szCs w:val="24"/>
        </w:rPr>
        <w:t>investigating</w:t>
      </w:r>
      <w:r w:rsidR="00D25A62" w:rsidRPr="00355893">
        <w:rPr>
          <w:rFonts w:ascii="Times New Roman" w:hAnsi="Times New Roman" w:cs="Times New Roman"/>
          <w:sz w:val="24"/>
          <w:szCs w:val="24"/>
        </w:rPr>
        <w:t xml:space="preserve"> the role of resources in supply chain </w:t>
      </w:r>
      <w:r w:rsidR="009C5E53" w:rsidRPr="00355893">
        <w:rPr>
          <w:rFonts w:ascii="Times New Roman" w:hAnsi="Times New Roman" w:cs="Times New Roman"/>
          <w:sz w:val="24"/>
          <w:szCs w:val="24"/>
        </w:rPr>
        <w:t xml:space="preserve">management, </w:t>
      </w:r>
      <w:r w:rsidR="006F7DA0" w:rsidRPr="00355893">
        <w:rPr>
          <w:rFonts w:ascii="Times New Roman" w:hAnsi="Times New Roman" w:cs="Times New Roman"/>
          <w:sz w:val="24"/>
          <w:szCs w:val="24"/>
        </w:rPr>
        <w:t xml:space="preserve">and for </w:t>
      </w:r>
      <w:r w:rsidR="009C5E53" w:rsidRPr="00355893">
        <w:rPr>
          <w:rFonts w:ascii="Times New Roman" w:hAnsi="Times New Roman" w:cs="Times New Roman"/>
          <w:sz w:val="24"/>
          <w:szCs w:val="24"/>
        </w:rPr>
        <w:t>empirical studies with implications for supply chain design</w:t>
      </w:r>
      <w:r w:rsidR="00FA2068" w:rsidRPr="00355893">
        <w:rPr>
          <w:rFonts w:ascii="Times New Roman" w:hAnsi="Times New Roman" w:cs="Times New Roman"/>
          <w:sz w:val="24"/>
          <w:szCs w:val="24"/>
        </w:rPr>
        <w:t>.</w:t>
      </w:r>
      <w:r w:rsidR="00103AE2" w:rsidRPr="00355893">
        <w:rPr>
          <w:rFonts w:ascii="Times New Roman" w:hAnsi="Times New Roman" w:cs="Times New Roman"/>
          <w:sz w:val="24"/>
          <w:szCs w:val="24"/>
        </w:rPr>
        <w:t xml:space="preserve"> </w:t>
      </w:r>
    </w:p>
    <w:p w14:paraId="01EE4793" w14:textId="10F4BF8D" w:rsidR="00796FB7" w:rsidRPr="00355893" w:rsidRDefault="00796FB7" w:rsidP="00654B52">
      <w:pPr>
        <w:spacing w:line="480" w:lineRule="auto"/>
        <w:jc w:val="both"/>
        <w:rPr>
          <w:rFonts w:ascii="Times New Roman" w:hAnsi="Times New Roman" w:cs="Times New Roman"/>
          <w:b/>
          <w:sz w:val="24"/>
          <w:szCs w:val="24"/>
        </w:rPr>
      </w:pPr>
      <w:r w:rsidRPr="00355893">
        <w:rPr>
          <w:rFonts w:ascii="Times New Roman" w:hAnsi="Times New Roman" w:cs="Times New Roman"/>
          <w:b/>
          <w:sz w:val="24"/>
          <w:szCs w:val="24"/>
        </w:rPr>
        <w:t>Keywords</w:t>
      </w:r>
      <w:r w:rsidR="00431C5D" w:rsidRPr="00355893">
        <w:rPr>
          <w:rFonts w:ascii="Times New Roman" w:hAnsi="Times New Roman" w:cs="Times New Roman"/>
          <w:b/>
          <w:sz w:val="24"/>
          <w:szCs w:val="24"/>
        </w:rPr>
        <w:t xml:space="preserve"> </w:t>
      </w:r>
      <w:r w:rsidR="00431C5D" w:rsidRPr="00355893">
        <w:rPr>
          <w:rFonts w:ascii="Times New Roman" w:hAnsi="Times New Roman" w:cs="Times New Roman"/>
          <w:sz w:val="24"/>
          <w:szCs w:val="24"/>
        </w:rPr>
        <w:t>Supply chain agility, supply chain adaptability,</w:t>
      </w:r>
      <w:r w:rsidR="00D4742A" w:rsidRPr="00355893">
        <w:rPr>
          <w:rFonts w:ascii="Times New Roman" w:hAnsi="Times New Roman" w:cs="Times New Roman"/>
          <w:sz w:val="24"/>
          <w:szCs w:val="24"/>
        </w:rPr>
        <w:t xml:space="preserve"> supply chain </w:t>
      </w:r>
      <w:r w:rsidR="00361431" w:rsidRPr="00355893">
        <w:rPr>
          <w:rFonts w:ascii="Times New Roman" w:hAnsi="Times New Roman" w:cs="Times New Roman"/>
          <w:sz w:val="24"/>
          <w:szCs w:val="24"/>
        </w:rPr>
        <w:t>alignment, resource</w:t>
      </w:r>
      <w:r w:rsidR="00431C5D" w:rsidRPr="00355893">
        <w:rPr>
          <w:rFonts w:ascii="Times New Roman" w:hAnsi="Times New Roman" w:cs="Times New Roman"/>
          <w:sz w:val="24"/>
          <w:szCs w:val="24"/>
        </w:rPr>
        <w:t xml:space="preserve">-based </w:t>
      </w:r>
      <w:r w:rsidR="00361431" w:rsidRPr="00355893">
        <w:rPr>
          <w:rFonts w:ascii="Times New Roman" w:hAnsi="Times New Roman" w:cs="Times New Roman"/>
          <w:sz w:val="24"/>
          <w:szCs w:val="24"/>
        </w:rPr>
        <w:t>view, top</w:t>
      </w:r>
      <w:r w:rsidR="00D4742A" w:rsidRPr="00355893">
        <w:rPr>
          <w:rFonts w:ascii="Times New Roman" w:hAnsi="Times New Roman" w:cs="Times New Roman"/>
          <w:sz w:val="24"/>
          <w:szCs w:val="24"/>
        </w:rPr>
        <w:t xml:space="preserve"> management commitment, </w:t>
      </w:r>
      <w:r w:rsidR="00431C5D" w:rsidRPr="00355893">
        <w:rPr>
          <w:rFonts w:ascii="Times New Roman" w:hAnsi="Times New Roman" w:cs="Times New Roman"/>
          <w:sz w:val="24"/>
          <w:szCs w:val="24"/>
        </w:rPr>
        <w:t>survey.</w:t>
      </w:r>
    </w:p>
    <w:p w14:paraId="25C429EE" w14:textId="1C985F07" w:rsidR="005A3673" w:rsidRDefault="005A3673" w:rsidP="00654B52">
      <w:pPr>
        <w:spacing w:line="480" w:lineRule="auto"/>
        <w:rPr>
          <w:rFonts w:ascii="Garamond" w:hAnsi="Garamond" w:cs="Times New Roman"/>
          <w:sz w:val="24"/>
          <w:szCs w:val="24"/>
        </w:rPr>
      </w:pPr>
    </w:p>
    <w:p w14:paraId="1C826198" w14:textId="77777777" w:rsidR="004067A1" w:rsidRDefault="004067A1" w:rsidP="00654B52">
      <w:pPr>
        <w:spacing w:line="480" w:lineRule="auto"/>
        <w:rPr>
          <w:rFonts w:ascii="Garamond" w:hAnsi="Garamond" w:cs="Times New Roman"/>
          <w:sz w:val="24"/>
          <w:szCs w:val="24"/>
        </w:rPr>
      </w:pPr>
    </w:p>
    <w:p w14:paraId="45591BFF" w14:textId="3E210080" w:rsidR="00005741" w:rsidRPr="005D4C1A" w:rsidRDefault="006D5184" w:rsidP="00654B52">
      <w:pPr>
        <w:spacing w:line="480" w:lineRule="auto"/>
        <w:jc w:val="both"/>
        <w:rPr>
          <w:rFonts w:ascii="Times New Roman" w:hAnsi="Times New Roman" w:cs="Times New Roman"/>
          <w:b/>
          <w:sz w:val="24"/>
          <w:szCs w:val="24"/>
        </w:rPr>
      </w:pPr>
      <w:r w:rsidRPr="005D4C1A">
        <w:rPr>
          <w:rFonts w:ascii="Times New Roman" w:hAnsi="Times New Roman" w:cs="Times New Roman"/>
          <w:b/>
          <w:sz w:val="24"/>
          <w:szCs w:val="24"/>
        </w:rPr>
        <w:lastRenderedPageBreak/>
        <w:t>1.</w:t>
      </w:r>
      <w:r w:rsidR="002378A7" w:rsidRPr="005D4C1A">
        <w:rPr>
          <w:rFonts w:ascii="Times New Roman" w:hAnsi="Times New Roman" w:cs="Times New Roman"/>
          <w:b/>
          <w:sz w:val="24"/>
          <w:szCs w:val="24"/>
        </w:rPr>
        <w:t xml:space="preserve"> </w:t>
      </w:r>
      <w:r w:rsidR="00E45E6B" w:rsidRPr="005D4C1A">
        <w:rPr>
          <w:rFonts w:ascii="Times New Roman" w:hAnsi="Times New Roman" w:cs="Times New Roman"/>
          <w:b/>
          <w:sz w:val="24"/>
          <w:szCs w:val="24"/>
        </w:rPr>
        <w:t>INTRODUCTION</w:t>
      </w:r>
    </w:p>
    <w:p w14:paraId="71462E5D" w14:textId="141222C8" w:rsidR="00570CB4" w:rsidRPr="005D4C1A" w:rsidRDefault="00D41233" w:rsidP="00570CB4">
      <w:pPr>
        <w:pStyle w:val="first"/>
        <w:spacing w:before="0" w:beforeAutospacing="0" w:after="240" w:afterAutospacing="0" w:line="480" w:lineRule="auto"/>
        <w:jc w:val="both"/>
        <w:rPr>
          <w:shd w:val="clear" w:color="auto" w:fill="FFFFFF"/>
        </w:rPr>
      </w:pPr>
      <w:r w:rsidRPr="005D4C1A">
        <w:t>Firms</w:t>
      </w:r>
      <w:r w:rsidR="00FB48D1" w:rsidRPr="005D4C1A">
        <w:t xml:space="preserve"> ope</w:t>
      </w:r>
      <w:r w:rsidR="007D708B" w:rsidRPr="005D4C1A">
        <w:t xml:space="preserve">rating in the globalized era </w:t>
      </w:r>
      <w:r w:rsidR="00A71A32" w:rsidRPr="005D4C1A">
        <w:t xml:space="preserve">need </w:t>
      </w:r>
      <w:r w:rsidR="009739C4" w:rsidRPr="005D4C1A">
        <w:t xml:space="preserve">to </w:t>
      </w:r>
      <w:r w:rsidR="00A71A32" w:rsidRPr="005D4C1A">
        <w:t xml:space="preserve">respond quickly to </w:t>
      </w:r>
      <w:r w:rsidR="003D23EB" w:rsidRPr="005D4C1A">
        <w:t xml:space="preserve">external </w:t>
      </w:r>
      <w:r w:rsidR="00A71A32" w:rsidRPr="005D4C1A">
        <w:t>changes</w:t>
      </w:r>
      <w:r w:rsidR="001841B1" w:rsidRPr="005D4C1A">
        <w:t xml:space="preserve"> (Lee, 2002)</w:t>
      </w:r>
      <w:r w:rsidR="002A20BF" w:rsidRPr="005D4C1A">
        <w:t xml:space="preserve"> and challenges, including uncertainty (Prater et al. 2001; Joshi et al. 2013).</w:t>
      </w:r>
      <w:r w:rsidR="000C56C0" w:rsidRPr="005D4C1A">
        <w:t xml:space="preserve"> T</w:t>
      </w:r>
      <w:r w:rsidR="002012D1" w:rsidRPr="005D4C1A">
        <w:t>hree properties differentiate firms when dealing with these issues</w:t>
      </w:r>
      <w:r w:rsidR="000C56C0" w:rsidRPr="005D4C1A">
        <w:t xml:space="preserve">, </w:t>
      </w:r>
      <w:r w:rsidR="002012D1" w:rsidRPr="005D4C1A">
        <w:t xml:space="preserve">namely </w:t>
      </w:r>
      <w:r w:rsidR="009B28EE" w:rsidRPr="005D4C1A">
        <w:rPr>
          <w:i/>
        </w:rPr>
        <w:t>agility</w:t>
      </w:r>
      <w:r w:rsidR="009B28EE" w:rsidRPr="005D4C1A">
        <w:t xml:space="preserve">, </w:t>
      </w:r>
      <w:r w:rsidR="009B28EE" w:rsidRPr="005D4C1A">
        <w:rPr>
          <w:i/>
        </w:rPr>
        <w:t>adaptability</w:t>
      </w:r>
      <w:r w:rsidR="009B28EE" w:rsidRPr="005D4C1A">
        <w:t xml:space="preserve"> and </w:t>
      </w:r>
      <w:r w:rsidR="009B28EE" w:rsidRPr="005D4C1A">
        <w:rPr>
          <w:i/>
        </w:rPr>
        <w:t>alignment</w:t>
      </w:r>
      <w:r w:rsidR="000C56C0" w:rsidRPr="005D4C1A">
        <w:t xml:space="preserve"> (Lee, 2004</w:t>
      </w:r>
      <w:r w:rsidR="00ED10A0" w:rsidRPr="005D4C1A">
        <w:t>; Lin et al., 2006</w:t>
      </w:r>
      <w:r w:rsidR="000C56C0" w:rsidRPr="005D4C1A">
        <w:t>).</w:t>
      </w:r>
      <w:r w:rsidR="00023D1E" w:rsidRPr="005D4C1A">
        <w:rPr>
          <w:color w:val="00B050"/>
        </w:rPr>
        <w:t xml:space="preserve"> </w:t>
      </w:r>
      <w:r w:rsidR="00594235" w:rsidRPr="005D4C1A">
        <w:rPr>
          <w:shd w:val="clear" w:color="auto" w:fill="FFFFFF"/>
        </w:rPr>
        <w:t>While there is rich body of literature on supply chain agility (Gligor and Holcomb, 2012; Blome et al., 2013; Gligor et al. 2015; Tarafdar and Qrunfleh, 2016), research on</w:t>
      </w:r>
      <w:r w:rsidR="006B0664" w:rsidRPr="005D4C1A">
        <w:rPr>
          <w:shd w:val="clear" w:color="auto" w:fill="FFFFFF"/>
        </w:rPr>
        <w:t xml:space="preserve"> the combined effect of </w:t>
      </w:r>
      <w:r w:rsidR="00594235" w:rsidRPr="005D4C1A">
        <w:rPr>
          <w:shd w:val="clear" w:color="auto" w:fill="FFFFFF"/>
        </w:rPr>
        <w:t>agility, adaptability and alignment</w:t>
      </w:r>
      <w:r w:rsidR="006B0664" w:rsidRPr="005D4C1A">
        <w:rPr>
          <w:shd w:val="clear" w:color="auto" w:fill="FFFFFF"/>
        </w:rPr>
        <w:t xml:space="preserve"> </w:t>
      </w:r>
      <w:r w:rsidR="00B76A7F" w:rsidRPr="005D4C1A">
        <w:rPr>
          <w:shd w:val="clear" w:color="auto" w:fill="FFFFFF"/>
        </w:rPr>
        <w:t>is scant apart from few notable exceptions (</w:t>
      </w:r>
      <w:r w:rsidR="00324BE7" w:rsidRPr="005D4C1A">
        <w:rPr>
          <w:shd w:val="clear" w:color="auto" w:fill="FFFFFF"/>
        </w:rPr>
        <w:t xml:space="preserve">Lee, 2004; </w:t>
      </w:r>
      <w:r w:rsidR="009B40B6" w:rsidRPr="005D4C1A">
        <w:rPr>
          <w:shd w:val="clear" w:color="auto" w:fill="FFFFFF"/>
        </w:rPr>
        <w:t>W</w:t>
      </w:r>
      <w:r w:rsidR="00B76A7F" w:rsidRPr="005D4C1A">
        <w:rPr>
          <w:shd w:val="clear" w:color="auto" w:fill="FFFFFF"/>
        </w:rPr>
        <w:t xml:space="preserve">hitten et al., 2012; Eckstein et al., 2015). </w:t>
      </w:r>
      <w:r w:rsidR="00E73768" w:rsidRPr="005D4C1A">
        <w:rPr>
          <w:shd w:val="clear" w:color="auto" w:fill="FFFFFF"/>
        </w:rPr>
        <w:t>These focuses</w:t>
      </w:r>
      <w:r w:rsidR="00570CB4" w:rsidRPr="005D4C1A">
        <w:rPr>
          <w:shd w:val="clear" w:color="auto" w:fill="FFFFFF"/>
        </w:rPr>
        <w:t xml:space="preserve"> on the impact of </w:t>
      </w:r>
      <w:r w:rsidR="00CC182B" w:rsidRPr="005D4C1A">
        <w:rPr>
          <w:shd w:val="clear" w:color="auto" w:fill="FFFFFF"/>
        </w:rPr>
        <w:t xml:space="preserve">the </w:t>
      </w:r>
      <w:r w:rsidR="00570CB4" w:rsidRPr="005D4C1A">
        <w:rPr>
          <w:shd w:val="clear" w:color="auto" w:fill="FFFFFF"/>
        </w:rPr>
        <w:t>combination of agility, adaptability and alignment on supply chain performance (Whitten et al. 2012)</w:t>
      </w:r>
      <w:r w:rsidR="00F87F3F" w:rsidRPr="005D4C1A">
        <w:rPr>
          <w:shd w:val="clear" w:color="auto" w:fill="FFFFFF"/>
        </w:rPr>
        <w:t>,</w:t>
      </w:r>
      <w:r w:rsidR="00570CB4" w:rsidRPr="005D4C1A">
        <w:rPr>
          <w:shd w:val="clear" w:color="auto" w:fill="FFFFFF"/>
        </w:rPr>
        <w:t xml:space="preserve"> </w:t>
      </w:r>
      <w:r w:rsidR="00F87F3F" w:rsidRPr="005D4C1A">
        <w:rPr>
          <w:shd w:val="clear" w:color="auto" w:fill="FFFFFF"/>
        </w:rPr>
        <w:t>or</w:t>
      </w:r>
      <w:r w:rsidR="000269E6" w:rsidRPr="005D4C1A">
        <w:rPr>
          <w:shd w:val="clear" w:color="auto" w:fill="FFFFFF"/>
        </w:rPr>
        <w:t xml:space="preserve"> on</w:t>
      </w:r>
      <w:r w:rsidR="00570CB4" w:rsidRPr="005D4C1A">
        <w:rPr>
          <w:shd w:val="clear" w:color="auto" w:fill="FFFFFF"/>
        </w:rPr>
        <w:t xml:space="preserve"> the impact of supply chain agility and adaptability on cost performance and operational performance under the moderatin</w:t>
      </w:r>
      <w:r w:rsidR="00F87F3F" w:rsidRPr="005D4C1A">
        <w:rPr>
          <w:shd w:val="clear" w:color="auto" w:fill="FFFFFF"/>
        </w:rPr>
        <w:t xml:space="preserve">g effects of product complexity (Eckstein et al., 2015). </w:t>
      </w:r>
    </w:p>
    <w:p w14:paraId="6DD0DB84" w14:textId="011F197C" w:rsidR="00BF0293" w:rsidRPr="005D4C1A" w:rsidRDefault="00B44842" w:rsidP="00B77637">
      <w:pPr>
        <w:pStyle w:val="first"/>
        <w:tabs>
          <w:tab w:val="left" w:pos="6938"/>
        </w:tabs>
        <w:spacing w:before="0" w:beforeAutospacing="0" w:after="240" w:afterAutospacing="0" w:line="480" w:lineRule="auto"/>
        <w:jc w:val="both"/>
        <w:rPr>
          <w:shd w:val="clear" w:color="auto" w:fill="FFFFFF"/>
        </w:rPr>
      </w:pPr>
      <w:r w:rsidRPr="005D4C1A">
        <w:rPr>
          <w:shd w:val="clear" w:color="auto" w:fill="FFFFFF"/>
        </w:rPr>
        <w:t>This study applies the resource-based view (RBV)</w:t>
      </w:r>
      <w:r w:rsidR="004747B8">
        <w:rPr>
          <w:shd w:val="clear" w:color="auto" w:fill="FFFFFF"/>
        </w:rPr>
        <w:t xml:space="preserve"> (Barney, 1991)</w:t>
      </w:r>
      <w:r w:rsidR="005D5E77" w:rsidRPr="005D4C1A">
        <w:rPr>
          <w:shd w:val="clear" w:color="auto" w:fill="FFFFFF"/>
        </w:rPr>
        <w:t xml:space="preserve"> to help </w:t>
      </w:r>
      <w:r w:rsidR="008D4C79" w:rsidRPr="005D4C1A">
        <w:rPr>
          <w:shd w:val="clear" w:color="auto" w:fill="FFFFFF"/>
        </w:rPr>
        <w:t>understand when</w:t>
      </w:r>
      <w:r w:rsidR="005D5E77" w:rsidRPr="005D4C1A">
        <w:t xml:space="preserve"> and how organizations create agility, adaptability, and alignment as distinct supply chain properties to gain sustainable competitive advantage.</w:t>
      </w:r>
      <w:r w:rsidR="001E11F4" w:rsidRPr="005D4C1A">
        <w:t xml:space="preserve"> </w:t>
      </w:r>
      <w:r w:rsidR="00235A7F" w:rsidRPr="005D4C1A">
        <w:rPr>
          <w:shd w:val="clear" w:color="auto" w:fill="FFFFFF"/>
        </w:rPr>
        <w:t xml:space="preserve">In </w:t>
      </w:r>
      <w:r w:rsidR="001A2B21">
        <w:rPr>
          <w:shd w:val="clear" w:color="auto" w:fill="FFFFFF"/>
        </w:rPr>
        <w:t xml:space="preserve">operations management and supply chain </w:t>
      </w:r>
      <w:r w:rsidR="00E73768">
        <w:rPr>
          <w:shd w:val="clear" w:color="auto" w:fill="FFFFFF"/>
        </w:rPr>
        <w:t xml:space="preserve">management </w:t>
      </w:r>
      <w:r w:rsidR="00E73768" w:rsidRPr="005D4C1A">
        <w:rPr>
          <w:shd w:val="clear" w:color="auto" w:fill="FFFFFF"/>
        </w:rPr>
        <w:t>literature</w:t>
      </w:r>
      <w:r w:rsidR="00235A7F" w:rsidRPr="005D4C1A">
        <w:rPr>
          <w:shd w:val="clear" w:color="auto" w:fill="FFFFFF"/>
        </w:rPr>
        <w:t xml:space="preserve">, RBV </w:t>
      </w:r>
      <w:r w:rsidR="00E26281" w:rsidRPr="005D4C1A">
        <w:rPr>
          <w:shd w:val="clear" w:color="auto" w:fill="FFFFFF"/>
        </w:rPr>
        <w:t>has highlighted</w:t>
      </w:r>
      <w:r w:rsidR="00235A7F" w:rsidRPr="005D4C1A">
        <w:rPr>
          <w:shd w:val="clear" w:color="auto" w:fill="FFFFFF"/>
        </w:rPr>
        <w:t xml:space="preserve"> the significance of resource heterogeneity, allocation, independency, utilization, and imitability in creating capabilities for the achievement of competitive advantage (Miller and Ross, 2003; </w:t>
      </w:r>
      <w:r w:rsidR="006F7DA0" w:rsidRPr="005D4C1A">
        <w:rPr>
          <w:shd w:val="clear" w:color="auto" w:fill="FFFFFF"/>
        </w:rPr>
        <w:t xml:space="preserve">Walker et al. 2015; Hitt et al. 2016, 2016a; </w:t>
      </w:r>
      <w:r w:rsidR="00235A7F" w:rsidRPr="005D4C1A">
        <w:rPr>
          <w:shd w:val="clear" w:color="auto" w:fill="FFFFFF"/>
        </w:rPr>
        <w:t>Ketokivi, 2016</w:t>
      </w:r>
      <w:r w:rsidR="005E4744" w:rsidRPr="005D4C1A">
        <w:rPr>
          <w:shd w:val="clear" w:color="auto" w:fill="FFFFFF"/>
        </w:rPr>
        <w:t xml:space="preserve">). </w:t>
      </w:r>
      <w:r w:rsidR="001E11F4" w:rsidRPr="005D4C1A">
        <w:t xml:space="preserve">In this </w:t>
      </w:r>
      <w:r w:rsidR="00CC182B" w:rsidRPr="005D4C1A">
        <w:t>study,</w:t>
      </w:r>
      <w:r w:rsidR="001E11F4" w:rsidRPr="005D4C1A">
        <w:t xml:space="preserve"> </w:t>
      </w:r>
      <w:r w:rsidR="00920B43" w:rsidRPr="005D4C1A">
        <w:t xml:space="preserve">we investigate </w:t>
      </w:r>
      <w:r w:rsidR="00302689" w:rsidRPr="005D4C1A">
        <w:t xml:space="preserve">visibility as an important </w:t>
      </w:r>
      <w:r w:rsidR="009F6859" w:rsidRPr="005D4C1A">
        <w:t xml:space="preserve">capability and </w:t>
      </w:r>
      <w:r w:rsidR="00302689" w:rsidRPr="005D4C1A">
        <w:t>antecedent of agility, adaptability, and alignment</w:t>
      </w:r>
      <w:r w:rsidR="00A975A2" w:rsidRPr="005D4C1A">
        <w:t xml:space="preserve">. </w:t>
      </w:r>
      <w:r w:rsidR="00227887" w:rsidRPr="005D4C1A">
        <w:rPr>
          <w:shd w:val="clear" w:color="auto" w:fill="FFFFFF"/>
        </w:rPr>
        <w:t>V</w:t>
      </w:r>
      <w:r w:rsidR="00E87D54" w:rsidRPr="005D4C1A">
        <w:rPr>
          <w:shd w:val="clear" w:color="auto" w:fill="FFFFFF"/>
        </w:rPr>
        <w:t xml:space="preserve">isibility </w:t>
      </w:r>
      <w:r w:rsidR="00227887" w:rsidRPr="005D4C1A">
        <w:rPr>
          <w:shd w:val="clear" w:color="auto" w:fill="FFFFFF"/>
        </w:rPr>
        <w:t xml:space="preserve">is </w:t>
      </w:r>
      <w:r w:rsidR="00E87D54" w:rsidRPr="005D4C1A">
        <w:rPr>
          <w:shd w:val="clear" w:color="auto" w:fill="FFFFFF"/>
        </w:rPr>
        <w:t xml:space="preserve">the ability of the supply chain to enable access and sharing of information across the supply chain partners (Lamming et al., 2001). </w:t>
      </w:r>
      <w:r w:rsidR="006D0116">
        <w:t>Ba</w:t>
      </w:r>
      <w:r w:rsidR="00652C51">
        <w:t>rratt and Oke (</w:t>
      </w:r>
      <w:r w:rsidR="006D0116">
        <w:t xml:space="preserve"> 2007</w:t>
      </w:r>
      <w:r w:rsidR="00A975A2" w:rsidRPr="005D4C1A">
        <w:t xml:space="preserve">) have illustrated the importance of visibility in establishing or breaking relationships between supply chain partners, </w:t>
      </w:r>
      <w:r w:rsidR="00B72875" w:rsidRPr="005D4C1A">
        <w:t xml:space="preserve">obtaining a shared understanding and access to information that </w:t>
      </w:r>
      <w:r w:rsidR="00EB7BC1" w:rsidRPr="005D4C1A">
        <w:t>partners</w:t>
      </w:r>
      <w:r w:rsidR="00B72875" w:rsidRPr="005D4C1A">
        <w:t xml:space="preserve"> request without “loss, noise, delay and distortion” </w:t>
      </w:r>
      <w:r w:rsidR="00B72875" w:rsidRPr="005D4C1A">
        <w:lastRenderedPageBreak/>
        <w:t>(Hofstede, 2003, p. 18)</w:t>
      </w:r>
      <w:r w:rsidR="00C43B67" w:rsidRPr="005D4C1A">
        <w:t>, monitoring inventory (Petersen et al., 2005), and supply chain responsiveness (</w:t>
      </w:r>
      <w:r w:rsidR="00FE0271" w:rsidRPr="005D4C1A">
        <w:t>W</w:t>
      </w:r>
      <w:r w:rsidR="00C43B67" w:rsidRPr="005D4C1A">
        <w:rPr>
          <w:shd w:val="clear" w:color="auto" w:fill="FFFFFF"/>
        </w:rPr>
        <w:t xml:space="preserve">illiams et al., </w:t>
      </w:r>
      <w:r w:rsidR="00FE0271" w:rsidRPr="005D4C1A">
        <w:rPr>
          <w:shd w:val="clear" w:color="auto" w:fill="FFFFFF"/>
        </w:rPr>
        <w:t>2013).</w:t>
      </w:r>
      <w:r w:rsidR="009600DF" w:rsidRPr="005D4C1A">
        <w:rPr>
          <w:shd w:val="clear" w:color="auto" w:fill="FFFFFF"/>
        </w:rPr>
        <w:t xml:space="preserve"> </w:t>
      </w:r>
      <w:r w:rsidR="00C43B67" w:rsidRPr="005D4C1A">
        <w:rPr>
          <w:shd w:val="clear" w:color="auto" w:fill="FFFFFF"/>
        </w:rPr>
        <w:t xml:space="preserve">In obtaining visibility, our study investigates two </w:t>
      </w:r>
      <w:r w:rsidR="008C4D7F" w:rsidRPr="005D4C1A">
        <w:rPr>
          <w:shd w:val="clear" w:color="auto" w:fill="FFFFFF"/>
        </w:rPr>
        <w:t>critical resources, that is, connectivity and information sharing</w:t>
      </w:r>
      <w:r w:rsidR="00A45D52" w:rsidRPr="005D4C1A">
        <w:rPr>
          <w:shd w:val="clear" w:color="auto" w:fill="FFFFFF"/>
        </w:rPr>
        <w:t xml:space="preserve">. </w:t>
      </w:r>
      <w:r w:rsidR="00983BA6" w:rsidRPr="005D4C1A">
        <w:rPr>
          <w:shd w:val="clear" w:color="auto" w:fill="FFFFFF"/>
        </w:rPr>
        <w:t xml:space="preserve">Fawcett et al. (2011) and Brandon-Jones et al. (2014) have described connectivity as an organization’s ability to gather and share information through use of information and communication technologies (ICTs), whereas </w:t>
      </w:r>
      <w:r w:rsidR="008D4C79" w:rsidRPr="005D4C1A">
        <w:rPr>
          <w:shd w:val="clear" w:color="auto" w:fill="FFFFFF"/>
        </w:rPr>
        <w:t xml:space="preserve">Zhu and Kraemer (2002) have noted </w:t>
      </w:r>
      <w:r w:rsidR="00F71F29" w:rsidRPr="005D4C1A">
        <w:rPr>
          <w:shd w:val="clear" w:color="auto" w:fill="FFFFFF"/>
        </w:rPr>
        <w:t xml:space="preserve">that </w:t>
      </w:r>
      <w:r w:rsidR="008D4C79" w:rsidRPr="005D4C1A">
        <w:rPr>
          <w:shd w:val="clear" w:color="auto" w:fill="FFFFFF"/>
        </w:rPr>
        <w:t>connectivity</w:t>
      </w:r>
      <w:r w:rsidR="00B75A3E" w:rsidRPr="005D4C1A">
        <w:rPr>
          <w:shd w:val="clear" w:color="auto" w:fill="FFFFFF"/>
        </w:rPr>
        <w:t>, which is an important tangible resource that facilitates information sharing,</w:t>
      </w:r>
      <w:r w:rsidR="008D4C79" w:rsidRPr="005D4C1A">
        <w:rPr>
          <w:shd w:val="clear" w:color="auto" w:fill="FFFFFF"/>
        </w:rPr>
        <w:t xml:space="preserve"> refers to IT </w:t>
      </w:r>
      <w:r w:rsidR="00B00E3D" w:rsidRPr="005D4C1A">
        <w:rPr>
          <w:shd w:val="clear" w:color="auto" w:fill="FFFFFF"/>
        </w:rPr>
        <w:t>infrastructure</w:t>
      </w:r>
      <w:r w:rsidR="008D4C79" w:rsidRPr="005D4C1A">
        <w:rPr>
          <w:shd w:val="clear" w:color="auto" w:fill="FFFFFF"/>
        </w:rPr>
        <w:t>.</w:t>
      </w:r>
      <w:r w:rsidR="00B75A3E" w:rsidRPr="005D4C1A">
        <w:rPr>
          <w:shd w:val="clear" w:color="auto" w:fill="FFFFFF"/>
        </w:rPr>
        <w:t xml:space="preserve"> Information sharing has to do with the “nature, speed, and quality of the information being conveyed” (Brandon-Jones et al., 2014: p. 56;).</w:t>
      </w:r>
      <w:r w:rsidR="00757E29" w:rsidRPr="005D4C1A">
        <w:rPr>
          <w:shd w:val="clear" w:color="auto" w:fill="FFFFFF"/>
        </w:rPr>
        <w:t xml:space="preserve"> </w:t>
      </w:r>
      <w:r w:rsidR="00BF0293" w:rsidRPr="005D4C1A">
        <w:t>Brandon-Jones et al. (2014) have utilised</w:t>
      </w:r>
      <w:r w:rsidR="00573BA2" w:rsidRPr="005D4C1A">
        <w:t xml:space="preserve"> the</w:t>
      </w:r>
      <w:r w:rsidR="00BF0293" w:rsidRPr="005D4C1A">
        <w:t xml:space="preserve"> RBV to study the relationship between information sharing and supply chain connectivity (resources) to supply chain visibility (capability) and performance in terms of supply chain resilience and robustness. However, they have not investigated the role of these resources </w:t>
      </w:r>
      <w:r w:rsidR="00CF1780" w:rsidRPr="005D4C1A">
        <w:t>for supply chain</w:t>
      </w:r>
      <w:r w:rsidR="00BF0293" w:rsidRPr="005D4C1A">
        <w:t xml:space="preserve"> agility, adaptability, and alignment.</w:t>
      </w:r>
    </w:p>
    <w:p w14:paraId="3A64927A" w14:textId="00A6B54C" w:rsidR="00F84813" w:rsidRPr="005D4C1A" w:rsidRDefault="00A50B89" w:rsidP="005413B6">
      <w:pPr>
        <w:pStyle w:val="first"/>
        <w:spacing w:before="0" w:beforeAutospacing="0" w:after="240" w:afterAutospacing="0" w:line="480" w:lineRule="auto"/>
        <w:jc w:val="both"/>
        <w:rPr>
          <w:shd w:val="clear" w:color="auto" w:fill="FFFFFF"/>
        </w:rPr>
      </w:pPr>
      <w:r w:rsidRPr="005D4C1A">
        <w:rPr>
          <w:shd w:val="clear" w:color="auto" w:fill="FFFFFF"/>
        </w:rPr>
        <w:t xml:space="preserve">Following </w:t>
      </w:r>
      <w:r w:rsidR="003F16D6" w:rsidRPr="005D4C1A">
        <w:rPr>
          <w:shd w:val="clear" w:color="auto" w:fill="FFFFFF"/>
        </w:rPr>
        <w:t>the</w:t>
      </w:r>
      <w:r w:rsidRPr="005D4C1A">
        <w:rPr>
          <w:shd w:val="clear" w:color="auto" w:fill="FFFFFF"/>
        </w:rPr>
        <w:t xml:space="preserve"> RBV perspective, we argue</w:t>
      </w:r>
      <w:r w:rsidR="00757E29" w:rsidRPr="005D4C1A">
        <w:rPr>
          <w:shd w:val="clear" w:color="auto" w:fill="FFFFFF"/>
        </w:rPr>
        <w:t xml:space="preserve"> </w:t>
      </w:r>
      <w:r w:rsidRPr="005D4C1A">
        <w:rPr>
          <w:shd w:val="clear" w:color="auto" w:fill="FFFFFF"/>
        </w:rPr>
        <w:t xml:space="preserve">that </w:t>
      </w:r>
      <w:r w:rsidR="0052213C" w:rsidRPr="005D4C1A">
        <w:rPr>
          <w:shd w:val="clear" w:color="auto" w:fill="FFFFFF"/>
        </w:rPr>
        <w:t>the creation of capabilities involve</w:t>
      </w:r>
      <w:r w:rsidR="00C8183F" w:rsidRPr="005D4C1A">
        <w:rPr>
          <w:shd w:val="clear" w:color="auto" w:fill="FFFFFF"/>
        </w:rPr>
        <w:t>s</w:t>
      </w:r>
      <w:r w:rsidR="0052213C" w:rsidRPr="005D4C1A">
        <w:rPr>
          <w:shd w:val="clear" w:color="auto" w:fill="FFFFFF"/>
        </w:rPr>
        <w:t xml:space="preserve"> complex patterns of coordination bet</w:t>
      </w:r>
      <w:r w:rsidR="00A70F01" w:rsidRPr="005D4C1A">
        <w:rPr>
          <w:shd w:val="clear" w:color="auto" w:fill="FFFFFF"/>
        </w:rPr>
        <w:t xml:space="preserve">ween people and other resources where </w:t>
      </w:r>
      <w:r w:rsidR="00C4341D" w:rsidRPr="005D4C1A">
        <w:rPr>
          <w:shd w:val="clear" w:color="auto" w:fill="FFFFFF"/>
        </w:rPr>
        <w:t>organizational members are critical components</w:t>
      </w:r>
      <w:r w:rsidR="00046F60" w:rsidRPr="005D4C1A">
        <w:rPr>
          <w:shd w:val="clear" w:color="auto" w:fill="FFFFFF"/>
        </w:rPr>
        <w:t xml:space="preserve"> (Grant, </w:t>
      </w:r>
      <w:r w:rsidR="0052213C" w:rsidRPr="005D4C1A">
        <w:rPr>
          <w:shd w:val="clear" w:color="auto" w:fill="FFFFFF"/>
        </w:rPr>
        <w:t>1991)</w:t>
      </w:r>
      <w:r w:rsidR="00046F60" w:rsidRPr="005D4C1A">
        <w:rPr>
          <w:shd w:val="clear" w:color="auto" w:fill="FFFFFF"/>
        </w:rPr>
        <w:t>.</w:t>
      </w:r>
      <w:r w:rsidR="000A1F75" w:rsidRPr="005D4C1A">
        <w:rPr>
          <w:shd w:val="clear" w:color="auto" w:fill="FFFFFF"/>
        </w:rPr>
        <w:t xml:space="preserve"> </w:t>
      </w:r>
      <w:r w:rsidR="00984DE9" w:rsidRPr="005D4C1A">
        <w:rPr>
          <w:shd w:val="clear" w:color="auto" w:fill="FFFFFF"/>
        </w:rPr>
        <w:t>T</w:t>
      </w:r>
      <w:r w:rsidR="00C80E48" w:rsidRPr="005D4C1A">
        <w:rPr>
          <w:shd w:val="clear" w:color="auto" w:fill="FFFFFF"/>
        </w:rPr>
        <w:t>op manager</w:t>
      </w:r>
      <w:r w:rsidR="00EB4111" w:rsidRPr="005D4C1A">
        <w:rPr>
          <w:shd w:val="clear" w:color="auto" w:fill="FFFFFF"/>
        </w:rPr>
        <w:t xml:space="preserve">s </w:t>
      </w:r>
      <w:r w:rsidR="002A18BA" w:rsidRPr="005D4C1A">
        <w:rPr>
          <w:shd w:val="clear" w:color="auto" w:fill="FFFFFF"/>
        </w:rPr>
        <w:t xml:space="preserve">need to </w:t>
      </w:r>
      <w:r w:rsidR="00C80E48" w:rsidRPr="005D4C1A">
        <w:rPr>
          <w:shd w:val="clear" w:color="auto" w:fill="FFFFFF"/>
        </w:rPr>
        <w:t>be committed in motivating and socializing</w:t>
      </w:r>
      <w:r w:rsidR="00534B93" w:rsidRPr="005D4C1A">
        <w:rPr>
          <w:shd w:val="clear" w:color="auto" w:fill="FFFFFF"/>
        </w:rPr>
        <w:t xml:space="preserve"> </w:t>
      </w:r>
      <w:r w:rsidR="007D2A85" w:rsidRPr="005D4C1A">
        <w:rPr>
          <w:shd w:val="clear" w:color="auto" w:fill="FFFFFF"/>
        </w:rPr>
        <w:t>organizational</w:t>
      </w:r>
      <w:r w:rsidR="00534B93" w:rsidRPr="005D4C1A">
        <w:rPr>
          <w:shd w:val="clear" w:color="auto" w:fill="FFFFFF"/>
        </w:rPr>
        <w:t xml:space="preserve"> members in a manner conducive to the development </w:t>
      </w:r>
      <w:r w:rsidR="009B3409" w:rsidRPr="005D4C1A">
        <w:rPr>
          <w:shd w:val="clear" w:color="auto" w:fill="FFFFFF"/>
        </w:rPr>
        <w:t>of smooth-functioning routines</w:t>
      </w:r>
      <w:r w:rsidR="00534B93" w:rsidRPr="005D4C1A">
        <w:rPr>
          <w:shd w:val="clear" w:color="auto" w:fill="FFFFFF"/>
        </w:rPr>
        <w:t>.</w:t>
      </w:r>
      <w:r w:rsidR="00CD7FA5" w:rsidRPr="005D4C1A">
        <w:rPr>
          <w:shd w:val="clear" w:color="auto" w:fill="FFFFFF"/>
        </w:rPr>
        <w:t xml:space="preserve"> </w:t>
      </w:r>
      <w:r w:rsidR="004707B1" w:rsidRPr="005D4C1A">
        <w:rPr>
          <w:shd w:val="clear" w:color="auto" w:fill="FFFFFF"/>
        </w:rPr>
        <w:t>Hence, t</w:t>
      </w:r>
      <w:r w:rsidR="00CD7FA5" w:rsidRPr="005D4C1A">
        <w:rPr>
          <w:shd w:val="clear" w:color="auto" w:fill="FFFFFF"/>
        </w:rPr>
        <w:t xml:space="preserve">op management commitment (TMC) is important in explaining the </w:t>
      </w:r>
      <w:r w:rsidR="00CD7FA5" w:rsidRPr="005D4C1A">
        <w:t xml:space="preserve">relationship between </w:t>
      </w:r>
      <w:r w:rsidR="008D2F82" w:rsidRPr="005D4C1A">
        <w:t xml:space="preserve">acquiring </w:t>
      </w:r>
      <w:r w:rsidR="00CD7FA5" w:rsidRPr="005D4C1A">
        <w:t xml:space="preserve">resources and </w:t>
      </w:r>
      <w:r w:rsidR="008D2F82" w:rsidRPr="005D4C1A">
        <w:t>creating capabilities</w:t>
      </w:r>
      <w:r w:rsidR="00CD7FA5" w:rsidRPr="005D4C1A">
        <w:t>.</w:t>
      </w:r>
      <w:r w:rsidR="001479BC" w:rsidRPr="005D4C1A">
        <w:t xml:space="preserve"> </w:t>
      </w:r>
      <w:r w:rsidR="003B44C9" w:rsidRPr="005D4C1A">
        <w:rPr>
          <w:shd w:val="clear" w:color="auto" w:fill="FFFFFF"/>
        </w:rPr>
        <w:t xml:space="preserve">TMC has received significant attention </w:t>
      </w:r>
      <w:r w:rsidR="005B1A39" w:rsidRPr="005D4C1A">
        <w:rPr>
          <w:shd w:val="clear" w:color="auto" w:fill="FFFFFF"/>
        </w:rPr>
        <w:t>in the fields of</w:t>
      </w:r>
      <w:r w:rsidR="003B44C9" w:rsidRPr="005D4C1A">
        <w:rPr>
          <w:shd w:val="clear" w:color="auto" w:fill="FFFFFF"/>
        </w:rPr>
        <w:t xml:space="preserve"> ecological responsiveness (Colwell and Joshi, 2013) and enterprise resource planning (ERP) assimilation (Liang et al. 2007). </w:t>
      </w:r>
      <w:r w:rsidR="00166EE4" w:rsidRPr="005D4C1A">
        <w:rPr>
          <w:shd w:val="clear" w:color="auto" w:fill="FFFFFF"/>
        </w:rPr>
        <w:t xml:space="preserve">In an earlier study, </w:t>
      </w:r>
      <w:r w:rsidR="00975D68" w:rsidRPr="005D4C1A">
        <w:rPr>
          <w:shd w:val="clear" w:color="auto" w:fill="FFFFFF"/>
        </w:rPr>
        <w:t xml:space="preserve">Lado and Wilson (1994) </w:t>
      </w:r>
      <w:r w:rsidR="007D6299" w:rsidRPr="005D4C1A">
        <w:rPr>
          <w:shd w:val="clear" w:color="auto" w:fill="FFFFFF"/>
        </w:rPr>
        <w:t xml:space="preserve">investigated the role of </w:t>
      </w:r>
      <w:r w:rsidR="004E65D9" w:rsidRPr="005D4C1A">
        <w:rPr>
          <w:shd w:val="clear" w:color="auto" w:fill="FFFFFF"/>
        </w:rPr>
        <w:t>managerial competencies</w:t>
      </w:r>
      <w:r w:rsidR="00175117" w:rsidRPr="005D4C1A">
        <w:rPr>
          <w:shd w:val="clear" w:color="auto" w:fill="FFFFFF"/>
        </w:rPr>
        <w:t xml:space="preserve"> and capabilities in determining</w:t>
      </w:r>
      <w:r w:rsidR="00975D68" w:rsidRPr="005D4C1A">
        <w:rPr>
          <w:shd w:val="clear" w:color="auto" w:fill="FFFFFF"/>
        </w:rPr>
        <w:t xml:space="preserve"> the acquisition, development and deployment of organisational resources and the translation of these resources into desired </w:t>
      </w:r>
      <w:r w:rsidR="00A77B15" w:rsidRPr="005D4C1A">
        <w:rPr>
          <w:shd w:val="clear" w:color="auto" w:fill="FFFFFF"/>
        </w:rPr>
        <w:t>capabilities</w:t>
      </w:r>
      <w:r w:rsidR="00975D68" w:rsidRPr="005D4C1A">
        <w:rPr>
          <w:shd w:val="clear" w:color="auto" w:fill="FFFFFF"/>
        </w:rPr>
        <w:t xml:space="preserve"> </w:t>
      </w:r>
      <w:r w:rsidR="003F40F8" w:rsidRPr="005D4C1A">
        <w:rPr>
          <w:shd w:val="clear" w:color="auto" w:fill="FFFFFF"/>
        </w:rPr>
        <w:t xml:space="preserve">that </w:t>
      </w:r>
      <w:r w:rsidR="00975D68" w:rsidRPr="005D4C1A">
        <w:rPr>
          <w:shd w:val="clear" w:color="auto" w:fill="FFFFFF"/>
        </w:rPr>
        <w:t xml:space="preserve">can provide sustainable competitive advantage. </w:t>
      </w:r>
    </w:p>
    <w:p w14:paraId="6EC8CF0B" w14:textId="65922541" w:rsidR="00C145C2" w:rsidRPr="005D4C1A" w:rsidRDefault="004A4C95" w:rsidP="002F1CB0">
      <w:pPr>
        <w:pStyle w:val="first"/>
        <w:spacing w:before="0" w:beforeAutospacing="0" w:after="240" w:afterAutospacing="0" w:line="480" w:lineRule="auto"/>
        <w:jc w:val="both"/>
        <w:rPr>
          <w:shd w:val="clear" w:color="auto" w:fill="FFFFFF"/>
        </w:rPr>
      </w:pPr>
      <w:r w:rsidRPr="005D4C1A">
        <w:rPr>
          <w:shd w:val="clear" w:color="auto" w:fill="FFFFFF"/>
        </w:rPr>
        <w:lastRenderedPageBreak/>
        <w:t xml:space="preserve">This study </w:t>
      </w:r>
      <w:r w:rsidRPr="005D4C1A">
        <w:t xml:space="preserve">uses </w:t>
      </w:r>
      <w:r w:rsidRPr="005D4C1A">
        <w:rPr>
          <w:shd w:val="clear" w:color="auto" w:fill="FFFFFF"/>
        </w:rPr>
        <w:t xml:space="preserve">theory focused research (Ketchen and Hult, 2007; Choi and Wacker, 2011). </w:t>
      </w:r>
      <w:r w:rsidR="00757052" w:rsidRPr="005D4C1A">
        <w:t>D</w:t>
      </w:r>
      <w:r w:rsidR="00091C83" w:rsidRPr="005D4C1A">
        <w:t xml:space="preserve">ata was collected </w:t>
      </w:r>
      <w:r w:rsidR="002F1CB0" w:rsidRPr="005D4C1A">
        <w:rPr>
          <w:shd w:val="clear" w:color="auto" w:fill="FFFFFF"/>
        </w:rPr>
        <w:t>from 351 supply chain management managers</w:t>
      </w:r>
      <w:r w:rsidR="00F31CC6" w:rsidRPr="005D4C1A">
        <w:rPr>
          <w:shd w:val="clear" w:color="auto" w:fill="FFFFFF"/>
        </w:rPr>
        <w:t xml:space="preserve"> in the </w:t>
      </w:r>
      <w:r w:rsidR="00E557FE" w:rsidRPr="005D4C1A">
        <w:rPr>
          <w:shd w:val="clear" w:color="auto" w:fill="FFFFFF"/>
        </w:rPr>
        <w:t xml:space="preserve">Indian auto component manufacturing </w:t>
      </w:r>
      <w:r w:rsidR="00F31CC6" w:rsidRPr="005D4C1A">
        <w:rPr>
          <w:shd w:val="clear" w:color="auto" w:fill="FFFFFF"/>
        </w:rPr>
        <w:t>industry.</w:t>
      </w:r>
      <w:r w:rsidR="00715C9D" w:rsidRPr="005D4C1A">
        <w:rPr>
          <w:shd w:val="clear" w:color="auto" w:fill="FFFFFF"/>
        </w:rPr>
        <w:t xml:space="preserve"> </w:t>
      </w:r>
    </w:p>
    <w:p w14:paraId="25D57B8E" w14:textId="27D88159" w:rsidR="00E619FB" w:rsidRPr="005D4C1A" w:rsidRDefault="006B5A2A" w:rsidP="00654B52">
      <w:pPr>
        <w:pStyle w:val="first"/>
        <w:spacing w:before="0" w:beforeAutospacing="0" w:after="240" w:afterAutospacing="0" w:line="480" w:lineRule="auto"/>
        <w:jc w:val="both"/>
        <w:rPr>
          <w:shd w:val="clear" w:color="auto" w:fill="FFFFFF"/>
        </w:rPr>
      </w:pPr>
      <w:r w:rsidRPr="005D4C1A">
        <w:rPr>
          <w:shd w:val="clear" w:color="auto" w:fill="FFFFFF"/>
        </w:rPr>
        <w:t xml:space="preserve">This paper </w:t>
      </w:r>
      <w:r w:rsidR="00D77962" w:rsidRPr="005D4C1A">
        <w:rPr>
          <w:shd w:val="clear" w:color="auto" w:fill="FFFFFF"/>
        </w:rPr>
        <w:t>offers</w:t>
      </w:r>
      <w:r w:rsidR="00724DC1" w:rsidRPr="005D4C1A">
        <w:rPr>
          <w:shd w:val="clear" w:color="auto" w:fill="FFFFFF"/>
        </w:rPr>
        <w:t xml:space="preserve"> </w:t>
      </w:r>
      <w:r w:rsidR="00935D2D" w:rsidRPr="005D4C1A">
        <w:rPr>
          <w:shd w:val="clear" w:color="auto" w:fill="FFFFFF"/>
        </w:rPr>
        <w:t>three</w:t>
      </w:r>
      <w:r w:rsidR="00D77962" w:rsidRPr="005D4C1A">
        <w:rPr>
          <w:shd w:val="clear" w:color="auto" w:fill="FFFFFF"/>
        </w:rPr>
        <w:t xml:space="preserve"> </w:t>
      </w:r>
      <w:r w:rsidR="00724DC1" w:rsidRPr="005D4C1A">
        <w:rPr>
          <w:shd w:val="clear" w:color="auto" w:fill="FFFFFF"/>
        </w:rPr>
        <w:t xml:space="preserve">contributions to the </w:t>
      </w:r>
      <w:r w:rsidR="0030317F" w:rsidRPr="005D4C1A">
        <w:rPr>
          <w:shd w:val="clear" w:color="auto" w:fill="FFFFFF"/>
        </w:rPr>
        <w:t>SCM</w:t>
      </w:r>
      <w:r w:rsidR="00D77962" w:rsidRPr="005D4C1A">
        <w:rPr>
          <w:shd w:val="clear" w:color="auto" w:fill="FFFFFF"/>
        </w:rPr>
        <w:t xml:space="preserve"> literature</w:t>
      </w:r>
      <w:r w:rsidR="00861CCF" w:rsidRPr="005D4C1A">
        <w:rPr>
          <w:shd w:val="clear" w:color="auto" w:fill="FFFFFF"/>
        </w:rPr>
        <w:t>. First</w:t>
      </w:r>
      <w:r w:rsidR="007A1703" w:rsidRPr="005D4C1A">
        <w:rPr>
          <w:shd w:val="clear" w:color="auto" w:fill="FFFFFF"/>
        </w:rPr>
        <w:t>ly</w:t>
      </w:r>
      <w:r w:rsidR="00861CCF" w:rsidRPr="005D4C1A">
        <w:rPr>
          <w:shd w:val="clear" w:color="auto" w:fill="FFFFFF"/>
        </w:rPr>
        <w:t xml:space="preserve">, </w:t>
      </w:r>
      <w:r w:rsidR="00E619FB" w:rsidRPr="005D4C1A">
        <w:rPr>
          <w:shd w:val="clear" w:color="auto" w:fill="FFFFFF"/>
        </w:rPr>
        <w:t>it</w:t>
      </w:r>
      <w:r w:rsidR="00243596" w:rsidRPr="005D4C1A">
        <w:rPr>
          <w:shd w:val="clear" w:color="auto" w:fill="FFFFFF"/>
        </w:rPr>
        <w:t xml:space="preserve"> </w:t>
      </w:r>
      <w:r w:rsidRPr="005D4C1A">
        <w:rPr>
          <w:shd w:val="clear" w:color="auto" w:fill="FFFFFF"/>
        </w:rPr>
        <w:t>theori</w:t>
      </w:r>
      <w:r w:rsidR="00E47632" w:rsidRPr="005D4C1A">
        <w:rPr>
          <w:shd w:val="clear" w:color="auto" w:fill="FFFFFF"/>
        </w:rPr>
        <w:t>z</w:t>
      </w:r>
      <w:r w:rsidRPr="005D4C1A">
        <w:rPr>
          <w:shd w:val="clear" w:color="auto" w:fill="FFFFFF"/>
        </w:rPr>
        <w:t>es</w:t>
      </w:r>
      <w:r w:rsidR="00B654A9" w:rsidRPr="005D4C1A">
        <w:rPr>
          <w:shd w:val="clear" w:color="auto" w:fill="FFFFFF"/>
        </w:rPr>
        <w:t xml:space="preserve"> and validate</w:t>
      </w:r>
      <w:r w:rsidR="00E619FB" w:rsidRPr="005D4C1A">
        <w:rPr>
          <w:shd w:val="clear" w:color="auto" w:fill="FFFFFF"/>
        </w:rPr>
        <w:t>s</w:t>
      </w:r>
      <w:r w:rsidR="00B654A9" w:rsidRPr="005D4C1A">
        <w:rPr>
          <w:shd w:val="clear" w:color="auto" w:fill="FFFFFF"/>
        </w:rPr>
        <w:t xml:space="preserve"> a model</w:t>
      </w:r>
      <w:r w:rsidR="005A46FF" w:rsidRPr="005D4C1A">
        <w:rPr>
          <w:shd w:val="clear" w:color="auto" w:fill="FFFFFF"/>
        </w:rPr>
        <w:t xml:space="preserve"> </w:t>
      </w:r>
      <w:r w:rsidR="000C2DD7" w:rsidRPr="005D4C1A">
        <w:rPr>
          <w:shd w:val="clear" w:color="auto" w:fill="FFFFFF"/>
        </w:rPr>
        <w:t>that explicates</w:t>
      </w:r>
      <w:r w:rsidR="00E47632" w:rsidRPr="005D4C1A">
        <w:rPr>
          <w:shd w:val="clear" w:color="auto" w:fill="FFFFFF"/>
        </w:rPr>
        <w:t xml:space="preserve"> the</w:t>
      </w:r>
      <w:r w:rsidR="005A46FF" w:rsidRPr="005D4C1A">
        <w:rPr>
          <w:shd w:val="clear" w:color="auto" w:fill="FFFFFF"/>
        </w:rPr>
        <w:t xml:space="preserve"> r</w:t>
      </w:r>
      <w:r w:rsidR="00B943B5" w:rsidRPr="005D4C1A">
        <w:rPr>
          <w:shd w:val="clear" w:color="auto" w:fill="FFFFFF"/>
        </w:rPr>
        <w:t>ole of supply chain visibility i</w:t>
      </w:r>
      <w:r w:rsidR="005A46FF" w:rsidRPr="005D4C1A">
        <w:rPr>
          <w:shd w:val="clear" w:color="auto" w:fill="FFFFFF"/>
        </w:rPr>
        <w:t xml:space="preserve">n creating </w:t>
      </w:r>
      <w:r w:rsidR="00E619FB" w:rsidRPr="005D4C1A">
        <w:rPr>
          <w:shd w:val="clear" w:color="auto" w:fill="FFFFFF"/>
        </w:rPr>
        <w:t xml:space="preserve">supply chain </w:t>
      </w:r>
      <w:r w:rsidR="005A46FF" w:rsidRPr="005D4C1A">
        <w:rPr>
          <w:shd w:val="clear" w:color="auto" w:fill="FFFFFF"/>
        </w:rPr>
        <w:t>agil</w:t>
      </w:r>
      <w:r w:rsidR="000C6776" w:rsidRPr="005D4C1A">
        <w:rPr>
          <w:shd w:val="clear" w:color="auto" w:fill="FFFFFF"/>
        </w:rPr>
        <w:t>ity, adaptability and alignment</w:t>
      </w:r>
      <w:r w:rsidR="00E619FB" w:rsidRPr="005D4C1A">
        <w:rPr>
          <w:shd w:val="clear" w:color="auto" w:fill="FFFFFF"/>
        </w:rPr>
        <w:t xml:space="preserve"> </w:t>
      </w:r>
      <w:r w:rsidR="00724DC1" w:rsidRPr="005D4C1A">
        <w:rPr>
          <w:shd w:val="clear" w:color="auto" w:fill="FFFFFF"/>
        </w:rPr>
        <w:t>(see Barratt, 2004; Barratt and Oke, 2007; Cao and Zhang, 2</w:t>
      </w:r>
      <w:r w:rsidR="00D61889" w:rsidRPr="005D4C1A">
        <w:rPr>
          <w:shd w:val="clear" w:color="auto" w:fill="FFFFFF"/>
        </w:rPr>
        <w:t>011; Brandon-Jones et al. 2014)</w:t>
      </w:r>
      <w:r w:rsidR="00861CCF" w:rsidRPr="005D4C1A">
        <w:rPr>
          <w:shd w:val="clear" w:color="auto" w:fill="FFFFFF"/>
        </w:rPr>
        <w:t>.</w:t>
      </w:r>
      <w:r w:rsidR="001711FD" w:rsidRPr="005D4C1A">
        <w:rPr>
          <w:shd w:val="clear" w:color="auto" w:fill="FFFFFF"/>
        </w:rPr>
        <w:t xml:space="preserve"> </w:t>
      </w:r>
      <w:r w:rsidR="00861CCF" w:rsidRPr="005D4C1A">
        <w:rPr>
          <w:shd w:val="clear" w:color="auto" w:fill="FFFFFF"/>
        </w:rPr>
        <w:t>Second</w:t>
      </w:r>
      <w:r w:rsidR="007A1703" w:rsidRPr="005D4C1A">
        <w:rPr>
          <w:shd w:val="clear" w:color="auto" w:fill="FFFFFF"/>
        </w:rPr>
        <w:t>ly</w:t>
      </w:r>
      <w:r w:rsidR="00861CCF" w:rsidRPr="005D4C1A">
        <w:rPr>
          <w:shd w:val="clear" w:color="auto" w:fill="FFFFFF"/>
        </w:rPr>
        <w:t xml:space="preserve">, </w:t>
      </w:r>
      <w:r w:rsidR="008D2E6D" w:rsidRPr="005D4C1A">
        <w:rPr>
          <w:shd w:val="clear" w:color="auto" w:fill="FFFFFF"/>
        </w:rPr>
        <w:t xml:space="preserve">this study investigates the moderating effect of TMC on the path connecting supply chain visibility and agility, adaptability and alignment </w:t>
      </w:r>
      <w:r w:rsidR="00861CCF" w:rsidRPr="005D4C1A">
        <w:rPr>
          <w:shd w:val="clear" w:color="auto" w:fill="FFFFFF"/>
        </w:rPr>
        <w:t>building on Liang et al. (2007) and Colwell and Joshi (2013)</w:t>
      </w:r>
      <w:r w:rsidR="001B2679" w:rsidRPr="005D4C1A">
        <w:rPr>
          <w:shd w:val="clear" w:color="auto" w:fill="FFFFFF"/>
        </w:rPr>
        <w:t>.</w:t>
      </w:r>
      <w:r w:rsidR="007A1703" w:rsidRPr="005D4C1A">
        <w:rPr>
          <w:shd w:val="clear" w:color="auto" w:fill="FFFFFF"/>
        </w:rPr>
        <w:t xml:space="preserve"> </w:t>
      </w:r>
      <w:r w:rsidR="00990CE4" w:rsidRPr="005D4C1A">
        <w:rPr>
          <w:shd w:val="clear" w:color="auto" w:fill="FFFFFF"/>
        </w:rPr>
        <w:t xml:space="preserve">Finally, following </w:t>
      </w:r>
      <w:r w:rsidR="00A25CC5" w:rsidRPr="005D4C1A">
        <w:rPr>
          <w:shd w:val="clear" w:color="auto" w:fill="FFFFFF"/>
        </w:rPr>
        <w:t>the endorsements</w:t>
      </w:r>
      <w:r w:rsidR="00990CE4" w:rsidRPr="005D4C1A">
        <w:rPr>
          <w:shd w:val="clear" w:color="auto" w:fill="FFFFFF"/>
        </w:rPr>
        <w:t xml:space="preserve"> of Joshi et al. (2013) and Kearney (2013), our study makes </w:t>
      </w:r>
      <w:r w:rsidR="00B04812" w:rsidRPr="005D4C1A">
        <w:rPr>
          <w:shd w:val="clear" w:color="auto" w:fill="FFFFFF"/>
        </w:rPr>
        <w:t xml:space="preserve">a </w:t>
      </w:r>
      <w:r w:rsidR="00990CE4" w:rsidRPr="005D4C1A">
        <w:rPr>
          <w:shd w:val="clear" w:color="auto" w:fill="FFFFFF"/>
        </w:rPr>
        <w:t>significant contribution to the auto components manufacturing sector</w:t>
      </w:r>
      <w:r w:rsidR="00046581" w:rsidRPr="005D4C1A">
        <w:rPr>
          <w:shd w:val="clear" w:color="auto" w:fill="FFFFFF"/>
        </w:rPr>
        <w:t xml:space="preserve"> in developing countries with a particular emphasis on India, where </w:t>
      </w:r>
      <w:r w:rsidR="00990CE4" w:rsidRPr="005D4C1A">
        <w:rPr>
          <w:shd w:val="clear" w:color="auto" w:fill="FFFFFF"/>
        </w:rPr>
        <w:t xml:space="preserve">auto components </w:t>
      </w:r>
      <w:r w:rsidR="0024625C" w:rsidRPr="005D4C1A">
        <w:rPr>
          <w:shd w:val="clear" w:color="auto" w:fill="FFFFFF"/>
        </w:rPr>
        <w:t>are</w:t>
      </w:r>
      <w:r w:rsidR="000D1F49" w:rsidRPr="005D4C1A">
        <w:rPr>
          <w:shd w:val="clear" w:color="auto" w:fill="FFFFFF"/>
        </w:rPr>
        <w:t xml:space="preserve"> a</w:t>
      </w:r>
      <w:r w:rsidR="00990CE4" w:rsidRPr="005D4C1A">
        <w:rPr>
          <w:shd w:val="clear" w:color="auto" w:fill="FFFFFF"/>
        </w:rPr>
        <w:t xml:space="preserve"> major contributor </w:t>
      </w:r>
      <w:r w:rsidR="00CC182B" w:rsidRPr="005D4C1A">
        <w:rPr>
          <w:shd w:val="clear" w:color="auto" w:fill="FFFFFF"/>
        </w:rPr>
        <w:t>to</w:t>
      </w:r>
      <w:r w:rsidR="00990CE4" w:rsidRPr="005D4C1A">
        <w:rPr>
          <w:shd w:val="clear" w:color="auto" w:fill="FFFFFF"/>
        </w:rPr>
        <w:t xml:space="preserve"> GDP</w:t>
      </w:r>
      <w:r w:rsidR="00006240">
        <w:rPr>
          <w:shd w:val="clear" w:color="auto" w:fill="FFFFFF"/>
        </w:rPr>
        <w:t xml:space="preserve">. </w:t>
      </w:r>
      <w:r w:rsidR="006C1CCF" w:rsidRPr="005D4C1A">
        <w:rPr>
          <w:shd w:val="clear" w:color="auto" w:fill="FFFFFF"/>
        </w:rPr>
        <w:t xml:space="preserve"> </w:t>
      </w:r>
      <w:r w:rsidR="00006240">
        <w:rPr>
          <w:shd w:val="clear" w:color="auto" w:fill="FFFFFF"/>
        </w:rPr>
        <w:t>H</w:t>
      </w:r>
      <w:r w:rsidR="006C1CCF" w:rsidRPr="005D4C1A">
        <w:rPr>
          <w:shd w:val="clear" w:color="auto" w:fill="FFFFFF"/>
        </w:rPr>
        <w:t>ence</w:t>
      </w:r>
      <w:r w:rsidR="00006240">
        <w:rPr>
          <w:shd w:val="clear" w:color="auto" w:fill="FFFFFF"/>
        </w:rPr>
        <w:t>,</w:t>
      </w:r>
      <w:r w:rsidR="006C1CCF" w:rsidRPr="005D4C1A">
        <w:rPr>
          <w:shd w:val="clear" w:color="auto" w:fill="FFFFFF"/>
        </w:rPr>
        <w:t xml:space="preserve"> </w:t>
      </w:r>
      <w:r w:rsidR="00CE4962" w:rsidRPr="005D4C1A">
        <w:rPr>
          <w:shd w:val="clear" w:color="auto" w:fill="FFFFFF"/>
        </w:rPr>
        <w:t>it is vital for these organizations to</w:t>
      </w:r>
      <w:r w:rsidR="00EA76F2" w:rsidRPr="005D4C1A">
        <w:rPr>
          <w:shd w:val="clear" w:color="auto" w:fill="FFFFFF"/>
        </w:rPr>
        <w:t xml:space="preserve"> understand how and when they could</w:t>
      </w:r>
      <w:r w:rsidR="00990CE4" w:rsidRPr="005D4C1A">
        <w:rPr>
          <w:shd w:val="clear" w:color="auto" w:fill="FFFFFF"/>
        </w:rPr>
        <w:t xml:space="preserve"> </w:t>
      </w:r>
      <w:r w:rsidR="00EA76F2" w:rsidRPr="005D4C1A">
        <w:rPr>
          <w:shd w:val="clear" w:color="auto" w:fill="FFFFFF"/>
        </w:rPr>
        <w:t>be agile, adaptable and aligned</w:t>
      </w:r>
      <w:r w:rsidR="00990CE4" w:rsidRPr="005D4C1A">
        <w:rPr>
          <w:shd w:val="clear" w:color="auto" w:fill="FFFFFF"/>
        </w:rPr>
        <w:t xml:space="preserve"> in their supply chains.</w:t>
      </w:r>
    </w:p>
    <w:p w14:paraId="1E4111CA" w14:textId="40FE47BF" w:rsidR="003B5434" w:rsidRPr="005D4C1A" w:rsidRDefault="003B5434" w:rsidP="00654B52">
      <w:pPr>
        <w:pStyle w:val="first"/>
        <w:spacing w:before="0" w:beforeAutospacing="0" w:after="240" w:afterAutospacing="0" w:line="480" w:lineRule="auto"/>
        <w:jc w:val="both"/>
        <w:rPr>
          <w:shd w:val="clear" w:color="auto" w:fill="FFFFFF"/>
        </w:rPr>
      </w:pPr>
      <w:r w:rsidRPr="005D4C1A">
        <w:rPr>
          <w:shd w:val="clear" w:color="auto" w:fill="FFFFFF"/>
        </w:rPr>
        <w:t xml:space="preserve">The remainder of the paper is as follows. First, we introduce </w:t>
      </w:r>
      <w:r w:rsidR="00D3523A" w:rsidRPr="005D4C1A">
        <w:rPr>
          <w:shd w:val="clear" w:color="auto" w:fill="FFFFFF"/>
        </w:rPr>
        <w:t xml:space="preserve">our </w:t>
      </w:r>
      <w:r w:rsidR="001D05FF" w:rsidRPr="005D4C1A">
        <w:rPr>
          <w:shd w:val="clear" w:color="auto" w:fill="FFFFFF"/>
        </w:rPr>
        <w:t xml:space="preserve">theoretical perspective, </w:t>
      </w:r>
      <w:r w:rsidRPr="005D4C1A">
        <w:rPr>
          <w:shd w:val="clear" w:color="auto" w:fill="FFFFFF"/>
        </w:rPr>
        <w:t>theoretical framework</w:t>
      </w:r>
      <w:r w:rsidR="00C145C2" w:rsidRPr="005D4C1A">
        <w:rPr>
          <w:shd w:val="clear" w:color="auto" w:fill="FFFFFF"/>
        </w:rPr>
        <w:t>,</w:t>
      </w:r>
      <w:r w:rsidRPr="005D4C1A">
        <w:rPr>
          <w:shd w:val="clear" w:color="auto" w:fill="FFFFFF"/>
        </w:rPr>
        <w:t xml:space="preserve"> and hypotheses. Next, we describe our research design followed by </w:t>
      </w:r>
      <w:r w:rsidR="004B77A2" w:rsidRPr="005D4C1A">
        <w:rPr>
          <w:shd w:val="clear" w:color="auto" w:fill="FFFFFF"/>
        </w:rPr>
        <w:t xml:space="preserve">data analyses, </w:t>
      </w:r>
      <w:r w:rsidR="008E785C" w:rsidRPr="005D4C1A">
        <w:rPr>
          <w:shd w:val="clear" w:color="auto" w:fill="FFFFFF"/>
        </w:rPr>
        <w:t xml:space="preserve">and our </w:t>
      </w:r>
      <w:r w:rsidR="004B77A2" w:rsidRPr="005D4C1A">
        <w:rPr>
          <w:shd w:val="clear" w:color="auto" w:fill="FFFFFF"/>
        </w:rPr>
        <w:t>results</w:t>
      </w:r>
      <w:r w:rsidR="00CC182B" w:rsidRPr="005D4C1A">
        <w:rPr>
          <w:shd w:val="clear" w:color="auto" w:fill="FFFFFF"/>
        </w:rPr>
        <w:t>,</w:t>
      </w:r>
      <w:r w:rsidR="004B77A2" w:rsidRPr="005D4C1A">
        <w:rPr>
          <w:shd w:val="clear" w:color="auto" w:fill="FFFFFF"/>
        </w:rPr>
        <w:t xml:space="preserve"> followed by detailed discussion </w:t>
      </w:r>
      <w:r w:rsidR="008E785C" w:rsidRPr="005D4C1A">
        <w:rPr>
          <w:shd w:val="clear" w:color="auto" w:fill="FFFFFF"/>
        </w:rPr>
        <w:t xml:space="preserve">of our </w:t>
      </w:r>
      <w:r w:rsidR="004B77A2" w:rsidRPr="005D4C1A">
        <w:rPr>
          <w:shd w:val="clear" w:color="auto" w:fill="FFFFFF"/>
        </w:rPr>
        <w:t xml:space="preserve">theoretical contributions and managerial implications. </w:t>
      </w:r>
      <w:r w:rsidR="0057633F" w:rsidRPr="005D4C1A">
        <w:rPr>
          <w:shd w:val="clear" w:color="auto" w:fill="FFFFFF"/>
        </w:rPr>
        <w:t>Finally,</w:t>
      </w:r>
      <w:r w:rsidR="004B77A2" w:rsidRPr="005D4C1A">
        <w:rPr>
          <w:shd w:val="clear" w:color="auto" w:fill="FFFFFF"/>
        </w:rPr>
        <w:t xml:space="preserve"> we conclude our research findings with limitations and further research opportunities.</w:t>
      </w:r>
    </w:p>
    <w:p w14:paraId="08A461DD" w14:textId="6A52F04D" w:rsidR="002378A7" w:rsidRDefault="002378A7" w:rsidP="00654B52">
      <w:pPr>
        <w:spacing w:line="480" w:lineRule="auto"/>
        <w:jc w:val="both"/>
        <w:rPr>
          <w:rFonts w:ascii="Times New Roman" w:hAnsi="Times New Roman" w:cs="Times New Roman"/>
          <w:shd w:val="clear" w:color="auto" w:fill="FFFFFF"/>
        </w:rPr>
      </w:pPr>
    </w:p>
    <w:p w14:paraId="0AD9A460" w14:textId="77777777" w:rsidR="00676497" w:rsidRDefault="00676497" w:rsidP="00654B52">
      <w:pPr>
        <w:spacing w:line="480" w:lineRule="auto"/>
        <w:jc w:val="both"/>
        <w:rPr>
          <w:rFonts w:ascii="Times New Roman" w:hAnsi="Times New Roman" w:cs="Times New Roman"/>
          <w:shd w:val="clear" w:color="auto" w:fill="FFFFFF"/>
        </w:rPr>
      </w:pPr>
    </w:p>
    <w:p w14:paraId="75B7A2AF" w14:textId="2C47BD52" w:rsidR="00956655" w:rsidRDefault="00956655" w:rsidP="00654B52">
      <w:pPr>
        <w:spacing w:line="480" w:lineRule="auto"/>
        <w:jc w:val="both"/>
        <w:rPr>
          <w:rFonts w:ascii="Times New Roman" w:hAnsi="Times New Roman" w:cs="Times New Roman"/>
          <w:shd w:val="clear" w:color="auto" w:fill="FFFFFF"/>
        </w:rPr>
      </w:pPr>
    </w:p>
    <w:p w14:paraId="5736CC07" w14:textId="77777777" w:rsidR="00956655" w:rsidRPr="005D4C1A" w:rsidRDefault="00956655" w:rsidP="00654B52">
      <w:pPr>
        <w:spacing w:line="480" w:lineRule="auto"/>
        <w:jc w:val="both"/>
        <w:rPr>
          <w:rFonts w:ascii="Times New Roman" w:hAnsi="Times New Roman" w:cs="Times New Roman"/>
          <w:shd w:val="clear" w:color="auto" w:fill="FFFFFF"/>
        </w:rPr>
      </w:pPr>
    </w:p>
    <w:p w14:paraId="41543B23" w14:textId="6F27BE72" w:rsidR="0005001E" w:rsidRPr="005D4C1A" w:rsidRDefault="00314754" w:rsidP="00654B52">
      <w:pPr>
        <w:spacing w:line="480" w:lineRule="auto"/>
        <w:jc w:val="both"/>
        <w:rPr>
          <w:rFonts w:ascii="Times New Roman" w:hAnsi="Times New Roman" w:cs="Times New Roman"/>
          <w:b/>
          <w:sz w:val="24"/>
          <w:szCs w:val="24"/>
        </w:rPr>
      </w:pPr>
      <w:r w:rsidRPr="005D4C1A">
        <w:rPr>
          <w:rFonts w:ascii="Times New Roman" w:hAnsi="Times New Roman" w:cs="Times New Roman"/>
          <w:b/>
          <w:sz w:val="24"/>
          <w:szCs w:val="24"/>
        </w:rPr>
        <w:lastRenderedPageBreak/>
        <w:t xml:space="preserve">2. </w:t>
      </w:r>
      <w:r w:rsidR="00740E93" w:rsidRPr="005D4C1A">
        <w:rPr>
          <w:rFonts w:ascii="Times New Roman" w:hAnsi="Times New Roman" w:cs="Times New Roman"/>
          <w:b/>
          <w:sz w:val="24"/>
          <w:szCs w:val="24"/>
        </w:rPr>
        <w:t>THEORETICAL FRAMING</w:t>
      </w:r>
      <w:r w:rsidR="00A3517D" w:rsidRPr="005D4C1A">
        <w:rPr>
          <w:rFonts w:ascii="Times New Roman" w:hAnsi="Times New Roman" w:cs="Times New Roman"/>
          <w:b/>
          <w:sz w:val="24"/>
          <w:szCs w:val="24"/>
        </w:rPr>
        <w:t xml:space="preserve"> AND DEVELOPMENT</w:t>
      </w:r>
      <w:r w:rsidR="009F4C10" w:rsidRPr="005D4C1A">
        <w:rPr>
          <w:rFonts w:ascii="Times New Roman" w:hAnsi="Times New Roman" w:cs="Times New Roman"/>
          <w:b/>
          <w:sz w:val="24"/>
          <w:szCs w:val="24"/>
        </w:rPr>
        <w:t xml:space="preserve"> OF HYPOTHESES</w:t>
      </w:r>
    </w:p>
    <w:p w14:paraId="325218E9" w14:textId="6BED0037" w:rsidR="00130111" w:rsidRPr="005D4C1A" w:rsidRDefault="00130111" w:rsidP="00B77637">
      <w:pPr>
        <w:spacing w:after="120" w:line="480" w:lineRule="auto"/>
        <w:jc w:val="both"/>
        <w:rPr>
          <w:rFonts w:ascii="Times New Roman" w:hAnsi="Times New Roman" w:cs="Times New Roman"/>
          <w:b/>
          <w:sz w:val="24"/>
          <w:szCs w:val="24"/>
        </w:rPr>
      </w:pPr>
      <w:r w:rsidRPr="005D4C1A">
        <w:rPr>
          <w:rFonts w:ascii="Times New Roman" w:hAnsi="Times New Roman" w:cs="Times New Roman"/>
          <w:b/>
          <w:sz w:val="24"/>
          <w:szCs w:val="24"/>
        </w:rPr>
        <w:t xml:space="preserve">2.1 Resource Based View </w:t>
      </w:r>
    </w:p>
    <w:p w14:paraId="1292834E" w14:textId="36B3930A" w:rsidR="00130111" w:rsidRPr="005D4C1A" w:rsidRDefault="00130111" w:rsidP="00130111">
      <w:pPr>
        <w:spacing w:line="480" w:lineRule="auto"/>
        <w:jc w:val="both"/>
        <w:rPr>
          <w:rFonts w:ascii="Times New Roman" w:hAnsi="Times New Roman" w:cs="Times New Roman"/>
          <w:sz w:val="24"/>
          <w:szCs w:val="24"/>
          <w:shd w:val="clear" w:color="auto" w:fill="FFFFFF"/>
        </w:rPr>
      </w:pPr>
      <w:r w:rsidRPr="005D4C1A">
        <w:rPr>
          <w:rFonts w:ascii="Times New Roman" w:hAnsi="Times New Roman" w:cs="Times New Roman"/>
          <w:sz w:val="24"/>
          <w:szCs w:val="24"/>
          <w:shd w:val="clear" w:color="auto" w:fill="FFFFFF"/>
        </w:rPr>
        <w:t>Scholars (e.g. Esper and Crook, 2014; Hitt et al., 2016) argued that the RBV can explain a variety of firm and supply chain outcomes. RBV asserts that an organization can achieve competitive advantage by building strategic resources and capabilities (Barney, 1991). Eckstein et al. (2015) have argued on the basis of prior research (see Blome et al. 2013; Gligor et al. 2013) that supply chain agility and adaptability can be considered dynamic capabilities –</w:t>
      </w:r>
      <w:r w:rsidR="00F31CC6" w:rsidRPr="005D4C1A">
        <w:rPr>
          <w:rFonts w:ascii="Times New Roman" w:hAnsi="Times New Roman" w:cs="Times New Roman"/>
          <w:sz w:val="24"/>
          <w:szCs w:val="24"/>
          <w:shd w:val="clear" w:color="auto" w:fill="FFFFFF"/>
        </w:rPr>
        <w:t xml:space="preserve"> </w:t>
      </w:r>
      <w:r w:rsidRPr="005D4C1A">
        <w:rPr>
          <w:rFonts w:ascii="Times New Roman" w:hAnsi="Times New Roman" w:cs="Times New Roman"/>
          <w:sz w:val="24"/>
          <w:szCs w:val="24"/>
          <w:shd w:val="clear" w:color="auto" w:fill="FFFFFF"/>
        </w:rPr>
        <w:t>an extension of RBV (Teece et al. 1997)</w:t>
      </w:r>
      <w:r w:rsidR="00F31CC6" w:rsidRPr="005D4C1A">
        <w:rPr>
          <w:rFonts w:ascii="Times New Roman" w:hAnsi="Times New Roman" w:cs="Times New Roman"/>
          <w:sz w:val="24"/>
          <w:szCs w:val="24"/>
          <w:shd w:val="clear" w:color="auto" w:fill="FFFFFF"/>
        </w:rPr>
        <w:t xml:space="preserve"> </w:t>
      </w:r>
      <w:r w:rsidRPr="005D4C1A">
        <w:rPr>
          <w:rFonts w:ascii="Times New Roman" w:hAnsi="Times New Roman" w:cs="Times New Roman"/>
          <w:sz w:val="24"/>
          <w:szCs w:val="24"/>
          <w:shd w:val="clear" w:color="auto" w:fill="FFFFFF"/>
        </w:rPr>
        <w:t xml:space="preserve">–  that result from the firm’s ability to reconfigure firm-level and supply-chain level resources. </w:t>
      </w:r>
      <w:r w:rsidRPr="005D4C1A">
        <w:rPr>
          <w:rFonts w:ascii="Times New Roman" w:hAnsi="Times New Roman" w:cs="Times New Roman"/>
          <w:sz w:val="24"/>
          <w:szCs w:val="24"/>
        </w:rPr>
        <w:t xml:space="preserve">Augier and Teece (2009) have argued that when dynamic capabilities enable organizations to achieve coordination, they benefit from complementarities and better decision making (Augier and Teece, 2009; Gligor et al. 2012; Blome et al. 2013; Gligor and Holcomb, 2014; Gligor et al. 2015, 2016). </w:t>
      </w:r>
    </w:p>
    <w:p w14:paraId="5A98A843" w14:textId="6EFB9EE3" w:rsidR="0005001E" w:rsidRPr="005D4C1A" w:rsidRDefault="00314754" w:rsidP="00654B52">
      <w:pPr>
        <w:tabs>
          <w:tab w:val="left" w:pos="8245"/>
        </w:tabs>
        <w:spacing w:line="480" w:lineRule="auto"/>
        <w:jc w:val="both"/>
        <w:rPr>
          <w:rFonts w:ascii="Times New Roman" w:hAnsi="Times New Roman" w:cs="Times New Roman"/>
          <w:b/>
          <w:sz w:val="24"/>
          <w:szCs w:val="24"/>
        </w:rPr>
      </w:pPr>
      <w:r w:rsidRPr="005D4C1A">
        <w:rPr>
          <w:rFonts w:ascii="Times New Roman" w:hAnsi="Times New Roman" w:cs="Times New Roman"/>
          <w:b/>
          <w:sz w:val="24"/>
          <w:szCs w:val="24"/>
        </w:rPr>
        <w:t>2.</w:t>
      </w:r>
      <w:r w:rsidR="00A3517D" w:rsidRPr="005D4C1A">
        <w:rPr>
          <w:rFonts w:ascii="Times New Roman" w:hAnsi="Times New Roman" w:cs="Times New Roman"/>
          <w:b/>
          <w:sz w:val="24"/>
          <w:szCs w:val="24"/>
        </w:rPr>
        <w:t>2</w:t>
      </w:r>
      <w:r w:rsidR="00C74AEC" w:rsidRPr="005D4C1A">
        <w:rPr>
          <w:rFonts w:ascii="Times New Roman" w:hAnsi="Times New Roman" w:cs="Times New Roman"/>
          <w:b/>
          <w:sz w:val="24"/>
          <w:szCs w:val="24"/>
        </w:rPr>
        <w:t xml:space="preserve"> Supply chain agility, adaptability, and alignment</w:t>
      </w:r>
      <w:r w:rsidR="00740E93" w:rsidRPr="005D4C1A">
        <w:rPr>
          <w:rFonts w:ascii="Times New Roman" w:hAnsi="Times New Roman" w:cs="Times New Roman"/>
          <w:b/>
          <w:sz w:val="24"/>
          <w:szCs w:val="24"/>
        </w:rPr>
        <w:tab/>
      </w:r>
    </w:p>
    <w:p w14:paraId="32E42865" w14:textId="390828D3" w:rsidR="008775EF" w:rsidRPr="005D4C1A" w:rsidRDefault="00B51911" w:rsidP="00654B52">
      <w:pPr>
        <w:tabs>
          <w:tab w:val="left" w:pos="1047"/>
        </w:tabs>
        <w:spacing w:line="480" w:lineRule="auto"/>
        <w:jc w:val="both"/>
        <w:rPr>
          <w:rFonts w:ascii="Times New Roman" w:hAnsi="Times New Roman" w:cs="Times New Roman"/>
          <w:sz w:val="24"/>
          <w:szCs w:val="24"/>
          <w:shd w:val="clear" w:color="auto" w:fill="FFFFFF"/>
        </w:rPr>
      </w:pPr>
      <w:r w:rsidRPr="005D4C1A">
        <w:rPr>
          <w:rFonts w:ascii="Times New Roman" w:hAnsi="Times New Roman" w:cs="Times New Roman"/>
          <w:sz w:val="24"/>
          <w:szCs w:val="24"/>
          <w:shd w:val="clear" w:color="auto" w:fill="FFFFFF"/>
        </w:rPr>
        <w:t>Figure 1 presents the theoretical framework of this research. Following</w:t>
      </w:r>
      <w:r w:rsidR="00F42957" w:rsidRPr="005D4C1A">
        <w:rPr>
          <w:rFonts w:ascii="Times New Roman" w:hAnsi="Times New Roman" w:cs="Times New Roman"/>
          <w:sz w:val="24"/>
          <w:szCs w:val="24"/>
          <w:shd w:val="clear" w:color="auto" w:fill="FFFFFF"/>
        </w:rPr>
        <w:t xml:space="preserve"> </w:t>
      </w:r>
      <w:r w:rsidR="00DF2094" w:rsidRPr="005D4C1A">
        <w:rPr>
          <w:rFonts w:ascii="Times New Roman" w:hAnsi="Times New Roman" w:cs="Times New Roman"/>
          <w:sz w:val="24"/>
          <w:szCs w:val="24"/>
          <w:shd w:val="clear" w:color="auto" w:fill="FFFFFF"/>
        </w:rPr>
        <w:t>the</w:t>
      </w:r>
      <w:r w:rsidR="0062228C" w:rsidRPr="005D4C1A">
        <w:rPr>
          <w:rFonts w:ascii="Times New Roman" w:hAnsi="Times New Roman" w:cs="Times New Roman"/>
          <w:sz w:val="24"/>
          <w:szCs w:val="24"/>
          <w:shd w:val="clear" w:color="auto" w:fill="FFFFFF"/>
        </w:rPr>
        <w:t xml:space="preserve"> </w:t>
      </w:r>
      <w:r w:rsidR="00635216" w:rsidRPr="005D4C1A">
        <w:rPr>
          <w:rFonts w:ascii="Times New Roman" w:hAnsi="Times New Roman" w:cs="Times New Roman"/>
          <w:sz w:val="24"/>
          <w:szCs w:val="24"/>
          <w:shd w:val="clear" w:color="auto" w:fill="FFFFFF"/>
        </w:rPr>
        <w:t>RBV perspective, supply chain agility, adaptability and alignment</w:t>
      </w:r>
      <w:r w:rsidR="00E844B8" w:rsidRPr="005D4C1A">
        <w:rPr>
          <w:rFonts w:ascii="Times New Roman" w:hAnsi="Times New Roman" w:cs="Times New Roman"/>
          <w:sz w:val="24"/>
          <w:szCs w:val="24"/>
          <w:shd w:val="clear" w:color="auto" w:fill="FFFFFF"/>
        </w:rPr>
        <w:t xml:space="preserve"> (SCAAA)</w:t>
      </w:r>
      <w:r w:rsidR="00635216" w:rsidRPr="005D4C1A">
        <w:rPr>
          <w:rFonts w:ascii="Times New Roman" w:hAnsi="Times New Roman" w:cs="Times New Roman"/>
          <w:sz w:val="24"/>
          <w:szCs w:val="24"/>
          <w:shd w:val="clear" w:color="auto" w:fill="FFFFFF"/>
        </w:rPr>
        <w:t xml:space="preserve"> </w:t>
      </w:r>
      <w:r w:rsidR="00DD7BA4" w:rsidRPr="005D4C1A">
        <w:rPr>
          <w:rFonts w:ascii="Times New Roman" w:hAnsi="Times New Roman" w:cs="Times New Roman"/>
          <w:sz w:val="24"/>
          <w:szCs w:val="24"/>
          <w:shd w:val="clear" w:color="auto" w:fill="FFFFFF"/>
        </w:rPr>
        <w:t>are</w:t>
      </w:r>
      <w:r w:rsidR="00635216" w:rsidRPr="005D4C1A">
        <w:rPr>
          <w:rFonts w:ascii="Times New Roman" w:hAnsi="Times New Roman" w:cs="Times New Roman"/>
          <w:sz w:val="24"/>
          <w:szCs w:val="24"/>
          <w:shd w:val="clear" w:color="auto" w:fill="FFFFFF"/>
        </w:rPr>
        <w:t xml:space="preserve"> outcomes</w:t>
      </w:r>
      <w:r w:rsidR="00C0664A" w:rsidRPr="005D4C1A">
        <w:rPr>
          <w:rFonts w:ascii="Times New Roman" w:hAnsi="Times New Roman" w:cs="Times New Roman"/>
          <w:sz w:val="24"/>
          <w:szCs w:val="24"/>
          <w:shd w:val="clear" w:color="auto" w:fill="FFFFFF"/>
        </w:rPr>
        <w:t xml:space="preserve">. </w:t>
      </w:r>
      <w:r w:rsidR="007206F7" w:rsidRPr="005D4C1A">
        <w:rPr>
          <w:rFonts w:ascii="Times New Roman" w:hAnsi="Times New Roman" w:cs="Times New Roman"/>
          <w:sz w:val="24"/>
          <w:szCs w:val="24"/>
          <w:shd w:val="clear" w:color="auto" w:fill="FFFFFF"/>
        </w:rPr>
        <w:t xml:space="preserve">Supply chain visibility is a capability </w:t>
      </w:r>
      <w:r w:rsidR="00FC660E" w:rsidRPr="005D4C1A">
        <w:rPr>
          <w:rFonts w:ascii="Times New Roman" w:hAnsi="Times New Roman" w:cs="Times New Roman"/>
          <w:sz w:val="24"/>
          <w:szCs w:val="24"/>
          <w:shd w:val="clear" w:color="auto" w:fill="FFFFFF"/>
        </w:rPr>
        <w:t>stemming</w:t>
      </w:r>
      <w:r w:rsidR="007206F7" w:rsidRPr="005D4C1A">
        <w:rPr>
          <w:rFonts w:ascii="Times New Roman" w:hAnsi="Times New Roman" w:cs="Times New Roman"/>
          <w:sz w:val="24"/>
          <w:szCs w:val="24"/>
          <w:shd w:val="clear" w:color="auto" w:fill="FFFFFF"/>
        </w:rPr>
        <w:t xml:space="preserve"> from the strategic resources of </w:t>
      </w:r>
      <w:r w:rsidR="00B32AC1" w:rsidRPr="005D4C1A">
        <w:rPr>
          <w:rFonts w:ascii="Times New Roman" w:hAnsi="Times New Roman" w:cs="Times New Roman"/>
          <w:sz w:val="24"/>
          <w:szCs w:val="24"/>
          <w:shd w:val="clear" w:color="auto" w:fill="FFFFFF"/>
        </w:rPr>
        <w:t xml:space="preserve">supply chain connectivity and information sharing </w:t>
      </w:r>
      <w:r w:rsidR="00EF54B6" w:rsidRPr="005D4C1A">
        <w:rPr>
          <w:rFonts w:ascii="Times New Roman" w:hAnsi="Times New Roman" w:cs="Times New Roman"/>
          <w:sz w:val="24"/>
          <w:szCs w:val="24"/>
          <w:shd w:val="clear" w:color="auto" w:fill="FFFFFF"/>
        </w:rPr>
        <w:t>(</w:t>
      </w:r>
      <w:r w:rsidR="00E3430E" w:rsidRPr="005D4C1A">
        <w:rPr>
          <w:rFonts w:ascii="Times New Roman" w:hAnsi="Times New Roman" w:cs="Times New Roman"/>
          <w:sz w:val="24"/>
          <w:szCs w:val="24"/>
          <w:shd w:val="clear" w:color="auto" w:fill="FFFFFF"/>
        </w:rPr>
        <w:t xml:space="preserve">Barratt, 2004; </w:t>
      </w:r>
      <w:r w:rsidR="00D917B6" w:rsidRPr="005D4C1A">
        <w:rPr>
          <w:rFonts w:ascii="Times New Roman" w:hAnsi="Times New Roman" w:cs="Times New Roman"/>
          <w:sz w:val="24"/>
          <w:szCs w:val="24"/>
          <w:shd w:val="clear" w:color="auto" w:fill="FFFFFF"/>
        </w:rPr>
        <w:t xml:space="preserve">Barratt and Oke, 2007; </w:t>
      </w:r>
      <w:r w:rsidR="00EF54B6" w:rsidRPr="005D4C1A">
        <w:rPr>
          <w:rFonts w:ascii="Times New Roman" w:hAnsi="Times New Roman" w:cs="Times New Roman"/>
          <w:sz w:val="24"/>
          <w:szCs w:val="24"/>
          <w:shd w:val="clear" w:color="auto" w:fill="FFFFFF"/>
        </w:rPr>
        <w:t>Brandon-Jones et al., 2014)</w:t>
      </w:r>
      <w:r w:rsidR="00A43AB7" w:rsidRPr="005D4C1A">
        <w:rPr>
          <w:rFonts w:ascii="Times New Roman" w:hAnsi="Times New Roman" w:cs="Times New Roman"/>
          <w:sz w:val="24"/>
          <w:szCs w:val="24"/>
          <w:shd w:val="clear" w:color="auto" w:fill="FFFFFF"/>
        </w:rPr>
        <w:t xml:space="preserve"> and affects</w:t>
      </w:r>
      <w:r w:rsidR="00DD6E46" w:rsidRPr="005D4C1A">
        <w:rPr>
          <w:rFonts w:ascii="Times New Roman" w:hAnsi="Times New Roman" w:cs="Times New Roman"/>
          <w:sz w:val="24"/>
          <w:szCs w:val="24"/>
          <w:shd w:val="clear" w:color="auto" w:fill="FFFFFF"/>
        </w:rPr>
        <w:t xml:space="preserve"> SCAAA</w:t>
      </w:r>
      <w:r w:rsidR="00A43AB7" w:rsidRPr="005D4C1A">
        <w:rPr>
          <w:rFonts w:ascii="Times New Roman" w:hAnsi="Times New Roman" w:cs="Times New Roman"/>
          <w:sz w:val="24"/>
          <w:szCs w:val="24"/>
          <w:shd w:val="clear" w:color="auto" w:fill="FFFFFF"/>
        </w:rPr>
        <w:t>.</w:t>
      </w:r>
    </w:p>
    <w:p w14:paraId="3C90B4CD" w14:textId="51F45645" w:rsidR="008775EF" w:rsidRPr="005D4C1A" w:rsidRDefault="008775EF" w:rsidP="008775EF">
      <w:pPr>
        <w:tabs>
          <w:tab w:val="left" w:pos="1047"/>
        </w:tabs>
        <w:spacing w:line="480" w:lineRule="auto"/>
        <w:jc w:val="both"/>
        <w:rPr>
          <w:rFonts w:ascii="Times New Roman" w:hAnsi="Times New Roman" w:cs="Times New Roman"/>
          <w:sz w:val="24"/>
          <w:szCs w:val="24"/>
          <w:shd w:val="clear" w:color="auto" w:fill="FFFFFF"/>
        </w:rPr>
      </w:pPr>
      <w:r w:rsidRPr="005D4C1A">
        <w:rPr>
          <w:rFonts w:ascii="Times New Roman" w:hAnsi="Times New Roman" w:cs="Times New Roman"/>
          <w:i/>
          <w:sz w:val="24"/>
          <w:szCs w:val="24"/>
          <w:shd w:val="clear" w:color="auto" w:fill="FFFFFF"/>
        </w:rPr>
        <w:t>Supply chain agility</w:t>
      </w:r>
      <w:r w:rsidRPr="005D4C1A">
        <w:rPr>
          <w:rFonts w:ascii="Times New Roman" w:hAnsi="Times New Roman" w:cs="Times New Roman"/>
          <w:sz w:val="24"/>
          <w:szCs w:val="24"/>
          <w:shd w:val="clear" w:color="auto" w:fill="FFFFFF"/>
        </w:rPr>
        <w:t xml:space="preserve"> is the capability of the supply chain to respond quickly and effectively to market changes (Lee, 2002</w:t>
      </w:r>
      <w:r w:rsidR="00F31CC6" w:rsidRPr="005D4C1A">
        <w:rPr>
          <w:rFonts w:ascii="Times New Roman" w:hAnsi="Times New Roman" w:cs="Times New Roman"/>
          <w:sz w:val="24"/>
          <w:szCs w:val="24"/>
          <w:shd w:val="clear" w:color="auto" w:fill="FFFFFF"/>
        </w:rPr>
        <w:t xml:space="preserve">, </w:t>
      </w:r>
      <w:r w:rsidRPr="005D4C1A">
        <w:rPr>
          <w:rFonts w:ascii="Times New Roman" w:hAnsi="Times New Roman" w:cs="Times New Roman"/>
          <w:sz w:val="24"/>
          <w:szCs w:val="24"/>
          <w:shd w:val="clear" w:color="auto" w:fill="FFFFFF"/>
        </w:rPr>
        <w:t>2004; Swafford et al. 2006).</w:t>
      </w:r>
      <w:r w:rsidR="008C2EB5" w:rsidRPr="005D4C1A">
        <w:rPr>
          <w:rFonts w:ascii="Times New Roman" w:hAnsi="Times New Roman" w:cs="Times New Roman"/>
          <w:sz w:val="24"/>
          <w:szCs w:val="24"/>
          <w:shd w:val="clear" w:color="auto" w:fill="FFFFFF"/>
        </w:rPr>
        <w:t xml:space="preserve"> </w:t>
      </w:r>
      <w:r w:rsidRPr="005D4C1A">
        <w:rPr>
          <w:rFonts w:ascii="Times New Roman" w:hAnsi="Times New Roman" w:cs="Times New Roman"/>
          <w:sz w:val="24"/>
          <w:szCs w:val="24"/>
          <w:shd w:val="clear" w:color="auto" w:fill="FFFFFF"/>
        </w:rPr>
        <w:t xml:space="preserve"> </w:t>
      </w:r>
      <w:r w:rsidR="00110911" w:rsidRPr="005D4C1A">
        <w:rPr>
          <w:rFonts w:ascii="Times New Roman" w:hAnsi="Times New Roman" w:cs="Times New Roman"/>
          <w:sz w:val="24"/>
          <w:szCs w:val="24"/>
          <w:shd w:val="clear" w:color="auto" w:fill="FFFFFF"/>
        </w:rPr>
        <w:t xml:space="preserve">Scholars </w:t>
      </w:r>
      <w:r w:rsidRPr="005D4C1A">
        <w:rPr>
          <w:rFonts w:ascii="Times New Roman" w:hAnsi="Times New Roman" w:cs="Times New Roman"/>
          <w:sz w:val="24"/>
          <w:szCs w:val="24"/>
          <w:shd w:val="clear" w:color="auto" w:fill="FFFFFF"/>
        </w:rPr>
        <w:t>have defined supply chain agility as the ability of the firm to adjust tactics and operations within its supply chain to respond to environmental chang</w:t>
      </w:r>
      <w:r w:rsidR="00110911" w:rsidRPr="005D4C1A">
        <w:rPr>
          <w:rFonts w:ascii="Times New Roman" w:hAnsi="Times New Roman" w:cs="Times New Roman"/>
          <w:sz w:val="24"/>
          <w:szCs w:val="24"/>
          <w:shd w:val="clear" w:color="auto" w:fill="FFFFFF"/>
        </w:rPr>
        <w:t>es, opportunities, and threats</w:t>
      </w:r>
      <w:r w:rsidR="00F31CC6" w:rsidRPr="005D4C1A">
        <w:rPr>
          <w:rFonts w:ascii="Times New Roman" w:hAnsi="Times New Roman" w:cs="Times New Roman"/>
          <w:sz w:val="24"/>
          <w:szCs w:val="24"/>
          <w:shd w:val="clear" w:color="auto" w:fill="FFFFFF"/>
        </w:rPr>
        <w:t xml:space="preserve"> (Gligor et al. 2013; Gligor and Holcomb, 2014; Eckstein et al. 2015)</w:t>
      </w:r>
      <w:r w:rsidRPr="005D4C1A">
        <w:rPr>
          <w:rFonts w:ascii="Times New Roman" w:hAnsi="Times New Roman" w:cs="Times New Roman"/>
          <w:sz w:val="24"/>
          <w:szCs w:val="24"/>
          <w:shd w:val="clear" w:color="auto" w:fill="FFFFFF"/>
        </w:rPr>
        <w:t xml:space="preserve">. There is literature discussing flexibility as a construct </w:t>
      </w:r>
      <w:r w:rsidRPr="005D4C1A">
        <w:rPr>
          <w:rFonts w:ascii="Times New Roman" w:hAnsi="Times New Roman" w:cs="Times New Roman"/>
          <w:sz w:val="24"/>
          <w:szCs w:val="24"/>
          <w:shd w:val="clear" w:color="auto" w:fill="FFFFFF"/>
        </w:rPr>
        <w:lastRenderedPageBreak/>
        <w:t xml:space="preserve">with dimensions including adaptability, alignment and agility (Stevenson and Spring, 2007, 2009) but </w:t>
      </w:r>
      <w:r w:rsidR="008C2EB5" w:rsidRPr="005D4C1A">
        <w:rPr>
          <w:rFonts w:ascii="Times New Roman" w:hAnsi="Times New Roman" w:cs="Times New Roman"/>
          <w:sz w:val="24"/>
          <w:szCs w:val="24"/>
          <w:shd w:val="clear" w:color="auto" w:fill="FFFFFF"/>
        </w:rPr>
        <w:t xml:space="preserve">this </w:t>
      </w:r>
      <w:r w:rsidRPr="005D4C1A">
        <w:rPr>
          <w:rFonts w:ascii="Times New Roman" w:hAnsi="Times New Roman" w:cs="Times New Roman"/>
          <w:sz w:val="24"/>
          <w:szCs w:val="24"/>
          <w:shd w:val="clear" w:color="auto" w:fill="FFFFFF"/>
        </w:rPr>
        <w:t>has not discussed the combined properties of adaptability, alignment, and agility.</w:t>
      </w:r>
    </w:p>
    <w:p w14:paraId="1674E861" w14:textId="59D5592B" w:rsidR="008775EF" w:rsidRPr="005D4C1A" w:rsidRDefault="008775EF" w:rsidP="008775EF">
      <w:pPr>
        <w:tabs>
          <w:tab w:val="left" w:pos="1047"/>
        </w:tabs>
        <w:spacing w:line="480" w:lineRule="auto"/>
        <w:jc w:val="both"/>
        <w:rPr>
          <w:rFonts w:ascii="Times New Roman" w:hAnsi="Times New Roman" w:cs="Times New Roman"/>
          <w:color w:val="000000"/>
          <w:sz w:val="24"/>
          <w:szCs w:val="24"/>
        </w:rPr>
      </w:pPr>
      <w:r w:rsidRPr="005D4C1A">
        <w:rPr>
          <w:rFonts w:ascii="Times New Roman" w:hAnsi="Times New Roman" w:cs="Times New Roman"/>
          <w:i/>
          <w:color w:val="000000"/>
          <w:sz w:val="24"/>
          <w:szCs w:val="24"/>
        </w:rPr>
        <w:t>Supply chain adaptability</w:t>
      </w:r>
      <w:r w:rsidRPr="005D4C1A">
        <w:rPr>
          <w:rFonts w:ascii="Times New Roman" w:hAnsi="Times New Roman" w:cs="Times New Roman"/>
          <w:color w:val="000000"/>
          <w:sz w:val="24"/>
          <w:szCs w:val="24"/>
        </w:rPr>
        <w:t xml:space="preserve"> is the ability to adjust </w:t>
      </w:r>
      <w:r w:rsidR="008C2EB5" w:rsidRPr="005D4C1A">
        <w:rPr>
          <w:rFonts w:ascii="Times New Roman" w:hAnsi="Times New Roman" w:cs="Times New Roman"/>
          <w:color w:val="000000"/>
          <w:sz w:val="24"/>
          <w:szCs w:val="24"/>
        </w:rPr>
        <w:t xml:space="preserve">a </w:t>
      </w:r>
      <w:r w:rsidRPr="005D4C1A">
        <w:rPr>
          <w:rFonts w:ascii="Times New Roman" w:hAnsi="Times New Roman" w:cs="Times New Roman"/>
          <w:color w:val="000000"/>
          <w:sz w:val="24"/>
          <w:szCs w:val="24"/>
        </w:rPr>
        <w:t xml:space="preserve">supply chain’s design to meet structural shifts in the markets and modify supply network [reflect changes] in strategies, technologies, and products (Lee, 2004). Ketchen and Hult (2007) define supply chain adaptability as the willingness to reshape supply chains when necessary, without ties to legacy issues or the way the chain has been operated previously. Stevenson and Spring (2007) have noted that supply chain adaptability is the property of </w:t>
      </w:r>
      <w:r w:rsidR="001A2B21">
        <w:rPr>
          <w:rFonts w:ascii="Times New Roman" w:hAnsi="Times New Roman" w:cs="Times New Roman"/>
          <w:color w:val="000000"/>
          <w:sz w:val="24"/>
          <w:szCs w:val="24"/>
        </w:rPr>
        <w:t xml:space="preserve">a </w:t>
      </w:r>
      <w:r w:rsidRPr="005D4C1A">
        <w:rPr>
          <w:rFonts w:ascii="Times New Roman" w:hAnsi="Times New Roman" w:cs="Times New Roman"/>
          <w:color w:val="000000"/>
          <w:sz w:val="24"/>
          <w:szCs w:val="24"/>
        </w:rPr>
        <w:t>supply chain which allows the members to cope with the dynamics associated with supply chain. Hence, we argue that supply chain adaptability prepares the supply chain members to adjust according to the situation and gain desired competitive advantage.</w:t>
      </w:r>
    </w:p>
    <w:p w14:paraId="1E0384CB" w14:textId="4943DD18" w:rsidR="008775EF" w:rsidRPr="005D4C1A" w:rsidRDefault="008775EF" w:rsidP="008775EF">
      <w:pPr>
        <w:tabs>
          <w:tab w:val="left" w:pos="1047"/>
        </w:tabs>
        <w:spacing w:line="480" w:lineRule="auto"/>
        <w:jc w:val="both"/>
        <w:rPr>
          <w:rFonts w:ascii="Times New Roman" w:hAnsi="Times New Roman" w:cs="Times New Roman"/>
          <w:sz w:val="24"/>
          <w:szCs w:val="24"/>
        </w:rPr>
      </w:pPr>
      <w:r w:rsidRPr="005D4C1A">
        <w:rPr>
          <w:rFonts w:ascii="Times New Roman" w:hAnsi="Times New Roman" w:cs="Times New Roman"/>
          <w:color w:val="000000"/>
          <w:sz w:val="24"/>
          <w:szCs w:val="24"/>
        </w:rPr>
        <w:t>Lee (2004) define</w:t>
      </w:r>
      <w:r w:rsidR="002542B5" w:rsidRPr="005D4C1A">
        <w:rPr>
          <w:rFonts w:ascii="Times New Roman" w:hAnsi="Times New Roman" w:cs="Times New Roman"/>
          <w:color w:val="000000"/>
          <w:sz w:val="24"/>
          <w:szCs w:val="24"/>
        </w:rPr>
        <w:t>s</w:t>
      </w:r>
      <w:r w:rsidRPr="005D4C1A">
        <w:rPr>
          <w:rFonts w:ascii="Times New Roman" w:hAnsi="Times New Roman" w:cs="Times New Roman"/>
          <w:color w:val="000000"/>
          <w:sz w:val="24"/>
          <w:szCs w:val="24"/>
        </w:rPr>
        <w:t xml:space="preserve"> </w:t>
      </w:r>
      <w:r w:rsidRPr="005D4C1A">
        <w:rPr>
          <w:rFonts w:ascii="Times New Roman" w:hAnsi="Times New Roman" w:cs="Times New Roman"/>
          <w:i/>
          <w:color w:val="000000"/>
          <w:sz w:val="24"/>
          <w:szCs w:val="24"/>
        </w:rPr>
        <w:t>supply chain alignment</w:t>
      </w:r>
      <w:r w:rsidRPr="005D4C1A">
        <w:rPr>
          <w:rFonts w:ascii="Times New Roman" w:hAnsi="Times New Roman" w:cs="Times New Roman"/>
          <w:color w:val="000000"/>
          <w:sz w:val="24"/>
          <w:szCs w:val="24"/>
        </w:rPr>
        <w:t xml:space="preserve"> as the ability of the supply chain to ensure </w:t>
      </w:r>
      <w:r w:rsidRPr="005D4C1A">
        <w:rPr>
          <w:rFonts w:ascii="Times New Roman" w:hAnsi="Times New Roman" w:cs="Times New Roman"/>
          <w:sz w:val="24"/>
          <w:szCs w:val="24"/>
        </w:rPr>
        <w:t>equitable distribution of risks, costs, and gains among</w:t>
      </w:r>
      <w:r w:rsidRPr="005D4C1A">
        <w:rPr>
          <w:rFonts w:ascii="Times New Roman" w:hAnsi="Times New Roman" w:cs="Times New Roman"/>
          <w:color w:val="000000"/>
          <w:sz w:val="24"/>
          <w:szCs w:val="24"/>
        </w:rPr>
        <w:t xml:space="preserve"> all participants</w:t>
      </w:r>
      <w:r w:rsidRPr="005D4C1A">
        <w:rPr>
          <w:rFonts w:ascii="Times New Roman" w:hAnsi="Times New Roman" w:cs="Times New Roman"/>
          <w:sz w:val="24"/>
          <w:szCs w:val="24"/>
        </w:rPr>
        <w:t>. Whitten et al. (2012, c.f. Matthyssens and Vandenbempt, 2008) noted that from strategic perspective, business processes such as purchasing, manufacturing, marketing, and logistics must be aligned both externally and internally throughout the supply chain for organizations to attain competitive advantage.</w:t>
      </w:r>
    </w:p>
    <w:p w14:paraId="080A1207" w14:textId="617A39D9" w:rsidR="008775EF" w:rsidRPr="005D4C1A" w:rsidRDefault="008775EF" w:rsidP="008775EF">
      <w:pPr>
        <w:pStyle w:val="first"/>
        <w:spacing w:before="0" w:beforeAutospacing="0" w:after="240" w:afterAutospacing="0" w:line="480" w:lineRule="auto"/>
        <w:jc w:val="both"/>
      </w:pPr>
      <w:r w:rsidRPr="005D4C1A">
        <w:rPr>
          <w:shd w:val="clear" w:color="auto" w:fill="FFFFFF"/>
        </w:rPr>
        <w:t xml:space="preserve">In this </w:t>
      </w:r>
      <w:r w:rsidR="002B64B5" w:rsidRPr="005D4C1A">
        <w:rPr>
          <w:shd w:val="clear" w:color="auto" w:fill="FFFFFF"/>
        </w:rPr>
        <w:t>paper,</w:t>
      </w:r>
      <w:r w:rsidRPr="005D4C1A">
        <w:rPr>
          <w:shd w:val="clear" w:color="auto" w:fill="FFFFFF"/>
        </w:rPr>
        <w:t xml:space="preserve"> we define supply chain agility, adaptability and alignment as follows. </w:t>
      </w:r>
      <w:r w:rsidRPr="005D4C1A">
        <w:rPr>
          <w:i/>
          <w:shd w:val="clear" w:color="auto" w:fill="FFFFFF"/>
        </w:rPr>
        <w:t>Supply chain agility is the property of a supply chain that enables it to sense short-term, temporary changes in supply chain and market environment, and flexibly and rapidly respond to these changes.</w:t>
      </w:r>
      <w:r w:rsidRPr="005D4C1A">
        <w:rPr>
          <w:shd w:val="clear" w:color="auto" w:fill="FFFFFF"/>
        </w:rPr>
        <w:t xml:space="preserve"> </w:t>
      </w:r>
      <w:r w:rsidRPr="005D4C1A">
        <w:rPr>
          <w:i/>
          <w:shd w:val="clear" w:color="auto" w:fill="FFFFFF"/>
        </w:rPr>
        <w:t>Supply chain adaptability</w:t>
      </w:r>
      <w:r w:rsidRPr="005D4C1A">
        <w:rPr>
          <w:shd w:val="clear" w:color="auto" w:fill="FFFFFF"/>
        </w:rPr>
        <w:t xml:space="preserve"> is </w:t>
      </w:r>
      <w:r w:rsidRPr="005D4C1A">
        <w:rPr>
          <w:i/>
          <w:shd w:val="clear" w:color="auto" w:fill="FFFFFF"/>
        </w:rPr>
        <w:t>the property of a supply chain that enables it to sense-long term, fundamental changes in the supply chain and market environment, and respond to such changes by flexibly adjusting the configuration of the supply chain.</w:t>
      </w:r>
      <w:r w:rsidRPr="005D4C1A">
        <w:rPr>
          <w:shd w:val="clear" w:color="auto" w:fill="FFFFFF"/>
        </w:rPr>
        <w:t xml:space="preserve"> </w:t>
      </w:r>
      <w:r w:rsidRPr="005D4C1A">
        <w:rPr>
          <w:i/>
          <w:shd w:val="clear" w:color="auto" w:fill="FFFFFF"/>
        </w:rPr>
        <w:t>Supply chain alignment</w:t>
      </w:r>
      <w:r w:rsidRPr="005D4C1A">
        <w:rPr>
          <w:shd w:val="clear" w:color="auto" w:fill="FFFFFF"/>
        </w:rPr>
        <w:t xml:space="preserve"> </w:t>
      </w:r>
      <w:r w:rsidRPr="005D4C1A">
        <w:rPr>
          <w:i/>
          <w:shd w:val="clear" w:color="auto" w:fill="FFFFFF"/>
        </w:rPr>
        <w:t>is</w:t>
      </w:r>
      <w:r w:rsidRPr="005D4C1A">
        <w:rPr>
          <w:shd w:val="clear" w:color="auto" w:fill="FFFFFF"/>
        </w:rPr>
        <w:t xml:space="preserve"> </w:t>
      </w:r>
      <w:r w:rsidRPr="005D4C1A">
        <w:rPr>
          <w:i/>
          <w:shd w:val="clear" w:color="auto" w:fill="FFFFFF"/>
        </w:rPr>
        <w:t xml:space="preserve">the property of the supply chain such that </w:t>
      </w:r>
      <w:r w:rsidRPr="005D4C1A">
        <w:rPr>
          <w:i/>
        </w:rPr>
        <w:t xml:space="preserve">the interests of all of the organizations in the supply chain are aligned through free information exchange, clearly laying out the role </w:t>
      </w:r>
      <w:r w:rsidRPr="005D4C1A">
        <w:rPr>
          <w:i/>
        </w:rPr>
        <w:lastRenderedPageBreak/>
        <w:t>of each constituent of the supply chain and through equitable sharing of risks, costs, and benefits</w:t>
      </w:r>
      <w:r w:rsidRPr="005D4C1A">
        <w:t>.</w:t>
      </w:r>
    </w:p>
    <w:p w14:paraId="47A267FF" w14:textId="08A32C2F" w:rsidR="00193EB6" w:rsidRPr="0070361B" w:rsidRDefault="00193EB6" w:rsidP="00F017B9">
      <w:pPr>
        <w:spacing w:line="480" w:lineRule="auto"/>
        <w:rPr>
          <w:rFonts w:ascii="Garamond" w:hAnsi="Garamond" w:cs="Times New Roman"/>
          <w:sz w:val="24"/>
          <w:szCs w:val="24"/>
          <w:shd w:val="clear" w:color="auto" w:fill="FFFFFF"/>
        </w:rPr>
      </w:pPr>
      <w:r w:rsidRPr="0070361B">
        <w:rPr>
          <w:rFonts w:ascii="Garamond" w:hAnsi="Garamond" w:cs="Times New Roman"/>
          <w:b/>
          <w:noProof/>
          <w:sz w:val="24"/>
          <w:szCs w:val="24"/>
        </w:rPr>
        <mc:AlternateContent>
          <mc:Choice Requires="wpg">
            <w:drawing>
              <wp:anchor distT="0" distB="0" distL="114300" distR="114300" simplePos="0" relativeHeight="251660800" behindDoc="0" locked="0" layoutInCell="1" allowOverlap="1" wp14:anchorId="6F7A0EEA" wp14:editId="389B21BE">
                <wp:simplePos x="0" y="0"/>
                <wp:positionH relativeFrom="column">
                  <wp:posOffset>-45156</wp:posOffset>
                </wp:positionH>
                <wp:positionV relativeFrom="paragraph">
                  <wp:posOffset>-213</wp:posOffset>
                </wp:positionV>
                <wp:extent cx="5615865" cy="2212623"/>
                <wp:effectExtent l="0" t="0" r="23495" b="16510"/>
                <wp:wrapNone/>
                <wp:docPr id="52" name="Group 52"/>
                <wp:cNvGraphicFramePr/>
                <a:graphic xmlns:a="http://schemas.openxmlformats.org/drawingml/2006/main">
                  <a:graphicData uri="http://schemas.microsoft.com/office/word/2010/wordprocessingGroup">
                    <wpg:wgp>
                      <wpg:cNvGrpSpPr/>
                      <wpg:grpSpPr>
                        <a:xfrm>
                          <a:off x="0" y="0"/>
                          <a:ext cx="5615865" cy="2212623"/>
                          <a:chOff x="0" y="0"/>
                          <a:chExt cx="5615865" cy="2341357"/>
                        </a:xfrm>
                      </wpg:grpSpPr>
                      <wps:wsp>
                        <wps:cNvPr id="53" name="Rectangle 2"/>
                        <wps:cNvSpPr>
                          <a:spLocks noChangeArrowheads="1"/>
                        </wps:cNvSpPr>
                        <wps:spPr bwMode="auto">
                          <a:xfrm>
                            <a:off x="0" y="349623"/>
                            <a:ext cx="866775" cy="522605"/>
                          </a:xfrm>
                          <a:prstGeom prst="rect">
                            <a:avLst/>
                          </a:prstGeom>
                          <a:solidFill>
                            <a:srgbClr val="FFFFFF"/>
                          </a:solidFill>
                          <a:ln w="9525">
                            <a:solidFill>
                              <a:srgbClr val="000000"/>
                            </a:solidFill>
                            <a:miter lim="800000"/>
                            <a:headEnd/>
                            <a:tailEnd/>
                          </a:ln>
                        </wps:spPr>
                        <wps:txbx>
                          <w:txbxContent>
                            <w:p w14:paraId="485FEA8A" w14:textId="77777777" w:rsidR="00956655" w:rsidRPr="00751100"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Supply chain connectivity</w:t>
                              </w:r>
                            </w:p>
                          </w:txbxContent>
                        </wps:txbx>
                        <wps:bodyPr rot="0" vert="horz" wrap="square" lIns="91440" tIns="45720" rIns="91440" bIns="45720" anchor="t" anchorCtr="0" upright="1">
                          <a:noAutofit/>
                        </wps:bodyPr>
                      </wps:wsp>
                      <wps:wsp>
                        <wps:cNvPr id="54" name="Rectangle 4"/>
                        <wps:cNvSpPr>
                          <a:spLocks noChangeArrowheads="1"/>
                        </wps:cNvSpPr>
                        <wps:spPr bwMode="auto">
                          <a:xfrm>
                            <a:off x="1707776" y="874059"/>
                            <a:ext cx="831215" cy="487045"/>
                          </a:xfrm>
                          <a:prstGeom prst="rect">
                            <a:avLst/>
                          </a:prstGeom>
                          <a:solidFill>
                            <a:srgbClr val="FFFFFF"/>
                          </a:solidFill>
                          <a:ln w="9525">
                            <a:solidFill>
                              <a:srgbClr val="000000"/>
                            </a:solidFill>
                            <a:miter lim="800000"/>
                            <a:headEnd/>
                            <a:tailEnd/>
                          </a:ln>
                        </wps:spPr>
                        <wps:txbx>
                          <w:txbxContent>
                            <w:p w14:paraId="22B59464"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Supply chain visibility</w:t>
                              </w:r>
                            </w:p>
                          </w:txbxContent>
                        </wps:txbx>
                        <wps:bodyPr rot="0" vert="horz" wrap="square" lIns="91440" tIns="45720" rIns="91440" bIns="45720" anchor="t" anchorCtr="0" upright="1">
                          <a:noAutofit/>
                        </wps:bodyPr>
                      </wps:wsp>
                      <wps:wsp>
                        <wps:cNvPr id="55" name="Rectangle 6"/>
                        <wps:cNvSpPr>
                          <a:spLocks noChangeArrowheads="1"/>
                        </wps:cNvSpPr>
                        <wps:spPr bwMode="auto">
                          <a:xfrm>
                            <a:off x="4867835" y="0"/>
                            <a:ext cx="688340" cy="439420"/>
                          </a:xfrm>
                          <a:prstGeom prst="rect">
                            <a:avLst/>
                          </a:prstGeom>
                          <a:solidFill>
                            <a:srgbClr val="FFFFFF"/>
                          </a:solidFill>
                          <a:ln w="9525">
                            <a:solidFill>
                              <a:srgbClr val="000000"/>
                            </a:solidFill>
                            <a:miter lim="800000"/>
                            <a:headEnd/>
                            <a:tailEnd/>
                          </a:ln>
                        </wps:spPr>
                        <wps:txbx>
                          <w:txbxContent>
                            <w:p w14:paraId="2B0A7527"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Agility</w:t>
                              </w:r>
                            </w:p>
                          </w:txbxContent>
                        </wps:txbx>
                        <wps:bodyPr rot="0" vert="horz" wrap="square" lIns="91440" tIns="45720" rIns="91440" bIns="45720" anchor="t" anchorCtr="0" upright="1">
                          <a:noAutofit/>
                        </wps:bodyPr>
                      </wps:wsp>
                      <wps:wsp>
                        <wps:cNvPr id="56" name="Rectangle 7"/>
                        <wps:cNvSpPr>
                          <a:spLocks noChangeArrowheads="1"/>
                        </wps:cNvSpPr>
                        <wps:spPr bwMode="auto">
                          <a:xfrm>
                            <a:off x="4867835" y="874059"/>
                            <a:ext cx="748030" cy="487045"/>
                          </a:xfrm>
                          <a:prstGeom prst="rect">
                            <a:avLst/>
                          </a:prstGeom>
                          <a:solidFill>
                            <a:srgbClr val="FFFFFF"/>
                          </a:solidFill>
                          <a:ln w="9525">
                            <a:solidFill>
                              <a:srgbClr val="000000"/>
                            </a:solidFill>
                            <a:miter lim="800000"/>
                            <a:headEnd/>
                            <a:tailEnd/>
                          </a:ln>
                        </wps:spPr>
                        <wps:txbx>
                          <w:txbxContent>
                            <w:p w14:paraId="4B3D352E"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Adaptability</w:t>
                              </w:r>
                            </w:p>
                          </w:txbxContent>
                        </wps:txbx>
                        <wps:bodyPr rot="0" vert="horz" wrap="square" lIns="91440" tIns="45720" rIns="91440" bIns="45720" anchor="t" anchorCtr="0" upright="1">
                          <a:noAutofit/>
                        </wps:bodyPr>
                      </wps:wsp>
                      <wps:wsp>
                        <wps:cNvPr id="57" name="AutoShape 9"/>
                        <wps:cNvCnPr>
                          <a:cxnSpLocks noChangeShapeType="1"/>
                        </wps:cNvCnPr>
                        <wps:spPr bwMode="auto">
                          <a:xfrm>
                            <a:off x="860612" y="578223"/>
                            <a:ext cx="843280" cy="4629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 name="Rectangle 3"/>
                        <wps:cNvSpPr>
                          <a:spLocks noChangeArrowheads="1"/>
                        </wps:cNvSpPr>
                        <wps:spPr bwMode="auto">
                          <a:xfrm>
                            <a:off x="0" y="1479176"/>
                            <a:ext cx="866775" cy="593725"/>
                          </a:xfrm>
                          <a:prstGeom prst="rect">
                            <a:avLst/>
                          </a:prstGeom>
                          <a:solidFill>
                            <a:srgbClr val="FFFFFF"/>
                          </a:solidFill>
                          <a:ln w="9525">
                            <a:solidFill>
                              <a:srgbClr val="000000"/>
                            </a:solidFill>
                            <a:miter lim="800000"/>
                            <a:headEnd/>
                            <a:tailEnd/>
                          </a:ln>
                        </wps:spPr>
                        <wps:txbx>
                          <w:txbxContent>
                            <w:p w14:paraId="062E01A7"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Supply chain information sharing</w:t>
                              </w:r>
                            </w:p>
                          </w:txbxContent>
                        </wps:txbx>
                        <wps:bodyPr rot="0" vert="horz" wrap="square" lIns="91440" tIns="45720" rIns="91440" bIns="45720" anchor="t" anchorCtr="0" upright="1">
                          <a:noAutofit/>
                        </wps:bodyPr>
                      </wps:wsp>
                      <wps:wsp>
                        <wps:cNvPr id="59" name="Rectangle 8"/>
                        <wps:cNvSpPr>
                          <a:spLocks noChangeArrowheads="1"/>
                        </wps:cNvSpPr>
                        <wps:spPr bwMode="auto">
                          <a:xfrm>
                            <a:off x="4867835" y="1842247"/>
                            <a:ext cx="748030" cy="499110"/>
                          </a:xfrm>
                          <a:prstGeom prst="rect">
                            <a:avLst/>
                          </a:prstGeom>
                          <a:solidFill>
                            <a:srgbClr val="FFFFFF"/>
                          </a:solidFill>
                          <a:ln w="9525">
                            <a:solidFill>
                              <a:srgbClr val="000000"/>
                            </a:solidFill>
                            <a:miter lim="800000"/>
                            <a:headEnd/>
                            <a:tailEnd/>
                          </a:ln>
                        </wps:spPr>
                        <wps:txbx>
                          <w:txbxContent>
                            <w:p w14:paraId="2E021246"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Alignment</w:t>
                              </w:r>
                            </w:p>
                          </w:txbxContent>
                        </wps:txbx>
                        <wps:bodyPr rot="0" vert="horz" wrap="square" lIns="91440" tIns="45720" rIns="91440" bIns="45720" anchor="t" anchorCtr="0" upright="1">
                          <a:noAutofit/>
                        </wps:bodyPr>
                      </wps:wsp>
                      <wps:wsp>
                        <wps:cNvPr id="60" name="AutoShape 15"/>
                        <wps:cNvCnPr>
                          <a:cxnSpLocks noChangeShapeType="1"/>
                        </wps:cNvCnPr>
                        <wps:spPr bwMode="auto">
                          <a:xfrm>
                            <a:off x="430306" y="874059"/>
                            <a:ext cx="0" cy="5937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0"/>
                        <wps:cNvCnPr>
                          <a:cxnSpLocks noChangeShapeType="1"/>
                        </wps:cNvCnPr>
                        <wps:spPr bwMode="auto">
                          <a:xfrm flipV="1">
                            <a:off x="860612" y="1290917"/>
                            <a:ext cx="843280" cy="4749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 name="Rectangle 5"/>
                        <wps:cNvSpPr>
                          <a:spLocks noChangeArrowheads="1"/>
                        </wps:cNvSpPr>
                        <wps:spPr bwMode="auto">
                          <a:xfrm>
                            <a:off x="2931459" y="1842247"/>
                            <a:ext cx="842645" cy="487045"/>
                          </a:xfrm>
                          <a:prstGeom prst="rect">
                            <a:avLst/>
                          </a:prstGeom>
                          <a:solidFill>
                            <a:srgbClr val="FFFFFF"/>
                          </a:solidFill>
                          <a:ln w="9525">
                            <a:solidFill>
                              <a:srgbClr val="000000"/>
                            </a:solidFill>
                            <a:miter lim="800000"/>
                            <a:headEnd/>
                            <a:tailEnd/>
                          </a:ln>
                        </wps:spPr>
                        <wps:txbx>
                          <w:txbxContent>
                            <w:p w14:paraId="2083E086"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 xml:space="preserve">Top management </w:t>
                              </w:r>
                              <w:r>
                                <w:rPr>
                                  <w:rFonts w:ascii="Times New Roman" w:hAnsi="Times New Roman" w:cs="Times New Roman"/>
                                  <w:sz w:val="16"/>
                                  <w:szCs w:val="16"/>
                                </w:rPr>
                                <w:t>commitment</w:t>
                              </w:r>
                            </w:p>
                          </w:txbxContent>
                        </wps:txbx>
                        <wps:bodyPr rot="0" vert="horz" wrap="square" lIns="91440" tIns="45720" rIns="91440" bIns="45720" anchor="t" anchorCtr="0" upright="1">
                          <a:noAutofit/>
                        </wps:bodyPr>
                      </wps:wsp>
                      <wps:wsp>
                        <wps:cNvPr id="63" name="Straight Arrow Connector 63"/>
                        <wps:cNvCnPr/>
                        <wps:spPr>
                          <a:xfrm flipV="1">
                            <a:off x="2528047" y="188259"/>
                            <a:ext cx="2374900"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 name="Straight Arrow Connector 64"/>
                        <wps:cNvCnPr/>
                        <wps:spPr>
                          <a:xfrm>
                            <a:off x="2541494" y="1143000"/>
                            <a:ext cx="2348230" cy="12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 name="Straight Arrow Connector 65"/>
                        <wps:cNvCnPr/>
                        <wps:spPr>
                          <a:xfrm>
                            <a:off x="2541494" y="1290917"/>
                            <a:ext cx="2329180" cy="7835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6" name="Straight Arrow Connector 66"/>
                        <wps:cNvCnPr/>
                        <wps:spPr>
                          <a:xfrm flipV="1">
                            <a:off x="3307976" y="605117"/>
                            <a:ext cx="342900" cy="12439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7" name="Straight Arrow Connector 67"/>
                        <wps:cNvCnPr/>
                        <wps:spPr>
                          <a:xfrm flipV="1">
                            <a:off x="3334871" y="1156447"/>
                            <a:ext cx="596900" cy="6851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Straight Arrow Connector 68"/>
                        <wps:cNvCnPr/>
                        <wps:spPr>
                          <a:xfrm flipV="1">
                            <a:off x="3348318" y="1721223"/>
                            <a:ext cx="393700" cy="1263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6F7A0EEA" id="Group 52" o:spid="_x0000_s1026" style="position:absolute;margin-left:-3.55pt;margin-top:0;width:442.2pt;height:174.2pt;z-index:251660800;mso-height-relative:margin" coordsize="56158,23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">
                <v:rect id="Rectangle 2" o:spid="_x0000_s1027" style="position:absolute;top:3496;width:8667;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2opwgAAANsAAAAPAAAAZHJzL2Rvd25yZXYueG1sRI9Bi8Iw&#10;FITvgv8hPMGbpior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D8F2opwgAAANsAAAAPAAAA&#10;AAAAAAAAAAAAAAcCAABkcnMvZG93bnJldi54bWxQSwUGAAAAAAMAAwC3AAAA9gIAAAAA&#10;">
                  <v:textbox>
                    <w:txbxContent>
                      <w:p w14:paraId="485FEA8A" w14:textId="77777777" w:rsidR="00956655" w:rsidRPr="00751100"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Supply chain connectivity</w:t>
                        </w:r>
                      </w:p>
                    </w:txbxContent>
                  </v:textbox>
                </v:rect>
                <v:rect id="Rectangle 4" o:spid="_x0000_s1028" style="position:absolute;left:17077;top:8740;width:8312;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">
                  <v:textbox>
                    <w:txbxContent>
                      <w:p w14:paraId="22B59464"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Supply chain visibility</w:t>
                        </w:r>
                      </w:p>
                    </w:txbxContent>
                  </v:textbox>
                </v:rect>
                <v:rect id="Rectangle 6" o:spid="_x0000_s1029" style="position:absolute;left:48678;width:6883;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fGwgAAANsAAAAPAAAAZHJzL2Rvd25yZXYueG1sRI9Bi8Iw&#10;FITvgv8hPMGbprq4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AcslfGwgAAANsAAAAPAAAA&#10;AAAAAAAAAAAAAAcCAABkcnMvZG93bnJldi54bWxQSwUGAAAAAAMAAwC3AAAA9gIAAAAA&#10;">
                  <v:textbox>
                    <w:txbxContent>
                      <w:p w14:paraId="2B0A7527"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Agility</w:t>
                        </w:r>
                      </w:p>
                    </w:txbxContent>
                  </v:textbox>
                </v:rect>
                <v:rect id="Rectangle 7" o:spid="_x0000_s1030" style="position:absolute;left:48678;top:8740;width:7480;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mxxAAAANsAAAAPAAAAZHJzL2Rvd25yZXYueG1sRI9Ba8JA&#10;FITvQv/D8gq9mU0tio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OxgybHEAAAA2wAAAA8A&#10;AAAAAAAAAAAAAAAABwIAAGRycy9kb3ducmV2LnhtbFBLBQYAAAAAAwADALcAAAD4AgAAAAA=&#10;">
                  <v:textbox>
                    <w:txbxContent>
                      <w:p w14:paraId="4B3D352E"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Adaptability</w:t>
                        </w:r>
                      </w:p>
                    </w:txbxContent>
                  </v:textbox>
                </v:rect>
                <v:shapetype id="_x0000_t32" coordsize="21600,21600" o:spt="32" o:oned="t" path="m,l21600,21600e" filled="f">
                  <v:path arrowok="t" fillok="f" o:connecttype="none"/>
                  <o:lock v:ext="edit" shapetype="t"/>
                </v:shapetype>
                <v:shape id="AutoShape 9" o:spid="_x0000_s1031" type="#_x0000_t32" style="position:absolute;left:8606;top:5782;width:8432;height:46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">
                  <v:stroke endarrow="block"/>
                </v:shape>
                <v:rect id="Rectangle 3" o:spid="_x0000_s1032" style="position:absolute;top:14791;width:8667;height:5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hYwQAAANsAAAAPAAAAZHJzL2Rvd25yZXYueG1sRE89b8Iw&#10;EN0r8R+sQ2IrDlRU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PKz+FjBAAAA2wAAAA8AAAAA&#10;AAAAAAAAAAAABwIAAGRycy9kb3ducmV2LnhtbFBLBQYAAAAAAwADALcAAAD1AgAAAAA=&#10;">
                  <v:textbox>
                    <w:txbxContent>
                      <w:p w14:paraId="062E01A7"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Supply chain information sharing</w:t>
                        </w:r>
                      </w:p>
                    </w:txbxContent>
                  </v:textbox>
                </v:rect>
                <v:rect id="Rectangle 8" o:spid="_x0000_s1033" style="position:absolute;left:48678;top:18422;width:7480;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3DxAAAANsAAAAPAAAAZHJzL2Rvd25yZXYueG1sRI9Ba8JA&#10;FITvBf/D8oTemo0WSx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J3/XcPEAAAA2wAAAA8A&#10;AAAAAAAAAAAAAAAABwIAAGRycy9kb3ducmV2LnhtbFBLBQYAAAAAAwADALcAAAD4AgAAAAA=&#10;">
                  <v:textbox>
                    <w:txbxContent>
                      <w:p w14:paraId="2E021246" w14:textId="77777777" w:rsidR="00956655" w:rsidRPr="0050355E" w:rsidRDefault="00956655" w:rsidP="00193EB6">
                        <w:pPr>
                          <w:rPr>
                            <w:rFonts w:ascii="Times New Roman" w:hAnsi="Times New Roman" w:cs="Times New Roman"/>
                            <w:sz w:val="16"/>
                            <w:szCs w:val="16"/>
                          </w:rPr>
                        </w:pPr>
                        <w:r w:rsidRPr="00260875">
                          <w:rPr>
                            <w:rFonts w:ascii="Times New Roman" w:hAnsi="Times New Roman" w:cs="Times New Roman"/>
                            <w:sz w:val="16"/>
                            <w:szCs w:val="16"/>
                          </w:rPr>
                          <w:t>Alignment</w:t>
                        </w:r>
                      </w:p>
                    </w:txbxContent>
                  </v:textbox>
                </v:rect>
                <v:shape id="AutoShape 15" o:spid="_x0000_s1034" type="#_x0000_t32" style="position:absolute;left:4303;top:8740;width:0;height:59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">
                  <v:stroke endarrow="block"/>
                </v:shape>
                <v:shape id="AutoShape 10" o:spid="_x0000_s1035" type="#_x0000_t32" style="position:absolute;left:8606;top:12909;width:8432;height:47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">
                  <v:stroke endarrow="block"/>
                </v:shape>
                <v:rect id="Rectangle 5" o:spid="_x0000_s1036" style="position:absolute;left:29314;top:18422;width:8427;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">
                  <v:textbox>
                    <w:txbxContent>
                      <w:p w14:paraId="2083E086" w14:textId="77777777" w:rsidR="00956655" w:rsidRDefault="00956655" w:rsidP="00193EB6">
                        <w:pPr>
                          <w:jc w:val="center"/>
                          <w:rPr>
                            <w:rFonts w:ascii="Times New Roman" w:hAnsi="Times New Roman" w:cs="Times New Roman"/>
                            <w:sz w:val="16"/>
                            <w:szCs w:val="16"/>
                          </w:rPr>
                        </w:pPr>
                        <w:r w:rsidRPr="00260875">
                          <w:rPr>
                            <w:rFonts w:ascii="Times New Roman" w:hAnsi="Times New Roman" w:cs="Times New Roman"/>
                            <w:sz w:val="16"/>
                            <w:szCs w:val="16"/>
                          </w:rPr>
                          <w:t xml:space="preserve">Top management </w:t>
                        </w:r>
                        <w:r>
                          <w:rPr>
                            <w:rFonts w:ascii="Times New Roman" w:hAnsi="Times New Roman" w:cs="Times New Roman"/>
                            <w:sz w:val="16"/>
                            <w:szCs w:val="16"/>
                          </w:rPr>
                          <w:t>commitment</w:t>
                        </w:r>
                      </w:p>
                    </w:txbxContent>
                  </v:textbox>
                </v:rect>
                <v:shape id="Straight Arrow Connector 63" o:spid="_x0000_s1037" type="#_x0000_t32" style="position:absolute;left:25280;top:1882;width:23749;height:83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" strokecolor="black [3040]">
                  <v:stroke endarrow="block"/>
                </v:shape>
                <v:shape id="Straight Arrow Connector 64" o:spid="_x0000_s1038" type="#_x0000_t32" style="position:absolute;left:25414;top:11430;width:23483;height:1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" strokecolor="black [3040]">
                  <v:stroke endarrow="block"/>
                </v:shape>
                <v:shape id="Straight Arrow Connector 65" o:spid="_x0000_s1039" type="#_x0000_t32" style="position:absolute;left:25414;top:12909;width:23292;height:7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" strokecolor="black [3040]">
                  <v:stroke endarrow="block"/>
                </v:shape>
                <v:shape id="Straight Arrow Connector 66" o:spid="_x0000_s1040" type="#_x0000_t32" style="position:absolute;left:33079;top:6051;width:3429;height:124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" strokecolor="black [3040]">
                  <v:stroke endarrow="block"/>
                </v:shape>
                <v:shape id="Straight Arrow Connector 67" o:spid="_x0000_s1041" type="#_x0000_t32" style="position:absolute;left:33348;top:11564;width:5969;height:68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" strokecolor="black [3040]">
                  <v:stroke endarrow="block"/>
                </v:shape>
                <v:shape id="Straight Arrow Connector 68" o:spid="_x0000_s1042" type="#_x0000_t32" style="position:absolute;left:33483;top:17212;width:3937;height:12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" strokecolor="black [3040]">
                  <v:stroke endarrow="block"/>
                </v:shape>
              </v:group>
            </w:pict>
          </mc:Fallback>
        </mc:AlternateContent>
      </w:r>
    </w:p>
    <w:p w14:paraId="3C7C7136" w14:textId="77777777" w:rsidR="00193EB6" w:rsidRPr="0070361B" w:rsidRDefault="00193EB6" w:rsidP="00193EB6">
      <w:pPr>
        <w:spacing w:line="480" w:lineRule="auto"/>
        <w:ind w:left="720" w:hanging="720"/>
        <w:jc w:val="both"/>
        <w:rPr>
          <w:rFonts w:ascii="Garamond" w:hAnsi="Garamond" w:cs="Times New Roman"/>
          <w:sz w:val="24"/>
          <w:szCs w:val="24"/>
          <w:shd w:val="clear" w:color="auto" w:fill="FFFFFF"/>
        </w:rPr>
      </w:pPr>
    </w:p>
    <w:p w14:paraId="0D0FFAB7" w14:textId="77777777" w:rsidR="00193EB6" w:rsidRPr="0070361B" w:rsidRDefault="00193EB6" w:rsidP="00193EB6">
      <w:pPr>
        <w:spacing w:line="480" w:lineRule="auto"/>
        <w:ind w:left="720" w:hanging="720"/>
        <w:jc w:val="both"/>
        <w:rPr>
          <w:rFonts w:ascii="Garamond" w:hAnsi="Garamond" w:cs="Times New Roman"/>
          <w:sz w:val="24"/>
          <w:szCs w:val="24"/>
          <w:shd w:val="clear" w:color="auto" w:fill="FFFFFF"/>
        </w:rPr>
      </w:pPr>
    </w:p>
    <w:p w14:paraId="3911E6A5" w14:textId="77777777" w:rsidR="00193EB6" w:rsidRPr="0070361B" w:rsidRDefault="00193EB6" w:rsidP="00193EB6">
      <w:pPr>
        <w:spacing w:line="480" w:lineRule="auto"/>
        <w:ind w:left="720" w:hanging="720"/>
        <w:jc w:val="both"/>
        <w:rPr>
          <w:rFonts w:ascii="Garamond" w:hAnsi="Garamond" w:cs="Times New Roman"/>
          <w:sz w:val="24"/>
          <w:szCs w:val="24"/>
          <w:shd w:val="clear" w:color="auto" w:fill="FFFFFF"/>
        </w:rPr>
      </w:pPr>
    </w:p>
    <w:p w14:paraId="5481C3EC" w14:textId="77777777" w:rsidR="00F017B9" w:rsidRDefault="00F017B9" w:rsidP="00193EB6">
      <w:pPr>
        <w:tabs>
          <w:tab w:val="left" w:pos="1047"/>
        </w:tabs>
        <w:spacing w:line="480" w:lineRule="auto"/>
        <w:jc w:val="both"/>
        <w:rPr>
          <w:rFonts w:ascii="Garamond" w:hAnsi="Garamond" w:cs="Times New Roman"/>
          <w:sz w:val="24"/>
          <w:szCs w:val="24"/>
          <w:shd w:val="clear" w:color="auto" w:fill="FFFFFF"/>
        </w:rPr>
      </w:pPr>
    </w:p>
    <w:p w14:paraId="58C139B3" w14:textId="6B2062F8" w:rsidR="008775EF" w:rsidRDefault="00193EB6" w:rsidP="00193EB6">
      <w:pPr>
        <w:tabs>
          <w:tab w:val="left" w:pos="1047"/>
        </w:tabs>
        <w:spacing w:line="480" w:lineRule="auto"/>
        <w:jc w:val="both"/>
        <w:rPr>
          <w:rFonts w:ascii="Garamond" w:hAnsi="Garamond" w:cs="Times New Roman"/>
          <w:sz w:val="24"/>
          <w:szCs w:val="24"/>
          <w:shd w:val="clear" w:color="auto" w:fill="FFFFFF"/>
        </w:rPr>
      </w:pPr>
      <w:r w:rsidRPr="0070361B">
        <w:rPr>
          <w:rFonts w:ascii="Garamond" w:hAnsi="Garamond" w:cs="Times New Roman"/>
          <w:sz w:val="24"/>
          <w:szCs w:val="24"/>
          <w:shd w:val="clear" w:color="auto" w:fill="FFFFFF"/>
        </w:rPr>
        <w:t xml:space="preserve">Figure 1: </w:t>
      </w:r>
      <w:r w:rsidR="000972E0">
        <w:rPr>
          <w:rFonts w:ascii="Garamond" w:hAnsi="Garamond" w:cs="Times New Roman"/>
          <w:sz w:val="24"/>
          <w:szCs w:val="24"/>
          <w:shd w:val="clear" w:color="auto" w:fill="FFFFFF"/>
        </w:rPr>
        <w:t>Research Model</w:t>
      </w:r>
    </w:p>
    <w:p w14:paraId="4B85ACB9" w14:textId="1CBF7CB6" w:rsidR="002542B5" w:rsidRPr="00F017B9" w:rsidRDefault="00193EB6" w:rsidP="00654B52">
      <w:pPr>
        <w:tabs>
          <w:tab w:val="left" w:pos="1047"/>
        </w:tabs>
        <w:spacing w:line="480" w:lineRule="auto"/>
        <w:jc w:val="both"/>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 xml:space="preserve">2.3 </w:t>
      </w:r>
      <w:r w:rsidR="002542B5" w:rsidRPr="00F017B9">
        <w:rPr>
          <w:rFonts w:ascii="Times New Roman" w:hAnsi="Times New Roman" w:cs="Times New Roman"/>
          <w:b/>
          <w:sz w:val="24"/>
          <w:szCs w:val="24"/>
          <w:shd w:val="clear" w:color="auto" w:fill="FFFFFF"/>
        </w:rPr>
        <w:t>Supply chain visibility</w:t>
      </w:r>
    </w:p>
    <w:p w14:paraId="60980902" w14:textId="29B4195E" w:rsidR="00A62CE4" w:rsidRPr="00F017B9" w:rsidRDefault="000B319A" w:rsidP="00B77637">
      <w:pPr>
        <w:tabs>
          <w:tab w:val="left" w:pos="1047"/>
        </w:tabs>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w:t>
      </w:r>
      <w:r w:rsidR="00B32AC1" w:rsidRPr="00F017B9">
        <w:rPr>
          <w:rFonts w:ascii="Times New Roman" w:hAnsi="Times New Roman" w:cs="Times New Roman"/>
          <w:sz w:val="24"/>
          <w:szCs w:val="24"/>
          <w:shd w:val="clear" w:color="auto" w:fill="FFFFFF"/>
        </w:rPr>
        <w:t>upply chain visibility</w:t>
      </w:r>
      <w:r w:rsidR="002F0672" w:rsidRPr="00F017B9">
        <w:rPr>
          <w:rFonts w:ascii="Times New Roman" w:hAnsi="Times New Roman" w:cs="Times New Roman"/>
          <w:sz w:val="24"/>
          <w:szCs w:val="24"/>
          <w:shd w:val="clear" w:color="auto" w:fill="FFFFFF"/>
        </w:rPr>
        <w:t xml:space="preserve"> </w:t>
      </w:r>
      <w:r w:rsidR="00B32AC1" w:rsidRPr="00F017B9">
        <w:rPr>
          <w:rFonts w:ascii="Times New Roman" w:hAnsi="Times New Roman" w:cs="Times New Roman"/>
          <w:sz w:val="24"/>
          <w:szCs w:val="24"/>
          <w:shd w:val="clear" w:color="auto" w:fill="FFFFFF"/>
        </w:rPr>
        <w:t>has been conceptualized as a capability (</w:t>
      </w:r>
      <w:r w:rsidR="00A83EDB" w:rsidRPr="00F017B9">
        <w:rPr>
          <w:rFonts w:ascii="Times New Roman" w:hAnsi="Times New Roman" w:cs="Times New Roman"/>
          <w:sz w:val="24"/>
          <w:szCs w:val="24"/>
          <w:shd w:val="clear" w:color="auto" w:fill="FFFFFF"/>
        </w:rPr>
        <w:t xml:space="preserve">Francis, 2008; </w:t>
      </w:r>
      <w:r w:rsidR="00B32AC1" w:rsidRPr="00F017B9">
        <w:rPr>
          <w:rFonts w:ascii="Times New Roman" w:hAnsi="Times New Roman" w:cs="Times New Roman"/>
          <w:sz w:val="24"/>
          <w:szCs w:val="24"/>
          <w:shd w:val="clear" w:color="auto" w:fill="FFFFFF"/>
        </w:rPr>
        <w:t>Barratt and Oke, 2007; Juttner and Maklan, 2011; Brandon-Jones et al. 2014)</w:t>
      </w:r>
      <w:r w:rsidR="00EA3AAC" w:rsidRPr="00F017B9">
        <w:rPr>
          <w:rFonts w:ascii="Times New Roman" w:hAnsi="Times New Roman" w:cs="Times New Roman"/>
          <w:sz w:val="24"/>
          <w:szCs w:val="24"/>
          <w:shd w:val="clear" w:color="auto" w:fill="FFFFFF"/>
        </w:rPr>
        <w:t xml:space="preserve">. </w:t>
      </w:r>
      <w:r w:rsidR="00433C63" w:rsidRPr="00F017B9">
        <w:rPr>
          <w:rFonts w:ascii="Times New Roman" w:hAnsi="Times New Roman" w:cs="Times New Roman"/>
          <w:sz w:val="24"/>
          <w:szCs w:val="24"/>
          <w:shd w:val="clear" w:color="auto" w:fill="FFFFFF"/>
        </w:rPr>
        <w:t>T</w:t>
      </w:r>
      <w:r w:rsidR="001D4048" w:rsidRPr="00F017B9">
        <w:rPr>
          <w:rFonts w:ascii="Times New Roman" w:hAnsi="Times New Roman" w:cs="Times New Roman"/>
          <w:sz w:val="24"/>
          <w:szCs w:val="24"/>
          <w:shd w:val="clear" w:color="auto" w:fill="FFFFFF"/>
        </w:rPr>
        <w:t xml:space="preserve">here is no consensus in the use of </w:t>
      </w:r>
      <w:r w:rsidR="00F31CC6" w:rsidRPr="00F017B9">
        <w:rPr>
          <w:rFonts w:ascii="Times New Roman" w:hAnsi="Times New Roman" w:cs="Times New Roman"/>
          <w:sz w:val="24"/>
          <w:szCs w:val="24"/>
          <w:shd w:val="clear" w:color="auto" w:fill="FFFFFF"/>
        </w:rPr>
        <w:t xml:space="preserve">the </w:t>
      </w:r>
      <w:r w:rsidR="001D4048" w:rsidRPr="00F017B9">
        <w:rPr>
          <w:rFonts w:ascii="Times New Roman" w:hAnsi="Times New Roman" w:cs="Times New Roman"/>
          <w:sz w:val="24"/>
          <w:szCs w:val="24"/>
          <w:shd w:val="clear" w:color="auto" w:fill="FFFFFF"/>
        </w:rPr>
        <w:t xml:space="preserve">term, with </w:t>
      </w:r>
      <w:r w:rsidR="00C61A9B" w:rsidRPr="00F017B9">
        <w:rPr>
          <w:rFonts w:ascii="Times New Roman" w:hAnsi="Times New Roman" w:cs="Times New Roman"/>
          <w:sz w:val="24"/>
          <w:szCs w:val="24"/>
          <w:shd w:val="clear" w:color="auto" w:fill="FFFFFF"/>
        </w:rPr>
        <w:t>some</w:t>
      </w:r>
      <w:r w:rsidR="00F64F68" w:rsidRPr="00F017B9">
        <w:rPr>
          <w:rFonts w:ascii="Times New Roman" w:hAnsi="Times New Roman" w:cs="Times New Roman"/>
          <w:sz w:val="24"/>
          <w:szCs w:val="24"/>
          <w:shd w:val="clear" w:color="auto" w:fill="FFFFFF"/>
        </w:rPr>
        <w:t xml:space="preserve"> scholars</w:t>
      </w:r>
      <w:r w:rsidR="00C61A9B" w:rsidRPr="00F017B9">
        <w:rPr>
          <w:rFonts w:ascii="Times New Roman" w:hAnsi="Times New Roman" w:cs="Times New Roman"/>
          <w:sz w:val="24"/>
          <w:szCs w:val="24"/>
          <w:shd w:val="clear" w:color="auto" w:fill="FFFFFF"/>
        </w:rPr>
        <w:t xml:space="preserve"> </w:t>
      </w:r>
      <w:r w:rsidR="0052222C" w:rsidRPr="00F017B9">
        <w:rPr>
          <w:rFonts w:ascii="Times New Roman" w:hAnsi="Times New Roman" w:cs="Times New Roman"/>
          <w:sz w:val="24"/>
          <w:szCs w:val="24"/>
          <w:shd w:val="clear" w:color="auto" w:fill="FFFFFF"/>
        </w:rPr>
        <w:t xml:space="preserve">relating </w:t>
      </w:r>
      <w:r w:rsidR="009D72BA" w:rsidRPr="00F017B9">
        <w:rPr>
          <w:rFonts w:ascii="Times New Roman" w:hAnsi="Times New Roman" w:cs="Times New Roman"/>
          <w:sz w:val="24"/>
          <w:szCs w:val="24"/>
          <w:shd w:val="clear" w:color="auto" w:fill="FFFFFF"/>
        </w:rPr>
        <w:t>visibility to information sharing (</w:t>
      </w:r>
      <w:r w:rsidR="003504E3" w:rsidRPr="00F017B9">
        <w:rPr>
          <w:rFonts w:ascii="Times New Roman" w:hAnsi="Times New Roman" w:cs="Times New Roman"/>
          <w:sz w:val="24"/>
          <w:szCs w:val="24"/>
          <w:shd w:val="clear" w:color="auto" w:fill="FFFFFF"/>
        </w:rPr>
        <w:t>Lamming et al., 2001</w:t>
      </w:r>
      <w:r w:rsidR="009D72BA" w:rsidRPr="00F017B9">
        <w:rPr>
          <w:rFonts w:ascii="Times New Roman" w:hAnsi="Times New Roman" w:cs="Times New Roman"/>
          <w:sz w:val="24"/>
          <w:szCs w:val="24"/>
          <w:shd w:val="clear" w:color="auto" w:fill="FFFFFF"/>
        </w:rPr>
        <w:t xml:space="preserve">), while others </w:t>
      </w:r>
      <w:r w:rsidR="003504E3" w:rsidRPr="00F017B9">
        <w:rPr>
          <w:rFonts w:ascii="Times New Roman" w:hAnsi="Times New Roman" w:cs="Times New Roman"/>
          <w:sz w:val="24"/>
          <w:szCs w:val="24"/>
          <w:shd w:val="clear" w:color="auto" w:fill="FFFFFF"/>
        </w:rPr>
        <w:t xml:space="preserve">to shared understanding </w:t>
      </w:r>
      <w:r w:rsidR="00553512" w:rsidRPr="00F017B9">
        <w:rPr>
          <w:rFonts w:ascii="Times New Roman" w:hAnsi="Times New Roman" w:cs="Times New Roman"/>
          <w:sz w:val="24"/>
          <w:szCs w:val="24"/>
          <w:shd w:val="clear" w:color="auto" w:fill="FFFFFF"/>
        </w:rPr>
        <w:t>of product-related information,</w:t>
      </w:r>
      <w:r w:rsidR="003504E3" w:rsidRPr="00F017B9">
        <w:rPr>
          <w:rFonts w:ascii="Times New Roman" w:hAnsi="Times New Roman" w:cs="Times New Roman"/>
          <w:sz w:val="24"/>
          <w:szCs w:val="24"/>
          <w:shd w:val="clear" w:color="auto" w:fill="FFFFFF"/>
        </w:rPr>
        <w:t xml:space="preserve"> monitoring inventory (Petersen et al., 2005), supply chain respons</w:t>
      </w:r>
      <w:r w:rsidR="004B27C7" w:rsidRPr="00F017B9">
        <w:rPr>
          <w:rFonts w:ascii="Times New Roman" w:hAnsi="Times New Roman" w:cs="Times New Roman"/>
          <w:sz w:val="24"/>
          <w:szCs w:val="24"/>
          <w:shd w:val="clear" w:color="auto" w:fill="FFFFFF"/>
        </w:rPr>
        <w:t xml:space="preserve">iveness (Williams et al., 2013), and coordination during the phases of a disaster in humanitarian supply chains (Maghsoudi </w:t>
      </w:r>
      <w:r w:rsidR="00456691" w:rsidRPr="00F017B9">
        <w:rPr>
          <w:rFonts w:ascii="Times New Roman" w:hAnsi="Times New Roman" w:cs="Times New Roman"/>
          <w:sz w:val="24"/>
          <w:szCs w:val="24"/>
          <w:shd w:val="clear" w:color="auto" w:fill="FFFFFF"/>
        </w:rPr>
        <w:t xml:space="preserve">and </w:t>
      </w:r>
      <w:r w:rsidR="004B27C7" w:rsidRPr="00F017B9">
        <w:rPr>
          <w:rFonts w:ascii="Times New Roman" w:hAnsi="Times New Roman" w:cs="Times New Roman"/>
          <w:sz w:val="24"/>
          <w:szCs w:val="24"/>
          <w:shd w:val="clear" w:color="auto" w:fill="FFFFFF"/>
        </w:rPr>
        <w:t>Pazirandeh, 2016). F</w:t>
      </w:r>
      <w:r w:rsidR="003504E3" w:rsidRPr="00F017B9">
        <w:rPr>
          <w:rFonts w:ascii="Times New Roman" w:hAnsi="Times New Roman" w:cs="Times New Roman"/>
          <w:sz w:val="24"/>
          <w:szCs w:val="24"/>
          <w:shd w:val="clear" w:color="auto" w:fill="FFFFFF"/>
        </w:rPr>
        <w:t>rancis (2008) defines supply chain visibility as “</w:t>
      </w:r>
      <w:r w:rsidR="00C01B4E" w:rsidRPr="00F017B9">
        <w:rPr>
          <w:rFonts w:ascii="Times New Roman" w:hAnsi="Times New Roman" w:cs="Times New Roman"/>
          <w:sz w:val="24"/>
          <w:szCs w:val="24"/>
          <w:shd w:val="clear" w:color="auto" w:fill="FFFFFF"/>
        </w:rPr>
        <w:t>the identity, location and status of entities transiting the supply chain, captured in timely messages about events, along with the planned and actual dates/times for these events</w:t>
      </w:r>
      <w:r w:rsidR="003504E3" w:rsidRPr="00F017B9">
        <w:rPr>
          <w:rFonts w:ascii="Times New Roman" w:hAnsi="Times New Roman" w:cs="Times New Roman"/>
          <w:sz w:val="24"/>
          <w:szCs w:val="24"/>
          <w:shd w:val="clear" w:color="auto" w:fill="FFFFFF"/>
        </w:rPr>
        <w:t>” (p. 182).</w:t>
      </w:r>
      <w:r w:rsidR="00A62CE4" w:rsidRPr="00F017B9">
        <w:rPr>
          <w:rFonts w:ascii="Times New Roman" w:hAnsi="Times New Roman" w:cs="Times New Roman"/>
          <w:sz w:val="24"/>
          <w:szCs w:val="24"/>
          <w:shd w:val="clear" w:color="auto" w:fill="FFFFFF"/>
        </w:rPr>
        <w:t xml:space="preserve"> The ben</w:t>
      </w:r>
      <w:r w:rsidR="00D67CFB" w:rsidRPr="00F017B9">
        <w:rPr>
          <w:rFonts w:ascii="Times New Roman" w:hAnsi="Times New Roman" w:cs="Times New Roman"/>
          <w:sz w:val="24"/>
          <w:szCs w:val="24"/>
          <w:shd w:val="clear" w:color="auto" w:fill="FFFFFF"/>
        </w:rPr>
        <w:t>efits of visibility include improved responsiveness, planning and replenishment, i</w:t>
      </w:r>
      <w:r w:rsidR="002A1132" w:rsidRPr="00F017B9">
        <w:rPr>
          <w:rFonts w:ascii="Times New Roman" w:hAnsi="Times New Roman" w:cs="Times New Roman"/>
          <w:sz w:val="24"/>
          <w:szCs w:val="24"/>
          <w:shd w:val="clear" w:color="auto" w:fill="FFFFFF"/>
        </w:rPr>
        <w:t>mproved decision-</w:t>
      </w:r>
      <w:r w:rsidR="00D67CFB" w:rsidRPr="00F017B9">
        <w:rPr>
          <w:rFonts w:ascii="Times New Roman" w:hAnsi="Times New Roman" w:cs="Times New Roman"/>
          <w:sz w:val="24"/>
          <w:szCs w:val="24"/>
          <w:shd w:val="clear" w:color="auto" w:fill="FFFFFF"/>
        </w:rPr>
        <w:t xml:space="preserve">making, as well as quality of products (Barratt and Oke, 2007). </w:t>
      </w:r>
    </w:p>
    <w:p w14:paraId="7E5967F3" w14:textId="45652EC9" w:rsidR="002B0F09" w:rsidRPr="00F017B9" w:rsidRDefault="002A1132" w:rsidP="00E75638">
      <w:pPr>
        <w:tabs>
          <w:tab w:val="left" w:pos="1047"/>
        </w:tabs>
        <w:spacing w:line="480" w:lineRule="auto"/>
        <w:jc w:val="both"/>
        <w:rPr>
          <w:rFonts w:ascii="Times New Roman" w:hAnsi="Times New Roman" w:cs="Times New Roman"/>
          <w:b/>
          <w:i/>
          <w:sz w:val="24"/>
          <w:szCs w:val="24"/>
          <w:shd w:val="clear" w:color="auto" w:fill="FFFFFF"/>
        </w:rPr>
      </w:pPr>
      <w:r w:rsidRPr="00F017B9">
        <w:rPr>
          <w:rFonts w:ascii="Times New Roman" w:hAnsi="Times New Roman" w:cs="Times New Roman"/>
          <w:sz w:val="24"/>
          <w:szCs w:val="24"/>
          <w:shd w:val="clear" w:color="auto" w:fill="FFFFFF"/>
        </w:rPr>
        <w:t xml:space="preserve">However, Brandon-Jones et al. (2014) have highlighted the difference between information sharing and supply chain visibility, in that the former term refers to the quality and relevance </w:t>
      </w:r>
      <w:r w:rsidRPr="00F017B9">
        <w:rPr>
          <w:rFonts w:ascii="Times New Roman" w:hAnsi="Times New Roman" w:cs="Times New Roman"/>
          <w:sz w:val="24"/>
          <w:szCs w:val="24"/>
          <w:shd w:val="clear" w:color="auto" w:fill="FFFFFF"/>
        </w:rPr>
        <w:lastRenderedPageBreak/>
        <w:t xml:space="preserve">of the information provided (Cao and Zhang, 2011), whereas the latter </w:t>
      </w:r>
      <w:r w:rsidR="001A2B21">
        <w:rPr>
          <w:rFonts w:ascii="Times New Roman" w:hAnsi="Times New Roman" w:cs="Times New Roman"/>
          <w:sz w:val="24"/>
          <w:szCs w:val="24"/>
          <w:shd w:val="clear" w:color="auto" w:fill="FFFFFF"/>
        </w:rPr>
        <w:t>refers to</w:t>
      </w:r>
      <w:r w:rsidR="001A2B21" w:rsidRPr="00F017B9">
        <w:rPr>
          <w:rFonts w:ascii="Times New Roman" w:hAnsi="Times New Roman" w:cs="Times New Roman"/>
          <w:sz w:val="24"/>
          <w:szCs w:val="24"/>
          <w:shd w:val="clear" w:color="auto" w:fill="FFFFFF"/>
        </w:rPr>
        <w:t xml:space="preserve"> </w:t>
      </w:r>
      <w:r w:rsidRPr="00F017B9">
        <w:rPr>
          <w:rFonts w:ascii="Times New Roman" w:hAnsi="Times New Roman" w:cs="Times New Roman"/>
          <w:sz w:val="24"/>
          <w:szCs w:val="24"/>
          <w:shd w:val="clear" w:color="auto" w:fill="FFFFFF"/>
        </w:rPr>
        <w:t xml:space="preserve">information flow that impacts on supply chain transparency. </w:t>
      </w:r>
      <w:r w:rsidR="00BB6572" w:rsidRPr="00F017B9">
        <w:rPr>
          <w:rFonts w:ascii="Times New Roman" w:hAnsi="Times New Roman" w:cs="Times New Roman"/>
          <w:sz w:val="24"/>
          <w:szCs w:val="24"/>
          <w:shd w:val="clear" w:color="auto" w:fill="FFFFFF"/>
        </w:rPr>
        <w:t xml:space="preserve">Hence, information sharing is an intangible internal resource, whereas visibility is a capability based on both </w:t>
      </w:r>
      <w:r w:rsidR="0077442A" w:rsidRPr="00F017B9">
        <w:rPr>
          <w:rFonts w:ascii="Times New Roman" w:hAnsi="Times New Roman" w:cs="Times New Roman"/>
          <w:sz w:val="24"/>
          <w:szCs w:val="24"/>
          <w:shd w:val="clear" w:color="auto" w:fill="FFFFFF"/>
        </w:rPr>
        <w:t>material and information flows (Brandon-Jones et al., 2014).</w:t>
      </w:r>
      <w:r w:rsidR="008051D9" w:rsidRPr="00F017B9">
        <w:rPr>
          <w:rFonts w:ascii="Times New Roman" w:hAnsi="Times New Roman" w:cs="Times New Roman"/>
          <w:sz w:val="24"/>
          <w:szCs w:val="24"/>
          <w:shd w:val="clear" w:color="auto" w:fill="FFFFFF"/>
        </w:rPr>
        <w:t xml:space="preserve"> The role of both information sharing and visibility in enabling agility has been highlighted </w:t>
      </w:r>
      <w:r w:rsidR="008C2EB5" w:rsidRPr="00F017B9">
        <w:rPr>
          <w:rFonts w:ascii="Times New Roman" w:hAnsi="Times New Roman" w:cs="Times New Roman"/>
          <w:sz w:val="24"/>
          <w:szCs w:val="24"/>
          <w:shd w:val="clear" w:color="auto" w:fill="FFFFFF"/>
        </w:rPr>
        <w:t xml:space="preserve">by </w:t>
      </w:r>
      <w:r w:rsidR="008051D9" w:rsidRPr="00F017B9">
        <w:rPr>
          <w:rFonts w:ascii="Times New Roman" w:hAnsi="Times New Roman" w:cs="Times New Roman"/>
          <w:sz w:val="24"/>
          <w:szCs w:val="24"/>
          <w:shd w:val="clear" w:color="auto" w:fill="FFFFFF"/>
        </w:rPr>
        <w:t>Christopher</w:t>
      </w:r>
      <w:r w:rsidR="008C2EB5" w:rsidRPr="00F017B9">
        <w:rPr>
          <w:rFonts w:ascii="Times New Roman" w:hAnsi="Times New Roman" w:cs="Times New Roman"/>
          <w:sz w:val="24"/>
          <w:szCs w:val="24"/>
          <w:shd w:val="clear" w:color="auto" w:fill="FFFFFF"/>
        </w:rPr>
        <w:t xml:space="preserve"> (</w:t>
      </w:r>
      <w:r w:rsidR="008051D9" w:rsidRPr="00F017B9">
        <w:rPr>
          <w:rFonts w:ascii="Times New Roman" w:hAnsi="Times New Roman" w:cs="Times New Roman"/>
          <w:sz w:val="24"/>
          <w:szCs w:val="24"/>
          <w:shd w:val="clear" w:color="auto" w:fill="FFFFFF"/>
        </w:rPr>
        <w:t>2000)</w:t>
      </w:r>
      <w:r w:rsidR="005F2C9A" w:rsidRPr="00F017B9">
        <w:rPr>
          <w:rFonts w:ascii="Times New Roman" w:hAnsi="Times New Roman" w:cs="Times New Roman"/>
          <w:sz w:val="24"/>
          <w:szCs w:val="24"/>
          <w:shd w:val="clear" w:color="auto" w:fill="FFFFFF"/>
        </w:rPr>
        <w:t xml:space="preserve">. </w:t>
      </w:r>
      <w:r w:rsidR="00B36488" w:rsidRPr="00F017B9">
        <w:rPr>
          <w:rFonts w:ascii="Times New Roman" w:hAnsi="Times New Roman" w:cs="Times New Roman"/>
          <w:sz w:val="24"/>
          <w:szCs w:val="24"/>
          <w:shd w:val="clear" w:color="auto" w:fill="FFFFFF"/>
        </w:rPr>
        <w:t xml:space="preserve">However, the relationship between supply chain visibility and supply chain agility, adaptability and alignment has not </w:t>
      </w:r>
      <w:r w:rsidR="001A2B21" w:rsidRPr="001A2B21">
        <w:rPr>
          <w:rFonts w:ascii="Times New Roman" w:hAnsi="Times New Roman" w:cs="Times New Roman"/>
          <w:sz w:val="24"/>
          <w:szCs w:val="24"/>
          <w:shd w:val="clear" w:color="auto" w:fill="FFFFFF"/>
        </w:rPr>
        <w:t xml:space="preserve">yet </w:t>
      </w:r>
      <w:r w:rsidR="00B36488" w:rsidRPr="00F017B9">
        <w:rPr>
          <w:rFonts w:ascii="Times New Roman" w:hAnsi="Times New Roman" w:cs="Times New Roman"/>
          <w:sz w:val="24"/>
          <w:szCs w:val="24"/>
          <w:shd w:val="clear" w:color="auto" w:fill="FFFFFF"/>
        </w:rPr>
        <w:t xml:space="preserve">been empirically explored through survey data. </w:t>
      </w:r>
    </w:p>
    <w:p w14:paraId="4A77BCA9" w14:textId="48E8141D" w:rsidR="000E1D72" w:rsidRPr="00F017B9" w:rsidRDefault="00314754" w:rsidP="00654B52">
      <w:pPr>
        <w:spacing w:after="120" w:line="480" w:lineRule="auto"/>
        <w:ind w:left="720" w:hanging="720"/>
        <w:jc w:val="both"/>
        <w:rPr>
          <w:rFonts w:ascii="Times New Roman" w:hAnsi="Times New Roman" w:cs="Times New Roman"/>
          <w:b/>
          <w:i/>
          <w:sz w:val="24"/>
          <w:szCs w:val="24"/>
          <w:shd w:val="clear" w:color="auto" w:fill="FFFFFF"/>
        </w:rPr>
      </w:pPr>
      <w:r w:rsidRPr="00F017B9">
        <w:rPr>
          <w:rFonts w:ascii="Times New Roman" w:hAnsi="Times New Roman" w:cs="Times New Roman"/>
          <w:b/>
          <w:i/>
          <w:sz w:val="24"/>
          <w:szCs w:val="24"/>
          <w:shd w:val="clear" w:color="auto" w:fill="FFFFFF"/>
        </w:rPr>
        <w:t>2.</w:t>
      </w:r>
      <w:r w:rsidR="00D12E6F" w:rsidRPr="00F017B9">
        <w:rPr>
          <w:rFonts w:ascii="Times New Roman" w:hAnsi="Times New Roman" w:cs="Times New Roman"/>
          <w:b/>
          <w:i/>
          <w:sz w:val="24"/>
          <w:szCs w:val="24"/>
          <w:shd w:val="clear" w:color="auto" w:fill="FFFFFF"/>
        </w:rPr>
        <w:t>4</w:t>
      </w:r>
      <w:r w:rsidRPr="00F017B9">
        <w:rPr>
          <w:rFonts w:ascii="Times New Roman" w:hAnsi="Times New Roman" w:cs="Times New Roman"/>
          <w:b/>
          <w:i/>
          <w:sz w:val="24"/>
          <w:szCs w:val="24"/>
          <w:shd w:val="clear" w:color="auto" w:fill="FFFFFF"/>
        </w:rPr>
        <w:t xml:space="preserve"> </w:t>
      </w:r>
      <w:r w:rsidR="00260875" w:rsidRPr="00F017B9">
        <w:rPr>
          <w:rFonts w:ascii="Times New Roman" w:hAnsi="Times New Roman" w:cs="Times New Roman"/>
          <w:b/>
          <w:i/>
          <w:sz w:val="24"/>
          <w:szCs w:val="24"/>
          <w:shd w:val="clear" w:color="auto" w:fill="FFFFFF"/>
        </w:rPr>
        <w:t>The impact of supply chain connectivity on supply chain information sharing</w:t>
      </w:r>
    </w:p>
    <w:p w14:paraId="6E8D8C0A" w14:textId="2856480B" w:rsidR="00056977" w:rsidRPr="00F017B9" w:rsidRDefault="00130111"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Following </w:t>
      </w:r>
      <w:r w:rsidR="001A2B21">
        <w:rPr>
          <w:rFonts w:ascii="Times New Roman" w:hAnsi="Times New Roman" w:cs="Times New Roman"/>
          <w:sz w:val="24"/>
          <w:szCs w:val="24"/>
          <w:shd w:val="clear" w:color="auto" w:fill="FFFFFF"/>
        </w:rPr>
        <w:t xml:space="preserve">the </w:t>
      </w:r>
      <w:r w:rsidRPr="00F017B9">
        <w:rPr>
          <w:rFonts w:ascii="Times New Roman" w:hAnsi="Times New Roman" w:cs="Times New Roman"/>
          <w:sz w:val="24"/>
          <w:szCs w:val="24"/>
          <w:shd w:val="clear" w:color="auto" w:fill="FFFFFF"/>
        </w:rPr>
        <w:t>RBV, l</w:t>
      </w:r>
      <w:r w:rsidR="00B32AC1" w:rsidRPr="00F017B9">
        <w:rPr>
          <w:rFonts w:ascii="Times New Roman" w:hAnsi="Times New Roman" w:cs="Times New Roman"/>
          <w:sz w:val="24"/>
          <w:szCs w:val="24"/>
          <w:shd w:val="clear" w:color="auto" w:fill="FFFFFF"/>
        </w:rPr>
        <w:t xml:space="preserve">iterature has </w:t>
      </w:r>
      <w:r w:rsidR="00D70D91" w:rsidRPr="00F017B9">
        <w:rPr>
          <w:rFonts w:ascii="Times New Roman" w:hAnsi="Times New Roman" w:cs="Times New Roman"/>
          <w:sz w:val="24"/>
          <w:szCs w:val="24"/>
          <w:shd w:val="clear" w:color="auto" w:fill="FFFFFF"/>
        </w:rPr>
        <w:t xml:space="preserve">investigated </w:t>
      </w:r>
      <w:r w:rsidR="00B32AC1" w:rsidRPr="00F017B9">
        <w:rPr>
          <w:rFonts w:ascii="Times New Roman" w:hAnsi="Times New Roman" w:cs="Times New Roman"/>
          <w:sz w:val="24"/>
          <w:szCs w:val="24"/>
          <w:shd w:val="clear" w:color="auto" w:fill="FFFFFF"/>
        </w:rPr>
        <w:t>supply chain connectivity (see Fawcett et al.</w:t>
      </w:r>
      <w:r w:rsidR="00F31CC6" w:rsidRPr="00F017B9">
        <w:rPr>
          <w:rFonts w:ascii="Times New Roman" w:hAnsi="Times New Roman" w:cs="Times New Roman"/>
          <w:sz w:val="24"/>
          <w:szCs w:val="24"/>
          <w:shd w:val="clear" w:color="auto" w:fill="FFFFFF"/>
        </w:rPr>
        <w:t>,</w:t>
      </w:r>
      <w:r w:rsidR="00B32AC1" w:rsidRPr="00F017B9">
        <w:rPr>
          <w:rFonts w:ascii="Times New Roman" w:hAnsi="Times New Roman" w:cs="Times New Roman"/>
          <w:sz w:val="24"/>
          <w:szCs w:val="24"/>
          <w:shd w:val="clear" w:color="auto" w:fill="FFFFFF"/>
        </w:rPr>
        <w:t xml:space="preserve"> 2009</w:t>
      </w:r>
      <w:r w:rsidR="00AB3B76" w:rsidRPr="00F017B9">
        <w:rPr>
          <w:rFonts w:ascii="Times New Roman" w:hAnsi="Times New Roman" w:cs="Times New Roman"/>
          <w:sz w:val="24"/>
          <w:szCs w:val="24"/>
          <w:shd w:val="clear" w:color="auto" w:fill="FFFFFF"/>
        </w:rPr>
        <w:t>, 2011; Prajogo and Olhager, 2012; Brandon-Jones et al.</w:t>
      </w:r>
      <w:r w:rsidR="00F31CC6" w:rsidRPr="00F017B9">
        <w:rPr>
          <w:rFonts w:ascii="Times New Roman" w:hAnsi="Times New Roman" w:cs="Times New Roman"/>
          <w:sz w:val="24"/>
          <w:szCs w:val="24"/>
          <w:shd w:val="clear" w:color="auto" w:fill="FFFFFF"/>
        </w:rPr>
        <w:t>,</w:t>
      </w:r>
      <w:r w:rsidR="00AB3B76" w:rsidRPr="00F017B9">
        <w:rPr>
          <w:rFonts w:ascii="Times New Roman" w:hAnsi="Times New Roman" w:cs="Times New Roman"/>
          <w:sz w:val="24"/>
          <w:szCs w:val="24"/>
          <w:shd w:val="clear" w:color="auto" w:fill="FFFFFF"/>
        </w:rPr>
        <w:t xml:space="preserve"> 2014; Jin et al.</w:t>
      </w:r>
      <w:r w:rsidR="00F31CC6" w:rsidRPr="00F017B9">
        <w:rPr>
          <w:rFonts w:ascii="Times New Roman" w:hAnsi="Times New Roman" w:cs="Times New Roman"/>
          <w:sz w:val="24"/>
          <w:szCs w:val="24"/>
          <w:shd w:val="clear" w:color="auto" w:fill="FFFFFF"/>
        </w:rPr>
        <w:t>,</w:t>
      </w:r>
      <w:r w:rsidR="00AB3B76" w:rsidRPr="00F017B9">
        <w:rPr>
          <w:rFonts w:ascii="Times New Roman" w:hAnsi="Times New Roman" w:cs="Times New Roman"/>
          <w:sz w:val="24"/>
          <w:szCs w:val="24"/>
          <w:shd w:val="clear" w:color="auto" w:fill="FFFFFF"/>
        </w:rPr>
        <w:t xml:space="preserve"> 2014</w:t>
      </w:r>
      <w:r w:rsidR="00B32AC1" w:rsidRPr="00F017B9">
        <w:rPr>
          <w:rFonts w:ascii="Times New Roman" w:hAnsi="Times New Roman" w:cs="Times New Roman"/>
          <w:sz w:val="24"/>
          <w:szCs w:val="24"/>
          <w:shd w:val="clear" w:color="auto" w:fill="FFFFFF"/>
        </w:rPr>
        <w:t>) and information sharing (Premkumar and King, 1994</w:t>
      </w:r>
      <w:r w:rsidR="00AB3B76" w:rsidRPr="00F017B9">
        <w:rPr>
          <w:rFonts w:ascii="Times New Roman" w:hAnsi="Times New Roman" w:cs="Times New Roman"/>
          <w:sz w:val="24"/>
          <w:szCs w:val="24"/>
          <w:shd w:val="clear" w:color="auto" w:fill="FFFFFF"/>
        </w:rPr>
        <w:t>; Prajogo and Olhager, 2012; Brandon-Jones et al. 2014</w:t>
      </w:r>
      <w:r w:rsidR="009E0E00" w:rsidRPr="00F017B9">
        <w:rPr>
          <w:rFonts w:ascii="Times New Roman" w:hAnsi="Times New Roman" w:cs="Times New Roman"/>
          <w:sz w:val="24"/>
          <w:szCs w:val="24"/>
          <w:shd w:val="clear" w:color="auto" w:fill="FFFFFF"/>
        </w:rPr>
        <w:t>; Liu et al. 2016; Dong et al. 2016</w:t>
      </w:r>
      <w:r w:rsidR="00B32AC1" w:rsidRPr="00F017B9">
        <w:rPr>
          <w:rFonts w:ascii="Times New Roman" w:hAnsi="Times New Roman" w:cs="Times New Roman"/>
          <w:sz w:val="24"/>
          <w:szCs w:val="24"/>
          <w:shd w:val="clear" w:color="auto" w:fill="FFFFFF"/>
        </w:rPr>
        <w:t>)</w:t>
      </w:r>
      <w:r w:rsidR="00802DE2" w:rsidRPr="00F017B9">
        <w:rPr>
          <w:rFonts w:ascii="Times New Roman" w:hAnsi="Times New Roman" w:cs="Times New Roman"/>
          <w:sz w:val="24"/>
          <w:szCs w:val="24"/>
          <w:shd w:val="clear" w:color="auto" w:fill="FFFFFF"/>
        </w:rPr>
        <w:t xml:space="preserve"> </w:t>
      </w:r>
      <w:r w:rsidR="00B32AC1" w:rsidRPr="00F017B9">
        <w:rPr>
          <w:rFonts w:ascii="Times New Roman" w:hAnsi="Times New Roman" w:cs="Times New Roman"/>
          <w:sz w:val="24"/>
          <w:szCs w:val="24"/>
          <w:shd w:val="clear" w:color="auto" w:fill="FFFFFF"/>
        </w:rPr>
        <w:t xml:space="preserve">as </w:t>
      </w:r>
      <w:r w:rsidR="00D63BCA" w:rsidRPr="00F017B9">
        <w:rPr>
          <w:rFonts w:ascii="Times New Roman" w:hAnsi="Times New Roman" w:cs="Times New Roman"/>
          <w:sz w:val="24"/>
          <w:szCs w:val="24"/>
          <w:shd w:val="clear" w:color="auto" w:fill="FFFFFF"/>
        </w:rPr>
        <w:t xml:space="preserve">valuable organizational </w:t>
      </w:r>
      <w:r w:rsidR="00B32AC1" w:rsidRPr="00F017B9">
        <w:rPr>
          <w:rFonts w:ascii="Times New Roman" w:hAnsi="Times New Roman" w:cs="Times New Roman"/>
          <w:sz w:val="24"/>
          <w:szCs w:val="24"/>
          <w:shd w:val="clear" w:color="auto" w:fill="FFFFFF"/>
        </w:rPr>
        <w:t>resources</w:t>
      </w:r>
      <w:r w:rsidR="004B060B" w:rsidRPr="00F017B9">
        <w:rPr>
          <w:rFonts w:ascii="Times New Roman" w:hAnsi="Times New Roman" w:cs="Times New Roman"/>
          <w:sz w:val="24"/>
          <w:szCs w:val="24"/>
          <w:shd w:val="clear" w:color="auto" w:fill="FFFFFF"/>
        </w:rPr>
        <w:t xml:space="preserve"> that</w:t>
      </w:r>
      <w:r w:rsidR="00B32AC1" w:rsidRPr="00F017B9">
        <w:rPr>
          <w:rFonts w:ascii="Times New Roman" w:hAnsi="Times New Roman" w:cs="Times New Roman"/>
          <w:sz w:val="24"/>
          <w:szCs w:val="24"/>
          <w:shd w:val="clear" w:color="auto" w:fill="FFFFFF"/>
        </w:rPr>
        <w:t xml:space="preserve"> </w:t>
      </w:r>
      <w:r w:rsidR="002E57D0" w:rsidRPr="00F017B9">
        <w:rPr>
          <w:rFonts w:ascii="Times New Roman" w:hAnsi="Times New Roman" w:cs="Times New Roman"/>
          <w:sz w:val="24"/>
          <w:szCs w:val="24"/>
          <w:shd w:val="clear" w:color="auto" w:fill="FFFFFF"/>
        </w:rPr>
        <w:t>are</w:t>
      </w:r>
      <w:r w:rsidR="00B32AC1" w:rsidRPr="00F017B9">
        <w:rPr>
          <w:rFonts w:ascii="Times New Roman" w:hAnsi="Times New Roman" w:cs="Times New Roman"/>
          <w:sz w:val="24"/>
          <w:szCs w:val="24"/>
          <w:shd w:val="clear" w:color="auto" w:fill="FFFFFF"/>
        </w:rPr>
        <w:t xml:space="preserve"> combined to generate capabilities</w:t>
      </w:r>
      <w:r w:rsidR="004B060B" w:rsidRPr="00F017B9">
        <w:rPr>
          <w:rFonts w:ascii="Times New Roman" w:hAnsi="Times New Roman" w:cs="Times New Roman"/>
          <w:sz w:val="24"/>
          <w:szCs w:val="24"/>
          <w:shd w:val="clear" w:color="auto" w:fill="FFFFFF"/>
        </w:rPr>
        <w:t xml:space="preserve"> (Grant, 1991)</w:t>
      </w:r>
      <w:r w:rsidR="00B32AC1" w:rsidRPr="00F017B9">
        <w:rPr>
          <w:rFonts w:ascii="Times New Roman" w:hAnsi="Times New Roman" w:cs="Times New Roman"/>
          <w:sz w:val="24"/>
          <w:szCs w:val="24"/>
          <w:shd w:val="clear" w:color="auto" w:fill="FFFFFF"/>
        </w:rPr>
        <w:t>. Barrat</w:t>
      </w:r>
      <w:r w:rsidR="00662CEE" w:rsidRPr="00F017B9">
        <w:rPr>
          <w:rFonts w:ascii="Times New Roman" w:hAnsi="Times New Roman" w:cs="Times New Roman"/>
          <w:sz w:val="24"/>
          <w:szCs w:val="24"/>
          <w:shd w:val="clear" w:color="auto" w:fill="FFFFFF"/>
        </w:rPr>
        <w:t>t</w:t>
      </w:r>
      <w:r w:rsidR="00B32AC1" w:rsidRPr="00F017B9">
        <w:rPr>
          <w:rFonts w:ascii="Times New Roman" w:hAnsi="Times New Roman" w:cs="Times New Roman"/>
          <w:sz w:val="24"/>
          <w:szCs w:val="24"/>
          <w:shd w:val="clear" w:color="auto" w:fill="FFFFFF"/>
        </w:rPr>
        <w:t xml:space="preserve"> and Oke (2007) have argued that connectivity </w:t>
      </w:r>
      <w:r w:rsidR="005C6E0F" w:rsidRPr="00F017B9">
        <w:rPr>
          <w:rFonts w:ascii="Times New Roman" w:hAnsi="Times New Roman" w:cs="Times New Roman"/>
          <w:sz w:val="24"/>
          <w:szCs w:val="24"/>
          <w:shd w:val="clear" w:color="auto" w:fill="FFFFFF"/>
        </w:rPr>
        <w:t xml:space="preserve">is a </w:t>
      </w:r>
      <w:r w:rsidR="00B32AC1" w:rsidRPr="00F017B9">
        <w:rPr>
          <w:rFonts w:ascii="Times New Roman" w:hAnsi="Times New Roman" w:cs="Times New Roman"/>
          <w:sz w:val="24"/>
          <w:szCs w:val="24"/>
          <w:shd w:val="clear" w:color="auto" w:fill="FFFFFF"/>
        </w:rPr>
        <w:t>technological resource</w:t>
      </w:r>
      <w:r w:rsidR="005C6E0F" w:rsidRPr="00F017B9">
        <w:rPr>
          <w:rFonts w:ascii="Times New Roman" w:hAnsi="Times New Roman" w:cs="Times New Roman"/>
          <w:sz w:val="24"/>
          <w:szCs w:val="24"/>
          <w:shd w:val="clear" w:color="auto" w:fill="FFFFFF"/>
        </w:rPr>
        <w:t xml:space="preserve"> that </w:t>
      </w:r>
      <w:r w:rsidR="00B32AC1" w:rsidRPr="00F017B9">
        <w:rPr>
          <w:rFonts w:ascii="Times New Roman" w:hAnsi="Times New Roman" w:cs="Times New Roman"/>
          <w:sz w:val="24"/>
          <w:szCs w:val="24"/>
          <w:shd w:val="clear" w:color="auto" w:fill="FFFFFF"/>
        </w:rPr>
        <w:t xml:space="preserve">enables effective information sharing. </w:t>
      </w:r>
      <w:r w:rsidR="00C61674" w:rsidRPr="00F017B9">
        <w:rPr>
          <w:rFonts w:ascii="Times New Roman" w:hAnsi="Times New Roman" w:cs="Times New Roman"/>
          <w:sz w:val="24"/>
          <w:szCs w:val="24"/>
          <w:shd w:val="clear" w:color="auto" w:fill="FFFFFF"/>
        </w:rPr>
        <w:t xml:space="preserve">Fawcett et al. (2009) have also noted that supply chain connectivity has positive influence on </w:t>
      </w:r>
      <w:r w:rsidR="00293887" w:rsidRPr="00F017B9">
        <w:rPr>
          <w:rFonts w:ascii="Times New Roman" w:hAnsi="Times New Roman" w:cs="Times New Roman"/>
          <w:sz w:val="24"/>
          <w:szCs w:val="24"/>
          <w:shd w:val="clear" w:color="auto" w:fill="FFFFFF"/>
        </w:rPr>
        <w:t>decision-making</w:t>
      </w:r>
      <w:r w:rsidR="00C61674" w:rsidRPr="00F017B9">
        <w:rPr>
          <w:rFonts w:ascii="Times New Roman" w:hAnsi="Times New Roman" w:cs="Times New Roman"/>
          <w:sz w:val="24"/>
          <w:szCs w:val="24"/>
          <w:shd w:val="clear" w:color="auto" w:fill="FFFFFF"/>
        </w:rPr>
        <w:t xml:space="preserve"> and coordination. </w:t>
      </w:r>
      <w:r w:rsidR="00B32AC1" w:rsidRPr="00F017B9">
        <w:rPr>
          <w:rFonts w:ascii="Times New Roman" w:hAnsi="Times New Roman" w:cs="Times New Roman"/>
          <w:sz w:val="24"/>
          <w:szCs w:val="24"/>
          <w:shd w:val="clear" w:color="auto" w:fill="FFFFFF"/>
        </w:rPr>
        <w:t xml:space="preserve">Brandon-Jones et al. (2014) have found that supply chain connectivity has </w:t>
      </w:r>
      <w:r w:rsidR="006A6315" w:rsidRPr="00F017B9">
        <w:rPr>
          <w:rFonts w:ascii="Times New Roman" w:hAnsi="Times New Roman" w:cs="Times New Roman"/>
          <w:sz w:val="24"/>
          <w:szCs w:val="24"/>
          <w:shd w:val="clear" w:color="auto" w:fill="FFFFFF"/>
        </w:rPr>
        <w:t xml:space="preserve">a </w:t>
      </w:r>
      <w:r w:rsidR="00B32AC1" w:rsidRPr="00F017B9">
        <w:rPr>
          <w:rFonts w:ascii="Times New Roman" w:hAnsi="Times New Roman" w:cs="Times New Roman"/>
          <w:sz w:val="24"/>
          <w:szCs w:val="24"/>
          <w:shd w:val="clear" w:color="auto" w:fill="FFFFFF"/>
        </w:rPr>
        <w:t>positive influence on information sharing. Therefore,</w:t>
      </w:r>
      <w:r w:rsidR="006A6315" w:rsidRPr="00F017B9">
        <w:rPr>
          <w:rFonts w:ascii="Times New Roman" w:hAnsi="Times New Roman" w:cs="Times New Roman"/>
          <w:sz w:val="24"/>
          <w:szCs w:val="24"/>
          <w:shd w:val="clear" w:color="auto" w:fill="FFFFFF"/>
        </w:rPr>
        <w:t xml:space="preserve"> we hypothesise</w:t>
      </w:r>
    </w:p>
    <w:p w14:paraId="0FA8B56C" w14:textId="77777777" w:rsidR="002A7084" w:rsidRPr="00F017B9" w:rsidRDefault="00B32AC1" w:rsidP="00654B52">
      <w:pPr>
        <w:spacing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H1: Supply chain connectivity has positive influence on information sharing.</w:t>
      </w:r>
    </w:p>
    <w:p w14:paraId="5437DB9D" w14:textId="545C9877" w:rsidR="000E1D72" w:rsidRPr="00F017B9" w:rsidRDefault="00314754" w:rsidP="00654B52">
      <w:pPr>
        <w:spacing w:line="480" w:lineRule="auto"/>
        <w:jc w:val="both"/>
        <w:rPr>
          <w:rFonts w:ascii="Times New Roman" w:hAnsi="Times New Roman" w:cs="Times New Roman"/>
          <w:b/>
          <w:i/>
          <w:sz w:val="24"/>
          <w:szCs w:val="24"/>
          <w:shd w:val="clear" w:color="auto" w:fill="FFFFFF"/>
        </w:rPr>
      </w:pPr>
      <w:r w:rsidRPr="00F017B9">
        <w:rPr>
          <w:rFonts w:ascii="Times New Roman" w:hAnsi="Times New Roman" w:cs="Times New Roman"/>
          <w:b/>
          <w:i/>
          <w:sz w:val="24"/>
          <w:szCs w:val="24"/>
          <w:shd w:val="clear" w:color="auto" w:fill="FFFFFF"/>
        </w:rPr>
        <w:t>2.</w:t>
      </w:r>
      <w:r w:rsidR="00D12E6F" w:rsidRPr="00F017B9">
        <w:rPr>
          <w:rFonts w:ascii="Times New Roman" w:hAnsi="Times New Roman" w:cs="Times New Roman"/>
          <w:b/>
          <w:i/>
          <w:sz w:val="24"/>
          <w:szCs w:val="24"/>
          <w:shd w:val="clear" w:color="auto" w:fill="FFFFFF"/>
        </w:rPr>
        <w:t>5</w:t>
      </w:r>
      <w:r w:rsidRPr="00F017B9">
        <w:rPr>
          <w:rFonts w:ascii="Times New Roman" w:hAnsi="Times New Roman" w:cs="Times New Roman"/>
          <w:b/>
          <w:i/>
          <w:sz w:val="24"/>
          <w:szCs w:val="24"/>
          <w:shd w:val="clear" w:color="auto" w:fill="FFFFFF"/>
        </w:rPr>
        <w:t xml:space="preserve"> </w:t>
      </w:r>
      <w:r w:rsidR="00B32AC1" w:rsidRPr="00F017B9">
        <w:rPr>
          <w:rFonts w:ascii="Times New Roman" w:hAnsi="Times New Roman" w:cs="Times New Roman"/>
          <w:b/>
          <w:i/>
          <w:sz w:val="24"/>
          <w:szCs w:val="24"/>
          <w:shd w:val="clear" w:color="auto" w:fill="FFFFFF"/>
        </w:rPr>
        <w:t>The impact of supply chain connectivity on visibility</w:t>
      </w:r>
    </w:p>
    <w:p w14:paraId="21150031" w14:textId="28ED3F8F" w:rsidR="005F3595" w:rsidRPr="00F017B9" w:rsidRDefault="003805DC"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From </w:t>
      </w:r>
      <w:r w:rsidR="00BD00D7" w:rsidRPr="00F017B9">
        <w:rPr>
          <w:rFonts w:ascii="Times New Roman" w:hAnsi="Times New Roman" w:cs="Times New Roman"/>
          <w:sz w:val="24"/>
          <w:szCs w:val="24"/>
          <w:shd w:val="clear" w:color="auto" w:fill="FFFFFF"/>
        </w:rPr>
        <w:t xml:space="preserve">the </w:t>
      </w:r>
      <w:r w:rsidRPr="00F017B9">
        <w:rPr>
          <w:rFonts w:ascii="Times New Roman" w:hAnsi="Times New Roman" w:cs="Times New Roman"/>
          <w:sz w:val="24"/>
          <w:szCs w:val="24"/>
          <w:shd w:val="clear" w:color="auto" w:fill="FFFFFF"/>
        </w:rPr>
        <w:t xml:space="preserve">RBV perspective, </w:t>
      </w:r>
      <w:r w:rsidR="008331E1" w:rsidRPr="00F017B9">
        <w:rPr>
          <w:rFonts w:ascii="Times New Roman" w:hAnsi="Times New Roman" w:cs="Times New Roman"/>
          <w:sz w:val="24"/>
          <w:szCs w:val="24"/>
          <w:shd w:val="clear" w:color="auto" w:fill="FFFFFF"/>
        </w:rPr>
        <w:t xml:space="preserve">capabilities </w:t>
      </w:r>
      <w:r w:rsidRPr="00F017B9">
        <w:rPr>
          <w:rFonts w:ascii="Times New Roman" w:hAnsi="Times New Roman" w:cs="Times New Roman"/>
          <w:sz w:val="24"/>
          <w:szCs w:val="24"/>
          <w:shd w:val="clear" w:color="auto" w:fill="FFFFFF"/>
        </w:rPr>
        <w:t xml:space="preserve">are </w:t>
      </w:r>
      <w:r w:rsidR="008331E1" w:rsidRPr="00F017B9">
        <w:rPr>
          <w:rFonts w:ascii="Times New Roman" w:hAnsi="Times New Roman" w:cs="Times New Roman"/>
          <w:sz w:val="24"/>
          <w:szCs w:val="24"/>
          <w:shd w:val="clear" w:color="auto" w:fill="FFFFFF"/>
        </w:rPr>
        <w:t>performance enhance</w:t>
      </w:r>
      <w:r w:rsidR="008175AB" w:rsidRPr="00F017B9">
        <w:rPr>
          <w:rFonts w:ascii="Times New Roman" w:hAnsi="Times New Roman" w:cs="Times New Roman"/>
          <w:sz w:val="24"/>
          <w:szCs w:val="24"/>
          <w:shd w:val="clear" w:color="auto" w:fill="FFFFFF"/>
        </w:rPr>
        <w:t>ment</w:t>
      </w:r>
      <w:r w:rsidR="008331E1" w:rsidRPr="00F017B9">
        <w:rPr>
          <w:rFonts w:ascii="Times New Roman" w:hAnsi="Times New Roman" w:cs="Times New Roman"/>
          <w:sz w:val="24"/>
          <w:szCs w:val="24"/>
          <w:shd w:val="clear" w:color="auto" w:fill="FFFFFF"/>
        </w:rPr>
        <w:t xml:space="preserve"> constructs (see Newbert, 2007;</w:t>
      </w:r>
      <w:r w:rsidR="008E024E" w:rsidRPr="00F017B9">
        <w:rPr>
          <w:rFonts w:ascii="Times New Roman" w:hAnsi="Times New Roman" w:cs="Times New Roman"/>
          <w:sz w:val="24"/>
          <w:szCs w:val="24"/>
          <w:shd w:val="clear" w:color="auto" w:fill="FFFFFF"/>
        </w:rPr>
        <w:t xml:space="preserve"> </w:t>
      </w:r>
      <w:r w:rsidR="008331E1" w:rsidRPr="00F017B9">
        <w:rPr>
          <w:rFonts w:ascii="Times New Roman" w:hAnsi="Times New Roman" w:cs="Times New Roman"/>
          <w:sz w:val="24"/>
          <w:szCs w:val="24"/>
          <w:shd w:val="clear" w:color="auto" w:fill="FFFFFF"/>
        </w:rPr>
        <w:t>Brandon-Jones et al.</w:t>
      </w:r>
      <w:r w:rsidR="00F31CC6" w:rsidRPr="00F017B9">
        <w:rPr>
          <w:rFonts w:ascii="Times New Roman" w:hAnsi="Times New Roman" w:cs="Times New Roman"/>
          <w:sz w:val="24"/>
          <w:szCs w:val="24"/>
          <w:shd w:val="clear" w:color="auto" w:fill="FFFFFF"/>
        </w:rPr>
        <w:t>,</w:t>
      </w:r>
      <w:r w:rsidR="008331E1" w:rsidRPr="00F017B9">
        <w:rPr>
          <w:rFonts w:ascii="Times New Roman" w:hAnsi="Times New Roman" w:cs="Times New Roman"/>
          <w:sz w:val="24"/>
          <w:szCs w:val="24"/>
          <w:shd w:val="clear" w:color="auto" w:fill="FFFFFF"/>
        </w:rPr>
        <w:t xml:space="preserve"> 2014).</w:t>
      </w:r>
      <w:r w:rsidR="008E024E" w:rsidRPr="00F017B9">
        <w:rPr>
          <w:rFonts w:ascii="Times New Roman" w:hAnsi="Times New Roman" w:cs="Times New Roman"/>
          <w:sz w:val="24"/>
          <w:szCs w:val="24"/>
          <w:shd w:val="clear" w:color="auto" w:fill="FFFFFF"/>
        </w:rPr>
        <w:t xml:space="preserve"> </w:t>
      </w:r>
      <w:r w:rsidR="008331E1" w:rsidRPr="00F017B9">
        <w:rPr>
          <w:rFonts w:ascii="Times New Roman" w:hAnsi="Times New Roman" w:cs="Times New Roman"/>
          <w:sz w:val="24"/>
          <w:szCs w:val="24"/>
          <w:shd w:val="clear" w:color="auto" w:fill="FFFFFF"/>
        </w:rPr>
        <w:t>Barrat</w:t>
      </w:r>
      <w:r w:rsidR="003A00E2" w:rsidRPr="00F017B9">
        <w:rPr>
          <w:rFonts w:ascii="Times New Roman" w:hAnsi="Times New Roman" w:cs="Times New Roman"/>
          <w:sz w:val="24"/>
          <w:szCs w:val="24"/>
          <w:shd w:val="clear" w:color="auto" w:fill="FFFFFF"/>
        </w:rPr>
        <w:t>t</w:t>
      </w:r>
      <w:r w:rsidR="008331E1" w:rsidRPr="00F017B9">
        <w:rPr>
          <w:rFonts w:ascii="Times New Roman" w:hAnsi="Times New Roman" w:cs="Times New Roman"/>
          <w:sz w:val="24"/>
          <w:szCs w:val="24"/>
          <w:shd w:val="clear" w:color="auto" w:fill="FFFFFF"/>
        </w:rPr>
        <w:t xml:space="preserve"> and Oke (2007) have conceptualized supply chain visibility</w:t>
      </w:r>
      <w:r w:rsidR="008E024E" w:rsidRPr="00F017B9">
        <w:rPr>
          <w:rFonts w:ascii="Times New Roman" w:hAnsi="Times New Roman" w:cs="Times New Roman"/>
          <w:sz w:val="24"/>
          <w:szCs w:val="24"/>
          <w:shd w:val="clear" w:color="auto" w:fill="FFFFFF"/>
        </w:rPr>
        <w:t xml:space="preserve"> </w:t>
      </w:r>
      <w:r w:rsidR="00B93876" w:rsidRPr="00F017B9">
        <w:rPr>
          <w:rFonts w:ascii="Times New Roman" w:hAnsi="Times New Roman" w:cs="Times New Roman"/>
          <w:sz w:val="24"/>
          <w:szCs w:val="24"/>
          <w:shd w:val="clear" w:color="auto" w:fill="FFFFFF"/>
        </w:rPr>
        <w:t>(SCV)</w:t>
      </w:r>
      <w:r w:rsidR="008331E1" w:rsidRPr="00F017B9">
        <w:rPr>
          <w:rFonts w:ascii="Times New Roman" w:hAnsi="Times New Roman" w:cs="Times New Roman"/>
          <w:sz w:val="24"/>
          <w:szCs w:val="24"/>
          <w:shd w:val="clear" w:color="auto" w:fill="FFFFFF"/>
        </w:rPr>
        <w:t xml:space="preserve"> as a capability</w:t>
      </w:r>
      <w:r w:rsidR="00CC030C" w:rsidRPr="00F017B9">
        <w:rPr>
          <w:rFonts w:ascii="Times New Roman" w:hAnsi="Times New Roman" w:cs="Times New Roman"/>
          <w:sz w:val="24"/>
          <w:szCs w:val="24"/>
          <w:shd w:val="clear" w:color="auto" w:fill="FFFFFF"/>
        </w:rPr>
        <w:t xml:space="preserve"> </w:t>
      </w:r>
      <w:r w:rsidR="00646E25" w:rsidRPr="00F017B9">
        <w:rPr>
          <w:rFonts w:ascii="Times New Roman" w:hAnsi="Times New Roman" w:cs="Times New Roman"/>
          <w:sz w:val="24"/>
          <w:szCs w:val="24"/>
          <w:shd w:val="clear" w:color="auto" w:fill="FFFFFF"/>
        </w:rPr>
        <w:t>that helps an</w:t>
      </w:r>
      <w:r w:rsidR="00175C0C" w:rsidRPr="00F017B9">
        <w:rPr>
          <w:rFonts w:ascii="Times New Roman" w:hAnsi="Times New Roman" w:cs="Times New Roman"/>
          <w:sz w:val="24"/>
          <w:szCs w:val="24"/>
          <w:shd w:val="clear" w:color="auto" w:fill="FFFFFF"/>
        </w:rPr>
        <w:t xml:space="preserve"> organisation to generate sustainable competitive advantage.</w:t>
      </w:r>
      <w:r w:rsidR="00B93876" w:rsidRPr="00F017B9">
        <w:rPr>
          <w:rFonts w:ascii="Times New Roman" w:hAnsi="Times New Roman" w:cs="Times New Roman"/>
          <w:sz w:val="24"/>
          <w:szCs w:val="24"/>
          <w:shd w:val="clear" w:color="auto" w:fill="FFFFFF"/>
        </w:rPr>
        <w:t xml:space="preserve"> </w:t>
      </w:r>
      <w:r w:rsidR="007645BC" w:rsidRPr="00F017B9">
        <w:rPr>
          <w:rFonts w:ascii="Times New Roman" w:hAnsi="Times New Roman" w:cs="Times New Roman"/>
          <w:sz w:val="24"/>
          <w:szCs w:val="24"/>
          <w:shd w:val="clear" w:color="auto" w:fill="FFFFFF"/>
        </w:rPr>
        <w:t xml:space="preserve">Following </w:t>
      </w:r>
      <w:r w:rsidR="001A2921" w:rsidRPr="00F017B9">
        <w:rPr>
          <w:rFonts w:ascii="Times New Roman" w:hAnsi="Times New Roman" w:cs="Times New Roman"/>
          <w:sz w:val="24"/>
          <w:szCs w:val="24"/>
          <w:shd w:val="clear" w:color="auto" w:fill="FFFFFF"/>
        </w:rPr>
        <w:t>Barney</w:t>
      </w:r>
      <w:r w:rsidR="001D47A0" w:rsidRPr="00F017B9">
        <w:rPr>
          <w:rFonts w:ascii="Times New Roman" w:hAnsi="Times New Roman" w:cs="Times New Roman"/>
          <w:sz w:val="24"/>
          <w:szCs w:val="24"/>
          <w:shd w:val="clear" w:color="auto" w:fill="FFFFFF"/>
        </w:rPr>
        <w:t xml:space="preserve"> (</w:t>
      </w:r>
      <w:r w:rsidR="001A2921" w:rsidRPr="00F017B9">
        <w:rPr>
          <w:rFonts w:ascii="Times New Roman" w:hAnsi="Times New Roman" w:cs="Times New Roman"/>
          <w:sz w:val="24"/>
          <w:szCs w:val="24"/>
          <w:shd w:val="clear" w:color="auto" w:fill="FFFFFF"/>
        </w:rPr>
        <w:t>1991)</w:t>
      </w:r>
      <w:r w:rsidR="00F31CC6" w:rsidRPr="00F017B9">
        <w:rPr>
          <w:rFonts w:ascii="Times New Roman" w:hAnsi="Times New Roman" w:cs="Times New Roman"/>
          <w:sz w:val="24"/>
          <w:szCs w:val="24"/>
          <w:shd w:val="clear" w:color="auto" w:fill="FFFFFF"/>
        </w:rPr>
        <w:t>,</w:t>
      </w:r>
      <w:r w:rsidR="001A2921" w:rsidRPr="00F017B9">
        <w:rPr>
          <w:rFonts w:ascii="Times New Roman" w:hAnsi="Times New Roman" w:cs="Times New Roman"/>
          <w:sz w:val="24"/>
          <w:szCs w:val="24"/>
          <w:shd w:val="clear" w:color="auto" w:fill="FFFFFF"/>
        </w:rPr>
        <w:t xml:space="preserve"> we argue that either information sharing as a resource or supply chain visibility as a capability</w:t>
      </w:r>
      <w:r w:rsidR="00727851" w:rsidRPr="00F017B9">
        <w:rPr>
          <w:rFonts w:ascii="Times New Roman" w:hAnsi="Times New Roman" w:cs="Times New Roman"/>
          <w:sz w:val="24"/>
          <w:szCs w:val="24"/>
          <w:shd w:val="clear" w:color="auto" w:fill="FFFFFF"/>
        </w:rPr>
        <w:t xml:space="preserve"> or </w:t>
      </w:r>
      <w:r w:rsidR="006A6315" w:rsidRPr="00F017B9">
        <w:rPr>
          <w:rFonts w:ascii="Times New Roman" w:hAnsi="Times New Roman" w:cs="Times New Roman"/>
          <w:sz w:val="24"/>
          <w:szCs w:val="24"/>
          <w:shd w:val="clear" w:color="auto" w:fill="FFFFFF"/>
        </w:rPr>
        <w:t xml:space="preserve">both </w:t>
      </w:r>
      <w:r w:rsidR="00727851" w:rsidRPr="00F017B9">
        <w:rPr>
          <w:rFonts w:ascii="Times New Roman" w:hAnsi="Times New Roman" w:cs="Times New Roman"/>
          <w:sz w:val="24"/>
          <w:szCs w:val="24"/>
          <w:shd w:val="clear" w:color="auto" w:fill="FFFFFF"/>
        </w:rPr>
        <w:t>combined together</w:t>
      </w:r>
      <w:r w:rsidR="001A2921" w:rsidRPr="00F017B9">
        <w:rPr>
          <w:rFonts w:ascii="Times New Roman" w:hAnsi="Times New Roman" w:cs="Times New Roman"/>
          <w:sz w:val="24"/>
          <w:szCs w:val="24"/>
          <w:shd w:val="clear" w:color="auto" w:fill="FFFFFF"/>
        </w:rPr>
        <w:t xml:space="preserve"> can provide competitive advantage to </w:t>
      </w:r>
      <w:r w:rsidR="00ED7F14" w:rsidRPr="00F017B9">
        <w:rPr>
          <w:rFonts w:ascii="Times New Roman" w:hAnsi="Times New Roman" w:cs="Times New Roman"/>
          <w:sz w:val="24"/>
          <w:szCs w:val="24"/>
          <w:shd w:val="clear" w:color="auto" w:fill="FFFFFF"/>
        </w:rPr>
        <w:t xml:space="preserve">an </w:t>
      </w:r>
      <w:r w:rsidR="001A2921" w:rsidRPr="00F017B9">
        <w:rPr>
          <w:rFonts w:ascii="Times New Roman" w:hAnsi="Times New Roman" w:cs="Times New Roman"/>
          <w:sz w:val="24"/>
          <w:szCs w:val="24"/>
          <w:shd w:val="clear" w:color="auto" w:fill="FFFFFF"/>
        </w:rPr>
        <w:t>organization</w:t>
      </w:r>
      <w:r w:rsidR="00727851" w:rsidRPr="00F017B9">
        <w:rPr>
          <w:rFonts w:ascii="Times New Roman" w:hAnsi="Times New Roman" w:cs="Times New Roman"/>
          <w:sz w:val="24"/>
          <w:szCs w:val="24"/>
          <w:shd w:val="clear" w:color="auto" w:fill="FFFFFF"/>
        </w:rPr>
        <w:t xml:space="preserve">. </w:t>
      </w:r>
      <w:r w:rsidR="005F4F69" w:rsidRPr="00F017B9">
        <w:rPr>
          <w:rFonts w:ascii="Times New Roman" w:hAnsi="Times New Roman" w:cs="Times New Roman"/>
          <w:sz w:val="24"/>
          <w:szCs w:val="24"/>
          <w:shd w:val="clear" w:color="auto" w:fill="FFFFFF"/>
        </w:rPr>
        <w:t>Williams et al. (2013)</w:t>
      </w:r>
      <w:r w:rsidR="00B73336" w:rsidRPr="00F017B9">
        <w:rPr>
          <w:rFonts w:ascii="Times New Roman" w:hAnsi="Times New Roman" w:cs="Times New Roman"/>
          <w:sz w:val="24"/>
          <w:szCs w:val="24"/>
          <w:shd w:val="clear" w:color="auto" w:fill="FFFFFF"/>
        </w:rPr>
        <w:t>,</w:t>
      </w:r>
      <w:r w:rsidR="005F4F69" w:rsidRPr="00F017B9">
        <w:rPr>
          <w:rFonts w:ascii="Times New Roman" w:hAnsi="Times New Roman" w:cs="Times New Roman"/>
          <w:sz w:val="24"/>
          <w:szCs w:val="24"/>
          <w:shd w:val="clear" w:color="auto" w:fill="FFFFFF"/>
        </w:rPr>
        <w:t xml:space="preserve"> </w:t>
      </w:r>
      <w:r w:rsidR="00BC390F" w:rsidRPr="00F017B9">
        <w:rPr>
          <w:rFonts w:ascii="Times New Roman" w:hAnsi="Times New Roman" w:cs="Times New Roman"/>
          <w:sz w:val="24"/>
          <w:szCs w:val="24"/>
          <w:shd w:val="clear" w:color="auto" w:fill="FFFFFF"/>
        </w:rPr>
        <w:t>on the other hand</w:t>
      </w:r>
      <w:r w:rsidR="00B73336" w:rsidRPr="00F017B9">
        <w:rPr>
          <w:rFonts w:ascii="Times New Roman" w:hAnsi="Times New Roman" w:cs="Times New Roman"/>
          <w:sz w:val="24"/>
          <w:szCs w:val="24"/>
          <w:shd w:val="clear" w:color="auto" w:fill="FFFFFF"/>
        </w:rPr>
        <w:t>,</w:t>
      </w:r>
      <w:r w:rsidR="005F4F69" w:rsidRPr="00F017B9">
        <w:rPr>
          <w:rFonts w:ascii="Times New Roman" w:hAnsi="Times New Roman" w:cs="Times New Roman"/>
          <w:sz w:val="24"/>
          <w:szCs w:val="24"/>
          <w:shd w:val="clear" w:color="auto" w:fill="FFFFFF"/>
        </w:rPr>
        <w:t xml:space="preserve"> </w:t>
      </w:r>
      <w:r w:rsidR="00287A68" w:rsidRPr="00F017B9">
        <w:rPr>
          <w:rFonts w:ascii="Times New Roman" w:hAnsi="Times New Roman" w:cs="Times New Roman"/>
          <w:sz w:val="24"/>
          <w:szCs w:val="24"/>
          <w:shd w:val="clear" w:color="auto" w:fill="FFFFFF"/>
        </w:rPr>
        <w:t xml:space="preserve">investigated the role of supply chain visibility as an important driver of supply chain responsiveness under </w:t>
      </w:r>
      <w:r w:rsidR="001A2B21">
        <w:rPr>
          <w:rFonts w:ascii="Times New Roman" w:hAnsi="Times New Roman" w:cs="Times New Roman"/>
          <w:sz w:val="24"/>
          <w:szCs w:val="24"/>
          <w:shd w:val="clear" w:color="auto" w:fill="FFFFFF"/>
        </w:rPr>
        <w:t xml:space="preserve">the </w:t>
      </w:r>
      <w:r w:rsidR="00287A68" w:rsidRPr="00F017B9">
        <w:rPr>
          <w:rFonts w:ascii="Times New Roman" w:hAnsi="Times New Roman" w:cs="Times New Roman"/>
          <w:sz w:val="24"/>
          <w:szCs w:val="24"/>
          <w:shd w:val="clear" w:color="auto" w:fill="FFFFFF"/>
        </w:rPr>
        <w:t>moderating effect of internal integration.</w:t>
      </w:r>
      <w:r w:rsidR="00BC390F" w:rsidRPr="00F017B9">
        <w:rPr>
          <w:rFonts w:ascii="Times New Roman" w:hAnsi="Times New Roman" w:cs="Times New Roman"/>
          <w:sz w:val="24"/>
          <w:szCs w:val="24"/>
          <w:shd w:val="clear" w:color="auto" w:fill="FFFFFF"/>
        </w:rPr>
        <w:t xml:space="preserve"> However, </w:t>
      </w:r>
      <w:r w:rsidR="00231A05" w:rsidRPr="00F017B9">
        <w:rPr>
          <w:rFonts w:ascii="Times New Roman" w:hAnsi="Times New Roman" w:cs="Times New Roman"/>
          <w:sz w:val="24"/>
          <w:szCs w:val="24"/>
          <w:shd w:val="clear" w:color="auto" w:fill="FFFFFF"/>
        </w:rPr>
        <w:t xml:space="preserve">supply chain </w:t>
      </w:r>
      <w:r w:rsidR="00391127" w:rsidRPr="00F017B9">
        <w:rPr>
          <w:rFonts w:ascii="Times New Roman" w:hAnsi="Times New Roman" w:cs="Times New Roman"/>
          <w:sz w:val="24"/>
          <w:szCs w:val="24"/>
          <w:shd w:val="clear" w:color="auto" w:fill="FFFFFF"/>
        </w:rPr>
        <w:t>literature focusing on supply chain visibility</w:t>
      </w:r>
      <w:r w:rsidR="00BC390F" w:rsidRPr="00F017B9">
        <w:rPr>
          <w:rFonts w:ascii="Times New Roman" w:hAnsi="Times New Roman" w:cs="Times New Roman"/>
          <w:sz w:val="24"/>
          <w:szCs w:val="24"/>
          <w:shd w:val="clear" w:color="auto" w:fill="FFFFFF"/>
        </w:rPr>
        <w:t xml:space="preserve"> </w:t>
      </w:r>
      <w:r w:rsidR="00231A05" w:rsidRPr="00F017B9">
        <w:rPr>
          <w:rFonts w:ascii="Times New Roman" w:hAnsi="Times New Roman" w:cs="Times New Roman"/>
          <w:sz w:val="24"/>
          <w:szCs w:val="24"/>
          <w:shd w:val="clear" w:color="auto" w:fill="FFFFFF"/>
        </w:rPr>
        <w:t xml:space="preserve">has yet to understand </w:t>
      </w:r>
      <w:r w:rsidR="00BC390F" w:rsidRPr="00F017B9">
        <w:rPr>
          <w:rFonts w:ascii="Times New Roman" w:hAnsi="Times New Roman" w:cs="Times New Roman"/>
          <w:sz w:val="24"/>
          <w:szCs w:val="24"/>
          <w:shd w:val="clear" w:color="auto" w:fill="FFFFFF"/>
        </w:rPr>
        <w:t xml:space="preserve">when and how visibility is created. </w:t>
      </w:r>
      <w:r w:rsidR="00B158A7" w:rsidRPr="00F017B9">
        <w:rPr>
          <w:rFonts w:ascii="Times New Roman" w:hAnsi="Times New Roman" w:cs="Times New Roman"/>
          <w:sz w:val="24"/>
          <w:szCs w:val="24"/>
          <w:shd w:val="clear" w:color="auto" w:fill="FFFFFF"/>
        </w:rPr>
        <w:t>Following</w:t>
      </w:r>
      <w:r w:rsidR="001A150D" w:rsidRPr="00F017B9">
        <w:rPr>
          <w:rFonts w:ascii="Times New Roman" w:hAnsi="Times New Roman" w:cs="Times New Roman"/>
          <w:sz w:val="24"/>
          <w:szCs w:val="24"/>
          <w:shd w:val="clear" w:color="auto" w:fill="FFFFFF"/>
        </w:rPr>
        <w:t xml:space="preserve"> Grant (1991)</w:t>
      </w:r>
      <w:r w:rsidR="002A7084" w:rsidRPr="00F017B9">
        <w:rPr>
          <w:rFonts w:ascii="Times New Roman" w:hAnsi="Times New Roman" w:cs="Times New Roman"/>
          <w:sz w:val="24"/>
          <w:szCs w:val="24"/>
          <w:shd w:val="clear" w:color="auto" w:fill="FFFFFF"/>
        </w:rPr>
        <w:t>,</w:t>
      </w:r>
      <w:r w:rsidR="001A150D" w:rsidRPr="00F017B9">
        <w:rPr>
          <w:rFonts w:ascii="Times New Roman" w:hAnsi="Times New Roman" w:cs="Times New Roman"/>
          <w:sz w:val="24"/>
          <w:szCs w:val="24"/>
          <w:shd w:val="clear" w:color="auto" w:fill="FFFFFF"/>
        </w:rPr>
        <w:t xml:space="preserve"> we argue that bundling tangible and intangible resources</w:t>
      </w:r>
      <w:r w:rsidR="008A3806" w:rsidRPr="00F017B9">
        <w:rPr>
          <w:rFonts w:ascii="Times New Roman" w:hAnsi="Times New Roman" w:cs="Times New Roman"/>
          <w:sz w:val="24"/>
          <w:szCs w:val="24"/>
          <w:shd w:val="clear" w:color="auto" w:fill="FFFFFF"/>
        </w:rPr>
        <w:t xml:space="preserve"> (</w:t>
      </w:r>
      <w:r w:rsidR="004E1983" w:rsidRPr="00F017B9">
        <w:rPr>
          <w:rFonts w:ascii="Times New Roman" w:hAnsi="Times New Roman" w:cs="Times New Roman"/>
          <w:sz w:val="24"/>
          <w:szCs w:val="24"/>
          <w:shd w:val="clear" w:color="auto" w:fill="FFFFFF"/>
        </w:rPr>
        <w:t>Größler and Grübner</w:t>
      </w:r>
      <w:r w:rsidR="008A3806" w:rsidRPr="00F017B9">
        <w:rPr>
          <w:rFonts w:ascii="Times New Roman" w:hAnsi="Times New Roman" w:cs="Times New Roman"/>
          <w:sz w:val="24"/>
          <w:szCs w:val="24"/>
          <w:shd w:val="clear" w:color="auto" w:fill="FFFFFF"/>
        </w:rPr>
        <w:t>, 2006)</w:t>
      </w:r>
      <w:r w:rsidR="001A150D" w:rsidRPr="00F017B9">
        <w:rPr>
          <w:rFonts w:ascii="Times New Roman" w:hAnsi="Times New Roman" w:cs="Times New Roman"/>
          <w:sz w:val="24"/>
          <w:szCs w:val="24"/>
          <w:shd w:val="clear" w:color="auto" w:fill="FFFFFF"/>
        </w:rPr>
        <w:t xml:space="preserve"> can help to build supply chain visibility.</w:t>
      </w:r>
      <w:r w:rsidR="00CC1C06" w:rsidRPr="00F017B9">
        <w:rPr>
          <w:rFonts w:ascii="Times New Roman" w:hAnsi="Times New Roman" w:cs="Times New Roman"/>
          <w:sz w:val="24"/>
          <w:szCs w:val="24"/>
          <w:shd w:val="clear" w:color="auto" w:fill="FFFFFF"/>
        </w:rPr>
        <w:t xml:space="preserve"> Zhu and Kraemer (2002) have noted </w:t>
      </w:r>
      <w:r w:rsidR="001A2B21">
        <w:rPr>
          <w:rFonts w:ascii="Times New Roman" w:hAnsi="Times New Roman" w:cs="Times New Roman"/>
          <w:sz w:val="24"/>
          <w:szCs w:val="24"/>
          <w:shd w:val="clear" w:color="auto" w:fill="FFFFFF"/>
        </w:rPr>
        <w:t xml:space="preserve">that </w:t>
      </w:r>
      <w:r w:rsidR="00CC1C06" w:rsidRPr="00F017B9">
        <w:rPr>
          <w:rFonts w:ascii="Times New Roman" w:hAnsi="Times New Roman" w:cs="Times New Roman"/>
          <w:sz w:val="24"/>
          <w:szCs w:val="24"/>
          <w:shd w:val="clear" w:color="auto" w:fill="FFFFFF"/>
        </w:rPr>
        <w:t xml:space="preserve">connectivity </w:t>
      </w:r>
      <w:r w:rsidR="001D763A" w:rsidRPr="00F017B9">
        <w:rPr>
          <w:rFonts w:ascii="Times New Roman" w:hAnsi="Times New Roman" w:cs="Times New Roman"/>
          <w:sz w:val="24"/>
          <w:szCs w:val="24"/>
          <w:shd w:val="clear" w:color="auto" w:fill="FFFFFF"/>
        </w:rPr>
        <w:t>refers to</w:t>
      </w:r>
      <w:r w:rsidR="00CC1C06" w:rsidRPr="00F017B9">
        <w:rPr>
          <w:rFonts w:ascii="Times New Roman" w:hAnsi="Times New Roman" w:cs="Times New Roman"/>
          <w:sz w:val="24"/>
          <w:szCs w:val="24"/>
          <w:shd w:val="clear" w:color="auto" w:fill="FFFFFF"/>
        </w:rPr>
        <w:t xml:space="preserve"> IT infrastructure </w:t>
      </w:r>
      <w:r w:rsidR="00A518E3" w:rsidRPr="00F017B9">
        <w:rPr>
          <w:rFonts w:ascii="Times New Roman" w:hAnsi="Times New Roman" w:cs="Times New Roman"/>
          <w:sz w:val="24"/>
          <w:szCs w:val="24"/>
          <w:shd w:val="clear" w:color="auto" w:fill="FFFFFF"/>
        </w:rPr>
        <w:t xml:space="preserve">that </w:t>
      </w:r>
      <w:r w:rsidR="00CC1C06" w:rsidRPr="00F017B9">
        <w:rPr>
          <w:rFonts w:ascii="Times New Roman" w:hAnsi="Times New Roman" w:cs="Times New Roman"/>
          <w:sz w:val="24"/>
          <w:szCs w:val="24"/>
          <w:shd w:val="clear" w:color="auto" w:fill="FFFFFF"/>
        </w:rPr>
        <w:t xml:space="preserve">is regarded as important tangible resource </w:t>
      </w:r>
      <w:r w:rsidR="00A0670F" w:rsidRPr="00F017B9">
        <w:rPr>
          <w:rFonts w:ascii="Times New Roman" w:hAnsi="Times New Roman" w:cs="Times New Roman"/>
          <w:sz w:val="24"/>
          <w:szCs w:val="24"/>
          <w:shd w:val="clear" w:color="auto" w:fill="FFFFFF"/>
        </w:rPr>
        <w:t xml:space="preserve">that facilitates </w:t>
      </w:r>
      <w:r w:rsidR="00CC1C06" w:rsidRPr="00F017B9">
        <w:rPr>
          <w:rFonts w:ascii="Times New Roman" w:hAnsi="Times New Roman" w:cs="Times New Roman"/>
          <w:sz w:val="24"/>
          <w:szCs w:val="24"/>
          <w:shd w:val="clear" w:color="auto" w:fill="FFFFFF"/>
        </w:rPr>
        <w:t xml:space="preserve">information sharing. Fawcett et al. (2011) </w:t>
      </w:r>
      <w:r w:rsidR="00270AD1" w:rsidRPr="00F017B9">
        <w:rPr>
          <w:rFonts w:ascii="Times New Roman" w:hAnsi="Times New Roman" w:cs="Times New Roman"/>
          <w:sz w:val="24"/>
          <w:szCs w:val="24"/>
          <w:shd w:val="clear" w:color="auto" w:fill="FFFFFF"/>
        </w:rPr>
        <w:t xml:space="preserve">and Brandon-Jones et al. (2014) </w:t>
      </w:r>
      <w:r w:rsidR="00CC1C06" w:rsidRPr="00F017B9">
        <w:rPr>
          <w:rFonts w:ascii="Times New Roman" w:hAnsi="Times New Roman" w:cs="Times New Roman"/>
          <w:sz w:val="24"/>
          <w:szCs w:val="24"/>
          <w:shd w:val="clear" w:color="auto" w:fill="FFFFFF"/>
        </w:rPr>
        <w:t xml:space="preserve">have </w:t>
      </w:r>
      <w:r w:rsidR="006A6315" w:rsidRPr="00F017B9">
        <w:rPr>
          <w:rFonts w:ascii="Times New Roman" w:hAnsi="Times New Roman" w:cs="Times New Roman"/>
          <w:sz w:val="24"/>
          <w:szCs w:val="24"/>
          <w:shd w:val="clear" w:color="auto" w:fill="FFFFFF"/>
        </w:rPr>
        <w:t>described</w:t>
      </w:r>
      <w:r w:rsidR="00CC1C06" w:rsidRPr="00F017B9">
        <w:rPr>
          <w:rFonts w:ascii="Times New Roman" w:hAnsi="Times New Roman" w:cs="Times New Roman"/>
          <w:sz w:val="24"/>
          <w:szCs w:val="24"/>
          <w:shd w:val="clear" w:color="auto" w:fill="FFFFFF"/>
        </w:rPr>
        <w:t xml:space="preserve"> </w:t>
      </w:r>
      <w:r w:rsidR="005762DA" w:rsidRPr="00F017B9">
        <w:rPr>
          <w:rFonts w:ascii="Times New Roman" w:hAnsi="Times New Roman" w:cs="Times New Roman"/>
          <w:sz w:val="24"/>
          <w:szCs w:val="24"/>
          <w:shd w:val="clear" w:color="auto" w:fill="FFFFFF"/>
        </w:rPr>
        <w:t xml:space="preserve">connectivity </w:t>
      </w:r>
      <w:r w:rsidR="006A6315" w:rsidRPr="00F017B9">
        <w:rPr>
          <w:rFonts w:ascii="Times New Roman" w:hAnsi="Times New Roman" w:cs="Times New Roman"/>
          <w:sz w:val="24"/>
          <w:szCs w:val="24"/>
          <w:shd w:val="clear" w:color="auto" w:fill="FFFFFF"/>
        </w:rPr>
        <w:t>as</w:t>
      </w:r>
      <w:r w:rsidR="00B350A7" w:rsidRPr="00F017B9">
        <w:rPr>
          <w:rFonts w:ascii="Times New Roman" w:hAnsi="Times New Roman" w:cs="Times New Roman"/>
          <w:sz w:val="24"/>
          <w:szCs w:val="24"/>
          <w:shd w:val="clear" w:color="auto" w:fill="FFFFFF"/>
        </w:rPr>
        <w:t xml:space="preserve"> an</w:t>
      </w:r>
      <w:r w:rsidR="005762DA" w:rsidRPr="00F017B9">
        <w:rPr>
          <w:rFonts w:ascii="Times New Roman" w:hAnsi="Times New Roman" w:cs="Times New Roman"/>
          <w:sz w:val="24"/>
          <w:szCs w:val="24"/>
          <w:shd w:val="clear" w:color="auto" w:fill="FFFFFF"/>
        </w:rPr>
        <w:t xml:space="preserve"> organization’s ability to gather and share information through use of information and </w:t>
      </w:r>
      <w:r w:rsidR="008A3806" w:rsidRPr="00F017B9">
        <w:rPr>
          <w:rFonts w:ascii="Times New Roman" w:hAnsi="Times New Roman" w:cs="Times New Roman"/>
          <w:sz w:val="24"/>
          <w:szCs w:val="24"/>
          <w:shd w:val="clear" w:color="auto" w:fill="FFFFFF"/>
        </w:rPr>
        <w:t>communication technologies (ICT</w:t>
      </w:r>
      <w:r w:rsidR="005762DA" w:rsidRPr="00F017B9">
        <w:rPr>
          <w:rFonts w:ascii="Times New Roman" w:hAnsi="Times New Roman" w:cs="Times New Roman"/>
          <w:sz w:val="24"/>
          <w:szCs w:val="24"/>
          <w:shd w:val="clear" w:color="auto" w:fill="FFFFFF"/>
        </w:rPr>
        <w:t xml:space="preserve">s). </w:t>
      </w:r>
      <w:r w:rsidR="00B350A7" w:rsidRPr="00F017B9">
        <w:rPr>
          <w:rFonts w:ascii="Times New Roman" w:hAnsi="Times New Roman" w:cs="Times New Roman"/>
          <w:sz w:val="24"/>
          <w:szCs w:val="24"/>
          <w:shd w:val="clear" w:color="auto" w:fill="FFFFFF"/>
        </w:rPr>
        <w:t>Connectivity can therefore allow organizations and</w:t>
      </w:r>
      <w:r w:rsidR="003E1BD4" w:rsidRPr="00F017B9">
        <w:rPr>
          <w:rFonts w:ascii="Times New Roman" w:hAnsi="Times New Roman" w:cs="Times New Roman"/>
          <w:sz w:val="24"/>
          <w:szCs w:val="24"/>
          <w:shd w:val="clear" w:color="auto" w:fill="FFFFFF"/>
        </w:rPr>
        <w:t xml:space="preserve"> supply chain networks </w:t>
      </w:r>
      <w:r w:rsidR="00B350A7" w:rsidRPr="00F017B9">
        <w:rPr>
          <w:rFonts w:ascii="Times New Roman" w:hAnsi="Times New Roman" w:cs="Times New Roman"/>
          <w:sz w:val="24"/>
          <w:szCs w:val="24"/>
          <w:shd w:val="clear" w:color="auto" w:fill="FFFFFF"/>
        </w:rPr>
        <w:t xml:space="preserve">to </w:t>
      </w:r>
      <w:r w:rsidR="00A0670F" w:rsidRPr="00F017B9">
        <w:rPr>
          <w:rFonts w:ascii="Times New Roman" w:hAnsi="Times New Roman" w:cs="Times New Roman"/>
          <w:sz w:val="24"/>
          <w:szCs w:val="24"/>
          <w:shd w:val="clear" w:color="auto" w:fill="FFFFFF"/>
        </w:rPr>
        <w:t>share information</w:t>
      </w:r>
      <w:r w:rsidR="00F31CC6" w:rsidRPr="00F017B9">
        <w:rPr>
          <w:rFonts w:ascii="Times New Roman" w:hAnsi="Times New Roman" w:cs="Times New Roman"/>
          <w:sz w:val="24"/>
          <w:szCs w:val="24"/>
          <w:shd w:val="clear" w:color="auto" w:fill="FFFFFF"/>
        </w:rPr>
        <w:t xml:space="preserve"> (Prajogo and Olhager, 2012; Brandon-Jones et al., 2014; Huo et al. 2014)</w:t>
      </w:r>
      <w:r w:rsidR="00211797" w:rsidRPr="00F017B9">
        <w:rPr>
          <w:rFonts w:ascii="Times New Roman" w:hAnsi="Times New Roman" w:cs="Times New Roman"/>
          <w:sz w:val="24"/>
          <w:szCs w:val="24"/>
          <w:shd w:val="clear" w:color="auto" w:fill="FFFFFF"/>
        </w:rPr>
        <w:t>,</w:t>
      </w:r>
      <w:r w:rsidR="00A0670F" w:rsidRPr="00F017B9">
        <w:rPr>
          <w:rFonts w:ascii="Times New Roman" w:hAnsi="Times New Roman" w:cs="Times New Roman"/>
          <w:sz w:val="24"/>
          <w:szCs w:val="24"/>
          <w:shd w:val="clear" w:color="auto" w:fill="FFFFFF"/>
        </w:rPr>
        <w:t xml:space="preserve"> which is </w:t>
      </w:r>
      <w:r w:rsidR="008A3806" w:rsidRPr="00F017B9">
        <w:rPr>
          <w:rFonts w:ascii="Times New Roman" w:hAnsi="Times New Roman" w:cs="Times New Roman"/>
          <w:sz w:val="24"/>
          <w:szCs w:val="24"/>
          <w:shd w:val="clear" w:color="auto" w:fill="FFFFFF"/>
        </w:rPr>
        <w:t xml:space="preserve">a </w:t>
      </w:r>
      <w:r w:rsidR="00A0670F" w:rsidRPr="00F017B9">
        <w:rPr>
          <w:rFonts w:ascii="Times New Roman" w:hAnsi="Times New Roman" w:cs="Times New Roman"/>
          <w:sz w:val="24"/>
          <w:szCs w:val="24"/>
          <w:shd w:val="clear" w:color="auto" w:fill="FFFFFF"/>
        </w:rPr>
        <w:t>prerequisite for supply chain visibility.</w:t>
      </w:r>
      <w:r w:rsidR="00270AD1" w:rsidRPr="00F017B9">
        <w:rPr>
          <w:rFonts w:ascii="Times New Roman" w:hAnsi="Times New Roman" w:cs="Times New Roman"/>
          <w:sz w:val="24"/>
          <w:szCs w:val="24"/>
          <w:shd w:val="clear" w:color="auto" w:fill="FFFFFF"/>
        </w:rPr>
        <w:t xml:space="preserve"> </w:t>
      </w:r>
      <w:r w:rsidR="005F3595" w:rsidRPr="00F017B9">
        <w:rPr>
          <w:rFonts w:ascii="Times New Roman" w:hAnsi="Times New Roman" w:cs="Times New Roman"/>
          <w:sz w:val="24"/>
          <w:szCs w:val="24"/>
          <w:shd w:val="clear" w:color="auto" w:fill="FFFFFF"/>
        </w:rPr>
        <w:t>Therefore,</w:t>
      </w:r>
    </w:p>
    <w:p w14:paraId="3DB52B59" w14:textId="20026EB9" w:rsidR="005F3595" w:rsidRPr="00F017B9" w:rsidRDefault="005F3595" w:rsidP="00654B52">
      <w:pPr>
        <w:spacing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 xml:space="preserve">H2: Supply chain connectivity has </w:t>
      </w:r>
      <w:r w:rsidR="006A6315" w:rsidRPr="00F017B9">
        <w:rPr>
          <w:rFonts w:ascii="Times New Roman" w:hAnsi="Times New Roman" w:cs="Times New Roman"/>
          <w:i/>
          <w:sz w:val="24"/>
          <w:szCs w:val="24"/>
          <w:shd w:val="clear" w:color="auto" w:fill="FFFFFF"/>
        </w:rPr>
        <w:t xml:space="preserve">a </w:t>
      </w:r>
      <w:r w:rsidRPr="00F017B9">
        <w:rPr>
          <w:rFonts w:ascii="Times New Roman" w:hAnsi="Times New Roman" w:cs="Times New Roman"/>
          <w:i/>
          <w:sz w:val="24"/>
          <w:szCs w:val="24"/>
          <w:shd w:val="clear" w:color="auto" w:fill="FFFFFF"/>
        </w:rPr>
        <w:t>positive impact on supply chain visibility</w:t>
      </w:r>
      <w:r w:rsidR="00962EF8" w:rsidRPr="00F017B9">
        <w:rPr>
          <w:rFonts w:ascii="Times New Roman" w:hAnsi="Times New Roman" w:cs="Times New Roman"/>
          <w:i/>
          <w:sz w:val="24"/>
          <w:szCs w:val="24"/>
          <w:shd w:val="clear" w:color="auto" w:fill="FFFFFF"/>
        </w:rPr>
        <w:t>.</w:t>
      </w:r>
    </w:p>
    <w:p w14:paraId="6A4CBD1C" w14:textId="38CA8CAD" w:rsidR="005F3595" w:rsidRPr="00F017B9" w:rsidRDefault="00962EF8"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Since quality i</w:t>
      </w:r>
      <w:r w:rsidR="005F3595" w:rsidRPr="00F017B9">
        <w:rPr>
          <w:rFonts w:ascii="Times New Roman" w:hAnsi="Times New Roman" w:cs="Times New Roman"/>
          <w:sz w:val="24"/>
          <w:szCs w:val="24"/>
          <w:shd w:val="clear" w:color="auto" w:fill="FFFFFF"/>
        </w:rPr>
        <w:t xml:space="preserve">nformation sharing </w:t>
      </w:r>
      <w:r w:rsidRPr="00F017B9">
        <w:rPr>
          <w:rFonts w:ascii="Times New Roman" w:hAnsi="Times New Roman" w:cs="Times New Roman"/>
          <w:sz w:val="24"/>
          <w:szCs w:val="24"/>
          <w:shd w:val="clear" w:color="auto" w:fill="FFFFFF"/>
        </w:rPr>
        <w:t>–</w:t>
      </w:r>
      <w:r w:rsidR="006A6315" w:rsidRPr="00F017B9">
        <w:rPr>
          <w:rFonts w:ascii="Times New Roman" w:hAnsi="Times New Roman" w:cs="Times New Roman"/>
          <w:sz w:val="24"/>
          <w:szCs w:val="24"/>
          <w:shd w:val="clear" w:color="auto" w:fill="FFFFFF"/>
        </w:rPr>
        <w:t xml:space="preserve"> </w:t>
      </w:r>
      <w:r w:rsidR="00252A0E" w:rsidRPr="00F017B9">
        <w:rPr>
          <w:rFonts w:ascii="Times New Roman" w:hAnsi="Times New Roman" w:cs="Times New Roman"/>
          <w:sz w:val="24"/>
          <w:szCs w:val="24"/>
          <w:shd w:val="clear" w:color="auto" w:fill="FFFFFF"/>
        </w:rPr>
        <w:t>measured</w:t>
      </w:r>
      <w:r w:rsidRPr="00F017B9">
        <w:rPr>
          <w:rFonts w:ascii="Times New Roman" w:hAnsi="Times New Roman" w:cs="Times New Roman"/>
          <w:sz w:val="24"/>
          <w:szCs w:val="24"/>
          <w:shd w:val="clear" w:color="auto" w:fill="FFFFFF"/>
        </w:rPr>
        <w:t xml:space="preserve"> </w:t>
      </w:r>
      <w:r w:rsidR="006A6315" w:rsidRPr="00F017B9">
        <w:rPr>
          <w:rFonts w:ascii="Times New Roman" w:hAnsi="Times New Roman" w:cs="Times New Roman"/>
          <w:sz w:val="24"/>
          <w:szCs w:val="24"/>
          <w:shd w:val="clear" w:color="auto" w:fill="FFFFFF"/>
        </w:rPr>
        <w:t>as</w:t>
      </w:r>
      <w:r w:rsidR="00252A0E" w:rsidRPr="00F017B9">
        <w:rPr>
          <w:rFonts w:ascii="Times New Roman" w:hAnsi="Times New Roman" w:cs="Times New Roman"/>
          <w:sz w:val="24"/>
          <w:szCs w:val="24"/>
          <w:shd w:val="clear" w:color="auto" w:fill="FFFFFF"/>
        </w:rPr>
        <w:t xml:space="preserve"> timely, accurate, pertinent and confidential (Brandon-Jones et al. 2014)</w:t>
      </w:r>
      <w:r w:rsidR="006A6315" w:rsidRPr="00F017B9">
        <w:rPr>
          <w:rFonts w:ascii="Times New Roman" w:hAnsi="Times New Roman" w:cs="Times New Roman"/>
          <w:sz w:val="24"/>
          <w:szCs w:val="24"/>
          <w:shd w:val="clear" w:color="auto" w:fill="FFFFFF"/>
        </w:rPr>
        <w:t xml:space="preserve"> </w:t>
      </w:r>
      <w:r w:rsidRPr="00F017B9">
        <w:rPr>
          <w:rFonts w:ascii="Times New Roman" w:hAnsi="Times New Roman" w:cs="Times New Roman"/>
          <w:sz w:val="24"/>
          <w:szCs w:val="24"/>
          <w:shd w:val="clear" w:color="auto" w:fill="FFFFFF"/>
        </w:rPr>
        <w:t xml:space="preserve">– </w:t>
      </w:r>
      <w:r w:rsidR="00252A0E" w:rsidRPr="00F017B9">
        <w:rPr>
          <w:rFonts w:ascii="Times New Roman" w:hAnsi="Times New Roman" w:cs="Times New Roman"/>
          <w:sz w:val="24"/>
          <w:szCs w:val="24"/>
          <w:shd w:val="clear" w:color="auto" w:fill="FFFFFF"/>
        </w:rPr>
        <w:t>may lead to improved supply chain visibility (Christopher and Lee, 2004)</w:t>
      </w:r>
      <w:r w:rsidRPr="00F017B9">
        <w:rPr>
          <w:rFonts w:ascii="Times New Roman" w:hAnsi="Times New Roman" w:cs="Times New Roman"/>
          <w:sz w:val="24"/>
          <w:szCs w:val="24"/>
          <w:shd w:val="clear" w:color="auto" w:fill="FFFFFF"/>
        </w:rPr>
        <w:t xml:space="preserve">, we also hypothesise: </w:t>
      </w:r>
    </w:p>
    <w:p w14:paraId="1CFFDBD4" w14:textId="68FC0E6C" w:rsidR="00CC5E24" w:rsidRPr="00F017B9" w:rsidRDefault="005F3595" w:rsidP="00654B52">
      <w:pPr>
        <w:spacing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H3: Information sharing has</w:t>
      </w:r>
      <w:r w:rsidR="006A6315" w:rsidRPr="00F017B9">
        <w:rPr>
          <w:rFonts w:ascii="Times New Roman" w:hAnsi="Times New Roman" w:cs="Times New Roman"/>
          <w:i/>
          <w:sz w:val="24"/>
          <w:szCs w:val="24"/>
          <w:shd w:val="clear" w:color="auto" w:fill="FFFFFF"/>
        </w:rPr>
        <w:t xml:space="preserve"> a</w:t>
      </w:r>
      <w:r w:rsidRPr="00F017B9">
        <w:rPr>
          <w:rFonts w:ascii="Times New Roman" w:hAnsi="Times New Roman" w:cs="Times New Roman"/>
          <w:i/>
          <w:sz w:val="24"/>
          <w:szCs w:val="24"/>
          <w:shd w:val="clear" w:color="auto" w:fill="FFFFFF"/>
        </w:rPr>
        <w:t xml:space="preserve"> positive impact on supply chain visibility</w:t>
      </w:r>
      <w:r w:rsidR="00962EF8" w:rsidRPr="00F017B9">
        <w:rPr>
          <w:rFonts w:ascii="Times New Roman" w:hAnsi="Times New Roman" w:cs="Times New Roman"/>
          <w:i/>
          <w:sz w:val="24"/>
          <w:szCs w:val="24"/>
          <w:shd w:val="clear" w:color="auto" w:fill="FFFFFF"/>
        </w:rPr>
        <w:t>.</w:t>
      </w:r>
    </w:p>
    <w:p w14:paraId="4FEC317F" w14:textId="684A64E5" w:rsidR="004C0C92" w:rsidRPr="00F017B9" w:rsidRDefault="004C0C92" w:rsidP="00654B52">
      <w:pPr>
        <w:spacing w:after="120" w:line="480" w:lineRule="auto"/>
        <w:jc w:val="both"/>
        <w:rPr>
          <w:rFonts w:ascii="Times New Roman" w:hAnsi="Times New Roman" w:cs="Times New Roman"/>
          <w:b/>
          <w:i/>
          <w:sz w:val="24"/>
          <w:szCs w:val="24"/>
          <w:shd w:val="clear" w:color="auto" w:fill="FFFFFF"/>
        </w:rPr>
      </w:pPr>
      <w:r w:rsidRPr="00F017B9">
        <w:rPr>
          <w:rFonts w:ascii="Times New Roman" w:hAnsi="Times New Roman" w:cs="Times New Roman"/>
          <w:b/>
          <w:i/>
          <w:sz w:val="24"/>
          <w:szCs w:val="24"/>
          <w:shd w:val="clear" w:color="auto" w:fill="FFFFFF"/>
        </w:rPr>
        <w:t>2.</w:t>
      </w:r>
      <w:r w:rsidR="00D12E6F" w:rsidRPr="00F017B9">
        <w:rPr>
          <w:rFonts w:ascii="Times New Roman" w:hAnsi="Times New Roman" w:cs="Times New Roman"/>
          <w:b/>
          <w:i/>
          <w:sz w:val="24"/>
          <w:szCs w:val="24"/>
          <w:shd w:val="clear" w:color="auto" w:fill="FFFFFF"/>
        </w:rPr>
        <w:t>6</w:t>
      </w:r>
      <w:r w:rsidRPr="00F017B9">
        <w:rPr>
          <w:rFonts w:ascii="Times New Roman" w:hAnsi="Times New Roman" w:cs="Times New Roman"/>
          <w:b/>
          <w:i/>
          <w:sz w:val="24"/>
          <w:szCs w:val="24"/>
          <w:shd w:val="clear" w:color="auto" w:fill="FFFFFF"/>
        </w:rPr>
        <w:t xml:space="preserve"> The impact of supply chain visibility on agility, adaptability and alignment</w:t>
      </w:r>
    </w:p>
    <w:p w14:paraId="428D019C" w14:textId="568215C8" w:rsidR="00A8456F" w:rsidRPr="00F017B9" w:rsidRDefault="00604938" w:rsidP="00654B52">
      <w:pPr>
        <w:spacing w:after="120"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Williams et al. (2013) have empirically tested the impact of visibility on supply chain responsiveness under the moderating effect of internal integration. Lee (2004) has further argued that collaboration between suppliers and customers and promoting free flow of information between suppliers and customers helps to create agility in supply chain. </w:t>
      </w:r>
      <w:r w:rsidR="00ED5BE7" w:rsidRPr="00F017B9">
        <w:rPr>
          <w:rFonts w:ascii="Times New Roman" w:hAnsi="Times New Roman" w:cs="Times New Roman"/>
          <w:sz w:val="24"/>
          <w:szCs w:val="24"/>
          <w:shd w:val="clear" w:color="auto" w:fill="FFFFFF"/>
        </w:rPr>
        <w:t xml:space="preserve">Following </w:t>
      </w:r>
      <w:r w:rsidR="001A2B21">
        <w:rPr>
          <w:rFonts w:ascii="Times New Roman" w:hAnsi="Times New Roman" w:cs="Times New Roman"/>
          <w:sz w:val="24"/>
          <w:szCs w:val="24"/>
          <w:shd w:val="clear" w:color="auto" w:fill="FFFFFF"/>
        </w:rPr>
        <w:t xml:space="preserve">the </w:t>
      </w:r>
      <w:r w:rsidR="00ED5BE7" w:rsidRPr="00F017B9">
        <w:rPr>
          <w:rFonts w:ascii="Times New Roman" w:hAnsi="Times New Roman" w:cs="Times New Roman"/>
          <w:sz w:val="24"/>
          <w:szCs w:val="24"/>
          <w:shd w:val="clear" w:color="auto" w:fill="FFFFFF"/>
        </w:rPr>
        <w:t>RBV</w:t>
      </w:r>
      <w:r w:rsidR="00720C19" w:rsidRPr="00F017B9">
        <w:rPr>
          <w:rFonts w:ascii="Times New Roman" w:hAnsi="Times New Roman" w:cs="Times New Roman"/>
          <w:sz w:val="24"/>
          <w:szCs w:val="24"/>
          <w:shd w:val="clear" w:color="auto" w:fill="FFFFFF"/>
        </w:rPr>
        <w:t>,</w:t>
      </w:r>
      <w:r w:rsidR="00122F1B" w:rsidRPr="00F017B9">
        <w:rPr>
          <w:rFonts w:ascii="Times New Roman" w:hAnsi="Times New Roman" w:cs="Times New Roman"/>
          <w:sz w:val="24"/>
          <w:szCs w:val="24"/>
          <w:shd w:val="clear" w:color="auto" w:fill="FFFFFF"/>
        </w:rPr>
        <w:t xml:space="preserve"> Brusset (2016) </w:t>
      </w:r>
      <w:r w:rsidR="00B72206" w:rsidRPr="00F017B9">
        <w:rPr>
          <w:rFonts w:ascii="Times New Roman" w:hAnsi="Times New Roman" w:cs="Times New Roman"/>
          <w:sz w:val="24"/>
          <w:szCs w:val="24"/>
          <w:shd w:val="clear" w:color="auto" w:fill="FFFFFF"/>
        </w:rPr>
        <w:t>has</w:t>
      </w:r>
      <w:r w:rsidR="00122F1B" w:rsidRPr="00F017B9">
        <w:rPr>
          <w:rFonts w:ascii="Times New Roman" w:hAnsi="Times New Roman" w:cs="Times New Roman"/>
          <w:sz w:val="24"/>
          <w:szCs w:val="24"/>
          <w:shd w:val="clear" w:color="auto" w:fill="FFFFFF"/>
        </w:rPr>
        <w:t xml:space="preserve"> found </w:t>
      </w:r>
      <w:r w:rsidR="0061022C" w:rsidRPr="00F017B9">
        <w:rPr>
          <w:rFonts w:ascii="Times New Roman" w:hAnsi="Times New Roman" w:cs="Times New Roman"/>
          <w:sz w:val="24"/>
          <w:szCs w:val="24"/>
          <w:shd w:val="clear" w:color="auto" w:fill="FFFFFF"/>
        </w:rPr>
        <w:t xml:space="preserve">a </w:t>
      </w:r>
      <w:r w:rsidR="00122F1B" w:rsidRPr="00F017B9">
        <w:rPr>
          <w:rFonts w:ascii="Times New Roman" w:hAnsi="Times New Roman" w:cs="Times New Roman"/>
          <w:sz w:val="24"/>
          <w:szCs w:val="24"/>
          <w:shd w:val="clear" w:color="auto" w:fill="FFFFFF"/>
        </w:rPr>
        <w:t xml:space="preserve">positive association between supply chain visibility and agility. </w:t>
      </w:r>
      <w:r w:rsidR="007046C0" w:rsidRPr="00F017B9">
        <w:rPr>
          <w:rFonts w:ascii="Times New Roman" w:hAnsi="Times New Roman" w:cs="Times New Roman"/>
          <w:sz w:val="24"/>
          <w:szCs w:val="24"/>
          <w:shd w:val="clear" w:color="auto" w:fill="FFFFFF"/>
        </w:rPr>
        <w:t>Hence,</w:t>
      </w:r>
      <w:r w:rsidR="00A8456F" w:rsidRPr="00F017B9">
        <w:rPr>
          <w:rFonts w:ascii="Times New Roman" w:hAnsi="Times New Roman" w:cs="Times New Roman"/>
          <w:sz w:val="24"/>
          <w:szCs w:val="24"/>
          <w:shd w:val="clear" w:color="auto" w:fill="FFFFFF"/>
        </w:rPr>
        <w:t xml:space="preserve"> we can hypothesize as:</w:t>
      </w:r>
    </w:p>
    <w:p w14:paraId="1E6F7A53" w14:textId="3C1B8BDD" w:rsidR="00A8456F" w:rsidRPr="00F017B9" w:rsidRDefault="00A8456F" w:rsidP="00654B52">
      <w:pPr>
        <w:spacing w:after="120"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 xml:space="preserve">H4: Supply chain visibility has positive </w:t>
      </w:r>
      <w:r w:rsidR="00F83167" w:rsidRPr="00F017B9">
        <w:rPr>
          <w:rFonts w:ascii="Times New Roman" w:hAnsi="Times New Roman" w:cs="Times New Roman"/>
          <w:i/>
          <w:sz w:val="24"/>
          <w:szCs w:val="24"/>
          <w:shd w:val="clear" w:color="auto" w:fill="FFFFFF"/>
        </w:rPr>
        <w:t>impact on supply chain agility.</w:t>
      </w:r>
    </w:p>
    <w:p w14:paraId="1209A160" w14:textId="55C0A544" w:rsidR="00F83167" w:rsidRPr="00F017B9" w:rsidRDefault="001035D2" w:rsidP="00654B52">
      <w:pPr>
        <w:spacing w:after="120"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Barratt (2004) and Barratt and Oke (2007) have argued that supply chain visibility plays a critical role in building collaboration (Vereecke and Muylle, 2006; Vanpoucke et al. 2009). </w:t>
      </w:r>
      <w:r w:rsidR="008927EE" w:rsidRPr="00F017B9">
        <w:rPr>
          <w:rFonts w:ascii="Times New Roman" w:hAnsi="Times New Roman" w:cs="Times New Roman"/>
          <w:sz w:val="24"/>
          <w:szCs w:val="24"/>
          <w:shd w:val="clear" w:color="auto" w:fill="FFFFFF"/>
        </w:rPr>
        <w:t xml:space="preserve">An early study by </w:t>
      </w:r>
      <w:r w:rsidRPr="00F017B9">
        <w:rPr>
          <w:rFonts w:ascii="Times New Roman" w:hAnsi="Times New Roman" w:cs="Times New Roman"/>
          <w:sz w:val="24"/>
          <w:szCs w:val="24"/>
          <w:shd w:val="clear" w:color="auto" w:fill="FFFFFF"/>
        </w:rPr>
        <w:t xml:space="preserve">Lee (2004) </w:t>
      </w:r>
      <w:r w:rsidR="008D6406" w:rsidRPr="00F017B9">
        <w:rPr>
          <w:rFonts w:ascii="Times New Roman" w:hAnsi="Times New Roman" w:cs="Times New Roman"/>
          <w:sz w:val="24"/>
          <w:szCs w:val="24"/>
          <w:shd w:val="clear" w:color="auto" w:fill="FFFFFF"/>
        </w:rPr>
        <w:t>has argued</w:t>
      </w:r>
      <w:r w:rsidRPr="00F017B9">
        <w:rPr>
          <w:rFonts w:ascii="Times New Roman" w:hAnsi="Times New Roman" w:cs="Times New Roman"/>
          <w:sz w:val="24"/>
          <w:szCs w:val="24"/>
          <w:shd w:val="clear" w:color="auto" w:fill="FFFFFF"/>
        </w:rPr>
        <w:t xml:space="preserve"> that continuous</w:t>
      </w:r>
      <w:r w:rsidR="008C2EB5" w:rsidRPr="00F017B9">
        <w:rPr>
          <w:rFonts w:ascii="Times New Roman" w:hAnsi="Times New Roman" w:cs="Times New Roman"/>
          <w:sz w:val="24"/>
          <w:szCs w:val="24"/>
          <w:shd w:val="clear" w:color="auto" w:fill="FFFFFF"/>
        </w:rPr>
        <w:t>ly</w:t>
      </w:r>
      <w:r w:rsidRPr="00F017B9">
        <w:rPr>
          <w:rFonts w:ascii="Times New Roman" w:hAnsi="Times New Roman" w:cs="Times New Roman"/>
          <w:sz w:val="24"/>
          <w:szCs w:val="24"/>
          <w:shd w:val="clear" w:color="auto" w:fill="FFFFFF"/>
        </w:rPr>
        <w:t xml:space="preserve"> tracking</w:t>
      </w:r>
      <w:r w:rsidR="00A8456F" w:rsidRPr="00F017B9">
        <w:rPr>
          <w:rFonts w:ascii="Times New Roman" w:hAnsi="Times New Roman" w:cs="Times New Roman"/>
          <w:sz w:val="24"/>
          <w:szCs w:val="24"/>
          <w:shd w:val="clear" w:color="auto" w:fill="FFFFFF"/>
        </w:rPr>
        <w:t xml:space="preserve"> macro factors, use of intermediaries, building flexibility and matching supply chains with product may help to create adaptability in supply chains</w:t>
      </w:r>
      <w:r w:rsidR="001709CC" w:rsidRPr="00F017B9">
        <w:rPr>
          <w:rFonts w:ascii="Times New Roman" w:hAnsi="Times New Roman" w:cs="Times New Roman"/>
          <w:sz w:val="24"/>
          <w:szCs w:val="24"/>
          <w:shd w:val="clear" w:color="auto" w:fill="FFFFFF"/>
        </w:rPr>
        <w:t>, whereas</w:t>
      </w:r>
      <w:r w:rsidR="00A8456F" w:rsidRPr="00F017B9">
        <w:rPr>
          <w:rFonts w:ascii="Times New Roman" w:hAnsi="Times New Roman" w:cs="Times New Roman"/>
          <w:sz w:val="24"/>
          <w:szCs w:val="24"/>
          <w:shd w:val="clear" w:color="auto" w:fill="FFFFFF"/>
        </w:rPr>
        <w:t xml:space="preserve"> Makris et al. (2011) further noted that visibility in supply chain helps to adapt quickly to changes. Thus</w:t>
      </w:r>
      <w:r w:rsidR="0095566A" w:rsidRPr="00F017B9">
        <w:rPr>
          <w:rFonts w:ascii="Times New Roman" w:hAnsi="Times New Roman" w:cs="Times New Roman"/>
          <w:sz w:val="24"/>
          <w:szCs w:val="24"/>
          <w:shd w:val="clear" w:color="auto" w:fill="FFFFFF"/>
        </w:rPr>
        <w:t>,</w:t>
      </w:r>
      <w:r w:rsidR="00A8456F" w:rsidRPr="00F017B9">
        <w:rPr>
          <w:rFonts w:ascii="Times New Roman" w:hAnsi="Times New Roman" w:cs="Times New Roman"/>
          <w:sz w:val="24"/>
          <w:szCs w:val="24"/>
          <w:shd w:val="clear" w:color="auto" w:fill="FFFFFF"/>
        </w:rPr>
        <w:t xml:space="preserve"> we can argue that supply chain visibility has significant influence on cre</w:t>
      </w:r>
      <w:r w:rsidR="008919B3" w:rsidRPr="00F017B9">
        <w:rPr>
          <w:rFonts w:ascii="Times New Roman" w:hAnsi="Times New Roman" w:cs="Times New Roman"/>
          <w:sz w:val="24"/>
          <w:szCs w:val="24"/>
          <w:shd w:val="clear" w:color="auto" w:fill="FFFFFF"/>
        </w:rPr>
        <w:t>ating supply chain adaptability, and</w:t>
      </w:r>
      <w:r w:rsidR="00A8456F" w:rsidRPr="00F017B9">
        <w:rPr>
          <w:rFonts w:ascii="Times New Roman" w:hAnsi="Times New Roman" w:cs="Times New Roman"/>
          <w:sz w:val="24"/>
          <w:szCs w:val="24"/>
          <w:shd w:val="clear" w:color="auto" w:fill="FFFFFF"/>
        </w:rPr>
        <w:t xml:space="preserve"> </w:t>
      </w:r>
      <w:r w:rsidR="008919B3" w:rsidRPr="00F017B9">
        <w:rPr>
          <w:rFonts w:ascii="Times New Roman" w:hAnsi="Times New Roman" w:cs="Times New Roman"/>
          <w:sz w:val="24"/>
          <w:szCs w:val="24"/>
          <w:shd w:val="clear" w:color="auto" w:fill="FFFFFF"/>
        </w:rPr>
        <w:t>w</w:t>
      </w:r>
      <w:r w:rsidR="00F83167" w:rsidRPr="00F017B9">
        <w:rPr>
          <w:rFonts w:ascii="Times New Roman" w:hAnsi="Times New Roman" w:cs="Times New Roman"/>
          <w:sz w:val="24"/>
          <w:szCs w:val="24"/>
          <w:shd w:val="clear" w:color="auto" w:fill="FFFFFF"/>
        </w:rPr>
        <w:t>e hypothesize:</w:t>
      </w:r>
    </w:p>
    <w:p w14:paraId="263556B7" w14:textId="2FAB4181" w:rsidR="00F83167" w:rsidRPr="00F017B9" w:rsidRDefault="00F83167" w:rsidP="00654B52">
      <w:pPr>
        <w:spacing w:after="120"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H5: Supply chain visibility has positive impact on supply chain adaptability.</w:t>
      </w:r>
    </w:p>
    <w:p w14:paraId="19B2BCD0" w14:textId="5A911025" w:rsidR="004C0C92" w:rsidRPr="00F017B9" w:rsidRDefault="00A8456F" w:rsidP="00654B52">
      <w:pPr>
        <w:spacing w:after="120"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Gattorna (1998) argue</w:t>
      </w:r>
      <w:r w:rsidR="00033A06" w:rsidRPr="00F017B9">
        <w:rPr>
          <w:rFonts w:ascii="Times New Roman" w:hAnsi="Times New Roman" w:cs="Times New Roman"/>
          <w:sz w:val="24"/>
          <w:szCs w:val="24"/>
          <w:shd w:val="clear" w:color="auto" w:fill="FFFFFF"/>
        </w:rPr>
        <w:t>d</w:t>
      </w:r>
      <w:r w:rsidRPr="00F017B9">
        <w:rPr>
          <w:rFonts w:ascii="Times New Roman" w:hAnsi="Times New Roman" w:cs="Times New Roman"/>
          <w:sz w:val="24"/>
          <w:szCs w:val="24"/>
          <w:shd w:val="clear" w:color="auto" w:fill="FFFFFF"/>
        </w:rPr>
        <w:t xml:space="preserve"> that information sharing plays a significant role in creating alignment among partners in supply chain. </w:t>
      </w:r>
      <w:r w:rsidR="0016460C" w:rsidRPr="00F017B9">
        <w:rPr>
          <w:rFonts w:ascii="Times New Roman" w:hAnsi="Times New Roman" w:cs="Times New Roman"/>
          <w:sz w:val="24"/>
          <w:szCs w:val="24"/>
          <w:shd w:val="clear" w:color="auto" w:fill="FFFFFF"/>
        </w:rPr>
        <w:t>Later studies support this argument, suggesting that it is through supply chain visibility that information sharing enables alignment</w:t>
      </w:r>
      <w:r w:rsidRPr="00F017B9">
        <w:rPr>
          <w:rFonts w:ascii="Times New Roman" w:hAnsi="Times New Roman" w:cs="Times New Roman"/>
          <w:sz w:val="24"/>
          <w:szCs w:val="24"/>
          <w:shd w:val="clear" w:color="auto" w:fill="FFFFFF"/>
        </w:rPr>
        <w:t xml:space="preserve"> (Barratt, 2004; Barratt and Oke, 2007; Brandon-Jones et al. 2014; Brusset, 2016). Hence, we can </w:t>
      </w:r>
      <w:r w:rsidR="00207E4B" w:rsidRPr="00F017B9">
        <w:rPr>
          <w:rFonts w:ascii="Times New Roman" w:hAnsi="Times New Roman" w:cs="Times New Roman"/>
          <w:sz w:val="24"/>
          <w:szCs w:val="24"/>
          <w:shd w:val="clear" w:color="auto" w:fill="FFFFFF"/>
        </w:rPr>
        <w:t xml:space="preserve">also </w:t>
      </w:r>
      <w:r w:rsidRPr="00F017B9">
        <w:rPr>
          <w:rFonts w:ascii="Times New Roman" w:hAnsi="Times New Roman" w:cs="Times New Roman"/>
          <w:sz w:val="24"/>
          <w:szCs w:val="24"/>
          <w:shd w:val="clear" w:color="auto" w:fill="FFFFFF"/>
        </w:rPr>
        <w:t>argue that visibility has positive impact on supply chain alignmen</w:t>
      </w:r>
      <w:r w:rsidR="00DA77D6" w:rsidRPr="00F017B9">
        <w:rPr>
          <w:rFonts w:ascii="Times New Roman" w:hAnsi="Times New Roman" w:cs="Times New Roman"/>
          <w:sz w:val="24"/>
          <w:szCs w:val="24"/>
          <w:shd w:val="clear" w:color="auto" w:fill="FFFFFF"/>
        </w:rPr>
        <w:t>t as follows:</w:t>
      </w:r>
    </w:p>
    <w:p w14:paraId="099D6356" w14:textId="54EA68A4" w:rsidR="00F83167" w:rsidRPr="00F017B9" w:rsidRDefault="00F83167" w:rsidP="00654B52">
      <w:pPr>
        <w:spacing w:after="120" w:line="480" w:lineRule="auto"/>
        <w:jc w:val="both"/>
        <w:rPr>
          <w:rFonts w:ascii="Times New Roman" w:hAnsi="Times New Roman" w:cs="Times New Roman"/>
          <w:i/>
          <w:sz w:val="24"/>
          <w:szCs w:val="24"/>
          <w:shd w:val="clear" w:color="auto" w:fill="FFFFFF"/>
        </w:rPr>
      </w:pPr>
      <w:r w:rsidRPr="00F017B9">
        <w:rPr>
          <w:rFonts w:ascii="Times New Roman" w:hAnsi="Times New Roman" w:cs="Times New Roman"/>
          <w:i/>
          <w:sz w:val="24"/>
          <w:szCs w:val="24"/>
          <w:shd w:val="clear" w:color="auto" w:fill="FFFFFF"/>
        </w:rPr>
        <w:t>H6: Supply chain visibility has</w:t>
      </w:r>
      <w:r w:rsidR="00D423BA" w:rsidRPr="00F017B9">
        <w:rPr>
          <w:rFonts w:ascii="Times New Roman" w:hAnsi="Times New Roman" w:cs="Times New Roman"/>
          <w:i/>
          <w:sz w:val="24"/>
          <w:szCs w:val="24"/>
          <w:shd w:val="clear" w:color="auto" w:fill="FFFFFF"/>
        </w:rPr>
        <w:t xml:space="preserve"> a</w:t>
      </w:r>
      <w:r w:rsidRPr="00F017B9">
        <w:rPr>
          <w:rFonts w:ascii="Times New Roman" w:hAnsi="Times New Roman" w:cs="Times New Roman"/>
          <w:i/>
          <w:sz w:val="24"/>
          <w:szCs w:val="24"/>
          <w:shd w:val="clear" w:color="auto" w:fill="FFFFFF"/>
        </w:rPr>
        <w:t xml:space="preserve"> positive impact on supply chain alignment.</w:t>
      </w:r>
    </w:p>
    <w:p w14:paraId="1EA102C6" w14:textId="0B253BCC" w:rsidR="00086B4D" w:rsidRPr="00F017B9" w:rsidRDefault="00314754" w:rsidP="00654B52">
      <w:pPr>
        <w:spacing w:after="120" w:line="480" w:lineRule="auto"/>
        <w:jc w:val="both"/>
        <w:rPr>
          <w:rFonts w:ascii="Times New Roman" w:hAnsi="Times New Roman" w:cs="Times New Roman"/>
          <w:b/>
          <w:i/>
          <w:sz w:val="24"/>
          <w:szCs w:val="24"/>
          <w:shd w:val="clear" w:color="auto" w:fill="FFFFFF"/>
        </w:rPr>
      </w:pPr>
      <w:r w:rsidRPr="00F017B9">
        <w:rPr>
          <w:rFonts w:ascii="Times New Roman" w:hAnsi="Times New Roman" w:cs="Times New Roman"/>
          <w:b/>
          <w:i/>
          <w:sz w:val="24"/>
          <w:szCs w:val="24"/>
          <w:shd w:val="clear" w:color="auto" w:fill="FFFFFF"/>
        </w:rPr>
        <w:t>2.</w:t>
      </w:r>
      <w:r w:rsidR="00D12E6F" w:rsidRPr="00F017B9">
        <w:rPr>
          <w:rFonts w:ascii="Times New Roman" w:hAnsi="Times New Roman" w:cs="Times New Roman"/>
          <w:b/>
          <w:i/>
          <w:sz w:val="24"/>
          <w:szCs w:val="24"/>
          <w:shd w:val="clear" w:color="auto" w:fill="FFFFFF"/>
        </w:rPr>
        <w:t>7</w:t>
      </w:r>
      <w:r w:rsidRPr="00F017B9">
        <w:rPr>
          <w:rFonts w:ascii="Times New Roman" w:hAnsi="Times New Roman" w:cs="Times New Roman"/>
          <w:b/>
          <w:i/>
          <w:sz w:val="24"/>
          <w:szCs w:val="24"/>
          <w:shd w:val="clear" w:color="auto" w:fill="FFFFFF"/>
        </w:rPr>
        <w:t xml:space="preserve"> </w:t>
      </w:r>
      <w:r w:rsidR="004079E4" w:rsidRPr="00F017B9">
        <w:rPr>
          <w:rFonts w:ascii="Times New Roman" w:hAnsi="Times New Roman" w:cs="Times New Roman"/>
          <w:b/>
          <w:i/>
          <w:sz w:val="24"/>
          <w:szCs w:val="24"/>
          <w:shd w:val="clear" w:color="auto" w:fill="FFFFFF"/>
        </w:rPr>
        <w:t xml:space="preserve">The moderating role </w:t>
      </w:r>
      <w:r w:rsidR="00636518" w:rsidRPr="00F017B9">
        <w:rPr>
          <w:rFonts w:ascii="Times New Roman" w:hAnsi="Times New Roman" w:cs="Times New Roman"/>
          <w:b/>
          <w:i/>
          <w:sz w:val="24"/>
          <w:szCs w:val="24"/>
          <w:shd w:val="clear" w:color="auto" w:fill="FFFFFF"/>
        </w:rPr>
        <w:t>of top management commitment</w:t>
      </w:r>
      <w:r w:rsidR="00250372" w:rsidRPr="00F017B9">
        <w:rPr>
          <w:rFonts w:ascii="Times New Roman" w:hAnsi="Times New Roman" w:cs="Times New Roman"/>
          <w:b/>
          <w:i/>
          <w:sz w:val="24"/>
          <w:szCs w:val="24"/>
          <w:shd w:val="clear" w:color="auto" w:fill="FFFFFF"/>
        </w:rPr>
        <w:t xml:space="preserve"> </w:t>
      </w:r>
    </w:p>
    <w:p w14:paraId="6B734F38" w14:textId="1045EA28" w:rsidR="004079E4" w:rsidRPr="00F017B9" w:rsidRDefault="004079E4" w:rsidP="004079E4">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Liang et al. (2007) argued that top management has an important role to play in any organisational initiatives, through belief and partici</w:t>
      </w:r>
      <w:r w:rsidR="0053660A">
        <w:rPr>
          <w:rFonts w:ascii="Times New Roman" w:hAnsi="Times New Roman" w:cs="Times New Roman"/>
          <w:sz w:val="24"/>
          <w:szCs w:val="24"/>
          <w:shd w:val="clear" w:color="auto" w:fill="FFFFFF"/>
        </w:rPr>
        <w:t>pation (Jarvenpaa and Ives, 1991</w:t>
      </w:r>
      <w:r w:rsidRPr="00F017B9">
        <w:rPr>
          <w:rFonts w:ascii="Times New Roman" w:hAnsi="Times New Roman" w:cs="Times New Roman"/>
          <w:sz w:val="24"/>
          <w:szCs w:val="24"/>
          <w:shd w:val="clear" w:color="auto" w:fill="FFFFFF"/>
        </w:rPr>
        <w:t>). Researchers on strategy implementation have recognised the interests of the top management in the organisational strategies (Hambrick and Mason, 1984). In an early study Shrivastava (1983) argued that the top management’s values and cognitive bases guide organisational strategies, decisions, and behaviour. Colwell and Joshi (2013) further argued that in order to effect organisational change, two key factors are critical</w:t>
      </w:r>
      <w:r w:rsidR="00D306ED" w:rsidRPr="00F017B9">
        <w:rPr>
          <w:rFonts w:ascii="Times New Roman" w:hAnsi="Times New Roman" w:cs="Times New Roman"/>
          <w:sz w:val="24"/>
          <w:szCs w:val="24"/>
          <w:shd w:val="clear" w:color="auto" w:fill="FFFFFF"/>
        </w:rPr>
        <w:t xml:space="preserve">, namely </w:t>
      </w:r>
      <w:r w:rsidRPr="00F017B9">
        <w:rPr>
          <w:rFonts w:ascii="Times New Roman" w:hAnsi="Times New Roman" w:cs="Times New Roman"/>
          <w:sz w:val="24"/>
          <w:szCs w:val="24"/>
          <w:shd w:val="clear" w:color="auto" w:fill="FFFFFF"/>
        </w:rPr>
        <w:t xml:space="preserve">commitment and capacity. Hence, the role of top management is </w:t>
      </w:r>
      <w:r w:rsidR="001A2B21">
        <w:rPr>
          <w:rFonts w:ascii="Times New Roman" w:hAnsi="Times New Roman" w:cs="Times New Roman"/>
          <w:sz w:val="24"/>
          <w:szCs w:val="24"/>
          <w:shd w:val="clear" w:color="auto" w:fill="FFFFFF"/>
        </w:rPr>
        <w:t xml:space="preserve">especially </w:t>
      </w:r>
      <w:r w:rsidRPr="00F017B9">
        <w:rPr>
          <w:rFonts w:ascii="Times New Roman" w:hAnsi="Times New Roman" w:cs="Times New Roman"/>
          <w:sz w:val="24"/>
          <w:szCs w:val="24"/>
          <w:shd w:val="clear" w:color="auto" w:fill="FFFFFF"/>
        </w:rPr>
        <w:t xml:space="preserve">critical in terms of resource allocations and deployment decisions that are necessary for organisational change. We argue that </w:t>
      </w:r>
      <w:r w:rsidR="008C2EB5" w:rsidRPr="00F017B9">
        <w:rPr>
          <w:rFonts w:ascii="Times New Roman" w:hAnsi="Times New Roman" w:cs="Times New Roman"/>
          <w:sz w:val="24"/>
          <w:szCs w:val="24"/>
          <w:shd w:val="clear" w:color="auto" w:fill="FFFFFF"/>
        </w:rPr>
        <w:t xml:space="preserve">the </w:t>
      </w:r>
      <w:r w:rsidRPr="00F017B9">
        <w:rPr>
          <w:rFonts w:ascii="Times New Roman" w:hAnsi="Times New Roman" w:cs="Times New Roman"/>
          <w:sz w:val="24"/>
          <w:szCs w:val="24"/>
          <w:shd w:val="clear" w:color="auto" w:fill="FFFFFF"/>
        </w:rPr>
        <w:t>top management angle will certainly offer interesting insights in O&amp;SCM literature where resource allocations and deployment decisions may create differences in</w:t>
      </w:r>
      <w:r w:rsidR="001A2B21">
        <w:rPr>
          <w:rFonts w:ascii="Times New Roman" w:hAnsi="Times New Roman" w:cs="Times New Roman"/>
          <w:sz w:val="24"/>
          <w:szCs w:val="24"/>
          <w:shd w:val="clear" w:color="auto" w:fill="FFFFFF"/>
        </w:rPr>
        <w:t xml:space="preserve"> a</w:t>
      </w:r>
      <w:r w:rsidRPr="00F017B9">
        <w:rPr>
          <w:rFonts w:ascii="Times New Roman" w:hAnsi="Times New Roman" w:cs="Times New Roman"/>
          <w:sz w:val="24"/>
          <w:szCs w:val="24"/>
          <w:shd w:val="clear" w:color="auto" w:fill="FFFFFF"/>
        </w:rPr>
        <w:t xml:space="preserve"> dynamic environment.</w:t>
      </w:r>
    </w:p>
    <w:p w14:paraId="4F4934A0" w14:textId="48556A0E" w:rsidR="005652AC" w:rsidRPr="00F017B9" w:rsidRDefault="00492626"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w:t>
      </w:r>
      <w:r w:rsidR="0014566F" w:rsidRPr="00F017B9">
        <w:rPr>
          <w:rFonts w:ascii="Times New Roman" w:hAnsi="Times New Roman" w:cs="Times New Roman"/>
          <w:sz w:val="24"/>
          <w:szCs w:val="24"/>
          <w:shd w:val="clear" w:color="auto" w:fill="FFFFFF"/>
        </w:rPr>
        <w:t xml:space="preserve">esearchers have acknowledged the role of </w:t>
      </w:r>
      <w:r w:rsidR="008C2EB5" w:rsidRPr="00F017B9">
        <w:rPr>
          <w:rFonts w:ascii="Times New Roman" w:hAnsi="Times New Roman" w:cs="Times New Roman"/>
          <w:sz w:val="24"/>
          <w:szCs w:val="24"/>
          <w:shd w:val="clear" w:color="auto" w:fill="FFFFFF"/>
        </w:rPr>
        <w:t xml:space="preserve">the </w:t>
      </w:r>
      <w:r w:rsidR="0014566F" w:rsidRPr="00F017B9">
        <w:rPr>
          <w:rFonts w:ascii="Times New Roman" w:hAnsi="Times New Roman" w:cs="Times New Roman"/>
          <w:sz w:val="24"/>
          <w:szCs w:val="24"/>
          <w:shd w:val="clear" w:color="auto" w:fill="FFFFFF"/>
        </w:rPr>
        <w:t>top management team</w:t>
      </w:r>
      <w:r w:rsidR="005219E3" w:rsidRPr="00F017B9">
        <w:rPr>
          <w:rFonts w:ascii="Times New Roman" w:hAnsi="Times New Roman" w:cs="Times New Roman"/>
          <w:sz w:val="24"/>
          <w:szCs w:val="24"/>
          <w:shd w:val="clear" w:color="auto" w:fill="FFFFFF"/>
        </w:rPr>
        <w:t xml:space="preserve"> and TMC</w:t>
      </w:r>
      <w:r w:rsidR="0014566F" w:rsidRPr="00F017B9">
        <w:rPr>
          <w:rFonts w:ascii="Times New Roman" w:hAnsi="Times New Roman" w:cs="Times New Roman"/>
          <w:sz w:val="24"/>
          <w:szCs w:val="24"/>
          <w:shd w:val="clear" w:color="auto" w:fill="FFFFFF"/>
        </w:rPr>
        <w:t xml:space="preserve"> in </w:t>
      </w:r>
      <w:r w:rsidRPr="00F017B9">
        <w:rPr>
          <w:rFonts w:ascii="Times New Roman" w:hAnsi="Times New Roman" w:cs="Times New Roman"/>
          <w:sz w:val="24"/>
          <w:szCs w:val="24"/>
          <w:shd w:val="clear" w:color="auto" w:fill="FFFFFF"/>
        </w:rPr>
        <w:t xml:space="preserve">dealing with paradoxes, contradictions, conflicts and </w:t>
      </w:r>
      <w:r w:rsidR="0014566F" w:rsidRPr="00F017B9">
        <w:rPr>
          <w:rFonts w:ascii="Times New Roman" w:hAnsi="Times New Roman" w:cs="Times New Roman"/>
          <w:sz w:val="24"/>
          <w:szCs w:val="24"/>
          <w:shd w:val="clear" w:color="auto" w:fill="FFFFFF"/>
        </w:rPr>
        <w:t>building requisite conditions for embracing dynamic changes</w:t>
      </w:r>
      <w:r w:rsidR="00BC63FC" w:rsidRPr="00F017B9">
        <w:rPr>
          <w:rFonts w:ascii="Times New Roman" w:hAnsi="Times New Roman" w:cs="Times New Roman"/>
          <w:sz w:val="24"/>
          <w:szCs w:val="24"/>
          <w:shd w:val="clear" w:color="auto" w:fill="FFFFFF"/>
        </w:rPr>
        <w:t xml:space="preserve"> (Gnyawali et al. 2016)</w:t>
      </w:r>
      <w:r w:rsidR="00A94E45" w:rsidRPr="00F017B9">
        <w:rPr>
          <w:rFonts w:ascii="Times New Roman" w:hAnsi="Times New Roman" w:cs="Times New Roman"/>
          <w:sz w:val="24"/>
          <w:szCs w:val="24"/>
          <w:shd w:val="clear" w:color="auto" w:fill="FFFFFF"/>
        </w:rPr>
        <w:t>. TMC ensures</w:t>
      </w:r>
      <w:r w:rsidR="00BC63FC" w:rsidRPr="00F017B9">
        <w:rPr>
          <w:rFonts w:ascii="Times New Roman" w:hAnsi="Times New Roman" w:cs="Times New Roman"/>
          <w:sz w:val="24"/>
          <w:szCs w:val="24"/>
          <w:shd w:val="clear" w:color="auto" w:fill="FFFFFF"/>
        </w:rPr>
        <w:t xml:space="preserve"> viability and competitiveness in increasingly turbulent environment</w:t>
      </w:r>
      <w:r w:rsidR="005461A6" w:rsidRPr="00F017B9">
        <w:rPr>
          <w:rFonts w:ascii="Times New Roman" w:hAnsi="Times New Roman" w:cs="Times New Roman"/>
          <w:sz w:val="24"/>
          <w:szCs w:val="24"/>
          <w:shd w:val="clear" w:color="auto" w:fill="FFFFFF"/>
        </w:rPr>
        <w:t>s</w:t>
      </w:r>
      <w:r w:rsidR="00BC63FC" w:rsidRPr="00F017B9">
        <w:rPr>
          <w:rFonts w:ascii="Times New Roman" w:hAnsi="Times New Roman" w:cs="Times New Roman"/>
          <w:sz w:val="24"/>
          <w:szCs w:val="24"/>
          <w:shd w:val="clear" w:color="auto" w:fill="FFFFFF"/>
        </w:rPr>
        <w:t xml:space="preserve"> </w:t>
      </w:r>
      <w:r w:rsidR="005461A6" w:rsidRPr="00F017B9">
        <w:rPr>
          <w:rFonts w:ascii="Times New Roman" w:hAnsi="Times New Roman" w:cs="Times New Roman"/>
          <w:sz w:val="24"/>
          <w:szCs w:val="24"/>
          <w:shd w:val="clear" w:color="auto" w:fill="FFFFFF"/>
        </w:rPr>
        <w:t xml:space="preserve">where </w:t>
      </w:r>
      <w:r w:rsidR="00BC63FC" w:rsidRPr="00F017B9">
        <w:rPr>
          <w:rFonts w:ascii="Times New Roman" w:hAnsi="Times New Roman" w:cs="Times New Roman"/>
          <w:sz w:val="24"/>
          <w:szCs w:val="24"/>
          <w:shd w:val="clear" w:color="auto" w:fill="FFFFFF"/>
        </w:rPr>
        <w:t xml:space="preserve">multiple and inconsistent demands can emerge (Smith and Tushman, </w:t>
      </w:r>
      <w:r w:rsidR="000E7974" w:rsidRPr="00F017B9">
        <w:rPr>
          <w:rFonts w:ascii="Times New Roman" w:hAnsi="Times New Roman" w:cs="Times New Roman"/>
          <w:sz w:val="24"/>
          <w:szCs w:val="24"/>
          <w:shd w:val="clear" w:color="auto" w:fill="FFFFFF"/>
        </w:rPr>
        <w:t xml:space="preserve">2005; Carmeli and Halevi, 2009) no matter if the existence of organisational paradoxes, contradictions and conflicts is crucial to keeping the systems viable and enabling to embrace dynamic changes to survive in the face of environmental disturbances (Carmeli and Halevi, 2009). </w:t>
      </w:r>
      <w:r w:rsidR="00251CE5" w:rsidRPr="00F017B9">
        <w:rPr>
          <w:rFonts w:ascii="Times New Roman" w:hAnsi="Times New Roman" w:cs="Times New Roman"/>
          <w:sz w:val="24"/>
          <w:szCs w:val="24"/>
          <w:shd w:val="clear" w:color="auto" w:fill="FFFFFF"/>
        </w:rPr>
        <w:t>D</w:t>
      </w:r>
      <w:r w:rsidR="000A6E48" w:rsidRPr="00F017B9">
        <w:rPr>
          <w:rFonts w:ascii="Times New Roman" w:hAnsi="Times New Roman" w:cs="Times New Roman"/>
          <w:sz w:val="24"/>
          <w:szCs w:val="24"/>
          <w:shd w:val="clear" w:color="auto" w:fill="FFFFFF"/>
        </w:rPr>
        <w:t xml:space="preserve">rawing on Morgan et al. (2007) we </w:t>
      </w:r>
      <w:r w:rsidR="002A2D3C" w:rsidRPr="00F017B9">
        <w:rPr>
          <w:rFonts w:ascii="Times New Roman" w:hAnsi="Times New Roman" w:cs="Times New Roman"/>
          <w:sz w:val="24"/>
          <w:szCs w:val="24"/>
          <w:shd w:val="clear" w:color="auto" w:fill="FFFFFF"/>
        </w:rPr>
        <w:t xml:space="preserve">argue </w:t>
      </w:r>
      <w:r w:rsidR="000A6E48" w:rsidRPr="00F017B9">
        <w:rPr>
          <w:rFonts w:ascii="Times New Roman" w:hAnsi="Times New Roman" w:cs="Times New Roman"/>
          <w:sz w:val="24"/>
          <w:szCs w:val="24"/>
          <w:shd w:val="clear" w:color="auto" w:fill="FFFFFF"/>
        </w:rPr>
        <w:t>that one role of top management in supply chain</w:t>
      </w:r>
      <w:r w:rsidR="007A7311" w:rsidRPr="00F017B9">
        <w:rPr>
          <w:rFonts w:ascii="Times New Roman" w:hAnsi="Times New Roman" w:cs="Times New Roman"/>
          <w:sz w:val="24"/>
          <w:szCs w:val="24"/>
          <w:shd w:val="clear" w:color="auto" w:fill="FFFFFF"/>
        </w:rPr>
        <w:t>s</w:t>
      </w:r>
      <w:r w:rsidR="000A6E48" w:rsidRPr="00F017B9">
        <w:rPr>
          <w:rFonts w:ascii="Times New Roman" w:hAnsi="Times New Roman" w:cs="Times New Roman"/>
          <w:sz w:val="24"/>
          <w:szCs w:val="24"/>
          <w:shd w:val="clear" w:color="auto" w:fill="FFFFFF"/>
        </w:rPr>
        <w:t xml:space="preserve"> is to help configure resources and capabilities to achieve competitive advantage</w:t>
      </w:r>
      <w:r w:rsidR="005A0115" w:rsidRPr="00F017B9">
        <w:rPr>
          <w:rFonts w:ascii="Times New Roman" w:hAnsi="Times New Roman" w:cs="Times New Roman"/>
          <w:sz w:val="24"/>
          <w:szCs w:val="24"/>
          <w:shd w:val="clear" w:color="auto" w:fill="FFFFFF"/>
        </w:rPr>
        <w:t xml:space="preserve"> (Augier and Teece, 2009)</w:t>
      </w:r>
      <w:r w:rsidR="000A6E48" w:rsidRPr="00F017B9">
        <w:rPr>
          <w:rFonts w:ascii="Times New Roman" w:hAnsi="Times New Roman" w:cs="Times New Roman"/>
          <w:sz w:val="24"/>
          <w:szCs w:val="24"/>
          <w:shd w:val="clear" w:color="auto" w:fill="FFFFFF"/>
        </w:rPr>
        <w:t>.</w:t>
      </w:r>
      <w:r w:rsidR="005043C6" w:rsidRPr="00F017B9">
        <w:rPr>
          <w:rFonts w:ascii="Times New Roman" w:hAnsi="Times New Roman" w:cs="Times New Roman"/>
          <w:sz w:val="24"/>
          <w:szCs w:val="24"/>
          <w:shd w:val="clear" w:color="auto" w:fill="FFFFFF"/>
        </w:rPr>
        <w:t xml:space="preserve"> </w:t>
      </w:r>
      <w:r w:rsidR="0014566F" w:rsidRPr="00F017B9">
        <w:rPr>
          <w:rFonts w:ascii="Times New Roman" w:hAnsi="Times New Roman" w:cs="Times New Roman"/>
          <w:sz w:val="24"/>
          <w:szCs w:val="24"/>
          <w:shd w:val="clear" w:color="auto" w:fill="FFFFFF"/>
        </w:rPr>
        <w:t>Pr</w:t>
      </w:r>
      <w:r w:rsidR="00D53856" w:rsidRPr="00F017B9">
        <w:rPr>
          <w:rFonts w:ascii="Times New Roman" w:hAnsi="Times New Roman" w:cs="Times New Roman"/>
          <w:sz w:val="24"/>
          <w:szCs w:val="24"/>
          <w:shd w:val="clear" w:color="auto" w:fill="FFFFFF"/>
        </w:rPr>
        <w:t xml:space="preserve">ior research </w:t>
      </w:r>
      <w:r w:rsidR="0014566F" w:rsidRPr="00F017B9">
        <w:rPr>
          <w:rFonts w:ascii="Times New Roman" w:hAnsi="Times New Roman" w:cs="Times New Roman"/>
          <w:sz w:val="24"/>
          <w:szCs w:val="24"/>
          <w:shd w:val="clear" w:color="auto" w:fill="FFFFFF"/>
        </w:rPr>
        <w:t>utilize</w:t>
      </w:r>
      <w:r w:rsidR="005A0115" w:rsidRPr="00F017B9">
        <w:rPr>
          <w:rFonts w:ascii="Times New Roman" w:hAnsi="Times New Roman" w:cs="Times New Roman"/>
          <w:sz w:val="24"/>
          <w:szCs w:val="24"/>
          <w:shd w:val="clear" w:color="auto" w:fill="FFFFFF"/>
        </w:rPr>
        <w:t>d</w:t>
      </w:r>
      <w:r w:rsidR="0014566F" w:rsidRPr="00F017B9">
        <w:rPr>
          <w:rFonts w:ascii="Times New Roman" w:hAnsi="Times New Roman" w:cs="Times New Roman"/>
          <w:sz w:val="24"/>
          <w:szCs w:val="24"/>
          <w:shd w:val="clear" w:color="auto" w:fill="FFFFFF"/>
        </w:rPr>
        <w:t xml:space="preserve"> TMC </w:t>
      </w:r>
      <w:r w:rsidR="00D53856" w:rsidRPr="00F017B9">
        <w:rPr>
          <w:rFonts w:ascii="Times New Roman" w:hAnsi="Times New Roman" w:cs="Times New Roman"/>
          <w:sz w:val="24"/>
          <w:szCs w:val="24"/>
          <w:shd w:val="clear" w:color="auto" w:fill="FFFFFF"/>
        </w:rPr>
        <w:t xml:space="preserve">focusing on ecological responsiveness (Colwell and Joshi, 2013) and ERP assimilation (Liang et al. 2007). </w:t>
      </w:r>
      <w:r w:rsidR="000A6E48" w:rsidRPr="00F017B9">
        <w:rPr>
          <w:rFonts w:ascii="Times New Roman" w:hAnsi="Times New Roman" w:cs="Times New Roman"/>
          <w:sz w:val="24"/>
          <w:szCs w:val="24"/>
          <w:shd w:val="clear" w:color="auto" w:fill="FFFFFF"/>
        </w:rPr>
        <w:t xml:space="preserve">However, </w:t>
      </w:r>
      <w:r w:rsidR="00480F9B" w:rsidRPr="00F017B9">
        <w:rPr>
          <w:rFonts w:ascii="Times New Roman" w:hAnsi="Times New Roman" w:cs="Times New Roman"/>
          <w:sz w:val="24"/>
          <w:szCs w:val="24"/>
          <w:shd w:val="clear" w:color="auto" w:fill="FFFFFF"/>
        </w:rPr>
        <w:t xml:space="preserve">it is yet to </w:t>
      </w:r>
      <w:r w:rsidR="00F93CBB" w:rsidRPr="00F017B9">
        <w:rPr>
          <w:rFonts w:ascii="Times New Roman" w:hAnsi="Times New Roman" w:cs="Times New Roman"/>
          <w:sz w:val="24"/>
          <w:szCs w:val="24"/>
          <w:shd w:val="clear" w:color="auto" w:fill="FFFFFF"/>
        </w:rPr>
        <w:t>understand</w:t>
      </w:r>
      <w:r w:rsidR="00480F9B" w:rsidRPr="00F017B9">
        <w:rPr>
          <w:rFonts w:ascii="Times New Roman" w:hAnsi="Times New Roman" w:cs="Times New Roman"/>
          <w:sz w:val="24"/>
          <w:szCs w:val="24"/>
          <w:shd w:val="clear" w:color="auto" w:fill="FFFFFF"/>
        </w:rPr>
        <w:t xml:space="preserve"> </w:t>
      </w:r>
      <w:r w:rsidR="000A6E48" w:rsidRPr="00F017B9">
        <w:rPr>
          <w:rFonts w:ascii="Times New Roman" w:hAnsi="Times New Roman" w:cs="Times New Roman"/>
          <w:sz w:val="24"/>
          <w:szCs w:val="24"/>
          <w:shd w:val="clear" w:color="auto" w:fill="FFFFFF"/>
        </w:rPr>
        <w:t xml:space="preserve">how </w:t>
      </w:r>
      <w:r w:rsidR="00FB317B" w:rsidRPr="00F017B9">
        <w:rPr>
          <w:rFonts w:ascii="Times New Roman" w:hAnsi="Times New Roman" w:cs="Times New Roman"/>
          <w:sz w:val="24"/>
          <w:szCs w:val="24"/>
          <w:shd w:val="clear" w:color="auto" w:fill="FFFFFF"/>
        </w:rPr>
        <w:t>TMC can contribute</w:t>
      </w:r>
      <w:r w:rsidR="000A6E48" w:rsidRPr="00F017B9">
        <w:rPr>
          <w:rFonts w:ascii="Times New Roman" w:hAnsi="Times New Roman" w:cs="Times New Roman"/>
          <w:sz w:val="24"/>
          <w:szCs w:val="24"/>
          <w:shd w:val="clear" w:color="auto" w:fill="FFFFFF"/>
        </w:rPr>
        <w:t xml:space="preserve"> to designing and sha</w:t>
      </w:r>
      <w:r w:rsidR="000F2A47" w:rsidRPr="00F017B9">
        <w:rPr>
          <w:rFonts w:ascii="Times New Roman" w:hAnsi="Times New Roman" w:cs="Times New Roman"/>
          <w:sz w:val="24"/>
          <w:szCs w:val="24"/>
          <w:shd w:val="clear" w:color="auto" w:fill="FFFFFF"/>
        </w:rPr>
        <w:t>ping supply chains for uncertain</w:t>
      </w:r>
      <w:r w:rsidR="00FB317B" w:rsidRPr="00F017B9">
        <w:rPr>
          <w:rFonts w:ascii="Times New Roman" w:hAnsi="Times New Roman" w:cs="Times New Roman"/>
          <w:sz w:val="24"/>
          <w:szCs w:val="24"/>
          <w:shd w:val="clear" w:color="auto" w:fill="FFFFFF"/>
        </w:rPr>
        <w:t xml:space="preserve"> and competit</w:t>
      </w:r>
      <w:r w:rsidR="00C65369" w:rsidRPr="00F017B9">
        <w:rPr>
          <w:rFonts w:ascii="Times New Roman" w:hAnsi="Times New Roman" w:cs="Times New Roman"/>
          <w:sz w:val="24"/>
          <w:szCs w:val="24"/>
          <w:shd w:val="clear" w:color="auto" w:fill="FFFFFF"/>
        </w:rPr>
        <w:t>i</w:t>
      </w:r>
      <w:r w:rsidR="00FB317B" w:rsidRPr="00F017B9">
        <w:rPr>
          <w:rFonts w:ascii="Times New Roman" w:hAnsi="Times New Roman" w:cs="Times New Roman"/>
          <w:sz w:val="24"/>
          <w:szCs w:val="24"/>
          <w:shd w:val="clear" w:color="auto" w:fill="FFFFFF"/>
        </w:rPr>
        <w:t>ve</w:t>
      </w:r>
      <w:r w:rsidR="000A6E48" w:rsidRPr="00F017B9">
        <w:rPr>
          <w:rFonts w:ascii="Times New Roman" w:hAnsi="Times New Roman" w:cs="Times New Roman"/>
          <w:sz w:val="24"/>
          <w:szCs w:val="24"/>
          <w:shd w:val="clear" w:color="auto" w:fill="FFFFFF"/>
        </w:rPr>
        <w:t xml:space="preserve"> environment</w:t>
      </w:r>
      <w:r w:rsidR="000F2A47" w:rsidRPr="00F017B9">
        <w:rPr>
          <w:rFonts w:ascii="Times New Roman" w:hAnsi="Times New Roman" w:cs="Times New Roman"/>
          <w:sz w:val="24"/>
          <w:szCs w:val="24"/>
          <w:shd w:val="clear" w:color="auto" w:fill="FFFFFF"/>
        </w:rPr>
        <w:t>s</w:t>
      </w:r>
      <w:r w:rsidR="00E04418" w:rsidRPr="00F017B9">
        <w:rPr>
          <w:rFonts w:ascii="Times New Roman" w:hAnsi="Times New Roman" w:cs="Times New Roman"/>
          <w:sz w:val="24"/>
          <w:szCs w:val="24"/>
          <w:shd w:val="clear" w:color="auto" w:fill="FFFFFF"/>
        </w:rPr>
        <w:t xml:space="preserve">, and subsequently, in this case, in </w:t>
      </w:r>
      <w:r w:rsidR="00D53856" w:rsidRPr="00F017B9">
        <w:rPr>
          <w:rFonts w:ascii="Times New Roman" w:hAnsi="Times New Roman" w:cs="Times New Roman"/>
          <w:sz w:val="24"/>
          <w:szCs w:val="24"/>
          <w:shd w:val="clear" w:color="auto" w:fill="FFFFFF"/>
        </w:rPr>
        <w:t>creating</w:t>
      </w:r>
      <w:r w:rsidR="004C61F6" w:rsidRPr="00F017B9">
        <w:rPr>
          <w:rFonts w:ascii="Times New Roman" w:hAnsi="Times New Roman" w:cs="Times New Roman"/>
          <w:sz w:val="24"/>
          <w:szCs w:val="24"/>
          <w:shd w:val="clear" w:color="auto" w:fill="FFFFFF"/>
        </w:rPr>
        <w:t xml:space="preserve"> </w:t>
      </w:r>
      <w:r w:rsidR="003010DF" w:rsidRPr="00F017B9">
        <w:rPr>
          <w:rFonts w:ascii="Times New Roman" w:hAnsi="Times New Roman" w:cs="Times New Roman"/>
          <w:sz w:val="24"/>
          <w:szCs w:val="24"/>
        </w:rPr>
        <w:t xml:space="preserve">supply chain </w:t>
      </w:r>
      <w:r w:rsidR="004C61F6" w:rsidRPr="00F017B9">
        <w:rPr>
          <w:rFonts w:ascii="Times New Roman" w:hAnsi="Times New Roman" w:cs="Times New Roman"/>
          <w:sz w:val="24"/>
          <w:szCs w:val="24"/>
        </w:rPr>
        <w:t>agility, adaptability, and alignmen</w:t>
      </w:r>
      <w:r w:rsidR="003010DF" w:rsidRPr="00F017B9">
        <w:rPr>
          <w:rFonts w:ascii="Times New Roman" w:hAnsi="Times New Roman" w:cs="Times New Roman"/>
          <w:sz w:val="24"/>
          <w:szCs w:val="24"/>
        </w:rPr>
        <w:t>t</w:t>
      </w:r>
      <w:r w:rsidR="006F5A2B" w:rsidRPr="00F017B9">
        <w:rPr>
          <w:rFonts w:ascii="Times New Roman" w:hAnsi="Times New Roman" w:cs="Times New Roman"/>
          <w:sz w:val="24"/>
          <w:szCs w:val="24"/>
          <w:shd w:val="clear" w:color="auto" w:fill="FFFFFF"/>
        </w:rPr>
        <w:t xml:space="preserve">. </w:t>
      </w:r>
    </w:p>
    <w:p w14:paraId="23FA1EAF" w14:textId="12AC7B0D" w:rsidR="00B37157" w:rsidRPr="00F017B9" w:rsidRDefault="009553A8"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In past </w:t>
      </w:r>
      <w:r w:rsidR="00204A1C" w:rsidRPr="00F017B9">
        <w:rPr>
          <w:rFonts w:ascii="Times New Roman" w:hAnsi="Times New Roman" w:cs="Times New Roman"/>
          <w:sz w:val="24"/>
          <w:szCs w:val="24"/>
          <w:shd w:val="clear" w:color="auto" w:fill="FFFFFF"/>
        </w:rPr>
        <w:t>scholars,</w:t>
      </w:r>
      <w:r w:rsidRPr="00F017B9">
        <w:rPr>
          <w:rFonts w:ascii="Times New Roman" w:hAnsi="Times New Roman" w:cs="Times New Roman"/>
          <w:sz w:val="24"/>
          <w:szCs w:val="24"/>
          <w:shd w:val="clear" w:color="auto" w:fill="FFFFFF"/>
        </w:rPr>
        <w:t xml:space="preserve"> have dealt </w:t>
      </w:r>
      <w:r w:rsidR="008C2EB5" w:rsidRPr="00F017B9">
        <w:rPr>
          <w:rFonts w:ascii="Times New Roman" w:hAnsi="Times New Roman" w:cs="Times New Roman"/>
          <w:sz w:val="24"/>
          <w:szCs w:val="24"/>
          <w:shd w:val="clear" w:color="auto" w:fill="FFFFFF"/>
        </w:rPr>
        <w:t xml:space="preserve">with </w:t>
      </w:r>
      <w:r w:rsidRPr="00F017B9">
        <w:rPr>
          <w:rFonts w:ascii="Times New Roman" w:hAnsi="Times New Roman" w:cs="Times New Roman"/>
          <w:sz w:val="24"/>
          <w:szCs w:val="24"/>
          <w:shd w:val="clear" w:color="auto" w:fill="FFFFFF"/>
        </w:rPr>
        <w:t xml:space="preserve">TMC as either direct variable (Babakus et al. 2003), moderator (Barrick et al. 2007; Colwell and Joshi, 2013) </w:t>
      </w:r>
      <w:r w:rsidR="008C2EB5" w:rsidRPr="00F017B9">
        <w:rPr>
          <w:rFonts w:ascii="Times New Roman" w:hAnsi="Times New Roman" w:cs="Times New Roman"/>
          <w:sz w:val="24"/>
          <w:szCs w:val="24"/>
          <w:shd w:val="clear" w:color="auto" w:fill="FFFFFF"/>
        </w:rPr>
        <w:t xml:space="preserve">or </w:t>
      </w:r>
      <w:r w:rsidRPr="00F017B9">
        <w:rPr>
          <w:rFonts w:ascii="Times New Roman" w:hAnsi="Times New Roman" w:cs="Times New Roman"/>
          <w:sz w:val="24"/>
          <w:szCs w:val="24"/>
          <w:shd w:val="clear" w:color="auto" w:fill="FFFFFF"/>
        </w:rPr>
        <w:t>mediator (Collins and Clark, 2003; Liang et al. 2007</w:t>
      </w:r>
      <w:r w:rsidR="00CA3C69" w:rsidRPr="00F017B9">
        <w:rPr>
          <w:rFonts w:ascii="Times New Roman" w:hAnsi="Times New Roman" w:cs="Times New Roman"/>
          <w:sz w:val="24"/>
          <w:szCs w:val="24"/>
          <w:shd w:val="clear" w:color="auto" w:fill="FFFFFF"/>
        </w:rPr>
        <w:t xml:space="preserve">). </w:t>
      </w:r>
      <w:r w:rsidR="00DB4A14" w:rsidRPr="00F017B9">
        <w:rPr>
          <w:rFonts w:ascii="Times New Roman" w:hAnsi="Times New Roman" w:cs="Times New Roman"/>
          <w:sz w:val="24"/>
          <w:szCs w:val="24"/>
          <w:shd w:val="clear" w:color="auto" w:fill="FFFFFF"/>
        </w:rPr>
        <w:t>Furthe</w:t>
      </w:r>
      <w:r w:rsidR="00DF0678" w:rsidRPr="00F017B9">
        <w:rPr>
          <w:rFonts w:ascii="Times New Roman" w:hAnsi="Times New Roman" w:cs="Times New Roman"/>
          <w:sz w:val="24"/>
          <w:szCs w:val="24"/>
          <w:shd w:val="clear" w:color="auto" w:fill="FFFFFF"/>
        </w:rPr>
        <w:t>r</w:t>
      </w:r>
      <w:r w:rsidR="00DB4A14" w:rsidRPr="00F017B9">
        <w:rPr>
          <w:rFonts w:ascii="Times New Roman" w:hAnsi="Times New Roman" w:cs="Times New Roman"/>
          <w:sz w:val="24"/>
          <w:szCs w:val="24"/>
          <w:shd w:val="clear" w:color="auto" w:fill="FFFFFF"/>
        </w:rPr>
        <w:t>more,</w:t>
      </w:r>
      <w:r w:rsidR="00CA3C69" w:rsidRPr="00F017B9">
        <w:rPr>
          <w:rFonts w:ascii="Times New Roman" w:hAnsi="Times New Roman" w:cs="Times New Roman"/>
          <w:sz w:val="24"/>
          <w:szCs w:val="24"/>
          <w:shd w:val="clear" w:color="auto" w:fill="FFFFFF"/>
        </w:rPr>
        <w:t xml:space="preserve"> Hunt and Morgan (1994) conceptualised commitment as a hybrid construct </w:t>
      </w:r>
      <w:r w:rsidR="007007DC" w:rsidRPr="00F017B9">
        <w:rPr>
          <w:rFonts w:ascii="Times New Roman" w:hAnsi="Times New Roman" w:cs="Times New Roman"/>
          <w:sz w:val="24"/>
          <w:szCs w:val="24"/>
          <w:shd w:val="clear" w:color="auto" w:fill="FFFFFF"/>
        </w:rPr>
        <w:t xml:space="preserve">that </w:t>
      </w:r>
      <w:r w:rsidR="00CA3C69" w:rsidRPr="00F017B9">
        <w:rPr>
          <w:rFonts w:ascii="Times New Roman" w:hAnsi="Times New Roman" w:cs="Times New Roman"/>
          <w:sz w:val="24"/>
          <w:szCs w:val="24"/>
          <w:shd w:val="clear" w:color="auto" w:fill="FFFFFF"/>
        </w:rPr>
        <w:t xml:space="preserve">may be a mediating as well </w:t>
      </w:r>
      <w:r w:rsidR="00B74343" w:rsidRPr="00F017B9">
        <w:rPr>
          <w:rFonts w:ascii="Times New Roman" w:hAnsi="Times New Roman" w:cs="Times New Roman"/>
          <w:sz w:val="24"/>
          <w:szCs w:val="24"/>
          <w:shd w:val="clear" w:color="auto" w:fill="FFFFFF"/>
        </w:rPr>
        <w:t xml:space="preserve">as a </w:t>
      </w:r>
      <w:r w:rsidR="00CA3C69" w:rsidRPr="00F017B9">
        <w:rPr>
          <w:rFonts w:ascii="Times New Roman" w:hAnsi="Times New Roman" w:cs="Times New Roman"/>
          <w:sz w:val="24"/>
          <w:szCs w:val="24"/>
          <w:shd w:val="clear" w:color="auto" w:fill="FFFFFF"/>
        </w:rPr>
        <w:t xml:space="preserve">direct variable. </w:t>
      </w:r>
      <w:r w:rsidR="00B275A8" w:rsidRPr="00F017B9">
        <w:rPr>
          <w:rFonts w:ascii="Times New Roman" w:hAnsi="Times New Roman" w:cs="Times New Roman"/>
          <w:sz w:val="24"/>
          <w:szCs w:val="24"/>
          <w:shd w:val="clear" w:color="auto" w:fill="FFFFFF"/>
        </w:rPr>
        <w:t>There</w:t>
      </w:r>
      <w:r w:rsidR="00CA3C69" w:rsidRPr="00F017B9">
        <w:rPr>
          <w:rFonts w:ascii="Times New Roman" w:hAnsi="Times New Roman" w:cs="Times New Roman"/>
          <w:sz w:val="24"/>
          <w:szCs w:val="24"/>
          <w:shd w:val="clear" w:color="auto" w:fill="FFFFFF"/>
        </w:rPr>
        <w:t xml:space="preserve"> is </w:t>
      </w:r>
      <w:r w:rsidR="00B275A8" w:rsidRPr="00F017B9">
        <w:rPr>
          <w:rFonts w:ascii="Times New Roman" w:hAnsi="Times New Roman" w:cs="Times New Roman"/>
          <w:sz w:val="24"/>
          <w:szCs w:val="24"/>
          <w:shd w:val="clear" w:color="auto" w:fill="FFFFFF"/>
        </w:rPr>
        <w:t xml:space="preserve">a </w:t>
      </w:r>
      <w:r w:rsidR="00CA3C69" w:rsidRPr="00F017B9">
        <w:rPr>
          <w:rFonts w:ascii="Times New Roman" w:hAnsi="Times New Roman" w:cs="Times New Roman"/>
          <w:sz w:val="24"/>
          <w:szCs w:val="24"/>
          <w:shd w:val="clear" w:color="auto" w:fill="FFFFFF"/>
        </w:rPr>
        <w:t xml:space="preserve">lack of consensus among scholars related to </w:t>
      </w:r>
      <w:r w:rsidR="00B275A8" w:rsidRPr="00F017B9">
        <w:rPr>
          <w:rFonts w:ascii="Times New Roman" w:hAnsi="Times New Roman" w:cs="Times New Roman"/>
          <w:sz w:val="24"/>
          <w:szCs w:val="24"/>
          <w:shd w:val="clear" w:color="auto" w:fill="FFFFFF"/>
        </w:rPr>
        <w:t xml:space="preserve">the </w:t>
      </w:r>
      <w:r w:rsidR="00CA3C69" w:rsidRPr="00F017B9">
        <w:rPr>
          <w:rFonts w:ascii="Times New Roman" w:hAnsi="Times New Roman" w:cs="Times New Roman"/>
          <w:sz w:val="24"/>
          <w:szCs w:val="24"/>
          <w:shd w:val="clear" w:color="auto" w:fill="FFFFFF"/>
        </w:rPr>
        <w:t>tre</w:t>
      </w:r>
      <w:r w:rsidR="00B37157" w:rsidRPr="00F017B9">
        <w:rPr>
          <w:rFonts w:ascii="Times New Roman" w:hAnsi="Times New Roman" w:cs="Times New Roman"/>
          <w:sz w:val="24"/>
          <w:szCs w:val="24"/>
          <w:shd w:val="clear" w:color="auto" w:fill="FFFFFF"/>
        </w:rPr>
        <w:t>atment</w:t>
      </w:r>
      <w:r w:rsidR="00B275A8" w:rsidRPr="00F017B9">
        <w:rPr>
          <w:rFonts w:ascii="Times New Roman" w:hAnsi="Times New Roman" w:cs="Times New Roman"/>
          <w:sz w:val="24"/>
          <w:szCs w:val="24"/>
          <w:shd w:val="clear" w:color="auto" w:fill="FFFFFF"/>
        </w:rPr>
        <w:t xml:space="preserve"> of </w:t>
      </w:r>
      <w:r w:rsidR="00C50F2C">
        <w:rPr>
          <w:rFonts w:ascii="Times New Roman" w:hAnsi="Times New Roman" w:cs="Times New Roman"/>
          <w:sz w:val="24"/>
          <w:szCs w:val="24"/>
          <w:shd w:val="clear" w:color="auto" w:fill="FFFFFF"/>
        </w:rPr>
        <w:t xml:space="preserve">the </w:t>
      </w:r>
      <w:r w:rsidR="00B275A8" w:rsidRPr="00F017B9">
        <w:rPr>
          <w:rFonts w:ascii="Times New Roman" w:hAnsi="Times New Roman" w:cs="Times New Roman"/>
          <w:sz w:val="24"/>
          <w:szCs w:val="24"/>
          <w:shd w:val="clear" w:color="auto" w:fill="FFFFFF"/>
        </w:rPr>
        <w:t>TMC variable</w:t>
      </w:r>
      <w:r w:rsidR="00B37157" w:rsidRPr="00F017B9">
        <w:rPr>
          <w:rFonts w:ascii="Times New Roman" w:hAnsi="Times New Roman" w:cs="Times New Roman"/>
          <w:sz w:val="24"/>
          <w:szCs w:val="24"/>
          <w:shd w:val="clear" w:color="auto" w:fill="FFFFFF"/>
        </w:rPr>
        <w:t xml:space="preserve">. It </w:t>
      </w:r>
      <w:r w:rsidR="00030881" w:rsidRPr="00F017B9">
        <w:rPr>
          <w:rFonts w:ascii="Times New Roman" w:hAnsi="Times New Roman" w:cs="Times New Roman"/>
          <w:sz w:val="24"/>
          <w:szCs w:val="24"/>
          <w:shd w:val="clear" w:color="auto" w:fill="FFFFFF"/>
        </w:rPr>
        <w:t xml:space="preserve">is </w:t>
      </w:r>
      <w:r w:rsidR="00B37157" w:rsidRPr="00F017B9">
        <w:rPr>
          <w:rFonts w:ascii="Times New Roman" w:hAnsi="Times New Roman" w:cs="Times New Roman"/>
          <w:sz w:val="24"/>
          <w:szCs w:val="24"/>
          <w:shd w:val="clear" w:color="auto" w:fill="FFFFFF"/>
        </w:rPr>
        <w:t>common for social psychological researchers to use the terms interchang</w:t>
      </w:r>
      <w:r w:rsidR="004E11CF" w:rsidRPr="00F017B9">
        <w:rPr>
          <w:rFonts w:ascii="Times New Roman" w:hAnsi="Times New Roman" w:cs="Times New Roman"/>
          <w:sz w:val="24"/>
          <w:szCs w:val="24"/>
          <w:shd w:val="clear" w:color="auto" w:fill="FFFFFF"/>
        </w:rPr>
        <w:t xml:space="preserve">eably (Barron and Kenny, 1986). </w:t>
      </w:r>
      <w:r w:rsidR="005253A7" w:rsidRPr="00F017B9">
        <w:rPr>
          <w:rFonts w:ascii="Times New Roman" w:hAnsi="Times New Roman" w:cs="Times New Roman"/>
          <w:sz w:val="24"/>
          <w:szCs w:val="24"/>
          <w:shd w:val="clear" w:color="auto" w:fill="FFFFFF"/>
        </w:rPr>
        <w:t>A</w:t>
      </w:r>
      <w:r w:rsidR="001F7A75" w:rsidRPr="00F017B9">
        <w:rPr>
          <w:rFonts w:ascii="Times New Roman" w:hAnsi="Times New Roman" w:cs="Times New Roman"/>
          <w:sz w:val="24"/>
          <w:szCs w:val="24"/>
          <w:shd w:val="clear" w:color="auto" w:fill="FFFFFF"/>
        </w:rPr>
        <w:t xml:space="preserve">midst </w:t>
      </w:r>
      <w:r w:rsidR="001C6E5F" w:rsidRPr="00F017B9">
        <w:rPr>
          <w:rFonts w:ascii="Times New Roman" w:hAnsi="Times New Roman" w:cs="Times New Roman"/>
          <w:sz w:val="24"/>
          <w:szCs w:val="24"/>
          <w:shd w:val="clear" w:color="auto" w:fill="FFFFFF"/>
        </w:rPr>
        <w:t>this</w:t>
      </w:r>
      <w:r w:rsidR="00FA103C" w:rsidRPr="00F017B9">
        <w:rPr>
          <w:rFonts w:ascii="Times New Roman" w:hAnsi="Times New Roman" w:cs="Times New Roman"/>
          <w:sz w:val="24"/>
          <w:szCs w:val="24"/>
          <w:shd w:val="clear" w:color="auto" w:fill="FFFFFF"/>
        </w:rPr>
        <w:t xml:space="preserve"> </w:t>
      </w:r>
      <w:r w:rsidR="001F7A75" w:rsidRPr="00F017B9">
        <w:rPr>
          <w:rFonts w:ascii="Times New Roman" w:hAnsi="Times New Roman" w:cs="Times New Roman"/>
          <w:sz w:val="24"/>
          <w:szCs w:val="24"/>
          <w:shd w:val="clear" w:color="auto" w:fill="FFFFFF"/>
        </w:rPr>
        <w:t>debate</w:t>
      </w:r>
      <w:r w:rsidR="00E04A36" w:rsidRPr="00F017B9">
        <w:rPr>
          <w:rFonts w:ascii="Times New Roman" w:hAnsi="Times New Roman" w:cs="Times New Roman"/>
          <w:sz w:val="24"/>
          <w:szCs w:val="24"/>
          <w:shd w:val="clear" w:color="auto" w:fill="FFFFFF"/>
        </w:rPr>
        <w:t>, we</w:t>
      </w:r>
      <w:r w:rsidR="000A6E48" w:rsidRPr="00F017B9">
        <w:rPr>
          <w:rFonts w:ascii="Times New Roman" w:hAnsi="Times New Roman" w:cs="Times New Roman"/>
          <w:sz w:val="24"/>
          <w:szCs w:val="24"/>
          <w:shd w:val="clear" w:color="auto" w:fill="FFFFFF"/>
        </w:rPr>
        <w:t xml:space="preserve"> propos</w:t>
      </w:r>
      <w:r w:rsidR="00E04A36" w:rsidRPr="00F017B9">
        <w:rPr>
          <w:rFonts w:ascii="Times New Roman" w:hAnsi="Times New Roman" w:cs="Times New Roman"/>
          <w:sz w:val="24"/>
          <w:szCs w:val="24"/>
          <w:shd w:val="clear" w:color="auto" w:fill="FFFFFF"/>
        </w:rPr>
        <w:t>e TMC as a moderating construct</w:t>
      </w:r>
      <w:r w:rsidR="00C50F2C">
        <w:rPr>
          <w:rFonts w:ascii="Times New Roman" w:hAnsi="Times New Roman" w:cs="Times New Roman"/>
          <w:sz w:val="24"/>
          <w:szCs w:val="24"/>
          <w:shd w:val="clear" w:color="auto" w:fill="FFFFFF"/>
        </w:rPr>
        <w:t>:</w:t>
      </w:r>
    </w:p>
    <w:p w14:paraId="70616E0B" w14:textId="2F45AF4E" w:rsidR="000A3B55" w:rsidRPr="00F017B9" w:rsidRDefault="00907F8D"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i/>
          <w:sz w:val="24"/>
          <w:szCs w:val="24"/>
          <w:shd w:val="clear" w:color="auto" w:fill="FFFFFF"/>
        </w:rPr>
        <w:t>H</w:t>
      </w:r>
      <w:r w:rsidR="00F83167" w:rsidRPr="00F017B9">
        <w:rPr>
          <w:rFonts w:ascii="Times New Roman" w:hAnsi="Times New Roman" w:cs="Times New Roman"/>
          <w:i/>
          <w:sz w:val="24"/>
          <w:szCs w:val="24"/>
          <w:shd w:val="clear" w:color="auto" w:fill="FFFFFF"/>
        </w:rPr>
        <w:t>7</w:t>
      </w:r>
      <w:r w:rsidR="00B323F6" w:rsidRPr="00F017B9">
        <w:rPr>
          <w:rFonts w:ascii="Times New Roman" w:hAnsi="Times New Roman" w:cs="Times New Roman"/>
          <w:i/>
          <w:sz w:val="24"/>
          <w:szCs w:val="24"/>
          <w:shd w:val="clear" w:color="auto" w:fill="FFFFFF"/>
        </w:rPr>
        <w:t>a</w:t>
      </w:r>
      <w:r w:rsidR="000A3B55" w:rsidRPr="00F017B9">
        <w:rPr>
          <w:rFonts w:ascii="Times New Roman" w:hAnsi="Times New Roman" w:cs="Times New Roman"/>
          <w:i/>
          <w:sz w:val="24"/>
          <w:szCs w:val="24"/>
          <w:shd w:val="clear" w:color="auto" w:fill="FFFFFF"/>
        </w:rPr>
        <w:t>/b/c</w:t>
      </w:r>
      <w:r w:rsidRPr="00F017B9">
        <w:rPr>
          <w:rFonts w:ascii="Times New Roman" w:hAnsi="Times New Roman" w:cs="Times New Roman"/>
          <w:sz w:val="24"/>
          <w:szCs w:val="24"/>
          <w:shd w:val="clear" w:color="auto" w:fill="FFFFFF"/>
        </w:rPr>
        <w:t>:</w:t>
      </w:r>
      <w:r w:rsidR="00250372" w:rsidRPr="00F017B9">
        <w:rPr>
          <w:rFonts w:ascii="Times New Roman" w:hAnsi="Times New Roman" w:cs="Times New Roman"/>
          <w:sz w:val="24"/>
          <w:szCs w:val="24"/>
          <w:shd w:val="clear" w:color="auto" w:fill="FFFFFF"/>
        </w:rPr>
        <w:t xml:space="preserve"> </w:t>
      </w:r>
      <w:r w:rsidR="00250372" w:rsidRPr="00F017B9">
        <w:rPr>
          <w:rFonts w:ascii="Times New Roman" w:hAnsi="Times New Roman" w:cs="Times New Roman"/>
          <w:i/>
          <w:sz w:val="24"/>
          <w:szCs w:val="24"/>
          <w:shd w:val="clear" w:color="auto" w:fill="FFFFFF"/>
        </w:rPr>
        <w:t xml:space="preserve">Top management commitment </w:t>
      </w:r>
      <w:r w:rsidR="0053174F" w:rsidRPr="00F017B9">
        <w:rPr>
          <w:rFonts w:ascii="Times New Roman" w:hAnsi="Times New Roman" w:cs="Times New Roman"/>
          <w:i/>
          <w:sz w:val="24"/>
          <w:szCs w:val="24"/>
          <w:shd w:val="clear" w:color="auto" w:fill="FFFFFF"/>
        </w:rPr>
        <w:t>moderate</w:t>
      </w:r>
      <w:r w:rsidR="00FA103C" w:rsidRPr="00F017B9">
        <w:rPr>
          <w:rFonts w:ascii="Times New Roman" w:hAnsi="Times New Roman" w:cs="Times New Roman"/>
          <w:i/>
          <w:sz w:val="24"/>
          <w:szCs w:val="24"/>
          <w:shd w:val="clear" w:color="auto" w:fill="FFFFFF"/>
        </w:rPr>
        <w:t>s</w:t>
      </w:r>
      <w:r w:rsidR="00250372" w:rsidRPr="00F017B9">
        <w:rPr>
          <w:rFonts w:ascii="Times New Roman" w:hAnsi="Times New Roman" w:cs="Times New Roman"/>
          <w:i/>
          <w:sz w:val="24"/>
          <w:szCs w:val="24"/>
          <w:shd w:val="clear" w:color="auto" w:fill="FFFFFF"/>
        </w:rPr>
        <w:t xml:space="preserve"> </w:t>
      </w:r>
      <w:r w:rsidR="00A86082" w:rsidRPr="00F017B9">
        <w:rPr>
          <w:rFonts w:ascii="Times New Roman" w:hAnsi="Times New Roman" w:cs="Times New Roman"/>
          <w:i/>
          <w:sz w:val="24"/>
          <w:szCs w:val="24"/>
        </w:rPr>
        <w:t>the relationship</w:t>
      </w:r>
      <w:r w:rsidR="00A86082" w:rsidRPr="00F017B9">
        <w:rPr>
          <w:rFonts w:ascii="Times New Roman" w:hAnsi="Times New Roman" w:cs="Times New Roman"/>
          <w:i/>
          <w:sz w:val="24"/>
          <w:szCs w:val="24"/>
          <w:shd w:val="clear" w:color="auto" w:fill="FFFFFF"/>
        </w:rPr>
        <w:t xml:space="preserve"> </w:t>
      </w:r>
      <w:r w:rsidR="00250372" w:rsidRPr="00F017B9">
        <w:rPr>
          <w:rFonts w:ascii="Times New Roman" w:hAnsi="Times New Roman" w:cs="Times New Roman"/>
          <w:i/>
          <w:sz w:val="24"/>
          <w:szCs w:val="24"/>
          <w:shd w:val="clear" w:color="auto" w:fill="FFFFFF"/>
        </w:rPr>
        <w:t xml:space="preserve">between supply chain visibility and </w:t>
      </w:r>
      <w:r w:rsidR="000A3B55" w:rsidRPr="00F017B9">
        <w:rPr>
          <w:rFonts w:ascii="Times New Roman" w:hAnsi="Times New Roman" w:cs="Times New Roman"/>
          <w:i/>
          <w:sz w:val="24"/>
          <w:szCs w:val="24"/>
          <w:shd w:val="clear" w:color="auto" w:fill="FFFFFF"/>
        </w:rPr>
        <w:t xml:space="preserve">(a) </w:t>
      </w:r>
      <w:r w:rsidR="00250372" w:rsidRPr="00F017B9">
        <w:rPr>
          <w:rFonts w:ascii="Times New Roman" w:hAnsi="Times New Roman" w:cs="Times New Roman"/>
          <w:i/>
          <w:sz w:val="24"/>
          <w:szCs w:val="24"/>
          <w:shd w:val="clear" w:color="auto" w:fill="FFFFFF"/>
        </w:rPr>
        <w:t>supply chain agility</w:t>
      </w:r>
      <w:r w:rsidR="000A3B55" w:rsidRPr="00F017B9">
        <w:rPr>
          <w:rFonts w:ascii="Times New Roman" w:hAnsi="Times New Roman" w:cs="Times New Roman"/>
          <w:i/>
          <w:sz w:val="24"/>
          <w:szCs w:val="24"/>
          <w:shd w:val="clear" w:color="auto" w:fill="FFFFFF"/>
        </w:rPr>
        <w:t>, (b) supply chain adaptability and (c) supply chain alignment.</w:t>
      </w:r>
    </w:p>
    <w:p w14:paraId="0279F00A" w14:textId="05276F78" w:rsidR="00907F8D" w:rsidRPr="00F017B9" w:rsidRDefault="00314754" w:rsidP="00654B52">
      <w:pPr>
        <w:spacing w:after="120" w:line="480" w:lineRule="auto"/>
        <w:jc w:val="both"/>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 xml:space="preserve">3. </w:t>
      </w:r>
      <w:r w:rsidR="000E5405" w:rsidRPr="00F017B9">
        <w:rPr>
          <w:rFonts w:ascii="Times New Roman" w:hAnsi="Times New Roman" w:cs="Times New Roman"/>
          <w:b/>
          <w:sz w:val="24"/>
          <w:szCs w:val="24"/>
          <w:shd w:val="clear" w:color="auto" w:fill="FFFFFF"/>
        </w:rPr>
        <w:t>RESEARCH DESIGN</w:t>
      </w:r>
    </w:p>
    <w:p w14:paraId="1AFA6296" w14:textId="5078C7E8" w:rsidR="00907F8D" w:rsidRPr="00F017B9" w:rsidRDefault="00314754" w:rsidP="00654B52">
      <w:pPr>
        <w:spacing w:after="120" w:line="480" w:lineRule="auto"/>
        <w:jc w:val="both"/>
        <w:rPr>
          <w:rFonts w:ascii="Times New Roman" w:hAnsi="Times New Roman" w:cs="Times New Roman"/>
          <w:b/>
          <w:i/>
          <w:sz w:val="24"/>
          <w:szCs w:val="24"/>
          <w:shd w:val="clear" w:color="auto" w:fill="FFFFFF"/>
        </w:rPr>
      </w:pPr>
      <w:r w:rsidRPr="00F017B9">
        <w:rPr>
          <w:rFonts w:ascii="Times New Roman" w:hAnsi="Times New Roman" w:cs="Times New Roman"/>
          <w:b/>
          <w:i/>
          <w:sz w:val="24"/>
          <w:szCs w:val="24"/>
          <w:shd w:val="clear" w:color="auto" w:fill="FFFFFF"/>
        </w:rPr>
        <w:t xml:space="preserve">3.1 </w:t>
      </w:r>
      <w:r w:rsidR="00636518" w:rsidRPr="00F017B9">
        <w:rPr>
          <w:rFonts w:ascii="Times New Roman" w:hAnsi="Times New Roman" w:cs="Times New Roman"/>
          <w:b/>
          <w:i/>
          <w:sz w:val="24"/>
          <w:szCs w:val="24"/>
          <w:shd w:val="clear" w:color="auto" w:fill="FFFFFF"/>
        </w:rPr>
        <w:t>Construct Operationalization</w:t>
      </w:r>
    </w:p>
    <w:p w14:paraId="12A4DBC1" w14:textId="37A2C7F6" w:rsidR="00D965D7" w:rsidRPr="00F017B9" w:rsidRDefault="00DD3445" w:rsidP="00654B52">
      <w:pPr>
        <w:spacing w:line="48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This study developed a </w:t>
      </w:r>
      <w:r w:rsidR="00020E71" w:rsidRPr="00F017B9">
        <w:rPr>
          <w:rFonts w:ascii="Times New Roman" w:hAnsi="Times New Roman" w:cs="Times New Roman"/>
          <w:sz w:val="24"/>
          <w:szCs w:val="24"/>
          <w:shd w:val="clear" w:color="auto" w:fill="FFFFFF"/>
        </w:rPr>
        <w:t xml:space="preserve">survey instrument by identifying appropriate measures from </w:t>
      </w:r>
      <w:r w:rsidRPr="00F017B9">
        <w:rPr>
          <w:rFonts w:ascii="Times New Roman" w:hAnsi="Times New Roman" w:cs="Times New Roman"/>
          <w:sz w:val="24"/>
          <w:szCs w:val="24"/>
          <w:shd w:val="clear" w:color="auto" w:fill="FFFFFF"/>
        </w:rPr>
        <w:t xml:space="preserve">the </w:t>
      </w:r>
      <w:r w:rsidR="00020E71" w:rsidRPr="00F017B9">
        <w:rPr>
          <w:rFonts w:ascii="Times New Roman" w:hAnsi="Times New Roman" w:cs="Times New Roman"/>
          <w:sz w:val="24"/>
          <w:szCs w:val="24"/>
          <w:shd w:val="clear" w:color="auto" w:fill="FFFFFF"/>
        </w:rPr>
        <w:t>literature review</w:t>
      </w:r>
      <w:r w:rsidR="001E4C50" w:rsidRPr="00F017B9">
        <w:rPr>
          <w:rFonts w:ascii="Times New Roman" w:hAnsi="Times New Roman" w:cs="Times New Roman"/>
          <w:sz w:val="24"/>
          <w:szCs w:val="24"/>
          <w:shd w:val="clear" w:color="auto" w:fill="FFFFFF"/>
        </w:rPr>
        <w:t xml:space="preserve"> (Table 1)</w:t>
      </w:r>
      <w:r w:rsidR="00020E71" w:rsidRPr="00F017B9">
        <w:rPr>
          <w:rFonts w:ascii="Times New Roman" w:hAnsi="Times New Roman" w:cs="Times New Roman"/>
          <w:sz w:val="24"/>
          <w:szCs w:val="24"/>
          <w:shd w:val="clear" w:color="auto" w:fill="FFFFFF"/>
        </w:rPr>
        <w:t xml:space="preserve">. </w:t>
      </w:r>
      <w:r w:rsidR="00A11DE0" w:rsidRPr="00F017B9">
        <w:rPr>
          <w:rFonts w:ascii="Times New Roman" w:hAnsi="Times New Roman" w:cs="Times New Roman"/>
          <w:sz w:val="24"/>
          <w:szCs w:val="24"/>
          <w:shd w:val="clear" w:color="auto" w:fill="FFFFFF"/>
        </w:rPr>
        <w:t xml:space="preserve">The </w:t>
      </w:r>
      <w:r w:rsidR="0018039A" w:rsidRPr="00F017B9">
        <w:rPr>
          <w:rFonts w:ascii="Times New Roman" w:hAnsi="Times New Roman" w:cs="Times New Roman"/>
          <w:sz w:val="24"/>
          <w:szCs w:val="24"/>
          <w:shd w:val="clear" w:color="auto" w:fill="FFFFFF"/>
        </w:rPr>
        <w:t xml:space="preserve">constructs </w:t>
      </w:r>
      <w:r w:rsidR="00A11DE0" w:rsidRPr="00F017B9">
        <w:rPr>
          <w:rFonts w:ascii="Times New Roman" w:hAnsi="Times New Roman" w:cs="Times New Roman"/>
          <w:sz w:val="24"/>
          <w:szCs w:val="24"/>
          <w:shd w:val="clear" w:color="auto" w:fill="FFFFFF"/>
        </w:rPr>
        <w:t>were measured on a five-point Likert scale with anchors ranging from strongly disagree (1) to strongly agree (5) in order to ensure high statistical variability among survey responses (see Chen et al. 2004). Prior to data collection</w:t>
      </w:r>
      <w:r w:rsidRPr="00F017B9">
        <w:rPr>
          <w:rFonts w:ascii="Times New Roman" w:hAnsi="Times New Roman" w:cs="Times New Roman"/>
          <w:sz w:val="24"/>
          <w:szCs w:val="24"/>
          <w:shd w:val="clear" w:color="auto" w:fill="FFFFFF"/>
        </w:rPr>
        <w:t>,</w:t>
      </w:r>
      <w:r w:rsidR="00A11DE0" w:rsidRPr="00F017B9">
        <w:rPr>
          <w:rFonts w:ascii="Times New Roman" w:hAnsi="Times New Roman" w:cs="Times New Roman"/>
          <w:sz w:val="24"/>
          <w:szCs w:val="24"/>
          <w:shd w:val="clear" w:color="auto" w:fill="FFFFFF"/>
        </w:rPr>
        <w:t xml:space="preserve"> we pre-tested our instrument for content validity in two stages. First</w:t>
      </w:r>
      <w:r w:rsidR="004E4CDA" w:rsidRPr="00F017B9">
        <w:rPr>
          <w:rFonts w:ascii="Times New Roman" w:hAnsi="Times New Roman" w:cs="Times New Roman"/>
          <w:sz w:val="24"/>
          <w:szCs w:val="24"/>
          <w:shd w:val="clear" w:color="auto" w:fill="FFFFFF"/>
        </w:rPr>
        <w:t>ly</w:t>
      </w:r>
      <w:r w:rsidR="00A11DE0" w:rsidRPr="00F017B9">
        <w:rPr>
          <w:rFonts w:ascii="Times New Roman" w:hAnsi="Times New Roman" w:cs="Times New Roman"/>
          <w:sz w:val="24"/>
          <w:szCs w:val="24"/>
          <w:shd w:val="clear" w:color="auto" w:fill="FFFFFF"/>
        </w:rPr>
        <w:t xml:space="preserve">, we asked </w:t>
      </w:r>
      <w:r w:rsidRPr="00F017B9">
        <w:rPr>
          <w:rFonts w:ascii="Times New Roman" w:hAnsi="Times New Roman" w:cs="Times New Roman"/>
          <w:sz w:val="24"/>
          <w:szCs w:val="24"/>
          <w:shd w:val="clear" w:color="auto" w:fill="FFFFFF"/>
        </w:rPr>
        <w:t>three</w:t>
      </w:r>
      <w:r w:rsidR="00A11DE0" w:rsidRPr="00F017B9">
        <w:rPr>
          <w:rFonts w:ascii="Times New Roman" w:hAnsi="Times New Roman" w:cs="Times New Roman"/>
          <w:sz w:val="24"/>
          <w:szCs w:val="24"/>
          <w:shd w:val="clear" w:color="auto" w:fill="FFFFFF"/>
        </w:rPr>
        <w:t xml:space="preserve"> experienced researchers to </w:t>
      </w:r>
      <w:r w:rsidR="0057585F" w:rsidRPr="00F017B9">
        <w:rPr>
          <w:rFonts w:ascii="Times New Roman" w:hAnsi="Times New Roman" w:cs="Times New Roman"/>
          <w:sz w:val="24"/>
          <w:szCs w:val="24"/>
          <w:shd w:val="clear" w:color="auto" w:fill="FFFFFF"/>
        </w:rPr>
        <w:t xml:space="preserve">provide feedback on </w:t>
      </w:r>
      <w:r w:rsidR="00A11DE0" w:rsidRPr="00F017B9">
        <w:rPr>
          <w:rFonts w:ascii="Times New Roman" w:hAnsi="Times New Roman" w:cs="Times New Roman"/>
          <w:sz w:val="24"/>
          <w:szCs w:val="24"/>
          <w:shd w:val="clear" w:color="auto" w:fill="FFFFFF"/>
        </w:rPr>
        <w:t>the questionnaires for ambiguity</w:t>
      </w:r>
      <w:r w:rsidR="003E3847" w:rsidRPr="00F017B9">
        <w:rPr>
          <w:rFonts w:ascii="Times New Roman" w:hAnsi="Times New Roman" w:cs="Times New Roman"/>
          <w:sz w:val="24"/>
          <w:szCs w:val="24"/>
          <w:shd w:val="clear" w:color="auto" w:fill="FFFFFF"/>
        </w:rPr>
        <w:t>, clarity, and appropriateness of the measures used to operationalize each construct (Chen et al. 2004; DeVellis,</w:t>
      </w:r>
      <w:r w:rsidR="001E4C50" w:rsidRPr="00F017B9">
        <w:rPr>
          <w:rFonts w:ascii="Times New Roman" w:hAnsi="Times New Roman" w:cs="Times New Roman"/>
          <w:sz w:val="24"/>
          <w:szCs w:val="24"/>
          <w:shd w:val="clear" w:color="auto" w:fill="FFFFFF"/>
        </w:rPr>
        <w:t xml:space="preserve"> </w:t>
      </w:r>
      <w:r w:rsidR="003E3847" w:rsidRPr="00F017B9">
        <w:rPr>
          <w:rFonts w:ascii="Times New Roman" w:hAnsi="Times New Roman" w:cs="Times New Roman"/>
          <w:sz w:val="24"/>
          <w:szCs w:val="24"/>
          <w:shd w:val="clear" w:color="auto" w:fill="FFFFFF"/>
        </w:rPr>
        <w:t>2012).</w:t>
      </w:r>
      <w:r w:rsidR="00340548" w:rsidRPr="00F017B9">
        <w:rPr>
          <w:rFonts w:ascii="Times New Roman" w:hAnsi="Times New Roman" w:cs="Times New Roman"/>
          <w:sz w:val="24"/>
          <w:szCs w:val="24"/>
          <w:shd w:val="clear" w:color="auto" w:fill="FFFFFF"/>
        </w:rPr>
        <w:t xml:space="preserve"> We further asked these researchers to assess the extent to which the measures sufficiently addressed the subject area (Dillman, 1978).</w:t>
      </w:r>
      <w:r w:rsidR="00BF0037" w:rsidRPr="00F017B9">
        <w:rPr>
          <w:rFonts w:ascii="Times New Roman" w:hAnsi="Times New Roman" w:cs="Times New Roman"/>
          <w:sz w:val="24"/>
          <w:szCs w:val="24"/>
          <w:shd w:val="clear" w:color="auto" w:fill="FFFFFF"/>
        </w:rPr>
        <w:t xml:space="preserve"> Based on </w:t>
      </w:r>
      <w:r w:rsidR="007E10A3" w:rsidRPr="00F017B9">
        <w:rPr>
          <w:rFonts w:ascii="Times New Roman" w:hAnsi="Times New Roman" w:cs="Times New Roman"/>
          <w:sz w:val="24"/>
          <w:szCs w:val="24"/>
          <w:shd w:val="clear" w:color="auto" w:fill="FFFFFF"/>
        </w:rPr>
        <w:t xml:space="preserve">their </w:t>
      </w:r>
      <w:r w:rsidR="00BF0037" w:rsidRPr="00F017B9">
        <w:rPr>
          <w:rFonts w:ascii="Times New Roman" w:hAnsi="Times New Roman" w:cs="Times New Roman"/>
          <w:sz w:val="24"/>
          <w:szCs w:val="24"/>
          <w:shd w:val="clear" w:color="auto" w:fill="FFFFFF"/>
        </w:rPr>
        <w:t xml:space="preserve">feedback </w:t>
      </w:r>
      <w:r w:rsidR="00496DDC" w:rsidRPr="00F017B9">
        <w:rPr>
          <w:rFonts w:ascii="Times New Roman" w:hAnsi="Times New Roman" w:cs="Times New Roman"/>
          <w:sz w:val="24"/>
          <w:szCs w:val="24"/>
          <w:shd w:val="clear" w:color="auto" w:fill="FFFFFF"/>
        </w:rPr>
        <w:t xml:space="preserve">we modified </w:t>
      </w:r>
      <w:r w:rsidR="00BF0037" w:rsidRPr="00F017B9">
        <w:rPr>
          <w:rFonts w:ascii="Times New Roman" w:hAnsi="Times New Roman" w:cs="Times New Roman"/>
          <w:sz w:val="24"/>
          <w:szCs w:val="24"/>
          <w:shd w:val="clear" w:color="auto" w:fill="FFFFFF"/>
        </w:rPr>
        <w:t>the scale</w:t>
      </w:r>
      <w:r w:rsidR="0018039A" w:rsidRPr="00F017B9">
        <w:rPr>
          <w:rFonts w:ascii="Times New Roman" w:hAnsi="Times New Roman" w:cs="Times New Roman"/>
          <w:sz w:val="24"/>
          <w:szCs w:val="24"/>
          <w:shd w:val="clear" w:color="auto" w:fill="FFFFFF"/>
        </w:rPr>
        <w:t>s</w:t>
      </w:r>
      <w:r w:rsidR="00BF0037" w:rsidRPr="00F017B9">
        <w:rPr>
          <w:rFonts w:ascii="Times New Roman" w:hAnsi="Times New Roman" w:cs="Times New Roman"/>
          <w:sz w:val="24"/>
          <w:szCs w:val="24"/>
          <w:shd w:val="clear" w:color="auto" w:fill="FFFFFF"/>
        </w:rPr>
        <w:t xml:space="preserve">. </w:t>
      </w:r>
      <w:r w:rsidR="004E4CDA" w:rsidRPr="00F017B9">
        <w:rPr>
          <w:rFonts w:ascii="Times New Roman" w:hAnsi="Times New Roman" w:cs="Times New Roman"/>
          <w:sz w:val="24"/>
          <w:szCs w:val="24"/>
          <w:shd w:val="clear" w:color="auto" w:fill="FFFFFF"/>
        </w:rPr>
        <w:t>Secondly</w:t>
      </w:r>
      <w:r w:rsidR="00BF0037" w:rsidRPr="00F017B9">
        <w:rPr>
          <w:rFonts w:ascii="Times New Roman" w:hAnsi="Times New Roman" w:cs="Times New Roman"/>
          <w:sz w:val="24"/>
          <w:szCs w:val="24"/>
          <w:shd w:val="clear" w:color="auto" w:fill="FFFFFF"/>
        </w:rPr>
        <w:t>,</w:t>
      </w:r>
      <w:r w:rsidR="00C9399C" w:rsidRPr="00F017B9">
        <w:rPr>
          <w:rFonts w:ascii="Times New Roman" w:hAnsi="Times New Roman" w:cs="Times New Roman"/>
          <w:sz w:val="24"/>
          <w:szCs w:val="24"/>
          <w:shd w:val="clear" w:color="auto" w:fill="FFFFFF"/>
        </w:rPr>
        <w:t xml:space="preserve"> we emailed</w:t>
      </w:r>
      <w:r w:rsidR="00BF0037" w:rsidRPr="00F017B9">
        <w:rPr>
          <w:rFonts w:ascii="Times New Roman" w:hAnsi="Times New Roman" w:cs="Times New Roman"/>
          <w:sz w:val="24"/>
          <w:szCs w:val="24"/>
          <w:shd w:val="clear" w:color="auto" w:fill="FFFFFF"/>
        </w:rPr>
        <w:t xml:space="preserve"> the survey to 30 senior supply chain managers affiliated with</w:t>
      </w:r>
      <w:r w:rsidR="0018039A" w:rsidRPr="00F017B9">
        <w:rPr>
          <w:rFonts w:ascii="Times New Roman" w:hAnsi="Times New Roman" w:cs="Times New Roman"/>
          <w:sz w:val="24"/>
          <w:szCs w:val="24"/>
          <w:shd w:val="clear" w:color="auto" w:fill="FFFFFF"/>
        </w:rPr>
        <w:t xml:space="preserve"> the</w:t>
      </w:r>
      <w:r w:rsidR="00BF0037" w:rsidRPr="00F017B9">
        <w:rPr>
          <w:rFonts w:ascii="Times New Roman" w:hAnsi="Times New Roman" w:cs="Times New Roman"/>
          <w:sz w:val="24"/>
          <w:szCs w:val="24"/>
          <w:shd w:val="clear" w:color="auto" w:fill="FFFFFF"/>
        </w:rPr>
        <w:t xml:space="preserve"> Chartered Institute of Logistics </w:t>
      </w:r>
      <w:r w:rsidR="0018039A" w:rsidRPr="00F017B9">
        <w:rPr>
          <w:rFonts w:ascii="Times New Roman" w:hAnsi="Times New Roman" w:cs="Times New Roman"/>
          <w:sz w:val="24"/>
          <w:szCs w:val="24"/>
          <w:shd w:val="clear" w:color="auto" w:fill="FFFFFF"/>
        </w:rPr>
        <w:t xml:space="preserve">and </w:t>
      </w:r>
      <w:r w:rsidR="00BF0037" w:rsidRPr="00F017B9">
        <w:rPr>
          <w:rFonts w:ascii="Times New Roman" w:hAnsi="Times New Roman" w:cs="Times New Roman"/>
          <w:sz w:val="24"/>
          <w:szCs w:val="24"/>
          <w:shd w:val="clear" w:color="auto" w:fill="FFFFFF"/>
        </w:rPr>
        <w:t xml:space="preserve">Transport (CILT). </w:t>
      </w:r>
      <w:r w:rsidR="00FC1720" w:rsidRPr="00F017B9">
        <w:rPr>
          <w:rFonts w:ascii="Times New Roman" w:hAnsi="Times New Roman" w:cs="Times New Roman"/>
          <w:sz w:val="24"/>
          <w:szCs w:val="24"/>
          <w:shd w:val="clear" w:color="auto" w:fill="FFFFFF"/>
        </w:rPr>
        <w:t>We asked t</w:t>
      </w:r>
      <w:r w:rsidR="000962F0" w:rsidRPr="00F017B9">
        <w:rPr>
          <w:rFonts w:ascii="Times New Roman" w:hAnsi="Times New Roman" w:cs="Times New Roman"/>
          <w:sz w:val="24"/>
          <w:szCs w:val="24"/>
          <w:shd w:val="clear" w:color="auto" w:fill="FFFFFF"/>
        </w:rPr>
        <w:t xml:space="preserve">hese </w:t>
      </w:r>
      <w:r w:rsidR="00BF0037" w:rsidRPr="00F017B9">
        <w:rPr>
          <w:rFonts w:ascii="Times New Roman" w:hAnsi="Times New Roman" w:cs="Times New Roman"/>
          <w:sz w:val="24"/>
          <w:szCs w:val="24"/>
          <w:shd w:val="clear" w:color="auto" w:fill="FFFFFF"/>
        </w:rPr>
        <w:t xml:space="preserve">managers to review </w:t>
      </w:r>
      <w:r w:rsidR="006A4E10" w:rsidRPr="00F017B9">
        <w:rPr>
          <w:rFonts w:ascii="Times New Roman" w:hAnsi="Times New Roman" w:cs="Times New Roman"/>
          <w:sz w:val="24"/>
          <w:szCs w:val="24"/>
          <w:shd w:val="clear" w:color="auto" w:fill="FFFFFF"/>
        </w:rPr>
        <w:t>the survey instrument for structure, readability, ambiguity and completeness. The final survey instrument incorporated the feedback from these supply chain managers, which in turn improved the clarity in the instruments. The process yielded a survey instrument that exhibit</w:t>
      </w:r>
      <w:r w:rsidR="005D13A6" w:rsidRPr="00F017B9">
        <w:rPr>
          <w:rFonts w:ascii="Times New Roman" w:hAnsi="Times New Roman" w:cs="Times New Roman"/>
          <w:sz w:val="24"/>
          <w:szCs w:val="24"/>
          <w:shd w:val="clear" w:color="auto" w:fill="FFFFFF"/>
        </w:rPr>
        <w:t>ed</w:t>
      </w:r>
      <w:r w:rsidR="006A4E10" w:rsidRPr="00F017B9">
        <w:rPr>
          <w:rFonts w:ascii="Times New Roman" w:hAnsi="Times New Roman" w:cs="Times New Roman"/>
          <w:sz w:val="24"/>
          <w:szCs w:val="24"/>
          <w:shd w:val="clear" w:color="auto" w:fill="FFFFFF"/>
        </w:rPr>
        <w:t xml:space="preserve"> high content validity.</w:t>
      </w:r>
      <w:r w:rsidR="00EB329E" w:rsidRPr="00F017B9">
        <w:rPr>
          <w:rFonts w:ascii="Times New Roman" w:hAnsi="Times New Roman" w:cs="Times New Roman"/>
          <w:sz w:val="24"/>
          <w:szCs w:val="24"/>
          <w:shd w:val="clear" w:color="auto" w:fill="FFFFFF"/>
        </w:rPr>
        <w:t xml:space="preserve"> </w:t>
      </w:r>
      <w:r w:rsidR="00BC0528" w:rsidRPr="00F017B9">
        <w:rPr>
          <w:rFonts w:ascii="Times New Roman" w:hAnsi="Times New Roman" w:cs="Times New Roman"/>
          <w:sz w:val="24"/>
          <w:szCs w:val="24"/>
          <w:shd w:val="clear" w:color="auto" w:fill="FFFFFF"/>
        </w:rPr>
        <w:t>W</w:t>
      </w:r>
      <w:r w:rsidR="00DB7E20" w:rsidRPr="00F017B9">
        <w:rPr>
          <w:rFonts w:ascii="Times New Roman" w:hAnsi="Times New Roman" w:cs="Times New Roman"/>
          <w:sz w:val="24"/>
          <w:szCs w:val="24"/>
          <w:shd w:val="clear" w:color="auto" w:fill="FFFFFF"/>
        </w:rPr>
        <w:t xml:space="preserve">e operationalised all the </w:t>
      </w:r>
      <w:r w:rsidR="00BC0528" w:rsidRPr="00F017B9">
        <w:rPr>
          <w:rFonts w:ascii="Times New Roman" w:hAnsi="Times New Roman" w:cs="Times New Roman"/>
          <w:sz w:val="24"/>
          <w:szCs w:val="24"/>
          <w:shd w:val="clear" w:color="auto" w:fill="FFFFFF"/>
        </w:rPr>
        <w:t xml:space="preserve">constructs </w:t>
      </w:r>
      <w:r w:rsidR="00DB7E20" w:rsidRPr="00F017B9">
        <w:rPr>
          <w:rFonts w:ascii="Times New Roman" w:hAnsi="Times New Roman" w:cs="Times New Roman"/>
          <w:sz w:val="24"/>
          <w:szCs w:val="24"/>
          <w:shd w:val="clear" w:color="auto" w:fill="FFFFFF"/>
        </w:rPr>
        <w:t>in the model as</w:t>
      </w:r>
      <w:r w:rsidR="00067FB8" w:rsidRPr="00F017B9">
        <w:rPr>
          <w:rFonts w:ascii="Times New Roman" w:hAnsi="Times New Roman" w:cs="Times New Roman"/>
          <w:sz w:val="24"/>
          <w:szCs w:val="24"/>
          <w:shd w:val="clear" w:color="auto" w:fill="FFFFFF"/>
        </w:rPr>
        <w:t xml:space="preserve"> </w:t>
      </w:r>
      <w:r w:rsidR="00DB7E20" w:rsidRPr="00F017B9">
        <w:rPr>
          <w:rFonts w:ascii="Times New Roman" w:hAnsi="Times New Roman" w:cs="Times New Roman"/>
          <w:sz w:val="24"/>
          <w:szCs w:val="24"/>
          <w:shd w:val="clear" w:color="auto" w:fill="FFFFFF"/>
        </w:rPr>
        <w:t>reflective (Table 1).</w:t>
      </w:r>
      <w:r w:rsidR="000A3B55" w:rsidRPr="00F017B9">
        <w:rPr>
          <w:rFonts w:ascii="Times New Roman" w:hAnsi="Times New Roman" w:cs="Times New Roman"/>
          <w:sz w:val="24"/>
          <w:szCs w:val="24"/>
          <w:shd w:val="clear" w:color="auto" w:fill="FFFFFF"/>
        </w:rPr>
        <w:t xml:space="preserve"> We also included two control variables that characterize our unit of analysis, namely ‘organization size’, measured by total number of employees, and ‘revenue generated by the organization in a financial year’ (Liang et al. 2007). We also included a control for industry dynamism in order to level out the effects of uncertainty across the industry (Wagner and Neshat, 2012; Brandon-Jones et al., 2014).</w:t>
      </w:r>
    </w:p>
    <w:p w14:paraId="062A9569" w14:textId="44029502" w:rsidR="00BB31A4" w:rsidRPr="00F017B9" w:rsidRDefault="00D965D7" w:rsidP="00F017B9">
      <w:pPr>
        <w:spacing w:line="360" w:lineRule="auto"/>
        <w:jc w:val="both"/>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Table 1:</w:t>
      </w:r>
      <w:r w:rsidR="00072205" w:rsidRPr="00F017B9">
        <w:rPr>
          <w:rFonts w:ascii="Times New Roman" w:hAnsi="Times New Roman" w:cs="Times New Roman"/>
          <w:b/>
          <w:sz w:val="24"/>
          <w:szCs w:val="24"/>
          <w:shd w:val="clear" w:color="auto" w:fill="FFFFFF"/>
        </w:rPr>
        <w:t xml:space="preserve"> Construct Operationalization</w:t>
      </w:r>
    </w:p>
    <w:tbl>
      <w:tblPr>
        <w:tblStyle w:val="TableGrid"/>
        <w:tblW w:w="9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1203"/>
        <w:gridCol w:w="1826"/>
        <w:gridCol w:w="4986"/>
      </w:tblGrid>
      <w:tr w:rsidR="00DF0678" w:rsidRPr="00F017B9" w14:paraId="7136DFDD" w14:textId="77777777" w:rsidTr="00E75638">
        <w:trPr>
          <w:trHeight w:val="246"/>
        </w:trPr>
        <w:tc>
          <w:tcPr>
            <w:tcW w:w="1838" w:type="dxa"/>
            <w:tcBorders>
              <w:top w:val="single" w:sz="4" w:space="0" w:color="auto"/>
              <w:bottom w:val="single" w:sz="4" w:space="0" w:color="auto"/>
            </w:tcBorders>
          </w:tcPr>
          <w:p w14:paraId="2AB29FD5" w14:textId="77777777" w:rsidR="00C7595D" w:rsidRPr="00F017B9" w:rsidRDefault="00C7595D" w:rsidP="00F017B9">
            <w:pPr>
              <w:spacing w:line="360" w:lineRule="auto"/>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Construct</w:t>
            </w:r>
          </w:p>
        </w:tc>
        <w:tc>
          <w:tcPr>
            <w:tcW w:w="1148" w:type="dxa"/>
            <w:tcBorders>
              <w:top w:val="single" w:sz="4" w:space="0" w:color="auto"/>
              <w:bottom w:val="single" w:sz="4" w:space="0" w:color="auto"/>
            </w:tcBorders>
          </w:tcPr>
          <w:p w14:paraId="18A011DC" w14:textId="41E8A78C" w:rsidR="00C7595D" w:rsidRPr="00F017B9" w:rsidRDefault="00C7595D" w:rsidP="00F017B9">
            <w:pPr>
              <w:spacing w:line="360" w:lineRule="auto"/>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Type</w:t>
            </w:r>
          </w:p>
        </w:tc>
        <w:tc>
          <w:tcPr>
            <w:tcW w:w="1829" w:type="dxa"/>
            <w:tcBorders>
              <w:top w:val="single" w:sz="4" w:space="0" w:color="auto"/>
              <w:bottom w:val="single" w:sz="4" w:space="0" w:color="auto"/>
            </w:tcBorders>
          </w:tcPr>
          <w:p w14:paraId="21AA7B2F" w14:textId="1B68A574" w:rsidR="00C7595D" w:rsidRPr="00F017B9" w:rsidRDefault="00C7595D" w:rsidP="00F017B9">
            <w:pPr>
              <w:spacing w:line="360" w:lineRule="auto"/>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Relevant Literature</w:t>
            </w:r>
          </w:p>
        </w:tc>
        <w:tc>
          <w:tcPr>
            <w:tcW w:w="5032" w:type="dxa"/>
            <w:tcBorders>
              <w:top w:val="single" w:sz="4" w:space="0" w:color="auto"/>
              <w:bottom w:val="single" w:sz="4" w:space="0" w:color="auto"/>
            </w:tcBorders>
          </w:tcPr>
          <w:p w14:paraId="24447485" w14:textId="77777777" w:rsidR="00C7595D" w:rsidRPr="00F017B9" w:rsidRDefault="00C7595D" w:rsidP="00F017B9">
            <w:pPr>
              <w:spacing w:line="360" w:lineRule="auto"/>
              <w:rPr>
                <w:rFonts w:ascii="Times New Roman" w:hAnsi="Times New Roman" w:cs="Times New Roman"/>
                <w:b/>
                <w:sz w:val="24"/>
                <w:szCs w:val="24"/>
                <w:shd w:val="clear" w:color="auto" w:fill="FFFFFF"/>
              </w:rPr>
            </w:pPr>
            <w:r w:rsidRPr="00F017B9">
              <w:rPr>
                <w:rFonts w:ascii="Times New Roman" w:hAnsi="Times New Roman" w:cs="Times New Roman"/>
                <w:b/>
                <w:sz w:val="24"/>
                <w:szCs w:val="24"/>
                <w:shd w:val="clear" w:color="auto" w:fill="FFFFFF"/>
              </w:rPr>
              <w:t>Measures</w:t>
            </w:r>
          </w:p>
        </w:tc>
      </w:tr>
      <w:tr w:rsidR="00DF0678" w:rsidRPr="00F017B9" w14:paraId="1ECF2D90" w14:textId="77777777" w:rsidTr="00E75638">
        <w:trPr>
          <w:trHeight w:val="2337"/>
        </w:trPr>
        <w:tc>
          <w:tcPr>
            <w:tcW w:w="1838" w:type="dxa"/>
            <w:tcBorders>
              <w:top w:val="single" w:sz="4" w:space="0" w:color="auto"/>
              <w:bottom w:val="single" w:sz="4" w:space="0" w:color="auto"/>
            </w:tcBorders>
          </w:tcPr>
          <w:p w14:paraId="61372169" w14:textId="13B1B101"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Connectivity (SC)</w:t>
            </w:r>
          </w:p>
        </w:tc>
        <w:tc>
          <w:tcPr>
            <w:tcW w:w="1148" w:type="dxa"/>
            <w:tcBorders>
              <w:top w:val="single" w:sz="4" w:space="0" w:color="auto"/>
              <w:bottom w:val="single" w:sz="4" w:space="0" w:color="auto"/>
            </w:tcBorders>
          </w:tcPr>
          <w:p w14:paraId="73807086" w14:textId="658ACD11"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1B09AA5D" w14:textId="3A792490"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Fawcett et al. (2011); Brandon-Jones </w:t>
            </w:r>
            <w:r w:rsidR="00DE70BA" w:rsidRPr="00F017B9">
              <w:rPr>
                <w:rFonts w:ascii="Times New Roman" w:hAnsi="Times New Roman" w:cs="Times New Roman"/>
                <w:sz w:val="24"/>
                <w:szCs w:val="24"/>
                <w:shd w:val="clear" w:color="auto" w:fill="FFFFFF"/>
              </w:rPr>
              <w:t>et al. (</w:t>
            </w:r>
            <w:r w:rsidRPr="00F017B9">
              <w:rPr>
                <w:rFonts w:ascii="Times New Roman" w:hAnsi="Times New Roman" w:cs="Times New Roman"/>
                <w:sz w:val="24"/>
                <w:szCs w:val="24"/>
                <w:shd w:val="clear" w:color="auto" w:fill="FFFFFF"/>
              </w:rPr>
              <w:t>2014)</w:t>
            </w:r>
          </w:p>
        </w:tc>
        <w:tc>
          <w:tcPr>
            <w:tcW w:w="5032" w:type="dxa"/>
            <w:tcBorders>
              <w:top w:val="single" w:sz="4" w:space="0" w:color="auto"/>
              <w:bottom w:val="single" w:sz="4" w:space="0" w:color="auto"/>
            </w:tcBorders>
          </w:tcPr>
          <w:p w14:paraId="5CD976DE" w14:textId="4D19DA04"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C7595D" w:rsidRPr="00F017B9">
              <w:rPr>
                <w:rFonts w:ascii="Times New Roman" w:hAnsi="Times New Roman" w:cs="Times New Roman"/>
                <w:sz w:val="24"/>
                <w:szCs w:val="24"/>
                <w:shd w:val="clear" w:color="auto" w:fill="FFFFFF"/>
              </w:rPr>
              <w:t>Current information systems satisfy supply chain communications requirements (SC1).</w:t>
            </w:r>
          </w:p>
          <w:p w14:paraId="1DB20E9F" w14:textId="73CD9A34"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Information applications are highly integrated within the firm and supply chain (SC2).</w:t>
            </w:r>
          </w:p>
          <w:p w14:paraId="52E7B9C9" w14:textId="31A1AA10"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Adequate information systems linkages exist with suppliers and customers (SC3).</w:t>
            </w:r>
          </w:p>
        </w:tc>
      </w:tr>
      <w:tr w:rsidR="00DF0678" w:rsidRPr="00F017B9" w14:paraId="74CD9115" w14:textId="77777777" w:rsidTr="00E75638">
        <w:trPr>
          <w:trHeight w:val="1811"/>
        </w:trPr>
        <w:tc>
          <w:tcPr>
            <w:tcW w:w="1838" w:type="dxa"/>
            <w:tcBorders>
              <w:top w:val="single" w:sz="4" w:space="0" w:color="auto"/>
              <w:bottom w:val="single" w:sz="4" w:space="0" w:color="auto"/>
            </w:tcBorders>
          </w:tcPr>
          <w:p w14:paraId="0D13A31D"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Information Sharing (SCI)</w:t>
            </w:r>
          </w:p>
        </w:tc>
        <w:tc>
          <w:tcPr>
            <w:tcW w:w="1148" w:type="dxa"/>
            <w:tcBorders>
              <w:top w:val="single" w:sz="4" w:space="0" w:color="auto"/>
              <w:bottom w:val="single" w:sz="4" w:space="0" w:color="auto"/>
            </w:tcBorders>
          </w:tcPr>
          <w:p w14:paraId="72A17930" w14:textId="6A7C0B6A"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4565530C" w14:textId="2169CB1A"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Cao and Zhang (2011)</w:t>
            </w:r>
          </w:p>
        </w:tc>
        <w:tc>
          <w:tcPr>
            <w:tcW w:w="5032" w:type="dxa"/>
            <w:tcBorders>
              <w:top w:val="single" w:sz="4" w:space="0" w:color="auto"/>
              <w:bottom w:val="single" w:sz="4" w:space="0" w:color="auto"/>
            </w:tcBorders>
          </w:tcPr>
          <w:p w14:paraId="5B2FC016"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Our organization exchanges with our partners:</w:t>
            </w:r>
          </w:p>
          <w:p w14:paraId="51E8E5D5" w14:textId="2205F451"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Relevant information (SCI1).</w:t>
            </w:r>
          </w:p>
          <w:p w14:paraId="6EC5EE0C" w14:textId="597A8C5C"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Timely information (SCI2).</w:t>
            </w:r>
          </w:p>
          <w:p w14:paraId="3A4A421D" w14:textId="4D678375"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Accurate information (SCI3).</w:t>
            </w:r>
          </w:p>
          <w:p w14:paraId="4DD720D6" w14:textId="172AF7C6"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Complete information (SCI4).</w:t>
            </w:r>
          </w:p>
          <w:p w14:paraId="51138476" w14:textId="6670195B"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Confidential information (SCI5).</w:t>
            </w:r>
          </w:p>
        </w:tc>
      </w:tr>
      <w:tr w:rsidR="00DF0678" w:rsidRPr="00F017B9" w14:paraId="1278CB59" w14:textId="77777777" w:rsidTr="00E75638">
        <w:trPr>
          <w:trHeight w:val="1283"/>
        </w:trPr>
        <w:tc>
          <w:tcPr>
            <w:tcW w:w="1838" w:type="dxa"/>
            <w:tcBorders>
              <w:top w:val="single" w:sz="4" w:space="0" w:color="auto"/>
              <w:bottom w:val="single" w:sz="4" w:space="0" w:color="auto"/>
            </w:tcBorders>
          </w:tcPr>
          <w:p w14:paraId="0D43DA41"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Visibility (SCV)</w:t>
            </w:r>
          </w:p>
        </w:tc>
        <w:tc>
          <w:tcPr>
            <w:tcW w:w="1148" w:type="dxa"/>
            <w:tcBorders>
              <w:top w:val="single" w:sz="4" w:space="0" w:color="auto"/>
              <w:bottom w:val="single" w:sz="4" w:space="0" w:color="auto"/>
            </w:tcBorders>
          </w:tcPr>
          <w:p w14:paraId="6B9F78C6" w14:textId="0D9F287C"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7F189A65" w14:textId="37B310FD"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Braunscheidel and Suresh (2009)</w:t>
            </w:r>
          </w:p>
        </w:tc>
        <w:tc>
          <w:tcPr>
            <w:tcW w:w="5032" w:type="dxa"/>
            <w:tcBorders>
              <w:top w:val="single" w:sz="4" w:space="0" w:color="auto"/>
              <w:bottom w:val="single" w:sz="4" w:space="0" w:color="auto"/>
            </w:tcBorders>
          </w:tcPr>
          <w:p w14:paraId="6DE80A07" w14:textId="75899B43"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Inventory levels are visible through the supply chain (SCV1).</w:t>
            </w:r>
          </w:p>
          <w:p w14:paraId="79D599C3" w14:textId="3B164610" w:rsidR="00C7595D" w:rsidRPr="00F017B9" w:rsidRDefault="00DF0678"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t>
            </w:r>
            <w:r w:rsidR="00C7595D" w:rsidRPr="00F017B9">
              <w:rPr>
                <w:rFonts w:ascii="Times New Roman" w:hAnsi="Times New Roman" w:cs="Times New Roman"/>
                <w:sz w:val="24"/>
                <w:szCs w:val="24"/>
                <w:shd w:val="clear" w:color="auto" w:fill="FFFFFF"/>
              </w:rPr>
              <w:t xml:space="preserve"> Demand levels are visible throughout the supply chain (SCV2).</w:t>
            </w:r>
          </w:p>
        </w:tc>
      </w:tr>
      <w:tr w:rsidR="00DF0678" w:rsidRPr="00F017B9" w14:paraId="5550D4E9" w14:textId="77777777" w:rsidTr="00E75638">
        <w:trPr>
          <w:trHeight w:val="1691"/>
        </w:trPr>
        <w:tc>
          <w:tcPr>
            <w:tcW w:w="1838" w:type="dxa"/>
            <w:tcBorders>
              <w:top w:val="single" w:sz="4" w:space="0" w:color="auto"/>
              <w:bottom w:val="single" w:sz="4" w:space="0" w:color="auto"/>
            </w:tcBorders>
          </w:tcPr>
          <w:p w14:paraId="3F1DD266"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Top management commitment (TMC)</w:t>
            </w:r>
          </w:p>
        </w:tc>
        <w:tc>
          <w:tcPr>
            <w:tcW w:w="1148" w:type="dxa"/>
            <w:tcBorders>
              <w:top w:val="single" w:sz="4" w:space="0" w:color="auto"/>
              <w:bottom w:val="single" w:sz="4" w:space="0" w:color="auto"/>
            </w:tcBorders>
          </w:tcPr>
          <w:p w14:paraId="0F6F6623" w14:textId="467E4605"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761D6E50" w14:textId="5FE92CFA"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Liang et al. (2007)</w:t>
            </w:r>
          </w:p>
        </w:tc>
        <w:tc>
          <w:tcPr>
            <w:tcW w:w="5032" w:type="dxa"/>
            <w:tcBorders>
              <w:top w:val="single" w:sz="4" w:space="0" w:color="auto"/>
              <w:bottom w:val="single" w:sz="4" w:space="0" w:color="auto"/>
            </w:tcBorders>
          </w:tcPr>
          <w:p w14:paraId="36018252" w14:textId="72F15B87" w:rsidR="00DF0678"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Senior management of our organisation:</w:t>
            </w:r>
          </w:p>
          <w:p w14:paraId="621DFC68" w14:textId="226BEA72"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795530" w:rsidRPr="00F017B9">
              <w:rPr>
                <w:rFonts w:ascii="Times New Roman" w:hAnsi="Times New Roman" w:cs="Times New Roman"/>
                <w:sz w:val="24"/>
                <w:szCs w:val="24"/>
                <w:shd w:val="clear" w:color="auto" w:fill="FFFFFF"/>
              </w:rPr>
              <w:t>believe</w:t>
            </w:r>
            <w:r w:rsidRPr="00F017B9">
              <w:rPr>
                <w:rFonts w:ascii="Times New Roman" w:hAnsi="Times New Roman" w:cs="Times New Roman"/>
                <w:sz w:val="24"/>
                <w:szCs w:val="24"/>
                <w:shd w:val="clear" w:color="auto" w:fill="FFFFFF"/>
              </w:rPr>
              <w:t>s</w:t>
            </w:r>
            <w:r w:rsidR="00795530" w:rsidRPr="00F017B9">
              <w:rPr>
                <w:rFonts w:ascii="Times New Roman" w:hAnsi="Times New Roman" w:cs="Times New Roman"/>
                <w:sz w:val="24"/>
                <w:szCs w:val="24"/>
                <w:shd w:val="clear" w:color="auto" w:fill="FFFFFF"/>
              </w:rPr>
              <w:t xml:space="preserve"> that</w:t>
            </w:r>
            <w:r w:rsidR="00C7595D" w:rsidRPr="00F017B9">
              <w:rPr>
                <w:rFonts w:ascii="Times New Roman" w:hAnsi="Times New Roman" w:cs="Times New Roman"/>
                <w:sz w:val="24"/>
                <w:szCs w:val="24"/>
                <w:shd w:val="clear" w:color="auto" w:fill="FFFFFF"/>
              </w:rPr>
              <w:t xml:space="preserve"> </w:t>
            </w:r>
            <w:r w:rsidR="00795530" w:rsidRPr="00F017B9">
              <w:rPr>
                <w:rFonts w:ascii="Times New Roman" w:hAnsi="Times New Roman" w:cs="Times New Roman"/>
                <w:sz w:val="24"/>
                <w:szCs w:val="24"/>
                <w:shd w:val="clear" w:color="auto" w:fill="FFFFFF"/>
              </w:rPr>
              <w:t>creating agility, adaptability and alignment in supply chain will provide significant business benefits to the firm (</w:t>
            </w:r>
            <w:r w:rsidR="00C7595D" w:rsidRPr="00F017B9">
              <w:rPr>
                <w:rFonts w:ascii="Times New Roman" w:hAnsi="Times New Roman" w:cs="Times New Roman"/>
                <w:sz w:val="24"/>
                <w:szCs w:val="24"/>
                <w:shd w:val="clear" w:color="auto" w:fill="FFFFFF"/>
              </w:rPr>
              <w:t>TMC1).</w:t>
            </w:r>
          </w:p>
          <w:p w14:paraId="3368F9AC" w14:textId="75AFA654"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795530" w:rsidRPr="00F017B9">
              <w:rPr>
                <w:rFonts w:ascii="Times New Roman" w:hAnsi="Times New Roman" w:cs="Times New Roman"/>
                <w:sz w:val="24"/>
                <w:szCs w:val="24"/>
                <w:shd w:val="clear" w:color="auto" w:fill="FFFFFF"/>
              </w:rPr>
              <w:t>believe</w:t>
            </w:r>
            <w:r w:rsidRPr="00F017B9">
              <w:rPr>
                <w:rFonts w:ascii="Times New Roman" w:hAnsi="Times New Roman" w:cs="Times New Roman"/>
                <w:sz w:val="24"/>
                <w:szCs w:val="24"/>
                <w:shd w:val="clear" w:color="auto" w:fill="FFFFFF"/>
              </w:rPr>
              <w:t>s</w:t>
            </w:r>
            <w:r w:rsidR="00795530" w:rsidRPr="00F017B9">
              <w:rPr>
                <w:rFonts w:ascii="Times New Roman" w:hAnsi="Times New Roman" w:cs="Times New Roman"/>
                <w:sz w:val="24"/>
                <w:szCs w:val="24"/>
                <w:shd w:val="clear" w:color="auto" w:fill="FFFFFF"/>
              </w:rPr>
              <w:t xml:space="preserve"> that by creating agility, adaptability and alignment in supply chain we may gain competitive edge over our competitors</w:t>
            </w:r>
            <w:r w:rsidR="000A3B55" w:rsidRPr="00F017B9">
              <w:rPr>
                <w:rFonts w:ascii="Times New Roman" w:hAnsi="Times New Roman" w:cs="Times New Roman"/>
                <w:sz w:val="24"/>
                <w:szCs w:val="24"/>
                <w:shd w:val="clear" w:color="auto" w:fill="FFFFFF"/>
              </w:rPr>
              <w:t xml:space="preserve"> </w:t>
            </w:r>
            <w:r w:rsidR="00C7595D" w:rsidRPr="00F017B9">
              <w:rPr>
                <w:rFonts w:ascii="Times New Roman" w:hAnsi="Times New Roman" w:cs="Times New Roman"/>
                <w:sz w:val="24"/>
                <w:szCs w:val="24"/>
                <w:shd w:val="clear" w:color="auto" w:fill="FFFFFF"/>
              </w:rPr>
              <w:t>(TMC2).</w:t>
            </w:r>
          </w:p>
          <w:p w14:paraId="5D3F17CB" w14:textId="0817042F"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795530" w:rsidRPr="00F017B9">
              <w:rPr>
                <w:rFonts w:ascii="Times New Roman" w:hAnsi="Times New Roman" w:cs="Times New Roman"/>
                <w:sz w:val="24"/>
                <w:szCs w:val="24"/>
                <w:shd w:val="clear" w:color="auto" w:fill="FFFFFF"/>
              </w:rPr>
              <w:t>a</w:t>
            </w:r>
            <w:r w:rsidR="00C7595D" w:rsidRPr="00F017B9">
              <w:rPr>
                <w:rFonts w:ascii="Times New Roman" w:hAnsi="Times New Roman" w:cs="Times New Roman"/>
                <w:sz w:val="24"/>
                <w:szCs w:val="24"/>
                <w:shd w:val="clear" w:color="auto" w:fill="FFFFFF"/>
              </w:rPr>
              <w:t xml:space="preserve">rticulates vision for </w:t>
            </w:r>
            <w:r w:rsidR="00795530" w:rsidRPr="00F017B9">
              <w:rPr>
                <w:rFonts w:ascii="Times New Roman" w:hAnsi="Times New Roman" w:cs="Times New Roman"/>
                <w:sz w:val="24"/>
                <w:szCs w:val="24"/>
                <w:shd w:val="clear" w:color="auto" w:fill="FFFFFF"/>
              </w:rPr>
              <w:t>creating agility, adaptability and alignment in supply chain</w:t>
            </w:r>
            <w:r w:rsidR="00C7595D" w:rsidRPr="00F017B9">
              <w:rPr>
                <w:rFonts w:ascii="Times New Roman" w:hAnsi="Times New Roman" w:cs="Times New Roman"/>
                <w:sz w:val="24"/>
                <w:szCs w:val="24"/>
                <w:shd w:val="clear" w:color="auto" w:fill="FFFFFF"/>
              </w:rPr>
              <w:t xml:space="preserve"> (TMC3).</w:t>
            </w:r>
          </w:p>
          <w:p w14:paraId="5880BE8E" w14:textId="64699917"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0630F7" w:rsidRPr="00F017B9">
              <w:rPr>
                <w:rFonts w:ascii="Times New Roman" w:hAnsi="Times New Roman" w:cs="Times New Roman"/>
                <w:sz w:val="24"/>
                <w:szCs w:val="24"/>
                <w:shd w:val="clear" w:color="auto" w:fill="FFFFFF"/>
              </w:rPr>
              <w:t>formulated a strategy for the supply chain (</w:t>
            </w:r>
            <w:r w:rsidR="00C7595D" w:rsidRPr="00F017B9">
              <w:rPr>
                <w:rFonts w:ascii="Times New Roman" w:hAnsi="Times New Roman" w:cs="Times New Roman"/>
                <w:sz w:val="24"/>
                <w:szCs w:val="24"/>
                <w:shd w:val="clear" w:color="auto" w:fill="FFFFFF"/>
              </w:rPr>
              <w:t>TMC4).</w:t>
            </w:r>
          </w:p>
          <w:p w14:paraId="5E1B386F" w14:textId="312E3E98" w:rsidR="00C7595D" w:rsidRPr="00F017B9" w:rsidRDefault="00DF0678" w:rsidP="00F017B9">
            <w:pPr>
              <w:spacing w:line="360" w:lineRule="auto"/>
              <w:jc w:val="both"/>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 xml:space="preserve">- </w:t>
            </w:r>
            <w:r w:rsidR="000630F7" w:rsidRPr="00F017B9">
              <w:rPr>
                <w:rFonts w:ascii="Times New Roman" w:hAnsi="Times New Roman" w:cs="Times New Roman"/>
                <w:sz w:val="24"/>
                <w:szCs w:val="24"/>
                <w:shd w:val="clear" w:color="auto" w:fill="FFFFFF"/>
              </w:rPr>
              <w:t>e</w:t>
            </w:r>
            <w:r w:rsidR="00C7595D" w:rsidRPr="00F017B9">
              <w:rPr>
                <w:rFonts w:ascii="Times New Roman" w:hAnsi="Times New Roman" w:cs="Times New Roman"/>
                <w:sz w:val="24"/>
                <w:szCs w:val="24"/>
                <w:shd w:val="clear" w:color="auto" w:fill="FFFFFF"/>
              </w:rPr>
              <w:t xml:space="preserve">stablished the metrics to monitor supply chain success through </w:t>
            </w:r>
            <w:r w:rsidR="009D2FF9" w:rsidRPr="00F017B9">
              <w:rPr>
                <w:rFonts w:ascii="Times New Roman" w:hAnsi="Times New Roman" w:cs="Times New Roman"/>
                <w:sz w:val="24"/>
                <w:szCs w:val="24"/>
                <w:shd w:val="clear" w:color="auto" w:fill="FFFFFF"/>
              </w:rPr>
              <w:t>creating agility, adaptability and alignment in the supply chain (TMC5).</w:t>
            </w:r>
          </w:p>
        </w:tc>
      </w:tr>
      <w:tr w:rsidR="00DF0678" w:rsidRPr="00F017B9" w14:paraId="3EA10271" w14:textId="77777777" w:rsidTr="00E75638">
        <w:trPr>
          <w:trHeight w:val="1794"/>
        </w:trPr>
        <w:tc>
          <w:tcPr>
            <w:tcW w:w="1838" w:type="dxa"/>
            <w:tcBorders>
              <w:top w:val="single" w:sz="4" w:space="0" w:color="auto"/>
              <w:bottom w:val="single" w:sz="4" w:space="0" w:color="auto"/>
            </w:tcBorders>
          </w:tcPr>
          <w:p w14:paraId="1904DFA4"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Agility (SCAG)</w:t>
            </w:r>
          </w:p>
        </w:tc>
        <w:tc>
          <w:tcPr>
            <w:tcW w:w="1148" w:type="dxa"/>
            <w:tcBorders>
              <w:top w:val="single" w:sz="4" w:space="0" w:color="auto"/>
              <w:bottom w:val="single" w:sz="4" w:space="0" w:color="auto"/>
            </w:tcBorders>
          </w:tcPr>
          <w:p w14:paraId="146C2565" w14:textId="6AD83882" w:rsidR="00C7595D" w:rsidRPr="00F017B9" w:rsidRDefault="00544225"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6B0446C1" w14:textId="3FAE1519"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Whitten et al. (2012)</w:t>
            </w:r>
          </w:p>
        </w:tc>
        <w:tc>
          <w:tcPr>
            <w:tcW w:w="5032" w:type="dxa"/>
            <w:tcBorders>
              <w:top w:val="single" w:sz="4" w:space="0" w:color="auto"/>
              <w:bottom w:val="single" w:sz="4" w:space="0" w:color="auto"/>
            </w:tcBorders>
          </w:tcPr>
          <w:p w14:paraId="1E1B5273" w14:textId="37753CB3" w:rsidR="00C7595D" w:rsidRPr="00F017B9" w:rsidRDefault="00C7595D"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 xml:space="preserve">The </w:t>
            </w:r>
            <w:r w:rsidR="00D309D5" w:rsidRPr="00F017B9">
              <w:rPr>
                <w:rFonts w:ascii="Times New Roman" w:hAnsi="Times New Roman" w:cs="Times New Roman"/>
                <w:sz w:val="24"/>
                <w:szCs w:val="24"/>
              </w:rPr>
              <w:t>organisation:</w:t>
            </w:r>
          </w:p>
          <w:p w14:paraId="1936D4D4" w14:textId="56240A6F"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Works hard to promote the ﬂow of information with its suppliers and customers (SCAG1).</w:t>
            </w:r>
          </w:p>
          <w:p w14:paraId="678F94B1" w14:textId="3FB12D86"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Works hard to develop collaborative relationships with suppliers (SCAG2).</w:t>
            </w:r>
          </w:p>
          <w:p w14:paraId="0A4835AD" w14:textId="0B2C486C"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Designs for postponement.</w:t>
            </w:r>
          </w:p>
          <w:p w14:paraId="0F3FEC7E" w14:textId="3CE30970"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Builds inventory buffers by maintaining a stockpile of inexpensive but key components (SCAG3).</w:t>
            </w:r>
          </w:p>
          <w:p w14:paraId="22604B8F" w14:textId="6CEDDBFC"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Has a dependable logistics system or partner (SCAG4).</w:t>
            </w:r>
          </w:p>
          <w:p w14:paraId="633F5FC0" w14:textId="7C1D4BA1"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Draws up contingency plans and develops crisis management teams (SCAG5).</w:t>
            </w:r>
          </w:p>
          <w:p w14:paraId="11492870" w14:textId="77777777" w:rsidR="00C7595D" w:rsidRPr="00F017B9" w:rsidRDefault="00C7595D" w:rsidP="00F017B9">
            <w:pPr>
              <w:spacing w:line="360" w:lineRule="auto"/>
              <w:rPr>
                <w:rFonts w:ascii="Times New Roman" w:hAnsi="Times New Roman" w:cs="Times New Roman"/>
                <w:sz w:val="24"/>
                <w:szCs w:val="24"/>
                <w:shd w:val="clear" w:color="auto" w:fill="FFFFFF"/>
              </w:rPr>
            </w:pPr>
          </w:p>
        </w:tc>
      </w:tr>
      <w:tr w:rsidR="00DF0678" w:rsidRPr="00F017B9" w14:paraId="6395B64A" w14:textId="77777777" w:rsidTr="00E75638">
        <w:trPr>
          <w:trHeight w:val="5873"/>
        </w:trPr>
        <w:tc>
          <w:tcPr>
            <w:tcW w:w="1838" w:type="dxa"/>
            <w:tcBorders>
              <w:top w:val="single" w:sz="4" w:space="0" w:color="auto"/>
              <w:bottom w:val="single" w:sz="4" w:space="0" w:color="auto"/>
            </w:tcBorders>
          </w:tcPr>
          <w:p w14:paraId="41E773E8" w14:textId="67AD6546"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Adaptability (SCA)</w:t>
            </w:r>
          </w:p>
        </w:tc>
        <w:tc>
          <w:tcPr>
            <w:tcW w:w="1148" w:type="dxa"/>
            <w:tcBorders>
              <w:top w:val="single" w:sz="4" w:space="0" w:color="auto"/>
              <w:bottom w:val="single" w:sz="4" w:space="0" w:color="auto"/>
            </w:tcBorders>
          </w:tcPr>
          <w:p w14:paraId="1147ED22" w14:textId="69B2A18A" w:rsidR="00C7595D" w:rsidRPr="00F017B9" w:rsidRDefault="00544225"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6756505D" w14:textId="13E347D8"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Whitten et al. (2012)</w:t>
            </w:r>
          </w:p>
        </w:tc>
        <w:tc>
          <w:tcPr>
            <w:tcW w:w="5032" w:type="dxa"/>
            <w:tcBorders>
              <w:top w:val="single" w:sz="4" w:space="0" w:color="auto"/>
              <w:bottom w:val="single" w:sz="4" w:space="0" w:color="auto"/>
            </w:tcBorders>
          </w:tcPr>
          <w:p w14:paraId="7555EBC1" w14:textId="77777777" w:rsidR="00C7595D" w:rsidRPr="00F017B9" w:rsidRDefault="00C7595D"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The organization:</w:t>
            </w:r>
          </w:p>
          <w:p w14:paraId="7C42417F" w14:textId="0AEB4DB6"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Monitors economies all over the world to spot new supply bases and markets (SCA1).</w:t>
            </w:r>
          </w:p>
          <w:p w14:paraId="14D7A50B" w14:textId="2656F5F6"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Use</w:t>
            </w:r>
            <w:r w:rsidRPr="00F017B9">
              <w:rPr>
                <w:rFonts w:ascii="Times New Roman" w:hAnsi="Times New Roman" w:cs="Times New Roman"/>
                <w:sz w:val="24"/>
                <w:szCs w:val="24"/>
              </w:rPr>
              <w:t>s</w:t>
            </w:r>
            <w:r w:rsidR="00C7595D" w:rsidRPr="00F017B9">
              <w:rPr>
                <w:rFonts w:ascii="Times New Roman" w:hAnsi="Times New Roman" w:cs="Times New Roman"/>
                <w:sz w:val="24"/>
                <w:szCs w:val="24"/>
              </w:rPr>
              <w:t xml:space="preserve"> intermediaries to develop fresh suppliers and logistics infrastructure (SCA2).</w:t>
            </w:r>
          </w:p>
          <w:p w14:paraId="2FE34CDF" w14:textId="71269B48"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Evaluates needs of ultimate consumers – not just immediate customers (SCA3).</w:t>
            </w:r>
          </w:p>
          <w:p w14:paraId="3E08D17E" w14:textId="71201A7B"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Creates ﬂexible product designs (SCA4).</w:t>
            </w:r>
          </w:p>
          <w:p w14:paraId="73599760" w14:textId="2FCB76AA"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Determines where </w:t>
            </w:r>
            <w:r w:rsidR="00C50F2C">
              <w:rPr>
                <w:rFonts w:ascii="Times New Roman" w:hAnsi="Times New Roman" w:cs="Times New Roman"/>
                <w:sz w:val="24"/>
                <w:szCs w:val="24"/>
              </w:rPr>
              <w:t xml:space="preserve">the </w:t>
            </w:r>
            <w:r w:rsidR="00C7595D" w:rsidRPr="00F017B9">
              <w:rPr>
                <w:rFonts w:ascii="Times New Roman" w:hAnsi="Times New Roman" w:cs="Times New Roman"/>
                <w:sz w:val="24"/>
                <w:szCs w:val="24"/>
              </w:rPr>
              <w:t>compan</w:t>
            </w:r>
            <w:r w:rsidR="00C50F2C">
              <w:rPr>
                <w:rFonts w:ascii="Times New Roman" w:hAnsi="Times New Roman" w:cs="Times New Roman"/>
                <w:sz w:val="24"/>
                <w:szCs w:val="24"/>
              </w:rPr>
              <w:t>y’</w:t>
            </w:r>
            <w:r w:rsidR="00C7595D" w:rsidRPr="00F017B9">
              <w:rPr>
                <w:rFonts w:ascii="Times New Roman" w:hAnsi="Times New Roman" w:cs="Times New Roman"/>
                <w:sz w:val="24"/>
                <w:szCs w:val="24"/>
              </w:rPr>
              <w:t>s products stand in terms of technology cycles and product life cycles (SCA5).</w:t>
            </w:r>
          </w:p>
          <w:p w14:paraId="4F113E74" w14:textId="77777777" w:rsidR="00C7595D" w:rsidRPr="00F017B9" w:rsidRDefault="00C7595D" w:rsidP="00F017B9">
            <w:pPr>
              <w:spacing w:line="360" w:lineRule="auto"/>
              <w:rPr>
                <w:rFonts w:ascii="Times New Roman" w:hAnsi="Times New Roman" w:cs="Times New Roman"/>
                <w:sz w:val="24"/>
                <w:szCs w:val="24"/>
                <w:shd w:val="clear" w:color="auto" w:fill="FFFFFF"/>
              </w:rPr>
            </w:pPr>
          </w:p>
        </w:tc>
      </w:tr>
      <w:tr w:rsidR="00DF0678" w:rsidRPr="00F017B9" w14:paraId="3CE7CD61" w14:textId="77777777" w:rsidTr="00E75638">
        <w:trPr>
          <w:trHeight w:val="2848"/>
        </w:trPr>
        <w:tc>
          <w:tcPr>
            <w:tcW w:w="1838" w:type="dxa"/>
            <w:tcBorders>
              <w:top w:val="single" w:sz="4" w:space="0" w:color="auto"/>
              <w:bottom w:val="single" w:sz="4" w:space="0" w:color="auto"/>
            </w:tcBorders>
          </w:tcPr>
          <w:p w14:paraId="017F2009" w14:textId="63882236"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Supply Chain Alignment (SCAL)</w:t>
            </w:r>
          </w:p>
        </w:tc>
        <w:tc>
          <w:tcPr>
            <w:tcW w:w="1148" w:type="dxa"/>
            <w:tcBorders>
              <w:top w:val="single" w:sz="4" w:space="0" w:color="auto"/>
              <w:bottom w:val="single" w:sz="4" w:space="0" w:color="auto"/>
            </w:tcBorders>
          </w:tcPr>
          <w:p w14:paraId="13570945" w14:textId="0AD490F0" w:rsidR="00C7595D" w:rsidRPr="00F017B9" w:rsidRDefault="00544225"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Reflective</w:t>
            </w:r>
          </w:p>
        </w:tc>
        <w:tc>
          <w:tcPr>
            <w:tcW w:w="1829" w:type="dxa"/>
            <w:tcBorders>
              <w:top w:val="single" w:sz="4" w:space="0" w:color="auto"/>
              <w:bottom w:val="single" w:sz="4" w:space="0" w:color="auto"/>
            </w:tcBorders>
          </w:tcPr>
          <w:p w14:paraId="04FCA302" w14:textId="0F60E5A8"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Whitten et al. (2012)</w:t>
            </w:r>
          </w:p>
        </w:tc>
        <w:tc>
          <w:tcPr>
            <w:tcW w:w="5032" w:type="dxa"/>
            <w:tcBorders>
              <w:top w:val="single" w:sz="4" w:space="0" w:color="auto"/>
              <w:bottom w:val="single" w:sz="4" w:space="0" w:color="auto"/>
            </w:tcBorders>
            <w:vAlign w:val="center"/>
          </w:tcPr>
          <w:p w14:paraId="6B063DDF" w14:textId="77777777" w:rsidR="00C7595D" w:rsidRPr="00F017B9" w:rsidRDefault="00C7595D"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The organization:</w:t>
            </w:r>
          </w:p>
          <w:p w14:paraId="6980778C" w14:textId="088B564A"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Exchanges information and knowledge freely with vendors and customers (SCAL1).</w:t>
            </w:r>
          </w:p>
          <w:p w14:paraId="0077273B" w14:textId="647A012A"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Lays down roles, tasks, and responsibilities clearly for suppliers and customers (SCAL2).</w:t>
            </w:r>
          </w:p>
          <w:p w14:paraId="7628AF16" w14:textId="378B8F83" w:rsidR="00C7595D" w:rsidRPr="00F017B9" w:rsidRDefault="00DF0678" w:rsidP="00F017B9">
            <w:pPr>
              <w:spacing w:line="360" w:lineRule="auto"/>
              <w:jc w:val="both"/>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Equitably shares risks, costs, and gains of improvement initiatives (SCAL3).</w:t>
            </w:r>
          </w:p>
          <w:p w14:paraId="11D1E917" w14:textId="77777777" w:rsidR="00C7595D" w:rsidRPr="00F017B9" w:rsidRDefault="00C7595D" w:rsidP="00F017B9">
            <w:pPr>
              <w:spacing w:line="360" w:lineRule="auto"/>
              <w:rPr>
                <w:rFonts w:ascii="Times New Roman" w:hAnsi="Times New Roman" w:cs="Times New Roman"/>
                <w:sz w:val="24"/>
                <w:szCs w:val="24"/>
                <w:shd w:val="clear" w:color="auto" w:fill="FFFFFF"/>
              </w:rPr>
            </w:pPr>
          </w:p>
        </w:tc>
      </w:tr>
      <w:tr w:rsidR="00DF0678" w:rsidRPr="00F017B9" w14:paraId="679A403E" w14:textId="77777777" w:rsidTr="00E75638">
        <w:trPr>
          <w:trHeight w:val="2832"/>
        </w:trPr>
        <w:tc>
          <w:tcPr>
            <w:tcW w:w="1838" w:type="dxa"/>
            <w:tcBorders>
              <w:top w:val="single" w:sz="4" w:space="0" w:color="auto"/>
              <w:bottom w:val="single" w:sz="4" w:space="0" w:color="auto"/>
            </w:tcBorders>
          </w:tcPr>
          <w:p w14:paraId="23BEDAA8" w14:textId="77777777"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Industry Dynamism</w:t>
            </w:r>
          </w:p>
        </w:tc>
        <w:tc>
          <w:tcPr>
            <w:tcW w:w="1148" w:type="dxa"/>
            <w:tcBorders>
              <w:top w:val="single" w:sz="4" w:space="0" w:color="auto"/>
              <w:bottom w:val="single" w:sz="4" w:space="0" w:color="auto"/>
            </w:tcBorders>
          </w:tcPr>
          <w:p w14:paraId="04DAC5FA" w14:textId="77777777" w:rsidR="00C7595D" w:rsidRPr="00F017B9" w:rsidRDefault="00C7595D" w:rsidP="00F017B9">
            <w:pPr>
              <w:spacing w:line="360" w:lineRule="auto"/>
              <w:rPr>
                <w:rFonts w:ascii="Times New Roman" w:hAnsi="Times New Roman" w:cs="Times New Roman"/>
                <w:sz w:val="24"/>
                <w:szCs w:val="24"/>
                <w:shd w:val="clear" w:color="auto" w:fill="FFFFFF"/>
              </w:rPr>
            </w:pPr>
          </w:p>
        </w:tc>
        <w:tc>
          <w:tcPr>
            <w:tcW w:w="1829" w:type="dxa"/>
            <w:tcBorders>
              <w:top w:val="single" w:sz="4" w:space="0" w:color="auto"/>
              <w:bottom w:val="single" w:sz="4" w:space="0" w:color="auto"/>
            </w:tcBorders>
          </w:tcPr>
          <w:p w14:paraId="6BD71F64" w14:textId="0D0B4821" w:rsidR="00C7595D" w:rsidRPr="00F017B9" w:rsidRDefault="00C7595D" w:rsidP="00F017B9">
            <w:pPr>
              <w:spacing w:line="360" w:lineRule="auto"/>
              <w:rPr>
                <w:rFonts w:ascii="Times New Roman" w:hAnsi="Times New Roman" w:cs="Times New Roman"/>
                <w:sz w:val="24"/>
                <w:szCs w:val="24"/>
                <w:shd w:val="clear" w:color="auto" w:fill="FFFFFF"/>
              </w:rPr>
            </w:pPr>
            <w:r w:rsidRPr="00F017B9">
              <w:rPr>
                <w:rFonts w:ascii="Times New Roman" w:hAnsi="Times New Roman" w:cs="Times New Roman"/>
                <w:sz w:val="24"/>
                <w:szCs w:val="24"/>
                <w:shd w:val="clear" w:color="auto" w:fill="FFFFFF"/>
              </w:rPr>
              <w:t>Brandon-Jones et al. (2014) (c.f. Wagner and Neshat, 2012)</w:t>
            </w:r>
          </w:p>
        </w:tc>
        <w:tc>
          <w:tcPr>
            <w:tcW w:w="5032" w:type="dxa"/>
            <w:tcBorders>
              <w:top w:val="single" w:sz="4" w:space="0" w:color="auto"/>
              <w:bottom w:val="single" w:sz="4" w:space="0" w:color="auto"/>
            </w:tcBorders>
            <w:vAlign w:val="center"/>
          </w:tcPr>
          <w:p w14:paraId="36DC40A8" w14:textId="1A4D31EF"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w:t>
            </w:r>
            <w:r w:rsidRPr="00F017B9">
              <w:rPr>
                <w:rFonts w:ascii="Times New Roman" w:hAnsi="Times New Roman" w:cs="Times New Roman"/>
                <w:sz w:val="24"/>
                <w:szCs w:val="24"/>
              </w:rPr>
              <w:t>R</w:t>
            </w:r>
            <w:r w:rsidR="00C7595D" w:rsidRPr="00F017B9">
              <w:rPr>
                <w:rFonts w:ascii="Times New Roman" w:hAnsi="Times New Roman" w:cs="Times New Roman"/>
                <w:sz w:val="24"/>
                <w:szCs w:val="24"/>
              </w:rPr>
              <w:t>ate at which products become outdated (ID1).</w:t>
            </w:r>
          </w:p>
          <w:p w14:paraId="3AA9344A" w14:textId="1E816263"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Rate of introduction of new products (ID2).</w:t>
            </w:r>
          </w:p>
          <w:p w14:paraId="0847CAC3" w14:textId="24986AD1"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Rate of introduction of new operating processes (ID3).</w:t>
            </w:r>
          </w:p>
          <w:p w14:paraId="453A4014" w14:textId="5C7FF82C"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Rate of change in </w:t>
            </w:r>
            <w:r w:rsidR="00544225" w:rsidRPr="00F017B9">
              <w:rPr>
                <w:rFonts w:ascii="Times New Roman" w:hAnsi="Times New Roman" w:cs="Times New Roman"/>
                <w:sz w:val="24"/>
                <w:szCs w:val="24"/>
              </w:rPr>
              <w:t>customer’s</w:t>
            </w:r>
            <w:r w:rsidR="00C7595D" w:rsidRPr="00F017B9">
              <w:rPr>
                <w:rFonts w:ascii="Times New Roman" w:hAnsi="Times New Roman" w:cs="Times New Roman"/>
                <w:sz w:val="24"/>
                <w:szCs w:val="24"/>
              </w:rPr>
              <w:t xml:space="preserve"> preferences (ID4).</w:t>
            </w:r>
          </w:p>
          <w:p w14:paraId="66B923AB" w14:textId="34609AE8" w:rsidR="00C7595D" w:rsidRPr="00F017B9" w:rsidRDefault="00DF0678" w:rsidP="00F017B9">
            <w:pPr>
              <w:spacing w:line="360" w:lineRule="auto"/>
              <w:rPr>
                <w:rFonts w:ascii="Times New Roman" w:hAnsi="Times New Roman" w:cs="Times New Roman"/>
                <w:sz w:val="24"/>
                <w:szCs w:val="24"/>
              </w:rPr>
            </w:pPr>
            <w:r w:rsidRPr="00F017B9">
              <w:rPr>
                <w:rFonts w:ascii="Times New Roman" w:hAnsi="Times New Roman" w:cs="Times New Roman"/>
                <w:sz w:val="24"/>
                <w:szCs w:val="24"/>
              </w:rPr>
              <w:t>-</w:t>
            </w:r>
            <w:r w:rsidR="00C7595D" w:rsidRPr="00F017B9">
              <w:rPr>
                <w:rFonts w:ascii="Times New Roman" w:hAnsi="Times New Roman" w:cs="Times New Roman"/>
                <w:sz w:val="24"/>
                <w:szCs w:val="24"/>
              </w:rPr>
              <w:t xml:space="preserve"> Rate of research and development in the organization (ID5).</w:t>
            </w:r>
          </w:p>
        </w:tc>
      </w:tr>
    </w:tbl>
    <w:p w14:paraId="6986567B" w14:textId="77777777" w:rsidR="00CA13A2" w:rsidRDefault="00CA13A2" w:rsidP="00654B52">
      <w:pPr>
        <w:spacing w:line="480" w:lineRule="auto"/>
        <w:rPr>
          <w:rFonts w:ascii="Garamond" w:hAnsi="Garamond" w:cs="Times New Roman"/>
          <w:b/>
          <w:i/>
          <w:sz w:val="24"/>
          <w:szCs w:val="24"/>
          <w:shd w:val="clear" w:color="auto" w:fill="FFFFFF"/>
        </w:rPr>
      </w:pPr>
    </w:p>
    <w:p w14:paraId="38E1FDD6" w14:textId="77777777" w:rsidR="00630EC3" w:rsidRDefault="00630EC3" w:rsidP="00B77637">
      <w:pPr>
        <w:spacing w:after="120" w:line="480" w:lineRule="auto"/>
        <w:rPr>
          <w:rFonts w:ascii="Garamond" w:hAnsi="Garamond" w:cs="Times New Roman"/>
          <w:b/>
          <w:i/>
          <w:sz w:val="24"/>
          <w:szCs w:val="24"/>
          <w:shd w:val="clear" w:color="auto" w:fill="FFFFFF"/>
        </w:rPr>
      </w:pPr>
    </w:p>
    <w:p w14:paraId="3BE046B8" w14:textId="77777777" w:rsidR="00630EC3" w:rsidRDefault="00630EC3" w:rsidP="00B77637">
      <w:pPr>
        <w:spacing w:after="120" w:line="480" w:lineRule="auto"/>
        <w:rPr>
          <w:rFonts w:ascii="Garamond" w:hAnsi="Garamond" w:cs="Times New Roman"/>
          <w:b/>
          <w:i/>
          <w:sz w:val="24"/>
          <w:szCs w:val="24"/>
          <w:shd w:val="clear" w:color="auto" w:fill="FFFFFF"/>
        </w:rPr>
      </w:pPr>
    </w:p>
    <w:p w14:paraId="39B0FDB8" w14:textId="04A15255" w:rsidR="00907F8D" w:rsidRPr="00630EC3" w:rsidRDefault="00F37F88" w:rsidP="00B77637">
      <w:pPr>
        <w:spacing w:after="120" w:line="480" w:lineRule="auto"/>
        <w:rPr>
          <w:rFonts w:ascii="Times New Roman" w:hAnsi="Times New Roman" w:cs="Times New Roman"/>
          <w:b/>
          <w:i/>
          <w:sz w:val="24"/>
          <w:szCs w:val="24"/>
          <w:shd w:val="clear" w:color="auto" w:fill="FFFFFF"/>
        </w:rPr>
      </w:pPr>
      <w:r w:rsidRPr="00630EC3">
        <w:rPr>
          <w:rFonts w:ascii="Times New Roman" w:hAnsi="Times New Roman" w:cs="Times New Roman"/>
          <w:b/>
          <w:i/>
          <w:sz w:val="24"/>
          <w:szCs w:val="24"/>
          <w:shd w:val="clear" w:color="auto" w:fill="FFFFFF"/>
        </w:rPr>
        <w:t xml:space="preserve">3.2 </w:t>
      </w:r>
      <w:r w:rsidR="00FD569A" w:rsidRPr="00630EC3">
        <w:rPr>
          <w:rFonts w:ascii="Times New Roman" w:hAnsi="Times New Roman" w:cs="Times New Roman"/>
          <w:b/>
          <w:i/>
          <w:sz w:val="24"/>
          <w:szCs w:val="24"/>
          <w:shd w:val="clear" w:color="auto" w:fill="FFFFFF"/>
        </w:rPr>
        <w:t>Data Collection</w:t>
      </w:r>
    </w:p>
    <w:p w14:paraId="4560BBA2" w14:textId="6B9C3627" w:rsidR="000172E4" w:rsidRPr="00630EC3" w:rsidRDefault="00BA4A26" w:rsidP="00B77637">
      <w:pPr>
        <w:spacing w:after="120" w:line="480" w:lineRule="auto"/>
        <w:jc w:val="both"/>
        <w:rPr>
          <w:rFonts w:ascii="Times New Roman" w:hAnsi="Times New Roman" w:cs="Times New Roman"/>
          <w:sz w:val="24"/>
          <w:szCs w:val="24"/>
          <w:shd w:val="clear" w:color="auto" w:fill="FFFFFF"/>
        </w:rPr>
      </w:pPr>
      <w:r w:rsidRPr="00630EC3">
        <w:rPr>
          <w:rFonts w:ascii="Times New Roman" w:hAnsi="Times New Roman" w:cs="Times New Roman"/>
          <w:sz w:val="24"/>
          <w:szCs w:val="24"/>
          <w:shd w:val="clear" w:color="auto" w:fill="FFFFFF"/>
        </w:rPr>
        <w:t xml:space="preserve">We </w:t>
      </w:r>
      <w:r w:rsidR="002834C8" w:rsidRPr="00630EC3">
        <w:rPr>
          <w:rFonts w:ascii="Times New Roman" w:hAnsi="Times New Roman" w:cs="Times New Roman"/>
          <w:sz w:val="24"/>
          <w:szCs w:val="24"/>
          <w:shd w:val="clear" w:color="auto" w:fill="FFFFFF"/>
        </w:rPr>
        <w:t>used</w:t>
      </w:r>
      <w:r w:rsidRPr="00630EC3">
        <w:rPr>
          <w:rFonts w:ascii="Times New Roman" w:hAnsi="Times New Roman" w:cs="Times New Roman"/>
          <w:sz w:val="24"/>
          <w:szCs w:val="24"/>
          <w:shd w:val="clear" w:color="auto" w:fill="FFFFFF"/>
        </w:rPr>
        <w:t xml:space="preserve"> a cross-sectional electronic survey of a sample of Indian </w:t>
      </w:r>
      <w:r w:rsidR="00DF6B77" w:rsidRPr="00630EC3">
        <w:rPr>
          <w:rFonts w:ascii="Times New Roman" w:hAnsi="Times New Roman" w:cs="Times New Roman"/>
          <w:sz w:val="24"/>
          <w:szCs w:val="24"/>
          <w:shd w:val="clear" w:color="auto" w:fill="FFFFFF"/>
        </w:rPr>
        <w:t xml:space="preserve">auto component </w:t>
      </w:r>
      <w:r w:rsidRPr="00630EC3">
        <w:rPr>
          <w:rFonts w:ascii="Times New Roman" w:hAnsi="Times New Roman" w:cs="Times New Roman"/>
          <w:sz w:val="24"/>
          <w:szCs w:val="24"/>
          <w:shd w:val="clear" w:color="auto" w:fill="FFFFFF"/>
        </w:rPr>
        <w:t xml:space="preserve">manufacturing companies drawn from the </w:t>
      </w:r>
      <w:r w:rsidR="00587122" w:rsidRPr="00630EC3">
        <w:rPr>
          <w:rFonts w:ascii="Times New Roman" w:hAnsi="Times New Roman" w:cs="Times New Roman"/>
          <w:sz w:val="24"/>
          <w:szCs w:val="24"/>
          <w:shd w:val="clear" w:color="auto" w:fill="FFFFFF"/>
        </w:rPr>
        <w:t xml:space="preserve">ACMA </w:t>
      </w:r>
      <w:r w:rsidRPr="00630EC3">
        <w:rPr>
          <w:rFonts w:ascii="Times New Roman" w:hAnsi="Times New Roman" w:cs="Times New Roman"/>
          <w:sz w:val="24"/>
          <w:szCs w:val="24"/>
          <w:shd w:val="clear" w:color="auto" w:fill="FFFFFF"/>
        </w:rPr>
        <w:t>directory</w:t>
      </w:r>
      <w:r w:rsidR="00DF6B77" w:rsidRPr="00630EC3">
        <w:rPr>
          <w:rFonts w:ascii="Times New Roman" w:hAnsi="Times New Roman" w:cs="Times New Roman"/>
          <w:sz w:val="24"/>
          <w:szCs w:val="24"/>
          <w:shd w:val="clear" w:color="auto" w:fill="FFFFFF"/>
        </w:rPr>
        <w:t>.</w:t>
      </w:r>
      <w:r w:rsidR="00624E3B" w:rsidRPr="00630EC3">
        <w:rPr>
          <w:rFonts w:ascii="Times New Roman" w:hAnsi="Times New Roman" w:cs="Times New Roman"/>
          <w:sz w:val="24"/>
          <w:szCs w:val="24"/>
          <w:shd w:val="clear" w:color="auto" w:fill="FFFFFF"/>
        </w:rPr>
        <w:t xml:space="preserve"> This unit of analysis employed in the study</w:t>
      </w:r>
      <w:r w:rsidR="008C2EB5" w:rsidRPr="00630EC3">
        <w:rPr>
          <w:rFonts w:ascii="Times New Roman" w:hAnsi="Times New Roman" w:cs="Times New Roman"/>
          <w:sz w:val="24"/>
          <w:szCs w:val="24"/>
          <w:shd w:val="clear" w:color="auto" w:fill="FFFFFF"/>
        </w:rPr>
        <w:t xml:space="preserve"> was</w:t>
      </w:r>
      <w:r w:rsidR="00624E3B" w:rsidRPr="00630EC3">
        <w:rPr>
          <w:rFonts w:ascii="Times New Roman" w:hAnsi="Times New Roman" w:cs="Times New Roman"/>
          <w:sz w:val="24"/>
          <w:szCs w:val="24"/>
          <w:shd w:val="clear" w:color="auto" w:fill="FFFFFF"/>
        </w:rPr>
        <w:t xml:space="preserve"> at the level of manufacturing and its constituent upstream suppliers.</w:t>
      </w:r>
      <w:r w:rsidR="00E132F2" w:rsidRPr="00630EC3">
        <w:rPr>
          <w:rFonts w:ascii="Times New Roman" w:hAnsi="Times New Roman" w:cs="Times New Roman"/>
          <w:sz w:val="24"/>
          <w:szCs w:val="24"/>
          <w:shd w:val="clear" w:color="auto" w:fill="FFFFFF"/>
        </w:rPr>
        <w:t xml:space="preserve"> Prior research has indicated that this unit of analysis </w:t>
      </w:r>
      <w:r w:rsidR="008C2EB5" w:rsidRPr="00630EC3">
        <w:rPr>
          <w:rFonts w:ascii="Times New Roman" w:hAnsi="Times New Roman" w:cs="Times New Roman"/>
          <w:sz w:val="24"/>
          <w:szCs w:val="24"/>
          <w:shd w:val="clear" w:color="auto" w:fill="FFFFFF"/>
        </w:rPr>
        <w:t xml:space="preserve">provides </w:t>
      </w:r>
      <w:r w:rsidR="00E132F2" w:rsidRPr="00630EC3">
        <w:rPr>
          <w:rFonts w:ascii="Times New Roman" w:hAnsi="Times New Roman" w:cs="Times New Roman"/>
          <w:sz w:val="24"/>
          <w:szCs w:val="24"/>
          <w:shd w:val="clear" w:color="auto" w:fill="FFFFFF"/>
        </w:rPr>
        <w:t xml:space="preserve">a detailed understanding of how supply chain design affects performance (Roy et al. 2004). </w:t>
      </w:r>
      <w:r w:rsidR="006919AB" w:rsidRPr="00630EC3">
        <w:rPr>
          <w:rFonts w:ascii="Times New Roman" w:hAnsi="Times New Roman" w:cs="Times New Roman"/>
          <w:sz w:val="24"/>
          <w:szCs w:val="24"/>
          <w:shd w:val="clear" w:color="auto" w:fill="FFFFFF"/>
        </w:rPr>
        <w:t>T</w:t>
      </w:r>
      <w:r w:rsidR="00587122" w:rsidRPr="00630EC3">
        <w:rPr>
          <w:rFonts w:ascii="Times New Roman" w:hAnsi="Times New Roman" w:cs="Times New Roman"/>
          <w:sz w:val="24"/>
          <w:szCs w:val="24"/>
          <w:shd w:val="clear" w:color="auto" w:fill="FFFFFF"/>
        </w:rPr>
        <w:t>he initial sample consist</w:t>
      </w:r>
      <w:r w:rsidR="008C2EB5" w:rsidRPr="00630EC3">
        <w:rPr>
          <w:rFonts w:ascii="Times New Roman" w:hAnsi="Times New Roman" w:cs="Times New Roman"/>
          <w:sz w:val="24"/>
          <w:szCs w:val="24"/>
          <w:shd w:val="clear" w:color="auto" w:fill="FFFFFF"/>
        </w:rPr>
        <w:t>ing</w:t>
      </w:r>
      <w:r w:rsidR="00587122" w:rsidRPr="00630EC3">
        <w:rPr>
          <w:rFonts w:ascii="Times New Roman" w:hAnsi="Times New Roman" w:cs="Times New Roman"/>
          <w:sz w:val="24"/>
          <w:szCs w:val="24"/>
          <w:shd w:val="clear" w:color="auto" w:fill="FFFFFF"/>
        </w:rPr>
        <w:t xml:space="preserve"> of 970 firms was</w:t>
      </w:r>
      <w:r w:rsidR="00DD7763" w:rsidRPr="00630EC3">
        <w:rPr>
          <w:rFonts w:ascii="Times New Roman" w:hAnsi="Times New Roman" w:cs="Times New Roman"/>
          <w:sz w:val="24"/>
          <w:szCs w:val="24"/>
          <w:shd w:val="clear" w:color="auto" w:fill="FFFFFF"/>
        </w:rPr>
        <w:t xml:space="preserve"> </w:t>
      </w:r>
      <w:r w:rsidR="00587122" w:rsidRPr="00630EC3">
        <w:rPr>
          <w:rFonts w:ascii="Times New Roman" w:hAnsi="Times New Roman" w:cs="Times New Roman"/>
          <w:sz w:val="24"/>
          <w:szCs w:val="24"/>
          <w:shd w:val="clear" w:color="auto" w:fill="FFFFFF"/>
        </w:rPr>
        <w:t xml:space="preserve">compiled and validated </w:t>
      </w:r>
      <w:r w:rsidR="000172E4" w:rsidRPr="00630EC3">
        <w:rPr>
          <w:rFonts w:ascii="Times New Roman" w:hAnsi="Times New Roman" w:cs="Times New Roman"/>
          <w:sz w:val="24"/>
          <w:szCs w:val="24"/>
          <w:shd w:val="clear" w:color="auto" w:fill="FFFFFF"/>
        </w:rPr>
        <w:t>using</w:t>
      </w:r>
      <w:r w:rsidR="00587122" w:rsidRPr="00630EC3">
        <w:rPr>
          <w:rFonts w:ascii="Times New Roman" w:hAnsi="Times New Roman" w:cs="Times New Roman"/>
          <w:sz w:val="24"/>
          <w:szCs w:val="24"/>
          <w:shd w:val="clear" w:color="auto" w:fill="FFFFFF"/>
        </w:rPr>
        <w:t xml:space="preserve"> databases provided by Dun &amp; Bradstreet.</w:t>
      </w:r>
      <w:r w:rsidR="00DF6B77" w:rsidRPr="00630EC3">
        <w:rPr>
          <w:rFonts w:ascii="Times New Roman" w:hAnsi="Times New Roman" w:cs="Times New Roman"/>
          <w:sz w:val="24"/>
          <w:szCs w:val="24"/>
          <w:shd w:val="clear" w:color="auto" w:fill="FFFFFF"/>
        </w:rPr>
        <w:t xml:space="preserve"> We </w:t>
      </w:r>
      <w:r w:rsidR="0080706C" w:rsidRPr="00630EC3">
        <w:rPr>
          <w:rFonts w:ascii="Times New Roman" w:hAnsi="Times New Roman" w:cs="Times New Roman"/>
          <w:sz w:val="24"/>
          <w:szCs w:val="24"/>
          <w:shd w:val="clear" w:color="auto" w:fill="FFFFFF"/>
        </w:rPr>
        <w:t xml:space="preserve">focused on </w:t>
      </w:r>
      <w:r w:rsidR="00DF6B77" w:rsidRPr="00630EC3">
        <w:rPr>
          <w:rFonts w:ascii="Times New Roman" w:hAnsi="Times New Roman" w:cs="Times New Roman"/>
          <w:sz w:val="24"/>
          <w:szCs w:val="24"/>
          <w:shd w:val="clear" w:color="auto" w:fill="FFFFFF"/>
        </w:rPr>
        <w:t>auto components manufacturers</w:t>
      </w:r>
      <w:r w:rsidR="008C2EB5" w:rsidRPr="00630EC3">
        <w:rPr>
          <w:rFonts w:ascii="Times New Roman" w:hAnsi="Times New Roman" w:cs="Times New Roman"/>
          <w:sz w:val="24"/>
          <w:szCs w:val="24"/>
          <w:shd w:val="clear" w:color="auto" w:fill="FFFFFF"/>
        </w:rPr>
        <w:t xml:space="preserve"> because of the significance of the sector.  T</w:t>
      </w:r>
      <w:r w:rsidR="0080706C" w:rsidRPr="00630EC3">
        <w:rPr>
          <w:rFonts w:ascii="Times New Roman" w:hAnsi="Times New Roman" w:cs="Times New Roman"/>
          <w:sz w:val="24"/>
          <w:szCs w:val="24"/>
          <w:shd w:val="clear" w:color="auto" w:fill="FFFFFF"/>
        </w:rPr>
        <w:t xml:space="preserve">he </w:t>
      </w:r>
      <w:r w:rsidR="00CC5AE0" w:rsidRPr="00630EC3">
        <w:rPr>
          <w:rFonts w:ascii="Times New Roman" w:hAnsi="Times New Roman" w:cs="Times New Roman"/>
          <w:sz w:val="24"/>
          <w:szCs w:val="24"/>
          <w:shd w:val="clear" w:color="auto" w:fill="FFFFFF"/>
        </w:rPr>
        <w:t>auto component industry in India registered USD 38.5 billion in 2014-2015 with a growth of 11 percent (ACMA Annual Report 2014-2015).</w:t>
      </w:r>
      <w:r w:rsidR="00CC260D" w:rsidRPr="00630EC3">
        <w:rPr>
          <w:rFonts w:ascii="Times New Roman" w:hAnsi="Times New Roman" w:cs="Times New Roman"/>
          <w:sz w:val="24"/>
          <w:szCs w:val="24"/>
          <w:shd w:val="clear" w:color="auto" w:fill="FFFFFF"/>
        </w:rPr>
        <w:t xml:space="preserve"> </w:t>
      </w:r>
      <w:r w:rsidR="000045EC">
        <w:rPr>
          <w:rFonts w:ascii="Times New Roman" w:hAnsi="Times New Roman" w:cs="Times New Roman"/>
          <w:sz w:val="24"/>
          <w:szCs w:val="24"/>
          <w:shd w:val="clear" w:color="auto" w:fill="FFFFFF"/>
        </w:rPr>
        <w:t xml:space="preserve">The </w:t>
      </w:r>
      <w:r w:rsidR="00CC260D" w:rsidRPr="00630EC3">
        <w:rPr>
          <w:rFonts w:ascii="Times New Roman" w:hAnsi="Times New Roman" w:cs="Times New Roman"/>
          <w:sz w:val="24"/>
          <w:szCs w:val="24"/>
          <w:shd w:val="clear" w:color="auto" w:fill="FFFFFF"/>
        </w:rPr>
        <w:t>Indian auto components</w:t>
      </w:r>
      <w:r w:rsidR="000045EC">
        <w:rPr>
          <w:rFonts w:ascii="Times New Roman" w:hAnsi="Times New Roman" w:cs="Times New Roman"/>
          <w:sz w:val="24"/>
          <w:szCs w:val="24"/>
          <w:shd w:val="clear" w:color="auto" w:fill="FFFFFF"/>
        </w:rPr>
        <w:t xml:space="preserve"> sector</w:t>
      </w:r>
      <w:r w:rsidR="00CC260D" w:rsidRPr="00630EC3">
        <w:rPr>
          <w:rFonts w:ascii="Times New Roman" w:hAnsi="Times New Roman" w:cs="Times New Roman"/>
          <w:sz w:val="24"/>
          <w:szCs w:val="24"/>
          <w:shd w:val="clear" w:color="auto" w:fill="FFFFFF"/>
        </w:rPr>
        <w:t xml:space="preserve"> </w:t>
      </w:r>
      <w:r w:rsidR="00020FF6" w:rsidRPr="00630EC3">
        <w:rPr>
          <w:rFonts w:ascii="Times New Roman" w:hAnsi="Times New Roman" w:cs="Times New Roman"/>
          <w:sz w:val="24"/>
          <w:szCs w:val="24"/>
          <w:shd w:val="clear" w:color="auto" w:fill="FFFFFF"/>
        </w:rPr>
        <w:t>exports to</w:t>
      </w:r>
      <w:r w:rsidR="00CC260D" w:rsidRPr="00630EC3">
        <w:rPr>
          <w:rFonts w:ascii="Times New Roman" w:hAnsi="Times New Roman" w:cs="Times New Roman"/>
          <w:sz w:val="24"/>
          <w:szCs w:val="24"/>
          <w:shd w:val="clear" w:color="auto" w:fill="FFFFFF"/>
        </w:rPr>
        <w:t xml:space="preserve"> over 160 countries</w:t>
      </w:r>
      <w:r w:rsidR="00156612" w:rsidRPr="00630EC3">
        <w:rPr>
          <w:rFonts w:ascii="Times New Roman" w:hAnsi="Times New Roman" w:cs="Times New Roman"/>
          <w:sz w:val="24"/>
          <w:szCs w:val="24"/>
          <w:shd w:val="clear" w:color="auto" w:fill="FFFFFF"/>
        </w:rPr>
        <w:t>,</w:t>
      </w:r>
      <w:r w:rsidR="00CC260D" w:rsidRPr="00630EC3">
        <w:rPr>
          <w:rFonts w:ascii="Times New Roman" w:hAnsi="Times New Roman" w:cs="Times New Roman"/>
          <w:sz w:val="24"/>
          <w:szCs w:val="24"/>
          <w:shd w:val="clear" w:color="auto" w:fill="FFFFFF"/>
        </w:rPr>
        <w:t xml:space="preserve"> </w:t>
      </w:r>
      <w:r w:rsidR="008C2EB5" w:rsidRPr="00630EC3">
        <w:rPr>
          <w:rFonts w:ascii="Times New Roman" w:hAnsi="Times New Roman" w:cs="Times New Roman"/>
          <w:sz w:val="24"/>
          <w:szCs w:val="24"/>
          <w:shd w:val="clear" w:color="auto" w:fill="FFFFFF"/>
        </w:rPr>
        <w:t xml:space="preserve">generates </w:t>
      </w:r>
      <w:r w:rsidR="00CC260D" w:rsidRPr="00630EC3">
        <w:rPr>
          <w:rFonts w:ascii="Times New Roman" w:hAnsi="Times New Roman" w:cs="Times New Roman"/>
          <w:sz w:val="24"/>
          <w:szCs w:val="24"/>
          <w:shd w:val="clear" w:color="auto" w:fill="FFFFFF"/>
        </w:rPr>
        <w:t>a significant contribut</w:t>
      </w:r>
      <w:r w:rsidR="008C2EB5" w:rsidRPr="00630EC3">
        <w:rPr>
          <w:rFonts w:ascii="Times New Roman" w:hAnsi="Times New Roman" w:cs="Times New Roman"/>
          <w:sz w:val="24"/>
          <w:szCs w:val="24"/>
          <w:shd w:val="clear" w:color="auto" w:fill="FFFFFF"/>
        </w:rPr>
        <w:t>i</w:t>
      </w:r>
      <w:r w:rsidR="00CC260D" w:rsidRPr="00630EC3">
        <w:rPr>
          <w:rFonts w:ascii="Times New Roman" w:hAnsi="Times New Roman" w:cs="Times New Roman"/>
          <w:sz w:val="24"/>
          <w:szCs w:val="24"/>
          <w:shd w:val="clear" w:color="auto" w:fill="FFFFFF"/>
        </w:rPr>
        <w:t>o</w:t>
      </w:r>
      <w:r w:rsidR="008C2EB5" w:rsidRPr="00630EC3">
        <w:rPr>
          <w:rFonts w:ascii="Times New Roman" w:hAnsi="Times New Roman" w:cs="Times New Roman"/>
          <w:sz w:val="24"/>
          <w:szCs w:val="24"/>
          <w:shd w:val="clear" w:color="auto" w:fill="FFFFFF"/>
        </w:rPr>
        <w:t>n</w:t>
      </w:r>
      <w:r w:rsidR="00CC260D" w:rsidRPr="00630EC3">
        <w:rPr>
          <w:rFonts w:ascii="Times New Roman" w:hAnsi="Times New Roman" w:cs="Times New Roman"/>
          <w:sz w:val="24"/>
          <w:szCs w:val="24"/>
          <w:shd w:val="clear" w:color="auto" w:fill="FFFFFF"/>
        </w:rPr>
        <w:t xml:space="preserve"> to the Indian GDP</w:t>
      </w:r>
      <w:r w:rsidR="00156612" w:rsidRPr="00630EC3">
        <w:rPr>
          <w:rFonts w:ascii="Times New Roman" w:hAnsi="Times New Roman" w:cs="Times New Roman"/>
          <w:sz w:val="24"/>
          <w:szCs w:val="24"/>
          <w:shd w:val="clear" w:color="auto" w:fill="FFFFFF"/>
        </w:rPr>
        <w:t>,</w:t>
      </w:r>
      <w:r w:rsidR="00CC260D" w:rsidRPr="00630EC3">
        <w:rPr>
          <w:rFonts w:ascii="Times New Roman" w:hAnsi="Times New Roman" w:cs="Times New Roman"/>
          <w:sz w:val="24"/>
          <w:szCs w:val="24"/>
          <w:shd w:val="clear" w:color="auto" w:fill="FFFFFF"/>
        </w:rPr>
        <w:t xml:space="preserve"> and provides direct and indirect employment opportunities to 19 million people (IBEF, 2016).</w:t>
      </w:r>
      <w:r w:rsidR="002911D3" w:rsidRPr="00630EC3">
        <w:rPr>
          <w:rFonts w:ascii="Times New Roman" w:hAnsi="Times New Roman" w:cs="Times New Roman"/>
          <w:sz w:val="24"/>
          <w:szCs w:val="24"/>
          <w:shd w:val="clear" w:color="auto" w:fill="FFFFFF"/>
        </w:rPr>
        <w:t xml:space="preserve"> </w:t>
      </w:r>
    </w:p>
    <w:p w14:paraId="560249C5" w14:textId="604001AA" w:rsidR="00B44E48" w:rsidRPr="00630EC3" w:rsidRDefault="002911D3" w:rsidP="00654B52">
      <w:pPr>
        <w:spacing w:line="480" w:lineRule="auto"/>
        <w:jc w:val="both"/>
        <w:rPr>
          <w:rFonts w:ascii="Times New Roman" w:hAnsi="Times New Roman" w:cs="Times New Roman"/>
          <w:sz w:val="24"/>
          <w:szCs w:val="24"/>
          <w:shd w:val="clear" w:color="auto" w:fill="FFFFFF"/>
        </w:rPr>
      </w:pPr>
      <w:r w:rsidRPr="00630EC3">
        <w:rPr>
          <w:rFonts w:ascii="Times New Roman" w:hAnsi="Times New Roman" w:cs="Times New Roman"/>
          <w:sz w:val="24"/>
          <w:szCs w:val="24"/>
          <w:shd w:val="clear" w:color="auto" w:fill="FFFFFF"/>
        </w:rPr>
        <w:t>The title of the specific respondent sought was primarily Vice President or Director of Supply Chain Management, Logistics,</w:t>
      </w:r>
      <w:r w:rsidR="008C2EB5" w:rsidRPr="00630EC3">
        <w:rPr>
          <w:rFonts w:ascii="Times New Roman" w:hAnsi="Times New Roman" w:cs="Times New Roman"/>
          <w:sz w:val="24"/>
          <w:szCs w:val="24"/>
          <w:shd w:val="clear" w:color="auto" w:fill="FFFFFF"/>
        </w:rPr>
        <w:t xml:space="preserve"> or</w:t>
      </w:r>
      <w:r w:rsidRPr="00630EC3">
        <w:rPr>
          <w:rFonts w:ascii="Times New Roman" w:hAnsi="Times New Roman" w:cs="Times New Roman"/>
          <w:sz w:val="24"/>
          <w:szCs w:val="24"/>
          <w:shd w:val="clear" w:color="auto" w:fill="FFFFFF"/>
        </w:rPr>
        <w:t xml:space="preserve"> Purchasing</w:t>
      </w:r>
      <w:r w:rsidR="00913369" w:rsidRPr="00630EC3">
        <w:rPr>
          <w:rFonts w:ascii="Times New Roman" w:hAnsi="Times New Roman" w:cs="Times New Roman"/>
          <w:sz w:val="24"/>
          <w:szCs w:val="24"/>
          <w:shd w:val="clear" w:color="auto" w:fill="FFFFFF"/>
        </w:rPr>
        <w:t xml:space="preserve"> and Materials Management.</w:t>
      </w:r>
      <w:r w:rsidR="00E132F2" w:rsidRPr="00630EC3">
        <w:rPr>
          <w:rFonts w:ascii="Times New Roman" w:hAnsi="Times New Roman" w:cs="Times New Roman"/>
          <w:sz w:val="24"/>
          <w:szCs w:val="24"/>
          <w:shd w:val="clear" w:color="auto" w:fill="FFFFFF"/>
        </w:rPr>
        <w:t xml:space="preserve"> We selected these managers because they</w:t>
      </w:r>
      <w:r w:rsidR="000045EC">
        <w:rPr>
          <w:rFonts w:ascii="Times New Roman" w:hAnsi="Times New Roman" w:cs="Times New Roman"/>
          <w:sz w:val="24"/>
          <w:szCs w:val="24"/>
          <w:shd w:val="clear" w:color="auto" w:fill="FFFFFF"/>
        </w:rPr>
        <w:t xml:space="preserve"> were</w:t>
      </w:r>
      <w:r w:rsidR="00E132F2" w:rsidRPr="00630EC3">
        <w:rPr>
          <w:rFonts w:ascii="Times New Roman" w:hAnsi="Times New Roman" w:cs="Times New Roman"/>
          <w:sz w:val="24"/>
          <w:szCs w:val="24"/>
          <w:shd w:val="clear" w:color="auto" w:fill="FFFFFF"/>
        </w:rPr>
        <w:t xml:space="preserve"> deemed to be knowledgeable about supply chains and our related subject of interests. </w:t>
      </w:r>
      <w:r w:rsidR="00B44E48" w:rsidRPr="00630EC3">
        <w:rPr>
          <w:rFonts w:ascii="Times New Roman" w:hAnsi="Times New Roman" w:cs="Times New Roman"/>
          <w:sz w:val="24"/>
          <w:szCs w:val="24"/>
          <w:shd w:val="clear" w:color="auto" w:fill="FFFFFF"/>
        </w:rPr>
        <w:t xml:space="preserve">To improve our response </w:t>
      </w:r>
      <w:r w:rsidR="000F61EC" w:rsidRPr="00630EC3">
        <w:rPr>
          <w:rFonts w:ascii="Times New Roman" w:hAnsi="Times New Roman" w:cs="Times New Roman"/>
          <w:sz w:val="24"/>
          <w:szCs w:val="24"/>
          <w:shd w:val="clear" w:color="auto" w:fill="FFFFFF"/>
        </w:rPr>
        <w:t>rate,</w:t>
      </w:r>
      <w:r w:rsidR="00B44E48" w:rsidRPr="00630EC3">
        <w:rPr>
          <w:rFonts w:ascii="Times New Roman" w:hAnsi="Times New Roman" w:cs="Times New Roman"/>
          <w:sz w:val="24"/>
          <w:szCs w:val="24"/>
          <w:shd w:val="clear" w:color="auto" w:fill="FFFFFF"/>
        </w:rPr>
        <w:t xml:space="preserve"> we followed </w:t>
      </w:r>
      <w:r w:rsidR="00043DE6" w:rsidRPr="00630EC3">
        <w:rPr>
          <w:rFonts w:ascii="Times New Roman" w:hAnsi="Times New Roman" w:cs="Times New Roman"/>
          <w:sz w:val="24"/>
          <w:szCs w:val="24"/>
          <w:shd w:val="clear" w:color="auto" w:fill="FFFFFF"/>
        </w:rPr>
        <w:t xml:space="preserve">a </w:t>
      </w:r>
      <w:r w:rsidR="00B44E48" w:rsidRPr="00630EC3">
        <w:rPr>
          <w:rFonts w:ascii="Times New Roman" w:hAnsi="Times New Roman" w:cs="Times New Roman"/>
          <w:sz w:val="24"/>
          <w:szCs w:val="24"/>
          <w:shd w:val="clear" w:color="auto" w:fill="FFFFFF"/>
        </w:rPr>
        <w:t>modified version of Dillman’s (1978) total design test method.</w:t>
      </w:r>
      <w:r w:rsidR="00587122" w:rsidRPr="00630EC3">
        <w:rPr>
          <w:rFonts w:ascii="Times New Roman" w:hAnsi="Times New Roman" w:cs="Times New Roman"/>
          <w:sz w:val="24"/>
          <w:szCs w:val="24"/>
          <w:shd w:val="clear" w:color="auto" w:fill="FFFFFF"/>
        </w:rPr>
        <w:t xml:space="preserve"> </w:t>
      </w:r>
      <w:r w:rsidR="00EA7949" w:rsidRPr="00630EC3">
        <w:rPr>
          <w:rFonts w:ascii="Times New Roman" w:hAnsi="Times New Roman" w:cs="Times New Roman"/>
          <w:sz w:val="24"/>
          <w:szCs w:val="24"/>
          <w:shd w:val="clear" w:color="auto" w:fill="FFFFFF"/>
        </w:rPr>
        <w:t>The researchers</w:t>
      </w:r>
      <w:r w:rsidR="00AB3513" w:rsidRPr="00630EC3">
        <w:rPr>
          <w:rFonts w:ascii="Times New Roman" w:hAnsi="Times New Roman" w:cs="Times New Roman"/>
          <w:sz w:val="24"/>
          <w:szCs w:val="24"/>
          <w:shd w:val="clear" w:color="auto" w:fill="FFFFFF"/>
        </w:rPr>
        <w:t xml:space="preserve"> sent the </w:t>
      </w:r>
      <w:r w:rsidR="00587122" w:rsidRPr="00630EC3">
        <w:rPr>
          <w:rFonts w:ascii="Times New Roman" w:hAnsi="Times New Roman" w:cs="Times New Roman"/>
          <w:sz w:val="24"/>
          <w:szCs w:val="24"/>
          <w:shd w:val="clear" w:color="auto" w:fill="FFFFFF"/>
        </w:rPr>
        <w:t>survey questionnaire to each respondent via e-mail</w:t>
      </w:r>
      <w:r w:rsidR="000172E4" w:rsidRPr="00630EC3">
        <w:rPr>
          <w:rFonts w:ascii="Times New Roman" w:hAnsi="Times New Roman" w:cs="Times New Roman"/>
          <w:sz w:val="24"/>
          <w:szCs w:val="24"/>
          <w:shd w:val="clear" w:color="auto" w:fill="FFFFFF"/>
        </w:rPr>
        <w:t xml:space="preserve"> with</w:t>
      </w:r>
      <w:r w:rsidR="00587122" w:rsidRPr="00630EC3">
        <w:rPr>
          <w:rFonts w:ascii="Times New Roman" w:hAnsi="Times New Roman" w:cs="Times New Roman"/>
          <w:sz w:val="24"/>
          <w:szCs w:val="24"/>
          <w:shd w:val="clear" w:color="auto" w:fill="FFFFFF"/>
        </w:rPr>
        <w:t xml:space="preserve"> a cover</w:t>
      </w:r>
      <w:r w:rsidR="000172E4" w:rsidRPr="00630EC3">
        <w:rPr>
          <w:rFonts w:ascii="Times New Roman" w:hAnsi="Times New Roman" w:cs="Times New Roman"/>
          <w:sz w:val="24"/>
          <w:szCs w:val="24"/>
          <w:shd w:val="clear" w:color="auto" w:fill="FFFFFF"/>
        </w:rPr>
        <w:t>ing</w:t>
      </w:r>
      <w:r w:rsidR="00587122" w:rsidRPr="00630EC3">
        <w:rPr>
          <w:rFonts w:ascii="Times New Roman" w:hAnsi="Times New Roman" w:cs="Times New Roman"/>
          <w:sz w:val="24"/>
          <w:szCs w:val="24"/>
          <w:shd w:val="clear" w:color="auto" w:fill="FFFFFF"/>
        </w:rPr>
        <w:t xml:space="preserve"> letter</w:t>
      </w:r>
      <w:r w:rsidR="003F336E" w:rsidRPr="00630EC3">
        <w:rPr>
          <w:rFonts w:ascii="Times New Roman" w:hAnsi="Times New Roman" w:cs="Times New Roman"/>
          <w:sz w:val="24"/>
          <w:szCs w:val="24"/>
          <w:shd w:val="clear" w:color="auto" w:fill="FFFFFF"/>
        </w:rPr>
        <w:t xml:space="preserve"> and</w:t>
      </w:r>
      <w:r w:rsidR="003370E1" w:rsidRPr="00630EC3">
        <w:rPr>
          <w:rFonts w:ascii="Times New Roman" w:hAnsi="Times New Roman" w:cs="Times New Roman"/>
          <w:sz w:val="24"/>
          <w:szCs w:val="24"/>
          <w:shd w:val="clear" w:color="auto" w:fill="FFFFFF"/>
        </w:rPr>
        <w:t xml:space="preserve"> </w:t>
      </w:r>
      <w:r w:rsidR="00587122" w:rsidRPr="00630EC3">
        <w:rPr>
          <w:rFonts w:ascii="Times New Roman" w:hAnsi="Times New Roman" w:cs="Times New Roman"/>
          <w:sz w:val="24"/>
          <w:szCs w:val="24"/>
          <w:shd w:val="clear" w:color="auto" w:fill="FFFFFF"/>
        </w:rPr>
        <w:t>followed up with phone calls.</w:t>
      </w:r>
      <w:r w:rsidR="00DF7B5D" w:rsidRPr="00630EC3">
        <w:rPr>
          <w:rFonts w:ascii="Times New Roman" w:hAnsi="Times New Roman" w:cs="Times New Roman"/>
          <w:sz w:val="24"/>
          <w:szCs w:val="24"/>
          <w:shd w:val="clear" w:color="auto" w:fill="FFFFFF"/>
        </w:rPr>
        <w:t xml:space="preserve"> Overall, we received 351 complete and usable responses resulting in an effective response rate of 36%. Considering the length of the survey, this response rate is quite satisfactory in comparison to similar studies in recent research investigating supply chain management topics (e.g., Brandon-Jones et al. 2014; Eckstein et al. 2015). The final sample consisted of </w:t>
      </w:r>
      <w:r w:rsidR="006F12C9" w:rsidRPr="00630EC3">
        <w:rPr>
          <w:rFonts w:ascii="Times New Roman" w:hAnsi="Times New Roman" w:cs="Times New Roman"/>
          <w:sz w:val="24"/>
          <w:szCs w:val="24"/>
          <w:shd w:val="clear" w:color="auto" w:fill="FFFFFF"/>
        </w:rPr>
        <w:t xml:space="preserve">110 Vice Presidents (31.34%), 65 Directors (18.52%), 75 General Managers (21.37%) and 101 Senior Managers (28.77%). The respondents primarily worked for medium sized </w:t>
      </w:r>
      <w:r w:rsidR="002179D1" w:rsidRPr="00630EC3">
        <w:rPr>
          <w:rFonts w:ascii="Times New Roman" w:hAnsi="Times New Roman" w:cs="Times New Roman"/>
          <w:sz w:val="24"/>
          <w:szCs w:val="24"/>
          <w:shd w:val="clear" w:color="auto" w:fill="FFFFFF"/>
        </w:rPr>
        <w:t>firms (see Appendix 1).</w:t>
      </w:r>
    </w:p>
    <w:p w14:paraId="30D4E0CF" w14:textId="5857FA51" w:rsidR="0008352B" w:rsidRPr="00630EC3" w:rsidRDefault="0008352B" w:rsidP="00654B52">
      <w:pPr>
        <w:spacing w:line="480" w:lineRule="auto"/>
        <w:jc w:val="both"/>
        <w:rPr>
          <w:rFonts w:ascii="Times New Roman" w:hAnsi="Times New Roman" w:cs="Times New Roman"/>
          <w:sz w:val="24"/>
          <w:szCs w:val="24"/>
          <w:shd w:val="clear" w:color="auto" w:fill="FFFFFF"/>
        </w:rPr>
      </w:pPr>
      <w:r w:rsidRPr="00630EC3">
        <w:rPr>
          <w:rFonts w:ascii="Times New Roman" w:hAnsi="Times New Roman" w:cs="Times New Roman"/>
          <w:sz w:val="24"/>
          <w:szCs w:val="24"/>
          <w:shd w:val="clear" w:color="auto" w:fill="FFFFFF"/>
        </w:rPr>
        <w:t xml:space="preserve">We tested </w:t>
      </w:r>
      <w:r w:rsidR="002221D7" w:rsidRPr="00630EC3">
        <w:rPr>
          <w:rFonts w:ascii="Times New Roman" w:hAnsi="Times New Roman" w:cs="Times New Roman"/>
          <w:sz w:val="24"/>
          <w:szCs w:val="24"/>
          <w:shd w:val="clear" w:color="auto" w:fill="FFFFFF"/>
        </w:rPr>
        <w:t xml:space="preserve">for </w:t>
      </w:r>
      <w:r w:rsidRPr="00630EC3">
        <w:rPr>
          <w:rFonts w:ascii="Times New Roman" w:hAnsi="Times New Roman" w:cs="Times New Roman"/>
          <w:sz w:val="24"/>
          <w:szCs w:val="24"/>
          <w:shd w:val="clear" w:color="auto" w:fill="FFFFFF"/>
        </w:rPr>
        <w:t xml:space="preserve">non-response bias using </w:t>
      </w:r>
      <w:r w:rsidR="008A4E3E">
        <w:rPr>
          <w:rFonts w:ascii="Times New Roman" w:hAnsi="Times New Roman" w:cs="Times New Roman"/>
          <w:sz w:val="24"/>
          <w:szCs w:val="24"/>
          <w:shd w:val="clear" w:color="auto" w:fill="FFFFFF"/>
        </w:rPr>
        <w:t xml:space="preserve">the </w:t>
      </w:r>
      <w:r w:rsidRPr="00630EC3">
        <w:rPr>
          <w:rFonts w:ascii="Times New Roman" w:hAnsi="Times New Roman" w:cs="Times New Roman"/>
          <w:sz w:val="24"/>
          <w:szCs w:val="24"/>
          <w:shd w:val="clear" w:color="auto" w:fill="FFFFFF"/>
        </w:rPr>
        <w:t>wave</w:t>
      </w:r>
      <w:r w:rsidR="00D27D7C" w:rsidRPr="00630EC3">
        <w:rPr>
          <w:rFonts w:ascii="Times New Roman" w:hAnsi="Times New Roman" w:cs="Times New Roman"/>
          <w:sz w:val="24"/>
          <w:szCs w:val="24"/>
          <w:shd w:val="clear" w:color="auto" w:fill="FFFFFF"/>
        </w:rPr>
        <w:t>-</w:t>
      </w:r>
      <w:r w:rsidRPr="00630EC3">
        <w:rPr>
          <w:rFonts w:ascii="Times New Roman" w:hAnsi="Times New Roman" w:cs="Times New Roman"/>
          <w:sz w:val="24"/>
          <w:szCs w:val="24"/>
          <w:shd w:val="clear" w:color="auto" w:fill="FFFFFF"/>
        </w:rPr>
        <w:t xml:space="preserve">analysis approach (see Armstrong and Overton, 1977). </w:t>
      </w:r>
      <w:r w:rsidR="000172E4" w:rsidRPr="00630EC3">
        <w:rPr>
          <w:rFonts w:ascii="Times New Roman" w:hAnsi="Times New Roman" w:cs="Times New Roman"/>
          <w:sz w:val="24"/>
          <w:szCs w:val="24"/>
          <w:shd w:val="clear" w:color="auto" w:fill="FFFFFF"/>
        </w:rPr>
        <w:t>W</w:t>
      </w:r>
      <w:r w:rsidRPr="00630EC3">
        <w:rPr>
          <w:rFonts w:ascii="Times New Roman" w:hAnsi="Times New Roman" w:cs="Times New Roman"/>
          <w:sz w:val="24"/>
          <w:szCs w:val="24"/>
          <w:shd w:val="clear" w:color="auto" w:fill="FFFFFF"/>
        </w:rPr>
        <w:t>e compared the early and late waves of returned surveys based on the assumption that the opinions of late respondents are representative of the opinions of non-respondents (see Chen et al. 2004; Eckstein et al. 2015).</w:t>
      </w:r>
      <w:r w:rsidR="00E563D3" w:rsidRPr="00630EC3">
        <w:rPr>
          <w:rFonts w:ascii="Times New Roman" w:hAnsi="Times New Roman" w:cs="Times New Roman"/>
          <w:sz w:val="24"/>
          <w:szCs w:val="24"/>
          <w:shd w:val="clear" w:color="auto" w:fill="FFFFFF"/>
        </w:rPr>
        <w:t xml:space="preserve"> </w:t>
      </w:r>
      <w:r w:rsidR="00403E04" w:rsidRPr="00630EC3">
        <w:rPr>
          <w:rFonts w:ascii="Times New Roman" w:hAnsi="Times New Roman" w:cs="Times New Roman"/>
          <w:sz w:val="24"/>
          <w:szCs w:val="24"/>
          <w:shd w:val="clear" w:color="auto" w:fill="FFFFFF"/>
        </w:rPr>
        <w:t xml:space="preserve">The </w:t>
      </w:r>
      <w:r w:rsidR="00E563D3" w:rsidRPr="00630EC3">
        <w:rPr>
          <w:rFonts w:ascii="Times New Roman" w:hAnsi="Times New Roman" w:cs="Times New Roman"/>
          <w:sz w:val="24"/>
          <w:szCs w:val="24"/>
          <w:shd w:val="clear" w:color="auto" w:fill="FFFFFF"/>
        </w:rPr>
        <w:t xml:space="preserve">t-tests yielded no statistically significant </w:t>
      </w:r>
      <w:r w:rsidR="00F50D5F" w:rsidRPr="00630EC3">
        <w:rPr>
          <w:rFonts w:ascii="Times New Roman" w:hAnsi="Times New Roman" w:cs="Times New Roman"/>
          <w:sz w:val="24"/>
          <w:szCs w:val="24"/>
          <w:shd w:val="clear" w:color="auto" w:fill="FFFFFF"/>
        </w:rPr>
        <w:t>differences between</w:t>
      </w:r>
      <w:r w:rsidR="00E563D3" w:rsidRPr="00630EC3">
        <w:rPr>
          <w:rFonts w:ascii="Times New Roman" w:hAnsi="Times New Roman" w:cs="Times New Roman"/>
          <w:sz w:val="24"/>
          <w:szCs w:val="24"/>
          <w:shd w:val="clear" w:color="auto" w:fill="FFFFFF"/>
        </w:rPr>
        <w:t xml:space="preserve"> </w:t>
      </w:r>
      <w:r w:rsidR="008C2EB5" w:rsidRPr="00630EC3">
        <w:rPr>
          <w:rFonts w:ascii="Times New Roman" w:hAnsi="Times New Roman" w:cs="Times New Roman"/>
          <w:sz w:val="24"/>
          <w:szCs w:val="24"/>
          <w:shd w:val="clear" w:color="auto" w:fill="FFFFFF"/>
        </w:rPr>
        <w:t xml:space="preserve">the </w:t>
      </w:r>
      <w:r w:rsidR="00E563D3" w:rsidRPr="00630EC3">
        <w:rPr>
          <w:rFonts w:ascii="Times New Roman" w:hAnsi="Times New Roman" w:cs="Times New Roman"/>
          <w:sz w:val="24"/>
          <w:szCs w:val="24"/>
          <w:shd w:val="clear" w:color="auto" w:fill="FFFFFF"/>
        </w:rPr>
        <w:t>early wave (211 responses) and late response (140 responses) groups, suggesting that non-response bias is not a problem.</w:t>
      </w:r>
      <w:r w:rsidR="00F50D5F" w:rsidRPr="00630EC3">
        <w:rPr>
          <w:rFonts w:ascii="Times New Roman" w:hAnsi="Times New Roman" w:cs="Times New Roman"/>
          <w:sz w:val="24"/>
          <w:szCs w:val="24"/>
          <w:shd w:val="clear" w:color="auto" w:fill="FFFFFF"/>
        </w:rPr>
        <w:t xml:space="preserve"> </w:t>
      </w:r>
      <w:r w:rsidR="009F10E1" w:rsidRPr="00630EC3">
        <w:rPr>
          <w:rFonts w:ascii="Times New Roman" w:hAnsi="Times New Roman" w:cs="Times New Roman"/>
          <w:sz w:val="24"/>
          <w:szCs w:val="24"/>
          <w:shd w:val="clear" w:color="auto" w:fill="FFFFFF"/>
        </w:rPr>
        <w:t>Following recent efforts by O&amp;SCM scholars (see Gligor et al. 2015; Dong et al. 2016), we</w:t>
      </w:r>
      <w:r w:rsidR="00D27D7C" w:rsidRPr="00630EC3">
        <w:rPr>
          <w:rFonts w:ascii="Times New Roman" w:hAnsi="Times New Roman" w:cs="Times New Roman"/>
          <w:sz w:val="24"/>
          <w:szCs w:val="24"/>
          <w:shd w:val="clear" w:color="auto" w:fill="FFFFFF"/>
        </w:rPr>
        <w:t xml:space="preserve"> compared the demographics of respondents to </w:t>
      </w:r>
      <w:r w:rsidR="00EA3263" w:rsidRPr="00630EC3">
        <w:rPr>
          <w:rFonts w:ascii="Times New Roman" w:hAnsi="Times New Roman" w:cs="Times New Roman"/>
          <w:sz w:val="24"/>
          <w:szCs w:val="24"/>
          <w:shd w:val="clear" w:color="auto" w:fill="FFFFFF"/>
        </w:rPr>
        <w:t xml:space="preserve">the </w:t>
      </w:r>
      <w:r w:rsidR="00D27D7C" w:rsidRPr="00630EC3">
        <w:rPr>
          <w:rFonts w:ascii="Times New Roman" w:hAnsi="Times New Roman" w:cs="Times New Roman"/>
          <w:sz w:val="24"/>
          <w:szCs w:val="24"/>
          <w:shd w:val="clear" w:color="auto" w:fill="FFFFFF"/>
        </w:rPr>
        <w:t>demographics of non-respondents via Dun &amp; Bradstreet</w:t>
      </w:r>
      <w:r w:rsidR="00FE6119" w:rsidRPr="00630EC3">
        <w:rPr>
          <w:rFonts w:ascii="Times New Roman" w:hAnsi="Times New Roman" w:cs="Times New Roman"/>
          <w:sz w:val="24"/>
          <w:szCs w:val="24"/>
          <w:shd w:val="clear" w:color="auto" w:fill="FFFFFF"/>
        </w:rPr>
        <w:t xml:space="preserve"> in order to ensure </w:t>
      </w:r>
      <w:r w:rsidR="00B32EF2" w:rsidRPr="00630EC3">
        <w:rPr>
          <w:rFonts w:ascii="Times New Roman" w:hAnsi="Times New Roman" w:cs="Times New Roman"/>
          <w:sz w:val="24"/>
          <w:szCs w:val="24"/>
          <w:shd w:val="clear" w:color="auto" w:fill="FFFFFF"/>
        </w:rPr>
        <w:t xml:space="preserve">that non-response in our data is not an issue. </w:t>
      </w:r>
    </w:p>
    <w:p w14:paraId="71C141A8" w14:textId="654FC358" w:rsidR="000658D1" w:rsidRPr="00630EC3" w:rsidRDefault="00F37F88" w:rsidP="00654B52">
      <w:pPr>
        <w:spacing w:after="120" w:line="480" w:lineRule="auto"/>
        <w:jc w:val="both"/>
        <w:rPr>
          <w:rFonts w:ascii="Times New Roman" w:hAnsi="Times New Roman" w:cs="Times New Roman"/>
          <w:b/>
          <w:sz w:val="24"/>
          <w:szCs w:val="24"/>
          <w:shd w:val="clear" w:color="auto" w:fill="FFFFFF"/>
        </w:rPr>
      </w:pPr>
      <w:r w:rsidRPr="00630EC3">
        <w:rPr>
          <w:rFonts w:ascii="Times New Roman" w:hAnsi="Times New Roman" w:cs="Times New Roman"/>
          <w:b/>
          <w:sz w:val="24"/>
          <w:szCs w:val="24"/>
          <w:shd w:val="clear" w:color="auto" w:fill="FFFFFF"/>
        </w:rPr>
        <w:t xml:space="preserve">4. </w:t>
      </w:r>
      <w:r w:rsidR="00292DFA" w:rsidRPr="00630EC3">
        <w:rPr>
          <w:rFonts w:ascii="Times New Roman" w:hAnsi="Times New Roman" w:cs="Times New Roman"/>
          <w:b/>
          <w:sz w:val="24"/>
          <w:szCs w:val="24"/>
          <w:shd w:val="clear" w:color="auto" w:fill="FFFFFF"/>
        </w:rPr>
        <w:t>DATA ANALYSES AND RESULTS</w:t>
      </w:r>
    </w:p>
    <w:p w14:paraId="1E00CFC8" w14:textId="6DCCEBD8" w:rsidR="00000365" w:rsidRPr="00630EC3" w:rsidRDefault="00292DFA" w:rsidP="00654B52">
      <w:pPr>
        <w:spacing w:line="480" w:lineRule="auto"/>
        <w:jc w:val="both"/>
        <w:rPr>
          <w:rFonts w:ascii="Times New Roman" w:hAnsi="Times New Roman" w:cs="Times New Roman"/>
          <w:sz w:val="24"/>
          <w:szCs w:val="24"/>
          <w:shd w:val="clear" w:color="auto" w:fill="FFFFFF"/>
        </w:rPr>
      </w:pPr>
      <w:r w:rsidRPr="00630EC3">
        <w:rPr>
          <w:rFonts w:ascii="Times New Roman" w:hAnsi="Times New Roman" w:cs="Times New Roman"/>
          <w:sz w:val="24"/>
          <w:szCs w:val="24"/>
          <w:shd w:val="clear" w:color="auto" w:fill="FFFFFF"/>
        </w:rPr>
        <w:t xml:space="preserve">Before </w:t>
      </w:r>
      <w:r w:rsidR="00000365" w:rsidRPr="00630EC3">
        <w:rPr>
          <w:rFonts w:ascii="Times New Roman" w:hAnsi="Times New Roman" w:cs="Times New Roman"/>
          <w:sz w:val="24"/>
          <w:szCs w:val="24"/>
          <w:shd w:val="clear" w:color="auto" w:fill="FFFFFF"/>
        </w:rPr>
        <w:t xml:space="preserve">evaluating </w:t>
      </w:r>
      <w:r w:rsidR="00171ED2" w:rsidRPr="00630EC3">
        <w:rPr>
          <w:rFonts w:ascii="Times New Roman" w:hAnsi="Times New Roman" w:cs="Times New Roman"/>
          <w:sz w:val="24"/>
          <w:szCs w:val="24"/>
          <w:shd w:val="clear" w:color="auto" w:fill="FFFFFF"/>
        </w:rPr>
        <w:t xml:space="preserve">the </w:t>
      </w:r>
      <w:r w:rsidR="00000365" w:rsidRPr="00630EC3">
        <w:rPr>
          <w:rFonts w:ascii="Times New Roman" w:hAnsi="Times New Roman" w:cs="Times New Roman"/>
          <w:sz w:val="24"/>
          <w:szCs w:val="24"/>
          <w:shd w:val="clear" w:color="auto" w:fill="FFFFFF"/>
        </w:rPr>
        <w:t>reliability and validity of the constructs and their measures</w:t>
      </w:r>
      <w:r w:rsidR="00476B8D" w:rsidRPr="00630EC3">
        <w:rPr>
          <w:rFonts w:ascii="Times New Roman" w:hAnsi="Times New Roman" w:cs="Times New Roman"/>
          <w:sz w:val="24"/>
          <w:szCs w:val="24"/>
          <w:shd w:val="clear" w:color="auto" w:fill="FFFFFF"/>
        </w:rPr>
        <w:t xml:space="preserve">, we tested for assumption of constant variance, existence of outliers, and normality. We used plots of residuals by predicted values and statistics of skewness and kurtosis. To detect multivariate </w:t>
      </w:r>
      <w:r w:rsidR="0093236D" w:rsidRPr="00630EC3">
        <w:rPr>
          <w:rFonts w:ascii="Times New Roman" w:hAnsi="Times New Roman" w:cs="Times New Roman"/>
          <w:sz w:val="24"/>
          <w:szCs w:val="24"/>
          <w:shd w:val="clear" w:color="auto" w:fill="FFFFFF"/>
        </w:rPr>
        <w:t>outliers,</w:t>
      </w:r>
      <w:r w:rsidR="00476B8D" w:rsidRPr="00630EC3">
        <w:rPr>
          <w:rFonts w:ascii="Times New Roman" w:hAnsi="Times New Roman" w:cs="Times New Roman"/>
          <w:sz w:val="24"/>
          <w:szCs w:val="24"/>
          <w:shd w:val="clear" w:color="auto" w:fill="FFFFFF"/>
        </w:rPr>
        <w:t xml:space="preserve"> we used Mahalanobis distances of predicted variables (Eckstein et al. 2015).</w:t>
      </w:r>
      <w:r w:rsidR="00DA0ECE" w:rsidRPr="00630EC3">
        <w:rPr>
          <w:rFonts w:ascii="Times New Roman" w:hAnsi="Times New Roman" w:cs="Times New Roman"/>
          <w:sz w:val="24"/>
          <w:szCs w:val="24"/>
          <w:shd w:val="clear" w:color="auto" w:fill="FFFFFF"/>
        </w:rPr>
        <w:t xml:space="preserve"> The maximum absolute values of skewness and kurtosis of the measures in the remaining dataset were found to be 1.7 and 2.37 respectively. These values were well within the limits recommended by past research (univariates</w:t>
      </w:r>
      <w:r w:rsidR="001E4C50" w:rsidRPr="00630EC3">
        <w:rPr>
          <w:rFonts w:ascii="Times New Roman" w:hAnsi="Times New Roman" w:cs="Times New Roman"/>
          <w:sz w:val="24"/>
          <w:szCs w:val="24"/>
          <w:shd w:val="clear" w:color="auto" w:fill="FFFFFF"/>
        </w:rPr>
        <w:t xml:space="preserve"> </w:t>
      </w:r>
      <w:r w:rsidR="00DA0ECE" w:rsidRPr="00630EC3">
        <w:rPr>
          <w:rFonts w:ascii="Times New Roman" w:hAnsi="Times New Roman" w:cs="Times New Roman"/>
          <w:sz w:val="24"/>
          <w:szCs w:val="24"/>
          <w:shd w:val="clear" w:color="auto" w:fill="FFFFFF"/>
        </w:rPr>
        <w:t xml:space="preserve">skewness&lt;2, kurtosis&lt;7) (Curran et al. 1996).  We did not </w:t>
      </w:r>
      <w:r w:rsidR="00171ED2" w:rsidRPr="00630EC3">
        <w:rPr>
          <w:rFonts w:ascii="Times New Roman" w:hAnsi="Times New Roman" w:cs="Times New Roman"/>
          <w:sz w:val="24"/>
          <w:szCs w:val="24"/>
          <w:shd w:val="clear" w:color="auto" w:fill="FFFFFF"/>
        </w:rPr>
        <w:t xml:space="preserve">find </w:t>
      </w:r>
      <w:r w:rsidR="00DA0ECE" w:rsidRPr="00630EC3">
        <w:rPr>
          <w:rFonts w:ascii="Times New Roman" w:hAnsi="Times New Roman" w:cs="Times New Roman"/>
          <w:sz w:val="24"/>
          <w:szCs w:val="24"/>
          <w:shd w:val="clear" w:color="auto" w:fill="FFFFFF"/>
        </w:rPr>
        <w:t>any plots nor did the statistics indicate any significant deviances from the assumption.</w:t>
      </w:r>
    </w:p>
    <w:p w14:paraId="202FE7FA" w14:textId="15317B2A" w:rsidR="00DA0ECE" w:rsidRPr="00630EC3" w:rsidRDefault="00F37F88" w:rsidP="00654B52">
      <w:pPr>
        <w:spacing w:after="120" w:line="480" w:lineRule="auto"/>
        <w:jc w:val="both"/>
        <w:rPr>
          <w:rFonts w:ascii="Times New Roman" w:hAnsi="Times New Roman" w:cs="Times New Roman"/>
          <w:b/>
          <w:i/>
          <w:sz w:val="24"/>
          <w:szCs w:val="24"/>
          <w:shd w:val="clear" w:color="auto" w:fill="FFFFFF"/>
        </w:rPr>
      </w:pPr>
      <w:r w:rsidRPr="00630EC3">
        <w:rPr>
          <w:rFonts w:ascii="Times New Roman" w:hAnsi="Times New Roman" w:cs="Times New Roman"/>
          <w:b/>
          <w:i/>
          <w:sz w:val="24"/>
          <w:szCs w:val="24"/>
          <w:shd w:val="clear" w:color="auto" w:fill="FFFFFF"/>
        </w:rPr>
        <w:t xml:space="preserve">4.1 </w:t>
      </w:r>
      <w:r w:rsidR="00025B9E" w:rsidRPr="00630EC3">
        <w:rPr>
          <w:rFonts w:ascii="Times New Roman" w:hAnsi="Times New Roman" w:cs="Times New Roman"/>
          <w:b/>
          <w:i/>
          <w:sz w:val="24"/>
          <w:szCs w:val="24"/>
          <w:shd w:val="clear" w:color="auto" w:fill="FFFFFF"/>
        </w:rPr>
        <w:t>Measurement Validation</w:t>
      </w:r>
    </w:p>
    <w:p w14:paraId="68E31DC3" w14:textId="458966EF" w:rsidR="00DA0ECE" w:rsidRPr="00630EC3" w:rsidRDefault="00DA0ECE" w:rsidP="00654B52">
      <w:pPr>
        <w:spacing w:line="480" w:lineRule="auto"/>
        <w:jc w:val="both"/>
        <w:rPr>
          <w:rFonts w:ascii="Times New Roman" w:hAnsi="Times New Roman" w:cs="Times New Roman"/>
          <w:sz w:val="24"/>
          <w:szCs w:val="24"/>
          <w:shd w:val="clear" w:color="auto" w:fill="FFFFFF"/>
        </w:rPr>
      </w:pPr>
      <w:r w:rsidRPr="00630EC3">
        <w:rPr>
          <w:rFonts w:ascii="Times New Roman" w:hAnsi="Times New Roman" w:cs="Times New Roman"/>
          <w:sz w:val="24"/>
          <w:szCs w:val="24"/>
          <w:shd w:val="clear" w:color="auto" w:fill="FFFFFF"/>
        </w:rPr>
        <w:t xml:space="preserve">To </w:t>
      </w:r>
      <w:r w:rsidR="000172E4" w:rsidRPr="00630EC3">
        <w:rPr>
          <w:rFonts w:ascii="Times New Roman" w:hAnsi="Times New Roman" w:cs="Times New Roman"/>
          <w:sz w:val="24"/>
          <w:szCs w:val="24"/>
          <w:shd w:val="clear" w:color="auto" w:fill="FFFFFF"/>
        </w:rPr>
        <w:t xml:space="preserve">check that </w:t>
      </w:r>
      <w:r w:rsidRPr="00630EC3">
        <w:rPr>
          <w:rFonts w:ascii="Times New Roman" w:hAnsi="Times New Roman" w:cs="Times New Roman"/>
          <w:sz w:val="24"/>
          <w:szCs w:val="24"/>
          <w:shd w:val="clear" w:color="auto" w:fill="FFFFFF"/>
        </w:rPr>
        <w:t>the measures met the require</w:t>
      </w:r>
      <w:r w:rsidR="00A667A1" w:rsidRPr="00630EC3">
        <w:rPr>
          <w:rFonts w:ascii="Times New Roman" w:hAnsi="Times New Roman" w:cs="Times New Roman"/>
          <w:sz w:val="24"/>
          <w:szCs w:val="24"/>
          <w:shd w:val="clear" w:color="auto" w:fill="FFFFFF"/>
        </w:rPr>
        <w:t>ments for</w:t>
      </w:r>
      <w:r w:rsidR="009F3D44" w:rsidRPr="00630EC3">
        <w:rPr>
          <w:rFonts w:ascii="Times New Roman" w:hAnsi="Times New Roman" w:cs="Times New Roman"/>
          <w:sz w:val="24"/>
          <w:szCs w:val="24"/>
          <w:shd w:val="clear" w:color="auto" w:fill="FFFFFF"/>
        </w:rPr>
        <w:t xml:space="preserve"> reliability, validity and unidimensionality we followed </w:t>
      </w:r>
      <w:r w:rsidR="00A3226D" w:rsidRPr="00630EC3">
        <w:rPr>
          <w:rFonts w:ascii="Times New Roman" w:hAnsi="Times New Roman" w:cs="Times New Roman"/>
          <w:sz w:val="24"/>
          <w:szCs w:val="24"/>
          <w:shd w:val="clear" w:color="auto" w:fill="FFFFFF"/>
        </w:rPr>
        <w:t xml:space="preserve">the guidelines by </w:t>
      </w:r>
      <w:r w:rsidR="009F3D44" w:rsidRPr="00630EC3">
        <w:rPr>
          <w:rFonts w:ascii="Times New Roman" w:hAnsi="Times New Roman" w:cs="Times New Roman"/>
          <w:sz w:val="24"/>
          <w:szCs w:val="24"/>
          <w:shd w:val="clear" w:color="auto" w:fill="FFFFFF"/>
        </w:rPr>
        <w:t>Fawcett et al. (2014).</w:t>
      </w:r>
      <w:r w:rsidR="008C2EB5" w:rsidRPr="00630EC3">
        <w:rPr>
          <w:rFonts w:ascii="Times New Roman" w:hAnsi="Times New Roman" w:cs="Times New Roman"/>
          <w:sz w:val="24"/>
          <w:szCs w:val="24"/>
          <w:shd w:val="clear" w:color="auto" w:fill="FFFFFF"/>
        </w:rPr>
        <w:t xml:space="preserve"> </w:t>
      </w:r>
      <w:r w:rsidR="009F3D44" w:rsidRPr="00630EC3">
        <w:rPr>
          <w:rFonts w:ascii="Times New Roman" w:hAnsi="Times New Roman" w:cs="Times New Roman"/>
          <w:sz w:val="24"/>
          <w:szCs w:val="24"/>
          <w:shd w:val="clear" w:color="auto" w:fill="FFFFFF"/>
        </w:rPr>
        <w:t>Revelle and Zinbarg (2009)</w:t>
      </w:r>
      <w:r w:rsidR="00E748B4" w:rsidRPr="00630EC3">
        <w:rPr>
          <w:rFonts w:ascii="Times New Roman" w:hAnsi="Times New Roman" w:cs="Times New Roman"/>
          <w:sz w:val="24"/>
          <w:szCs w:val="24"/>
          <w:shd w:val="clear" w:color="auto" w:fill="FFFFFF"/>
        </w:rPr>
        <w:t xml:space="preserve"> argued that Cronbach’</w:t>
      </w:r>
      <w:r w:rsidR="006B5E50" w:rsidRPr="00630EC3">
        <w:rPr>
          <w:rFonts w:ascii="Times New Roman" w:hAnsi="Times New Roman" w:cs="Times New Roman"/>
          <w:sz w:val="24"/>
          <w:szCs w:val="24"/>
          <w:shd w:val="clear" w:color="auto" w:fill="FFFFFF"/>
        </w:rPr>
        <w:t>s alpha is a poor</w:t>
      </w:r>
      <w:r w:rsidR="00E748B4" w:rsidRPr="00630EC3">
        <w:rPr>
          <w:rFonts w:ascii="Times New Roman" w:hAnsi="Times New Roman" w:cs="Times New Roman"/>
          <w:sz w:val="24"/>
          <w:szCs w:val="24"/>
          <w:shd w:val="clear" w:color="auto" w:fill="FFFFFF"/>
        </w:rPr>
        <w:t xml:space="preserve"> estimate of internal consistency and in some cases a gross overestimate</w:t>
      </w:r>
      <w:r w:rsidR="006B5E50" w:rsidRPr="00630EC3">
        <w:rPr>
          <w:rFonts w:ascii="Times New Roman" w:hAnsi="Times New Roman" w:cs="Times New Roman"/>
          <w:sz w:val="24"/>
          <w:szCs w:val="24"/>
          <w:shd w:val="clear" w:color="auto" w:fill="FFFFFF"/>
        </w:rPr>
        <w:t>. Henseler et al. (2009) further argued that scale composite reliability (SCR) is considered to be more consistent in comparison to Cronbach’s alpha. Hence we calculated SCR for our constructs using Fornell and Larcker</w:t>
      </w:r>
      <w:r w:rsidR="007461A9" w:rsidRPr="00630EC3">
        <w:rPr>
          <w:rFonts w:ascii="Times New Roman" w:hAnsi="Times New Roman" w:cs="Times New Roman"/>
          <w:sz w:val="24"/>
          <w:szCs w:val="24"/>
          <w:shd w:val="clear" w:color="auto" w:fill="FFFFFF"/>
        </w:rPr>
        <w:t>’s</w:t>
      </w:r>
      <w:r w:rsidR="006B5E50" w:rsidRPr="00630EC3">
        <w:rPr>
          <w:rFonts w:ascii="Times New Roman" w:hAnsi="Times New Roman" w:cs="Times New Roman"/>
          <w:sz w:val="24"/>
          <w:szCs w:val="24"/>
          <w:shd w:val="clear" w:color="auto" w:fill="FFFFFF"/>
        </w:rPr>
        <w:t xml:space="preserve"> (1981) </w:t>
      </w:r>
      <w:r w:rsidR="00F97E73" w:rsidRPr="00630EC3">
        <w:rPr>
          <w:rFonts w:ascii="Times New Roman" w:hAnsi="Times New Roman" w:cs="Times New Roman"/>
          <w:sz w:val="24"/>
          <w:szCs w:val="24"/>
          <w:shd w:val="clear" w:color="auto" w:fill="FFFFFF"/>
        </w:rPr>
        <w:t>equation*</w:t>
      </w:r>
      <w:r w:rsidR="00E940BE" w:rsidRPr="00630EC3">
        <w:rPr>
          <w:rFonts w:ascii="Times New Roman" w:hAnsi="Times New Roman" w:cs="Times New Roman"/>
          <w:sz w:val="24"/>
          <w:szCs w:val="24"/>
          <w:shd w:val="clear" w:color="auto" w:fill="FFFFFF"/>
        </w:rPr>
        <w:t xml:space="preserve"> </w:t>
      </w:r>
      <w:r w:rsidR="00841A20" w:rsidRPr="00630EC3">
        <w:rPr>
          <w:rFonts w:ascii="Times New Roman" w:hAnsi="Times New Roman" w:cs="Times New Roman"/>
          <w:sz w:val="24"/>
          <w:szCs w:val="24"/>
          <w:shd w:val="clear" w:color="auto" w:fill="FFFFFF"/>
        </w:rPr>
        <w:t xml:space="preserve">as well </w:t>
      </w:r>
      <w:r w:rsidR="00E940BE" w:rsidRPr="00630EC3">
        <w:rPr>
          <w:rFonts w:ascii="Times New Roman" w:hAnsi="Times New Roman" w:cs="Times New Roman"/>
          <w:sz w:val="24"/>
          <w:szCs w:val="24"/>
          <w:shd w:val="clear" w:color="auto" w:fill="FFFFFF"/>
        </w:rPr>
        <w:t xml:space="preserve">(see </w:t>
      </w:r>
      <w:r w:rsidR="000B6ED3" w:rsidRPr="00630EC3">
        <w:rPr>
          <w:rFonts w:ascii="Times New Roman" w:hAnsi="Times New Roman" w:cs="Times New Roman"/>
          <w:sz w:val="24"/>
          <w:szCs w:val="24"/>
          <w:shd w:val="clear" w:color="auto" w:fill="FFFFFF"/>
        </w:rPr>
        <w:t>Table 2</w:t>
      </w:r>
      <w:r w:rsidR="00E940BE" w:rsidRPr="00630EC3">
        <w:rPr>
          <w:rFonts w:ascii="Times New Roman" w:hAnsi="Times New Roman" w:cs="Times New Roman"/>
          <w:sz w:val="24"/>
          <w:szCs w:val="24"/>
          <w:shd w:val="clear" w:color="auto" w:fill="FFFFFF"/>
        </w:rPr>
        <w:t>).</w:t>
      </w:r>
    </w:p>
    <w:p w14:paraId="4D1817F7" w14:textId="433EC540" w:rsidR="00105654" w:rsidRPr="00E573C3" w:rsidRDefault="00105654" w:rsidP="00654B52">
      <w:pPr>
        <w:spacing w:after="120"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 xml:space="preserve">Table 2: Loadings of the Indicator Variables </w:t>
      </w:r>
    </w:p>
    <w:tbl>
      <w:tblPr>
        <w:tblW w:w="9550" w:type="dxa"/>
        <w:tblInd w:w="93" w:type="dxa"/>
        <w:tblLook w:val="04A0" w:firstRow="1" w:lastRow="0" w:firstColumn="1" w:lastColumn="0" w:noHBand="0" w:noVBand="1"/>
      </w:tblPr>
      <w:tblGrid>
        <w:gridCol w:w="3443"/>
        <w:gridCol w:w="977"/>
        <w:gridCol w:w="1410"/>
        <w:gridCol w:w="1083"/>
        <w:gridCol w:w="879"/>
        <w:gridCol w:w="879"/>
        <w:gridCol w:w="879"/>
      </w:tblGrid>
      <w:tr w:rsidR="00105654" w:rsidRPr="00E573C3" w14:paraId="0829CBB1" w14:textId="77777777" w:rsidTr="00E75638">
        <w:trPr>
          <w:trHeight w:val="290"/>
        </w:trPr>
        <w:tc>
          <w:tcPr>
            <w:tcW w:w="3443" w:type="dxa"/>
            <w:tcBorders>
              <w:top w:val="single" w:sz="4" w:space="0" w:color="auto"/>
              <w:bottom w:val="single" w:sz="4" w:space="0" w:color="auto"/>
            </w:tcBorders>
            <w:shd w:val="clear" w:color="auto" w:fill="auto"/>
            <w:noWrap/>
            <w:vAlign w:val="bottom"/>
            <w:hideMark/>
          </w:tcPr>
          <w:p w14:paraId="305C2C95"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Construct</w:t>
            </w:r>
          </w:p>
        </w:tc>
        <w:tc>
          <w:tcPr>
            <w:tcW w:w="977" w:type="dxa"/>
            <w:tcBorders>
              <w:top w:val="single" w:sz="4" w:space="0" w:color="auto"/>
              <w:bottom w:val="single" w:sz="4" w:space="0" w:color="auto"/>
            </w:tcBorders>
            <w:shd w:val="clear" w:color="auto" w:fill="auto"/>
            <w:noWrap/>
            <w:vAlign w:val="bottom"/>
            <w:hideMark/>
          </w:tcPr>
          <w:p w14:paraId="5B271F6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Item</w:t>
            </w:r>
          </w:p>
        </w:tc>
        <w:tc>
          <w:tcPr>
            <w:tcW w:w="1410" w:type="dxa"/>
            <w:tcBorders>
              <w:top w:val="single" w:sz="4" w:space="0" w:color="auto"/>
              <w:bottom w:val="single" w:sz="4" w:space="0" w:color="auto"/>
            </w:tcBorders>
            <w:shd w:val="clear" w:color="auto" w:fill="auto"/>
            <w:noWrap/>
            <w:vAlign w:val="bottom"/>
            <w:hideMark/>
          </w:tcPr>
          <w:p w14:paraId="06EC930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Factor Loading</w:t>
            </w:r>
          </w:p>
        </w:tc>
        <w:tc>
          <w:tcPr>
            <w:tcW w:w="1083" w:type="dxa"/>
            <w:tcBorders>
              <w:top w:val="single" w:sz="4" w:space="0" w:color="auto"/>
              <w:bottom w:val="single" w:sz="4" w:space="0" w:color="auto"/>
            </w:tcBorders>
            <w:shd w:val="clear" w:color="auto" w:fill="auto"/>
            <w:noWrap/>
            <w:vAlign w:val="bottom"/>
            <w:hideMark/>
          </w:tcPr>
          <w:p w14:paraId="3CD0460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Variance</w:t>
            </w:r>
          </w:p>
        </w:tc>
        <w:tc>
          <w:tcPr>
            <w:tcW w:w="879" w:type="dxa"/>
            <w:tcBorders>
              <w:top w:val="single" w:sz="4" w:space="0" w:color="auto"/>
              <w:bottom w:val="single" w:sz="4" w:space="0" w:color="auto"/>
            </w:tcBorders>
            <w:shd w:val="clear" w:color="auto" w:fill="auto"/>
            <w:noWrap/>
            <w:vAlign w:val="bottom"/>
            <w:hideMark/>
          </w:tcPr>
          <w:p w14:paraId="1D1AA0D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Error</w:t>
            </w:r>
          </w:p>
        </w:tc>
        <w:tc>
          <w:tcPr>
            <w:tcW w:w="879" w:type="dxa"/>
            <w:tcBorders>
              <w:top w:val="single" w:sz="4" w:space="0" w:color="auto"/>
              <w:bottom w:val="single" w:sz="4" w:space="0" w:color="auto"/>
            </w:tcBorders>
            <w:shd w:val="clear" w:color="auto" w:fill="auto"/>
            <w:noWrap/>
            <w:vAlign w:val="bottom"/>
            <w:hideMark/>
          </w:tcPr>
          <w:p w14:paraId="2199BB2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SCR</w:t>
            </w:r>
          </w:p>
        </w:tc>
        <w:tc>
          <w:tcPr>
            <w:tcW w:w="879" w:type="dxa"/>
            <w:tcBorders>
              <w:top w:val="single" w:sz="4" w:space="0" w:color="auto"/>
              <w:bottom w:val="single" w:sz="4" w:space="0" w:color="auto"/>
            </w:tcBorders>
            <w:shd w:val="clear" w:color="auto" w:fill="auto"/>
            <w:noWrap/>
            <w:vAlign w:val="bottom"/>
            <w:hideMark/>
          </w:tcPr>
          <w:p w14:paraId="21AD15C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AVE</w:t>
            </w:r>
          </w:p>
        </w:tc>
      </w:tr>
      <w:tr w:rsidR="00105654" w:rsidRPr="00E573C3" w14:paraId="4F169E66" w14:textId="77777777" w:rsidTr="00E75638">
        <w:trPr>
          <w:trHeight w:val="290"/>
        </w:trPr>
        <w:tc>
          <w:tcPr>
            <w:tcW w:w="3443" w:type="dxa"/>
            <w:tcBorders>
              <w:top w:val="single" w:sz="4" w:space="0" w:color="auto"/>
            </w:tcBorders>
            <w:shd w:val="clear" w:color="auto" w:fill="auto"/>
            <w:noWrap/>
            <w:vAlign w:val="bottom"/>
            <w:hideMark/>
          </w:tcPr>
          <w:p w14:paraId="4677E898"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Connectivity (SC)</w:t>
            </w:r>
          </w:p>
        </w:tc>
        <w:tc>
          <w:tcPr>
            <w:tcW w:w="977" w:type="dxa"/>
            <w:tcBorders>
              <w:top w:val="single" w:sz="4" w:space="0" w:color="auto"/>
            </w:tcBorders>
            <w:shd w:val="clear" w:color="auto" w:fill="auto"/>
            <w:noWrap/>
            <w:vAlign w:val="bottom"/>
            <w:hideMark/>
          </w:tcPr>
          <w:p w14:paraId="0122D7E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SC1</w:t>
            </w:r>
          </w:p>
        </w:tc>
        <w:tc>
          <w:tcPr>
            <w:tcW w:w="1410" w:type="dxa"/>
            <w:tcBorders>
              <w:top w:val="single" w:sz="4" w:space="0" w:color="auto"/>
            </w:tcBorders>
            <w:shd w:val="clear" w:color="auto" w:fill="auto"/>
            <w:noWrap/>
            <w:vAlign w:val="bottom"/>
            <w:hideMark/>
          </w:tcPr>
          <w:p w14:paraId="30C173B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0.83</w:t>
            </w:r>
          </w:p>
        </w:tc>
        <w:tc>
          <w:tcPr>
            <w:tcW w:w="1083" w:type="dxa"/>
            <w:tcBorders>
              <w:top w:val="single" w:sz="4" w:space="0" w:color="auto"/>
            </w:tcBorders>
            <w:shd w:val="clear" w:color="auto" w:fill="auto"/>
            <w:noWrap/>
            <w:vAlign w:val="bottom"/>
            <w:hideMark/>
          </w:tcPr>
          <w:p w14:paraId="0881E3B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0.68</w:t>
            </w:r>
          </w:p>
        </w:tc>
        <w:tc>
          <w:tcPr>
            <w:tcW w:w="879" w:type="dxa"/>
            <w:tcBorders>
              <w:top w:val="single" w:sz="4" w:space="0" w:color="auto"/>
            </w:tcBorders>
            <w:shd w:val="clear" w:color="auto" w:fill="auto"/>
            <w:noWrap/>
            <w:vAlign w:val="bottom"/>
            <w:hideMark/>
          </w:tcPr>
          <w:p w14:paraId="7A08CDF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0.32</w:t>
            </w:r>
          </w:p>
        </w:tc>
        <w:tc>
          <w:tcPr>
            <w:tcW w:w="879" w:type="dxa"/>
            <w:tcBorders>
              <w:top w:val="single" w:sz="4" w:space="0" w:color="auto"/>
            </w:tcBorders>
            <w:shd w:val="clear" w:color="auto" w:fill="auto"/>
            <w:noWrap/>
            <w:vAlign w:val="bottom"/>
            <w:hideMark/>
          </w:tcPr>
          <w:p w14:paraId="3ED2319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0.85</w:t>
            </w:r>
          </w:p>
        </w:tc>
        <w:tc>
          <w:tcPr>
            <w:tcW w:w="879" w:type="dxa"/>
            <w:tcBorders>
              <w:top w:val="single" w:sz="4" w:space="0" w:color="auto"/>
            </w:tcBorders>
            <w:shd w:val="clear" w:color="auto" w:fill="auto"/>
            <w:noWrap/>
            <w:vAlign w:val="bottom"/>
            <w:hideMark/>
          </w:tcPr>
          <w:p w14:paraId="20C5609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0.66</w:t>
            </w:r>
          </w:p>
        </w:tc>
      </w:tr>
      <w:tr w:rsidR="00105654" w:rsidRPr="00E573C3" w14:paraId="4E37346D" w14:textId="77777777" w:rsidTr="00E75638">
        <w:trPr>
          <w:trHeight w:val="290"/>
        </w:trPr>
        <w:tc>
          <w:tcPr>
            <w:tcW w:w="3443" w:type="dxa"/>
            <w:shd w:val="clear" w:color="auto" w:fill="auto"/>
            <w:noWrap/>
            <w:vAlign w:val="bottom"/>
            <w:hideMark/>
          </w:tcPr>
          <w:p w14:paraId="31C79555"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50B8B56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SC2</w:t>
            </w:r>
          </w:p>
        </w:tc>
        <w:tc>
          <w:tcPr>
            <w:tcW w:w="1410" w:type="dxa"/>
            <w:shd w:val="clear" w:color="auto" w:fill="auto"/>
            <w:noWrap/>
            <w:vAlign w:val="bottom"/>
            <w:hideMark/>
          </w:tcPr>
          <w:p w14:paraId="5913C38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0.80</w:t>
            </w:r>
          </w:p>
        </w:tc>
        <w:tc>
          <w:tcPr>
            <w:tcW w:w="1083" w:type="dxa"/>
            <w:shd w:val="clear" w:color="auto" w:fill="auto"/>
            <w:noWrap/>
            <w:vAlign w:val="bottom"/>
            <w:hideMark/>
          </w:tcPr>
          <w:p w14:paraId="6640D1B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0.64</w:t>
            </w:r>
          </w:p>
        </w:tc>
        <w:tc>
          <w:tcPr>
            <w:tcW w:w="879" w:type="dxa"/>
            <w:shd w:val="clear" w:color="auto" w:fill="auto"/>
            <w:noWrap/>
            <w:vAlign w:val="bottom"/>
            <w:hideMark/>
          </w:tcPr>
          <w:p w14:paraId="5FBADBE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0.36</w:t>
            </w:r>
          </w:p>
        </w:tc>
        <w:tc>
          <w:tcPr>
            <w:tcW w:w="879" w:type="dxa"/>
            <w:shd w:val="clear" w:color="auto" w:fill="auto"/>
            <w:noWrap/>
            <w:vAlign w:val="bottom"/>
            <w:hideMark/>
          </w:tcPr>
          <w:p w14:paraId="1E933F7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11F7104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1261680F" w14:textId="77777777" w:rsidTr="00E75638">
        <w:trPr>
          <w:trHeight w:val="290"/>
        </w:trPr>
        <w:tc>
          <w:tcPr>
            <w:tcW w:w="3443" w:type="dxa"/>
            <w:tcBorders>
              <w:bottom w:val="single" w:sz="4" w:space="0" w:color="auto"/>
            </w:tcBorders>
            <w:shd w:val="clear" w:color="auto" w:fill="auto"/>
            <w:noWrap/>
            <w:vAlign w:val="bottom"/>
            <w:hideMark/>
          </w:tcPr>
          <w:p w14:paraId="36E316E2"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40F1BB6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SC3</w:t>
            </w:r>
          </w:p>
        </w:tc>
        <w:tc>
          <w:tcPr>
            <w:tcW w:w="1410" w:type="dxa"/>
            <w:tcBorders>
              <w:bottom w:val="single" w:sz="4" w:space="0" w:color="auto"/>
            </w:tcBorders>
            <w:shd w:val="clear" w:color="auto" w:fill="auto"/>
            <w:noWrap/>
            <w:vAlign w:val="bottom"/>
            <w:hideMark/>
          </w:tcPr>
          <w:p w14:paraId="14AF86C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0.81</w:t>
            </w:r>
          </w:p>
        </w:tc>
        <w:tc>
          <w:tcPr>
            <w:tcW w:w="1083" w:type="dxa"/>
            <w:tcBorders>
              <w:bottom w:val="single" w:sz="4" w:space="0" w:color="auto"/>
            </w:tcBorders>
            <w:shd w:val="clear" w:color="auto" w:fill="auto"/>
            <w:noWrap/>
            <w:vAlign w:val="bottom"/>
            <w:hideMark/>
          </w:tcPr>
          <w:p w14:paraId="2CD2861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0.66</w:t>
            </w:r>
          </w:p>
        </w:tc>
        <w:tc>
          <w:tcPr>
            <w:tcW w:w="879" w:type="dxa"/>
            <w:tcBorders>
              <w:bottom w:val="single" w:sz="4" w:space="0" w:color="auto"/>
            </w:tcBorders>
            <w:shd w:val="clear" w:color="auto" w:fill="auto"/>
            <w:noWrap/>
            <w:vAlign w:val="bottom"/>
            <w:hideMark/>
          </w:tcPr>
          <w:p w14:paraId="236FF01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0.34</w:t>
            </w:r>
          </w:p>
        </w:tc>
        <w:tc>
          <w:tcPr>
            <w:tcW w:w="879" w:type="dxa"/>
            <w:tcBorders>
              <w:bottom w:val="single" w:sz="4" w:space="0" w:color="auto"/>
            </w:tcBorders>
            <w:shd w:val="clear" w:color="auto" w:fill="auto"/>
            <w:noWrap/>
            <w:vAlign w:val="bottom"/>
            <w:hideMark/>
          </w:tcPr>
          <w:p w14:paraId="185B396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7EB5754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632E5996" w14:textId="77777777" w:rsidTr="00E75638">
        <w:trPr>
          <w:trHeight w:val="290"/>
        </w:trPr>
        <w:tc>
          <w:tcPr>
            <w:tcW w:w="3443" w:type="dxa"/>
            <w:tcBorders>
              <w:top w:val="single" w:sz="4" w:space="0" w:color="auto"/>
            </w:tcBorders>
            <w:shd w:val="clear" w:color="auto" w:fill="auto"/>
            <w:noWrap/>
            <w:vAlign w:val="bottom"/>
            <w:hideMark/>
          </w:tcPr>
          <w:p w14:paraId="3DE1C8B6"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Information Sharing (SCI)</w:t>
            </w:r>
          </w:p>
        </w:tc>
        <w:tc>
          <w:tcPr>
            <w:tcW w:w="977" w:type="dxa"/>
            <w:tcBorders>
              <w:top w:val="single" w:sz="4" w:space="0" w:color="auto"/>
            </w:tcBorders>
            <w:shd w:val="clear" w:color="auto" w:fill="auto"/>
            <w:noWrap/>
            <w:vAlign w:val="bottom"/>
            <w:hideMark/>
          </w:tcPr>
          <w:p w14:paraId="19DDCFF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SCI1</w:t>
            </w:r>
          </w:p>
        </w:tc>
        <w:tc>
          <w:tcPr>
            <w:tcW w:w="1410" w:type="dxa"/>
            <w:tcBorders>
              <w:top w:val="single" w:sz="4" w:space="0" w:color="auto"/>
            </w:tcBorders>
            <w:shd w:val="clear" w:color="auto" w:fill="auto"/>
            <w:noWrap/>
            <w:vAlign w:val="bottom"/>
            <w:hideMark/>
          </w:tcPr>
          <w:p w14:paraId="6D8065D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0.77</w:t>
            </w:r>
          </w:p>
        </w:tc>
        <w:tc>
          <w:tcPr>
            <w:tcW w:w="1083" w:type="dxa"/>
            <w:tcBorders>
              <w:top w:val="single" w:sz="4" w:space="0" w:color="auto"/>
            </w:tcBorders>
            <w:shd w:val="clear" w:color="auto" w:fill="auto"/>
            <w:noWrap/>
            <w:vAlign w:val="bottom"/>
            <w:hideMark/>
          </w:tcPr>
          <w:p w14:paraId="71CFAF8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0.60</w:t>
            </w:r>
          </w:p>
        </w:tc>
        <w:tc>
          <w:tcPr>
            <w:tcW w:w="879" w:type="dxa"/>
            <w:tcBorders>
              <w:top w:val="single" w:sz="4" w:space="0" w:color="auto"/>
            </w:tcBorders>
            <w:shd w:val="clear" w:color="auto" w:fill="auto"/>
            <w:noWrap/>
            <w:vAlign w:val="bottom"/>
            <w:hideMark/>
          </w:tcPr>
          <w:p w14:paraId="478E111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0.40</w:t>
            </w:r>
          </w:p>
        </w:tc>
        <w:tc>
          <w:tcPr>
            <w:tcW w:w="879" w:type="dxa"/>
            <w:tcBorders>
              <w:top w:val="single" w:sz="4" w:space="0" w:color="auto"/>
            </w:tcBorders>
            <w:shd w:val="clear" w:color="auto" w:fill="auto"/>
            <w:noWrap/>
            <w:vAlign w:val="bottom"/>
            <w:hideMark/>
          </w:tcPr>
          <w:p w14:paraId="3032254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0.89</w:t>
            </w:r>
          </w:p>
        </w:tc>
        <w:tc>
          <w:tcPr>
            <w:tcW w:w="879" w:type="dxa"/>
            <w:tcBorders>
              <w:top w:val="single" w:sz="4" w:space="0" w:color="auto"/>
            </w:tcBorders>
            <w:shd w:val="clear" w:color="auto" w:fill="auto"/>
            <w:noWrap/>
            <w:vAlign w:val="bottom"/>
            <w:hideMark/>
          </w:tcPr>
          <w:p w14:paraId="0ECCD5A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0.62</w:t>
            </w:r>
          </w:p>
        </w:tc>
      </w:tr>
      <w:tr w:rsidR="00105654" w:rsidRPr="00E573C3" w14:paraId="3D6C0F9E" w14:textId="77777777" w:rsidTr="00E75638">
        <w:trPr>
          <w:trHeight w:val="290"/>
        </w:trPr>
        <w:tc>
          <w:tcPr>
            <w:tcW w:w="3443" w:type="dxa"/>
            <w:shd w:val="clear" w:color="auto" w:fill="auto"/>
            <w:noWrap/>
            <w:vAlign w:val="bottom"/>
            <w:hideMark/>
          </w:tcPr>
          <w:p w14:paraId="042FC67B"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37DE213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SCI2</w:t>
            </w:r>
          </w:p>
        </w:tc>
        <w:tc>
          <w:tcPr>
            <w:tcW w:w="1410" w:type="dxa"/>
            <w:shd w:val="clear" w:color="auto" w:fill="auto"/>
            <w:noWrap/>
            <w:vAlign w:val="bottom"/>
            <w:hideMark/>
          </w:tcPr>
          <w:p w14:paraId="5FAE291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0.77</w:t>
            </w:r>
          </w:p>
        </w:tc>
        <w:tc>
          <w:tcPr>
            <w:tcW w:w="1083" w:type="dxa"/>
            <w:shd w:val="clear" w:color="auto" w:fill="auto"/>
            <w:noWrap/>
            <w:vAlign w:val="bottom"/>
            <w:hideMark/>
          </w:tcPr>
          <w:p w14:paraId="376AD12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0.60</w:t>
            </w:r>
          </w:p>
        </w:tc>
        <w:tc>
          <w:tcPr>
            <w:tcW w:w="879" w:type="dxa"/>
            <w:shd w:val="clear" w:color="auto" w:fill="auto"/>
            <w:noWrap/>
            <w:vAlign w:val="bottom"/>
            <w:hideMark/>
          </w:tcPr>
          <w:p w14:paraId="17E602A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0.40</w:t>
            </w:r>
          </w:p>
        </w:tc>
        <w:tc>
          <w:tcPr>
            <w:tcW w:w="879" w:type="dxa"/>
            <w:shd w:val="clear" w:color="auto" w:fill="auto"/>
            <w:noWrap/>
            <w:vAlign w:val="bottom"/>
            <w:hideMark/>
          </w:tcPr>
          <w:p w14:paraId="6DFFCF4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09C09DA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82E7FD6" w14:textId="77777777" w:rsidTr="00E75638">
        <w:trPr>
          <w:trHeight w:val="290"/>
        </w:trPr>
        <w:tc>
          <w:tcPr>
            <w:tcW w:w="3443" w:type="dxa"/>
            <w:shd w:val="clear" w:color="auto" w:fill="auto"/>
            <w:noWrap/>
            <w:vAlign w:val="bottom"/>
            <w:hideMark/>
          </w:tcPr>
          <w:p w14:paraId="759FE9FA"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12E003E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SCI3</w:t>
            </w:r>
          </w:p>
        </w:tc>
        <w:tc>
          <w:tcPr>
            <w:tcW w:w="1410" w:type="dxa"/>
            <w:shd w:val="clear" w:color="auto" w:fill="auto"/>
            <w:noWrap/>
            <w:vAlign w:val="bottom"/>
            <w:hideMark/>
          </w:tcPr>
          <w:p w14:paraId="37024D9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0.85</w:t>
            </w:r>
          </w:p>
        </w:tc>
        <w:tc>
          <w:tcPr>
            <w:tcW w:w="1083" w:type="dxa"/>
            <w:shd w:val="clear" w:color="auto" w:fill="auto"/>
            <w:noWrap/>
            <w:vAlign w:val="bottom"/>
            <w:hideMark/>
          </w:tcPr>
          <w:p w14:paraId="6E66AAA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0.72</w:t>
            </w:r>
          </w:p>
        </w:tc>
        <w:tc>
          <w:tcPr>
            <w:tcW w:w="879" w:type="dxa"/>
            <w:shd w:val="clear" w:color="auto" w:fill="auto"/>
            <w:noWrap/>
            <w:vAlign w:val="bottom"/>
            <w:hideMark/>
          </w:tcPr>
          <w:p w14:paraId="73AE005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0.28</w:t>
            </w:r>
          </w:p>
        </w:tc>
        <w:tc>
          <w:tcPr>
            <w:tcW w:w="879" w:type="dxa"/>
            <w:shd w:val="clear" w:color="auto" w:fill="auto"/>
            <w:noWrap/>
            <w:vAlign w:val="bottom"/>
            <w:hideMark/>
          </w:tcPr>
          <w:p w14:paraId="754F050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7381DDF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6B9616EE" w14:textId="77777777" w:rsidTr="00E75638">
        <w:trPr>
          <w:trHeight w:val="290"/>
        </w:trPr>
        <w:tc>
          <w:tcPr>
            <w:tcW w:w="3443" w:type="dxa"/>
            <w:shd w:val="clear" w:color="auto" w:fill="auto"/>
            <w:noWrap/>
            <w:vAlign w:val="bottom"/>
            <w:hideMark/>
          </w:tcPr>
          <w:p w14:paraId="0AEB2CDB"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7B24878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SCI4</w:t>
            </w:r>
          </w:p>
        </w:tc>
        <w:tc>
          <w:tcPr>
            <w:tcW w:w="1410" w:type="dxa"/>
            <w:shd w:val="clear" w:color="auto" w:fill="auto"/>
            <w:noWrap/>
            <w:vAlign w:val="bottom"/>
            <w:hideMark/>
          </w:tcPr>
          <w:p w14:paraId="43711CB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0.75</w:t>
            </w:r>
          </w:p>
        </w:tc>
        <w:tc>
          <w:tcPr>
            <w:tcW w:w="1083" w:type="dxa"/>
            <w:shd w:val="clear" w:color="auto" w:fill="auto"/>
            <w:noWrap/>
            <w:vAlign w:val="bottom"/>
            <w:hideMark/>
          </w:tcPr>
          <w:p w14:paraId="65667E8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0.56</w:t>
            </w:r>
          </w:p>
        </w:tc>
        <w:tc>
          <w:tcPr>
            <w:tcW w:w="879" w:type="dxa"/>
            <w:shd w:val="clear" w:color="auto" w:fill="auto"/>
            <w:noWrap/>
            <w:vAlign w:val="bottom"/>
            <w:hideMark/>
          </w:tcPr>
          <w:p w14:paraId="280FEA4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0.44</w:t>
            </w:r>
          </w:p>
        </w:tc>
        <w:tc>
          <w:tcPr>
            <w:tcW w:w="879" w:type="dxa"/>
            <w:shd w:val="clear" w:color="auto" w:fill="auto"/>
            <w:noWrap/>
            <w:vAlign w:val="bottom"/>
            <w:hideMark/>
          </w:tcPr>
          <w:p w14:paraId="059BE10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4815136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212E1311" w14:textId="77777777" w:rsidTr="00E75638">
        <w:trPr>
          <w:trHeight w:val="290"/>
        </w:trPr>
        <w:tc>
          <w:tcPr>
            <w:tcW w:w="3443" w:type="dxa"/>
            <w:tcBorders>
              <w:bottom w:val="single" w:sz="4" w:space="0" w:color="auto"/>
            </w:tcBorders>
            <w:shd w:val="clear" w:color="auto" w:fill="auto"/>
            <w:noWrap/>
            <w:vAlign w:val="bottom"/>
            <w:hideMark/>
          </w:tcPr>
          <w:p w14:paraId="77FA915C"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62A75BA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SCI5</w:t>
            </w:r>
          </w:p>
        </w:tc>
        <w:tc>
          <w:tcPr>
            <w:tcW w:w="1410" w:type="dxa"/>
            <w:tcBorders>
              <w:bottom w:val="single" w:sz="4" w:space="0" w:color="auto"/>
            </w:tcBorders>
            <w:shd w:val="clear" w:color="auto" w:fill="auto"/>
            <w:noWrap/>
            <w:vAlign w:val="bottom"/>
            <w:hideMark/>
          </w:tcPr>
          <w:p w14:paraId="4973D86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0.81</w:t>
            </w:r>
          </w:p>
        </w:tc>
        <w:tc>
          <w:tcPr>
            <w:tcW w:w="1083" w:type="dxa"/>
            <w:tcBorders>
              <w:bottom w:val="single" w:sz="4" w:space="0" w:color="auto"/>
            </w:tcBorders>
            <w:shd w:val="clear" w:color="auto" w:fill="auto"/>
            <w:noWrap/>
            <w:vAlign w:val="bottom"/>
            <w:hideMark/>
          </w:tcPr>
          <w:p w14:paraId="7C42C7B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0.65</w:t>
            </w:r>
          </w:p>
        </w:tc>
        <w:tc>
          <w:tcPr>
            <w:tcW w:w="879" w:type="dxa"/>
            <w:tcBorders>
              <w:bottom w:val="single" w:sz="4" w:space="0" w:color="auto"/>
            </w:tcBorders>
            <w:shd w:val="clear" w:color="auto" w:fill="auto"/>
            <w:noWrap/>
            <w:vAlign w:val="bottom"/>
            <w:hideMark/>
          </w:tcPr>
          <w:p w14:paraId="28F52D9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0.35</w:t>
            </w:r>
          </w:p>
        </w:tc>
        <w:tc>
          <w:tcPr>
            <w:tcW w:w="879" w:type="dxa"/>
            <w:tcBorders>
              <w:bottom w:val="single" w:sz="4" w:space="0" w:color="auto"/>
            </w:tcBorders>
            <w:shd w:val="clear" w:color="auto" w:fill="auto"/>
            <w:noWrap/>
            <w:vAlign w:val="bottom"/>
            <w:hideMark/>
          </w:tcPr>
          <w:p w14:paraId="60E3FAC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2517E80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2E80A983" w14:textId="77777777" w:rsidTr="00E75638">
        <w:trPr>
          <w:trHeight w:val="290"/>
        </w:trPr>
        <w:tc>
          <w:tcPr>
            <w:tcW w:w="3443" w:type="dxa"/>
            <w:tcBorders>
              <w:top w:val="single" w:sz="4" w:space="0" w:color="auto"/>
            </w:tcBorders>
            <w:shd w:val="clear" w:color="auto" w:fill="auto"/>
            <w:noWrap/>
            <w:vAlign w:val="bottom"/>
            <w:hideMark/>
          </w:tcPr>
          <w:p w14:paraId="7F9E2C91"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Visibility (SCV)</w:t>
            </w:r>
          </w:p>
        </w:tc>
        <w:tc>
          <w:tcPr>
            <w:tcW w:w="977" w:type="dxa"/>
            <w:tcBorders>
              <w:top w:val="single" w:sz="4" w:space="0" w:color="auto"/>
            </w:tcBorders>
            <w:shd w:val="clear" w:color="auto" w:fill="auto"/>
            <w:noWrap/>
            <w:vAlign w:val="bottom"/>
            <w:hideMark/>
          </w:tcPr>
          <w:p w14:paraId="7220BC1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SCV1</w:t>
            </w:r>
          </w:p>
        </w:tc>
        <w:tc>
          <w:tcPr>
            <w:tcW w:w="1410" w:type="dxa"/>
            <w:tcBorders>
              <w:top w:val="single" w:sz="4" w:space="0" w:color="auto"/>
            </w:tcBorders>
            <w:shd w:val="clear" w:color="auto" w:fill="auto"/>
            <w:noWrap/>
            <w:vAlign w:val="bottom"/>
            <w:hideMark/>
          </w:tcPr>
          <w:p w14:paraId="6CDDDE6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0.81</w:t>
            </w:r>
          </w:p>
        </w:tc>
        <w:tc>
          <w:tcPr>
            <w:tcW w:w="1083" w:type="dxa"/>
            <w:tcBorders>
              <w:top w:val="single" w:sz="4" w:space="0" w:color="auto"/>
            </w:tcBorders>
            <w:shd w:val="clear" w:color="auto" w:fill="auto"/>
            <w:noWrap/>
            <w:vAlign w:val="bottom"/>
            <w:hideMark/>
          </w:tcPr>
          <w:p w14:paraId="16AB14D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0.66</w:t>
            </w:r>
          </w:p>
        </w:tc>
        <w:tc>
          <w:tcPr>
            <w:tcW w:w="879" w:type="dxa"/>
            <w:tcBorders>
              <w:top w:val="single" w:sz="4" w:space="0" w:color="auto"/>
            </w:tcBorders>
            <w:shd w:val="clear" w:color="auto" w:fill="auto"/>
            <w:noWrap/>
            <w:vAlign w:val="bottom"/>
            <w:hideMark/>
          </w:tcPr>
          <w:p w14:paraId="3C4ACE0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0.34</w:t>
            </w:r>
          </w:p>
        </w:tc>
        <w:tc>
          <w:tcPr>
            <w:tcW w:w="879" w:type="dxa"/>
            <w:tcBorders>
              <w:top w:val="single" w:sz="4" w:space="0" w:color="auto"/>
            </w:tcBorders>
            <w:shd w:val="clear" w:color="auto" w:fill="auto"/>
            <w:noWrap/>
            <w:vAlign w:val="bottom"/>
            <w:hideMark/>
          </w:tcPr>
          <w:p w14:paraId="1CCEA12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0.76</w:t>
            </w:r>
          </w:p>
        </w:tc>
        <w:tc>
          <w:tcPr>
            <w:tcW w:w="879" w:type="dxa"/>
            <w:tcBorders>
              <w:top w:val="single" w:sz="4" w:space="0" w:color="auto"/>
            </w:tcBorders>
            <w:shd w:val="clear" w:color="auto" w:fill="auto"/>
            <w:noWrap/>
            <w:vAlign w:val="bottom"/>
            <w:hideMark/>
          </w:tcPr>
          <w:p w14:paraId="3E0A5C3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0.62</w:t>
            </w:r>
          </w:p>
        </w:tc>
      </w:tr>
      <w:tr w:rsidR="00105654" w:rsidRPr="00E573C3" w14:paraId="3CA05FCE" w14:textId="77777777" w:rsidTr="00E75638">
        <w:trPr>
          <w:trHeight w:val="290"/>
        </w:trPr>
        <w:tc>
          <w:tcPr>
            <w:tcW w:w="3443" w:type="dxa"/>
            <w:tcBorders>
              <w:bottom w:val="single" w:sz="4" w:space="0" w:color="auto"/>
            </w:tcBorders>
            <w:shd w:val="clear" w:color="auto" w:fill="auto"/>
            <w:noWrap/>
            <w:vAlign w:val="bottom"/>
            <w:hideMark/>
          </w:tcPr>
          <w:p w14:paraId="18F3BFEA"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5A1625C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SCV2</w:t>
            </w:r>
          </w:p>
        </w:tc>
        <w:tc>
          <w:tcPr>
            <w:tcW w:w="1410" w:type="dxa"/>
            <w:tcBorders>
              <w:bottom w:val="single" w:sz="4" w:space="0" w:color="auto"/>
            </w:tcBorders>
            <w:shd w:val="clear" w:color="auto" w:fill="auto"/>
            <w:noWrap/>
            <w:vAlign w:val="bottom"/>
            <w:hideMark/>
          </w:tcPr>
          <w:p w14:paraId="1EB374B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0.75</w:t>
            </w:r>
          </w:p>
        </w:tc>
        <w:tc>
          <w:tcPr>
            <w:tcW w:w="1083" w:type="dxa"/>
            <w:tcBorders>
              <w:bottom w:val="single" w:sz="4" w:space="0" w:color="auto"/>
            </w:tcBorders>
            <w:shd w:val="clear" w:color="auto" w:fill="auto"/>
            <w:noWrap/>
            <w:vAlign w:val="bottom"/>
            <w:hideMark/>
          </w:tcPr>
          <w:p w14:paraId="659095B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0.57</w:t>
            </w:r>
          </w:p>
        </w:tc>
        <w:tc>
          <w:tcPr>
            <w:tcW w:w="879" w:type="dxa"/>
            <w:tcBorders>
              <w:bottom w:val="single" w:sz="4" w:space="0" w:color="auto"/>
            </w:tcBorders>
            <w:shd w:val="clear" w:color="auto" w:fill="auto"/>
            <w:noWrap/>
            <w:vAlign w:val="bottom"/>
            <w:hideMark/>
          </w:tcPr>
          <w:p w14:paraId="76CDAC5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0.43</w:t>
            </w:r>
          </w:p>
        </w:tc>
        <w:tc>
          <w:tcPr>
            <w:tcW w:w="879" w:type="dxa"/>
            <w:tcBorders>
              <w:bottom w:val="single" w:sz="4" w:space="0" w:color="auto"/>
            </w:tcBorders>
            <w:shd w:val="clear" w:color="auto" w:fill="auto"/>
            <w:noWrap/>
            <w:vAlign w:val="bottom"/>
            <w:hideMark/>
          </w:tcPr>
          <w:p w14:paraId="4B5A157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59F58FF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5C82A83" w14:textId="77777777" w:rsidTr="00E75638">
        <w:trPr>
          <w:trHeight w:val="290"/>
        </w:trPr>
        <w:tc>
          <w:tcPr>
            <w:tcW w:w="3443" w:type="dxa"/>
            <w:tcBorders>
              <w:top w:val="single" w:sz="4" w:space="0" w:color="auto"/>
            </w:tcBorders>
            <w:shd w:val="clear" w:color="auto" w:fill="auto"/>
            <w:noWrap/>
            <w:vAlign w:val="bottom"/>
            <w:hideMark/>
          </w:tcPr>
          <w:p w14:paraId="6F882558"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Top Management Commitment (TMC)</w:t>
            </w:r>
          </w:p>
        </w:tc>
        <w:tc>
          <w:tcPr>
            <w:tcW w:w="977" w:type="dxa"/>
            <w:tcBorders>
              <w:top w:val="single" w:sz="4" w:space="0" w:color="auto"/>
            </w:tcBorders>
            <w:shd w:val="clear" w:color="auto" w:fill="auto"/>
            <w:noWrap/>
            <w:vAlign w:val="bottom"/>
            <w:hideMark/>
          </w:tcPr>
          <w:p w14:paraId="550D940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TMC1</w:t>
            </w:r>
          </w:p>
        </w:tc>
        <w:tc>
          <w:tcPr>
            <w:tcW w:w="1410" w:type="dxa"/>
            <w:tcBorders>
              <w:top w:val="single" w:sz="4" w:space="0" w:color="auto"/>
            </w:tcBorders>
            <w:shd w:val="clear" w:color="auto" w:fill="auto"/>
            <w:noWrap/>
            <w:vAlign w:val="bottom"/>
            <w:hideMark/>
          </w:tcPr>
          <w:p w14:paraId="04F5DD4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0.89</w:t>
            </w:r>
          </w:p>
        </w:tc>
        <w:tc>
          <w:tcPr>
            <w:tcW w:w="1083" w:type="dxa"/>
            <w:tcBorders>
              <w:top w:val="single" w:sz="4" w:space="0" w:color="auto"/>
            </w:tcBorders>
            <w:shd w:val="clear" w:color="auto" w:fill="auto"/>
            <w:noWrap/>
            <w:vAlign w:val="bottom"/>
            <w:hideMark/>
          </w:tcPr>
          <w:p w14:paraId="6737318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0.80</w:t>
            </w:r>
          </w:p>
        </w:tc>
        <w:tc>
          <w:tcPr>
            <w:tcW w:w="879" w:type="dxa"/>
            <w:tcBorders>
              <w:top w:val="single" w:sz="4" w:space="0" w:color="auto"/>
            </w:tcBorders>
            <w:shd w:val="clear" w:color="auto" w:fill="auto"/>
            <w:noWrap/>
            <w:vAlign w:val="bottom"/>
            <w:hideMark/>
          </w:tcPr>
          <w:p w14:paraId="4B74EDF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0.20</w:t>
            </w:r>
          </w:p>
        </w:tc>
        <w:tc>
          <w:tcPr>
            <w:tcW w:w="879" w:type="dxa"/>
            <w:tcBorders>
              <w:top w:val="single" w:sz="4" w:space="0" w:color="auto"/>
            </w:tcBorders>
            <w:shd w:val="clear" w:color="auto" w:fill="auto"/>
            <w:noWrap/>
            <w:vAlign w:val="bottom"/>
            <w:hideMark/>
          </w:tcPr>
          <w:p w14:paraId="5FDA5E0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0.95</w:t>
            </w:r>
          </w:p>
        </w:tc>
        <w:tc>
          <w:tcPr>
            <w:tcW w:w="879" w:type="dxa"/>
            <w:tcBorders>
              <w:top w:val="single" w:sz="4" w:space="0" w:color="auto"/>
            </w:tcBorders>
            <w:shd w:val="clear" w:color="auto" w:fill="auto"/>
            <w:noWrap/>
            <w:vAlign w:val="bottom"/>
            <w:hideMark/>
          </w:tcPr>
          <w:p w14:paraId="5756BE1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0.78</w:t>
            </w:r>
          </w:p>
        </w:tc>
      </w:tr>
      <w:tr w:rsidR="00105654" w:rsidRPr="00E573C3" w14:paraId="4EC52846" w14:textId="77777777" w:rsidTr="00E75638">
        <w:trPr>
          <w:trHeight w:val="290"/>
        </w:trPr>
        <w:tc>
          <w:tcPr>
            <w:tcW w:w="3443" w:type="dxa"/>
            <w:shd w:val="clear" w:color="auto" w:fill="auto"/>
            <w:noWrap/>
            <w:vAlign w:val="bottom"/>
            <w:hideMark/>
          </w:tcPr>
          <w:p w14:paraId="5B13C479"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20652A7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TMC2</w:t>
            </w:r>
          </w:p>
        </w:tc>
        <w:tc>
          <w:tcPr>
            <w:tcW w:w="1410" w:type="dxa"/>
            <w:shd w:val="clear" w:color="auto" w:fill="auto"/>
            <w:noWrap/>
            <w:vAlign w:val="bottom"/>
            <w:hideMark/>
          </w:tcPr>
          <w:p w14:paraId="641B5FF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0.89</w:t>
            </w:r>
          </w:p>
        </w:tc>
        <w:tc>
          <w:tcPr>
            <w:tcW w:w="1083" w:type="dxa"/>
            <w:shd w:val="clear" w:color="auto" w:fill="auto"/>
            <w:noWrap/>
            <w:vAlign w:val="bottom"/>
            <w:hideMark/>
          </w:tcPr>
          <w:p w14:paraId="093D51D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0.79</w:t>
            </w:r>
          </w:p>
        </w:tc>
        <w:tc>
          <w:tcPr>
            <w:tcW w:w="879" w:type="dxa"/>
            <w:shd w:val="clear" w:color="auto" w:fill="auto"/>
            <w:noWrap/>
            <w:vAlign w:val="bottom"/>
            <w:hideMark/>
          </w:tcPr>
          <w:p w14:paraId="10784C3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0.21</w:t>
            </w:r>
          </w:p>
        </w:tc>
        <w:tc>
          <w:tcPr>
            <w:tcW w:w="879" w:type="dxa"/>
            <w:shd w:val="clear" w:color="auto" w:fill="auto"/>
            <w:noWrap/>
            <w:vAlign w:val="bottom"/>
            <w:hideMark/>
          </w:tcPr>
          <w:p w14:paraId="720FAD0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5E6E768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F343A36" w14:textId="77777777" w:rsidTr="00E75638">
        <w:trPr>
          <w:trHeight w:val="290"/>
        </w:trPr>
        <w:tc>
          <w:tcPr>
            <w:tcW w:w="3443" w:type="dxa"/>
            <w:shd w:val="clear" w:color="auto" w:fill="auto"/>
            <w:noWrap/>
            <w:vAlign w:val="bottom"/>
            <w:hideMark/>
          </w:tcPr>
          <w:p w14:paraId="7CA6F778"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2C70A1F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TMC3</w:t>
            </w:r>
          </w:p>
        </w:tc>
        <w:tc>
          <w:tcPr>
            <w:tcW w:w="1410" w:type="dxa"/>
            <w:shd w:val="clear" w:color="auto" w:fill="auto"/>
            <w:noWrap/>
            <w:vAlign w:val="bottom"/>
            <w:hideMark/>
          </w:tcPr>
          <w:p w14:paraId="780265C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0.89</w:t>
            </w:r>
          </w:p>
        </w:tc>
        <w:tc>
          <w:tcPr>
            <w:tcW w:w="1083" w:type="dxa"/>
            <w:shd w:val="clear" w:color="auto" w:fill="auto"/>
            <w:noWrap/>
            <w:vAlign w:val="bottom"/>
            <w:hideMark/>
          </w:tcPr>
          <w:p w14:paraId="0F08915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0.78</w:t>
            </w:r>
          </w:p>
        </w:tc>
        <w:tc>
          <w:tcPr>
            <w:tcW w:w="879" w:type="dxa"/>
            <w:shd w:val="clear" w:color="auto" w:fill="auto"/>
            <w:noWrap/>
            <w:vAlign w:val="bottom"/>
            <w:hideMark/>
          </w:tcPr>
          <w:p w14:paraId="56BB7F1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0.22</w:t>
            </w:r>
          </w:p>
        </w:tc>
        <w:tc>
          <w:tcPr>
            <w:tcW w:w="879" w:type="dxa"/>
            <w:shd w:val="clear" w:color="auto" w:fill="auto"/>
            <w:noWrap/>
            <w:vAlign w:val="bottom"/>
            <w:hideMark/>
          </w:tcPr>
          <w:p w14:paraId="72080ED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3A2F2F3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5531954" w14:textId="77777777" w:rsidTr="00E75638">
        <w:trPr>
          <w:trHeight w:val="290"/>
        </w:trPr>
        <w:tc>
          <w:tcPr>
            <w:tcW w:w="3443" w:type="dxa"/>
            <w:shd w:val="clear" w:color="auto" w:fill="auto"/>
            <w:noWrap/>
            <w:vAlign w:val="bottom"/>
            <w:hideMark/>
          </w:tcPr>
          <w:p w14:paraId="51A9F78B"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008A65B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TMC4</w:t>
            </w:r>
          </w:p>
        </w:tc>
        <w:tc>
          <w:tcPr>
            <w:tcW w:w="1410" w:type="dxa"/>
            <w:shd w:val="clear" w:color="auto" w:fill="auto"/>
            <w:noWrap/>
            <w:vAlign w:val="bottom"/>
            <w:hideMark/>
          </w:tcPr>
          <w:p w14:paraId="586DE01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0.88</w:t>
            </w:r>
          </w:p>
        </w:tc>
        <w:tc>
          <w:tcPr>
            <w:tcW w:w="1083" w:type="dxa"/>
            <w:shd w:val="clear" w:color="auto" w:fill="auto"/>
            <w:noWrap/>
            <w:vAlign w:val="bottom"/>
            <w:hideMark/>
          </w:tcPr>
          <w:p w14:paraId="0A3BE4A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0.77</w:t>
            </w:r>
          </w:p>
        </w:tc>
        <w:tc>
          <w:tcPr>
            <w:tcW w:w="879" w:type="dxa"/>
            <w:shd w:val="clear" w:color="auto" w:fill="auto"/>
            <w:noWrap/>
            <w:vAlign w:val="bottom"/>
            <w:hideMark/>
          </w:tcPr>
          <w:p w14:paraId="36BF7C0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0.23</w:t>
            </w:r>
          </w:p>
        </w:tc>
        <w:tc>
          <w:tcPr>
            <w:tcW w:w="879" w:type="dxa"/>
            <w:shd w:val="clear" w:color="auto" w:fill="auto"/>
            <w:noWrap/>
            <w:vAlign w:val="bottom"/>
            <w:hideMark/>
          </w:tcPr>
          <w:p w14:paraId="6B05526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46375F6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2DE979F" w14:textId="77777777" w:rsidTr="00E75638">
        <w:trPr>
          <w:trHeight w:val="290"/>
        </w:trPr>
        <w:tc>
          <w:tcPr>
            <w:tcW w:w="3443" w:type="dxa"/>
            <w:tcBorders>
              <w:bottom w:val="single" w:sz="4" w:space="0" w:color="auto"/>
            </w:tcBorders>
            <w:shd w:val="clear" w:color="auto" w:fill="auto"/>
            <w:noWrap/>
            <w:vAlign w:val="bottom"/>
            <w:hideMark/>
          </w:tcPr>
          <w:p w14:paraId="6FFF867A"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38D6E3C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TMC5</w:t>
            </w:r>
          </w:p>
        </w:tc>
        <w:tc>
          <w:tcPr>
            <w:tcW w:w="1410" w:type="dxa"/>
            <w:tcBorders>
              <w:bottom w:val="single" w:sz="4" w:space="0" w:color="auto"/>
            </w:tcBorders>
            <w:shd w:val="clear" w:color="auto" w:fill="auto"/>
            <w:noWrap/>
            <w:vAlign w:val="bottom"/>
            <w:hideMark/>
          </w:tcPr>
          <w:p w14:paraId="26EDA4C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0.86</w:t>
            </w:r>
          </w:p>
        </w:tc>
        <w:tc>
          <w:tcPr>
            <w:tcW w:w="1083" w:type="dxa"/>
            <w:tcBorders>
              <w:bottom w:val="single" w:sz="4" w:space="0" w:color="auto"/>
            </w:tcBorders>
            <w:shd w:val="clear" w:color="auto" w:fill="auto"/>
            <w:noWrap/>
            <w:vAlign w:val="bottom"/>
            <w:hideMark/>
          </w:tcPr>
          <w:p w14:paraId="05D6814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0.74</w:t>
            </w:r>
          </w:p>
        </w:tc>
        <w:tc>
          <w:tcPr>
            <w:tcW w:w="879" w:type="dxa"/>
            <w:tcBorders>
              <w:bottom w:val="single" w:sz="4" w:space="0" w:color="auto"/>
            </w:tcBorders>
            <w:shd w:val="clear" w:color="auto" w:fill="auto"/>
            <w:noWrap/>
            <w:vAlign w:val="bottom"/>
            <w:hideMark/>
          </w:tcPr>
          <w:p w14:paraId="112AD36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0.26</w:t>
            </w:r>
          </w:p>
        </w:tc>
        <w:tc>
          <w:tcPr>
            <w:tcW w:w="879" w:type="dxa"/>
            <w:tcBorders>
              <w:bottom w:val="single" w:sz="4" w:space="0" w:color="auto"/>
            </w:tcBorders>
            <w:shd w:val="clear" w:color="auto" w:fill="auto"/>
            <w:noWrap/>
            <w:vAlign w:val="bottom"/>
            <w:hideMark/>
          </w:tcPr>
          <w:p w14:paraId="32FD7A0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414017D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76A05C6" w14:textId="77777777" w:rsidTr="00E75638">
        <w:trPr>
          <w:trHeight w:val="290"/>
        </w:trPr>
        <w:tc>
          <w:tcPr>
            <w:tcW w:w="3443" w:type="dxa"/>
            <w:tcBorders>
              <w:top w:val="single" w:sz="4" w:space="0" w:color="auto"/>
            </w:tcBorders>
            <w:shd w:val="clear" w:color="auto" w:fill="auto"/>
            <w:noWrap/>
            <w:vAlign w:val="bottom"/>
            <w:hideMark/>
          </w:tcPr>
          <w:p w14:paraId="406BA1C7"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Agility (SCAG)</w:t>
            </w:r>
          </w:p>
        </w:tc>
        <w:tc>
          <w:tcPr>
            <w:tcW w:w="977" w:type="dxa"/>
            <w:tcBorders>
              <w:top w:val="single" w:sz="4" w:space="0" w:color="auto"/>
            </w:tcBorders>
            <w:shd w:val="clear" w:color="auto" w:fill="auto"/>
            <w:noWrap/>
            <w:vAlign w:val="bottom"/>
            <w:hideMark/>
          </w:tcPr>
          <w:p w14:paraId="7C2A222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SCAG1</w:t>
            </w:r>
          </w:p>
        </w:tc>
        <w:tc>
          <w:tcPr>
            <w:tcW w:w="1410" w:type="dxa"/>
            <w:tcBorders>
              <w:top w:val="single" w:sz="4" w:space="0" w:color="auto"/>
            </w:tcBorders>
            <w:shd w:val="clear" w:color="auto" w:fill="auto"/>
            <w:noWrap/>
            <w:vAlign w:val="bottom"/>
            <w:hideMark/>
          </w:tcPr>
          <w:p w14:paraId="776D7B0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0.85</w:t>
            </w:r>
          </w:p>
        </w:tc>
        <w:tc>
          <w:tcPr>
            <w:tcW w:w="1083" w:type="dxa"/>
            <w:tcBorders>
              <w:top w:val="single" w:sz="4" w:space="0" w:color="auto"/>
            </w:tcBorders>
            <w:shd w:val="clear" w:color="auto" w:fill="auto"/>
            <w:noWrap/>
            <w:vAlign w:val="bottom"/>
            <w:hideMark/>
          </w:tcPr>
          <w:p w14:paraId="3E167AD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0.73</w:t>
            </w:r>
          </w:p>
        </w:tc>
        <w:tc>
          <w:tcPr>
            <w:tcW w:w="879" w:type="dxa"/>
            <w:tcBorders>
              <w:top w:val="single" w:sz="4" w:space="0" w:color="auto"/>
            </w:tcBorders>
            <w:shd w:val="clear" w:color="auto" w:fill="auto"/>
            <w:noWrap/>
            <w:vAlign w:val="bottom"/>
            <w:hideMark/>
          </w:tcPr>
          <w:p w14:paraId="7F72565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0.27</w:t>
            </w:r>
          </w:p>
        </w:tc>
        <w:tc>
          <w:tcPr>
            <w:tcW w:w="879" w:type="dxa"/>
            <w:tcBorders>
              <w:top w:val="single" w:sz="4" w:space="0" w:color="auto"/>
            </w:tcBorders>
            <w:shd w:val="clear" w:color="auto" w:fill="auto"/>
            <w:noWrap/>
            <w:vAlign w:val="bottom"/>
            <w:hideMark/>
          </w:tcPr>
          <w:p w14:paraId="60679DE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0.96</w:t>
            </w:r>
          </w:p>
        </w:tc>
        <w:tc>
          <w:tcPr>
            <w:tcW w:w="879" w:type="dxa"/>
            <w:tcBorders>
              <w:top w:val="single" w:sz="4" w:space="0" w:color="auto"/>
            </w:tcBorders>
            <w:shd w:val="clear" w:color="auto" w:fill="auto"/>
            <w:noWrap/>
            <w:vAlign w:val="bottom"/>
            <w:hideMark/>
          </w:tcPr>
          <w:p w14:paraId="02216D4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0.82</w:t>
            </w:r>
          </w:p>
        </w:tc>
      </w:tr>
      <w:tr w:rsidR="00105654" w:rsidRPr="00E573C3" w14:paraId="0138A9BD" w14:textId="77777777" w:rsidTr="00E75638">
        <w:trPr>
          <w:trHeight w:val="290"/>
        </w:trPr>
        <w:tc>
          <w:tcPr>
            <w:tcW w:w="3443" w:type="dxa"/>
            <w:shd w:val="clear" w:color="auto" w:fill="auto"/>
            <w:noWrap/>
            <w:vAlign w:val="bottom"/>
            <w:hideMark/>
          </w:tcPr>
          <w:p w14:paraId="196C53A0"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6BD0F1A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SCAG2</w:t>
            </w:r>
          </w:p>
        </w:tc>
        <w:tc>
          <w:tcPr>
            <w:tcW w:w="1410" w:type="dxa"/>
            <w:shd w:val="clear" w:color="auto" w:fill="auto"/>
            <w:noWrap/>
            <w:vAlign w:val="bottom"/>
            <w:hideMark/>
          </w:tcPr>
          <w:p w14:paraId="49D4377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0.92</w:t>
            </w:r>
          </w:p>
        </w:tc>
        <w:tc>
          <w:tcPr>
            <w:tcW w:w="1083" w:type="dxa"/>
            <w:shd w:val="clear" w:color="auto" w:fill="auto"/>
            <w:noWrap/>
            <w:vAlign w:val="bottom"/>
            <w:hideMark/>
          </w:tcPr>
          <w:p w14:paraId="6D5FA98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0.85</w:t>
            </w:r>
          </w:p>
        </w:tc>
        <w:tc>
          <w:tcPr>
            <w:tcW w:w="879" w:type="dxa"/>
            <w:shd w:val="clear" w:color="auto" w:fill="auto"/>
            <w:noWrap/>
            <w:vAlign w:val="bottom"/>
            <w:hideMark/>
          </w:tcPr>
          <w:p w14:paraId="09F7010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0.15</w:t>
            </w:r>
          </w:p>
        </w:tc>
        <w:tc>
          <w:tcPr>
            <w:tcW w:w="879" w:type="dxa"/>
            <w:shd w:val="clear" w:color="auto" w:fill="auto"/>
            <w:noWrap/>
            <w:vAlign w:val="bottom"/>
            <w:hideMark/>
          </w:tcPr>
          <w:p w14:paraId="63EF158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6619A76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2CB68624" w14:textId="77777777" w:rsidTr="00E75638">
        <w:trPr>
          <w:trHeight w:val="290"/>
        </w:trPr>
        <w:tc>
          <w:tcPr>
            <w:tcW w:w="3443" w:type="dxa"/>
            <w:shd w:val="clear" w:color="auto" w:fill="auto"/>
            <w:noWrap/>
            <w:vAlign w:val="bottom"/>
            <w:hideMark/>
          </w:tcPr>
          <w:p w14:paraId="75D4606B"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6F83E1E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SCAG3</w:t>
            </w:r>
          </w:p>
        </w:tc>
        <w:tc>
          <w:tcPr>
            <w:tcW w:w="1410" w:type="dxa"/>
            <w:shd w:val="clear" w:color="auto" w:fill="auto"/>
            <w:noWrap/>
            <w:vAlign w:val="bottom"/>
            <w:hideMark/>
          </w:tcPr>
          <w:p w14:paraId="317D679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0.92</w:t>
            </w:r>
          </w:p>
        </w:tc>
        <w:tc>
          <w:tcPr>
            <w:tcW w:w="1083" w:type="dxa"/>
            <w:shd w:val="clear" w:color="auto" w:fill="auto"/>
            <w:noWrap/>
            <w:vAlign w:val="bottom"/>
            <w:hideMark/>
          </w:tcPr>
          <w:p w14:paraId="32FC6A5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0.85</w:t>
            </w:r>
          </w:p>
        </w:tc>
        <w:tc>
          <w:tcPr>
            <w:tcW w:w="879" w:type="dxa"/>
            <w:shd w:val="clear" w:color="auto" w:fill="auto"/>
            <w:noWrap/>
            <w:vAlign w:val="bottom"/>
            <w:hideMark/>
          </w:tcPr>
          <w:p w14:paraId="18878A6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0.15</w:t>
            </w:r>
          </w:p>
        </w:tc>
        <w:tc>
          <w:tcPr>
            <w:tcW w:w="879" w:type="dxa"/>
            <w:shd w:val="clear" w:color="auto" w:fill="auto"/>
            <w:noWrap/>
            <w:vAlign w:val="bottom"/>
            <w:hideMark/>
          </w:tcPr>
          <w:p w14:paraId="22D6721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17E44EF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12D2B2BB" w14:textId="77777777" w:rsidTr="00E75638">
        <w:trPr>
          <w:trHeight w:val="290"/>
        </w:trPr>
        <w:tc>
          <w:tcPr>
            <w:tcW w:w="3443" w:type="dxa"/>
            <w:shd w:val="clear" w:color="auto" w:fill="auto"/>
            <w:noWrap/>
            <w:vAlign w:val="bottom"/>
            <w:hideMark/>
          </w:tcPr>
          <w:p w14:paraId="7144EB31"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7BFFA80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SCAG4</w:t>
            </w:r>
          </w:p>
        </w:tc>
        <w:tc>
          <w:tcPr>
            <w:tcW w:w="1410" w:type="dxa"/>
            <w:shd w:val="clear" w:color="auto" w:fill="auto"/>
            <w:noWrap/>
            <w:vAlign w:val="bottom"/>
            <w:hideMark/>
          </w:tcPr>
          <w:p w14:paraId="19DD8CF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0.91</w:t>
            </w:r>
          </w:p>
        </w:tc>
        <w:tc>
          <w:tcPr>
            <w:tcW w:w="1083" w:type="dxa"/>
            <w:shd w:val="clear" w:color="auto" w:fill="auto"/>
            <w:noWrap/>
            <w:vAlign w:val="bottom"/>
            <w:hideMark/>
          </w:tcPr>
          <w:p w14:paraId="63761F7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0.83</w:t>
            </w:r>
          </w:p>
        </w:tc>
        <w:tc>
          <w:tcPr>
            <w:tcW w:w="879" w:type="dxa"/>
            <w:shd w:val="clear" w:color="auto" w:fill="auto"/>
            <w:noWrap/>
            <w:vAlign w:val="bottom"/>
            <w:hideMark/>
          </w:tcPr>
          <w:p w14:paraId="45A237D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0.17</w:t>
            </w:r>
          </w:p>
        </w:tc>
        <w:tc>
          <w:tcPr>
            <w:tcW w:w="879" w:type="dxa"/>
            <w:shd w:val="clear" w:color="auto" w:fill="auto"/>
            <w:noWrap/>
            <w:vAlign w:val="bottom"/>
            <w:hideMark/>
          </w:tcPr>
          <w:p w14:paraId="7B4495C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1133FF3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0891541D" w14:textId="77777777" w:rsidTr="00E75638">
        <w:trPr>
          <w:trHeight w:val="290"/>
        </w:trPr>
        <w:tc>
          <w:tcPr>
            <w:tcW w:w="3443" w:type="dxa"/>
            <w:tcBorders>
              <w:bottom w:val="single" w:sz="4" w:space="0" w:color="auto"/>
            </w:tcBorders>
            <w:shd w:val="clear" w:color="auto" w:fill="auto"/>
            <w:noWrap/>
            <w:vAlign w:val="bottom"/>
            <w:hideMark/>
          </w:tcPr>
          <w:p w14:paraId="381F69EE"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282F999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SCAG5</w:t>
            </w:r>
          </w:p>
        </w:tc>
        <w:tc>
          <w:tcPr>
            <w:tcW w:w="1410" w:type="dxa"/>
            <w:tcBorders>
              <w:bottom w:val="single" w:sz="4" w:space="0" w:color="auto"/>
            </w:tcBorders>
            <w:shd w:val="clear" w:color="auto" w:fill="auto"/>
            <w:noWrap/>
            <w:vAlign w:val="bottom"/>
            <w:hideMark/>
          </w:tcPr>
          <w:p w14:paraId="45231BC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0.91</w:t>
            </w:r>
          </w:p>
        </w:tc>
        <w:tc>
          <w:tcPr>
            <w:tcW w:w="1083" w:type="dxa"/>
            <w:tcBorders>
              <w:bottom w:val="single" w:sz="4" w:space="0" w:color="auto"/>
            </w:tcBorders>
            <w:shd w:val="clear" w:color="auto" w:fill="auto"/>
            <w:noWrap/>
            <w:vAlign w:val="bottom"/>
            <w:hideMark/>
          </w:tcPr>
          <w:p w14:paraId="6EEE764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0.84</w:t>
            </w:r>
          </w:p>
        </w:tc>
        <w:tc>
          <w:tcPr>
            <w:tcW w:w="879" w:type="dxa"/>
            <w:tcBorders>
              <w:bottom w:val="single" w:sz="4" w:space="0" w:color="auto"/>
            </w:tcBorders>
            <w:shd w:val="clear" w:color="auto" w:fill="auto"/>
            <w:noWrap/>
            <w:vAlign w:val="bottom"/>
            <w:hideMark/>
          </w:tcPr>
          <w:p w14:paraId="4D3CE78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0.16</w:t>
            </w:r>
          </w:p>
        </w:tc>
        <w:tc>
          <w:tcPr>
            <w:tcW w:w="879" w:type="dxa"/>
            <w:tcBorders>
              <w:bottom w:val="single" w:sz="4" w:space="0" w:color="auto"/>
            </w:tcBorders>
            <w:shd w:val="clear" w:color="auto" w:fill="auto"/>
            <w:noWrap/>
            <w:vAlign w:val="bottom"/>
            <w:hideMark/>
          </w:tcPr>
          <w:p w14:paraId="348AD639"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4D491AA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334751E" w14:textId="77777777" w:rsidTr="00E75638">
        <w:trPr>
          <w:trHeight w:val="290"/>
        </w:trPr>
        <w:tc>
          <w:tcPr>
            <w:tcW w:w="3443" w:type="dxa"/>
            <w:tcBorders>
              <w:top w:val="single" w:sz="4" w:space="0" w:color="auto"/>
            </w:tcBorders>
            <w:shd w:val="clear" w:color="auto" w:fill="auto"/>
            <w:noWrap/>
            <w:vAlign w:val="bottom"/>
            <w:hideMark/>
          </w:tcPr>
          <w:p w14:paraId="4A549A47"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Adaptability (SCA)</w:t>
            </w:r>
          </w:p>
        </w:tc>
        <w:tc>
          <w:tcPr>
            <w:tcW w:w="977" w:type="dxa"/>
            <w:tcBorders>
              <w:top w:val="single" w:sz="4" w:space="0" w:color="auto"/>
            </w:tcBorders>
            <w:shd w:val="clear" w:color="auto" w:fill="auto"/>
            <w:noWrap/>
            <w:vAlign w:val="bottom"/>
            <w:hideMark/>
          </w:tcPr>
          <w:p w14:paraId="2AAF630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SCA1</w:t>
            </w:r>
          </w:p>
        </w:tc>
        <w:tc>
          <w:tcPr>
            <w:tcW w:w="1410" w:type="dxa"/>
            <w:tcBorders>
              <w:top w:val="single" w:sz="4" w:space="0" w:color="auto"/>
            </w:tcBorders>
            <w:shd w:val="clear" w:color="auto" w:fill="auto"/>
            <w:noWrap/>
            <w:vAlign w:val="bottom"/>
            <w:hideMark/>
          </w:tcPr>
          <w:p w14:paraId="2577814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0.88</w:t>
            </w:r>
          </w:p>
        </w:tc>
        <w:tc>
          <w:tcPr>
            <w:tcW w:w="1083" w:type="dxa"/>
            <w:tcBorders>
              <w:top w:val="single" w:sz="4" w:space="0" w:color="auto"/>
            </w:tcBorders>
            <w:shd w:val="clear" w:color="auto" w:fill="auto"/>
            <w:noWrap/>
            <w:vAlign w:val="bottom"/>
            <w:hideMark/>
          </w:tcPr>
          <w:p w14:paraId="74A64F6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0.77</w:t>
            </w:r>
          </w:p>
        </w:tc>
        <w:tc>
          <w:tcPr>
            <w:tcW w:w="879" w:type="dxa"/>
            <w:tcBorders>
              <w:top w:val="single" w:sz="4" w:space="0" w:color="auto"/>
            </w:tcBorders>
            <w:shd w:val="clear" w:color="auto" w:fill="auto"/>
            <w:noWrap/>
            <w:vAlign w:val="bottom"/>
            <w:hideMark/>
          </w:tcPr>
          <w:p w14:paraId="2B4257B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0.23</w:t>
            </w:r>
          </w:p>
        </w:tc>
        <w:tc>
          <w:tcPr>
            <w:tcW w:w="879" w:type="dxa"/>
            <w:tcBorders>
              <w:top w:val="single" w:sz="4" w:space="0" w:color="auto"/>
            </w:tcBorders>
            <w:shd w:val="clear" w:color="auto" w:fill="auto"/>
            <w:noWrap/>
            <w:vAlign w:val="bottom"/>
            <w:hideMark/>
          </w:tcPr>
          <w:p w14:paraId="2B2B49F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879" w:type="dxa"/>
            <w:tcBorders>
              <w:top w:val="single" w:sz="4" w:space="0" w:color="auto"/>
            </w:tcBorders>
            <w:shd w:val="clear" w:color="auto" w:fill="auto"/>
            <w:noWrap/>
            <w:vAlign w:val="bottom"/>
            <w:hideMark/>
          </w:tcPr>
          <w:p w14:paraId="36C15DB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0.88</w:t>
            </w:r>
          </w:p>
        </w:tc>
      </w:tr>
      <w:tr w:rsidR="00105654" w:rsidRPr="00E573C3" w14:paraId="166F7DF9" w14:textId="77777777" w:rsidTr="00E75638">
        <w:trPr>
          <w:trHeight w:val="290"/>
        </w:trPr>
        <w:tc>
          <w:tcPr>
            <w:tcW w:w="3443" w:type="dxa"/>
            <w:shd w:val="clear" w:color="auto" w:fill="auto"/>
            <w:noWrap/>
            <w:vAlign w:val="bottom"/>
            <w:hideMark/>
          </w:tcPr>
          <w:p w14:paraId="7E7DD89C"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3CEBDB4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SCA2</w:t>
            </w:r>
          </w:p>
        </w:tc>
        <w:tc>
          <w:tcPr>
            <w:tcW w:w="1410" w:type="dxa"/>
            <w:shd w:val="clear" w:color="auto" w:fill="auto"/>
            <w:noWrap/>
            <w:vAlign w:val="bottom"/>
            <w:hideMark/>
          </w:tcPr>
          <w:p w14:paraId="3F47D6F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0.86</w:t>
            </w:r>
          </w:p>
        </w:tc>
        <w:tc>
          <w:tcPr>
            <w:tcW w:w="1083" w:type="dxa"/>
            <w:shd w:val="clear" w:color="auto" w:fill="auto"/>
            <w:noWrap/>
            <w:vAlign w:val="bottom"/>
            <w:hideMark/>
          </w:tcPr>
          <w:p w14:paraId="420F511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0.74</w:t>
            </w:r>
          </w:p>
        </w:tc>
        <w:tc>
          <w:tcPr>
            <w:tcW w:w="879" w:type="dxa"/>
            <w:shd w:val="clear" w:color="auto" w:fill="auto"/>
            <w:noWrap/>
            <w:vAlign w:val="bottom"/>
            <w:hideMark/>
          </w:tcPr>
          <w:p w14:paraId="60A7E85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0.26</w:t>
            </w:r>
          </w:p>
        </w:tc>
        <w:tc>
          <w:tcPr>
            <w:tcW w:w="879" w:type="dxa"/>
            <w:shd w:val="clear" w:color="auto" w:fill="auto"/>
            <w:noWrap/>
            <w:vAlign w:val="bottom"/>
            <w:hideMark/>
          </w:tcPr>
          <w:p w14:paraId="2489B99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52A170C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251DF3F" w14:textId="77777777" w:rsidTr="00E75638">
        <w:trPr>
          <w:trHeight w:val="290"/>
        </w:trPr>
        <w:tc>
          <w:tcPr>
            <w:tcW w:w="3443" w:type="dxa"/>
            <w:shd w:val="clear" w:color="auto" w:fill="auto"/>
            <w:noWrap/>
            <w:vAlign w:val="bottom"/>
            <w:hideMark/>
          </w:tcPr>
          <w:p w14:paraId="4E407579"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19E78FC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SCA3</w:t>
            </w:r>
          </w:p>
        </w:tc>
        <w:tc>
          <w:tcPr>
            <w:tcW w:w="1410" w:type="dxa"/>
            <w:shd w:val="clear" w:color="auto" w:fill="auto"/>
            <w:noWrap/>
            <w:vAlign w:val="bottom"/>
            <w:hideMark/>
          </w:tcPr>
          <w:p w14:paraId="6382AF0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0.99</w:t>
            </w:r>
          </w:p>
        </w:tc>
        <w:tc>
          <w:tcPr>
            <w:tcW w:w="1083" w:type="dxa"/>
            <w:shd w:val="clear" w:color="auto" w:fill="auto"/>
            <w:noWrap/>
            <w:vAlign w:val="bottom"/>
            <w:hideMark/>
          </w:tcPr>
          <w:p w14:paraId="2782CB6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879" w:type="dxa"/>
            <w:shd w:val="clear" w:color="auto" w:fill="auto"/>
            <w:noWrap/>
            <w:vAlign w:val="bottom"/>
            <w:hideMark/>
          </w:tcPr>
          <w:p w14:paraId="5FC14EE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w:t>
            </w:r>
          </w:p>
        </w:tc>
        <w:tc>
          <w:tcPr>
            <w:tcW w:w="879" w:type="dxa"/>
            <w:shd w:val="clear" w:color="auto" w:fill="auto"/>
            <w:noWrap/>
            <w:vAlign w:val="bottom"/>
            <w:hideMark/>
          </w:tcPr>
          <w:p w14:paraId="15FC1D9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04086D3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1446FF8" w14:textId="77777777" w:rsidTr="00E75638">
        <w:trPr>
          <w:trHeight w:val="290"/>
        </w:trPr>
        <w:tc>
          <w:tcPr>
            <w:tcW w:w="3443" w:type="dxa"/>
            <w:shd w:val="clear" w:color="auto" w:fill="auto"/>
            <w:noWrap/>
            <w:vAlign w:val="bottom"/>
            <w:hideMark/>
          </w:tcPr>
          <w:p w14:paraId="29EE43B0"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34A77B9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SCA4</w:t>
            </w:r>
          </w:p>
        </w:tc>
        <w:tc>
          <w:tcPr>
            <w:tcW w:w="1410" w:type="dxa"/>
            <w:shd w:val="clear" w:color="auto" w:fill="auto"/>
            <w:noWrap/>
            <w:vAlign w:val="bottom"/>
            <w:hideMark/>
          </w:tcPr>
          <w:p w14:paraId="183C789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0.99</w:t>
            </w:r>
          </w:p>
        </w:tc>
        <w:tc>
          <w:tcPr>
            <w:tcW w:w="1083" w:type="dxa"/>
            <w:shd w:val="clear" w:color="auto" w:fill="auto"/>
            <w:noWrap/>
            <w:vAlign w:val="bottom"/>
            <w:hideMark/>
          </w:tcPr>
          <w:p w14:paraId="62EA150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879" w:type="dxa"/>
            <w:shd w:val="clear" w:color="auto" w:fill="auto"/>
            <w:noWrap/>
            <w:vAlign w:val="bottom"/>
            <w:hideMark/>
          </w:tcPr>
          <w:p w14:paraId="4936DE1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w:t>
            </w:r>
          </w:p>
        </w:tc>
        <w:tc>
          <w:tcPr>
            <w:tcW w:w="879" w:type="dxa"/>
            <w:shd w:val="clear" w:color="auto" w:fill="auto"/>
            <w:noWrap/>
            <w:vAlign w:val="bottom"/>
            <w:hideMark/>
          </w:tcPr>
          <w:p w14:paraId="58F37CB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10052AB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285CCB13" w14:textId="77777777" w:rsidTr="00E75638">
        <w:trPr>
          <w:trHeight w:val="290"/>
        </w:trPr>
        <w:tc>
          <w:tcPr>
            <w:tcW w:w="3443" w:type="dxa"/>
            <w:tcBorders>
              <w:bottom w:val="single" w:sz="4" w:space="0" w:color="auto"/>
            </w:tcBorders>
            <w:shd w:val="clear" w:color="auto" w:fill="auto"/>
            <w:noWrap/>
            <w:vAlign w:val="bottom"/>
            <w:hideMark/>
          </w:tcPr>
          <w:p w14:paraId="29884D7E"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6D11B0C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SCA5</w:t>
            </w:r>
          </w:p>
        </w:tc>
        <w:tc>
          <w:tcPr>
            <w:tcW w:w="1410" w:type="dxa"/>
            <w:tcBorders>
              <w:bottom w:val="single" w:sz="4" w:space="0" w:color="auto"/>
            </w:tcBorders>
            <w:shd w:val="clear" w:color="auto" w:fill="auto"/>
            <w:noWrap/>
            <w:vAlign w:val="bottom"/>
            <w:hideMark/>
          </w:tcPr>
          <w:p w14:paraId="5AB8234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0.98</w:t>
            </w:r>
          </w:p>
        </w:tc>
        <w:tc>
          <w:tcPr>
            <w:tcW w:w="1083" w:type="dxa"/>
            <w:tcBorders>
              <w:bottom w:val="single" w:sz="4" w:space="0" w:color="auto"/>
            </w:tcBorders>
            <w:shd w:val="clear" w:color="auto" w:fill="auto"/>
            <w:noWrap/>
            <w:vAlign w:val="bottom"/>
            <w:hideMark/>
          </w:tcPr>
          <w:p w14:paraId="652F2CC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879" w:type="dxa"/>
            <w:tcBorders>
              <w:bottom w:val="single" w:sz="4" w:space="0" w:color="auto"/>
            </w:tcBorders>
            <w:shd w:val="clear" w:color="auto" w:fill="auto"/>
            <w:noWrap/>
            <w:vAlign w:val="bottom"/>
            <w:hideMark/>
          </w:tcPr>
          <w:p w14:paraId="5DD6503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w:t>
            </w:r>
          </w:p>
        </w:tc>
        <w:tc>
          <w:tcPr>
            <w:tcW w:w="879" w:type="dxa"/>
            <w:tcBorders>
              <w:bottom w:val="single" w:sz="4" w:space="0" w:color="auto"/>
            </w:tcBorders>
            <w:shd w:val="clear" w:color="auto" w:fill="auto"/>
            <w:noWrap/>
            <w:vAlign w:val="bottom"/>
            <w:hideMark/>
          </w:tcPr>
          <w:p w14:paraId="01CF6FF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0E06725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115204B" w14:textId="77777777" w:rsidTr="00E75638">
        <w:trPr>
          <w:trHeight w:val="290"/>
        </w:trPr>
        <w:tc>
          <w:tcPr>
            <w:tcW w:w="3443" w:type="dxa"/>
            <w:tcBorders>
              <w:top w:val="single" w:sz="4" w:space="0" w:color="auto"/>
            </w:tcBorders>
            <w:shd w:val="clear" w:color="auto" w:fill="auto"/>
            <w:noWrap/>
            <w:vAlign w:val="bottom"/>
            <w:hideMark/>
          </w:tcPr>
          <w:p w14:paraId="0AE7581F"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Supply Chain Alignment (SCAL)</w:t>
            </w:r>
          </w:p>
        </w:tc>
        <w:tc>
          <w:tcPr>
            <w:tcW w:w="977" w:type="dxa"/>
            <w:tcBorders>
              <w:top w:val="single" w:sz="4" w:space="0" w:color="auto"/>
            </w:tcBorders>
            <w:shd w:val="clear" w:color="auto" w:fill="auto"/>
            <w:noWrap/>
            <w:vAlign w:val="bottom"/>
            <w:hideMark/>
          </w:tcPr>
          <w:p w14:paraId="682C43E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SCAL1</w:t>
            </w:r>
          </w:p>
        </w:tc>
        <w:tc>
          <w:tcPr>
            <w:tcW w:w="1410" w:type="dxa"/>
            <w:tcBorders>
              <w:top w:val="single" w:sz="4" w:space="0" w:color="auto"/>
            </w:tcBorders>
            <w:shd w:val="clear" w:color="auto" w:fill="auto"/>
            <w:noWrap/>
            <w:vAlign w:val="bottom"/>
            <w:hideMark/>
          </w:tcPr>
          <w:p w14:paraId="0536AA7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1083" w:type="dxa"/>
            <w:tcBorders>
              <w:top w:val="single" w:sz="4" w:space="0" w:color="auto"/>
            </w:tcBorders>
            <w:shd w:val="clear" w:color="auto" w:fill="auto"/>
            <w:noWrap/>
            <w:vAlign w:val="bottom"/>
            <w:hideMark/>
          </w:tcPr>
          <w:p w14:paraId="1D35BEF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0.95</w:t>
            </w:r>
          </w:p>
        </w:tc>
        <w:tc>
          <w:tcPr>
            <w:tcW w:w="879" w:type="dxa"/>
            <w:tcBorders>
              <w:top w:val="single" w:sz="4" w:space="0" w:color="auto"/>
            </w:tcBorders>
            <w:shd w:val="clear" w:color="auto" w:fill="auto"/>
            <w:noWrap/>
            <w:vAlign w:val="bottom"/>
            <w:hideMark/>
          </w:tcPr>
          <w:p w14:paraId="31EBE49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0.05</w:t>
            </w:r>
          </w:p>
        </w:tc>
        <w:tc>
          <w:tcPr>
            <w:tcW w:w="879" w:type="dxa"/>
            <w:tcBorders>
              <w:top w:val="single" w:sz="4" w:space="0" w:color="auto"/>
            </w:tcBorders>
            <w:shd w:val="clear" w:color="auto" w:fill="auto"/>
            <w:noWrap/>
            <w:vAlign w:val="bottom"/>
            <w:hideMark/>
          </w:tcPr>
          <w:p w14:paraId="41AE67E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0.88</w:t>
            </w:r>
          </w:p>
        </w:tc>
        <w:tc>
          <w:tcPr>
            <w:tcW w:w="879" w:type="dxa"/>
            <w:tcBorders>
              <w:top w:val="single" w:sz="4" w:space="0" w:color="auto"/>
            </w:tcBorders>
            <w:shd w:val="clear" w:color="auto" w:fill="auto"/>
            <w:noWrap/>
            <w:vAlign w:val="bottom"/>
            <w:hideMark/>
          </w:tcPr>
          <w:p w14:paraId="5AD4CEF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0.73</w:t>
            </w:r>
          </w:p>
        </w:tc>
      </w:tr>
      <w:tr w:rsidR="00105654" w:rsidRPr="00E573C3" w14:paraId="26895B03" w14:textId="77777777" w:rsidTr="00E75638">
        <w:trPr>
          <w:trHeight w:val="290"/>
        </w:trPr>
        <w:tc>
          <w:tcPr>
            <w:tcW w:w="3443" w:type="dxa"/>
            <w:shd w:val="clear" w:color="auto" w:fill="auto"/>
            <w:noWrap/>
            <w:vAlign w:val="bottom"/>
            <w:hideMark/>
          </w:tcPr>
          <w:p w14:paraId="12849E10"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04B083D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SCAL2</w:t>
            </w:r>
          </w:p>
        </w:tc>
        <w:tc>
          <w:tcPr>
            <w:tcW w:w="1410" w:type="dxa"/>
            <w:shd w:val="clear" w:color="auto" w:fill="auto"/>
            <w:noWrap/>
            <w:vAlign w:val="bottom"/>
            <w:hideMark/>
          </w:tcPr>
          <w:p w14:paraId="02BF63A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0.97</w:t>
            </w:r>
          </w:p>
        </w:tc>
        <w:tc>
          <w:tcPr>
            <w:tcW w:w="1083" w:type="dxa"/>
            <w:shd w:val="clear" w:color="auto" w:fill="auto"/>
            <w:noWrap/>
            <w:vAlign w:val="bottom"/>
            <w:hideMark/>
          </w:tcPr>
          <w:p w14:paraId="035F5B4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0.93</w:t>
            </w:r>
          </w:p>
        </w:tc>
        <w:tc>
          <w:tcPr>
            <w:tcW w:w="879" w:type="dxa"/>
            <w:shd w:val="clear" w:color="auto" w:fill="auto"/>
            <w:noWrap/>
            <w:vAlign w:val="bottom"/>
            <w:hideMark/>
          </w:tcPr>
          <w:p w14:paraId="7C3EA46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0.07</w:t>
            </w:r>
          </w:p>
        </w:tc>
        <w:tc>
          <w:tcPr>
            <w:tcW w:w="879" w:type="dxa"/>
            <w:shd w:val="clear" w:color="auto" w:fill="auto"/>
            <w:noWrap/>
            <w:vAlign w:val="bottom"/>
            <w:hideMark/>
          </w:tcPr>
          <w:p w14:paraId="0A36689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6458322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42A0C3E" w14:textId="77777777" w:rsidTr="00E75638">
        <w:trPr>
          <w:trHeight w:val="290"/>
        </w:trPr>
        <w:tc>
          <w:tcPr>
            <w:tcW w:w="3443" w:type="dxa"/>
            <w:tcBorders>
              <w:bottom w:val="single" w:sz="4" w:space="0" w:color="auto"/>
            </w:tcBorders>
            <w:shd w:val="clear" w:color="auto" w:fill="auto"/>
            <w:noWrap/>
            <w:vAlign w:val="bottom"/>
            <w:hideMark/>
          </w:tcPr>
          <w:p w14:paraId="7E754F30"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756BE11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SCAL3</w:t>
            </w:r>
          </w:p>
        </w:tc>
        <w:tc>
          <w:tcPr>
            <w:tcW w:w="1410" w:type="dxa"/>
            <w:tcBorders>
              <w:bottom w:val="single" w:sz="4" w:space="0" w:color="auto"/>
            </w:tcBorders>
            <w:shd w:val="clear" w:color="auto" w:fill="auto"/>
            <w:noWrap/>
            <w:vAlign w:val="bottom"/>
            <w:hideMark/>
          </w:tcPr>
          <w:p w14:paraId="46A81F5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0.55</w:t>
            </w:r>
          </w:p>
        </w:tc>
        <w:tc>
          <w:tcPr>
            <w:tcW w:w="1083" w:type="dxa"/>
            <w:tcBorders>
              <w:bottom w:val="single" w:sz="4" w:space="0" w:color="auto"/>
            </w:tcBorders>
            <w:shd w:val="clear" w:color="auto" w:fill="auto"/>
            <w:noWrap/>
            <w:vAlign w:val="bottom"/>
            <w:hideMark/>
          </w:tcPr>
          <w:p w14:paraId="3AC6B4D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0.31</w:t>
            </w:r>
          </w:p>
        </w:tc>
        <w:tc>
          <w:tcPr>
            <w:tcW w:w="879" w:type="dxa"/>
            <w:tcBorders>
              <w:bottom w:val="single" w:sz="4" w:space="0" w:color="auto"/>
            </w:tcBorders>
            <w:shd w:val="clear" w:color="auto" w:fill="auto"/>
            <w:noWrap/>
            <w:vAlign w:val="bottom"/>
            <w:hideMark/>
          </w:tcPr>
          <w:p w14:paraId="7414F92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0.69</w:t>
            </w:r>
          </w:p>
        </w:tc>
        <w:tc>
          <w:tcPr>
            <w:tcW w:w="879" w:type="dxa"/>
            <w:tcBorders>
              <w:bottom w:val="single" w:sz="4" w:space="0" w:color="auto"/>
            </w:tcBorders>
            <w:shd w:val="clear" w:color="auto" w:fill="auto"/>
            <w:noWrap/>
            <w:vAlign w:val="bottom"/>
            <w:hideMark/>
          </w:tcPr>
          <w:p w14:paraId="63A6D42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1225188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456E746A" w14:textId="77777777" w:rsidTr="00E75638">
        <w:trPr>
          <w:trHeight w:val="290"/>
        </w:trPr>
        <w:tc>
          <w:tcPr>
            <w:tcW w:w="3443" w:type="dxa"/>
            <w:tcBorders>
              <w:top w:val="single" w:sz="4" w:space="0" w:color="auto"/>
            </w:tcBorders>
            <w:shd w:val="clear" w:color="auto" w:fill="auto"/>
            <w:noWrap/>
            <w:vAlign w:val="bottom"/>
            <w:hideMark/>
          </w:tcPr>
          <w:p w14:paraId="4C247845" w14:textId="422AD21D" w:rsidR="00105654" w:rsidRPr="00E573C3" w:rsidRDefault="00105654" w:rsidP="008A4E3E">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Industry Dynamism</w:t>
            </w:r>
            <w:r w:rsidR="008A4E3E">
              <w:rPr>
                <w:rFonts w:ascii="Times New Roman" w:eastAsia="Times New Roman" w:hAnsi="Times New Roman" w:cs="Times New Roman"/>
                <w:color w:val="000000"/>
                <w:sz w:val="24"/>
                <w:szCs w:val="24"/>
              </w:rPr>
              <w:t xml:space="preserve"> </w:t>
            </w:r>
            <w:r w:rsidRPr="00E573C3">
              <w:rPr>
                <w:rFonts w:ascii="Times New Roman" w:eastAsia="Times New Roman" w:hAnsi="Times New Roman" w:cs="Times New Roman"/>
                <w:color w:val="000000"/>
                <w:sz w:val="24"/>
                <w:szCs w:val="24"/>
              </w:rPr>
              <w:t>(ID)</w:t>
            </w:r>
          </w:p>
        </w:tc>
        <w:tc>
          <w:tcPr>
            <w:tcW w:w="977" w:type="dxa"/>
            <w:tcBorders>
              <w:top w:val="single" w:sz="4" w:space="0" w:color="auto"/>
            </w:tcBorders>
            <w:shd w:val="clear" w:color="auto" w:fill="auto"/>
            <w:noWrap/>
            <w:vAlign w:val="bottom"/>
            <w:hideMark/>
          </w:tcPr>
          <w:p w14:paraId="2E26CF6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ID1</w:t>
            </w:r>
          </w:p>
        </w:tc>
        <w:tc>
          <w:tcPr>
            <w:tcW w:w="1410" w:type="dxa"/>
            <w:tcBorders>
              <w:top w:val="single" w:sz="4" w:space="0" w:color="auto"/>
            </w:tcBorders>
            <w:shd w:val="clear" w:color="auto" w:fill="auto"/>
            <w:noWrap/>
            <w:vAlign w:val="bottom"/>
            <w:hideMark/>
          </w:tcPr>
          <w:p w14:paraId="21F052B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0.95</w:t>
            </w:r>
          </w:p>
        </w:tc>
        <w:tc>
          <w:tcPr>
            <w:tcW w:w="1083" w:type="dxa"/>
            <w:tcBorders>
              <w:top w:val="single" w:sz="4" w:space="0" w:color="auto"/>
            </w:tcBorders>
            <w:shd w:val="clear" w:color="auto" w:fill="auto"/>
            <w:noWrap/>
            <w:vAlign w:val="bottom"/>
            <w:hideMark/>
          </w:tcPr>
          <w:p w14:paraId="1BA18F8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0.90</w:t>
            </w:r>
          </w:p>
        </w:tc>
        <w:tc>
          <w:tcPr>
            <w:tcW w:w="879" w:type="dxa"/>
            <w:tcBorders>
              <w:top w:val="single" w:sz="4" w:space="0" w:color="auto"/>
            </w:tcBorders>
            <w:shd w:val="clear" w:color="auto" w:fill="auto"/>
            <w:noWrap/>
            <w:vAlign w:val="bottom"/>
            <w:hideMark/>
          </w:tcPr>
          <w:p w14:paraId="200BA9C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0.10</w:t>
            </w:r>
          </w:p>
        </w:tc>
        <w:tc>
          <w:tcPr>
            <w:tcW w:w="879" w:type="dxa"/>
            <w:tcBorders>
              <w:top w:val="single" w:sz="4" w:space="0" w:color="auto"/>
            </w:tcBorders>
            <w:shd w:val="clear" w:color="auto" w:fill="auto"/>
            <w:noWrap/>
            <w:vAlign w:val="bottom"/>
            <w:hideMark/>
          </w:tcPr>
          <w:p w14:paraId="7A7CDD3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0.93</w:t>
            </w:r>
          </w:p>
        </w:tc>
        <w:tc>
          <w:tcPr>
            <w:tcW w:w="879" w:type="dxa"/>
            <w:tcBorders>
              <w:top w:val="single" w:sz="4" w:space="0" w:color="auto"/>
            </w:tcBorders>
            <w:shd w:val="clear" w:color="auto" w:fill="auto"/>
            <w:noWrap/>
            <w:vAlign w:val="bottom"/>
            <w:hideMark/>
          </w:tcPr>
          <w:p w14:paraId="233F10A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0.73</w:t>
            </w:r>
          </w:p>
        </w:tc>
      </w:tr>
      <w:tr w:rsidR="00105654" w:rsidRPr="00E573C3" w14:paraId="45BF8C53" w14:textId="77777777" w:rsidTr="00E75638">
        <w:trPr>
          <w:trHeight w:val="290"/>
        </w:trPr>
        <w:tc>
          <w:tcPr>
            <w:tcW w:w="3443" w:type="dxa"/>
            <w:shd w:val="clear" w:color="auto" w:fill="auto"/>
            <w:noWrap/>
            <w:vAlign w:val="bottom"/>
            <w:hideMark/>
          </w:tcPr>
          <w:p w14:paraId="3974E49E"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547360A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ID2</w:t>
            </w:r>
          </w:p>
        </w:tc>
        <w:tc>
          <w:tcPr>
            <w:tcW w:w="1410" w:type="dxa"/>
            <w:shd w:val="clear" w:color="auto" w:fill="auto"/>
            <w:noWrap/>
            <w:vAlign w:val="bottom"/>
            <w:hideMark/>
          </w:tcPr>
          <w:p w14:paraId="694EFB8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0.77</w:t>
            </w:r>
          </w:p>
        </w:tc>
        <w:tc>
          <w:tcPr>
            <w:tcW w:w="1083" w:type="dxa"/>
            <w:shd w:val="clear" w:color="auto" w:fill="auto"/>
            <w:noWrap/>
            <w:vAlign w:val="bottom"/>
            <w:hideMark/>
          </w:tcPr>
          <w:p w14:paraId="161400E6"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0.59</w:t>
            </w:r>
          </w:p>
        </w:tc>
        <w:tc>
          <w:tcPr>
            <w:tcW w:w="879" w:type="dxa"/>
            <w:shd w:val="clear" w:color="auto" w:fill="auto"/>
            <w:noWrap/>
            <w:vAlign w:val="bottom"/>
            <w:hideMark/>
          </w:tcPr>
          <w:p w14:paraId="18733A6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0.41</w:t>
            </w:r>
          </w:p>
        </w:tc>
        <w:tc>
          <w:tcPr>
            <w:tcW w:w="879" w:type="dxa"/>
            <w:shd w:val="clear" w:color="auto" w:fill="auto"/>
            <w:noWrap/>
            <w:vAlign w:val="bottom"/>
            <w:hideMark/>
          </w:tcPr>
          <w:p w14:paraId="1793E91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206109BE"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DEAD1C0" w14:textId="77777777" w:rsidTr="00E75638">
        <w:trPr>
          <w:trHeight w:val="290"/>
        </w:trPr>
        <w:tc>
          <w:tcPr>
            <w:tcW w:w="3443" w:type="dxa"/>
            <w:shd w:val="clear" w:color="auto" w:fill="auto"/>
            <w:noWrap/>
            <w:vAlign w:val="bottom"/>
            <w:hideMark/>
          </w:tcPr>
          <w:p w14:paraId="60771EDF" w14:textId="77777777" w:rsidR="00105654" w:rsidRPr="00E573C3" w:rsidRDefault="00105654" w:rsidP="008A4E3E">
            <w:pPr>
              <w:spacing w:after="0" w:line="480" w:lineRule="auto"/>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54E83F3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ID3</w:t>
            </w:r>
          </w:p>
        </w:tc>
        <w:tc>
          <w:tcPr>
            <w:tcW w:w="1410" w:type="dxa"/>
            <w:shd w:val="clear" w:color="auto" w:fill="auto"/>
            <w:noWrap/>
            <w:vAlign w:val="bottom"/>
            <w:hideMark/>
          </w:tcPr>
          <w:p w14:paraId="6CCE9BB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0.84</w:t>
            </w:r>
          </w:p>
        </w:tc>
        <w:tc>
          <w:tcPr>
            <w:tcW w:w="1083" w:type="dxa"/>
            <w:shd w:val="clear" w:color="auto" w:fill="auto"/>
            <w:noWrap/>
            <w:vAlign w:val="bottom"/>
            <w:hideMark/>
          </w:tcPr>
          <w:p w14:paraId="4D37A64C"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0.71</w:t>
            </w:r>
          </w:p>
        </w:tc>
        <w:tc>
          <w:tcPr>
            <w:tcW w:w="879" w:type="dxa"/>
            <w:shd w:val="clear" w:color="auto" w:fill="auto"/>
            <w:noWrap/>
            <w:vAlign w:val="bottom"/>
            <w:hideMark/>
          </w:tcPr>
          <w:p w14:paraId="6AF39915"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0.29</w:t>
            </w:r>
          </w:p>
        </w:tc>
        <w:tc>
          <w:tcPr>
            <w:tcW w:w="879" w:type="dxa"/>
            <w:shd w:val="clear" w:color="auto" w:fill="auto"/>
            <w:noWrap/>
            <w:vAlign w:val="bottom"/>
            <w:hideMark/>
          </w:tcPr>
          <w:p w14:paraId="1E44B4E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4CDD3944"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1CCBA3B8" w14:textId="77777777" w:rsidTr="00E75638">
        <w:trPr>
          <w:trHeight w:val="290"/>
        </w:trPr>
        <w:tc>
          <w:tcPr>
            <w:tcW w:w="3443" w:type="dxa"/>
            <w:shd w:val="clear" w:color="auto" w:fill="auto"/>
            <w:noWrap/>
            <w:vAlign w:val="bottom"/>
            <w:hideMark/>
          </w:tcPr>
          <w:p w14:paraId="147D89B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p>
        </w:tc>
        <w:tc>
          <w:tcPr>
            <w:tcW w:w="977" w:type="dxa"/>
            <w:shd w:val="clear" w:color="auto" w:fill="auto"/>
            <w:noWrap/>
            <w:vAlign w:val="bottom"/>
            <w:hideMark/>
          </w:tcPr>
          <w:p w14:paraId="2F1A137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ID4</w:t>
            </w:r>
          </w:p>
        </w:tc>
        <w:tc>
          <w:tcPr>
            <w:tcW w:w="1410" w:type="dxa"/>
            <w:shd w:val="clear" w:color="auto" w:fill="auto"/>
            <w:noWrap/>
            <w:vAlign w:val="bottom"/>
            <w:hideMark/>
          </w:tcPr>
          <w:p w14:paraId="1668B297"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0.86</w:t>
            </w:r>
          </w:p>
        </w:tc>
        <w:tc>
          <w:tcPr>
            <w:tcW w:w="1083" w:type="dxa"/>
            <w:shd w:val="clear" w:color="auto" w:fill="auto"/>
            <w:noWrap/>
            <w:vAlign w:val="bottom"/>
            <w:hideMark/>
          </w:tcPr>
          <w:p w14:paraId="49980AD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0.73</w:t>
            </w:r>
          </w:p>
        </w:tc>
        <w:tc>
          <w:tcPr>
            <w:tcW w:w="879" w:type="dxa"/>
            <w:shd w:val="clear" w:color="auto" w:fill="auto"/>
            <w:noWrap/>
            <w:vAlign w:val="bottom"/>
            <w:hideMark/>
          </w:tcPr>
          <w:p w14:paraId="68E4DEF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0.27</w:t>
            </w:r>
          </w:p>
        </w:tc>
        <w:tc>
          <w:tcPr>
            <w:tcW w:w="879" w:type="dxa"/>
            <w:shd w:val="clear" w:color="auto" w:fill="auto"/>
            <w:noWrap/>
            <w:vAlign w:val="bottom"/>
            <w:hideMark/>
          </w:tcPr>
          <w:p w14:paraId="2F4A125B"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shd w:val="clear" w:color="auto" w:fill="auto"/>
            <w:noWrap/>
            <w:vAlign w:val="bottom"/>
            <w:hideMark/>
          </w:tcPr>
          <w:p w14:paraId="47AEED1F"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4B9680F7" w14:textId="77777777" w:rsidTr="00E75638">
        <w:trPr>
          <w:trHeight w:val="290"/>
        </w:trPr>
        <w:tc>
          <w:tcPr>
            <w:tcW w:w="3443" w:type="dxa"/>
            <w:tcBorders>
              <w:bottom w:val="single" w:sz="4" w:space="0" w:color="auto"/>
            </w:tcBorders>
            <w:shd w:val="clear" w:color="auto" w:fill="auto"/>
            <w:noWrap/>
            <w:vAlign w:val="bottom"/>
            <w:hideMark/>
          </w:tcPr>
          <w:p w14:paraId="4B547B12"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p>
        </w:tc>
        <w:tc>
          <w:tcPr>
            <w:tcW w:w="977" w:type="dxa"/>
            <w:tcBorders>
              <w:bottom w:val="single" w:sz="4" w:space="0" w:color="auto"/>
            </w:tcBorders>
            <w:shd w:val="clear" w:color="auto" w:fill="auto"/>
            <w:noWrap/>
            <w:vAlign w:val="bottom"/>
            <w:hideMark/>
          </w:tcPr>
          <w:p w14:paraId="03024858"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ID5</w:t>
            </w:r>
          </w:p>
        </w:tc>
        <w:tc>
          <w:tcPr>
            <w:tcW w:w="1410" w:type="dxa"/>
            <w:tcBorders>
              <w:bottom w:val="single" w:sz="4" w:space="0" w:color="auto"/>
            </w:tcBorders>
            <w:shd w:val="clear" w:color="auto" w:fill="auto"/>
            <w:noWrap/>
            <w:vAlign w:val="bottom"/>
            <w:hideMark/>
          </w:tcPr>
          <w:p w14:paraId="099E138A"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0.84</w:t>
            </w:r>
          </w:p>
        </w:tc>
        <w:tc>
          <w:tcPr>
            <w:tcW w:w="1083" w:type="dxa"/>
            <w:tcBorders>
              <w:bottom w:val="single" w:sz="4" w:space="0" w:color="auto"/>
            </w:tcBorders>
            <w:shd w:val="clear" w:color="auto" w:fill="auto"/>
            <w:noWrap/>
            <w:vAlign w:val="bottom"/>
            <w:hideMark/>
          </w:tcPr>
          <w:p w14:paraId="10605820"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0.70</w:t>
            </w:r>
          </w:p>
        </w:tc>
        <w:tc>
          <w:tcPr>
            <w:tcW w:w="879" w:type="dxa"/>
            <w:tcBorders>
              <w:bottom w:val="single" w:sz="4" w:space="0" w:color="auto"/>
            </w:tcBorders>
            <w:shd w:val="clear" w:color="auto" w:fill="auto"/>
            <w:noWrap/>
            <w:vAlign w:val="bottom"/>
            <w:hideMark/>
          </w:tcPr>
          <w:p w14:paraId="5B217691"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0.30</w:t>
            </w:r>
          </w:p>
        </w:tc>
        <w:tc>
          <w:tcPr>
            <w:tcW w:w="879" w:type="dxa"/>
            <w:tcBorders>
              <w:bottom w:val="single" w:sz="4" w:space="0" w:color="auto"/>
            </w:tcBorders>
            <w:shd w:val="clear" w:color="auto" w:fill="auto"/>
            <w:noWrap/>
            <w:vAlign w:val="bottom"/>
            <w:hideMark/>
          </w:tcPr>
          <w:p w14:paraId="2DCE770D"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879" w:type="dxa"/>
            <w:tcBorders>
              <w:bottom w:val="single" w:sz="4" w:space="0" w:color="auto"/>
            </w:tcBorders>
            <w:shd w:val="clear" w:color="auto" w:fill="auto"/>
            <w:noWrap/>
            <w:vAlign w:val="bottom"/>
            <w:hideMark/>
          </w:tcPr>
          <w:p w14:paraId="64B9EBC3" w14:textId="77777777" w:rsidR="00105654" w:rsidRPr="00E573C3" w:rsidRDefault="00105654" w:rsidP="00654B52">
            <w:pPr>
              <w:spacing w:after="0"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bl>
    <w:p w14:paraId="67DE5780" w14:textId="77777777" w:rsidR="00105654" w:rsidRPr="00E573C3" w:rsidRDefault="00105654" w:rsidP="00654B52">
      <w:pPr>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*SCR= (</w:t>
      </w:r>
      <m:oMath>
        <m:nary>
          <m:naryPr>
            <m:chr m:val="∑"/>
            <m:limLoc m:val="undOvr"/>
            <m:subHide m:val="1"/>
            <m:supHide m:val="1"/>
            <m:ctrlPr>
              <w:rPr>
                <w:rFonts w:ascii="Cambria Math" w:hAnsi="Cambria Math" w:cs="Times New Roman"/>
                <w:b/>
                <w:i/>
                <w:sz w:val="24"/>
                <w:szCs w:val="24"/>
                <w:shd w:val="clear" w:color="auto" w:fill="FFFFFF"/>
              </w:rPr>
            </m:ctrlPr>
          </m:naryPr>
          <m:sub/>
          <m:sup/>
          <m:e>
            <m:r>
              <m:rPr>
                <m:sty m:val="bi"/>
              </m:rPr>
              <w:rPr>
                <w:rFonts w:ascii="Cambria Math" w:hAnsi="Cambria Math" w:cs="Times New Roman"/>
                <w:sz w:val="24"/>
                <w:szCs w:val="24"/>
                <w:shd w:val="clear" w:color="auto" w:fill="FFFFFF"/>
              </w:rPr>
              <m:t>λi)^2/(</m:t>
            </m:r>
          </m:e>
        </m:nary>
      </m:oMath>
      <w:r w:rsidRPr="00E573C3">
        <w:rPr>
          <w:rFonts w:ascii="Times New Roman" w:hAnsi="Times New Roman" w:cs="Times New Roman"/>
          <w:b/>
          <w:sz w:val="24"/>
          <w:szCs w:val="24"/>
          <w:shd w:val="clear" w:color="auto" w:fill="FFFFFF"/>
        </w:rPr>
        <w:t>(</w:t>
      </w:r>
      <m:oMath>
        <m:nary>
          <m:naryPr>
            <m:chr m:val="∑"/>
            <m:limLoc m:val="undOvr"/>
            <m:subHide m:val="1"/>
            <m:supHide m:val="1"/>
            <m:ctrlPr>
              <w:rPr>
                <w:rFonts w:ascii="Cambria Math" w:hAnsi="Cambria Math" w:cs="Times New Roman"/>
                <w:b/>
                <w:i/>
                <w:sz w:val="24"/>
                <w:szCs w:val="24"/>
                <w:shd w:val="clear" w:color="auto" w:fill="FFFFFF"/>
              </w:rPr>
            </m:ctrlPr>
          </m:naryPr>
          <m:sub/>
          <m:sup/>
          <m:e>
            <m:r>
              <m:rPr>
                <m:sty m:val="bi"/>
              </m:rPr>
              <w:rPr>
                <w:rFonts w:ascii="Cambria Math" w:hAnsi="Cambria Math" w:cs="Times New Roman"/>
                <w:sz w:val="24"/>
                <w:szCs w:val="24"/>
                <w:shd w:val="clear" w:color="auto" w:fill="FFFFFF"/>
              </w:rPr>
              <m:t>λi</m:t>
            </m:r>
          </m:e>
        </m:nary>
      </m:oMath>
      <w:r w:rsidRPr="00E573C3">
        <w:rPr>
          <w:rFonts w:ascii="Times New Roman" w:hAnsi="Times New Roman" w:cs="Times New Roman"/>
          <w:b/>
          <w:sz w:val="24"/>
          <w:szCs w:val="24"/>
          <w:shd w:val="clear" w:color="auto" w:fill="FFFFFF"/>
        </w:rPr>
        <w:t>)^2+</w:t>
      </w:r>
      <m:oMath>
        <m:nary>
          <m:naryPr>
            <m:chr m:val="∑"/>
            <m:limLoc m:val="undOvr"/>
            <m:subHide m:val="1"/>
            <m:supHide m:val="1"/>
            <m:ctrlPr>
              <w:rPr>
                <w:rFonts w:ascii="Cambria Math" w:hAnsi="Cambria Math" w:cs="Times New Roman"/>
                <w:b/>
                <w:i/>
                <w:sz w:val="24"/>
                <w:szCs w:val="24"/>
                <w:shd w:val="clear" w:color="auto" w:fill="FFFFFF"/>
              </w:rPr>
            </m:ctrlPr>
          </m:naryPr>
          <m:sub/>
          <m:sup/>
          <m:e>
            <m:r>
              <m:rPr>
                <m:sty m:val="bi"/>
              </m:rPr>
              <w:rPr>
                <w:rFonts w:ascii="Cambria Math" w:hAnsi="Cambria Math" w:cs="Times New Roman"/>
                <w:sz w:val="24"/>
                <w:szCs w:val="24"/>
                <w:shd w:val="clear" w:color="auto" w:fill="FFFFFF"/>
              </w:rPr>
              <m:t>(ϵi</m:t>
            </m:r>
          </m:e>
        </m:nary>
        <m:r>
          <m:rPr>
            <m:sty m:val="bi"/>
          </m:rPr>
          <w:rPr>
            <w:rFonts w:ascii="Cambria Math" w:hAnsi="Cambria Math" w:cs="Times New Roman"/>
            <w:sz w:val="24"/>
            <w:szCs w:val="24"/>
            <w:shd w:val="clear" w:color="auto" w:fill="FFFFFF"/>
          </w:rPr>
          <m:t>))</m:t>
        </m:r>
      </m:oMath>
    </w:p>
    <w:p w14:paraId="6BF9A7AA" w14:textId="0CBA1E97" w:rsidR="00E940BE" w:rsidRPr="00E573C3" w:rsidRDefault="007461A9"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W</w:t>
      </w:r>
      <w:r w:rsidR="00E940BE" w:rsidRPr="00E573C3">
        <w:rPr>
          <w:rFonts w:ascii="Times New Roman" w:hAnsi="Times New Roman" w:cs="Times New Roman"/>
          <w:sz w:val="24"/>
          <w:szCs w:val="24"/>
          <w:shd w:val="clear" w:color="auto" w:fill="FFFFFF"/>
        </w:rPr>
        <w:t xml:space="preserve">e assessed two types of validity: convergent and discriminant (Fawcett et al. 2014).  </w:t>
      </w:r>
      <w:r w:rsidRPr="00E573C3">
        <w:rPr>
          <w:rFonts w:ascii="Times New Roman" w:hAnsi="Times New Roman" w:cs="Times New Roman"/>
          <w:sz w:val="24"/>
          <w:szCs w:val="24"/>
          <w:shd w:val="clear" w:color="auto" w:fill="FFFFFF"/>
        </w:rPr>
        <w:t>A</w:t>
      </w:r>
      <w:r w:rsidR="00E940BE" w:rsidRPr="00E573C3">
        <w:rPr>
          <w:rFonts w:ascii="Times New Roman" w:hAnsi="Times New Roman" w:cs="Times New Roman"/>
          <w:sz w:val="24"/>
          <w:szCs w:val="24"/>
          <w:shd w:val="clear" w:color="auto" w:fill="FFFFFF"/>
        </w:rPr>
        <w:t xml:space="preserve">s shown in </w:t>
      </w:r>
      <w:r w:rsidR="000B6ED3" w:rsidRPr="00E573C3">
        <w:rPr>
          <w:rFonts w:ascii="Times New Roman" w:hAnsi="Times New Roman" w:cs="Times New Roman"/>
          <w:sz w:val="24"/>
          <w:szCs w:val="24"/>
          <w:shd w:val="clear" w:color="auto" w:fill="FFFFFF"/>
        </w:rPr>
        <w:t>Table 2</w:t>
      </w:r>
      <w:r w:rsidR="00E940BE" w:rsidRPr="00E573C3">
        <w:rPr>
          <w:rFonts w:ascii="Times New Roman" w:hAnsi="Times New Roman" w:cs="Times New Roman"/>
          <w:sz w:val="24"/>
          <w:szCs w:val="24"/>
          <w:shd w:val="clear" w:color="auto" w:fill="FFFFFF"/>
        </w:rPr>
        <w:t>, items load</w:t>
      </w:r>
      <w:r w:rsidR="00CF0FF2" w:rsidRPr="00E573C3">
        <w:rPr>
          <w:rFonts w:ascii="Times New Roman" w:hAnsi="Times New Roman" w:cs="Times New Roman"/>
          <w:sz w:val="24"/>
          <w:szCs w:val="24"/>
          <w:shd w:val="clear" w:color="auto" w:fill="FFFFFF"/>
        </w:rPr>
        <w:t>ed</w:t>
      </w:r>
      <w:r w:rsidR="00E940BE" w:rsidRPr="00E573C3">
        <w:rPr>
          <w:rFonts w:ascii="Times New Roman" w:hAnsi="Times New Roman" w:cs="Times New Roman"/>
          <w:sz w:val="24"/>
          <w:szCs w:val="24"/>
          <w:shd w:val="clear" w:color="auto" w:fill="FFFFFF"/>
        </w:rPr>
        <w:t xml:space="preserve"> on the intended constructs</w:t>
      </w:r>
      <w:r w:rsidR="001E4C50" w:rsidRPr="00E573C3">
        <w:rPr>
          <w:rFonts w:ascii="Times New Roman" w:hAnsi="Times New Roman" w:cs="Times New Roman"/>
          <w:sz w:val="24"/>
          <w:szCs w:val="24"/>
          <w:shd w:val="clear" w:color="auto" w:fill="FFFFFF"/>
        </w:rPr>
        <w:t xml:space="preserve"> </w:t>
      </w:r>
      <w:r w:rsidR="007C2769" w:rsidRPr="00E573C3">
        <w:rPr>
          <w:rFonts w:ascii="Times New Roman" w:hAnsi="Times New Roman" w:cs="Times New Roman"/>
          <w:sz w:val="24"/>
          <w:szCs w:val="24"/>
          <w:shd w:val="clear" w:color="auto" w:fill="FFFFFF"/>
        </w:rPr>
        <w:t>(with</w:t>
      </w:r>
      <w:r w:rsidR="00A47B91" w:rsidRPr="00E573C3">
        <w:rPr>
          <w:rFonts w:ascii="Times New Roman" w:hAnsi="Times New Roman" w:cs="Times New Roman"/>
          <w:sz w:val="24"/>
          <w:szCs w:val="24"/>
          <w:shd w:val="clear" w:color="auto" w:fill="FFFFFF"/>
        </w:rPr>
        <w:t xml:space="preserve"> standardized loadings greater </w:t>
      </w:r>
      <w:r w:rsidR="007C2769" w:rsidRPr="00E573C3">
        <w:rPr>
          <w:rFonts w:ascii="Times New Roman" w:hAnsi="Times New Roman" w:cs="Times New Roman"/>
          <w:sz w:val="24"/>
          <w:szCs w:val="24"/>
          <w:shd w:val="clear" w:color="auto" w:fill="FFFFFF"/>
        </w:rPr>
        <w:t>than 0.5</w:t>
      </w:r>
      <w:r w:rsidR="00A47B91" w:rsidRPr="00E573C3">
        <w:rPr>
          <w:rFonts w:ascii="Times New Roman" w:hAnsi="Times New Roman" w:cs="Times New Roman"/>
          <w:sz w:val="24"/>
          <w:szCs w:val="24"/>
          <w:shd w:val="clear" w:color="auto" w:fill="FFFFFF"/>
        </w:rPr>
        <w:t>)</w:t>
      </w:r>
      <w:r w:rsidR="007C2769" w:rsidRPr="00E573C3">
        <w:rPr>
          <w:rFonts w:ascii="Times New Roman" w:hAnsi="Times New Roman" w:cs="Times New Roman"/>
          <w:sz w:val="24"/>
          <w:szCs w:val="24"/>
          <w:shd w:val="clear" w:color="auto" w:fill="FFFFFF"/>
        </w:rPr>
        <w:t>, the SCR greater than 0.7</w:t>
      </w:r>
      <w:r w:rsidR="00A47B91" w:rsidRPr="00E573C3">
        <w:rPr>
          <w:rFonts w:ascii="Times New Roman" w:hAnsi="Times New Roman" w:cs="Times New Roman"/>
          <w:sz w:val="24"/>
          <w:szCs w:val="24"/>
          <w:shd w:val="clear" w:color="auto" w:fill="FFFFFF"/>
        </w:rPr>
        <w:t xml:space="preserve"> and the average variance extracted (AVE) greater than 0.5</w:t>
      </w:r>
      <w:r w:rsidR="007C2769" w:rsidRPr="00E573C3">
        <w:rPr>
          <w:rFonts w:ascii="Times New Roman" w:hAnsi="Times New Roman" w:cs="Times New Roman"/>
          <w:sz w:val="24"/>
          <w:szCs w:val="24"/>
          <w:shd w:val="clear" w:color="auto" w:fill="FFFFFF"/>
        </w:rPr>
        <w:t xml:space="preserve">. Hence we can argue that there is sufficient evidence for convergent </w:t>
      </w:r>
      <w:r w:rsidR="00025B9E" w:rsidRPr="00E573C3">
        <w:rPr>
          <w:rFonts w:ascii="Times New Roman" w:hAnsi="Times New Roman" w:cs="Times New Roman"/>
          <w:sz w:val="24"/>
          <w:szCs w:val="24"/>
          <w:shd w:val="clear" w:color="auto" w:fill="FFFFFF"/>
        </w:rPr>
        <w:t>validity. Fawcett et al. (2014) noted that for discriminant validity, all the items should have higher loadings on their assigned constructs than any other constructs. Further</w:t>
      </w:r>
      <w:r w:rsidR="006F301F" w:rsidRPr="00E573C3">
        <w:rPr>
          <w:rFonts w:ascii="Times New Roman" w:hAnsi="Times New Roman" w:cs="Times New Roman"/>
          <w:sz w:val="24"/>
          <w:szCs w:val="24"/>
          <w:shd w:val="clear" w:color="auto" w:fill="FFFFFF"/>
        </w:rPr>
        <w:t>more,</w:t>
      </w:r>
      <w:r w:rsidR="00025B9E" w:rsidRPr="00E573C3">
        <w:rPr>
          <w:rFonts w:ascii="Times New Roman" w:hAnsi="Times New Roman" w:cs="Times New Roman"/>
          <w:sz w:val="24"/>
          <w:szCs w:val="24"/>
          <w:shd w:val="clear" w:color="auto" w:fill="FFFFFF"/>
        </w:rPr>
        <w:t xml:space="preserve"> the mean shared variance should be below 0.50. Alternatively, the square root of the AVE for each construct should be greater than any correlation estimate (see </w:t>
      </w:r>
      <w:r w:rsidR="000B6ED3" w:rsidRPr="00E573C3">
        <w:rPr>
          <w:rFonts w:ascii="Times New Roman" w:hAnsi="Times New Roman" w:cs="Times New Roman"/>
          <w:sz w:val="24"/>
          <w:szCs w:val="24"/>
          <w:shd w:val="clear" w:color="auto" w:fill="FFFFFF"/>
        </w:rPr>
        <w:t>Table 3</w:t>
      </w:r>
      <w:r w:rsidR="00025B9E" w:rsidRPr="00E573C3">
        <w:rPr>
          <w:rFonts w:ascii="Times New Roman" w:hAnsi="Times New Roman" w:cs="Times New Roman"/>
          <w:sz w:val="24"/>
          <w:szCs w:val="24"/>
          <w:shd w:val="clear" w:color="auto" w:fill="FFFFFF"/>
        </w:rPr>
        <w:t xml:space="preserve">). </w:t>
      </w:r>
      <w:r w:rsidR="00F6768F" w:rsidRPr="00E573C3">
        <w:rPr>
          <w:rFonts w:ascii="Times New Roman" w:hAnsi="Times New Roman" w:cs="Times New Roman"/>
          <w:sz w:val="24"/>
          <w:szCs w:val="24"/>
          <w:shd w:val="clear" w:color="auto" w:fill="FFFFFF"/>
        </w:rPr>
        <w:t>W</w:t>
      </w:r>
      <w:r w:rsidR="00025B9E" w:rsidRPr="00E573C3">
        <w:rPr>
          <w:rFonts w:ascii="Times New Roman" w:hAnsi="Times New Roman" w:cs="Times New Roman"/>
          <w:sz w:val="24"/>
          <w:szCs w:val="24"/>
          <w:shd w:val="clear" w:color="auto" w:fill="FFFFFF"/>
        </w:rPr>
        <w:t xml:space="preserve">e can </w:t>
      </w:r>
      <w:r w:rsidR="00F6768F" w:rsidRPr="00E573C3">
        <w:rPr>
          <w:rFonts w:ascii="Times New Roman" w:hAnsi="Times New Roman" w:cs="Times New Roman"/>
          <w:sz w:val="24"/>
          <w:szCs w:val="24"/>
          <w:shd w:val="clear" w:color="auto" w:fill="FFFFFF"/>
        </w:rPr>
        <w:t xml:space="preserve">therefore </w:t>
      </w:r>
      <w:r w:rsidR="00025B9E" w:rsidRPr="00E573C3">
        <w:rPr>
          <w:rFonts w:ascii="Times New Roman" w:hAnsi="Times New Roman" w:cs="Times New Roman"/>
          <w:sz w:val="24"/>
          <w:szCs w:val="24"/>
          <w:shd w:val="clear" w:color="auto" w:fill="FFFFFF"/>
        </w:rPr>
        <w:t>argue that there is sufficient evidence for discriminant validity.</w:t>
      </w:r>
    </w:p>
    <w:p w14:paraId="1CE55320" w14:textId="5CCC4A6D" w:rsidR="00105654" w:rsidRPr="00E573C3" w:rsidRDefault="00105654" w:rsidP="00654B52">
      <w:pPr>
        <w:tabs>
          <w:tab w:val="left" w:pos="1920"/>
        </w:tabs>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Table 3: Correlations among Major Constructs</w:t>
      </w:r>
    </w:p>
    <w:tbl>
      <w:tblPr>
        <w:tblW w:w="9468" w:type="dxa"/>
        <w:tblInd w:w="86" w:type="dxa"/>
        <w:tblLook w:val="04A0" w:firstRow="1" w:lastRow="0" w:firstColumn="1" w:lastColumn="0" w:noHBand="0" w:noVBand="1"/>
      </w:tblPr>
      <w:tblGrid>
        <w:gridCol w:w="1052"/>
        <w:gridCol w:w="1052"/>
        <w:gridCol w:w="1052"/>
        <w:gridCol w:w="1052"/>
        <w:gridCol w:w="1052"/>
        <w:gridCol w:w="1052"/>
        <w:gridCol w:w="1052"/>
        <w:gridCol w:w="1052"/>
        <w:gridCol w:w="1052"/>
      </w:tblGrid>
      <w:tr w:rsidR="00105654" w:rsidRPr="00E573C3" w14:paraId="39E7809C" w14:textId="77777777" w:rsidTr="00E75638">
        <w:trPr>
          <w:trHeight w:val="577"/>
        </w:trPr>
        <w:tc>
          <w:tcPr>
            <w:tcW w:w="1052" w:type="dxa"/>
            <w:tcBorders>
              <w:bottom w:val="single" w:sz="4" w:space="0" w:color="auto"/>
              <w:right w:val="single" w:sz="4" w:space="0" w:color="auto"/>
            </w:tcBorders>
            <w:shd w:val="clear" w:color="auto" w:fill="auto"/>
            <w:vAlign w:val="bottom"/>
            <w:hideMark/>
          </w:tcPr>
          <w:p w14:paraId="24B2B1A4"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left w:val="single" w:sz="4" w:space="0" w:color="auto"/>
              <w:bottom w:val="single" w:sz="4" w:space="0" w:color="auto"/>
            </w:tcBorders>
            <w:shd w:val="clear" w:color="auto" w:fill="auto"/>
            <w:noWrap/>
            <w:vAlign w:val="bottom"/>
            <w:hideMark/>
          </w:tcPr>
          <w:p w14:paraId="7655B133"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w:t>
            </w:r>
          </w:p>
        </w:tc>
        <w:tc>
          <w:tcPr>
            <w:tcW w:w="1052" w:type="dxa"/>
            <w:tcBorders>
              <w:bottom w:val="single" w:sz="4" w:space="0" w:color="auto"/>
            </w:tcBorders>
            <w:shd w:val="clear" w:color="auto" w:fill="auto"/>
            <w:noWrap/>
            <w:vAlign w:val="bottom"/>
            <w:hideMark/>
          </w:tcPr>
          <w:p w14:paraId="507BDC73"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w:t>
            </w:r>
          </w:p>
        </w:tc>
        <w:tc>
          <w:tcPr>
            <w:tcW w:w="1052" w:type="dxa"/>
            <w:tcBorders>
              <w:bottom w:val="single" w:sz="4" w:space="0" w:color="auto"/>
            </w:tcBorders>
            <w:shd w:val="clear" w:color="auto" w:fill="auto"/>
            <w:noWrap/>
            <w:vAlign w:val="bottom"/>
            <w:hideMark/>
          </w:tcPr>
          <w:p w14:paraId="3AC50969"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w:t>
            </w:r>
          </w:p>
        </w:tc>
        <w:tc>
          <w:tcPr>
            <w:tcW w:w="1052" w:type="dxa"/>
            <w:tcBorders>
              <w:bottom w:val="single" w:sz="4" w:space="0" w:color="auto"/>
            </w:tcBorders>
            <w:shd w:val="clear" w:color="auto" w:fill="auto"/>
            <w:noWrap/>
            <w:vAlign w:val="bottom"/>
            <w:hideMark/>
          </w:tcPr>
          <w:p w14:paraId="3406CE9F"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w:t>
            </w:r>
          </w:p>
        </w:tc>
        <w:tc>
          <w:tcPr>
            <w:tcW w:w="1052" w:type="dxa"/>
            <w:tcBorders>
              <w:bottom w:val="single" w:sz="4" w:space="0" w:color="auto"/>
            </w:tcBorders>
            <w:shd w:val="clear" w:color="auto" w:fill="auto"/>
            <w:noWrap/>
            <w:vAlign w:val="bottom"/>
            <w:hideMark/>
          </w:tcPr>
          <w:p w14:paraId="04317C90"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w:t>
            </w:r>
          </w:p>
        </w:tc>
        <w:tc>
          <w:tcPr>
            <w:tcW w:w="1052" w:type="dxa"/>
            <w:tcBorders>
              <w:bottom w:val="single" w:sz="4" w:space="0" w:color="auto"/>
            </w:tcBorders>
            <w:shd w:val="clear" w:color="auto" w:fill="auto"/>
            <w:noWrap/>
            <w:vAlign w:val="bottom"/>
            <w:hideMark/>
          </w:tcPr>
          <w:p w14:paraId="798448C5"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SCAD</w:t>
            </w:r>
          </w:p>
        </w:tc>
        <w:tc>
          <w:tcPr>
            <w:tcW w:w="1052" w:type="dxa"/>
            <w:tcBorders>
              <w:bottom w:val="single" w:sz="4" w:space="0" w:color="auto"/>
            </w:tcBorders>
            <w:shd w:val="clear" w:color="auto" w:fill="auto"/>
            <w:noWrap/>
            <w:vAlign w:val="bottom"/>
            <w:hideMark/>
          </w:tcPr>
          <w:p w14:paraId="62E8B110"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SCAL</w:t>
            </w:r>
          </w:p>
        </w:tc>
        <w:tc>
          <w:tcPr>
            <w:tcW w:w="1052" w:type="dxa"/>
            <w:tcBorders>
              <w:bottom w:val="single" w:sz="4" w:space="0" w:color="auto"/>
            </w:tcBorders>
            <w:shd w:val="clear" w:color="auto" w:fill="auto"/>
            <w:noWrap/>
            <w:vAlign w:val="bottom"/>
            <w:hideMark/>
          </w:tcPr>
          <w:p w14:paraId="13DDAAA0" w14:textId="77777777" w:rsidR="00105654" w:rsidRPr="00E573C3" w:rsidRDefault="00105654" w:rsidP="00654B52">
            <w:pPr>
              <w:spacing w:after="0"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w:t>
            </w:r>
          </w:p>
        </w:tc>
      </w:tr>
      <w:tr w:rsidR="00105654" w:rsidRPr="00E573C3" w14:paraId="76DE0306" w14:textId="77777777" w:rsidTr="00E75638">
        <w:trPr>
          <w:trHeight w:val="347"/>
        </w:trPr>
        <w:tc>
          <w:tcPr>
            <w:tcW w:w="1052" w:type="dxa"/>
            <w:tcBorders>
              <w:top w:val="single" w:sz="4" w:space="0" w:color="auto"/>
              <w:right w:val="single" w:sz="4" w:space="0" w:color="auto"/>
            </w:tcBorders>
            <w:shd w:val="clear" w:color="auto" w:fill="auto"/>
            <w:noWrap/>
            <w:hideMark/>
          </w:tcPr>
          <w:p w14:paraId="013DBB44"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w:t>
            </w:r>
          </w:p>
        </w:tc>
        <w:tc>
          <w:tcPr>
            <w:tcW w:w="1052" w:type="dxa"/>
            <w:tcBorders>
              <w:top w:val="single" w:sz="4" w:space="0" w:color="auto"/>
              <w:left w:val="single" w:sz="4" w:space="0" w:color="auto"/>
            </w:tcBorders>
            <w:shd w:val="clear" w:color="auto" w:fill="auto"/>
            <w:noWrap/>
            <w:hideMark/>
          </w:tcPr>
          <w:p w14:paraId="3845C3F8"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0.81</w:t>
            </w:r>
          </w:p>
        </w:tc>
        <w:tc>
          <w:tcPr>
            <w:tcW w:w="1052" w:type="dxa"/>
            <w:tcBorders>
              <w:top w:val="single" w:sz="4" w:space="0" w:color="auto"/>
            </w:tcBorders>
            <w:shd w:val="clear" w:color="auto" w:fill="auto"/>
            <w:noWrap/>
            <w:hideMark/>
          </w:tcPr>
          <w:p w14:paraId="677BD7A3"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150C65A7"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17A47E8E"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1C97BA9F"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03DF1F9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21CC5FD7"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tcBorders>
              <w:top w:val="single" w:sz="4" w:space="0" w:color="auto"/>
            </w:tcBorders>
            <w:shd w:val="clear" w:color="auto" w:fill="auto"/>
            <w:noWrap/>
            <w:hideMark/>
          </w:tcPr>
          <w:p w14:paraId="38858F7A"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2C7407A" w14:textId="77777777" w:rsidTr="00E75638">
        <w:trPr>
          <w:trHeight w:val="347"/>
        </w:trPr>
        <w:tc>
          <w:tcPr>
            <w:tcW w:w="1052" w:type="dxa"/>
            <w:tcBorders>
              <w:right w:val="single" w:sz="4" w:space="0" w:color="auto"/>
            </w:tcBorders>
            <w:shd w:val="clear" w:color="auto" w:fill="auto"/>
            <w:noWrap/>
            <w:hideMark/>
          </w:tcPr>
          <w:p w14:paraId="3E26F6DD"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SCI</w:t>
            </w:r>
          </w:p>
        </w:tc>
        <w:tc>
          <w:tcPr>
            <w:tcW w:w="1052" w:type="dxa"/>
            <w:tcBorders>
              <w:left w:val="single" w:sz="4" w:space="0" w:color="auto"/>
            </w:tcBorders>
            <w:shd w:val="clear" w:color="auto" w:fill="auto"/>
            <w:noWrap/>
            <w:hideMark/>
          </w:tcPr>
          <w:p w14:paraId="77D9558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0.63</w:t>
            </w:r>
          </w:p>
        </w:tc>
        <w:tc>
          <w:tcPr>
            <w:tcW w:w="1052" w:type="dxa"/>
            <w:shd w:val="clear" w:color="auto" w:fill="auto"/>
            <w:noWrap/>
            <w:hideMark/>
          </w:tcPr>
          <w:p w14:paraId="67B2DC54"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0.79</w:t>
            </w:r>
          </w:p>
        </w:tc>
        <w:tc>
          <w:tcPr>
            <w:tcW w:w="1052" w:type="dxa"/>
            <w:shd w:val="clear" w:color="auto" w:fill="auto"/>
            <w:noWrap/>
            <w:hideMark/>
          </w:tcPr>
          <w:p w14:paraId="53BB7D0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5AB82858"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65F097A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59F6B9C8"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69421EDF"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28A73C7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3F69489F" w14:textId="77777777" w:rsidTr="00E75638">
        <w:trPr>
          <w:trHeight w:val="347"/>
        </w:trPr>
        <w:tc>
          <w:tcPr>
            <w:tcW w:w="1052" w:type="dxa"/>
            <w:tcBorders>
              <w:right w:val="single" w:sz="4" w:space="0" w:color="auto"/>
            </w:tcBorders>
            <w:shd w:val="clear" w:color="auto" w:fill="auto"/>
            <w:noWrap/>
            <w:hideMark/>
          </w:tcPr>
          <w:p w14:paraId="21015859"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w:t>
            </w:r>
          </w:p>
        </w:tc>
        <w:tc>
          <w:tcPr>
            <w:tcW w:w="1052" w:type="dxa"/>
            <w:tcBorders>
              <w:left w:val="single" w:sz="4" w:space="0" w:color="auto"/>
            </w:tcBorders>
            <w:shd w:val="clear" w:color="auto" w:fill="auto"/>
            <w:noWrap/>
            <w:hideMark/>
          </w:tcPr>
          <w:p w14:paraId="4BA70182"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0.43</w:t>
            </w:r>
          </w:p>
        </w:tc>
        <w:tc>
          <w:tcPr>
            <w:tcW w:w="1052" w:type="dxa"/>
            <w:shd w:val="clear" w:color="auto" w:fill="auto"/>
            <w:noWrap/>
            <w:hideMark/>
          </w:tcPr>
          <w:p w14:paraId="60F1B463"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0.26</w:t>
            </w:r>
          </w:p>
        </w:tc>
        <w:tc>
          <w:tcPr>
            <w:tcW w:w="1052" w:type="dxa"/>
            <w:shd w:val="clear" w:color="auto" w:fill="auto"/>
            <w:noWrap/>
            <w:hideMark/>
          </w:tcPr>
          <w:p w14:paraId="33A223D7"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0.79</w:t>
            </w:r>
          </w:p>
        </w:tc>
        <w:tc>
          <w:tcPr>
            <w:tcW w:w="1052" w:type="dxa"/>
            <w:shd w:val="clear" w:color="auto" w:fill="auto"/>
            <w:noWrap/>
            <w:hideMark/>
          </w:tcPr>
          <w:p w14:paraId="6E45BBD4"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0443B439"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34659A17"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38D544B7"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68B9EA95"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657AEA26" w14:textId="77777777" w:rsidTr="00E75638">
        <w:trPr>
          <w:trHeight w:val="347"/>
        </w:trPr>
        <w:tc>
          <w:tcPr>
            <w:tcW w:w="1052" w:type="dxa"/>
            <w:tcBorders>
              <w:right w:val="single" w:sz="4" w:space="0" w:color="auto"/>
            </w:tcBorders>
            <w:shd w:val="clear" w:color="auto" w:fill="auto"/>
            <w:noWrap/>
            <w:hideMark/>
          </w:tcPr>
          <w:p w14:paraId="4513C438"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w:t>
            </w:r>
          </w:p>
        </w:tc>
        <w:tc>
          <w:tcPr>
            <w:tcW w:w="1052" w:type="dxa"/>
            <w:tcBorders>
              <w:left w:val="single" w:sz="4" w:space="0" w:color="auto"/>
            </w:tcBorders>
            <w:shd w:val="clear" w:color="auto" w:fill="auto"/>
            <w:noWrap/>
            <w:hideMark/>
          </w:tcPr>
          <w:p w14:paraId="225B649F"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0.08</w:t>
            </w:r>
          </w:p>
        </w:tc>
        <w:tc>
          <w:tcPr>
            <w:tcW w:w="1052" w:type="dxa"/>
            <w:shd w:val="clear" w:color="auto" w:fill="auto"/>
            <w:noWrap/>
            <w:hideMark/>
          </w:tcPr>
          <w:p w14:paraId="272FFE28"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0.21</w:t>
            </w:r>
          </w:p>
        </w:tc>
        <w:tc>
          <w:tcPr>
            <w:tcW w:w="1052" w:type="dxa"/>
            <w:shd w:val="clear" w:color="auto" w:fill="auto"/>
            <w:noWrap/>
            <w:hideMark/>
          </w:tcPr>
          <w:p w14:paraId="77360890"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0.11</w:t>
            </w:r>
          </w:p>
        </w:tc>
        <w:tc>
          <w:tcPr>
            <w:tcW w:w="1052" w:type="dxa"/>
            <w:shd w:val="clear" w:color="auto" w:fill="auto"/>
            <w:noWrap/>
            <w:hideMark/>
          </w:tcPr>
          <w:p w14:paraId="6EF379D1"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0.88</w:t>
            </w:r>
          </w:p>
        </w:tc>
        <w:tc>
          <w:tcPr>
            <w:tcW w:w="1052" w:type="dxa"/>
            <w:shd w:val="clear" w:color="auto" w:fill="auto"/>
            <w:noWrap/>
            <w:hideMark/>
          </w:tcPr>
          <w:p w14:paraId="0D952A5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2E86C06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028FCCA5"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61AA8345"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100CEB08" w14:textId="77777777" w:rsidTr="00E75638">
        <w:trPr>
          <w:trHeight w:val="347"/>
        </w:trPr>
        <w:tc>
          <w:tcPr>
            <w:tcW w:w="1052" w:type="dxa"/>
            <w:tcBorders>
              <w:right w:val="single" w:sz="4" w:space="0" w:color="auto"/>
            </w:tcBorders>
            <w:shd w:val="clear" w:color="auto" w:fill="auto"/>
            <w:noWrap/>
            <w:hideMark/>
          </w:tcPr>
          <w:p w14:paraId="37759CDB"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SCAG</w:t>
            </w:r>
          </w:p>
        </w:tc>
        <w:tc>
          <w:tcPr>
            <w:tcW w:w="1052" w:type="dxa"/>
            <w:tcBorders>
              <w:left w:val="single" w:sz="4" w:space="0" w:color="auto"/>
            </w:tcBorders>
            <w:shd w:val="clear" w:color="auto" w:fill="auto"/>
            <w:noWrap/>
            <w:hideMark/>
          </w:tcPr>
          <w:p w14:paraId="360F4A5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-0.29</w:t>
            </w:r>
          </w:p>
        </w:tc>
        <w:tc>
          <w:tcPr>
            <w:tcW w:w="1052" w:type="dxa"/>
            <w:shd w:val="clear" w:color="auto" w:fill="auto"/>
            <w:noWrap/>
            <w:hideMark/>
          </w:tcPr>
          <w:p w14:paraId="03A48C3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-0.21</w:t>
            </w:r>
          </w:p>
        </w:tc>
        <w:tc>
          <w:tcPr>
            <w:tcW w:w="1052" w:type="dxa"/>
            <w:shd w:val="clear" w:color="auto" w:fill="auto"/>
            <w:noWrap/>
            <w:hideMark/>
          </w:tcPr>
          <w:p w14:paraId="5AA480F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-0.13</w:t>
            </w:r>
          </w:p>
        </w:tc>
        <w:tc>
          <w:tcPr>
            <w:tcW w:w="1052" w:type="dxa"/>
            <w:shd w:val="clear" w:color="auto" w:fill="auto"/>
            <w:noWrap/>
            <w:hideMark/>
          </w:tcPr>
          <w:p w14:paraId="73F51D4F"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0.01</w:t>
            </w:r>
          </w:p>
        </w:tc>
        <w:tc>
          <w:tcPr>
            <w:tcW w:w="1052" w:type="dxa"/>
            <w:shd w:val="clear" w:color="auto" w:fill="auto"/>
            <w:noWrap/>
            <w:hideMark/>
          </w:tcPr>
          <w:p w14:paraId="1D7250C5"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0.90</w:t>
            </w:r>
          </w:p>
        </w:tc>
        <w:tc>
          <w:tcPr>
            <w:tcW w:w="1052" w:type="dxa"/>
            <w:shd w:val="clear" w:color="auto" w:fill="auto"/>
            <w:noWrap/>
            <w:hideMark/>
          </w:tcPr>
          <w:p w14:paraId="45914CCA"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723BB633"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77C9B40A"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1E02808F" w14:textId="77777777" w:rsidTr="00E75638">
        <w:trPr>
          <w:trHeight w:val="347"/>
        </w:trPr>
        <w:tc>
          <w:tcPr>
            <w:tcW w:w="1052" w:type="dxa"/>
            <w:tcBorders>
              <w:right w:val="single" w:sz="4" w:space="0" w:color="auto"/>
            </w:tcBorders>
            <w:shd w:val="clear" w:color="auto" w:fill="auto"/>
            <w:noWrap/>
            <w:hideMark/>
          </w:tcPr>
          <w:p w14:paraId="5AA14E13"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SCAD</w:t>
            </w:r>
          </w:p>
        </w:tc>
        <w:tc>
          <w:tcPr>
            <w:tcW w:w="1052" w:type="dxa"/>
            <w:tcBorders>
              <w:left w:val="single" w:sz="4" w:space="0" w:color="auto"/>
            </w:tcBorders>
            <w:shd w:val="clear" w:color="auto" w:fill="auto"/>
            <w:noWrap/>
            <w:hideMark/>
          </w:tcPr>
          <w:p w14:paraId="793D0345"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-0.11</w:t>
            </w:r>
          </w:p>
        </w:tc>
        <w:tc>
          <w:tcPr>
            <w:tcW w:w="1052" w:type="dxa"/>
            <w:shd w:val="clear" w:color="auto" w:fill="auto"/>
            <w:noWrap/>
            <w:hideMark/>
          </w:tcPr>
          <w:p w14:paraId="34B35C23"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-0.14</w:t>
            </w:r>
          </w:p>
        </w:tc>
        <w:tc>
          <w:tcPr>
            <w:tcW w:w="1052" w:type="dxa"/>
            <w:shd w:val="clear" w:color="auto" w:fill="auto"/>
            <w:noWrap/>
            <w:hideMark/>
          </w:tcPr>
          <w:p w14:paraId="5FE27E1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-0.09</w:t>
            </w:r>
          </w:p>
        </w:tc>
        <w:tc>
          <w:tcPr>
            <w:tcW w:w="1052" w:type="dxa"/>
            <w:shd w:val="clear" w:color="auto" w:fill="auto"/>
            <w:noWrap/>
            <w:hideMark/>
          </w:tcPr>
          <w:p w14:paraId="0F0CD862"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-0.11</w:t>
            </w:r>
          </w:p>
        </w:tc>
        <w:tc>
          <w:tcPr>
            <w:tcW w:w="1052" w:type="dxa"/>
            <w:shd w:val="clear" w:color="auto" w:fill="auto"/>
            <w:noWrap/>
            <w:hideMark/>
          </w:tcPr>
          <w:p w14:paraId="7AD5E3C4"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0.31</w:t>
            </w:r>
          </w:p>
        </w:tc>
        <w:tc>
          <w:tcPr>
            <w:tcW w:w="1052" w:type="dxa"/>
            <w:shd w:val="clear" w:color="auto" w:fill="auto"/>
            <w:noWrap/>
            <w:hideMark/>
          </w:tcPr>
          <w:p w14:paraId="7A8FD0EF"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0.94</w:t>
            </w:r>
          </w:p>
        </w:tc>
        <w:tc>
          <w:tcPr>
            <w:tcW w:w="1052" w:type="dxa"/>
            <w:shd w:val="clear" w:color="auto" w:fill="auto"/>
            <w:noWrap/>
            <w:hideMark/>
          </w:tcPr>
          <w:p w14:paraId="7A4F4F0A"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052" w:type="dxa"/>
            <w:shd w:val="clear" w:color="auto" w:fill="auto"/>
            <w:noWrap/>
            <w:hideMark/>
          </w:tcPr>
          <w:p w14:paraId="4F983A54"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539ECB2A" w14:textId="77777777" w:rsidTr="00E75638">
        <w:trPr>
          <w:trHeight w:val="347"/>
        </w:trPr>
        <w:tc>
          <w:tcPr>
            <w:tcW w:w="1052" w:type="dxa"/>
            <w:tcBorders>
              <w:right w:val="single" w:sz="4" w:space="0" w:color="auto"/>
            </w:tcBorders>
            <w:shd w:val="clear" w:color="auto" w:fill="auto"/>
            <w:noWrap/>
            <w:hideMark/>
          </w:tcPr>
          <w:p w14:paraId="610AB1D5"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SCAL</w:t>
            </w:r>
          </w:p>
        </w:tc>
        <w:tc>
          <w:tcPr>
            <w:tcW w:w="1052" w:type="dxa"/>
            <w:tcBorders>
              <w:left w:val="single" w:sz="4" w:space="0" w:color="auto"/>
            </w:tcBorders>
            <w:shd w:val="clear" w:color="auto" w:fill="auto"/>
            <w:noWrap/>
            <w:hideMark/>
          </w:tcPr>
          <w:p w14:paraId="725527F2"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-0.02</w:t>
            </w:r>
          </w:p>
        </w:tc>
        <w:tc>
          <w:tcPr>
            <w:tcW w:w="1052" w:type="dxa"/>
            <w:shd w:val="clear" w:color="auto" w:fill="auto"/>
            <w:noWrap/>
            <w:hideMark/>
          </w:tcPr>
          <w:p w14:paraId="47EA5A83"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-0.06</w:t>
            </w:r>
          </w:p>
        </w:tc>
        <w:tc>
          <w:tcPr>
            <w:tcW w:w="1052" w:type="dxa"/>
            <w:shd w:val="clear" w:color="auto" w:fill="auto"/>
            <w:noWrap/>
            <w:hideMark/>
          </w:tcPr>
          <w:p w14:paraId="049F2724"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-0.05</w:t>
            </w:r>
          </w:p>
        </w:tc>
        <w:tc>
          <w:tcPr>
            <w:tcW w:w="1052" w:type="dxa"/>
            <w:shd w:val="clear" w:color="auto" w:fill="auto"/>
            <w:noWrap/>
            <w:hideMark/>
          </w:tcPr>
          <w:p w14:paraId="68AD317E"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0.05</w:t>
            </w:r>
          </w:p>
        </w:tc>
        <w:tc>
          <w:tcPr>
            <w:tcW w:w="1052" w:type="dxa"/>
            <w:shd w:val="clear" w:color="auto" w:fill="auto"/>
            <w:noWrap/>
            <w:hideMark/>
          </w:tcPr>
          <w:p w14:paraId="5750AF6D"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0.12</w:t>
            </w:r>
          </w:p>
        </w:tc>
        <w:tc>
          <w:tcPr>
            <w:tcW w:w="1052" w:type="dxa"/>
            <w:shd w:val="clear" w:color="auto" w:fill="auto"/>
            <w:noWrap/>
            <w:hideMark/>
          </w:tcPr>
          <w:p w14:paraId="4D66BDB7"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0.29</w:t>
            </w:r>
          </w:p>
        </w:tc>
        <w:tc>
          <w:tcPr>
            <w:tcW w:w="1052" w:type="dxa"/>
            <w:shd w:val="clear" w:color="auto" w:fill="auto"/>
            <w:noWrap/>
            <w:hideMark/>
          </w:tcPr>
          <w:p w14:paraId="7988FC81"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0.85</w:t>
            </w:r>
          </w:p>
        </w:tc>
        <w:tc>
          <w:tcPr>
            <w:tcW w:w="1052" w:type="dxa"/>
            <w:shd w:val="clear" w:color="auto" w:fill="auto"/>
            <w:noWrap/>
            <w:hideMark/>
          </w:tcPr>
          <w:p w14:paraId="174BD7B4"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105654" w:rsidRPr="00E573C3" w14:paraId="7B1E4B28" w14:textId="77777777" w:rsidTr="00E75638">
        <w:trPr>
          <w:trHeight w:val="347"/>
        </w:trPr>
        <w:tc>
          <w:tcPr>
            <w:tcW w:w="1052" w:type="dxa"/>
            <w:tcBorders>
              <w:right w:val="single" w:sz="4" w:space="0" w:color="auto"/>
            </w:tcBorders>
            <w:shd w:val="clear" w:color="auto" w:fill="auto"/>
            <w:noWrap/>
            <w:hideMark/>
          </w:tcPr>
          <w:p w14:paraId="0DE4DBA2" w14:textId="77777777" w:rsidR="00105654" w:rsidRPr="00E573C3" w:rsidRDefault="00105654" w:rsidP="00654B52">
            <w:pPr>
              <w:spacing w:after="0"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w:t>
            </w:r>
          </w:p>
        </w:tc>
        <w:tc>
          <w:tcPr>
            <w:tcW w:w="1052" w:type="dxa"/>
            <w:tcBorders>
              <w:left w:val="single" w:sz="4" w:space="0" w:color="auto"/>
            </w:tcBorders>
            <w:shd w:val="clear" w:color="auto" w:fill="auto"/>
            <w:noWrap/>
            <w:hideMark/>
          </w:tcPr>
          <w:p w14:paraId="1FCA935F"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0.17</w:t>
            </w:r>
          </w:p>
        </w:tc>
        <w:tc>
          <w:tcPr>
            <w:tcW w:w="1052" w:type="dxa"/>
            <w:shd w:val="clear" w:color="auto" w:fill="auto"/>
            <w:noWrap/>
            <w:hideMark/>
          </w:tcPr>
          <w:p w14:paraId="39845BD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0.29</w:t>
            </w:r>
          </w:p>
        </w:tc>
        <w:tc>
          <w:tcPr>
            <w:tcW w:w="1052" w:type="dxa"/>
            <w:shd w:val="clear" w:color="auto" w:fill="auto"/>
            <w:noWrap/>
            <w:hideMark/>
          </w:tcPr>
          <w:p w14:paraId="25C4D12E"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-0.02</w:t>
            </w:r>
          </w:p>
        </w:tc>
        <w:tc>
          <w:tcPr>
            <w:tcW w:w="1052" w:type="dxa"/>
            <w:shd w:val="clear" w:color="auto" w:fill="auto"/>
            <w:noWrap/>
            <w:hideMark/>
          </w:tcPr>
          <w:p w14:paraId="0A99856A"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0.17</w:t>
            </w:r>
          </w:p>
        </w:tc>
        <w:tc>
          <w:tcPr>
            <w:tcW w:w="1052" w:type="dxa"/>
            <w:shd w:val="clear" w:color="auto" w:fill="auto"/>
            <w:noWrap/>
            <w:hideMark/>
          </w:tcPr>
          <w:p w14:paraId="3E9FF3B9"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0.07</w:t>
            </w:r>
          </w:p>
        </w:tc>
        <w:tc>
          <w:tcPr>
            <w:tcW w:w="1052" w:type="dxa"/>
            <w:shd w:val="clear" w:color="auto" w:fill="auto"/>
            <w:noWrap/>
            <w:hideMark/>
          </w:tcPr>
          <w:p w14:paraId="1955CD3C"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w:t>
            </w:r>
          </w:p>
        </w:tc>
        <w:tc>
          <w:tcPr>
            <w:tcW w:w="1052" w:type="dxa"/>
            <w:shd w:val="clear" w:color="auto" w:fill="auto"/>
            <w:noWrap/>
            <w:hideMark/>
          </w:tcPr>
          <w:p w14:paraId="0BAF4626" w14:textId="77777777" w:rsidR="00105654" w:rsidRPr="00E573C3" w:rsidRDefault="00105654" w:rsidP="00654B52">
            <w:pPr>
              <w:spacing w:after="0" w:line="480" w:lineRule="auto"/>
              <w:jc w:val="right"/>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0.15</w:t>
            </w:r>
          </w:p>
        </w:tc>
        <w:tc>
          <w:tcPr>
            <w:tcW w:w="1052" w:type="dxa"/>
            <w:shd w:val="clear" w:color="auto" w:fill="auto"/>
            <w:noWrap/>
            <w:hideMark/>
          </w:tcPr>
          <w:p w14:paraId="5E22E0FE" w14:textId="77777777" w:rsidR="00105654" w:rsidRPr="00E573C3" w:rsidRDefault="00105654" w:rsidP="00654B52">
            <w:pPr>
              <w:spacing w:after="0" w:line="480" w:lineRule="auto"/>
              <w:jc w:val="right"/>
              <w:rPr>
                <w:rFonts w:ascii="Times New Roman" w:eastAsia="Times New Roman" w:hAnsi="Times New Roman" w:cs="Times New Roman"/>
                <w:b/>
                <w:bCs/>
                <w:color w:val="000000"/>
                <w:sz w:val="24"/>
                <w:szCs w:val="24"/>
              </w:rPr>
            </w:pPr>
            <w:r w:rsidRPr="00E573C3">
              <w:rPr>
                <w:rFonts w:ascii="Times New Roman" w:eastAsia="Times New Roman" w:hAnsi="Times New Roman" w:cs="Times New Roman"/>
                <w:b/>
                <w:bCs/>
                <w:color w:val="000000"/>
                <w:sz w:val="24"/>
                <w:szCs w:val="24"/>
              </w:rPr>
              <w:t>0.85</w:t>
            </w:r>
          </w:p>
        </w:tc>
      </w:tr>
    </w:tbl>
    <w:p w14:paraId="551D14C6" w14:textId="77777777" w:rsidR="00105654" w:rsidRPr="00E573C3" w:rsidRDefault="00105654" w:rsidP="00654B52">
      <w:pPr>
        <w:spacing w:line="480" w:lineRule="auto"/>
        <w:jc w:val="both"/>
        <w:rPr>
          <w:rFonts w:ascii="Times New Roman" w:hAnsi="Times New Roman" w:cs="Times New Roman"/>
          <w:sz w:val="24"/>
          <w:szCs w:val="24"/>
          <w:shd w:val="clear" w:color="auto" w:fill="FFFFFF"/>
        </w:rPr>
      </w:pPr>
    </w:p>
    <w:p w14:paraId="63A21F30" w14:textId="2E5DAC6F" w:rsidR="006A1AEE" w:rsidRPr="00E573C3" w:rsidRDefault="006A1AEE"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We assessed unidimensionality of our theoretical model constructs</w:t>
      </w:r>
      <w:r w:rsidR="00EB3DF2" w:rsidRPr="00E573C3">
        <w:rPr>
          <w:rFonts w:ascii="Times New Roman" w:hAnsi="Times New Roman" w:cs="Times New Roman"/>
          <w:sz w:val="24"/>
          <w:szCs w:val="24"/>
          <w:shd w:val="clear" w:color="auto" w:fill="FFFFFF"/>
        </w:rPr>
        <w:t xml:space="preserve"> via following two conditions (Gerbing and Anderson, 1988). First</w:t>
      </w:r>
      <w:r w:rsidR="00502460" w:rsidRPr="00E573C3">
        <w:rPr>
          <w:rFonts w:ascii="Times New Roman" w:hAnsi="Times New Roman" w:cs="Times New Roman"/>
          <w:sz w:val="24"/>
          <w:szCs w:val="24"/>
          <w:shd w:val="clear" w:color="auto" w:fill="FFFFFF"/>
        </w:rPr>
        <w:t>ly</w:t>
      </w:r>
      <w:r w:rsidR="00EB3DF2" w:rsidRPr="00E573C3">
        <w:rPr>
          <w:rFonts w:ascii="Times New Roman" w:hAnsi="Times New Roman" w:cs="Times New Roman"/>
          <w:sz w:val="24"/>
          <w:szCs w:val="24"/>
          <w:shd w:val="clear" w:color="auto" w:fill="FFFFFF"/>
        </w:rPr>
        <w:t>, an item must be significantly associated with the empirical indicators of the construct and second</w:t>
      </w:r>
      <w:r w:rsidR="00502460" w:rsidRPr="00E573C3">
        <w:rPr>
          <w:rFonts w:ascii="Times New Roman" w:hAnsi="Times New Roman" w:cs="Times New Roman"/>
          <w:sz w:val="24"/>
          <w:szCs w:val="24"/>
          <w:shd w:val="clear" w:color="auto" w:fill="FFFFFF"/>
        </w:rPr>
        <w:t>ly</w:t>
      </w:r>
      <w:r w:rsidR="00234902" w:rsidRPr="00E573C3">
        <w:rPr>
          <w:rFonts w:ascii="Times New Roman" w:hAnsi="Times New Roman" w:cs="Times New Roman"/>
          <w:sz w:val="24"/>
          <w:szCs w:val="24"/>
          <w:shd w:val="clear" w:color="auto" w:fill="FFFFFF"/>
        </w:rPr>
        <w:t>,</w:t>
      </w:r>
      <w:r w:rsidR="00EB3DF2" w:rsidRPr="00E573C3">
        <w:rPr>
          <w:rFonts w:ascii="Times New Roman" w:hAnsi="Times New Roman" w:cs="Times New Roman"/>
          <w:sz w:val="24"/>
          <w:szCs w:val="24"/>
          <w:shd w:val="clear" w:color="auto" w:fill="FFFFFF"/>
        </w:rPr>
        <w:t xml:space="preserve"> it must be associated </w:t>
      </w:r>
      <w:r w:rsidR="00BD75FE" w:rsidRPr="00E573C3">
        <w:rPr>
          <w:rFonts w:ascii="Times New Roman" w:hAnsi="Times New Roman" w:cs="Times New Roman"/>
          <w:sz w:val="24"/>
          <w:szCs w:val="24"/>
          <w:shd w:val="clear" w:color="auto" w:fill="FFFFFF"/>
        </w:rPr>
        <w:t xml:space="preserve">with one and only one construct (Chen et al. 2004). To test </w:t>
      </w:r>
      <w:r w:rsidR="006C70A6" w:rsidRPr="00E573C3">
        <w:rPr>
          <w:rFonts w:ascii="Times New Roman" w:hAnsi="Times New Roman" w:cs="Times New Roman"/>
          <w:sz w:val="24"/>
          <w:szCs w:val="24"/>
          <w:shd w:val="clear" w:color="auto" w:fill="FFFFFF"/>
        </w:rPr>
        <w:t xml:space="preserve">for </w:t>
      </w:r>
      <w:r w:rsidR="00BD75FE" w:rsidRPr="00E573C3">
        <w:rPr>
          <w:rFonts w:ascii="Times New Roman" w:hAnsi="Times New Roman" w:cs="Times New Roman"/>
          <w:sz w:val="24"/>
          <w:szCs w:val="24"/>
          <w:shd w:val="clear" w:color="auto" w:fill="FFFFFF"/>
        </w:rPr>
        <w:t xml:space="preserve">unidimensionality we tested the overall fit of our model. Based on </w:t>
      </w:r>
      <w:r w:rsidR="00532426" w:rsidRPr="00E573C3">
        <w:rPr>
          <w:rFonts w:ascii="Times New Roman" w:hAnsi="Times New Roman" w:cs="Times New Roman"/>
          <w:sz w:val="24"/>
          <w:szCs w:val="24"/>
          <w:shd w:val="clear" w:color="auto" w:fill="FFFFFF"/>
        </w:rPr>
        <w:t>the literature (see Bentler and Bonett, 1980; Bentler, 1990; Hu and Bentler, 1999; Chen et al. 2004; Ou et al. 2010; Whitten et al. 2012; Brandon-Jones et al. 2014; Eckstein et al. 2015)</w:t>
      </w:r>
      <w:r w:rsidR="00BD75FE" w:rsidRPr="00E573C3">
        <w:rPr>
          <w:rFonts w:ascii="Times New Roman" w:hAnsi="Times New Roman" w:cs="Times New Roman"/>
          <w:sz w:val="24"/>
          <w:szCs w:val="24"/>
          <w:shd w:val="clear" w:color="auto" w:fill="FFFFFF"/>
        </w:rPr>
        <w:t>, multiple fit criteria were utilized to assess model fit</w:t>
      </w:r>
      <w:r w:rsidR="00115EB2" w:rsidRPr="00E573C3">
        <w:rPr>
          <w:rFonts w:ascii="Times New Roman" w:hAnsi="Times New Roman" w:cs="Times New Roman"/>
          <w:sz w:val="24"/>
          <w:szCs w:val="24"/>
          <w:shd w:val="clear" w:color="auto" w:fill="FFFFFF"/>
        </w:rPr>
        <w:t xml:space="preserve">. </w:t>
      </w:r>
      <w:r w:rsidR="00A8600A" w:rsidRPr="00E573C3">
        <w:rPr>
          <w:rFonts w:ascii="Times New Roman" w:hAnsi="Times New Roman" w:cs="Times New Roman"/>
          <w:sz w:val="24"/>
          <w:szCs w:val="24"/>
          <w:shd w:val="clear" w:color="auto" w:fill="FFFFFF"/>
        </w:rPr>
        <w:t>Based on several fit indices (ϰ²/degrees of freedom=1.48; goodness of fit</w:t>
      </w:r>
      <w:r w:rsidR="008A4E3E">
        <w:rPr>
          <w:rFonts w:ascii="Times New Roman" w:hAnsi="Times New Roman" w:cs="Times New Roman"/>
          <w:sz w:val="24"/>
          <w:szCs w:val="24"/>
          <w:shd w:val="clear" w:color="auto" w:fill="FFFFFF"/>
        </w:rPr>
        <w:t xml:space="preserve">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GFI</m:t>
            </m:r>
          </m:e>
        </m:d>
        <m:r>
          <w:rPr>
            <w:rFonts w:ascii="Cambria Math" w:hAnsi="Cambria Math" w:cs="Times New Roman"/>
            <w:sz w:val="24"/>
            <w:szCs w:val="24"/>
            <w:shd w:val="clear" w:color="auto" w:fill="FFFFFF"/>
          </w:rPr>
          <m:t>=0.94</m:t>
        </m:r>
      </m:oMath>
      <w:r w:rsidR="00A8600A" w:rsidRPr="00E573C3">
        <w:rPr>
          <w:rFonts w:ascii="Times New Roman" w:hAnsi="Times New Roman" w:cs="Times New Roman"/>
          <w:sz w:val="24"/>
          <w:szCs w:val="24"/>
          <w:shd w:val="clear" w:color="auto" w:fill="FFFFFF"/>
        </w:rPr>
        <w:t xml:space="preserve">; adjusted goodness of fit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AGFI</m:t>
            </m:r>
          </m:e>
        </m:d>
        <m:r>
          <w:rPr>
            <w:rFonts w:ascii="Cambria Math" w:hAnsi="Cambria Math" w:cs="Times New Roman"/>
            <w:sz w:val="24"/>
            <w:szCs w:val="24"/>
            <w:shd w:val="clear" w:color="auto" w:fill="FFFFFF"/>
          </w:rPr>
          <m:t>=0.91</m:t>
        </m:r>
      </m:oMath>
      <w:r w:rsidR="00A8600A" w:rsidRPr="00E573C3">
        <w:rPr>
          <w:rFonts w:ascii="Times New Roman" w:hAnsi="Times New Roman" w:cs="Times New Roman"/>
          <w:sz w:val="24"/>
          <w:szCs w:val="24"/>
          <w:shd w:val="clear" w:color="auto" w:fill="FFFFFF"/>
        </w:rPr>
        <w:t xml:space="preserve">; Bentler and Bonett’s normed fit index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NFI</m:t>
            </m:r>
          </m:e>
        </m:d>
        <m:r>
          <w:rPr>
            <w:rFonts w:ascii="Cambria Math" w:hAnsi="Cambria Math" w:cs="Times New Roman"/>
            <w:sz w:val="24"/>
            <w:szCs w:val="24"/>
            <w:shd w:val="clear" w:color="auto" w:fill="FFFFFF"/>
          </w:rPr>
          <m:t>=0.97</m:t>
        </m:r>
      </m:oMath>
      <w:r w:rsidR="00A8600A" w:rsidRPr="00E573C3">
        <w:rPr>
          <w:rFonts w:ascii="Times New Roman" w:hAnsi="Times New Roman" w:cs="Times New Roman"/>
          <w:sz w:val="24"/>
          <w:szCs w:val="24"/>
          <w:shd w:val="clear" w:color="auto" w:fill="FFFFFF"/>
        </w:rPr>
        <w:t xml:space="preserve">; Bentler and Bonett’s non-normed fit index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NNFI</m:t>
            </m:r>
          </m:e>
        </m:d>
        <m:r>
          <w:rPr>
            <w:rFonts w:ascii="Cambria Math" w:hAnsi="Cambria Math" w:cs="Times New Roman"/>
            <w:sz w:val="24"/>
            <w:szCs w:val="24"/>
            <w:shd w:val="clear" w:color="auto" w:fill="FFFFFF"/>
          </w:rPr>
          <m:t>=0.96</m:t>
        </m:r>
      </m:oMath>
      <w:r w:rsidR="007112C3" w:rsidRPr="00E573C3">
        <w:rPr>
          <w:rFonts w:ascii="Times New Roman" w:hAnsi="Times New Roman" w:cs="Times New Roman"/>
          <w:sz w:val="24"/>
          <w:szCs w:val="24"/>
          <w:shd w:val="clear" w:color="auto" w:fill="FFFFFF"/>
        </w:rPr>
        <w:t xml:space="preserve"> ; Bentler comparative fit index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CFI</m:t>
            </m:r>
          </m:e>
        </m:d>
        <m:r>
          <w:rPr>
            <w:rFonts w:ascii="Cambria Math" w:hAnsi="Cambria Math" w:cs="Times New Roman"/>
            <w:sz w:val="24"/>
            <w:szCs w:val="24"/>
            <w:shd w:val="clear" w:color="auto" w:fill="FFFFFF"/>
          </w:rPr>
          <m:t>=0.97</m:t>
        </m:r>
      </m:oMath>
      <w:r w:rsidR="007112C3" w:rsidRPr="00E573C3">
        <w:rPr>
          <w:rFonts w:ascii="Times New Roman" w:hAnsi="Times New Roman" w:cs="Times New Roman"/>
          <w:sz w:val="24"/>
          <w:szCs w:val="24"/>
          <w:shd w:val="clear" w:color="auto" w:fill="FFFFFF"/>
        </w:rPr>
        <w:t xml:space="preserve">; and root mean square error of approximation </w:t>
      </w:r>
      <m:oMath>
        <m:d>
          <m:dPr>
            <m:begChr m:val="["/>
            <m:endChr m:val="]"/>
            <m:ctrlPr>
              <w:rPr>
                <w:rFonts w:ascii="Cambria Math" w:hAnsi="Cambria Math" w:cs="Times New Roman"/>
                <w:i/>
                <w:sz w:val="24"/>
                <w:szCs w:val="24"/>
                <w:shd w:val="clear" w:color="auto" w:fill="FFFFFF"/>
              </w:rPr>
            </m:ctrlPr>
          </m:dPr>
          <m:e>
            <m:r>
              <w:rPr>
                <w:rFonts w:ascii="Cambria Math" w:hAnsi="Cambria Math" w:cs="Times New Roman"/>
                <w:sz w:val="24"/>
                <w:szCs w:val="24"/>
                <w:shd w:val="clear" w:color="auto" w:fill="FFFFFF"/>
              </w:rPr>
              <m:t>RMSEA</m:t>
            </m:r>
          </m:e>
        </m:d>
        <m:r>
          <w:rPr>
            <w:rFonts w:ascii="Cambria Math" w:hAnsi="Cambria Math" w:cs="Times New Roman"/>
            <w:sz w:val="24"/>
            <w:szCs w:val="24"/>
            <w:shd w:val="clear" w:color="auto" w:fill="FFFFFF"/>
          </w:rPr>
          <m:t>=0.07</m:t>
        </m:r>
      </m:oMath>
      <w:r w:rsidR="007112C3" w:rsidRPr="00E573C3">
        <w:rPr>
          <w:rFonts w:ascii="Times New Roman" w:hAnsi="Times New Roman" w:cs="Times New Roman"/>
          <w:sz w:val="24"/>
          <w:szCs w:val="24"/>
          <w:shd w:val="clear" w:color="auto" w:fill="FFFFFF"/>
        </w:rPr>
        <w:t>), we can conclude that our constructs exhibit unidimensionality.</w:t>
      </w:r>
    </w:p>
    <w:p w14:paraId="5D936D25" w14:textId="65486CDF" w:rsidR="00D27D7C" w:rsidRPr="00E573C3" w:rsidRDefault="00F37F88" w:rsidP="00654B52">
      <w:pPr>
        <w:spacing w:after="120" w:line="480" w:lineRule="auto"/>
        <w:jc w:val="both"/>
        <w:rPr>
          <w:rFonts w:ascii="Times New Roman" w:hAnsi="Times New Roman" w:cs="Times New Roman"/>
          <w:b/>
          <w:i/>
          <w:sz w:val="24"/>
          <w:szCs w:val="24"/>
          <w:shd w:val="clear" w:color="auto" w:fill="FFFFFF"/>
        </w:rPr>
      </w:pPr>
      <w:r w:rsidRPr="00E573C3">
        <w:rPr>
          <w:rFonts w:ascii="Times New Roman" w:hAnsi="Times New Roman" w:cs="Times New Roman"/>
          <w:b/>
          <w:i/>
          <w:sz w:val="24"/>
          <w:szCs w:val="24"/>
          <w:shd w:val="clear" w:color="auto" w:fill="FFFFFF"/>
        </w:rPr>
        <w:t xml:space="preserve">4.2 </w:t>
      </w:r>
      <w:r w:rsidR="00793A5C" w:rsidRPr="00E573C3">
        <w:rPr>
          <w:rFonts w:ascii="Times New Roman" w:hAnsi="Times New Roman" w:cs="Times New Roman"/>
          <w:b/>
          <w:i/>
          <w:sz w:val="24"/>
          <w:szCs w:val="24"/>
          <w:shd w:val="clear" w:color="auto" w:fill="FFFFFF"/>
        </w:rPr>
        <w:t>Common Method</w:t>
      </w:r>
      <w:r w:rsidR="003A7D84" w:rsidRPr="00E573C3">
        <w:rPr>
          <w:rFonts w:ascii="Times New Roman" w:hAnsi="Times New Roman" w:cs="Times New Roman"/>
          <w:b/>
          <w:i/>
          <w:sz w:val="24"/>
          <w:szCs w:val="24"/>
          <w:shd w:val="clear" w:color="auto" w:fill="FFFFFF"/>
        </w:rPr>
        <w:t xml:space="preserve"> </w:t>
      </w:r>
      <w:r w:rsidR="00793A5C" w:rsidRPr="00E573C3">
        <w:rPr>
          <w:rFonts w:ascii="Times New Roman" w:hAnsi="Times New Roman" w:cs="Times New Roman"/>
          <w:b/>
          <w:i/>
          <w:sz w:val="24"/>
          <w:szCs w:val="24"/>
          <w:shd w:val="clear" w:color="auto" w:fill="FFFFFF"/>
        </w:rPr>
        <w:t>Bias</w:t>
      </w:r>
    </w:p>
    <w:p w14:paraId="4C04AD8E" w14:textId="600B2AF8" w:rsidR="00311994" w:rsidRPr="00E573C3" w:rsidRDefault="00FD3971" w:rsidP="00654B52">
      <w:pPr>
        <w:spacing w:line="480" w:lineRule="auto"/>
        <w:jc w:val="both"/>
        <w:rPr>
          <w:rFonts w:ascii="Times New Roman" w:hAnsi="Times New Roman" w:cs="Times New Roman"/>
          <w:sz w:val="24"/>
          <w:szCs w:val="24"/>
        </w:rPr>
      </w:pPr>
      <w:r w:rsidRPr="00E573C3">
        <w:rPr>
          <w:rFonts w:ascii="Times New Roman" w:hAnsi="Times New Roman" w:cs="Times New Roman"/>
          <w:sz w:val="24"/>
          <w:szCs w:val="24"/>
          <w:shd w:val="clear" w:color="auto" w:fill="FFFFFF"/>
        </w:rPr>
        <w:t>Guide and Ketokivi (2015</w:t>
      </w:r>
      <w:r w:rsidR="006C25DE" w:rsidRPr="00E573C3">
        <w:rPr>
          <w:rFonts w:ascii="Times New Roman" w:hAnsi="Times New Roman" w:cs="Times New Roman"/>
          <w:sz w:val="24"/>
          <w:szCs w:val="24"/>
          <w:shd w:val="clear" w:color="auto" w:fill="FFFFFF"/>
        </w:rPr>
        <w:t xml:space="preserve">, c.f. </w:t>
      </w:r>
      <w:r w:rsidRPr="00E573C3">
        <w:rPr>
          <w:rFonts w:ascii="Times New Roman" w:hAnsi="Times New Roman" w:cs="Times New Roman"/>
          <w:sz w:val="24"/>
          <w:szCs w:val="24"/>
          <w:shd w:val="clear" w:color="auto" w:fill="FFFFFF"/>
        </w:rPr>
        <w:t>Ketokivi and Schroeder, 2004</w:t>
      </w:r>
      <w:r w:rsidR="006C25DE" w:rsidRPr="00E573C3">
        <w:rPr>
          <w:rFonts w:ascii="Times New Roman" w:hAnsi="Times New Roman" w:cs="Times New Roman"/>
          <w:sz w:val="24"/>
          <w:szCs w:val="24"/>
          <w:shd w:val="clear" w:color="auto" w:fill="FFFFFF"/>
        </w:rPr>
        <w:t>) have argued that common method bias</w:t>
      </w:r>
      <w:r w:rsidR="006749A3" w:rsidRPr="00E573C3">
        <w:rPr>
          <w:rFonts w:ascii="Times New Roman" w:hAnsi="Times New Roman" w:cs="Times New Roman"/>
          <w:sz w:val="24"/>
          <w:szCs w:val="24"/>
          <w:shd w:val="clear" w:color="auto" w:fill="FFFFFF"/>
        </w:rPr>
        <w:t xml:space="preserve"> (CMB)</w:t>
      </w:r>
      <w:r w:rsidR="006C25DE" w:rsidRPr="00E573C3">
        <w:rPr>
          <w:rFonts w:ascii="Times New Roman" w:hAnsi="Times New Roman" w:cs="Times New Roman"/>
          <w:sz w:val="24"/>
          <w:szCs w:val="24"/>
          <w:shd w:val="clear" w:color="auto" w:fill="FFFFFF"/>
        </w:rPr>
        <w:t xml:space="preserve"> cannot be </w:t>
      </w:r>
      <w:r w:rsidR="00C83734" w:rsidRPr="00E573C3">
        <w:rPr>
          <w:rFonts w:ascii="Times New Roman" w:hAnsi="Times New Roman" w:cs="Times New Roman"/>
          <w:sz w:val="24"/>
          <w:szCs w:val="24"/>
          <w:shd w:val="clear" w:color="auto" w:fill="FFFFFF"/>
        </w:rPr>
        <w:t>eliminated</w:t>
      </w:r>
      <w:r w:rsidR="006C25DE" w:rsidRPr="00E573C3">
        <w:rPr>
          <w:rFonts w:ascii="Times New Roman" w:hAnsi="Times New Roman" w:cs="Times New Roman"/>
          <w:sz w:val="24"/>
          <w:szCs w:val="24"/>
          <w:shd w:val="clear" w:color="auto" w:fill="FFFFFF"/>
        </w:rPr>
        <w:t xml:space="preserve"> in case of survey based research </w:t>
      </w:r>
      <w:r w:rsidR="002B643B" w:rsidRPr="00E573C3">
        <w:rPr>
          <w:rFonts w:ascii="Times New Roman" w:hAnsi="Times New Roman" w:cs="Times New Roman"/>
          <w:sz w:val="24"/>
          <w:szCs w:val="24"/>
          <w:shd w:val="clear" w:color="auto" w:fill="FFFFFF"/>
        </w:rPr>
        <w:t xml:space="preserve">unless one uses multiple informants per observational unit. </w:t>
      </w:r>
      <w:r w:rsidR="00B5154D" w:rsidRPr="00E573C3">
        <w:rPr>
          <w:rFonts w:ascii="Times New Roman" w:hAnsi="Times New Roman" w:cs="Times New Roman"/>
          <w:sz w:val="24"/>
          <w:szCs w:val="24"/>
          <w:shd w:val="clear" w:color="auto" w:fill="FFFFFF"/>
        </w:rPr>
        <w:t xml:space="preserve">Following Podsakoff and Organ (1986), we attempted to enforce a procedural remedy by asking respondents not to estimate </w:t>
      </w:r>
      <w:r w:rsidR="00C86E58" w:rsidRPr="00E573C3">
        <w:rPr>
          <w:rFonts w:ascii="Times New Roman" w:hAnsi="Times New Roman" w:cs="Times New Roman"/>
          <w:sz w:val="24"/>
          <w:szCs w:val="24"/>
          <w:shd w:val="clear" w:color="auto" w:fill="FFFFFF"/>
        </w:rPr>
        <w:t>SCAAA</w:t>
      </w:r>
      <w:r w:rsidR="00446BFE" w:rsidRPr="00E573C3">
        <w:rPr>
          <w:rFonts w:ascii="Times New Roman" w:hAnsi="Times New Roman" w:cs="Times New Roman"/>
          <w:sz w:val="24"/>
          <w:szCs w:val="24"/>
          <w:shd w:val="clear" w:color="auto" w:fill="FFFFFF"/>
        </w:rPr>
        <w:t xml:space="preserve"> on the basis of their </w:t>
      </w:r>
      <w:r w:rsidR="008C349E" w:rsidRPr="00E573C3">
        <w:rPr>
          <w:rFonts w:ascii="Times New Roman" w:hAnsi="Times New Roman" w:cs="Times New Roman"/>
          <w:sz w:val="24"/>
          <w:szCs w:val="24"/>
          <w:shd w:val="clear" w:color="auto" w:fill="FFFFFF"/>
        </w:rPr>
        <w:t xml:space="preserve">own </w:t>
      </w:r>
      <w:r w:rsidR="00446BFE" w:rsidRPr="00E573C3">
        <w:rPr>
          <w:rFonts w:ascii="Times New Roman" w:hAnsi="Times New Roman" w:cs="Times New Roman"/>
          <w:sz w:val="24"/>
          <w:szCs w:val="24"/>
          <w:shd w:val="clear" w:color="auto" w:fill="FFFFFF"/>
        </w:rPr>
        <w:t xml:space="preserve">experience, but to </w:t>
      </w:r>
      <w:r w:rsidR="00CA7E93" w:rsidRPr="00E573C3">
        <w:rPr>
          <w:rFonts w:ascii="Times New Roman" w:hAnsi="Times New Roman" w:cs="Times New Roman"/>
          <w:sz w:val="24"/>
          <w:szCs w:val="24"/>
          <w:shd w:val="clear" w:color="auto" w:fill="FFFFFF"/>
        </w:rPr>
        <w:t xml:space="preserve">obtain </w:t>
      </w:r>
      <w:r w:rsidR="00446BFE" w:rsidRPr="00E573C3">
        <w:rPr>
          <w:rFonts w:ascii="Times New Roman" w:hAnsi="Times New Roman" w:cs="Times New Roman"/>
          <w:sz w:val="24"/>
          <w:szCs w:val="24"/>
          <w:shd w:val="clear" w:color="auto" w:fill="FFFFFF"/>
        </w:rPr>
        <w:t>this information from minutes of organization</w:t>
      </w:r>
      <w:r w:rsidR="00CA7E93" w:rsidRPr="00E573C3">
        <w:rPr>
          <w:rFonts w:ascii="Times New Roman" w:hAnsi="Times New Roman" w:cs="Times New Roman"/>
          <w:sz w:val="24"/>
          <w:szCs w:val="24"/>
          <w:shd w:val="clear" w:color="auto" w:fill="FFFFFF"/>
        </w:rPr>
        <w:t>al</w:t>
      </w:r>
      <w:r w:rsidR="00446BFE" w:rsidRPr="00E573C3">
        <w:rPr>
          <w:rFonts w:ascii="Times New Roman" w:hAnsi="Times New Roman" w:cs="Times New Roman"/>
          <w:sz w:val="24"/>
          <w:szCs w:val="24"/>
          <w:shd w:val="clear" w:color="auto" w:fill="FFFFFF"/>
        </w:rPr>
        <w:t xml:space="preserve"> meetings or </w:t>
      </w:r>
      <w:r w:rsidR="00CA7E93" w:rsidRPr="00E573C3">
        <w:rPr>
          <w:rFonts w:ascii="Times New Roman" w:hAnsi="Times New Roman" w:cs="Times New Roman"/>
          <w:sz w:val="24"/>
          <w:szCs w:val="24"/>
          <w:shd w:val="clear" w:color="auto" w:fill="FFFFFF"/>
        </w:rPr>
        <w:t xml:space="preserve">from </w:t>
      </w:r>
      <w:r w:rsidR="00446BFE" w:rsidRPr="00E573C3">
        <w:rPr>
          <w:rFonts w:ascii="Times New Roman" w:hAnsi="Times New Roman" w:cs="Times New Roman"/>
          <w:sz w:val="24"/>
          <w:szCs w:val="24"/>
          <w:shd w:val="clear" w:color="auto" w:fill="FFFFFF"/>
        </w:rPr>
        <w:t>documentation</w:t>
      </w:r>
      <w:r w:rsidR="006C25DE" w:rsidRPr="00E573C3">
        <w:rPr>
          <w:rFonts w:ascii="Times New Roman" w:hAnsi="Times New Roman" w:cs="Times New Roman"/>
          <w:sz w:val="24"/>
          <w:szCs w:val="24"/>
          <w:shd w:val="clear" w:color="auto" w:fill="FFFFFF"/>
        </w:rPr>
        <w:t xml:space="preserve"> (Gligor et al. 2015)</w:t>
      </w:r>
      <w:r w:rsidR="00446BFE" w:rsidRPr="00E573C3">
        <w:rPr>
          <w:rFonts w:ascii="Times New Roman" w:hAnsi="Times New Roman" w:cs="Times New Roman"/>
          <w:sz w:val="24"/>
          <w:szCs w:val="24"/>
          <w:shd w:val="clear" w:color="auto" w:fill="FFFFFF"/>
        </w:rPr>
        <w:t xml:space="preserve">. </w:t>
      </w:r>
      <w:r w:rsidR="008C349E" w:rsidRPr="00E573C3">
        <w:rPr>
          <w:rFonts w:ascii="Times New Roman" w:hAnsi="Times New Roman" w:cs="Times New Roman"/>
          <w:sz w:val="24"/>
          <w:szCs w:val="24"/>
          <w:shd w:val="clear" w:color="auto" w:fill="FFFFFF"/>
        </w:rPr>
        <w:t>Furthermore,</w:t>
      </w:r>
      <w:r w:rsidR="00446BFE" w:rsidRPr="00E573C3">
        <w:rPr>
          <w:rFonts w:ascii="Times New Roman" w:hAnsi="Times New Roman" w:cs="Times New Roman"/>
          <w:sz w:val="24"/>
          <w:szCs w:val="24"/>
          <w:shd w:val="clear" w:color="auto" w:fill="FFFFFF"/>
        </w:rPr>
        <w:t xml:space="preserve"> we performed statistical analyses to assess the</w:t>
      </w:r>
      <w:r w:rsidR="00E56C67" w:rsidRPr="00E573C3">
        <w:rPr>
          <w:rFonts w:ascii="Times New Roman" w:hAnsi="Times New Roman" w:cs="Times New Roman"/>
          <w:sz w:val="24"/>
          <w:szCs w:val="24"/>
          <w:shd w:val="clear" w:color="auto" w:fill="FFFFFF"/>
        </w:rPr>
        <w:t xml:space="preserve"> severity of </w:t>
      </w:r>
      <w:r w:rsidR="00DC24AC" w:rsidRPr="00E573C3">
        <w:rPr>
          <w:rFonts w:ascii="Times New Roman" w:hAnsi="Times New Roman" w:cs="Times New Roman"/>
          <w:sz w:val="24"/>
          <w:szCs w:val="24"/>
          <w:shd w:val="clear" w:color="auto" w:fill="FFFFFF"/>
        </w:rPr>
        <w:t>CMB</w:t>
      </w:r>
      <w:r w:rsidR="008C2EB5" w:rsidRPr="00E573C3">
        <w:rPr>
          <w:rFonts w:ascii="Times New Roman" w:hAnsi="Times New Roman" w:cs="Times New Roman"/>
          <w:sz w:val="24"/>
          <w:szCs w:val="24"/>
          <w:shd w:val="clear" w:color="auto" w:fill="FFFFFF"/>
        </w:rPr>
        <w:t xml:space="preserve">.  </w:t>
      </w:r>
      <w:r w:rsidR="008C2EB5" w:rsidRPr="00E573C3">
        <w:rPr>
          <w:rFonts w:ascii="Times New Roman" w:hAnsi="Times New Roman" w:cs="Times New Roman"/>
          <w:sz w:val="24"/>
          <w:szCs w:val="24"/>
        </w:rPr>
        <w:t>R</w:t>
      </w:r>
      <w:r w:rsidR="00DC24AC" w:rsidRPr="00E573C3">
        <w:rPr>
          <w:rFonts w:ascii="Times New Roman" w:hAnsi="Times New Roman" w:cs="Times New Roman"/>
          <w:sz w:val="24"/>
          <w:szCs w:val="24"/>
        </w:rPr>
        <w:t>esearchers</w:t>
      </w:r>
      <w:r w:rsidR="008419A6" w:rsidRPr="00E573C3">
        <w:rPr>
          <w:rFonts w:ascii="Times New Roman" w:hAnsi="Times New Roman" w:cs="Times New Roman"/>
          <w:sz w:val="24"/>
          <w:szCs w:val="24"/>
        </w:rPr>
        <w:t xml:space="preserve"> </w:t>
      </w:r>
      <w:r w:rsidR="00DC24AC" w:rsidRPr="00E573C3">
        <w:rPr>
          <w:rFonts w:ascii="Times New Roman" w:hAnsi="Times New Roman" w:cs="Times New Roman"/>
          <w:sz w:val="24"/>
          <w:szCs w:val="24"/>
        </w:rPr>
        <w:t>have developed a number of statistical techniques to control for the effect of CMB in survey-based research design</w:t>
      </w:r>
      <w:r w:rsidR="008A1CFD" w:rsidRPr="00E573C3">
        <w:rPr>
          <w:rFonts w:ascii="Times New Roman" w:hAnsi="Times New Roman" w:cs="Times New Roman"/>
          <w:sz w:val="24"/>
          <w:szCs w:val="24"/>
        </w:rPr>
        <w:t xml:space="preserve"> (Sharma et al. 2009)</w:t>
      </w:r>
      <w:r w:rsidR="00DC24AC" w:rsidRPr="00E573C3">
        <w:rPr>
          <w:rFonts w:ascii="Times New Roman" w:hAnsi="Times New Roman" w:cs="Times New Roman"/>
          <w:sz w:val="24"/>
          <w:szCs w:val="24"/>
        </w:rPr>
        <w:t xml:space="preserve">. </w:t>
      </w:r>
      <w:r w:rsidR="00927F20" w:rsidRPr="00E573C3">
        <w:rPr>
          <w:rFonts w:ascii="Times New Roman" w:hAnsi="Times New Roman" w:cs="Times New Roman"/>
          <w:sz w:val="24"/>
          <w:szCs w:val="24"/>
        </w:rPr>
        <w:t>W</w:t>
      </w:r>
      <w:r w:rsidR="00311994" w:rsidRPr="00E573C3">
        <w:rPr>
          <w:rFonts w:ascii="Times New Roman" w:hAnsi="Times New Roman" w:cs="Times New Roman"/>
          <w:sz w:val="24"/>
          <w:szCs w:val="24"/>
        </w:rPr>
        <w:t xml:space="preserve">e </w:t>
      </w:r>
      <w:r w:rsidR="00927F20" w:rsidRPr="00E573C3">
        <w:rPr>
          <w:rFonts w:ascii="Times New Roman" w:hAnsi="Times New Roman" w:cs="Times New Roman"/>
          <w:sz w:val="24"/>
          <w:szCs w:val="24"/>
        </w:rPr>
        <w:t>conducted</w:t>
      </w:r>
      <w:r w:rsidR="00311994" w:rsidRPr="00E573C3">
        <w:rPr>
          <w:rFonts w:ascii="Times New Roman" w:hAnsi="Times New Roman" w:cs="Times New Roman"/>
          <w:sz w:val="24"/>
          <w:szCs w:val="24"/>
        </w:rPr>
        <w:t xml:space="preserve"> Harman</w:t>
      </w:r>
      <w:r w:rsidR="00C06094" w:rsidRPr="00E573C3">
        <w:rPr>
          <w:rFonts w:ascii="Times New Roman" w:hAnsi="Times New Roman" w:cs="Times New Roman"/>
          <w:sz w:val="24"/>
          <w:szCs w:val="24"/>
        </w:rPr>
        <w:t>’s</w:t>
      </w:r>
      <w:r w:rsidR="00311994" w:rsidRPr="00E573C3">
        <w:rPr>
          <w:rFonts w:ascii="Times New Roman" w:hAnsi="Times New Roman" w:cs="Times New Roman"/>
          <w:sz w:val="24"/>
          <w:szCs w:val="24"/>
        </w:rPr>
        <w:t xml:space="preserve"> single-factor test</w:t>
      </w:r>
      <w:r w:rsidR="00815C8A" w:rsidRPr="00E573C3">
        <w:rPr>
          <w:rFonts w:ascii="Times New Roman" w:hAnsi="Times New Roman" w:cs="Times New Roman"/>
          <w:sz w:val="24"/>
          <w:szCs w:val="24"/>
        </w:rPr>
        <w:t>. This</w:t>
      </w:r>
      <w:r w:rsidR="00311994" w:rsidRPr="00E573C3">
        <w:rPr>
          <w:rFonts w:ascii="Times New Roman" w:hAnsi="Times New Roman" w:cs="Times New Roman"/>
          <w:sz w:val="24"/>
          <w:szCs w:val="24"/>
        </w:rPr>
        <w:t xml:space="preserve"> </w:t>
      </w:r>
      <w:r w:rsidR="00DC24AC" w:rsidRPr="00E573C3">
        <w:rPr>
          <w:rFonts w:ascii="Times New Roman" w:hAnsi="Times New Roman" w:cs="Times New Roman"/>
          <w:sz w:val="24"/>
          <w:szCs w:val="24"/>
        </w:rPr>
        <w:t>requires loading all the measures into an exploratory factor analysis</w:t>
      </w:r>
      <w:r w:rsidR="00815C8A" w:rsidRPr="00E573C3">
        <w:rPr>
          <w:rFonts w:ascii="Times New Roman" w:hAnsi="Times New Roman" w:cs="Times New Roman"/>
          <w:sz w:val="24"/>
          <w:szCs w:val="24"/>
        </w:rPr>
        <w:t>,</w:t>
      </w:r>
      <w:r w:rsidR="004A6E59" w:rsidRPr="00E573C3">
        <w:rPr>
          <w:rFonts w:ascii="Times New Roman" w:hAnsi="Times New Roman" w:cs="Times New Roman"/>
          <w:sz w:val="24"/>
          <w:szCs w:val="24"/>
        </w:rPr>
        <w:t xml:space="preserve"> and analys</w:t>
      </w:r>
      <w:r w:rsidR="008A4E3E">
        <w:rPr>
          <w:rFonts w:ascii="Times New Roman" w:hAnsi="Times New Roman" w:cs="Times New Roman"/>
          <w:sz w:val="24"/>
          <w:szCs w:val="24"/>
        </w:rPr>
        <w:t>ing</w:t>
      </w:r>
      <w:r w:rsidR="004A6E59" w:rsidRPr="00E573C3">
        <w:rPr>
          <w:rFonts w:ascii="Times New Roman" w:hAnsi="Times New Roman" w:cs="Times New Roman"/>
          <w:sz w:val="24"/>
          <w:szCs w:val="24"/>
        </w:rPr>
        <w:t xml:space="preserve"> the unrotated factor solution</w:t>
      </w:r>
      <w:r w:rsidR="00DC24AC" w:rsidRPr="00E573C3">
        <w:rPr>
          <w:rFonts w:ascii="Times New Roman" w:hAnsi="Times New Roman" w:cs="Times New Roman"/>
          <w:sz w:val="24"/>
          <w:szCs w:val="24"/>
        </w:rPr>
        <w:t xml:space="preserve"> with the assumption that the presence of CM</w:t>
      </w:r>
      <w:r w:rsidR="00311994" w:rsidRPr="00E573C3">
        <w:rPr>
          <w:rFonts w:ascii="Times New Roman" w:hAnsi="Times New Roman" w:cs="Times New Roman"/>
          <w:sz w:val="24"/>
          <w:szCs w:val="24"/>
        </w:rPr>
        <w:t>B</w:t>
      </w:r>
      <w:r w:rsidR="00DC24AC" w:rsidRPr="00E573C3">
        <w:rPr>
          <w:rFonts w:ascii="Times New Roman" w:hAnsi="Times New Roman" w:cs="Times New Roman"/>
          <w:sz w:val="24"/>
          <w:szCs w:val="24"/>
        </w:rPr>
        <w:t xml:space="preserve"> is indicated by the emergence of either a single factor or a general factor accounting for the majority of covariance among measures (Podsakoff et al. 2003,</w:t>
      </w:r>
      <w:r w:rsidR="008F7A38" w:rsidRPr="00E573C3">
        <w:rPr>
          <w:rFonts w:ascii="Times New Roman" w:hAnsi="Times New Roman" w:cs="Times New Roman"/>
          <w:sz w:val="24"/>
          <w:szCs w:val="24"/>
        </w:rPr>
        <w:t xml:space="preserve"> p. 889). For the first case</w:t>
      </w:r>
      <w:r w:rsidR="00EE3BB5">
        <w:rPr>
          <w:rFonts w:ascii="Times New Roman" w:hAnsi="Times New Roman" w:cs="Times New Roman"/>
          <w:sz w:val="24"/>
          <w:szCs w:val="24"/>
        </w:rPr>
        <w:t>,</w:t>
      </w:r>
      <w:r w:rsidR="008F7A38" w:rsidRPr="00E573C3">
        <w:rPr>
          <w:rFonts w:ascii="Times New Roman" w:hAnsi="Times New Roman" w:cs="Times New Roman"/>
          <w:sz w:val="24"/>
          <w:szCs w:val="24"/>
        </w:rPr>
        <w:t xml:space="preserve"> we fixed the number of factor</w:t>
      </w:r>
      <w:r w:rsidR="008A4E3E">
        <w:rPr>
          <w:rFonts w:ascii="Times New Roman" w:hAnsi="Times New Roman" w:cs="Times New Roman"/>
          <w:sz w:val="24"/>
          <w:szCs w:val="24"/>
        </w:rPr>
        <w:t>s</w:t>
      </w:r>
      <w:r w:rsidR="008F7A38" w:rsidRPr="00E573C3">
        <w:rPr>
          <w:rFonts w:ascii="Times New Roman" w:hAnsi="Times New Roman" w:cs="Times New Roman"/>
          <w:sz w:val="24"/>
          <w:szCs w:val="24"/>
        </w:rPr>
        <w:t xml:space="preserve"> equal to one, prior to obtaining </w:t>
      </w:r>
      <w:r w:rsidR="008A4E3E">
        <w:rPr>
          <w:rFonts w:ascii="Times New Roman" w:hAnsi="Times New Roman" w:cs="Times New Roman"/>
          <w:sz w:val="24"/>
          <w:szCs w:val="24"/>
        </w:rPr>
        <w:t xml:space="preserve">an </w:t>
      </w:r>
      <w:r w:rsidR="008F7A38" w:rsidRPr="00E573C3">
        <w:rPr>
          <w:rFonts w:ascii="Times New Roman" w:hAnsi="Times New Roman" w:cs="Times New Roman"/>
          <w:sz w:val="24"/>
          <w:szCs w:val="24"/>
        </w:rPr>
        <w:t xml:space="preserve">unrotated factor solution. </w:t>
      </w:r>
      <w:r w:rsidR="00815C8A" w:rsidRPr="00E573C3">
        <w:rPr>
          <w:rFonts w:ascii="Times New Roman" w:hAnsi="Times New Roman" w:cs="Times New Roman"/>
          <w:sz w:val="24"/>
          <w:szCs w:val="24"/>
        </w:rPr>
        <w:t>A</w:t>
      </w:r>
      <w:r w:rsidR="00311994" w:rsidRPr="00E573C3">
        <w:rPr>
          <w:rFonts w:ascii="Times New Roman" w:hAnsi="Times New Roman" w:cs="Times New Roman"/>
          <w:sz w:val="24"/>
          <w:szCs w:val="24"/>
        </w:rPr>
        <w:t xml:space="preserve"> single factor</w:t>
      </w:r>
      <w:r w:rsidR="00A15EF7" w:rsidRPr="00E573C3">
        <w:rPr>
          <w:rFonts w:ascii="Times New Roman" w:hAnsi="Times New Roman" w:cs="Times New Roman"/>
          <w:sz w:val="24"/>
          <w:szCs w:val="24"/>
        </w:rPr>
        <w:t xml:space="preserve"> </w:t>
      </w:r>
      <w:r w:rsidR="008C2EB5" w:rsidRPr="00E573C3">
        <w:rPr>
          <w:rFonts w:ascii="Times New Roman" w:hAnsi="Times New Roman" w:cs="Times New Roman"/>
          <w:sz w:val="24"/>
          <w:szCs w:val="24"/>
        </w:rPr>
        <w:t xml:space="preserve">was </w:t>
      </w:r>
      <w:r w:rsidR="00A15EF7" w:rsidRPr="00E573C3">
        <w:rPr>
          <w:rFonts w:ascii="Times New Roman" w:hAnsi="Times New Roman" w:cs="Times New Roman"/>
          <w:sz w:val="24"/>
          <w:szCs w:val="24"/>
        </w:rPr>
        <w:t xml:space="preserve">obtained which explains 38.69% </w:t>
      </w:r>
      <w:r w:rsidR="008F7A38" w:rsidRPr="00E573C3">
        <w:rPr>
          <w:rFonts w:ascii="Times New Roman" w:hAnsi="Times New Roman" w:cs="Times New Roman"/>
          <w:sz w:val="24"/>
          <w:szCs w:val="24"/>
        </w:rPr>
        <w:t>of</w:t>
      </w:r>
      <w:r w:rsidR="00311994" w:rsidRPr="00E573C3">
        <w:rPr>
          <w:rFonts w:ascii="Times New Roman" w:hAnsi="Times New Roman" w:cs="Times New Roman"/>
          <w:sz w:val="24"/>
          <w:szCs w:val="24"/>
        </w:rPr>
        <w:t xml:space="preserve"> the varian</w:t>
      </w:r>
      <w:r w:rsidR="008F7A38" w:rsidRPr="00E573C3">
        <w:rPr>
          <w:rFonts w:ascii="Times New Roman" w:hAnsi="Times New Roman" w:cs="Times New Roman"/>
          <w:sz w:val="24"/>
          <w:szCs w:val="24"/>
        </w:rPr>
        <w:t>ce</w:t>
      </w:r>
      <w:r w:rsidR="008A4E3E">
        <w:rPr>
          <w:rFonts w:ascii="Times New Roman" w:hAnsi="Times New Roman" w:cs="Times New Roman"/>
          <w:sz w:val="24"/>
          <w:szCs w:val="24"/>
        </w:rPr>
        <w:t>, which</w:t>
      </w:r>
      <w:r w:rsidR="0046479D" w:rsidRPr="00E573C3">
        <w:rPr>
          <w:rFonts w:ascii="Times New Roman" w:hAnsi="Times New Roman" w:cs="Times New Roman"/>
          <w:sz w:val="24"/>
          <w:szCs w:val="24"/>
        </w:rPr>
        <w:t xml:space="preserve"> </w:t>
      </w:r>
      <w:r w:rsidR="008F7A38" w:rsidRPr="00E573C3">
        <w:rPr>
          <w:rFonts w:ascii="Times New Roman" w:hAnsi="Times New Roman" w:cs="Times New Roman"/>
          <w:sz w:val="24"/>
          <w:szCs w:val="24"/>
        </w:rPr>
        <w:t xml:space="preserve">should be ideally less than 50%. Secondly, we obtained eight factors </w:t>
      </w:r>
      <w:r w:rsidR="00EF66F6" w:rsidRPr="00E573C3">
        <w:rPr>
          <w:rFonts w:ascii="Times New Roman" w:hAnsi="Times New Roman" w:cs="Times New Roman"/>
          <w:sz w:val="24"/>
          <w:szCs w:val="24"/>
        </w:rPr>
        <w:t>varimax rotated</w:t>
      </w:r>
      <w:r w:rsidR="008F7A38" w:rsidRPr="00E573C3">
        <w:rPr>
          <w:rFonts w:ascii="Times New Roman" w:hAnsi="Times New Roman" w:cs="Times New Roman"/>
          <w:sz w:val="24"/>
          <w:szCs w:val="24"/>
        </w:rPr>
        <w:t xml:space="preserve"> factor solution</w:t>
      </w:r>
      <w:r w:rsidR="00EF66F6" w:rsidRPr="00E573C3">
        <w:rPr>
          <w:rFonts w:ascii="Times New Roman" w:hAnsi="Times New Roman" w:cs="Times New Roman"/>
          <w:sz w:val="24"/>
          <w:szCs w:val="24"/>
        </w:rPr>
        <w:t xml:space="preserve"> (parsimonious structure)</w:t>
      </w:r>
      <w:r w:rsidR="008F7A38" w:rsidRPr="00E573C3">
        <w:rPr>
          <w:rFonts w:ascii="Times New Roman" w:hAnsi="Times New Roman" w:cs="Times New Roman"/>
          <w:sz w:val="24"/>
          <w:szCs w:val="24"/>
        </w:rPr>
        <w:t xml:space="preserve"> </w:t>
      </w:r>
      <w:r w:rsidR="00AF663B" w:rsidRPr="00E573C3">
        <w:rPr>
          <w:rFonts w:ascii="Times New Roman" w:hAnsi="Times New Roman" w:cs="Times New Roman"/>
          <w:sz w:val="24"/>
          <w:szCs w:val="24"/>
        </w:rPr>
        <w:t xml:space="preserve">that </w:t>
      </w:r>
      <w:r w:rsidR="008F7A38" w:rsidRPr="00E573C3">
        <w:rPr>
          <w:rFonts w:ascii="Times New Roman" w:hAnsi="Times New Roman" w:cs="Times New Roman"/>
          <w:sz w:val="24"/>
          <w:szCs w:val="24"/>
        </w:rPr>
        <w:t>explains nearly 75% of the total variance with single largest factor out of eight factors explaining less than 14% variance (i.e. 13.87%)</w:t>
      </w:r>
      <w:r w:rsidR="00A15EF7" w:rsidRPr="00E573C3">
        <w:rPr>
          <w:rFonts w:ascii="Times New Roman" w:hAnsi="Times New Roman" w:cs="Times New Roman"/>
          <w:sz w:val="24"/>
          <w:szCs w:val="24"/>
        </w:rPr>
        <w:t>.</w:t>
      </w:r>
      <w:r w:rsidR="008F7A38" w:rsidRPr="00E573C3">
        <w:rPr>
          <w:rFonts w:ascii="Times New Roman" w:hAnsi="Times New Roman" w:cs="Times New Roman"/>
          <w:sz w:val="24"/>
          <w:szCs w:val="24"/>
        </w:rPr>
        <w:t xml:space="preserve"> Hence, in both </w:t>
      </w:r>
      <w:r w:rsidR="00BC479D" w:rsidRPr="00E573C3">
        <w:rPr>
          <w:rFonts w:ascii="Times New Roman" w:hAnsi="Times New Roman" w:cs="Times New Roman"/>
          <w:sz w:val="24"/>
          <w:szCs w:val="24"/>
        </w:rPr>
        <w:t xml:space="preserve">the </w:t>
      </w:r>
      <w:r w:rsidR="008F7A38" w:rsidRPr="00E573C3">
        <w:rPr>
          <w:rFonts w:ascii="Times New Roman" w:hAnsi="Times New Roman" w:cs="Times New Roman"/>
          <w:sz w:val="24"/>
          <w:szCs w:val="24"/>
        </w:rPr>
        <w:t xml:space="preserve">cases we observe that CMB </w:t>
      </w:r>
      <w:r w:rsidR="00BA58E6" w:rsidRPr="00E573C3">
        <w:rPr>
          <w:rFonts w:ascii="Times New Roman" w:hAnsi="Times New Roman" w:cs="Times New Roman"/>
          <w:sz w:val="24"/>
          <w:szCs w:val="24"/>
        </w:rPr>
        <w:t>is</w:t>
      </w:r>
      <w:r w:rsidR="008F7A38" w:rsidRPr="00E573C3">
        <w:rPr>
          <w:rFonts w:ascii="Times New Roman" w:hAnsi="Times New Roman" w:cs="Times New Roman"/>
          <w:sz w:val="24"/>
          <w:szCs w:val="24"/>
        </w:rPr>
        <w:t xml:space="preserve"> not a major issue</w:t>
      </w:r>
      <w:r w:rsidR="00C06094" w:rsidRPr="00E573C3">
        <w:rPr>
          <w:rFonts w:ascii="Times New Roman" w:hAnsi="Times New Roman" w:cs="Times New Roman"/>
          <w:sz w:val="24"/>
          <w:szCs w:val="24"/>
        </w:rPr>
        <w:t xml:space="preserve">. </w:t>
      </w:r>
      <w:r w:rsidR="005409A4" w:rsidRPr="00E573C3">
        <w:rPr>
          <w:rFonts w:ascii="Times New Roman" w:hAnsi="Times New Roman" w:cs="Times New Roman"/>
          <w:sz w:val="24"/>
          <w:szCs w:val="24"/>
        </w:rPr>
        <w:t xml:space="preserve">Following </w:t>
      </w:r>
      <w:r w:rsidR="00C06094" w:rsidRPr="00E573C3">
        <w:rPr>
          <w:rFonts w:ascii="Times New Roman" w:hAnsi="Times New Roman" w:cs="Times New Roman"/>
          <w:sz w:val="24"/>
          <w:szCs w:val="24"/>
        </w:rPr>
        <w:t xml:space="preserve">criticism of Harman’s single-factor method </w:t>
      </w:r>
      <w:r w:rsidR="006F135C" w:rsidRPr="00E573C3">
        <w:rPr>
          <w:rFonts w:ascii="Times New Roman" w:hAnsi="Times New Roman" w:cs="Times New Roman"/>
          <w:sz w:val="24"/>
          <w:szCs w:val="24"/>
        </w:rPr>
        <w:t>(Guide</w:t>
      </w:r>
      <w:r w:rsidR="00C06094" w:rsidRPr="00E573C3">
        <w:rPr>
          <w:rFonts w:ascii="Times New Roman" w:hAnsi="Times New Roman" w:cs="Times New Roman"/>
          <w:sz w:val="24"/>
          <w:szCs w:val="24"/>
        </w:rPr>
        <w:t xml:space="preserve"> and Ketokivi, 2015)</w:t>
      </w:r>
      <w:r w:rsidR="005409A4" w:rsidRPr="00E573C3">
        <w:rPr>
          <w:rFonts w:ascii="Times New Roman" w:hAnsi="Times New Roman" w:cs="Times New Roman"/>
          <w:sz w:val="24"/>
          <w:szCs w:val="24"/>
        </w:rPr>
        <w:t>,</w:t>
      </w:r>
      <w:r w:rsidR="00C06094" w:rsidRPr="00E573C3">
        <w:rPr>
          <w:rFonts w:ascii="Times New Roman" w:hAnsi="Times New Roman" w:cs="Times New Roman"/>
          <w:sz w:val="24"/>
          <w:szCs w:val="24"/>
        </w:rPr>
        <w:t xml:space="preserve"> we further assessed the </w:t>
      </w:r>
      <w:r w:rsidR="00AE763A" w:rsidRPr="00E573C3">
        <w:rPr>
          <w:rFonts w:ascii="Times New Roman" w:hAnsi="Times New Roman" w:cs="Times New Roman"/>
          <w:sz w:val="24"/>
          <w:szCs w:val="24"/>
        </w:rPr>
        <w:t>CMB</w:t>
      </w:r>
      <w:r w:rsidR="00C06094" w:rsidRPr="00E573C3">
        <w:rPr>
          <w:rFonts w:ascii="Times New Roman" w:hAnsi="Times New Roman" w:cs="Times New Roman"/>
          <w:sz w:val="24"/>
          <w:szCs w:val="24"/>
        </w:rPr>
        <w:t xml:space="preserve"> by comparing the fit between the one-factor model, the measurement model with only traits, and the measurement model with both traits and a method factor (Flynn et al., 2010;</w:t>
      </w:r>
      <w:r w:rsidR="006F135C" w:rsidRPr="00E573C3">
        <w:rPr>
          <w:rFonts w:ascii="Times New Roman" w:hAnsi="Times New Roman" w:cs="Times New Roman"/>
          <w:sz w:val="24"/>
          <w:szCs w:val="24"/>
        </w:rPr>
        <w:t xml:space="preserve"> Liu et al. 2016;</w:t>
      </w:r>
      <w:r w:rsidR="00C06094" w:rsidRPr="00E573C3">
        <w:rPr>
          <w:rFonts w:ascii="Times New Roman" w:hAnsi="Times New Roman" w:cs="Times New Roman"/>
          <w:sz w:val="24"/>
          <w:szCs w:val="24"/>
        </w:rPr>
        <w:t xml:space="preserve"> </w:t>
      </w:r>
      <w:r w:rsidR="006F135C" w:rsidRPr="00E573C3">
        <w:rPr>
          <w:rFonts w:ascii="Times New Roman" w:hAnsi="Times New Roman" w:cs="Times New Roman"/>
          <w:sz w:val="24"/>
          <w:szCs w:val="24"/>
        </w:rPr>
        <w:t>Dong et al. 2016</w:t>
      </w:r>
      <w:r w:rsidR="00C06094" w:rsidRPr="00E573C3">
        <w:rPr>
          <w:rFonts w:ascii="Times New Roman" w:hAnsi="Times New Roman" w:cs="Times New Roman"/>
          <w:sz w:val="24"/>
          <w:szCs w:val="24"/>
        </w:rPr>
        <w:t xml:space="preserve">). </w:t>
      </w:r>
      <w:r w:rsidR="004C5E14" w:rsidRPr="00E573C3">
        <w:rPr>
          <w:rFonts w:ascii="Times New Roman" w:hAnsi="Times New Roman" w:cs="Times New Roman"/>
          <w:sz w:val="24"/>
          <w:szCs w:val="24"/>
        </w:rPr>
        <w:t>The one-factor method yielded (κ²=1973.46,</w:t>
      </w:r>
      <w:r w:rsidR="005A6B2F">
        <w:rPr>
          <w:rFonts w:ascii="Times New Roman" w:hAnsi="Times New Roman" w:cs="Times New Roman"/>
          <w:sz w:val="24"/>
          <w:szCs w:val="24"/>
        </w:rPr>
        <w:t xml:space="preserve"> </w:t>
      </w:r>
      <w:r w:rsidR="004C5E14" w:rsidRPr="00E573C3">
        <w:rPr>
          <w:rFonts w:ascii="Times New Roman" w:hAnsi="Times New Roman" w:cs="Times New Roman"/>
          <w:i/>
          <w:sz w:val="24"/>
          <w:szCs w:val="24"/>
        </w:rPr>
        <w:t>p</w:t>
      </w:r>
      <w:r w:rsidR="004C5E14" w:rsidRPr="00E573C3">
        <w:rPr>
          <w:rFonts w:ascii="Times New Roman" w:hAnsi="Times New Roman" w:cs="Times New Roman"/>
          <w:sz w:val="24"/>
          <w:szCs w:val="24"/>
        </w:rPr>
        <w:t xml:space="preserve">&lt;0.001) was significantly poor in comparison to that </w:t>
      </w:r>
      <w:r w:rsidR="00D707A1" w:rsidRPr="00E573C3">
        <w:rPr>
          <w:rFonts w:ascii="Times New Roman" w:hAnsi="Times New Roman" w:cs="Times New Roman"/>
          <w:sz w:val="24"/>
          <w:szCs w:val="24"/>
        </w:rPr>
        <w:t xml:space="preserve">of measurement model with only traits. The chi-square (κ²=436.39, </w:t>
      </w:r>
      <w:r w:rsidR="00D707A1" w:rsidRPr="00E573C3">
        <w:rPr>
          <w:rFonts w:ascii="Times New Roman" w:hAnsi="Times New Roman" w:cs="Times New Roman"/>
          <w:i/>
          <w:sz w:val="24"/>
          <w:szCs w:val="24"/>
        </w:rPr>
        <w:t>p</w:t>
      </w:r>
      <w:r w:rsidR="00D707A1" w:rsidRPr="00E573C3">
        <w:rPr>
          <w:rFonts w:ascii="Times New Roman" w:hAnsi="Times New Roman" w:cs="Times New Roman"/>
          <w:sz w:val="24"/>
          <w:szCs w:val="24"/>
        </w:rPr>
        <w:t>&lt;0.001) of the measurement model with both traits and a method factor did not significantly improve that of the measurement model with only traits. Thus</w:t>
      </w:r>
      <w:r w:rsidR="00DD2709">
        <w:rPr>
          <w:rFonts w:ascii="Times New Roman" w:hAnsi="Times New Roman" w:cs="Times New Roman"/>
          <w:sz w:val="24"/>
          <w:szCs w:val="24"/>
        </w:rPr>
        <w:t>,</w:t>
      </w:r>
      <w:r w:rsidR="00D707A1" w:rsidRPr="00E573C3">
        <w:rPr>
          <w:rFonts w:ascii="Times New Roman" w:hAnsi="Times New Roman" w:cs="Times New Roman"/>
          <w:sz w:val="24"/>
          <w:szCs w:val="24"/>
        </w:rPr>
        <w:t xml:space="preserve"> from </w:t>
      </w:r>
      <w:r w:rsidR="001A7CE6" w:rsidRPr="00E573C3">
        <w:rPr>
          <w:rFonts w:ascii="Times New Roman" w:hAnsi="Times New Roman" w:cs="Times New Roman"/>
          <w:sz w:val="24"/>
          <w:szCs w:val="24"/>
        </w:rPr>
        <w:t xml:space="preserve">this we can conclude that </w:t>
      </w:r>
      <w:r w:rsidR="00AE763A" w:rsidRPr="00E573C3">
        <w:rPr>
          <w:rFonts w:ascii="Times New Roman" w:hAnsi="Times New Roman" w:cs="Times New Roman"/>
          <w:sz w:val="24"/>
          <w:szCs w:val="24"/>
        </w:rPr>
        <w:t>CMB</w:t>
      </w:r>
      <w:r w:rsidR="001A7CE6" w:rsidRPr="00E573C3">
        <w:rPr>
          <w:rFonts w:ascii="Times New Roman" w:hAnsi="Times New Roman" w:cs="Times New Roman"/>
          <w:sz w:val="24"/>
          <w:szCs w:val="24"/>
        </w:rPr>
        <w:t xml:space="preserve"> </w:t>
      </w:r>
      <w:r w:rsidR="008C2EB5" w:rsidRPr="00E573C3">
        <w:rPr>
          <w:rFonts w:ascii="Times New Roman" w:hAnsi="Times New Roman" w:cs="Times New Roman"/>
          <w:sz w:val="24"/>
          <w:szCs w:val="24"/>
        </w:rPr>
        <w:t xml:space="preserve">may </w:t>
      </w:r>
      <w:r w:rsidR="00A55AE3" w:rsidRPr="00E573C3">
        <w:rPr>
          <w:rFonts w:ascii="Times New Roman" w:hAnsi="Times New Roman" w:cs="Times New Roman"/>
          <w:sz w:val="24"/>
          <w:szCs w:val="24"/>
        </w:rPr>
        <w:t>exist,</w:t>
      </w:r>
      <w:r w:rsidR="001A7CE6" w:rsidRPr="00E573C3">
        <w:rPr>
          <w:rFonts w:ascii="Times New Roman" w:hAnsi="Times New Roman" w:cs="Times New Roman"/>
          <w:sz w:val="24"/>
          <w:szCs w:val="24"/>
        </w:rPr>
        <w:t xml:space="preserve"> but </w:t>
      </w:r>
      <w:r w:rsidR="00887B3B" w:rsidRPr="00E573C3">
        <w:rPr>
          <w:rFonts w:ascii="Times New Roman" w:hAnsi="Times New Roman" w:cs="Times New Roman"/>
          <w:sz w:val="24"/>
          <w:szCs w:val="24"/>
        </w:rPr>
        <w:t xml:space="preserve">its </w:t>
      </w:r>
      <w:r w:rsidR="001A7CE6" w:rsidRPr="00E573C3">
        <w:rPr>
          <w:rFonts w:ascii="Times New Roman" w:hAnsi="Times New Roman" w:cs="Times New Roman"/>
          <w:sz w:val="24"/>
          <w:szCs w:val="24"/>
        </w:rPr>
        <w:t xml:space="preserve">impact on our statistical analyses </w:t>
      </w:r>
      <w:r w:rsidR="008267C6" w:rsidRPr="00E573C3">
        <w:rPr>
          <w:rFonts w:ascii="Times New Roman" w:hAnsi="Times New Roman" w:cs="Times New Roman"/>
          <w:sz w:val="24"/>
          <w:szCs w:val="24"/>
        </w:rPr>
        <w:t xml:space="preserve">is </w:t>
      </w:r>
      <w:r w:rsidR="008C2EB5" w:rsidRPr="00E573C3">
        <w:rPr>
          <w:rFonts w:ascii="Times New Roman" w:hAnsi="Times New Roman" w:cs="Times New Roman"/>
          <w:sz w:val="24"/>
          <w:szCs w:val="24"/>
        </w:rPr>
        <w:t>minimal</w:t>
      </w:r>
      <w:r w:rsidR="001A7CE6" w:rsidRPr="00E573C3">
        <w:rPr>
          <w:rFonts w:ascii="Times New Roman" w:hAnsi="Times New Roman" w:cs="Times New Roman"/>
          <w:sz w:val="24"/>
          <w:szCs w:val="24"/>
        </w:rPr>
        <w:t>.</w:t>
      </w:r>
    </w:p>
    <w:p w14:paraId="5292D893" w14:textId="26FBC9DF" w:rsidR="003D6FD5" w:rsidRPr="00E573C3" w:rsidRDefault="00F37F88" w:rsidP="00654B52">
      <w:pPr>
        <w:spacing w:after="120" w:line="480" w:lineRule="auto"/>
        <w:jc w:val="both"/>
        <w:rPr>
          <w:rFonts w:ascii="Times New Roman" w:hAnsi="Times New Roman" w:cs="Times New Roman"/>
          <w:b/>
          <w:i/>
          <w:sz w:val="24"/>
          <w:szCs w:val="24"/>
          <w:shd w:val="clear" w:color="auto" w:fill="FFFFFF"/>
        </w:rPr>
      </w:pPr>
      <w:r w:rsidRPr="00E573C3">
        <w:rPr>
          <w:rFonts w:ascii="Times New Roman" w:hAnsi="Times New Roman" w:cs="Times New Roman"/>
          <w:b/>
          <w:i/>
          <w:sz w:val="24"/>
          <w:szCs w:val="24"/>
          <w:shd w:val="clear" w:color="auto" w:fill="FFFFFF"/>
        </w:rPr>
        <w:t xml:space="preserve">4.3 </w:t>
      </w:r>
      <w:r w:rsidR="003D6FD5" w:rsidRPr="00E573C3">
        <w:rPr>
          <w:rFonts w:ascii="Times New Roman" w:hAnsi="Times New Roman" w:cs="Times New Roman"/>
          <w:b/>
          <w:i/>
          <w:sz w:val="24"/>
          <w:szCs w:val="24"/>
          <w:shd w:val="clear" w:color="auto" w:fill="FFFFFF"/>
        </w:rPr>
        <w:t>Hypothesis Testing</w:t>
      </w:r>
    </w:p>
    <w:p w14:paraId="668B4E99" w14:textId="2788E16D" w:rsidR="003D6FD5" w:rsidRPr="00E573C3" w:rsidRDefault="00D20A3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 xml:space="preserve">We tested our research hypotheses using multiple regression analysis with </w:t>
      </w:r>
      <w:r w:rsidR="00947567" w:rsidRPr="00E573C3">
        <w:rPr>
          <w:rFonts w:ascii="Times New Roman" w:hAnsi="Times New Roman" w:cs="Times New Roman"/>
          <w:sz w:val="24"/>
          <w:szCs w:val="24"/>
          <w:shd w:val="clear" w:color="auto" w:fill="FFFFFF"/>
        </w:rPr>
        <w:t>moderation</w:t>
      </w:r>
      <w:r w:rsidRPr="00E573C3">
        <w:rPr>
          <w:rFonts w:ascii="Times New Roman" w:hAnsi="Times New Roman" w:cs="Times New Roman"/>
          <w:sz w:val="24"/>
          <w:szCs w:val="24"/>
          <w:shd w:val="clear" w:color="auto" w:fill="FFFFFF"/>
        </w:rPr>
        <w:t xml:space="preserve"> tests. </w:t>
      </w:r>
      <w:r w:rsidR="00947567" w:rsidRPr="00E573C3">
        <w:rPr>
          <w:rFonts w:ascii="Times New Roman" w:hAnsi="Times New Roman" w:cs="Times New Roman"/>
          <w:sz w:val="24"/>
          <w:szCs w:val="24"/>
          <w:shd w:val="clear" w:color="auto" w:fill="FFFFFF"/>
        </w:rPr>
        <w:t xml:space="preserve">Inspired by recent debates surrounding methodological criteria for survey based research (see Fawcett et al. 2014; Guide and Ketokivi, 2015) we conducted some additional statistical tests </w:t>
      </w:r>
      <w:r w:rsidR="007E3F65" w:rsidRPr="00E573C3">
        <w:rPr>
          <w:rFonts w:ascii="Times New Roman" w:hAnsi="Times New Roman" w:cs="Times New Roman"/>
          <w:sz w:val="24"/>
          <w:szCs w:val="24"/>
          <w:shd w:val="clear" w:color="auto" w:fill="FFFFFF"/>
        </w:rPr>
        <w:t>to strengthen our claims</w:t>
      </w:r>
      <w:r w:rsidR="001F2E61" w:rsidRPr="00E573C3">
        <w:rPr>
          <w:rFonts w:ascii="Times New Roman" w:hAnsi="Times New Roman" w:cs="Times New Roman"/>
          <w:sz w:val="24"/>
          <w:szCs w:val="24"/>
          <w:shd w:val="clear" w:color="auto" w:fill="FFFFFF"/>
        </w:rPr>
        <w:t>.</w:t>
      </w:r>
      <w:r w:rsidR="00947567" w:rsidRPr="00E573C3">
        <w:rPr>
          <w:rFonts w:ascii="Times New Roman" w:hAnsi="Times New Roman" w:cs="Times New Roman"/>
          <w:sz w:val="24"/>
          <w:szCs w:val="24"/>
          <w:shd w:val="clear" w:color="auto" w:fill="FFFFFF"/>
        </w:rPr>
        <w:t xml:space="preserve"> </w:t>
      </w:r>
      <w:r w:rsidR="001F2E61" w:rsidRPr="00E573C3">
        <w:rPr>
          <w:rFonts w:ascii="Times New Roman" w:hAnsi="Times New Roman" w:cs="Times New Roman"/>
          <w:sz w:val="24"/>
          <w:szCs w:val="24"/>
        </w:rPr>
        <w:t>B</w:t>
      </w:r>
      <w:r w:rsidR="00947567" w:rsidRPr="00E573C3">
        <w:rPr>
          <w:rFonts w:ascii="Times New Roman" w:hAnsi="Times New Roman" w:cs="Times New Roman"/>
          <w:sz w:val="24"/>
          <w:szCs w:val="24"/>
        </w:rPr>
        <w:t>efore testing the research hypotheses, we tested for the endogeneity of the exogenous variable in our model (see Dong et al. 2016;</w:t>
      </w:r>
      <w:r w:rsidR="00711253" w:rsidRPr="00E573C3">
        <w:rPr>
          <w:rFonts w:ascii="Times New Roman" w:hAnsi="Times New Roman" w:cs="Times New Roman"/>
          <w:sz w:val="24"/>
          <w:szCs w:val="24"/>
        </w:rPr>
        <w:t xml:space="preserve"> Liu et al. 2016</w:t>
      </w:r>
      <w:r w:rsidR="001F2E61" w:rsidRPr="00E573C3">
        <w:rPr>
          <w:rFonts w:ascii="Times New Roman" w:hAnsi="Times New Roman" w:cs="Times New Roman"/>
          <w:sz w:val="24"/>
          <w:szCs w:val="24"/>
        </w:rPr>
        <w:t>)</w:t>
      </w:r>
      <w:r w:rsidR="00947567" w:rsidRPr="00E573C3">
        <w:rPr>
          <w:rFonts w:ascii="Times New Roman" w:hAnsi="Times New Roman" w:cs="Times New Roman"/>
          <w:sz w:val="24"/>
          <w:szCs w:val="24"/>
        </w:rPr>
        <w:t xml:space="preserve"> by conducting the Durbin-Wu-Hausman test (Davidson and MacKinnon, 1993). We first regressed </w:t>
      </w:r>
      <w:r w:rsidR="00AB24D2" w:rsidRPr="00E573C3">
        <w:rPr>
          <w:rFonts w:ascii="Times New Roman" w:hAnsi="Times New Roman" w:cs="Times New Roman"/>
          <w:sz w:val="24"/>
          <w:szCs w:val="24"/>
        </w:rPr>
        <w:t>SC</w:t>
      </w:r>
      <w:r w:rsidR="00947567" w:rsidRPr="00E573C3">
        <w:rPr>
          <w:rFonts w:ascii="Times New Roman" w:hAnsi="Times New Roman" w:cs="Times New Roman"/>
          <w:sz w:val="24"/>
          <w:szCs w:val="24"/>
        </w:rPr>
        <w:t xml:space="preserve"> on </w:t>
      </w:r>
      <w:r w:rsidR="007C5073" w:rsidRPr="00E573C3">
        <w:rPr>
          <w:rFonts w:ascii="Times New Roman" w:hAnsi="Times New Roman" w:cs="Times New Roman"/>
          <w:sz w:val="24"/>
          <w:szCs w:val="24"/>
        </w:rPr>
        <w:t>SCAG</w:t>
      </w:r>
      <w:r w:rsidR="00947567" w:rsidRPr="00E573C3">
        <w:rPr>
          <w:rFonts w:ascii="Times New Roman" w:hAnsi="Times New Roman" w:cs="Times New Roman"/>
          <w:sz w:val="24"/>
          <w:szCs w:val="24"/>
        </w:rPr>
        <w:t>,</w:t>
      </w:r>
      <w:r w:rsidR="007C5073" w:rsidRPr="00E573C3">
        <w:rPr>
          <w:rFonts w:ascii="Times New Roman" w:hAnsi="Times New Roman" w:cs="Times New Roman"/>
          <w:sz w:val="24"/>
          <w:szCs w:val="24"/>
        </w:rPr>
        <w:t xml:space="preserve"> SCA and SCAL,</w:t>
      </w:r>
      <w:r w:rsidR="00947567" w:rsidRPr="00E573C3">
        <w:rPr>
          <w:rFonts w:ascii="Times New Roman" w:hAnsi="Times New Roman" w:cs="Times New Roman"/>
          <w:sz w:val="24"/>
          <w:szCs w:val="24"/>
        </w:rPr>
        <w:t xml:space="preserve"> then used the residual of this regression as an additional regressor in our hypothesized equations. The parameter estimate for the residual was not significant, indicating that </w:t>
      </w:r>
      <w:r w:rsidR="007C5073" w:rsidRPr="00E573C3">
        <w:rPr>
          <w:rFonts w:ascii="Times New Roman" w:hAnsi="Times New Roman" w:cs="Times New Roman"/>
          <w:sz w:val="24"/>
          <w:szCs w:val="24"/>
        </w:rPr>
        <w:t>SCV</w:t>
      </w:r>
      <w:r w:rsidR="00947567" w:rsidRPr="00E573C3">
        <w:rPr>
          <w:rFonts w:ascii="Times New Roman" w:hAnsi="Times New Roman" w:cs="Times New Roman"/>
          <w:sz w:val="24"/>
          <w:szCs w:val="24"/>
        </w:rPr>
        <w:t xml:space="preserve"> was not endogenous in our setting, consistent with its conceptualization.</w:t>
      </w:r>
      <w:r w:rsidR="007C5073" w:rsidRPr="00E573C3">
        <w:rPr>
          <w:rFonts w:ascii="Times New Roman" w:hAnsi="Times New Roman" w:cs="Times New Roman"/>
          <w:sz w:val="24"/>
          <w:szCs w:val="24"/>
        </w:rPr>
        <w:t xml:space="preserve"> Next, </w:t>
      </w:r>
      <w:r w:rsidR="00841A20" w:rsidRPr="00E573C3">
        <w:rPr>
          <w:rFonts w:ascii="Times New Roman" w:hAnsi="Times New Roman" w:cs="Times New Roman"/>
          <w:sz w:val="24"/>
          <w:szCs w:val="24"/>
        </w:rPr>
        <w:t>w</w:t>
      </w:r>
      <w:r w:rsidR="005D3B39" w:rsidRPr="00E573C3">
        <w:rPr>
          <w:rFonts w:ascii="Times New Roman" w:hAnsi="Times New Roman" w:cs="Times New Roman"/>
          <w:sz w:val="24"/>
          <w:szCs w:val="24"/>
          <w:shd w:val="clear" w:color="auto" w:fill="FFFFFF"/>
        </w:rPr>
        <w:t xml:space="preserve">e tested for multicollinearity by calculating </w:t>
      </w:r>
      <w:r w:rsidR="00F519A0" w:rsidRPr="00E573C3">
        <w:rPr>
          <w:rFonts w:ascii="Times New Roman" w:hAnsi="Times New Roman" w:cs="Times New Roman"/>
          <w:sz w:val="24"/>
          <w:szCs w:val="24"/>
          <w:shd w:val="clear" w:color="auto" w:fill="FFFFFF"/>
        </w:rPr>
        <w:t>variance</w:t>
      </w:r>
      <w:r w:rsidR="005D3B39" w:rsidRPr="00E573C3">
        <w:rPr>
          <w:rFonts w:ascii="Times New Roman" w:hAnsi="Times New Roman" w:cs="Times New Roman"/>
          <w:sz w:val="24"/>
          <w:szCs w:val="24"/>
          <w:shd w:val="clear" w:color="auto" w:fill="FFFFFF"/>
        </w:rPr>
        <w:t xml:space="preserve"> inflation factors (VIF) for each regression coefficient. The VIF values ranged from 1.069 to 1.234, significantly below </w:t>
      </w:r>
      <w:r w:rsidR="007461A9" w:rsidRPr="00E573C3">
        <w:rPr>
          <w:rFonts w:ascii="Times New Roman" w:hAnsi="Times New Roman" w:cs="Times New Roman"/>
          <w:sz w:val="24"/>
          <w:szCs w:val="24"/>
          <w:shd w:val="clear" w:color="auto" w:fill="FFFFFF"/>
        </w:rPr>
        <w:t xml:space="preserve">the </w:t>
      </w:r>
      <w:r w:rsidR="005D3B39" w:rsidRPr="00E573C3">
        <w:rPr>
          <w:rFonts w:ascii="Times New Roman" w:hAnsi="Times New Roman" w:cs="Times New Roman"/>
          <w:sz w:val="24"/>
          <w:szCs w:val="24"/>
          <w:shd w:val="clear" w:color="auto" w:fill="FFFFFF"/>
        </w:rPr>
        <w:t>recommended threshold value of 10 (Hair et al. 2006).</w:t>
      </w:r>
      <w:r w:rsidR="00963CE5" w:rsidRPr="00E573C3">
        <w:rPr>
          <w:rFonts w:ascii="Times New Roman" w:hAnsi="Times New Roman" w:cs="Times New Roman"/>
          <w:sz w:val="24"/>
          <w:szCs w:val="24"/>
          <w:shd w:val="clear" w:color="auto" w:fill="FFFFFF"/>
        </w:rPr>
        <w:t xml:space="preserve"> Tables 2-</w:t>
      </w:r>
      <w:r w:rsidR="00311187" w:rsidRPr="00E573C3">
        <w:rPr>
          <w:rFonts w:ascii="Times New Roman" w:hAnsi="Times New Roman" w:cs="Times New Roman"/>
          <w:sz w:val="24"/>
          <w:szCs w:val="24"/>
          <w:shd w:val="clear" w:color="auto" w:fill="FFFFFF"/>
        </w:rPr>
        <w:t xml:space="preserve">3 </w:t>
      </w:r>
      <w:r w:rsidR="00736E4E" w:rsidRPr="00E573C3">
        <w:rPr>
          <w:rFonts w:ascii="Times New Roman" w:hAnsi="Times New Roman" w:cs="Times New Roman"/>
          <w:sz w:val="24"/>
          <w:szCs w:val="24"/>
          <w:shd w:val="clear" w:color="auto" w:fill="FFFFFF"/>
        </w:rPr>
        <w:t>provide the results of the multiple regression analyses.</w:t>
      </w:r>
      <w:r w:rsidR="00BB1521" w:rsidRPr="00E573C3">
        <w:rPr>
          <w:rFonts w:ascii="Times New Roman" w:hAnsi="Times New Roman" w:cs="Times New Roman"/>
          <w:sz w:val="24"/>
          <w:szCs w:val="24"/>
          <w:shd w:val="clear" w:color="auto" w:fill="FFFFFF"/>
        </w:rPr>
        <w:t xml:space="preserve"> Table </w:t>
      </w:r>
      <w:r w:rsidR="000B6ED3" w:rsidRPr="00E573C3">
        <w:rPr>
          <w:rFonts w:ascii="Times New Roman" w:hAnsi="Times New Roman" w:cs="Times New Roman"/>
          <w:sz w:val="24"/>
          <w:szCs w:val="24"/>
          <w:shd w:val="clear" w:color="auto" w:fill="FFFFFF"/>
        </w:rPr>
        <w:t>4</w:t>
      </w:r>
      <w:r w:rsidR="00BB1521" w:rsidRPr="00E573C3">
        <w:rPr>
          <w:rFonts w:ascii="Times New Roman" w:hAnsi="Times New Roman" w:cs="Times New Roman"/>
          <w:sz w:val="24"/>
          <w:szCs w:val="24"/>
          <w:shd w:val="clear" w:color="auto" w:fill="FFFFFF"/>
        </w:rPr>
        <w:t xml:space="preserve"> examines the research hypotheses between resources and supply chain visibility in H1-H3.  Addressing H1 first, we observed (see Table </w:t>
      </w:r>
      <w:r w:rsidR="000B6ED3" w:rsidRPr="00E573C3">
        <w:rPr>
          <w:rFonts w:ascii="Times New Roman" w:hAnsi="Times New Roman" w:cs="Times New Roman"/>
          <w:sz w:val="24"/>
          <w:szCs w:val="24"/>
          <w:shd w:val="clear" w:color="auto" w:fill="FFFFFF"/>
        </w:rPr>
        <w:t>4</w:t>
      </w:r>
      <w:r w:rsidR="00BB1521" w:rsidRPr="00E573C3">
        <w:rPr>
          <w:rFonts w:ascii="Times New Roman" w:hAnsi="Times New Roman" w:cs="Times New Roman"/>
          <w:sz w:val="24"/>
          <w:szCs w:val="24"/>
          <w:shd w:val="clear" w:color="auto" w:fill="FFFFFF"/>
        </w:rPr>
        <w:t>) the supply chain connectivity</w:t>
      </w:r>
      <w:r w:rsidR="008E3243" w:rsidRPr="00E573C3">
        <w:rPr>
          <w:rFonts w:ascii="Times New Roman" w:hAnsi="Times New Roman" w:cs="Times New Roman"/>
          <w:sz w:val="24"/>
          <w:szCs w:val="24"/>
          <w:shd w:val="clear" w:color="auto" w:fill="FFFFFF"/>
        </w:rPr>
        <w:t xml:space="preserve"> (SCV)</w:t>
      </w:r>
      <w:r w:rsidR="00BB1521" w:rsidRPr="00E573C3">
        <w:rPr>
          <w:rFonts w:ascii="Times New Roman" w:hAnsi="Times New Roman" w:cs="Times New Roman"/>
          <w:sz w:val="24"/>
          <w:szCs w:val="24"/>
          <w:shd w:val="clear" w:color="auto" w:fill="FFFFFF"/>
        </w:rPr>
        <w:t xml:space="preserve"> is positively associated with information sharing</w:t>
      </w:r>
      <w:r w:rsidR="00FA278E" w:rsidRPr="00E573C3">
        <w:rPr>
          <w:rFonts w:ascii="Times New Roman" w:hAnsi="Times New Roman" w:cs="Times New Roman"/>
          <w:sz w:val="24"/>
          <w:szCs w:val="24"/>
          <w:shd w:val="clear" w:color="auto" w:fill="FFFFFF"/>
        </w:rPr>
        <w:t xml:space="preserve"> (SCI)</w:t>
      </w:r>
      <w:r w:rsidR="00BB1521" w:rsidRPr="00E573C3">
        <w:rPr>
          <w:rFonts w:ascii="Times New Roman" w:hAnsi="Times New Roman" w:cs="Times New Roman"/>
          <w:sz w:val="24"/>
          <w:szCs w:val="24"/>
          <w:shd w:val="clear" w:color="auto" w:fill="FFFFFF"/>
        </w:rPr>
        <w:t xml:space="preserve"> (</w:t>
      </w:r>
      <w:r w:rsidR="00BB1521" w:rsidRPr="00E573C3">
        <w:rPr>
          <w:rFonts w:ascii="Times New Roman" w:hAnsi="Times New Roman" w:cs="Times New Roman"/>
          <w:i/>
          <w:sz w:val="24"/>
          <w:szCs w:val="24"/>
          <w:shd w:val="clear" w:color="auto" w:fill="FFFFFF"/>
        </w:rPr>
        <w:t>β</w:t>
      </w:r>
      <w:r w:rsidR="00BB1521" w:rsidRPr="00E573C3">
        <w:rPr>
          <w:rFonts w:ascii="Times New Roman" w:hAnsi="Times New Roman" w:cs="Times New Roman"/>
          <w:sz w:val="24"/>
          <w:szCs w:val="24"/>
          <w:shd w:val="clear" w:color="auto" w:fill="FFFFFF"/>
        </w:rPr>
        <w:t xml:space="preserve">=0.866; </w:t>
      </w:r>
      <w:r w:rsidR="00BB1521" w:rsidRPr="00E573C3">
        <w:rPr>
          <w:rFonts w:ascii="Times New Roman" w:hAnsi="Times New Roman" w:cs="Times New Roman"/>
          <w:i/>
          <w:sz w:val="24"/>
          <w:szCs w:val="24"/>
          <w:shd w:val="clear" w:color="auto" w:fill="FFFFFF"/>
        </w:rPr>
        <w:t>p</w:t>
      </w:r>
      <w:r w:rsidR="00BB1521" w:rsidRPr="00E573C3">
        <w:rPr>
          <w:rFonts w:ascii="Times New Roman" w:hAnsi="Times New Roman" w:cs="Times New Roman"/>
          <w:sz w:val="24"/>
          <w:szCs w:val="24"/>
          <w:shd w:val="clear" w:color="auto" w:fill="FFFFFF"/>
        </w:rPr>
        <w:t>&lt;0.001). The control variables</w:t>
      </w:r>
      <w:r w:rsidR="000E2B24" w:rsidRPr="00E573C3">
        <w:rPr>
          <w:rFonts w:ascii="Times New Roman" w:hAnsi="Times New Roman" w:cs="Times New Roman"/>
          <w:sz w:val="24"/>
          <w:szCs w:val="24"/>
          <w:shd w:val="clear" w:color="auto" w:fill="FFFFFF"/>
        </w:rPr>
        <w:t xml:space="preserve"> industry dynamism (ID) and organization size </w:t>
      </w:r>
      <w:r w:rsidR="005A6B2F">
        <w:rPr>
          <w:rFonts w:ascii="Times New Roman" w:hAnsi="Times New Roman" w:cs="Times New Roman"/>
          <w:sz w:val="24"/>
          <w:szCs w:val="24"/>
          <w:shd w:val="clear" w:color="auto" w:fill="FFFFFF"/>
        </w:rPr>
        <w:t xml:space="preserve">(OS) </w:t>
      </w:r>
      <w:r w:rsidR="000E2B24" w:rsidRPr="00E573C3">
        <w:rPr>
          <w:rFonts w:ascii="Times New Roman" w:hAnsi="Times New Roman" w:cs="Times New Roman"/>
          <w:sz w:val="24"/>
          <w:szCs w:val="24"/>
          <w:shd w:val="clear" w:color="auto" w:fill="FFFFFF"/>
        </w:rPr>
        <w:t>do not have</w:t>
      </w:r>
      <w:r w:rsidR="000034A7" w:rsidRPr="00E573C3">
        <w:rPr>
          <w:rFonts w:ascii="Times New Roman" w:hAnsi="Times New Roman" w:cs="Times New Roman"/>
          <w:sz w:val="24"/>
          <w:szCs w:val="24"/>
          <w:shd w:val="clear" w:color="auto" w:fill="FFFFFF"/>
        </w:rPr>
        <w:t xml:space="preserve"> a</w:t>
      </w:r>
      <w:r w:rsidR="000E2B24" w:rsidRPr="00E573C3">
        <w:rPr>
          <w:rFonts w:ascii="Times New Roman" w:hAnsi="Times New Roman" w:cs="Times New Roman"/>
          <w:sz w:val="24"/>
          <w:szCs w:val="24"/>
          <w:shd w:val="clear" w:color="auto" w:fill="FFFFFF"/>
        </w:rPr>
        <w:t xml:space="preserve"> significant effect on </w:t>
      </w:r>
      <w:r w:rsidR="008E6824" w:rsidRPr="00E573C3">
        <w:rPr>
          <w:rFonts w:ascii="Times New Roman" w:hAnsi="Times New Roman" w:cs="Times New Roman"/>
          <w:sz w:val="24"/>
          <w:szCs w:val="24"/>
          <w:shd w:val="clear" w:color="auto" w:fill="FFFFFF"/>
        </w:rPr>
        <w:t>SCI</w:t>
      </w:r>
      <w:r w:rsidR="000E2B24" w:rsidRPr="00E573C3">
        <w:rPr>
          <w:rFonts w:ascii="Times New Roman" w:hAnsi="Times New Roman" w:cs="Times New Roman"/>
          <w:sz w:val="24"/>
          <w:szCs w:val="24"/>
          <w:shd w:val="clear" w:color="auto" w:fill="FFFFFF"/>
        </w:rPr>
        <w:t xml:space="preserve"> and </w:t>
      </w:r>
      <w:r w:rsidR="008E6824" w:rsidRPr="00E573C3">
        <w:rPr>
          <w:rFonts w:ascii="Times New Roman" w:hAnsi="Times New Roman" w:cs="Times New Roman"/>
          <w:sz w:val="24"/>
          <w:szCs w:val="24"/>
          <w:shd w:val="clear" w:color="auto" w:fill="FFFFFF"/>
        </w:rPr>
        <w:t>SCV</w:t>
      </w:r>
      <w:r w:rsidR="00904BB5" w:rsidRPr="00E573C3">
        <w:rPr>
          <w:rFonts w:ascii="Times New Roman" w:hAnsi="Times New Roman" w:cs="Times New Roman"/>
          <w:sz w:val="24"/>
          <w:szCs w:val="24"/>
          <w:shd w:val="clear" w:color="auto" w:fill="FFFFFF"/>
        </w:rPr>
        <w:t>.</w:t>
      </w:r>
      <w:r w:rsidR="00944095" w:rsidRPr="00E573C3">
        <w:rPr>
          <w:rFonts w:ascii="Times New Roman" w:hAnsi="Times New Roman" w:cs="Times New Roman"/>
          <w:sz w:val="24"/>
          <w:szCs w:val="24"/>
          <w:shd w:val="clear" w:color="auto" w:fill="FFFFFF"/>
        </w:rPr>
        <w:t xml:space="preserve"> </w:t>
      </w:r>
      <w:r w:rsidR="00040153" w:rsidRPr="00E573C3">
        <w:rPr>
          <w:rFonts w:ascii="Times New Roman" w:hAnsi="Times New Roman" w:cs="Times New Roman"/>
          <w:sz w:val="24"/>
          <w:szCs w:val="24"/>
          <w:shd w:val="clear" w:color="auto" w:fill="FFFFFF"/>
        </w:rPr>
        <w:t>Next</w:t>
      </w:r>
      <w:r w:rsidR="00BB5FC8" w:rsidRPr="00E573C3">
        <w:rPr>
          <w:rFonts w:ascii="Times New Roman" w:hAnsi="Times New Roman" w:cs="Times New Roman"/>
          <w:sz w:val="24"/>
          <w:szCs w:val="24"/>
          <w:shd w:val="clear" w:color="auto" w:fill="FFFFFF"/>
        </w:rPr>
        <w:t>,</w:t>
      </w:r>
      <w:r w:rsidR="00040153" w:rsidRPr="00E573C3">
        <w:rPr>
          <w:rFonts w:ascii="Times New Roman" w:hAnsi="Times New Roman" w:cs="Times New Roman"/>
          <w:sz w:val="24"/>
          <w:szCs w:val="24"/>
          <w:shd w:val="clear" w:color="auto" w:fill="FFFFFF"/>
        </w:rPr>
        <w:t xml:space="preserve"> addressing H2 and H3, we find that both </w:t>
      </w:r>
      <w:r w:rsidR="00BB31AD" w:rsidRPr="00E573C3">
        <w:rPr>
          <w:rFonts w:ascii="Times New Roman" w:hAnsi="Times New Roman" w:cs="Times New Roman"/>
          <w:sz w:val="24"/>
          <w:szCs w:val="24"/>
          <w:shd w:val="clear" w:color="auto" w:fill="FFFFFF"/>
        </w:rPr>
        <w:t>SC</w:t>
      </w:r>
      <w:r w:rsidR="00040153" w:rsidRPr="00E573C3">
        <w:rPr>
          <w:rFonts w:ascii="Times New Roman" w:hAnsi="Times New Roman" w:cs="Times New Roman"/>
          <w:sz w:val="24"/>
          <w:szCs w:val="24"/>
          <w:shd w:val="clear" w:color="auto" w:fill="FFFFFF"/>
        </w:rPr>
        <w:t xml:space="preserve"> (</w:t>
      </w:r>
      <w:r w:rsidR="00040153" w:rsidRPr="00E573C3">
        <w:rPr>
          <w:rFonts w:ascii="Times New Roman" w:hAnsi="Times New Roman" w:cs="Times New Roman"/>
          <w:i/>
          <w:sz w:val="24"/>
          <w:szCs w:val="24"/>
          <w:shd w:val="clear" w:color="auto" w:fill="FFFFFF"/>
        </w:rPr>
        <w:t>β</w:t>
      </w:r>
      <w:r w:rsidR="00040153" w:rsidRPr="00E573C3">
        <w:rPr>
          <w:rFonts w:ascii="Times New Roman" w:hAnsi="Times New Roman" w:cs="Times New Roman"/>
          <w:sz w:val="24"/>
          <w:szCs w:val="24"/>
          <w:shd w:val="clear" w:color="auto" w:fill="FFFFFF"/>
        </w:rPr>
        <w:t xml:space="preserve">=0.736; </w:t>
      </w:r>
      <w:r w:rsidR="00040153" w:rsidRPr="00E573C3">
        <w:rPr>
          <w:rFonts w:ascii="Times New Roman" w:hAnsi="Times New Roman" w:cs="Times New Roman"/>
          <w:i/>
          <w:sz w:val="24"/>
          <w:szCs w:val="24"/>
          <w:shd w:val="clear" w:color="auto" w:fill="FFFFFF"/>
        </w:rPr>
        <w:t>p</w:t>
      </w:r>
      <w:r w:rsidR="00040153" w:rsidRPr="00E573C3">
        <w:rPr>
          <w:rFonts w:ascii="Times New Roman" w:hAnsi="Times New Roman" w:cs="Times New Roman"/>
          <w:sz w:val="24"/>
          <w:szCs w:val="24"/>
          <w:shd w:val="clear" w:color="auto" w:fill="FFFFFF"/>
        </w:rPr>
        <w:t xml:space="preserve">&lt;0.001) and </w:t>
      </w:r>
      <w:r w:rsidR="00263BC4" w:rsidRPr="00E573C3">
        <w:rPr>
          <w:rFonts w:ascii="Times New Roman" w:hAnsi="Times New Roman" w:cs="Times New Roman"/>
          <w:sz w:val="24"/>
          <w:szCs w:val="24"/>
          <w:shd w:val="clear" w:color="auto" w:fill="FFFFFF"/>
        </w:rPr>
        <w:t xml:space="preserve">SCI </w:t>
      </w:r>
      <w:r w:rsidR="00040153" w:rsidRPr="00E573C3">
        <w:rPr>
          <w:rFonts w:ascii="Times New Roman" w:hAnsi="Times New Roman" w:cs="Times New Roman"/>
          <w:sz w:val="24"/>
          <w:szCs w:val="24"/>
          <w:shd w:val="clear" w:color="auto" w:fill="FFFFFF"/>
        </w:rPr>
        <w:t>(</w:t>
      </w:r>
      <w:r w:rsidR="00040153" w:rsidRPr="00E573C3">
        <w:rPr>
          <w:rFonts w:ascii="Times New Roman" w:hAnsi="Times New Roman" w:cs="Times New Roman"/>
          <w:i/>
          <w:sz w:val="24"/>
          <w:szCs w:val="24"/>
          <w:shd w:val="clear" w:color="auto" w:fill="FFFFFF"/>
        </w:rPr>
        <w:t>β</w:t>
      </w:r>
      <w:r w:rsidR="00040153" w:rsidRPr="00E573C3">
        <w:rPr>
          <w:rFonts w:ascii="Times New Roman" w:hAnsi="Times New Roman" w:cs="Times New Roman"/>
          <w:sz w:val="24"/>
          <w:szCs w:val="24"/>
          <w:shd w:val="clear" w:color="auto" w:fill="FFFFFF"/>
        </w:rPr>
        <w:t xml:space="preserve">=0.897; </w:t>
      </w:r>
      <w:r w:rsidR="00040153" w:rsidRPr="00E573C3">
        <w:rPr>
          <w:rFonts w:ascii="Times New Roman" w:hAnsi="Times New Roman" w:cs="Times New Roman"/>
          <w:i/>
          <w:sz w:val="24"/>
          <w:szCs w:val="24"/>
          <w:shd w:val="clear" w:color="auto" w:fill="FFFFFF"/>
        </w:rPr>
        <w:t>p</w:t>
      </w:r>
      <w:r w:rsidR="00040153" w:rsidRPr="00E573C3">
        <w:rPr>
          <w:rFonts w:ascii="Times New Roman" w:hAnsi="Times New Roman" w:cs="Times New Roman"/>
          <w:sz w:val="24"/>
          <w:szCs w:val="24"/>
          <w:shd w:val="clear" w:color="auto" w:fill="FFFFFF"/>
        </w:rPr>
        <w:t>&lt;0.001) hav</w:t>
      </w:r>
      <w:r w:rsidR="00CD3FD8" w:rsidRPr="00E573C3">
        <w:rPr>
          <w:rFonts w:ascii="Times New Roman" w:hAnsi="Times New Roman" w:cs="Times New Roman"/>
          <w:sz w:val="24"/>
          <w:szCs w:val="24"/>
          <w:shd w:val="clear" w:color="auto" w:fill="FFFFFF"/>
        </w:rPr>
        <w:t>e</w:t>
      </w:r>
      <w:r w:rsidR="00040153" w:rsidRPr="00E573C3">
        <w:rPr>
          <w:rFonts w:ascii="Times New Roman" w:hAnsi="Times New Roman" w:cs="Times New Roman"/>
          <w:sz w:val="24"/>
          <w:szCs w:val="24"/>
          <w:shd w:val="clear" w:color="auto" w:fill="FFFFFF"/>
        </w:rPr>
        <w:t xml:space="preserve"> </w:t>
      </w:r>
      <w:r w:rsidR="007B4F8A" w:rsidRPr="00E573C3">
        <w:rPr>
          <w:rFonts w:ascii="Times New Roman" w:hAnsi="Times New Roman" w:cs="Times New Roman"/>
          <w:sz w:val="24"/>
          <w:szCs w:val="24"/>
          <w:shd w:val="clear" w:color="auto" w:fill="FFFFFF"/>
        </w:rPr>
        <w:t xml:space="preserve">a </w:t>
      </w:r>
      <w:r w:rsidR="00040153" w:rsidRPr="00E573C3">
        <w:rPr>
          <w:rFonts w:ascii="Times New Roman" w:hAnsi="Times New Roman" w:cs="Times New Roman"/>
          <w:sz w:val="24"/>
          <w:szCs w:val="24"/>
          <w:shd w:val="clear" w:color="auto" w:fill="FFFFFF"/>
        </w:rPr>
        <w:t xml:space="preserve">significant positive influence on </w:t>
      </w:r>
      <w:r w:rsidR="00CD3FD8" w:rsidRPr="00E573C3">
        <w:rPr>
          <w:rFonts w:ascii="Times New Roman" w:hAnsi="Times New Roman" w:cs="Times New Roman"/>
          <w:sz w:val="24"/>
          <w:szCs w:val="24"/>
          <w:shd w:val="clear" w:color="auto" w:fill="FFFFFF"/>
        </w:rPr>
        <w:t>SCV</w:t>
      </w:r>
      <w:r w:rsidR="00040153" w:rsidRPr="00E573C3">
        <w:rPr>
          <w:rFonts w:ascii="Times New Roman" w:hAnsi="Times New Roman" w:cs="Times New Roman"/>
          <w:sz w:val="24"/>
          <w:szCs w:val="24"/>
          <w:shd w:val="clear" w:color="auto" w:fill="FFFFFF"/>
        </w:rPr>
        <w:t>.</w:t>
      </w:r>
      <w:r w:rsidR="00850D38" w:rsidRPr="00E573C3">
        <w:rPr>
          <w:rFonts w:ascii="Times New Roman" w:hAnsi="Times New Roman" w:cs="Times New Roman"/>
          <w:sz w:val="24"/>
          <w:szCs w:val="24"/>
          <w:shd w:val="clear" w:color="auto" w:fill="FFFFFF"/>
        </w:rPr>
        <w:t xml:space="preserve"> We also note that supply chain connectivity </w:t>
      </w:r>
      <w:r w:rsidR="0055703F" w:rsidRPr="00E573C3">
        <w:rPr>
          <w:rFonts w:ascii="Times New Roman" w:hAnsi="Times New Roman" w:cs="Times New Roman"/>
          <w:sz w:val="24"/>
          <w:szCs w:val="24"/>
          <w:shd w:val="clear" w:color="auto" w:fill="FFFFFF"/>
        </w:rPr>
        <w:t xml:space="preserve">SCI </w:t>
      </w:r>
      <w:r w:rsidR="00850D38" w:rsidRPr="00E573C3">
        <w:rPr>
          <w:rFonts w:ascii="Times New Roman" w:hAnsi="Times New Roman" w:cs="Times New Roman"/>
          <w:sz w:val="24"/>
          <w:szCs w:val="24"/>
          <w:shd w:val="clear" w:color="auto" w:fill="FFFFFF"/>
        </w:rPr>
        <w:t>along with control variables explain</w:t>
      </w:r>
      <w:r w:rsidR="007B4F8A" w:rsidRPr="00E573C3">
        <w:rPr>
          <w:rFonts w:ascii="Times New Roman" w:hAnsi="Times New Roman" w:cs="Times New Roman"/>
          <w:sz w:val="24"/>
          <w:szCs w:val="24"/>
          <w:shd w:val="clear" w:color="auto" w:fill="FFFFFF"/>
        </w:rPr>
        <w:t>s</w:t>
      </w:r>
      <w:r w:rsidR="00850D38" w:rsidRPr="00E573C3">
        <w:rPr>
          <w:rFonts w:ascii="Times New Roman" w:hAnsi="Times New Roman" w:cs="Times New Roman"/>
          <w:sz w:val="24"/>
          <w:szCs w:val="24"/>
          <w:shd w:val="clear" w:color="auto" w:fill="FFFFFF"/>
        </w:rPr>
        <w:t xml:space="preserve"> 74.3% of the total variance in </w:t>
      </w:r>
      <w:r w:rsidR="0055703F" w:rsidRPr="00E573C3">
        <w:rPr>
          <w:rFonts w:ascii="Times New Roman" w:hAnsi="Times New Roman" w:cs="Times New Roman"/>
          <w:sz w:val="24"/>
          <w:szCs w:val="24"/>
          <w:shd w:val="clear" w:color="auto" w:fill="FFFFFF"/>
        </w:rPr>
        <w:t>SCV</w:t>
      </w:r>
      <w:r w:rsidR="00850D38" w:rsidRPr="00E573C3">
        <w:rPr>
          <w:rFonts w:ascii="Times New Roman" w:hAnsi="Times New Roman" w:cs="Times New Roman"/>
          <w:sz w:val="24"/>
          <w:szCs w:val="24"/>
          <w:shd w:val="clear" w:color="auto" w:fill="FFFFFF"/>
        </w:rPr>
        <w:t xml:space="preserve"> (see R²=0.743). </w:t>
      </w:r>
    </w:p>
    <w:p w14:paraId="09534390" w14:textId="61DA2AB1" w:rsidR="005721F4" w:rsidRPr="00E573C3" w:rsidRDefault="005721F4" w:rsidP="00654B52">
      <w:pPr>
        <w:tabs>
          <w:tab w:val="right" w:pos="9026"/>
        </w:tabs>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 xml:space="preserve">Table </w:t>
      </w:r>
      <w:r w:rsidR="000B6ED3" w:rsidRPr="00E573C3">
        <w:rPr>
          <w:rFonts w:ascii="Times New Roman" w:hAnsi="Times New Roman" w:cs="Times New Roman"/>
          <w:b/>
          <w:sz w:val="24"/>
          <w:szCs w:val="24"/>
          <w:shd w:val="clear" w:color="auto" w:fill="FFFFFF"/>
        </w:rPr>
        <w:t>4</w:t>
      </w:r>
      <w:r w:rsidRPr="00E573C3">
        <w:rPr>
          <w:rFonts w:ascii="Times New Roman" w:hAnsi="Times New Roman" w:cs="Times New Roman"/>
          <w:b/>
          <w:sz w:val="24"/>
          <w:szCs w:val="24"/>
          <w:shd w:val="clear" w:color="auto" w:fill="FFFFFF"/>
        </w:rPr>
        <w:t>: Multiple Regression Results for Supply Chain Visibility and Information Sharing</w:t>
      </w:r>
    </w:p>
    <w:tbl>
      <w:tblPr>
        <w:tblStyle w:val="TableGrid"/>
        <w:tblW w:w="9478" w:type="dxa"/>
        <w:tblLook w:val="04A0" w:firstRow="1" w:lastRow="0" w:firstColumn="1" w:lastColumn="0" w:noHBand="0" w:noVBand="1"/>
      </w:tblPr>
      <w:tblGrid>
        <w:gridCol w:w="2518"/>
        <w:gridCol w:w="1414"/>
        <w:gridCol w:w="1848"/>
        <w:gridCol w:w="1849"/>
        <w:gridCol w:w="1849"/>
      </w:tblGrid>
      <w:tr w:rsidR="00187057" w:rsidRPr="00E573C3" w14:paraId="5F51FEB0" w14:textId="77777777" w:rsidTr="00E75638">
        <w:tc>
          <w:tcPr>
            <w:tcW w:w="2518" w:type="dxa"/>
            <w:tcBorders>
              <w:left w:val="nil"/>
            </w:tcBorders>
          </w:tcPr>
          <w:p w14:paraId="5A53A814" w14:textId="77777777" w:rsidR="00187057" w:rsidRPr="00E573C3" w:rsidRDefault="00187057" w:rsidP="00654B52">
            <w:pPr>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Variables</w:t>
            </w:r>
          </w:p>
        </w:tc>
        <w:tc>
          <w:tcPr>
            <w:tcW w:w="3262" w:type="dxa"/>
            <w:gridSpan w:val="2"/>
          </w:tcPr>
          <w:p w14:paraId="5663ED04" w14:textId="77777777" w:rsidR="00187057" w:rsidRPr="00E573C3" w:rsidRDefault="00187057" w:rsidP="00654B52">
            <w:pPr>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DV= Information Sharing</w:t>
            </w:r>
          </w:p>
        </w:tc>
        <w:tc>
          <w:tcPr>
            <w:tcW w:w="3698" w:type="dxa"/>
            <w:gridSpan w:val="2"/>
            <w:tcBorders>
              <w:right w:val="nil"/>
            </w:tcBorders>
          </w:tcPr>
          <w:p w14:paraId="5288A5EB" w14:textId="77777777" w:rsidR="00187057" w:rsidRPr="00E573C3" w:rsidRDefault="00187057" w:rsidP="00654B52">
            <w:pPr>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DV= Supply Chain Visibility</w:t>
            </w:r>
          </w:p>
        </w:tc>
      </w:tr>
      <w:tr w:rsidR="00187057" w:rsidRPr="00E573C3" w14:paraId="31DFD843" w14:textId="77777777" w:rsidTr="00E75638">
        <w:tc>
          <w:tcPr>
            <w:tcW w:w="2518" w:type="dxa"/>
            <w:tcBorders>
              <w:left w:val="nil"/>
            </w:tcBorders>
          </w:tcPr>
          <w:p w14:paraId="67A4895E" w14:textId="77777777" w:rsidR="00187057" w:rsidRPr="00E573C3" w:rsidRDefault="00187057" w:rsidP="00654B52">
            <w:pPr>
              <w:spacing w:line="480" w:lineRule="auto"/>
              <w:jc w:val="both"/>
              <w:rPr>
                <w:rFonts w:ascii="Times New Roman" w:hAnsi="Times New Roman" w:cs="Times New Roman"/>
                <w:b/>
                <w:i/>
                <w:sz w:val="24"/>
                <w:szCs w:val="24"/>
                <w:shd w:val="clear" w:color="auto" w:fill="FFFFFF"/>
              </w:rPr>
            </w:pPr>
            <w:r w:rsidRPr="00E573C3">
              <w:rPr>
                <w:rFonts w:ascii="Times New Roman" w:hAnsi="Times New Roman" w:cs="Times New Roman"/>
                <w:b/>
                <w:i/>
                <w:sz w:val="24"/>
                <w:szCs w:val="24"/>
                <w:shd w:val="clear" w:color="auto" w:fill="FFFFFF"/>
              </w:rPr>
              <w:t>Controls</w:t>
            </w:r>
          </w:p>
        </w:tc>
        <w:tc>
          <w:tcPr>
            <w:tcW w:w="1414" w:type="dxa"/>
          </w:tcPr>
          <w:p w14:paraId="2E36B66A" w14:textId="77777777" w:rsidR="00187057" w:rsidRPr="00E573C3" w:rsidRDefault="00187057" w:rsidP="00654B52">
            <w:pPr>
              <w:tabs>
                <w:tab w:val="left" w:pos="855"/>
              </w:tabs>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Beta</w:t>
            </w:r>
            <w:r w:rsidR="008A334B" w:rsidRPr="00E573C3">
              <w:rPr>
                <w:rFonts w:ascii="Times New Roman" w:hAnsi="Times New Roman" w:cs="Times New Roman"/>
                <w:sz w:val="24"/>
                <w:szCs w:val="24"/>
                <w:shd w:val="clear" w:color="auto" w:fill="FFFFFF"/>
              </w:rPr>
              <w:tab/>
            </w:r>
          </w:p>
        </w:tc>
        <w:tc>
          <w:tcPr>
            <w:tcW w:w="1848" w:type="dxa"/>
          </w:tcPr>
          <w:p w14:paraId="0400BD21"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t-value</w:t>
            </w:r>
          </w:p>
        </w:tc>
        <w:tc>
          <w:tcPr>
            <w:tcW w:w="1849" w:type="dxa"/>
          </w:tcPr>
          <w:p w14:paraId="2B644C71"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Beta</w:t>
            </w:r>
          </w:p>
        </w:tc>
        <w:tc>
          <w:tcPr>
            <w:tcW w:w="1849" w:type="dxa"/>
            <w:tcBorders>
              <w:right w:val="nil"/>
            </w:tcBorders>
          </w:tcPr>
          <w:p w14:paraId="41D56065"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t-value</w:t>
            </w:r>
          </w:p>
        </w:tc>
      </w:tr>
      <w:tr w:rsidR="00187057" w:rsidRPr="00E573C3" w14:paraId="78E748B8" w14:textId="77777777" w:rsidTr="00E75638">
        <w:tc>
          <w:tcPr>
            <w:tcW w:w="2518" w:type="dxa"/>
            <w:tcBorders>
              <w:left w:val="nil"/>
            </w:tcBorders>
          </w:tcPr>
          <w:p w14:paraId="73784672" w14:textId="63B65926"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ID</w:t>
            </w:r>
          </w:p>
        </w:tc>
        <w:tc>
          <w:tcPr>
            <w:tcW w:w="1414" w:type="dxa"/>
          </w:tcPr>
          <w:p w14:paraId="683387E3"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-0.112</w:t>
            </w:r>
          </w:p>
        </w:tc>
        <w:tc>
          <w:tcPr>
            <w:tcW w:w="1848" w:type="dxa"/>
          </w:tcPr>
          <w:p w14:paraId="1BF0EEB4"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-2.001</w:t>
            </w:r>
          </w:p>
        </w:tc>
        <w:tc>
          <w:tcPr>
            <w:tcW w:w="1849" w:type="dxa"/>
          </w:tcPr>
          <w:p w14:paraId="05021DB3"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-0.002</w:t>
            </w:r>
          </w:p>
        </w:tc>
        <w:tc>
          <w:tcPr>
            <w:tcW w:w="1849" w:type="dxa"/>
            <w:tcBorders>
              <w:right w:val="nil"/>
            </w:tcBorders>
          </w:tcPr>
          <w:p w14:paraId="3D3A193F"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0.858</w:t>
            </w:r>
          </w:p>
        </w:tc>
      </w:tr>
      <w:tr w:rsidR="00187057" w:rsidRPr="00E573C3" w14:paraId="5892E95C" w14:textId="77777777" w:rsidTr="00E75638">
        <w:tc>
          <w:tcPr>
            <w:tcW w:w="2518" w:type="dxa"/>
            <w:tcBorders>
              <w:left w:val="nil"/>
            </w:tcBorders>
          </w:tcPr>
          <w:p w14:paraId="5BDDBBF2" w14:textId="79A28F17" w:rsidR="00187057" w:rsidRPr="00E573C3" w:rsidRDefault="007E7888" w:rsidP="00654B52">
            <w:pPr>
              <w:spacing w:line="480" w:lineRule="auto"/>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OS</w:t>
            </w:r>
          </w:p>
        </w:tc>
        <w:tc>
          <w:tcPr>
            <w:tcW w:w="1414" w:type="dxa"/>
          </w:tcPr>
          <w:p w14:paraId="64800B8D" w14:textId="51BB7039"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-0.021</w:t>
            </w:r>
          </w:p>
        </w:tc>
        <w:tc>
          <w:tcPr>
            <w:tcW w:w="1848" w:type="dxa"/>
          </w:tcPr>
          <w:p w14:paraId="1F481BDB" w14:textId="4046CB34" w:rsidR="00187057" w:rsidRPr="00E573C3" w:rsidRDefault="007E7888" w:rsidP="00654B52">
            <w:pPr>
              <w:tabs>
                <w:tab w:val="left" w:pos="1485"/>
              </w:tabs>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-0.346</w:t>
            </w:r>
          </w:p>
        </w:tc>
        <w:tc>
          <w:tcPr>
            <w:tcW w:w="1849" w:type="dxa"/>
          </w:tcPr>
          <w:p w14:paraId="2C616F29" w14:textId="27CF4770"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0.00</w:t>
            </w:r>
          </w:p>
        </w:tc>
        <w:tc>
          <w:tcPr>
            <w:tcW w:w="1849" w:type="dxa"/>
            <w:tcBorders>
              <w:right w:val="nil"/>
            </w:tcBorders>
          </w:tcPr>
          <w:p w14:paraId="30F24020" w14:textId="7F4BDD71"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0.004</w:t>
            </w:r>
          </w:p>
        </w:tc>
      </w:tr>
      <w:tr w:rsidR="00187057" w:rsidRPr="00E573C3" w14:paraId="37A6290D" w14:textId="77777777" w:rsidTr="00E75638">
        <w:tc>
          <w:tcPr>
            <w:tcW w:w="2518" w:type="dxa"/>
            <w:tcBorders>
              <w:left w:val="nil"/>
            </w:tcBorders>
          </w:tcPr>
          <w:p w14:paraId="170F512E" w14:textId="77777777" w:rsidR="00187057" w:rsidRPr="00E573C3" w:rsidRDefault="00187057" w:rsidP="00654B52">
            <w:pPr>
              <w:spacing w:line="480" w:lineRule="auto"/>
              <w:jc w:val="both"/>
              <w:rPr>
                <w:rFonts w:ascii="Times New Roman" w:hAnsi="Times New Roman" w:cs="Times New Roman"/>
                <w:b/>
                <w:i/>
                <w:sz w:val="24"/>
                <w:szCs w:val="24"/>
                <w:shd w:val="clear" w:color="auto" w:fill="FFFFFF"/>
              </w:rPr>
            </w:pPr>
            <w:r w:rsidRPr="00E573C3">
              <w:rPr>
                <w:rFonts w:ascii="Times New Roman" w:hAnsi="Times New Roman" w:cs="Times New Roman"/>
                <w:b/>
                <w:i/>
                <w:sz w:val="24"/>
                <w:szCs w:val="24"/>
                <w:shd w:val="clear" w:color="auto" w:fill="FFFFFF"/>
              </w:rPr>
              <w:t>Main effects</w:t>
            </w:r>
          </w:p>
        </w:tc>
        <w:tc>
          <w:tcPr>
            <w:tcW w:w="1414" w:type="dxa"/>
          </w:tcPr>
          <w:p w14:paraId="41AA149F"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c>
          <w:tcPr>
            <w:tcW w:w="1848" w:type="dxa"/>
          </w:tcPr>
          <w:p w14:paraId="34E5F978"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c>
          <w:tcPr>
            <w:tcW w:w="1849" w:type="dxa"/>
          </w:tcPr>
          <w:p w14:paraId="75A04509"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c>
          <w:tcPr>
            <w:tcW w:w="1849" w:type="dxa"/>
            <w:tcBorders>
              <w:right w:val="nil"/>
            </w:tcBorders>
          </w:tcPr>
          <w:p w14:paraId="20855F4F"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r>
      <w:tr w:rsidR="00187057" w:rsidRPr="00E573C3" w14:paraId="17936B61" w14:textId="77777777" w:rsidTr="00E75638">
        <w:tc>
          <w:tcPr>
            <w:tcW w:w="2518" w:type="dxa"/>
            <w:tcBorders>
              <w:left w:val="nil"/>
            </w:tcBorders>
          </w:tcPr>
          <w:p w14:paraId="7C8198E8" w14:textId="069D1C0C"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SC</w:t>
            </w:r>
          </w:p>
        </w:tc>
        <w:tc>
          <w:tcPr>
            <w:tcW w:w="1414" w:type="dxa"/>
          </w:tcPr>
          <w:p w14:paraId="12D3FD89"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0.866</w:t>
            </w:r>
          </w:p>
        </w:tc>
        <w:tc>
          <w:tcPr>
            <w:tcW w:w="1848" w:type="dxa"/>
          </w:tcPr>
          <w:p w14:paraId="69B230FB"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27.415</w:t>
            </w:r>
          </w:p>
        </w:tc>
        <w:tc>
          <w:tcPr>
            <w:tcW w:w="1849" w:type="dxa"/>
          </w:tcPr>
          <w:p w14:paraId="740E0092"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0.736</w:t>
            </w:r>
          </w:p>
        </w:tc>
        <w:tc>
          <w:tcPr>
            <w:tcW w:w="1849" w:type="dxa"/>
            <w:tcBorders>
              <w:right w:val="nil"/>
            </w:tcBorders>
          </w:tcPr>
          <w:p w14:paraId="5838D6C0"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14.709</w:t>
            </w:r>
          </w:p>
        </w:tc>
      </w:tr>
      <w:tr w:rsidR="00187057" w:rsidRPr="00E573C3" w14:paraId="1F9EF86A" w14:textId="77777777" w:rsidTr="00E75638">
        <w:tc>
          <w:tcPr>
            <w:tcW w:w="2518" w:type="dxa"/>
            <w:tcBorders>
              <w:left w:val="nil"/>
            </w:tcBorders>
          </w:tcPr>
          <w:p w14:paraId="0D8B23BC" w14:textId="37041414" w:rsidR="00187057" w:rsidRPr="00E573C3" w:rsidRDefault="007E7888"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SCI</w:t>
            </w:r>
          </w:p>
        </w:tc>
        <w:tc>
          <w:tcPr>
            <w:tcW w:w="1414" w:type="dxa"/>
          </w:tcPr>
          <w:p w14:paraId="2DE69F51"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c>
          <w:tcPr>
            <w:tcW w:w="1848" w:type="dxa"/>
          </w:tcPr>
          <w:p w14:paraId="037AACDD" w14:textId="77777777" w:rsidR="00187057" w:rsidRPr="00E573C3" w:rsidRDefault="00187057" w:rsidP="00654B52">
            <w:pPr>
              <w:spacing w:line="480" w:lineRule="auto"/>
              <w:jc w:val="both"/>
              <w:rPr>
                <w:rFonts w:ascii="Times New Roman" w:hAnsi="Times New Roman" w:cs="Times New Roman"/>
                <w:sz w:val="24"/>
                <w:szCs w:val="24"/>
                <w:shd w:val="clear" w:color="auto" w:fill="FFFFFF"/>
              </w:rPr>
            </w:pPr>
          </w:p>
        </w:tc>
        <w:tc>
          <w:tcPr>
            <w:tcW w:w="1849" w:type="dxa"/>
          </w:tcPr>
          <w:p w14:paraId="144643E0"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0.897</w:t>
            </w:r>
          </w:p>
        </w:tc>
        <w:tc>
          <w:tcPr>
            <w:tcW w:w="1849" w:type="dxa"/>
            <w:tcBorders>
              <w:right w:val="nil"/>
            </w:tcBorders>
          </w:tcPr>
          <w:p w14:paraId="66A69495" w14:textId="77777777" w:rsidR="00187057" w:rsidRPr="00E573C3" w:rsidRDefault="008A334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23.424</w:t>
            </w:r>
          </w:p>
        </w:tc>
      </w:tr>
      <w:tr w:rsidR="005B78EB" w:rsidRPr="00E573C3" w14:paraId="724F8A87" w14:textId="77777777" w:rsidTr="00E75638">
        <w:trPr>
          <w:trHeight w:val="1262"/>
        </w:trPr>
        <w:tc>
          <w:tcPr>
            <w:tcW w:w="2518" w:type="dxa"/>
            <w:tcBorders>
              <w:left w:val="nil"/>
            </w:tcBorders>
          </w:tcPr>
          <w:p w14:paraId="22E4321B" w14:textId="77777777" w:rsidR="005B78EB" w:rsidRPr="00E573C3" w:rsidRDefault="005B78E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R²</w:t>
            </w:r>
          </w:p>
          <w:p w14:paraId="2762FA72" w14:textId="77777777" w:rsidR="005B78EB" w:rsidRPr="00E573C3" w:rsidRDefault="005B78E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Adj R²</w:t>
            </w:r>
          </w:p>
          <w:p w14:paraId="30ACBDA5" w14:textId="1B2EA994" w:rsidR="005B78EB" w:rsidRPr="00E573C3" w:rsidRDefault="005B78EB"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Model F</w:t>
            </w:r>
          </w:p>
        </w:tc>
        <w:tc>
          <w:tcPr>
            <w:tcW w:w="3262" w:type="dxa"/>
            <w:gridSpan w:val="2"/>
          </w:tcPr>
          <w:p w14:paraId="6D5BD6B5" w14:textId="77777777"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0.800</w:t>
            </w:r>
          </w:p>
          <w:p w14:paraId="7748BEA2" w14:textId="77777777"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0.798</w:t>
            </w:r>
          </w:p>
          <w:p w14:paraId="4C5CA6E2" w14:textId="3CC647CF"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405.03</w:t>
            </w:r>
          </w:p>
        </w:tc>
        <w:tc>
          <w:tcPr>
            <w:tcW w:w="3698" w:type="dxa"/>
            <w:gridSpan w:val="2"/>
            <w:tcBorders>
              <w:right w:val="nil"/>
            </w:tcBorders>
          </w:tcPr>
          <w:p w14:paraId="607BD598" w14:textId="77777777"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0.743</w:t>
            </w:r>
          </w:p>
          <w:p w14:paraId="09BE1C83" w14:textId="77777777"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0.740</w:t>
            </w:r>
          </w:p>
          <w:p w14:paraId="1E24514C" w14:textId="5D587D78" w:rsidR="005B78EB" w:rsidRPr="00E573C3" w:rsidRDefault="005B78EB" w:rsidP="00654B52">
            <w:pPr>
              <w:spacing w:line="480" w:lineRule="auto"/>
              <w:jc w:val="center"/>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291.790</w:t>
            </w:r>
          </w:p>
        </w:tc>
      </w:tr>
    </w:tbl>
    <w:p w14:paraId="3966817D" w14:textId="77777777" w:rsidR="00A476E8" w:rsidRPr="00E573C3" w:rsidRDefault="00A476E8" w:rsidP="00654B52">
      <w:pPr>
        <w:spacing w:line="480" w:lineRule="auto"/>
        <w:jc w:val="both"/>
        <w:rPr>
          <w:rFonts w:ascii="Times New Roman" w:hAnsi="Times New Roman" w:cs="Times New Roman"/>
          <w:sz w:val="24"/>
          <w:szCs w:val="24"/>
          <w:shd w:val="clear" w:color="auto" w:fill="FFFFFF"/>
        </w:rPr>
      </w:pPr>
    </w:p>
    <w:p w14:paraId="04900D8F" w14:textId="2F0DC206" w:rsidR="006D1D91" w:rsidRDefault="00F36980"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 xml:space="preserve">H4-H6 </w:t>
      </w:r>
      <w:r w:rsidR="00A476E8" w:rsidRPr="00E573C3">
        <w:rPr>
          <w:rFonts w:ascii="Times New Roman" w:hAnsi="Times New Roman" w:cs="Times New Roman"/>
          <w:sz w:val="24"/>
          <w:szCs w:val="24"/>
          <w:shd w:val="clear" w:color="auto" w:fill="FFFFFF"/>
        </w:rPr>
        <w:t xml:space="preserve">were tested using </w:t>
      </w:r>
      <w:r w:rsidR="004C0C92" w:rsidRPr="00E573C3">
        <w:rPr>
          <w:rFonts w:ascii="Times New Roman" w:hAnsi="Times New Roman" w:cs="Times New Roman"/>
          <w:sz w:val="24"/>
          <w:szCs w:val="24"/>
          <w:shd w:val="clear" w:color="auto" w:fill="FFFFFF"/>
        </w:rPr>
        <w:t>hierarchical regression.</w:t>
      </w:r>
      <w:r w:rsidR="00852861" w:rsidRPr="00E573C3">
        <w:rPr>
          <w:rFonts w:ascii="Times New Roman" w:hAnsi="Times New Roman" w:cs="Times New Roman"/>
          <w:sz w:val="24"/>
          <w:szCs w:val="24"/>
          <w:shd w:val="clear" w:color="auto" w:fill="FFFFFF"/>
        </w:rPr>
        <w:t xml:space="preserve"> In support of H4, Table 5</w:t>
      </w:r>
      <w:r w:rsidR="00A41555" w:rsidRPr="00E573C3">
        <w:rPr>
          <w:rFonts w:ascii="Times New Roman" w:hAnsi="Times New Roman" w:cs="Times New Roman"/>
          <w:sz w:val="24"/>
          <w:szCs w:val="24"/>
          <w:shd w:val="clear" w:color="auto" w:fill="FFFFFF"/>
        </w:rPr>
        <w:t xml:space="preserve"> </w:t>
      </w:r>
      <w:r w:rsidR="00852861" w:rsidRPr="00E573C3">
        <w:rPr>
          <w:rFonts w:ascii="Times New Roman" w:hAnsi="Times New Roman" w:cs="Times New Roman"/>
          <w:sz w:val="24"/>
          <w:szCs w:val="24"/>
          <w:shd w:val="clear" w:color="auto" w:fill="FFFFFF"/>
        </w:rPr>
        <w:t>indicates that supply chain visibility has a positive significant effect on supply chain agility (</w:t>
      </w:r>
      <w:r w:rsidR="00852861" w:rsidRPr="00E573C3">
        <w:rPr>
          <w:rFonts w:ascii="Times New Roman" w:hAnsi="Times New Roman" w:cs="Times New Roman"/>
          <w:i/>
          <w:sz w:val="24"/>
          <w:szCs w:val="24"/>
          <w:shd w:val="clear" w:color="auto" w:fill="FFFFFF"/>
        </w:rPr>
        <w:t>β</w:t>
      </w:r>
      <w:r w:rsidR="00852861" w:rsidRPr="00E573C3">
        <w:rPr>
          <w:rFonts w:ascii="Times New Roman" w:hAnsi="Times New Roman" w:cs="Times New Roman"/>
          <w:sz w:val="24"/>
          <w:szCs w:val="24"/>
          <w:shd w:val="clear" w:color="auto" w:fill="FFFFFF"/>
        </w:rPr>
        <w:t xml:space="preserve">=0.384; </w:t>
      </w:r>
      <w:r w:rsidR="00852861" w:rsidRPr="00E573C3">
        <w:rPr>
          <w:rFonts w:ascii="Times New Roman" w:hAnsi="Times New Roman" w:cs="Times New Roman"/>
          <w:i/>
          <w:sz w:val="24"/>
          <w:szCs w:val="24"/>
          <w:shd w:val="clear" w:color="auto" w:fill="FFFFFF"/>
        </w:rPr>
        <w:t>p</w:t>
      </w:r>
      <w:r w:rsidR="00852861" w:rsidRPr="00E573C3">
        <w:rPr>
          <w:rFonts w:ascii="Times New Roman" w:hAnsi="Times New Roman" w:cs="Times New Roman"/>
          <w:sz w:val="24"/>
          <w:szCs w:val="24"/>
          <w:shd w:val="clear" w:color="auto" w:fill="FFFFFF"/>
        </w:rPr>
        <w:t>&lt;0.001). Similarly, from Table 5, we note that hypotheses H5 (</w:t>
      </w:r>
      <w:r w:rsidR="00852861" w:rsidRPr="00E573C3">
        <w:rPr>
          <w:rFonts w:ascii="Times New Roman" w:hAnsi="Times New Roman" w:cs="Times New Roman"/>
          <w:i/>
          <w:sz w:val="24"/>
          <w:szCs w:val="24"/>
          <w:shd w:val="clear" w:color="auto" w:fill="FFFFFF"/>
        </w:rPr>
        <w:t>β</w:t>
      </w:r>
      <w:r w:rsidR="00852861" w:rsidRPr="00E573C3">
        <w:rPr>
          <w:rFonts w:ascii="Times New Roman" w:hAnsi="Times New Roman" w:cs="Times New Roman"/>
          <w:sz w:val="24"/>
          <w:szCs w:val="24"/>
          <w:shd w:val="clear" w:color="auto" w:fill="FFFFFF"/>
        </w:rPr>
        <w:t xml:space="preserve">=0.147; </w:t>
      </w:r>
      <w:r w:rsidR="00852861" w:rsidRPr="00E573C3">
        <w:rPr>
          <w:rFonts w:ascii="Times New Roman" w:hAnsi="Times New Roman" w:cs="Times New Roman"/>
          <w:i/>
          <w:sz w:val="24"/>
          <w:szCs w:val="24"/>
          <w:shd w:val="clear" w:color="auto" w:fill="FFFFFF"/>
        </w:rPr>
        <w:t>p</w:t>
      </w:r>
      <w:r w:rsidR="00852861" w:rsidRPr="00E573C3">
        <w:rPr>
          <w:rFonts w:ascii="Times New Roman" w:hAnsi="Times New Roman" w:cs="Times New Roman"/>
          <w:sz w:val="24"/>
          <w:szCs w:val="24"/>
          <w:shd w:val="clear" w:color="auto" w:fill="FFFFFF"/>
        </w:rPr>
        <w:t>&lt;0.05) and H6 (</w:t>
      </w:r>
      <w:r w:rsidR="00852861" w:rsidRPr="00E573C3">
        <w:rPr>
          <w:rFonts w:ascii="Times New Roman" w:hAnsi="Times New Roman" w:cs="Times New Roman"/>
          <w:i/>
          <w:sz w:val="24"/>
          <w:szCs w:val="24"/>
          <w:shd w:val="clear" w:color="auto" w:fill="FFFFFF"/>
        </w:rPr>
        <w:t>β</w:t>
      </w:r>
      <w:r w:rsidR="00852861" w:rsidRPr="00E573C3">
        <w:rPr>
          <w:rFonts w:ascii="Times New Roman" w:hAnsi="Times New Roman" w:cs="Times New Roman"/>
          <w:sz w:val="24"/>
          <w:szCs w:val="24"/>
          <w:shd w:val="clear" w:color="auto" w:fill="FFFFFF"/>
        </w:rPr>
        <w:t xml:space="preserve">=0.169; </w:t>
      </w:r>
      <w:r w:rsidR="00852861" w:rsidRPr="00E573C3">
        <w:rPr>
          <w:rFonts w:ascii="Times New Roman" w:hAnsi="Times New Roman" w:cs="Times New Roman"/>
          <w:i/>
          <w:sz w:val="24"/>
          <w:szCs w:val="24"/>
          <w:shd w:val="clear" w:color="auto" w:fill="FFFFFF"/>
        </w:rPr>
        <w:t>p</w:t>
      </w:r>
      <w:r w:rsidR="00852861" w:rsidRPr="00E573C3">
        <w:rPr>
          <w:rFonts w:ascii="Times New Roman" w:hAnsi="Times New Roman" w:cs="Times New Roman"/>
          <w:sz w:val="24"/>
          <w:szCs w:val="24"/>
          <w:shd w:val="clear" w:color="auto" w:fill="FFFFFF"/>
        </w:rPr>
        <w:t xml:space="preserve">&lt;0.01) are well supported. </w:t>
      </w:r>
      <w:r w:rsidR="00841A20" w:rsidRPr="00E573C3">
        <w:rPr>
          <w:rFonts w:ascii="Times New Roman" w:hAnsi="Times New Roman" w:cs="Times New Roman"/>
          <w:sz w:val="24"/>
          <w:szCs w:val="24"/>
          <w:shd w:val="clear" w:color="auto" w:fill="FFFFFF"/>
        </w:rPr>
        <w:t>I</w:t>
      </w:r>
      <w:r w:rsidR="004F0A55" w:rsidRPr="00E573C3">
        <w:rPr>
          <w:rFonts w:ascii="Times New Roman" w:hAnsi="Times New Roman" w:cs="Times New Roman"/>
          <w:sz w:val="24"/>
          <w:szCs w:val="24"/>
          <w:shd w:val="clear" w:color="auto" w:fill="FFFFFF"/>
        </w:rPr>
        <w:t>n support of H7a and H7c</w:t>
      </w:r>
      <w:r w:rsidR="00A41555" w:rsidRPr="00E573C3">
        <w:rPr>
          <w:rFonts w:ascii="Times New Roman" w:hAnsi="Times New Roman" w:cs="Times New Roman"/>
          <w:sz w:val="24"/>
          <w:szCs w:val="24"/>
          <w:shd w:val="clear" w:color="auto" w:fill="FFFFFF"/>
        </w:rPr>
        <w:t>,</w:t>
      </w:r>
      <w:r w:rsidR="004F0A55" w:rsidRPr="00E573C3">
        <w:rPr>
          <w:rFonts w:ascii="Times New Roman" w:hAnsi="Times New Roman" w:cs="Times New Roman"/>
          <w:sz w:val="24"/>
          <w:szCs w:val="24"/>
          <w:shd w:val="clear" w:color="auto" w:fill="FFFFFF"/>
        </w:rPr>
        <w:t xml:space="preserve"> TMC has </w:t>
      </w:r>
      <w:r w:rsidR="00841A20" w:rsidRPr="00E573C3">
        <w:rPr>
          <w:rFonts w:ascii="Times New Roman" w:hAnsi="Times New Roman" w:cs="Times New Roman"/>
          <w:sz w:val="24"/>
          <w:szCs w:val="24"/>
          <w:shd w:val="clear" w:color="auto" w:fill="FFFFFF"/>
        </w:rPr>
        <w:t xml:space="preserve">a </w:t>
      </w:r>
      <w:r w:rsidR="004F0A55" w:rsidRPr="00E573C3">
        <w:rPr>
          <w:rFonts w:ascii="Times New Roman" w:hAnsi="Times New Roman" w:cs="Times New Roman"/>
          <w:sz w:val="24"/>
          <w:szCs w:val="24"/>
          <w:shd w:val="clear" w:color="auto" w:fill="FFFFFF"/>
        </w:rPr>
        <w:t xml:space="preserve">positive significant interaction effect and H7b has significant interaction effect but the impact of SCV on adaptability is lower for higher levels of TMC. </w:t>
      </w:r>
    </w:p>
    <w:p w14:paraId="3DD93812" w14:textId="0D8AAD9D" w:rsidR="00202D5C" w:rsidRDefault="00202D5C" w:rsidP="00654B52">
      <w:pPr>
        <w:spacing w:line="480" w:lineRule="auto"/>
        <w:jc w:val="both"/>
        <w:rPr>
          <w:rFonts w:ascii="Times New Roman" w:hAnsi="Times New Roman" w:cs="Times New Roman"/>
          <w:sz w:val="24"/>
          <w:szCs w:val="24"/>
          <w:shd w:val="clear" w:color="auto" w:fill="FFFFFF"/>
        </w:rPr>
      </w:pPr>
    </w:p>
    <w:p w14:paraId="1C33196F" w14:textId="77777777" w:rsidR="00202D5C" w:rsidRPr="00E573C3" w:rsidRDefault="00202D5C" w:rsidP="00654B52">
      <w:pPr>
        <w:spacing w:line="480" w:lineRule="auto"/>
        <w:jc w:val="both"/>
        <w:rPr>
          <w:rFonts w:ascii="Times New Roman" w:hAnsi="Times New Roman" w:cs="Times New Roman"/>
          <w:sz w:val="24"/>
          <w:szCs w:val="24"/>
          <w:shd w:val="clear" w:color="auto" w:fill="FFFFFF"/>
        </w:rPr>
      </w:pPr>
    </w:p>
    <w:p w14:paraId="262FA260" w14:textId="77777777" w:rsidR="00623AB7" w:rsidRDefault="00623AB7" w:rsidP="00654B52">
      <w:pPr>
        <w:spacing w:line="480" w:lineRule="auto"/>
        <w:jc w:val="both"/>
        <w:rPr>
          <w:rFonts w:ascii="Times New Roman" w:hAnsi="Times New Roman" w:cs="Times New Roman"/>
          <w:b/>
          <w:sz w:val="24"/>
          <w:szCs w:val="24"/>
          <w:shd w:val="clear" w:color="auto" w:fill="FFFFFF"/>
        </w:rPr>
      </w:pPr>
    </w:p>
    <w:p w14:paraId="2691E1AA" w14:textId="60548999" w:rsidR="00E23AC6" w:rsidRPr="00E573C3" w:rsidRDefault="00E23AC6" w:rsidP="00654B52">
      <w:pPr>
        <w:spacing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 xml:space="preserve">Table </w:t>
      </w:r>
      <w:r w:rsidR="000B6ED3" w:rsidRPr="00E573C3">
        <w:rPr>
          <w:rFonts w:ascii="Times New Roman" w:hAnsi="Times New Roman" w:cs="Times New Roman"/>
          <w:b/>
          <w:sz w:val="24"/>
          <w:szCs w:val="24"/>
          <w:shd w:val="clear" w:color="auto" w:fill="FFFFFF"/>
        </w:rPr>
        <w:t>5</w:t>
      </w:r>
      <w:r w:rsidRPr="00E573C3">
        <w:rPr>
          <w:rFonts w:ascii="Times New Roman" w:hAnsi="Times New Roman" w:cs="Times New Roman"/>
          <w:b/>
          <w:sz w:val="24"/>
          <w:szCs w:val="24"/>
          <w:shd w:val="clear" w:color="auto" w:fill="FFFFFF"/>
        </w:rPr>
        <w:t>: Hierarchical Moderated Regression Results for Agility, Adaptability and Alignment in Supply Chain</w:t>
      </w:r>
    </w:p>
    <w:tbl>
      <w:tblPr>
        <w:tblStyle w:val="TableGrid"/>
        <w:tblW w:w="10078" w:type="dxa"/>
        <w:tblLook w:val="04A0" w:firstRow="1" w:lastRow="0" w:firstColumn="1" w:lastColumn="0" w:noHBand="0" w:noVBand="1"/>
      </w:tblPr>
      <w:tblGrid>
        <w:gridCol w:w="1660"/>
        <w:gridCol w:w="1857"/>
        <w:gridCol w:w="950"/>
        <w:gridCol w:w="1857"/>
        <w:gridCol w:w="947"/>
        <w:gridCol w:w="1857"/>
        <w:gridCol w:w="950"/>
      </w:tblGrid>
      <w:tr w:rsidR="007E7888" w:rsidRPr="00E573C3" w14:paraId="5D873656" w14:textId="77777777" w:rsidTr="00E75638">
        <w:trPr>
          <w:trHeight w:val="600"/>
        </w:trPr>
        <w:tc>
          <w:tcPr>
            <w:tcW w:w="1660" w:type="dxa"/>
            <w:tcBorders>
              <w:left w:val="nil"/>
            </w:tcBorders>
            <w:hideMark/>
          </w:tcPr>
          <w:p w14:paraId="5A9198B7"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Variables</w:t>
            </w:r>
          </w:p>
        </w:tc>
        <w:tc>
          <w:tcPr>
            <w:tcW w:w="2807" w:type="dxa"/>
            <w:gridSpan w:val="2"/>
            <w:hideMark/>
          </w:tcPr>
          <w:p w14:paraId="1E9C855D" w14:textId="65C03A66" w:rsidR="007E7888" w:rsidRPr="00E573C3" w:rsidRDefault="007E7888" w:rsidP="00841A20">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xml:space="preserve">DV= </w:t>
            </w:r>
            <w:r w:rsidR="00841A20" w:rsidRPr="00E573C3">
              <w:rPr>
                <w:rFonts w:ascii="Times New Roman" w:eastAsia="Times New Roman" w:hAnsi="Times New Roman" w:cs="Times New Roman"/>
                <w:color w:val="000000"/>
                <w:sz w:val="24"/>
                <w:szCs w:val="24"/>
              </w:rPr>
              <w:t>Agility</w:t>
            </w:r>
          </w:p>
        </w:tc>
        <w:tc>
          <w:tcPr>
            <w:tcW w:w="2804" w:type="dxa"/>
            <w:gridSpan w:val="2"/>
            <w:hideMark/>
          </w:tcPr>
          <w:p w14:paraId="75B5154D" w14:textId="1A8D3DBD" w:rsidR="007E7888" w:rsidRPr="00E573C3" w:rsidRDefault="007E7888" w:rsidP="00841A20">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xml:space="preserve">DV= </w:t>
            </w:r>
            <w:r w:rsidR="00841A20" w:rsidRPr="00E573C3">
              <w:rPr>
                <w:rFonts w:ascii="Times New Roman" w:eastAsia="Times New Roman" w:hAnsi="Times New Roman" w:cs="Times New Roman"/>
                <w:color w:val="000000"/>
                <w:sz w:val="24"/>
                <w:szCs w:val="24"/>
              </w:rPr>
              <w:t>Adaptability</w:t>
            </w:r>
          </w:p>
        </w:tc>
        <w:tc>
          <w:tcPr>
            <w:tcW w:w="2807" w:type="dxa"/>
            <w:gridSpan w:val="2"/>
            <w:tcBorders>
              <w:right w:val="nil"/>
            </w:tcBorders>
            <w:hideMark/>
          </w:tcPr>
          <w:p w14:paraId="3EFF26FB" w14:textId="3786379B" w:rsidR="007E7888" w:rsidRPr="00E573C3" w:rsidRDefault="007E7888" w:rsidP="00841A20">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DV=</w:t>
            </w:r>
            <w:r w:rsidR="00841A20" w:rsidRPr="00E573C3">
              <w:rPr>
                <w:rFonts w:ascii="Times New Roman" w:eastAsia="Times New Roman" w:hAnsi="Times New Roman" w:cs="Times New Roman"/>
                <w:color w:val="000000"/>
                <w:sz w:val="24"/>
                <w:szCs w:val="24"/>
              </w:rPr>
              <w:t>Alignment</w:t>
            </w:r>
          </w:p>
        </w:tc>
      </w:tr>
      <w:tr w:rsidR="007E7888" w:rsidRPr="00E573C3" w14:paraId="779C9D06" w14:textId="77777777" w:rsidTr="00E75638">
        <w:trPr>
          <w:trHeight w:val="645"/>
        </w:trPr>
        <w:tc>
          <w:tcPr>
            <w:tcW w:w="1660" w:type="dxa"/>
            <w:tcBorders>
              <w:left w:val="nil"/>
            </w:tcBorders>
            <w:hideMark/>
          </w:tcPr>
          <w:p w14:paraId="273C6234" w14:textId="77777777" w:rsidR="007E7888" w:rsidRPr="00E573C3" w:rsidRDefault="007E7888" w:rsidP="00654B52">
            <w:pPr>
              <w:spacing w:line="480" w:lineRule="auto"/>
              <w:jc w:val="both"/>
              <w:rPr>
                <w:rFonts w:ascii="Times New Roman" w:eastAsia="Times New Roman" w:hAnsi="Times New Roman" w:cs="Times New Roman"/>
                <w:b/>
                <w:bCs/>
                <w:i/>
                <w:iCs/>
                <w:color w:val="000000"/>
                <w:sz w:val="24"/>
                <w:szCs w:val="24"/>
              </w:rPr>
            </w:pPr>
            <w:r w:rsidRPr="00E573C3">
              <w:rPr>
                <w:rFonts w:ascii="Times New Roman" w:eastAsia="Times New Roman" w:hAnsi="Times New Roman" w:cs="Times New Roman"/>
                <w:b/>
                <w:bCs/>
                <w:i/>
                <w:iCs/>
                <w:color w:val="000000"/>
                <w:sz w:val="24"/>
                <w:szCs w:val="24"/>
              </w:rPr>
              <w:t>Controls</w:t>
            </w:r>
          </w:p>
        </w:tc>
        <w:tc>
          <w:tcPr>
            <w:tcW w:w="1857" w:type="dxa"/>
            <w:hideMark/>
          </w:tcPr>
          <w:p w14:paraId="52901A04"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xml:space="preserve">Beta </w:t>
            </w:r>
          </w:p>
        </w:tc>
        <w:tc>
          <w:tcPr>
            <w:tcW w:w="950" w:type="dxa"/>
            <w:hideMark/>
          </w:tcPr>
          <w:p w14:paraId="7D42DCF9"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t-value</w:t>
            </w:r>
          </w:p>
        </w:tc>
        <w:tc>
          <w:tcPr>
            <w:tcW w:w="1857" w:type="dxa"/>
            <w:hideMark/>
          </w:tcPr>
          <w:p w14:paraId="09242E47"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Beta</w:t>
            </w:r>
          </w:p>
        </w:tc>
        <w:tc>
          <w:tcPr>
            <w:tcW w:w="947" w:type="dxa"/>
            <w:hideMark/>
          </w:tcPr>
          <w:p w14:paraId="4C1009F9"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t-value</w:t>
            </w:r>
          </w:p>
        </w:tc>
        <w:tc>
          <w:tcPr>
            <w:tcW w:w="1857" w:type="dxa"/>
            <w:hideMark/>
          </w:tcPr>
          <w:p w14:paraId="1E5B676E" w14:textId="585A402F"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841A20" w:rsidRPr="00E573C3">
              <w:rPr>
                <w:rFonts w:ascii="Times New Roman" w:eastAsia="Times New Roman" w:hAnsi="Times New Roman" w:cs="Times New Roman"/>
                <w:color w:val="000000"/>
                <w:sz w:val="24"/>
                <w:szCs w:val="24"/>
              </w:rPr>
              <w:t>Beta</w:t>
            </w:r>
          </w:p>
        </w:tc>
        <w:tc>
          <w:tcPr>
            <w:tcW w:w="950" w:type="dxa"/>
            <w:tcBorders>
              <w:right w:val="nil"/>
            </w:tcBorders>
            <w:hideMark/>
          </w:tcPr>
          <w:p w14:paraId="339BB5DD" w14:textId="3A5F4803"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1F2E61" w:rsidRPr="00E573C3">
              <w:rPr>
                <w:rFonts w:ascii="Times New Roman" w:eastAsia="Times New Roman" w:hAnsi="Times New Roman" w:cs="Times New Roman"/>
                <w:color w:val="000000"/>
                <w:sz w:val="24"/>
                <w:szCs w:val="24"/>
              </w:rPr>
              <w:t>t-value</w:t>
            </w:r>
          </w:p>
        </w:tc>
      </w:tr>
      <w:tr w:rsidR="007E7888" w:rsidRPr="00E573C3" w14:paraId="6AEE5384" w14:textId="77777777" w:rsidTr="00E75638">
        <w:trPr>
          <w:trHeight w:val="960"/>
        </w:trPr>
        <w:tc>
          <w:tcPr>
            <w:tcW w:w="1660" w:type="dxa"/>
            <w:tcBorders>
              <w:left w:val="nil"/>
            </w:tcBorders>
            <w:hideMark/>
          </w:tcPr>
          <w:p w14:paraId="4E40E2CB" w14:textId="22CAD5D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ID</w:t>
            </w:r>
          </w:p>
        </w:tc>
        <w:tc>
          <w:tcPr>
            <w:tcW w:w="1857" w:type="dxa"/>
            <w:hideMark/>
          </w:tcPr>
          <w:p w14:paraId="2A496A14" w14:textId="128FB9B8" w:rsidR="007E7888" w:rsidRPr="00E573C3" w:rsidRDefault="00E34A92"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-0.125</w:t>
            </w:r>
          </w:p>
        </w:tc>
        <w:tc>
          <w:tcPr>
            <w:tcW w:w="950" w:type="dxa"/>
            <w:hideMark/>
          </w:tcPr>
          <w:p w14:paraId="5D773D0F" w14:textId="1D0DD99E" w:rsidR="007E7888" w:rsidRPr="00E573C3" w:rsidRDefault="00BF1F07"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-0.037</w:t>
            </w:r>
          </w:p>
        </w:tc>
        <w:tc>
          <w:tcPr>
            <w:tcW w:w="1857" w:type="dxa"/>
          </w:tcPr>
          <w:p w14:paraId="426E4057" w14:textId="4FF21403"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-0.047</w:t>
            </w:r>
          </w:p>
        </w:tc>
        <w:tc>
          <w:tcPr>
            <w:tcW w:w="947" w:type="dxa"/>
          </w:tcPr>
          <w:p w14:paraId="1AA725EB" w14:textId="0A24B165"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-0.554</w:t>
            </w:r>
          </w:p>
        </w:tc>
        <w:tc>
          <w:tcPr>
            <w:tcW w:w="1857" w:type="dxa"/>
          </w:tcPr>
          <w:p w14:paraId="196679D2" w14:textId="4B228BE6"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-0.045</w:t>
            </w:r>
          </w:p>
        </w:tc>
        <w:tc>
          <w:tcPr>
            <w:tcW w:w="950" w:type="dxa"/>
            <w:tcBorders>
              <w:right w:val="nil"/>
            </w:tcBorders>
          </w:tcPr>
          <w:p w14:paraId="0B5C31C7" w14:textId="145C795E"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-0.507</w:t>
            </w:r>
          </w:p>
        </w:tc>
      </w:tr>
      <w:tr w:rsidR="007E7888" w:rsidRPr="00E573C3" w14:paraId="58E3E42B" w14:textId="77777777" w:rsidTr="00E75638">
        <w:trPr>
          <w:trHeight w:val="645"/>
        </w:trPr>
        <w:tc>
          <w:tcPr>
            <w:tcW w:w="1660" w:type="dxa"/>
            <w:tcBorders>
              <w:left w:val="nil"/>
            </w:tcBorders>
            <w:hideMark/>
          </w:tcPr>
          <w:p w14:paraId="5406DFF2" w14:textId="40E0A28F" w:rsidR="007E7888" w:rsidRPr="00E573C3" w:rsidRDefault="007E7888" w:rsidP="00654B52">
            <w:pPr>
              <w:spacing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OS</w:t>
            </w:r>
          </w:p>
        </w:tc>
        <w:tc>
          <w:tcPr>
            <w:tcW w:w="1857" w:type="dxa"/>
            <w:hideMark/>
          </w:tcPr>
          <w:p w14:paraId="26CA1D75" w14:textId="4A457BA3" w:rsidR="007E7888" w:rsidRPr="00E573C3" w:rsidRDefault="00CC21E0"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w:t>
            </w:r>
            <w:r w:rsidR="00E34A92" w:rsidRPr="00E573C3">
              <w:rPr>
                <w:rFonts w:ascii="Times New Roman" w:eastAsia="Times New Roman" w:hAnsi="Times New Roman" w:cs="Times New Roman"/>
                <w:color w:val="000000"/>
                <w:sz w:val="24"/>
                <w:szCs w:val="24"/>
              </w:rPr>
              <w:t>001</w:t>
            </w:r>
            <w:r w:rsidR="007E7888" w:rsidRPr="00E573C3">
              <w:rPr>
                <w:rFonts w:ascii="Times New Roman" w:eastAsia="Times New Roman" w:hAnsi="Times New Roman" w:cs="Times New Roman"/>
                <w:color w:val="000000"/>
                <w:sz w:val="24"/>
                <w:szCs w:val="24"/>
              </w:rPr>
              <w:t> </w:t>
            </w:r>
          </w:p>
        </w:tc>
        <w:tc>
          <w:tcPr>
            <w:tcW w:w="950" w:type="dxa"/>
            <w:hideMark/>
          </w:tcPr>
          <w:p w14:paraId="32D8E37A" w14:textId="2FCC8E86"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BF1F07" w:rsidRPr="00E573C3">
              <w:rPr>
                <w:rFonts w:ascii="Times New Roman" w:eastAsia="Times New Roman" w:hAnsi="Times New Roman" w:cs="Times New Roman"/>
                <w:color w:val="000000"/>
                <w:sz w:val="24"/>
                <w:szCs w:val="24"/>
              </w:rPr>
              <w:t>1.47</w:t>
            </w:r>
          </w:p>
        </w:tc>
        <w:tc>
          <w:tcPr>
            <w:tcW w:w="1857" w:type="dxa"/>
          </w:tcPr>
          <w:p w14:paraId="459B8E38" w14:textId="5B0C2D2D"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-0.016</w:t>
            </w:r>
          </w:p>
        </w:tc>
        <w:tc>
          <w:tcPr>
            <w:tcW w:w="947" w:type="dxa"/>
          </w:tcPr>
          <w:p w14:paraId="7BABDE72" w14:textId="25249DFD"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-0.418</w:t>
            </w:r>
          </w:p>
        </w:tc>
        <w:tc>
          <w:tcPr>
            <w:tcW w:w="1857" w:type="dxa"/>
          </w:tcPr>
          <w:p w14:paraId="0B81AF08" w14:textId="26D82F09"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-0.025</w:t>
            </w:r>
          </w:p>
        </w:tc>
        <w:tc>
          <w:tcPr>
            <w:tcW w:w="950" w:type="dxa"/>
            <w:tcBorders>
              <w:right w:val="nil"/>
            </w:tcBorders>
          </w:tcPr>
          <w:p w14:paraId="092483E0" w14:textId="045AC1AB" w:rsidR="007E7888" w:rsidRPr="00E573C3" w:rsidRDefault="008C6C7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-0.628</w:t>
            </w:r>
          </w:p>
        </w:tc>
      </w:tr>
      <w:tr w:rsidR="001F2E61" w:rsidRPr="00E573C3" w14:paraId="154C2DA5" w14:textId="77777777" w:rsidTr="00E75638">
        <w:trPr>
          <w:trHeight w:val="645"/>
        </w:trPr>
        <w:tc>
          <w:tcPr>
            <w:tcW w:w="1660" w:type="dxa"/>
            <w:tcBorders>
              <w:left w:val="nil"/>
            </w:tcBorders>
          </w:tcPr>
          <w:p w14:paraId="2B3EC98E" w14:textId="3CA6C906" w:rsidR="001F2E61" w:rsidRPr="00E573C3" w:rsidRDefault="001F2E61" w:rsidP="00654B52">
            <w:pPr>
              <w:spacing w:line="480" w:lineRule="auto"/>
              <w:rPr>
                <w:rFonts w:ascii="Times New Roman" w:eastAsia="Times New Roman" w:hAnsi="Times New Roman" w:cs="Times New Roman"/>
                <w:b/>
                <w:i/>
                <w:color w:val="000000"/>
                <w:sz w:val="24"/>
                <w:szCs w:val="24"/>
              </w:rPr>
            </w:pPr>
            <w:r w:rsidRPr="00E573C3">
              <w:rPr>
                <w:rFonts w:ascii="Times New Roman" w:eastAsia="Times New Roman" w:hAnsi="Times New Roman" w:cs="Times New Roman"/>
                <w:b/>
                <w:i/>
                <w:color w:val="000000"/>
                <w:sz w:val="24"/>
                <w:szCs w:val="24"/>
              </w:rPr>
              <w:t>Main effects</w:t>
            </w:r>
          </w:p>
        </w:tc>
        <w:tc>
          <w:tcPr>
            <w:tcW w:w="1857" w:type="dxa"/>
          </w:tcPr>
          <w:p w14:paraId="22C72108"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c>
          <w:tcPr>
            <w:tcW w:w="950" w:type="dxa"/>
          </w:tcPr>
          <w:p w14:paraId="4C4AFE95"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c>
          <w:tcPr>
            <w:tcW w:w="1857" w:type="dxa"/>
          </w:tcPr>
          <w:p w14:paraId="74156953"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c>
          <w:tcPr>
            <w:tcW w:w="947" w:type="dxa"/>
          </w:tcPr>
          <w:p w14:paraId="74769521"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c>
          <w:tcPr>
            <w:tcW w:w="1857" w:type="dxa"/>
          </w:tcPr>
          <w:p w14:paraId="0443F61F"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c>
          <w:tcPr>
            <w:tcW w:w="950" w:type="dxa"/>
            <w:tcBorders>
              <w:right w:val="nil"/>
            </w:tcBorders>
          </w:tcPr>
          <w:p w14:paraId="3E45C2BA" w14:textId="77777777" w:rsidR="001F2E61" w:rsidRPr="00E573C3" w:rsidRDefault="001F2E61" w:rsidP="00654B52">
            <w:pPr>
              <w:spacing w:line="480" w:lineRule="auto"/>
              <w:jc w:val="both"/>
              <w:rPr>
                <w:rFonts w:ascii="Times New Roman" w:eastAsia="Times New Roman" w:hAnsi="Times New Roman" w:cs="Times New Roman"/>
                <w:color w:val="000000"/>
                <w:sz w:val="24"/>
                <w:szCs w:val="24"/>
              </w:rPr>
            </w:pPr>
          </w:p>
        </w:tc>
      </w:tr>
      <w:tr w:rsidR="001F2E61" w:rsidRPr="00E573C3" w14:paraId="6B7C97C5" w14:textId="77777777" w:rsidTr="00E75638">
        <w:trPr>
          <w:trHeight w:val="645"/>
        </w:trPr>
        <w:tc>
          <w:tcPr>
            <w:tcW w:w="1660" w:type="dxa"/>
            <w:tcBorders>
              <w:left w:val="nil"/>
            </w:tcBorders>
          </w:tcPr>
          <w:p w14:paraId="2E12D561" w14:textId="4EC61D28" w:rsidR="001F2E61" w:rsidRPr="00E573C3" w:rsidRDefault="001F2E61" w:rsidP="00654B52">
            <w:pPr>
              <w:spacing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w:t>
            </w:r>
          </w:p>
        </w:tc>
        <w:tc>
          <w:tcPr>
            <w:tcW w:w="1857" w:type="dxa"/>
          </w:tcPr>
          <w:p w14:paraId="2390A97B" w14:textId="47324EDB" w:rsidR="001F2E61" w:rsidRPr="00E573C3" w:rsidRDefault="001F2E61" w:rsidP="00654B52">
            <w:pPr>
              <w:spacing w:line="480" w:lineRule="auto"/>
              <w:jc w:val="both"/>
              <w:rPr>
                <w:rFonts w:ascii="Times New Roman" w:eastAsia="Times New Roman" w:hAnsi="Times New Roman" w:cs="Times New Roman"/>
                <w:color w:val="000000"/>
                <w:sz w:val="24"/>
                <w:szCs w:val="24"/>
              </w:rPr>
            </w:pPr>
            <w:r w:rsidRPr="00E573C3">
              <w:rPr>
                <w:rFonts w:ascii="Times New Roman" w:hAnsi="Times New Roman" w:cs="Times New Roman"/>
                <w:sz w:val="24"/>
                <w:szCs w:val="24"/>
                <w:shd w:val="clear" w:color="auto" w:fill="FFFFFF"/>
              </w:rPr>
              <w:t>0.38</w:t>
            </w:r>
            <w:r w:rsidR="00F56738" w:rsidRPr="00E573C3">
              <w:rPr>
                <w:rFonts w:ascii="Times New Roman" w:hAnsi="Times New Roman" w:cs="Times New Roman"/>
                <w:sz w:val="24"/>
                <w:szCs w:val="24"/>
                <w:shd w:val="clear" w:color="auto" w:fill="FFFFFF"/>
              </w:rPr>
              <w:t>4</w:t>
            </w:r>
          </w:p>
        </w:tc>
        <w:tc>
          <w:tcPr>
            <w:tcW w:w="950" w:type="dxa"/>
          </w:tcPr>
          <w:p w14:paraId="7FC292D8" w14:textId="78BB6600" w:rsidR="001F2E61" w:rsidRPr="00E573C3" w:rsidRDefault="00F5673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8.46</w:t>
            </w:r>
          </w:p>
        </w:tc>
        <w:tc>
          <w:tcPr>
            <w:tcW w:w="1857" w:type="dxa"/>
          </w:tcPr>
          <w:p w14:paraId="66886D64" w14:textId="475F2519" w:rsidR="001F2E61" w:rsidRPr="00E573C3" w:rsidRDefault="001F2E61" w:rsidP="00654B52">
            <w:pPr>
              <w:spacing w:line="480" w:lineRule="auto"/>
              <w:jc w:val="both"/>
              <w:rPr>
                <w:rFonts w:ascii="Times New Roman" w:eastAsia="Times New Roman" w:hAnsi="Times New Roman" w:cs="Times New Roman"/>
                <w:color w:val="000000"/>
                <w:sz w:val="24"/>
                <w:szCs w:val="24"/>
              </w:rPr>
            </w:pPr>
            <w:r w:rsidRPr="00E573C3">
              <w:rPr>
                <w:rFonts w:ascii="Times New Roman" w:hAnsi="Times New Roman" w:cs="Times New Roman"/>
                <w:sz w:val="24"/>
                <w:szCs w:val="24"/>
                <w:shd w:val="clear" w:color="auto" w:fill="FFFFFF"/>
              </w:rPr>
              <w:t>0.147</w:t>
            </w:r>
          </w:p>
        </w:tc>
        <w:tc>
          <w:tcPr>
            <w:tcW w:w="947" w:type="dxa"/>
          </w:tcPr>
          <w:p w14:paraId="1AD97829" w14:textId="6DE370CD" w:rsidR="001F2E61" w:rsidRPr="00E573C3" w:rsidRDefault="00F5673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3.21</w:t>
            </w:r>
          </w:p>
        </w:tc>
        <w:tc>
          <w:tcPr>
            <w:tcW w:w="1857" w:type="dxa"/>
          </w:tcPr>
          <w:p w14:paraId="23E386C7" w14:textId="77E3B097" w:rsidR="001F2E61" w:rsidRPr="00E573C3" w:rsidRDefault="001F2E61" w:rsidP="00654B52">
            <w:pPr>
              <w:spacing w:line="480" w:lineRule="auto"/>
              <w:jc w:val="both"/>
              <w:rPr>
                <w:rFonts w:ascii="Times New Roman" w:eastAsia="Times New Roman" w:hAnsi="Times New Roman" w:cs="Times New Roman"/>
                <w:color w:val="000000"/>
                <w:sz w:val="24"/>
                <w:szCs w:val="24"/>
              </w:rPr>
            </w:pPr>
            <w:r w:rsidRPr="00E573C3">
              <w:rPr>
                <w:rFonts w:ascii="Times New Roman" w:hAnsi="Times New Roman" w:cs="Times New Roman"/>
                <w:sz w:val="24"/>
                <w:szCs w:val="24"/>
                <w:shd w:val="clear" w:color="auto" w:fill="FFFFFF"/>
              </w:rPr>
              <w:t>0.169</w:t>
            </w:r>
          </w:p>
        </w:tc>
        <w:tc>
          <w:tcPr>
            <w:tcW w:w="950" w:type="dxa"/>
            <w:tcBorders>
              <w:right w:val="nil"/>
            </w:tcBorders>
          </w:tcPr>
          <w:p w14:paraId="6AB63783" w14:textId="6016D3F8" w:rsidR="001F2E61" w:rsidRPr="00E573C3" w:rsidRDefault="00F5673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3.61</w:t>
            </w:r>
          </w:p>
        </w:tc>
      </w:tr>
      <w:tr w:rsidR="008C6C73" w:rsidRPr="00E573C3" w14:paraId="5D881129" w14:textId="77777777" w:rsidTr="00E75638">
        <w:trPr>
          <w:trHeight w:val="645"/>
        </w:trPr>
        <w:tc>
          <w:tcPr>
            <w:tcW w:w="1660" w:type="dxa"/>
            <w:tcBorders>
              <w:left w:val="nil"/>
            </w:tcBorders>
          </w:tcPr>
          <w:p w14:paraId="02D60579" w14:textId="53F83476" w:rsidR="008C6C73" w:rsidRPr="00E573C3" w:rsidRDefault="008C6C73" w:rsidP="00654B52">
            <w:pPr>
              <w:spacing w:line="480" w:lineRule="auto"/>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TMC</w:t>
            </w:r>
          </w:p>
        </w:tc>
        <w:tc>
          <w:tcPr>
            <w:tcW w:w="1857" w:type="dxa"/>
          </w:tcPr>
          <w:p w14:paraId="679C9ABE" w14:textId="726C8F54" w:rsidR="008C6C73" w:rsidRPr="00E573C3" w:rsidRDefault="006C1896"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0.323</w:t>
            </w:r>
          </w:p>
        </w:tc>
        <w:tc>
          <w:tcPr>
            <w:tcW w:w="950" w:type="dxa"/>
          </w:tcPr>
          <w:p w14:paraId="7DE9562B" w14:textId="4CDD56B5" w:rsidR="008C6C73" w:rsidRPr="00E573C3" w:rsidRDefault="006C1896"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6.38</w:t>
            </w:r>
          </w:p>
        </w:tc>
        <w:tc>
          <w:tcPr>
            <w:tcW w:w="1857" w:type="dxa"/>
          </w:tcPr>
          <w:p w14:paraId="7B9BBD15" w14:textId="2AE9E3F9" w:rsidR="008C6C73" w:rsidRPr="00E573C3" w:rsidRDefault="006C1896"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0.193</w:t>
            </w:r>
          </w:p>
        </w:tc>
        <w:tc>
          <w:tcPr>
            <w:tcW w:w="947" w:type="dxa"/>
          </w:tcPr>
          <w:p w14:paraId="20B1CC70" w14:textId="1E79D825" w:rsidR="008C6C73" w:rsidRPr="00E573C3" w:rsidRDefault="006C1896"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4.014</w:t>
            </w:r>
          </w:p>
        </w:tc>
        <w:tc>
          <w:tcPr>
            <w:tcW w:w="1857" w:type="dxa"/>
          </w:tcPr>
          <w:p w14:paraId="5FFC9743" w14:textId="52C74162" w:rsidR="008C6C73" w:rsidRPr="00E573C3" w:rsidRDefault="006C1896"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0.222</w:t>
            </w:r>
          </w:p>
        </w:tc>
        <w:tc>
          <w:tcPr>
            <w:tcW w:w="950" w:type="dxa"/>
            <w:tcBorders>
              <w:right w:val="nil"/>
            </w:tcBorders>
          </w:tcPr>
          <w:p w14:paraId="7843D67A" w14:textId="20B4BD58" w:rsidR="008C6C73" w:rsidRPr="00E573C3" w:rsidRDefault="006C1896"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4.521</w:t>
            </w:r>
          </w:p>
        </w:tc>
      </w:tr>
      <w:tr w:rsidR="007E7888" w:rsidRPr="00E573C3" w14:paraId="05D6C3A9" w14:textId="77777777" w:rsidTr="00E75638">
        <w:trPr>
          <w:trHeight w:val="645"/>
        </w:trPr>
        <w:tc>
          <w:tcPr>
            <w:tcW w:w="1660" w:type="dxa"/>
            <w:tcBorders>
              <w:left w:val="nil"/>
            </w:tcBorders>
            <w:hideMark/>
          </w:tcPr>
          <w:p w14:paraId="39B51D83" w14:textId="77777777" w:rsidR="007E7888" w:rsidRPr="00E573C3" w:rsidRDefault="007E7888" w:rsidP="00654B52">
            <w:pPr>
              <w:spacing w:line="480" w:lineRule="auto"/>
              <w:jc w:val="both"/>
              <w:rPr>
                <w:rFonts w:ascii="Times New Roman" w:eastAsia="Times New Roman" w:hAnsi="Times New Roman" w:cs="Times New Roman"/>
                <w:b/>
                <w:bCs/>
                <w:i/>
                <w:iCs/>
                <w:color w:val="000000"/>
                <w:sz w:val="24"/>
                <w:szCs w:val="24"/>
              </w:rPr>
            </w:pPr>
            <w:r w:rsidRPr="00E573C3">
              <w:rPr>
                <w:rFonts w:ascii="Times New Roman" w:eastAsia="Times New Roman" w:hAnsi="Times New Roman" w:cs="Times New Roman"/>
                <w:b/>
                <w:bCs/>
                <w:i/>
                <w:iCs/>
                <w:color w:val="000000"/>
                <w:sz w:val="24"/>
                <w:szCs w:val="24"/>
              </w:rPr>
              <w:t>Interaction effects</w:t>
            </w:r>
          </w:p>
        </w:tc>
        <w:tc>
          <w:tcPr>
            <w:tcW w:w="1857" w:type="dxa"/>
            <w:hideMark/>
          </w:tcPr>
          <w:p w14:paraId="743A06E6"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950" w:type="dxa"/>
            <w:hideMark/>
          </w:tcPr>
          <w:p w14:paraId="71279D5D"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857" w:type="dxa"/>
            <w:hideMark/>
          </w:tcPr>
          <w:p w14:paraId="17CCE3B6"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947" w:type="dxa"/>
            <w:hideMark/>
          </w:tcPr>
          <w:p w14:paraId="2A487863"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1857" w:type="dxa"/>
            <w:hideMark/>
          </w:tcPr>
          <w:p w14:paraId="393F3B71"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c>
          <w:tcPr>
            <w:tcW w:w="950" w:type="dxa"/>
            <w:tcBorders>
              <w:right w:val="nil"/>
            </w:tcBorders>
            <w:hideMark/>
          </w:tcPr>
          <w:p w14:paraId="49D830D9" w14:textId="7777777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p>
        </w:tc>
      </w:tr>
      <w:tr w:rsidR="007E7888" w:rsidRPr="00E573C3" w14:paraId="08F7EA52" w14:textId="77777777" w:rsidTr="00E75638">
        <w:trPr>
          <w:trHeight w:val="768"/>
        </w:trPr>
        <w:tc>
          <w:tcPr>
            <w:tcW w:w="1660" w:type="dxa"/>
            <w:tcBorders>
              <w:left w:val="nil"/>
            </w:tcBorders>
            <w:hideMark/>
          </w:tcPr>
          <w:p w14:paraId="1B1CE12B" w14:textId="442A2903"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SCV*TMC</w:t>
            </w:r>
          </w:p>
        </w:tc>
        <w:tc>
          <w:tcPr>
            <w:tcW w:w="1857" w:type="dxa"/>
            <w:hideMark/>
          </w:tcPr>
          <w:p w14:paraId="3DF6FFFE" w14:textId="3A8BC3D8"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CC21E0" w:rsidRPr="00E573C3">
              <w:rPr>
                <w:rFonts w:ascii="Times New Roman" w:eastAsia="Times New Roman" w:hAnsi="Times New Roman" w:cs="Times New Roman"/>
                <w:color w:val="000000"/>
                <w:sz w:val="24"/>
                <w:szCs w:val="24"/>
              </w:rPr>
              <w:t>0.11</w:t>
            </w:r>
          </w:p>
        </w:tc>
        <w:tc>
          <w:tcPr>
            <w:tcW w:w="950" w:type="dxa"/>
            <w:hideMark/>
          </w:tcPr>
          <w:p w14:paraId="47C79727" w14:textId="55F77057"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CC21E0" w:rsidRPr="00E573C3">
              <w:rPr>
                <w:rFonts w:ascii="Times New Roman" w:eastAsia="Times New Roman" w:hAnsi="Times New Roman" w:cs="Times New Roman"/>
                <w:color w:val="000000"/>
                <w:sz w:val="24"/>
                <w:szCs w:val="24"/>
              </w:rPr>
              <w:t>3.211</w:t>
            </w:r>
          </w:p>
        </w:tc>
        <w:tc>
          <w:tcPr>
            <w:tcW w:w="1857" w:type="dxa"/>
            <w:hideMark/>
          </w:tcPr>
          <w:p w14:paraId="4EFE91E0" w14:textId="249C3A3F"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180DB7" w:rsidRPr="00E573C3">
              <w:rPr>
                <w:rFonts w:ascii="Times New Roman" w:eastAsia="Times New Roman" w:hAnsi="Times New Roman" w:cs="Times New Roman"/>
                <w:color w:val="000000"/>
                <w:sz w:val="24"/>
                <w:szCs w:val="24"/>
              </w:rPr>
              <w:t>-0.192</w:t>
            </w:r>
          </w:p>
        </w:tc>
        <w:tc>
          <w:tcPr>
            <w:tcW w:w="947" w:type="dxa"/>
            <w:hideMark/>
          </w:tcPr>
          <w:p w14:paraId="172F2EFF" w14:textId="1FB5B30A"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180DB7" w:rsidRPr="00E573C3">
              <w:rPr>
                <w:rFonts w:ascii="Times New Roman" w:eastAsia="Times New Roman" w:hAnsi="Times New Roman" w:cs="Times New Roman"/>
                <w:color w:val="000000"/>
                <w:sz w:val="24"/>
                <w:szCs w:val="24"/>
              </w:rPr>
              <w:t>-2.77</w:t>
            </w:r>
          </w:p>
        </w:tc>
        <w:tc>
          <w:tcPr>
            <w:tcW w:w="1857" w:type="dxa"/>
            <w:hideMark/>
          </w:tcPr>
          <w:p w14:paraId="082AA057" w14:textId="3A28CF25"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180DB7" w:rsidRPr="00E573C3">
              <w:rPr>
                <w:rFonts w:ascii="Times New Roman" w:eastAsia="Times New Roman" w:hAnsi="Times New Roman" w:cs="Times New Roman"/>
                <w:color w:val="000000"/>
                <w:sz w:val="24"/>
                <w:szCs w:val="24"/>
              </w:rPr>
              <w:t>0.09</w:t>
            </w:r>
          </w:p>
        </w:tc>
        <w:tc>
          <w:tcPr>
            <w:tcW w:w="950" w:type="dxa"/>
            <w:tcBorders>
              <w:right w:val="nil"/>
            </w:tcBorders>
            <w:hideMark/>
          </w:tcPr>
          <w:p w14:paraId="6655E9D1" w14:textId="7003A9A0" w:rsidR="007E7888" w:rsidRPr="00E573C3" w:rsidRDefault="007E7888"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 </w:t>
            </w:r>
            <w:r w:rsidR="00180DB7" w:rsidRPr="00E573C3">
              <w:rPr>
                <w:rFonts w:ascii="Times New Roman" w:eastAsia="Times New Roman" w:hAnsi="Times New Roman" w:cs="Times New Roman"/>
                <w:color w:val="000000"/>
                <w:sz w:val="24"/>
                <w:szCs w:val="24"/>
              </w:rPr>
              <w:t>2.256</w:t>
            </w:r>
          </w:p>
        </w:tc>
      </w:tr>
      <w:tr w:rsidR="00253BD3" w:rsidRPr="00E573C3" w14:paraId="6DEC88D2" w14:textId="77777777" w:rsidTr="00E75638">
        <w:trPr>
          <w:trHeight w:val="330"/>
        </w:trPr>
        <w:tc>
          <w:tcPr>
            <w:tcW w:w="1660" w:type="dxa"/>
            <w:tcBorders>
              <w:left w:val="nil"/>
            </w:tcBorders>
            <w:hideMark/>
          </w:tcPr>
          <w:p w14:paraId="29E4F4C7" w14:textId="77777777" w:rsidR="00253BD3" w:rsidRPr="00E573C3" w:rsidRDefault="00253BD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R²</w:t>
            </w:r>
          </w:p>
        </w:tc>
        <w:tc>
          <w:tcPr>
            <w:tcW w:w="2807" w:type="dxa"/>
            <w:gridSpan w:val="2"/>
            <w:hideMark/>
          </w:tcPr>
          <w:p w14:paraId="1A1C7576" w14:textId="3A939BD5"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0.304</w:t>
            </w:r>
          </w:p>
          <w:p w14:paraId="44504492" w14:textId="4BCE0E26"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4" w:type="dxa"/>
            <w:gridSpan w:val="2"/>
            <w:hideMark/>
          </w:tcPr>
          <w:p w14:paraId="3A3F71B8" w14:textId="298082BA"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0.051</w:t>
            </w:r>
          </w:p>
          <w:p w14:paraId="4187498E" w14:textId="4223E360"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7" w:type="dxa"/>
            <w:gridSpan w:val="2"/>
            <w:tcBorders>
              <w:right w:val="nil"/>
            </w:tcBorders>
            <w:hideMark/>
          </w:tcPr>
          <w:p w14:paraId="625F3994" w14:textId="0B0A0ED1"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0.063</w:t>
            </w:r>
          </w:p>
          <w:p w14:paraId="51922043" w14:textId="1BE7206D"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r>
      <w:tr w:rsidR="00253BD3" w:rsidRPr="00E573C3" w14:paraId="19100B8F" w14:textId="77777777" w:rsidTr="00E75638">
        <w:trPr>
          <w:trHeight w:val="330"/>
        </w:trPr>
        <w:tc>
          <w:tcPr>
            <w:tcW w:w="1660" w:type="dxa"/>
            <w:tcBorders>
              <w:left w:val="nil"/>
            </w:tcBorders>
            <w:hideMark/>
          </w:tcPr>
          <w:p w14:paraId="2649E25E" w14:textId="77777777" w:rsidR="00253BD3" w:rsidRPr="00E573C3" w:rsidRDefault="00253BD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Adj R²</w:t>
            </w:r>
          </w:p>
        </w:tc>
        <w:tc>
          <w:tcPr>
            <w:tcW w:w="2807" w:type="dxa"/>
            <w:gridSpan w:val="2"/>
            <w:hideMark/>
          </w:tcPr>
          <w:p w14:paraId="3AD111DE" w14:textId="3B01A47E"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0.290</w:t>
            </w:r>
          </w:p>
          <w:p w14:paraId="29752D12" w14:textId="491043B3"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4" w:type="dxa"/>
            <w:gridSpan w:val="2"/>
            <w:hideMark/>
          </w:tcPr>
          <w:p w14:paraId="67E366F7" w14:textId="75D6B07D"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0.037</w:t>
            </w:r>
          </w:p>
          <w:p w14:paraId="60720F88" w14:textId="483DAAB7"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7" w:type="dxa"/>
            <w:gridSpan w:val="2"/>
            <w:tcBorders>
              <w:right w:val="nil"/>
            </w:tcBorders>
            <w:hideMark/>
          </w:tcPr>
          <w:p w14:paraId="130D0739" w14:textId="0CD3A76E"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0.049</w:t>
            </w:r>
          </w:p>
          <w:p w14:paraId="0485B8D2" w14:textId="2ECAD26C"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r>
      <w:tr w:rsidR="00253BD3" w:rsidRPr="00E573C3" w14:paraId="16BE97C3" w14:textId="77777777" w:rsidTr="00E75638">
        <w:trPr>
          <w:trHeight w:val="330"/>
        </w:trPr>
        <w:tc>
          <w:tcPr>
            <w:tcW w:w="1660" w:type="dxa"/>
            <w:tcBorders>
              <w:left w:val="nil"/>
            </w:tcBorders>
            <w:hideMark/>
          </w:tcPr>
          <w:p w14:paraId="17983A6E" w14:textId="77777777" w:rsidR="00253BD3" w:rsidRPr="00E573C3" w:rsidRDefault="00253BD3" w:rsidP="00654B52">
            <w:pPr>
              <w:spacing w:line="480" w:lineRule="auto"/>
              <w:jc w:val="both"/>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Model F</w:t>
            </w:r>
          </w:p>
        </w:tc>
        <w:tc>
          <w:tcPr>
            <w:tcW w:w="2807" w:type="dxa"/>
            <w:gridSpan w:val="2"/>
            <w:hideMark/>
          </w:tcPr>
          <w:p w14:paraId="17F51156" w14:textId="10020046"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21.865</w:t>
            </w:r>
          </w:p>
          <w:p w14:paraId="77FB0383" w14:textId="37D13387"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4" w:type="dxa"/>
            <w:gridSpan w:val="2"/>
            <w:hideMark/>
          </w:tcPr>
          <w:p w14:paraId="69B7CDF2" w14:textId="00CAF957"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3.489</w:t>
            </w:r>
          </w:p>
          <w:p w14:paraId="10B68FCE" w14:textId="05CC1D54"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c>
          <w:tcPr>
            <w:tcW w:w="2807" w:type="dxa"/>
            <w:gridSpan w:val="2"/>
            <w:tcBorders>
              <w:right w:val="nil"/>
            </w:tcBorders>
            <w:hideMark/>
          </w:tcPr>
          <w:p w14:paraId="0513A840" w14:textId="35F73A33" w:rsidR="00253BD3" w:rsidRPr="00E573C3" w:rsidRDefault="00253BD3" w:rsidP="00654B52">
            <w:pPr>
              <w:spacing w:line="480" w:lineRule="auto"/>
              <w:jc w:val="center"/>
              <w:rPr>
                <w:rFonts w:ascii="Times New Roman" w:eastAsia="Times New Roman" w:hAnsi="Times New Roman" w:cs="Times New Roman"/>
                <w:color w:val="000000"/>
                <w:sz w:val="24"/>
                <w:szCs w:val="24"/>
              </w:rPr>
            </w:pPr>
            <w:r w:rsidRPr="00E573C3">
              <w:rPr>
                <w:rFonts w:ascii="Times New Roman" w:eastAsia="Times New Roman" w:hAnsi="Times New Roman" w:cs="Times New Roman"/>
                <w:color w:val="000000"/>
                <w:sz w:val="24"/>
                <w:szCs w:val="24"/>
              </w:rPr>
              <w:t>4.743</w:t>
            </w:r>
          </w:p>
          <w:p w14:paraId="0C118240" w14:textId="68807C82" w:rsidR="00253BD3" w:rsidRPr="00E573C3" w:rsidRDefault="00253BD3" w:rsidP="00654B52">
            <w:pPr>
              <w:spacing w:line="480" w:lineRule="auto"/>
              <w:jc w:val="center"/>
              <w:rPr>
                <w:rFonts w:ascii="Times New Roman" w:eastAsia="Times New Roman" w:hAnsi="Times New Roman" w:cs="Times New Roman"/>
                <w:color w:val="000000"/>
                <w:sz w:val="24"/>
                <w:szCs w:val="24"/>
              </w:rPr>
            </w:pPr>
          </w:p>
        </w:tc>
      </w:tr>
    </w:tbl>
    <w:p w14:paraId="69504050" w14:textId="77777777" w:rsidR="00B7685C" w:rsidRPr="00E573C3" w:rsidRDefault="00B7685C" w:rsidP="00654B52">
      <w:pPr>
        <w:spacing w:after="120" w:line="480" w:lineRule="auto"/>
        <w:jc w:val="both"/>
        <w:rPr>
          <w:rFonts w:ascii="Times New Roman" w:hAnsi="Times New Roman" w:cs="Times New Roman"/>
          <w:b/>
          <w:sz w:val="24"/>
          <w:szCs w:val="24"/>
          <w:shd w:val="clear" w:color="auto" w:fill="FFFFFF"/>
        </w:rPr>
      </w:pPr>
    </w:p>
    <w:p w14:paraId="382661DD" w14:textId="77777777" w:rsidR="00623AB7" w:rsidRDefault="00623AB7" w:rsidP="00654B52">
      <w:pPr>
        <w:spacing w:after="120" w:line="480" w:lineRule="auto"/>
        <w:jc w:val="both"/>
        <w:rPr>
          <w:rFonts w:ascii="Times New Roman" w:hAnsi="Times New Roman" w:cs="Times New Roman"/>
          <w:b/>
          <w:sz w:val="24"/>
          <w:szCs w:val="24"/>
          <w:shd w:val="clear" w:color="auto" w:fill="FFFFFF"/>
        </w:rPr>
      </w:pPr>
    </w:p>
    <w:p w14:paraId="48C95FFB" w14:textId="77777777" w:rsidR="00623AB7" w:rsidRDefault="00623AB7" w:rsidP="00654B52">
      <w:pPr>
        <w:spacing w:after="120" w:line="480" w:lineRule="auto"/>
        <w:jc w:val="both"/>
        <w:rPr>
          <w:rFonts w:ascii="Times New Roman" w:hAnsi="Times New Roman" w:cs="Times New Roman"/>
          <w:b/>
          <w:sz w:val="24"/>
          <w:szCs w:val="24"/>
          <w:shd w:val="clear" w:color="auto" w:fill="FFFFFF"/>
        </w:rPr>
      </w:pPr>
    </w:p>
    <w:p w14:paraId="20D50A52" w14:textId="77777777" w:rsidR="00623AB7" w:rsidRDefault="00623AB7" w:rsidP="00654B52">
      <w:pPr>
        <w:spacing w:after="120" w:line="480" w:lineRule="auto"/>
        <w:jc w:val="both"/>
        <w:rPr>
          <w:rFonts w:ascii="Times New Roman" w:hAnsi="Times New Roman" w:cs="Times New Roman"/>
          <w:b/>
          <w:sz w:val="24"/>
          <w:szCs w:val="24"/>
          <w:shd w:val="clear" w:color="auto" w:fill="FFFFFF"/>
        </w:rPr>
      </w:pPr>
    </w:p>
    <w:p w14:paraId="15CC59E4" w14:textId="7DC8F111" w:rsidR="00353BC6" w:rsidRPr="00E573C3" w:rsidRDefault="00B7685C" w:rsidP="00654B52">
      <w:pPr>
        <w:spacing w:after="120" w:line="480" w:lineRule="auto"/>
        <w:jc w:val="both"/>
        <w:rPr>
          <w:rFonts w:ascii="Times New Roman" w:hAnsi="Times New Roman" w:cs="Times New Roman"/>
          <w:b/>
          <w:sz w:val="24"/>
          <w:szCs w:val="24"/>
          <w:shd w:val="clear" w:color="auto" w:fill="FFFFFF"/>
        </w:rPr>
      </w:pPr>
      <w:r w:rsidRPr="00E573C3">
        <w:rPr>
          <w:rFonts w:ascii="Times New Roman" w:hAnsi="Times New Roman" w:cs="Times New Roman"/>
          <w:b/>
          <w:sz w:val="24"/>
          <w:szCs w:val="24"/>
          <w:shd w:val="clear" w:color="auto" w:fill="FFFFFF"/>
        </w:rPr>
        <w:t xml:space="preserve"> </w:t>
      </w:r>
      <w:r w:rsidR="00F37F88" w:rsidRPr="00E573C3">
        <w:rPr>
          <w:rFonts w:ascii="Times New Roman" w:hAnsi="Times New Roman" w:cs="Times New Roman"/>
          <w:b/>
          <w:sz w:val="24"/>
          <w:szCs w:val="24"/>
          <w:shd w:val="clear" w:color="auto" w:fill="FFFFFF"/>
        </w:rPr>
        <w:t xml:space="preserve">5. </w:t>
      </w:r>
      <w:r w:rsidR="003478AE" w:rsidRPr="00E573C3">
        <w:rPr>
          <w:rFonts w:ascii="Times New Roman" w:hAnsi="Times New Roman" w:cs="Times New Roman"/>
          <w:b/>
          <w:sz w:val="24"/>
          <w:szCs w:val="24"/>
          <w:shd w:val="clear" w:color="auto" w:fill="FFFFFF"/>
        </w:rPr>
        <w:t>DISCUSSION</w:t>
      </w:r>
    </w:p>
    <w:p w14:paraId="5BA1334D" w14:textId="1E881A95" w:rsidR="006833D2" w:rsidRPr="00E573C3" w:rsidRDefault="00F37F88" w:rsidP="00654B52">
      <w:pPr>
        <w:spacing w:after="120" w:line="480" w:lineRule="auto"/>
        <w:jc w:val="both"/>
        <w:rPr>
          <w:rFonts w:ascii="Times New Roman" w:hAnsi="Times New Roman" w:cs="Times New Roman"/>
          <w:b/>
          <w:i/>
          <w:sz w:val="24"/>
          <w:szCs w:val="24"/>
          <w:shd w:val="clear" w:color="auto" w:fill="FFFFFF"/>
        </w:rPr>
      </w:pPr>
      <w:r w:rsidRPr="00E573C3">
        <w:rPr>
          <w:rFonts w:ascii="Times New Roman" w:hAnsi="Times New Roman" w:cs="Times New Roman"/>
          <w:b/>
          <w:i/>
          <w:sz w:val="24"/>
          <w:szCs w:val="24"/>
          <w:shd w:val="clear" w:color="auto" w:fill="FFFFFF"/>
        </w:rPr>
        <w:t xml:space="preserve">5.1 </w:t>
      </w:r>
      <w:r w:rsidR="006833D2" w:rsidRPr="00E573C3">
        <w:rPr>
          <w:rFonts w:ascii="Times New Roman" w:hAnsi="Times New Roman" w:cs="Times New Roman"/>
          <w:b/>
          <w:i/>
          <w:sz w:val="24"/>
          <w:szCs w:val="24"/>
          <w:shd w:val="clear" w:color="auto" w:fill="FFFFFF"/>
        </w:rPr>
        <w:t>Theoretical Implications</w:t>
      </w:r>
    </w:p>
    <w:p w14:paraId="795E7945" w14:textId="051AA555" w:rsidR="00171B24" w:rsidRPr="00E573C3" w:rsidRDefault="00C94946" w:rsidP="00654B52">
      <w:pPr>
        <w:spacing w:line="480" w:lineRule="auto"/>
        <w:jc w:val="both"/>
        <w:rPr>
          <w:rFonts w:ascii="Times New Roman" w:hAnsi="Times New Roman" w:cs="Times New Roman"/>
          <w:sz w:val="24"/>
          <w:szCs w:val="24"/>
          <w:shd w:val="clear" w:color="auto" w:fill="FFFFFF"/>
        </w:rPr>
      </w:pPr>
      <w:r w:rsidRPr="00E573C3">
        <w:rPr>
          <w:rFonts w:ascii="Times New Roman" w:hAnsi="Times New Roman" w:cs="Times New Roman"/>
          <w:sz w:val="24"/>
          <w:szCs w:val="24"/>
          <w:shd w:val="clear" w:color="auto" w:fill="FFFFFF"/>
        </w:rPr>
        <w:t>W</w:t>
      </w:r>
      <w:r w:rsidR="00DD67E9" w:rsidRPr="00E573C3">
        <w:rPr>
          <w:rFonts w:ascii="Times New Roman" w:hAnsi="Times New Roman" w:cs="Times New Roman"/>
          <w:sz w:val="24"/>
          <w:szCs w:val="24"/>
          <w:shd w:val="clear" w:color="auto" w:fill="FFFFFF"/>
        </w:rPr>
        <w:t xml:space="preserve">e investigated how </w:t>
      </w:r>
      <w:r w:rsidR="00630D03" w:rsidRPr="00E573C3">
        <w:rPr>
          <w:rFonts w:ascii="Times New Roman" w:hAnsi="Times New Roman" w:cs="Times New Roman"/>
          <w:sz w:val="24"/>
          <w:szCs w:val="24"/>
          <w:shd w:val="clear" w:color="auto" w:fill="FFFFFF"/>
        </w:rPr>
        <w:t xml:space="preserve">supply chain </w:t>
      </w:r>
      <w:r w:rsidR="00DD67E9" w:rsidRPr="00E573C3">
        <w:rPr>
          <w:rFonts w:ascii="Times New Roman" w:hAnsi="Times New Roman" w:cs="Times New Roman"/>
          <w:sz w:val="24"/>
          <w:szCs w:val="24"/>
          <w:shd w:val="clear" w:color="auto" w:fill="FFFFFF"/>
        </w:rPr>
        <w:t>agility, adaptability and alignment</w:t>
      </w:r>
      <w:r w:rsidR="00C60BF8" w:rsidRPr="00E573C3">
        <w:rPr>
          <w:rFonts w:ascii="Times New Roman" w:hAnsi="Times New Roman" w:cs="Times New Roman"/>
          <w:sz w:val="24"/>
          <w:szCs w:val="24"/>
          <w:shd w:val="clear" w:color="auto" w:fill="FFFFFF"/>
        </w:rPr>
        <w:t xml:space="preserve"> </w:t>
      </w:r>
      <w:r w:rsidR="00DD67E9" w:rsidRPr="00E573C3">
        <w:rPr>
          <w:rFonts w:ascii="Times New Roman" w:hAnsi="Times New Roman" w:cs="Times New Roman"/>
          <w:sz w:val="24"/>
          <w:szCs w:val="24"/>
          <w:shd w:val="clear" w:color="auto" w:fill="FFFFFF"/>
        </w:rPr>
        <w:t>are created</w:t>
      </w:r>
      <w:r w:rsidR="00C60BF8" w:rsidRPr="00E573C3">
        <w:rPr>
          <w:rFonts w:ascii="Times New Roman" w:hAnsi="Times New Roman" w:cs="Times New Roman"/>
          <w:sz w:val="24"/>
          <w:szCs w:val="24"/>
          <w:shd w:val="clear" w:color="auto" w:fill="FFFFFF"/>
        </w:rPr>
        <w:t xml:space="preserve"> through supply chain visibility</w:t>
      </w:r>
      <w:r w:rsidR="008250DD" w:rsidRPr="00E573C3">
        <w:rPr>
          <w:rFonts w:ascii="Times New Roman" w:hAnsi="Times New Roman" w:cs="Times New Roman"/>
          <w:sz w:val="24"/>
          <w:szCs w:val="24"/>
          <w:shd w:val="clear" w:color="auto" w:fill="FFFFFF"/>
        </w:rPr>
        <w:t>,</w:t>
      </w:r>
      <w:r w:rsidR="00C60BF8" w:rsidRPr="00E573C3">
        <w:rPr>
          <w:rFonts w:ascii="Times New Roman" w:hAnsi="Times New Roman" w:cs="Times New Roman"/>
          <w:sz w:val="24"/>
          <w:szCs w:val="24"/>
          <w:shd w:val="clear" w:color="auto" w:fill="FFFFFF"/>
        </w:rPr>
        <w:t xml:space="preserve"> built </w:t>
      </w:r>
      <w:r w:rsidR="008250DD" w:rsidRPr="00E573C3">
        <w:rPr>
          <w:rFonts w:ascii="Times New Roman" w:hAnsi="Times New Roman" w:cs="Times New Roman"/>
          <w:sz w:val="24"/>
          <w:szCs w:val="24"/>
          <w:shd w:val="clear" w:color="auto" w:fill="FFFFFF"/>
        </w:rPr>
        <w:t xml:space="preserve">by </w:t>
      </w:r>
      <w:r w:rsidR="00DD67E9" w:rsidRPr="00E573C3">
        <w:rPr>
          <w:rFonts w:ascii="Times New Roman" w:hAnsi="Times New Roman" w:cs="Times New Roman"/>
          <w:sz w:val="24"/>
          <w:szCs w:val="24"/>
          <w:shd w:val="clear" w:color="auto" w:fill="FFFFFF"/>
        </w:rPr>
        <w:t>resources (i.e. supply chain connectivity and information sharing)</w:t>
      </w:r>
      <w:r w:rsidR="00FE7ABB" w:rsidRPr="00E573C3">
        <w:rPr>
          <w:rFonts w:ascii="Times New Roman" w:hAnsi="Times New Roman" w:cs="Times New Roman"/>
          <w:sz w:val="24"/>
          <w:szCs w:val="24"/>
          <w:shd w:val="clear" w:color="auto" w:fill="FFFFFF"/>
        </w:rPr>
        <w:t>.</w:t>
      </w:r>
    </w:p>
    <w:p w14:paraId="6363E7EB" w14:textId="7E0A02C9" w:rsidR="009751AF" w:rsidRPr="00216722" w:rsidRDefault="00C057B2" w:rsidP="009751AF">
      <w:pPr>
        <w:spacing w:line="480" w:lineRule="auto"/>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Our first </w:t>
      </w:r>
      <w:r w:rsidR="00171B24" w:rsidRPr="00216722">
        <w:rPr>
          <w:rFonts w:ascii="Times New Roman" w:hAnsi="Times New Roman" w:cs="Times New Roman"/>
          <w:sz w:val="24"/>
          <w:szCs w:val="24"/>
          <w:shd w:val="clear" w:color="auto" w:fill="FFFFFF"/>
        </w:rPr>
        <w:t>contribution lies in</w:t>
      </w:r>
      <w:r w:rsidR="00F55E46" w:rsidRPr="00216722">
        <w:rPr>
          <w:rFonts w:ascii="Times New Roman" w:hAnsi="Times New Roman" w:cs="Times New Roman"/>
          <w:sz w:val="24"/>
          <w:szCs w:val="24"/>
          <w:shd w:val="clear" w:color="auto" w:fill="FFFFFF"/>
        </w:rPr>
        <w:t xml:space="preserve"> proposing and validating a model that explains supply chain visibility in creating supply chain agility, adaptability and alignment (see Barratt, 2004; Barratt and Oke, 2007; Cao and Zhang, 2011; Brandon-Jones et al. 2014).</w:t>
      </w:r>
      <w:r w:rsidR="00274597" w:rsidRPr="00216722">
        <w:rPr>
          <w:rFonts w:ascii="Times New Roman" w:hAnsi="Times New Roman" w:cs="Times New Roman"/>
          <w:sz w:val="24"/>
          <w:szCs w:val="24"/>
          <w:shd w:val="clear" w:color="auto" w:fill="FFFFFF"/>
        </w:rPr>
        <w:t xml:space="preserve"> </w:t>
      </w:r>
      <w:r w:rsidR="009751AF" w:rsidRPr="00216722">
        <w:rPr>
          <w:rFonts w:ascii="Times New Roman" w:hAnsi="Times New Roman" w:cs="Times New Roman"/>
          <w:sz w:val="24"/>
          <w:szCs w:val="24"/>
          <w:shd w:val="clear" w:color="auto" w:fill="FFFFFF"/>
        </w:rPr>
        <w:t xml:space="preserve">Apart from Whitten et al. (2012), scholars have either focused on supply chain agility or </w:t>
      </w:r>
      <w:r w:rsidR="007E421A" w:rsidRPr="00216722">
        <w:rPr>
          <w:rFonts w:ascii="Times New Roman" w:hAnsi="Times New Roman" w:cs="Times New Roman"/>
          <w:sz w:val="24"/>
          <w:szCs w:val="24"/>
          <w:shd w:val="clear" w:color="auto" w:fill="FFFFFF"/>
        </w:rPr>
        <w:t xml:space="preserve">on </w:t>
      </w:r>
      <w:r w:rsidR="009751AF" w:rsidRPr="00216722">
        <w:rPr>
          <w:rFonts w:ascii="Times New Roman" w:hAnsi="Times New Roman" w:cs="Times New Roman"/>
          <w:sz w:val="24"/>
          <w:szCs w:val="24"/>
          <w:shd w:val="clear" w:color="auto" w:fill="FFFFFF"/>
        </w:rPr>
        <w:t xml:space="preserve">supply chain agility and adaptability in combination but not on supply chain alignment. </w:t>
      </w:r>
      <w:r w:rsidR="00714263" w:rsidRPr="00216722">
        <w:rPr>
          <w:rFonts w:ascii="Times New Roman" w:hAnsi="Times New Roman" w:cs="Times New Roman"/>
          <w:sz w:val="24"/>
          <w:szCs w:val="24"/>
          <w:shd w:val="clear" w:color="auto" w:fill="FFFFFF"/>
        </w:rPr>
        <w:t xml:space="preserve">Furthermore, recent studies have empirically examined the impact of visibility </w:t>
      </w:r>
      <w:r w:rsidR="005F1D84" w:rsidRPr="00216722">
        <w:rPr>
          <w:rFonts w:ascii="Times New Roman" w:hAnsi="Times New Roman" w:cs="Times New Roman"/>
          <w:sz w:val="24"/>
          <w:szCs w:val="24"/>
          <w:shd w:val="clear" w:color="auto" w:fill="FFFFFF"/>
        </w:rPr>
        <w:t>o</w:t>
      </w:r>
      <w:r w:rsidR="00714263" w:rsidRPr="00216722">
        <w:rPr>
          <w:rFonts w:ascii="Times New Roman" w:hAnsi="Times New Roman" w:cs="Times New Roman"/>
          <w:sz w:val="24"/>
          <w:szCs w:val="24"/>
          <w:shd w:val="clear" w:color="auto" w:fill="FFFFFF"/>
        </w:rPr>
        <w:t>n supply chain relationships, resource sharing</w:t>
      </w:r>
      <w:r w:rsidR="00D76647" w:rsidRPr="00216722">
        <w:rPr>
          <w:rFonts w:ascii="Times New Roman" w:hAnsi="Times New Roman" w:cs="Times New Roman"/>
          <w:sz w:val="24"/>
          <w:szCs w:val="24"/>
          <w:shd w:val="clear" w:color="auto" w:fill="FFFFFF"/>
        </w:rPr>
        <w:t>,</w:t>
      </w:r>
      <w:r w:rsidR="00714263" w:rsidRPr="00216722">
        <w:rPr>
          <w:rFonts w:ascii="Times New Roman" w:hAnsi="Times New Roman" w:cs="Times New Roman"/>
          <w:sz w:val="24"/>
          <w:szCs w:val="24"/>
          <w:shd w:val="clear" w:color="auto" w:fill="FFFFFF"/>
        </w:rPr>
        <w:t xml:space="preserve"> the performance of humanitarian organizations (Maghsoudi and Pazirandeh, 2016) or on supply chain resilience and robustness (Brandon-Jones et al., 2014)</w:t>
      </w:r>
      <w:r w:rsidR="0031222F" w:rsidRPr="00216722">
        <w:rPr>
          <w:rFonts w:ascii="Times New Roman" w:hAnsi="Times New Roman" w:cs="Times New Roman"/>
          <w:sz w:val="24"/>
          <w:szCs w:val="24"/>
          <w:shd w:val="clear" w:color="auto" w:fill="FFFFFF"/>
        </w:rPr>
        <w:t>,</w:t>
      </w:r>
      <w:r w:rsidR="00714263" w:rsidRPr="00216722">
        <w:rPr>
          <w:rFonts w:ascii="Times New Roman" w:hAnsi="Times New Roman" w:cs="Times New Roman"/>
          <w:sz w:val="24"/>
          <w:szCs w:val="24"/>
          <w:shd w:val="clear" w:color="auto" w:fill="FFFFFF"/>
        </w:rPr>
        <w:t xml:space="preserve"> </w:t>
      </w:r>
      <w:r w:rsidR="00E234DC" w:rsidRPr="00216722">
        <w:rPr>
          <w:rFonts w:ascii="Times New Roman" w:hAnsi="Times New Roman" w:cs="Times New Roman"/>
          <w:sz w:val="24"/>
          <w:szCs w:val="24"/>
          <w:shd w:val="clear" w:color="auto" w:fill="FFFFFF"/>
        </w:rPr>
        <w:t xml:space="preserve">but not on agility, adaptability, and alignment. </w:t>
      </w:r>
      <w:r w:rsidR="008360A2" w:rsidRPr="00216722">
        <w:rPr>
          <w:rFonts w:ascii="Times New Roman" w:hAnsi="Times New Roman" w:cs="Times New Roman"/>
          <w:sz w:val="24"/>
          <w:szCs w:val="24"/>
          <w:shd w:val="clear" w:color="auto" w:fill="FFFFFF"/>
        </w:rPr>
        <w:t>Whitten et al. (2012), argue</w:t>
      </w:r>
      <w:r w:rsidR="00B36CB3" w:rsidRPr="00216722">
        <w:rPr>
          <w:rFonts w:ascii="Times New Roman" w:hAnsi="Times New Roman" w:cs="Times New Roman"/>
          <w:sz w:val="24"/>
          <w:szCs w:val="24"/>
          <w:shd w:val="clear" w:color="auto" w:fill="FFFFFF"/>
        </w:rPr>
        <w:t xml:space="preserve"> that how SCAAA helps to enhance supply chain performance and organizational performance. However, we further extend the Whitten et al. (2012), study by arguing using RBV logic </w:t>
      </w:r>
      <w:r w:rsidR="00594C60" w:rsidRPr="00216722">
        <w:rPr>
          <w:rFonts w:ascii="Times New Roman" w:hAnsi="Times New Roman" w:cs="Times New Roman"/>
          <w:sz w:val="24"/>
          <w:szCs w:val="24"/>
          <w:shd w:val="clear" w:color="auto" w:fill="FFFFFF"/>
        </w:rPr>
        <w:t xml:space="preserve">that </w:t>
      </w:r>
      <w:r w:rsidR="00B36CB3" w:rsidRPr="00216722">
        <w:rPr>
          <w:rFonts w:ascii="Times New Roman" w:hAnsi="Times New Roman" w:cs="Times New Roman"/>
          <w:sz w:val="24"/>
          <w:szCs w:val="24"/>
          <w:shd w:val="clear" w:color="auto" w:fill="FFFFFF"/>
        </w:rPr>
        <w:t>what are the antecedents of SCAAA and how TMC further addresses the limitations of the RBV logic noted by previous scholars to strengthen our claim. Hence</w:t>
      </w:r>
      <w:r w:rsidR="0010574B" w:rsidRPr="00216722">
        <w:rPr>
          <w:rFonts w:ascii="Times New Roman" w:hAnsi="Times New Roman" w:cs="Times New Roman"/>
          <w:sz w:val="24"/>
          <w:szCs w:val="24"/>
          <w:shd w:val="clear" w:color="auto" w:fill="FFFFFF"/>
        </w:rPr>
        <w:t>, o</w:t>
      </w:r>
      <w:r w:rsidR="00AF06FD" w:rsidRPr="00216722">
        <w:rPr>
          <w:rFonts w:ascii="Times New Roman" w:hAnsi="Times New Roman" w:cs="Times New Roman"/>
          <w:sz w:val="24"/>
          <w:szCs w:val="24"/>
          <w:shd w:val="clear" w:color="auto" w:fill="FFFFFF"/>
        </w:rPr>
        <w:t>ur study suggests</w:t>
      </w:r>
      <w:r w:rsidR="007E567B" w:rsidRPr="00216722">
        <w:rPr>
          <w:rFonts w:ascii="Times New Roman" w:hAnsi="Times New Roman" w:cs="Times New Roman"/>
          <w:sz w:val="24"/>
          <w:szCs w:val="24"/>
          <w:shd w:val="clear" w:color="auto" w:fill="FFFFFF"/>
        </w:rPr>
        <w:t xml:space="preserve"> </w:t>
      </w:r>
      <w:r w:rsidR="0055296F" w:rsidRPr="00216722">
        <w:rPr>
          <w:rFonts w:ascii="Times New Roman" w:hAnsi="Times New Roman" w:cs="Times New Roman"/>
          <w:sz w:val="24"/>
          <w:szCs w:val="24"/>
          <w:shd w:val="clear" w:color="auto" w:fill="FFFFFF"/>
        </w:rPr>
        <w:t xml:space="preserve">a significant positive relationship between supply chain visibility and agility, adaptability and alignment, thereby extending the literature </w:t>
      </w:r>
      <w:r w:rsidR="00D76647" w:rsidRPr="00216722">
        <w:rPr>
          <w:rFonts w:ascii="Times New Roman" w:hAnsi="Times New Roman" w:cs="Times New Roman"/>
          <w:sz w:val="24"/>
          <w:szCs w:val="24"/>
          <w:shd w:val="clear" w:color="auto" w:fill="FFFFFF"/>
        </w:rPr>
        <w:t>o</w:t>
      </w:r>
      <w:r w:rsidR="0055296F" w:rsidRPr="00216722">
        <w:rPr>
          <w:rFonts w:ascii="Times New Roman" w:hAnsi="Times New Roman" w:cs="Times New Roman"/>
          <w:sz w:val="24"/>
          <w:szCs w:val="24"/>
          <w:shd w:val="clear" w:color="auto" w:fill="FFFFFF"/>
        </w:rPr>
        <w:t>n SCAAA</w:t>
      </w:r>
      <w:r w:rsidR="00373D4F" w:rsidRPr="00216722">
        <w:rPr>
          <w:rFonts w:ascii="Times New Roman" w:hAnsi="Times New Roman" w:cs="Times New Roman"/>
          <w:sz w:val="24"/>
          <w:szCs w:val="24"/>
          <w:shd w:val="clear" w:color="auto" w:fill="FFFFFF"/>
        </w:rPr>
        <w:t xml:space="preserve"> (</w:t>
      </w:r>
      <w:r w:rsidR="00F80EEA" w:rsidRPr="00216722">
        <w:rPr>
          <w:rFonts w:ascii="Times New Roman" w:hAnsi="Times New Roman" w:cs="Times New Roman"/>
          <w:sz w:val="24"/>
          <w:szCs w:val="24"/>
          <w:shd w:val="clear" w:color="auto" w:fill="FFFFFF"/>
        </w:rPr>
        <w:t xml:space="preserve">Lee, 2004; </w:t>
      </w:r>
      <w:r w:rsidR="00373D4F" w:rsidRPr="00216722">
        <w:rPr>
          <w:rFonts w:ascii="Times New Roman" w:hAnsi="Times New Roman" w:cs="Times New Roman"/>
          <w:sz w:val="24"/>
          <w:szCs w:val="24"/>
          <w:shd w:val="clear" w:color="auto" w:fill="FFFFFF"/>
        </w:rPr>
        <w:t>Whitten et al., 2012; Eckstein et al., 2015; Gligor et al., 2016)</w:t>
      </w:r>
      <w:r w:rsidR="0055296F" w:rsidRPr="00216722">
        <w:rPr>
          <w:rFonts w:ascii="Times New Roman" w:hAnsi="Times New Roman" w:cs="Times New Roman"/>
          <w:sz w:val="24"/>
          <w:szCs w:val="24"/>
          <w:shd w:val="clear" w:color="auto" w:fill="FFFFFF"/>
        </w:rPr>
        <w:t>.</w:t>
      </w:r>
      <w:r w:rsidR="00520139" w:rsidRPr="00216722">
        <w:rPr>
          <w:rFonts w:ascii="Times New Roman" w:hAnsi="Times New Roman" w:cs="Times New Roman"/>
          <w:sz w:val="24"/>
          <w:szCs w:val="24"/>
          <w:shd w:val="clear" w:color="auto" w:fill="FFFFFF"/>
        </w:rPr>
        <w:t xml:space="preserve"> </w:t>
      </w:r>
    </w:p>
    <w:p w14:paraId="242BC480" w14:textId="69C92E85" w:rsidR="00417CA4" w:rsidRPr="00216722" w:rsidRDefault="002605F1">
      <w:pPr>
        <w:spacing w:line="480" w:lineRule="auto"/>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Our second contribution lies in </w:t>
      </w:r>
      <w:r w:rsidR="00EA58B6" w:rsidRPr="00216722">
        <w:rPr>
          <w:rFonts w:ascii="Times New Roman" w:hAnsi="Times New Roman" w:cs="Times New Roman"/>
          <w:sz w:val="24"/>
          <w:szCs w:val="24"/>
          <w:shd w:val="clear" w:color="auto" w:fill="FFFFFF"/>
        </w:rPr>
        <w:t xml:space="preserve">using RBV </w:t>
      </w:r>
      <w:r w:rsidR="001D72C4" w:rsidRPr="00216722">
        <w:rPr>
          <w:rFonts w:ascii="Times New Roman" w:hAnsi="Times New Roman" w:cs="Times New Roman"/>
          <w:sz w:val="24"/>
          <w:szCs w:val="24"/>
          <w:shd w:val="clear" w:color="auto" w:fill="FFFFFF"/>
        </w:rPr>
        <w:t xml:space="preserve">and the moderating effect of </w:t>
      </w:r>
      <w:r w:rsidRPr="00216722">
        <w:rPr>
          <w:rFonts w:ascii="Times New Roman" w:hAnsi="Times New Roman" w:cs="Times New Roman"/>
          <w:sz w:val="24"/>
          <w:szCs w:val="24"/>
          <w:shd w:val="clear" w:color="auto" w:fill="FFFFFF"/>
        </w:rPr>
        <w:t xml:space="preserve">TMC in explaining how supply chain visibility </w:t>
      </w:r>
      <w:r w:rsidR="005B0AD5" w:rsidRPr="00216722">
        <w:rPr>
          <w:rFonts w:ascii="Times New Roman" w:hAnsi="Times New Roman" w:cs="Times New Roman"/>
          <w:sz w:val="24"/>
          <w:szCs w:val="24"/>
          <w:shd w:val="clear" w:color="auto" w:fill="FFFFFF"/>
        </w:rPr>
        <w:t>and the creation of</w:t>
      </w:r>
      <w:r w:rsidRPr="00216722">
        <w:rPr>
          <w:rFonts w:ascii="Times New Roman" w:hAnsi="Times New Roman" w:cs="Times New Roman"/>
          <w:sz w:val="24"/>
          <w:szCs w:val="24"/>
          <w:shd w:val="clear" w:color="auto" w:fill="FFFFFF"/>
        </w:rPr>
        <w:t xml:space="preserve"> supply chain agility, adaptability and alignment. In O&amp;SCM literature, scholars have used RBV (Barney, 1991; Wernerfelt, 1984) </w:t>
      </w:r>
      <w:r w:rsidR="00E121E4" w:rsidRPr="00216722">
        <w:rPr>
          <w:rFonts w:ascii="Times New Roman" w:hAnsi="Times New Roman" w:cs="Times New Roman"/>
          <w:sz w:val="24"/>
          <w:szCs w:val="24"/>
          <w:shd w:val="clear" w:color="auto" w:fill="FFFFFF"/>
        </w:rPr>
        <w:t>and its extensions of the dynamic capability view (</w:t>
      </w:r>
      <w:r w:rsidR="00BB0C5D" w:rsidRPr="00216722">
        <w:rPr>
          <w:rFonts w:ascii="Times New Roman" w:hAnsi="Times New Roman" w:cs="Times New Roman"/>
          <w:sz w:val="24"/>
          <w:szCs w:val="24"/>
          <w:shd w:val="clear" w:color="auto" w:fill="FFFFFF"/>
        </w:rPr>
        <w:t>Teece et al., 1997</w:t>
      </w:r>
      <w:r w:rsidR="00E121E4" w:rsidRPr="00216722">
        <w:rPr>
          <w:rFonts w:ascii="Times New Roman" w:hAnsi="Times New Roman" w:cs="Times New Roman"/>
          <w:sz w:val="24"/>
          <w:szCs w:val="24"/>
          <w:shd w:val="clear" w:color="auto" w:fill="FFFFFF"/>
        </w:rPr>
        <w:t>) or the contingent resource based view (</w:t>
      </w:r>
      <w:r w:rsidR="00C479C3" w:rsidRPr="00216722">
        <w:rPr>
          <w:rFonts w:ascii="Times New Roman" w:hAnsi="Times New Roman" w:cs="Times New Roman"/>
          <w:sz w:val="24"/>
          <w:szCs w:val="24"/>
          <w:shd w:val="clear" w:color="auto" w:fill="FFFFFF"/>
        </w:rPr>
        <w:t>Aragon-Correa and Sharma, 2003</w:t>
      </w:r>
      <w:r w:rsidR="00E121E4"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 xml:space="preserve">to investigate supply chain agility (Blome et al. 2013; Gligor et al. 2015), the combined effect of supply chain agility and adaptability (Eckstein et al. 2015), and supply chain visibility as a capability on supply chain properties such as agility (Brusset, 2016), and resilience and robustness (Brandon-Jones et al. 2014). Still, these RBV </w:t>
      </w:r>
      <w:r w:rsidR="00C479C3" w:rsidRPr="00216722">
        <w:rPr>
          <w:rFonts w:ascii="Times New Roman" w:hAnsi="Times New Roman" w:cs="Times New Roman"/>
          <w:sz w:val="24"/>
          <w:szCs w:val="24"/>
          <w:shd w:val="clear" w:color="auto" w:fill="FFFFFF"/>
        </w:rPr>
        <w:t xml:space="preserve">extensions </w:t>
      </w:r>
      <w:r w:rsidRPr="00216722">
        <w:rPr>
          <w:rFonts w:ascii="Times New Roman" w:hAnsi="Times New Roman" w:cs="Times New Roman"/>
          <w:sz w:val="24"/>
          <w:szCs w:val="24"/>
          <w:shd w:val="clear" w:color="auto" w:fill="FFFFFF"/>
        </w:rPr>
        <w:t>have their own limitations (Ketokivi, 2016; Bromiley and Rau, 2016), in that they do not acknowledge the role of TMC in configuring resources and achieving competitive advantage (Morgan et al., 2007; Augier and Teece, 2009).</w:t>
      </w:r>
      <w:r w:rsidR="002F163E" w:rsidRPr="00216722">
        <w:rPr>
          <w:rFonts w:ascii="Times New Roman" w:hAnsi="Times New Roman" w:cs="Times New Roman"/>
          <w:sz w:val="24"/>
          <w:szCs w:val="24"/>
          <w:shd w:val="clear" w:color="auto" w:fill="FFFFFF"/>
        </w:rPr>
        <w:t xml:space="preserve"> </w:t>
      </w:r>
      <w:r w:rsidR="003A7329" w:rsidRPr="00216722">
        <w:rPr>
          <w:rFonts w:ascii="Times New Roman" w:hAnsi="Times New Roman" w:cs="Times New Roman"/>
          <w:sz w:val="24"/>
          <w:szCs w:val="24"/>
          <w:shd w:val="clear" w:color="auto" w:fill="FFFFFF"/>
        </w:rPr>
        <w:t>Amit and Schoemaker (1993) argue that the RBV approach focuses on the characteristics of the resources and the strategic factor markets from which they are obtained to explain firm heterogeneity and sustainable competitive advantage. However, the firm decisions about selecting and accumulating resources are characterized as economically rational within the constraints of information asymmetry, cognitive biases</w:t>
      </w:r>
      <w:r w:rsidR="0031222F" w:rsidRPr="00216722">
        <w:rPr>
          <w:rFonts w:ascii="Times New Roman" w:hAnsi="Times New Roman" w:cs="Times New Roman"/>
          <w:sz w:val="24"/>
          <w:szCs w:val="24"/>
          <w:shd w:val="clear" w:color="auto" w:fill="FFFFFF"/>
        </w:rPr>
        <w:t>,</w:t>
      </w:r>
      <w:r w:rsidR="003A7329" w:rsidRPr="00216722">
        <w:rPr>
          <w:rFonts w:ascii="Times New Roman" w:hAnsi="Times New Roman" w:cs="Times New Roman"/>
          <w:sz w:val="24"/>
          <w:szCs w:val="24"/>
          <w:shd w:val="clear" w:color="auto" w:fill="FFFFFF"/>
        </w:rPr>
        <w:t xml:space="preserve"> and causal ambiguity (Oliver, 1997). Notwithstanding its important insights, the RBV has not looked beyond the properties of resources and resource markets to explain enduring firm heterogeneity (Oliver, 1997; Bromiley and Rau, 2016)</w:t>
      </w:r>
      <w:r w:rsidR="00F96A09" w:rsidRPr="00216722">
        <w:rPr>
          <w:rFonts w:ascii="Times New Roman" w:hAnsi="Times New Roman" w:cs="Times New Roman"/>
          <w:sz w:val="24"/>
          <w:szCs w:val="24"/>
          <w:shd w:val="clear" w:color="auto" w:fill="FFFFFF"/>
        </w:rPr>
        <w:t>, and</w:t>
      </w:r>
      <w:r w:rsidR="003A7329" w:rsidRPr="00216722">
        <w:rPr>
          <w:rFonts w:ascii="Times New Roman" w:hAnsi="Times New Roman" w:cs="Times New Roman"/>
          <w:sz w:val="24"/>
          <w:szCs w:val="24"/>
          <w:shd w:val="clear" w:color="auto" w:fill="FFFFFF"/>
        </w:rPr>
        <w:t xml:space="preserve"> has ignored the role of </w:t>
      </w:r>
      <w:r w:rsidR="000211BC" w:rsidRPr="00216722">
        <w:rPr>
          <w:rFonts w:ascii="Times New Roman" w:hAnsi="Times New Roman" w:cs="Times New Roman"/>
          <w:sz w:val="24"/>
          <w:szCs w:val="24"/>
          <w:shd w:val="clear" w:color="auto" w:fill="FFFFFF"/>
        </w:rPr>
        <w:t xml:space="preserve">top management commitment </w:t>
      </w:r>
      <w:r w:rsidR="005A6B2F" w:rsidRPr="00216722">
        <w:rPr>
          <w:rFonts w:ascii="Times New Roman" w:hAnsi="Times New Roman" w:cs="Times New Roman"/>
          <w:sz w:val="24"/>
          <w:szCs w:val="24"/>
          <w:shd w:val="clear" w:color="auto" w:fill="FFFFFF"/>
        </w:rPr>
        <w:t xml:space="preserve">in </w:t>
      </w:r>
      <w:r w:rsidR="000211BC" w:rsidRPr="00216722">
        <w:rPr>
          <w:rFonts w:ascii="Times New Roman" w:hAnsi="Times New Roman" w:cs="Times New Roman"/>
          <w:sz w:val="24"/>
          <w:szCs w:val="24"/>
          <w:shd w:val="clear" w:color="auto" w:fill="FFFFFF"/>
        </w:rPr>
        <w:t>selecting and exploiting the strategic resources</w:t>
      </w:r>
      <w:r w:rsidRPr="00216722">
        <w:rPr>
          <w:rFonts w:ascii="Times New Roman" w:hAnsi="Times New Roman" w:cs="Times New Roman"/>
          <w:sz w:val="24"/>
          <w:szCs w:val="24"/>
          <w:shd w:val="clear" w:color="auto" w:fill="FFFFFF"/>
        </w:rPr>
        <w:t xml:space="preserve"> </w:t>
      </w:r>
      <w:r w:rsidR="009B7B0B" w:rsidRPr="00216722">
        <w:rPr>
          <w:rFonts w:ascii="Times New Roman" w:hAnsi="Times New Roman" w:cs="Times New Roman"/>
          <w:sz w:val="24"/>
          <w:szCs w:val="24"/>
          <w:shd w:val="clear" w:color="auto" w:fill="FFFFFF"/>
        </w:rPr>
        <w:t xml:space="preserve">(Hunt, 1997). </w:t>
      </w:r>
      <w:r w:rsidR="00700F44" w:rsidRPr="00216722">
        <w:rPr>
          <w:rFonts w:ascii="Times New Roman" w:hAnsi="Times New Roman" w:cs="Times New Roman"/>
          <w:sz w:val="24"/>
          <w:szCs w:val="24"/>
          <w:shd w:val="clear" w:color="auto" w:fill="FFFFFF"/>
        </w:rPr>
        <w:t xml:space="preserve"> </w:t>
      </w:r>
      <w:r w:rsidR="001A7F67" w:rsidRPr="00216722">
        <w:rPr>
          <w:rFonts w:ascii="Times New Roman" w:hAnsi="Times New Roman" w:cs="Times New Roman"/>
          <w:sz w:val="24"/>
          <w:szCs w:val="24"/>
          <w:shd w:val="clear" w:color="auto" w:fill="FFFFFF"/>
        </w:rPr>
        <w:t xml:space="preserve">Our study addresses these gaps by </w:t>
      </w:r>
      <w:r w:rsidR="00B3072E" w:rsidRPr="00216722">
        <w:rPr>
          <w:rFonts w:ascii="Times New Roman" w:hAnsi="Times New Roman" w:cs="Times New Roman"/>
          <w:sz w:val="24"/>
          <w:szCs w:val="24"/>
          <w:shd w:val="clear" w:color="auto" w:fill="FFFFFF"/>
        </w:rPr>
        <w:t>underlin</w:t>
      </w:r>
      <w:r w:rsidR="001A7F67" w:rsidRPr="00216722">
        <w:rPr>
          <w:rFonts w:ascii="Times New Roman" w:hAnsi="Times New Roman" w:cs="Times New Roman"/>
          <w:sz w:val="24"/>
          <w:szCs w:val="24"/>
          <w:shd w:val="clear" w:color="auto" w:fill="FFFFFF"/>
        </w:rPr>
        <w:t>ing</w:t>
      </w:r>
      <w:r w:rsidR="00B3072E" w:rsidRPr="00216722">
        <w:rPr>
          <w:rFonts w:ascii="Times New Roman" w:hAnsi="Times New Roman" w:cs="Times New Roman"/>
          <w:sz w:val="24"/>
          <w:szCs w:val="24"/>
          <w:shd w:val="clear" w:color="auto" w:fill="FFFFFF"/>
        </w:rPr>
        <w:t xml:space="preserve"> the role of TMC and </w:t>
      </w:r>
      <w:r w:rsidR="006936D0" w:rsidRPr="00216722">
        <w:rPr>
          <w:rFonts w:ascii="Times New Roman" w:hAnsi="Times New Roman" w:cs="Times New Roman"/>
          <w:sz w:val="24"/>
          <w:szCs w:val="24"/>
          <w:shd w:val="clear" w:color="auto" w:fill="FFFFFF"/>
        </w:rPr>
        <w:t>arguing</w:t>
      </w:r>
      <w:r w:rsidR="005620BC" w:rsidRPr="00216722">
        <w:rPr>
          <w:rFonts w:ascii="Times New Roman" w:hAnsi="Times New Roman" w:cs="Times New Roman"/>
          <w:sz w:val="24"/>
          <w:szCs w:val="24"/>
          <w:shd w:val="clear" w:color="auto" w:fill="FFFFFF"/>
        </w:rPr>
        <w:t xml:space="preserve"> that </w:t>
      </w:r>
      <w:r w:rsidR="0044579B" w:rsidRPr="00216722">
        <w:rPr>
          <w:rFonts w:ascii="Times New Roman" w:hAnsi="Times New Roman" w:cs="Times New Roman"/>
          <w:sz w:val="24"/>
          <w:szCs w:val="24"/>
          <w:shd w:val="clear" w:color="auto" w:fill="FFFFFF"/>
        </w:rPr>
        <w:t xml:space="preserve">TMC </w:t>
      </w:r>
      <w:r w:rsidR="0090736A" w:rsidRPr="00216722">
        <w:rPr>
          <w:rFonts w:ascii="Times New Roman" w:hAnsi="Times New Roman" w:cs="Times New Roman"/>
          <w:sz w:val="24"/>
          <w:szCs w:val="24"/>
          <w:shd w:val="clear" w:color="auto" w:fill="FFFFFF"/>
        </w:rPr>
        <w:t xml:space="preserve">moderates the relationship between </w:t>
      </w:r>
      <w:r w:rsidR="00927A37" w:rsidRPr="00216722">
        <w:rPr>
          <w:rFonts w:ascii="Times New Roman" w:hAnsi="Times New Roman" w:cs="Times New Roman"/>
          <w:sz w:val="24"/>
          <w:szCs w:val="24"/>
          <w:shd w:val="clear" w:color="auto" w:fill="FFFFFF"/>
        </w:rPr>
        <w:t>SCV</w:t>
      </w:r>
      <w:r w:rsidR="0090736A" w:rsidRPr="00216722">
        <w:rPr>
          <w:rFonts w:ascii="Times New Roman" w:hAnsi="Times New Roman" w:cs="Times New Roman"/>
          <w:sz w:val="24"/>
          <w:szCs w:val="24"/>
          <w:shd w:val="clear" w:color="auto" w:fill="FFFFFF"/>
        </w:rPr>
        <w:t xml:space="preserve"> and supply chain agility and alignment</w:t>
      </w:r>
      <w:r w:rsidR="007502E4" w:rsidRPr="00216722">
        <w:rPr>
          <w:rFonts w:ascii="Times New Roman" w:hAnsi="Times New Roman" w:cs="Times New Roman"/>
          <w:sz w:val="24"/>
          <w:szCs w:val="24"/>
          <w:shd w:val="clear" w:color="auto" w:fill="FFFFFF"/>
        </w:rPr>
        <w:t xml:space="preserve">, </w:t>
      </w:r>
      <w:r w:rsidR="0044579B" w:rsidRPr="00216722">
        <w:rPr>
          <w:rFonts w:ascii="Times New Roman" w:hAnsi="Times New Roman" w:cs="Times New Roman"/>
          <w:sz w:val="24"/>
          <w:szCs w:val="24"/>
          <w:shd w:val="clear" w:color="auto" w:fill="FFFFFF"/>
        </w:rPr>
        <w:t>but the impact of SCV on adaptability is lower for higher levels of TMC.</w:t>
      </w:r>
      <w:r w:rsidR="00417CA4" w:rsidRPr="00216722">
        <w:rPr>
          <w:rFonts w:ascii="Times New Roman" w:hAnsi="Times New Roman" w:cs="Times New Roman"/>
          <w:sz w:val="24"/>
          <w:szCs w:val="24"/>
          <w:shd w:val="clear" w:color="auto" w:fill="FFFFFF"/>
        </w:rPr>
        <w:t xml:space="preserve"> Therefore, </w:t>
      </w:r>
      <w:r w:rsidR="008E4480" w:rsidRPr="00216722">
        <w:rPr>
          <w:rFonts w:ascii="Times New Roman" w:hAnsi="Times New Roman" w:cs="Times New Roman"/>
          <w:sz w:val="24"/>
          <w:szCs w:val="24"/>
          <w:shd w:val="clear" w:color="auto" w:fill="FFFFFF"/>
        </w:rPr>
        <w:t>our study</w:t>
      </w:r>
      <w:r w:rsidR="00417CA4" w:rsidRPr="00216722">
        <w:rPr>
          <w:rFonts w:ascii="Times New Roman" w:hAnsi="Times New Roman" w:cs="Times New Roman"/>
          <w:sz w:val="24"/>
          <w:szCs w:val="24"/>
          <w:shd w:val="clear" w:color="auto" w:fill="FFFFFF"/>
        </w:rPr>
        <w:t xml:space="preserve"> address</w:t>
      </w:r>
      <w:r w:rsidR="00904962" w:rsidRPr="00216722">
        <w:rPr>
          <w:rFonts w:ascii="Times New Roman" w:hAnsi="Times New Roman" w:cs="Times New Roman"/>
          <w:sz w:val="24"/>
          <w:szCs w:val="24"/>
          <w:shd w:val="clear" w:color="auto" w:fill="FFFFFF"/>
        </w:rPr>
        <w:t>es</w:t>
      </w:r>
      <w:r w:rsidR="00417CA4" w:rsidRPr="00216722">
        <w:rPr>
          <w:rFonts w:ascii="Times New Roman" w:hAnsi="Times New Roman" w:cs="Times New Roman"/>
          <w:sz w:val="24"/>
          <w:szCs w:val="24"/>
          <w:shd w:val="clear" w:color="auto" w:fill="FFFFFF"/>
        </w:rPr>
        <w:t xml:space="preserve"> calls</w:t>
      </w:r>
      <w:r w:rsidR="00EE3BB5" w:rsidRPr="00216722">
        <w:rPr>
          <w:rFonts w:ascii="Times New Roman" w:hAnsi="Times New Roman" w:cs="Times New Roman"/>
          <w:sz w:val="24"/>
          <w:szCs w:val="24"/>
          <w:shd w:val="clear" w:color="auto" w:fill="FFFFFF"/>
        </w:rPr>
        <w:t>,</w:t>
      </w:r>
      <w:r w:rsidR="00417CA4" w:rsidRPr="00216722">
        <w:rPr>
          <w:rFonts w:ascii="Times New Roman" w:hAnsi="Times New Roman" w:cs="Times New Roman"/>
          <w:sz w:val="24"/>
          <w:szCs w:val="24"/>
          <w:shd w:val="clear" w:color="auto" w:fill="FFFFFF"/>
        </w:rPr>
        <w:t xml:space="preserve"> for investigating the role of resources in supply chain management</w:t>
      </w:r>
      <w:r w:rsidR="004D7529" w:rsidRPr="00216722">
        <w:rPr>
          <w:rFonts w:ascii="Times New Roman" w:hAnsi="Times New Roman" w:cs="Times New Roman"/>
          <w:sz w:val="24"/>
          <w:szCs w:val="24"/>
          <w:shd w:val="clear" w:color="auto" w:fill="FFFFFF"/>
        </w:rPr>
        <w:t xml:space="preserve"> (Hitt et al., 2016; Ketokivi, 2016)</w:t>
      </w:r>
      <w:r w:rsidR="002003BB" w:rsidRPr="00216722">
        <w:rPr>
          <w:rFonts w:ascii="Times New Roman" w:hAnsi="Times New Roman" w:cs="Times New Roman"/>
          <w:sz w:val="24"/>
          <w:szCs w:val="24"/>
          <w:shd w:val="clear" w:color="auto" w:fill="FFFFFF"/>
        </w:rPr>
        <w:t xml:space="preserve"> </w:t>
      </w:r>
      <w:r w:rsidR="00417CA4" w:rsidRPr="00216722">
        <w:rPr>
          <w:rFonts w:ascii="Times New Roman" w:hAnsi="Times New Roman" w:cs="Times New Roman"/>
          <w:sz w:val="24"/>
          <w:szCs w:val="24"/>
          <w:shd w:val="clear" w:color="auto" w:fill="FFFFFF"/>
        </w:rPr>
        <w:t xml:space="preserve">focusing on empirical studies </w:t>
      </w:r>
      <w:r w:rsidR="00A8224D" w:rsidRPr="00216722">
        <w:rPr>
          <w:rFonts w:ascii="Times New Roman" w:hAnsi="Times New Roman" w:cs="Times New Roman"/>
          <w:sz w:val="24"/>
          <w:szCs w:val="24"/>
          <w:shd w:val="clear" w:color="auto" w:fill="FFFFFF"/>
        </w:rPr>
        <w:t>that illustrate the role of resources, capabilities, and TMC in designing and building agile, adapta</w:t>
      </w:r>
      <w:r w:rsidR="00700F44" w:rsidRPr="00216722">
        <w:rPr>
          <w:rFonts w:ascii="Times New Roman" w:hAnsi="Times New Roman" w:cs="Times New Roman"/>
          <w:sz w:val="24"/>
          <w:szCs w:val="24"/>
          <w:shd w:val="clear" w:color="auto" w:fill="FFFFFF"/>
        </w:rPr>
        <w:t>ble, and aligned supply chains</w:t>
      </w:r>
      <w:r w:rsidR="00683BC7" w:rsidRPr="00216722">
        <w:rPr>
          <w:rFonts w:ascii="Times New Roman" w:hAnsi="Times New Roman" w:cs="Times New Roman"/>
          <w:sz w:val="24"/>
          <w:szCs w:val="24"/>
          <w:shd w:val="clear" w:color="auto" w:fill="FFFFFF"/>
        </w:rPr>
        <w:t xml:space="preserve">. </w:t>
      </w:r>
    </w:p>
    <w:p w14:paraId="29DE8F4B" w14:textId="1FEFFBAF" w:rsidR="002605F1" w:rsidRPr="00216722" w:rsidRDefault="00A23E05" w:rsidP="00A23E05">
      <w:pPr>
        <w:pStyle w:val="first"/>
        <w:spacing w:before="0" w:beforeAutospacing="0" w:after="240" w:afterAutospacing="0" w:line="480" w:lineRule="auto"/>
        <w:jc w:val="both"/>
        <w:rPr>
          <w:shd w:val="clear" w:color="auto" w:fill="FFFFFF"/>
        </w:rPr>
      </w:pPr>
      <w:r w:rsidRPr="00216722">
        <w:rPr>
          <w:shd w:val="clear" w:color="auto" w:fill="FFFFFF"/>
        </w:rPr>
        <w:t>O</w:t>
      </w:r>
      <w:r w:rsidR="009D63F2" w:rsidRPr="00216722">
        <w:rPr>
          <w:shd w:val="clear" w:color="auto" w:fill="FFFFFF"/>
        </w:rPr>
        <w:t xml:space="preserve">ur third contribution lies in </w:t>
      </w:r>
      <w:r w:rsidRPr="00216722">
        <w:rPr>
          <w:shd w:val="clear" w:color="auto" w:fill="FFFFFF"/>
        </w:rPr>
        <w:t xml:space="preserve">providing an understanding of how organizations in developing countries and in the Indian context in particular could be agile, adaptable and aligned in their supply chains, following the endorsements of Joshi et al. (2013) and Kearney (2013). This is important as </w:t>
      </w:r>
      <w:r w:rsidR="002605F1" w:rsidRPr="00216722">
        <w:rPr>
          <w:shd w:val="clear" w:color="auto" w:fill="FFFFFF"/>
        </w:rPr>
        <w:t>auto components are a major contributor of the Indian GDP</w:t>
      </w:r>
      <w:r w:rsidR="00921D28" w:rsidRPr="00216722">
        <w:rPr>
          <w:shd w:val="clear" w:color="auto" w:fill="FFFFFF"/>
        </w:rPr>
        <w:t xml:space="preserve"> and</w:t>
      </w:r>
      <w:r w:rsidR="002605F1" w:rsidRPr="00216722">
        <w:rPr>
          <w:shd w:val="clear" w:color="auto" w:fill="FFFFFF"/>
        </w:rPr>
        <w:t xml:space="preserve"> </w:t>
      </w:r>
      <w:r w:rsidR="00921D28" w:rsidRPr="00216722">
        <w:rPr>
          <w:shd w:val="clear" w:color="auto" w:fill="FFFFFF"/>
        </w:rPr>
        <w:t>t</w:t>
      </w:r>
      <w:r w:rsidR="002605F1" w:rsidRPr="00216722">
        <w:rPr>
          <w:shd w:val="clear" w:color="auto" w:fill="FFFFFF"/>
        </w:rPr>
        <w:t>he sector is facing challenges in terms of supply chain responsiveness and supply chain cost in comparison to other Asian countries (Kearney, 2013</w:t>
      </w:r>
      <w:r w:rsidR="00921D28" w:rsidRPr="00216722">
        <w:rPr>
          <w:shd w:val="clear" w:color="auto" w:fill="FFFFFF"/>
        </w:rPr>
        <w:t>)</w:t>
      </w:r>
      <w:r w:rsidR="002605F1" w:rsidRPr="00216722">
        <w:rPr>
          <w:shd w:val="clear" w:color="auto" w:fill="FFFFFF"/>
        </w:rPr>
        <w:t>.</w:t>
      </w:r>
    </w:p>
    <w:p w14:paraId="17786B1E" w14:textId="42659419" w:rsidR="006008F4" w:rsidRPr="00216722" w:rsidRDefault="00F37F88" w:rsidP="00654B52">
      <w:pPr>
        <w:spacing w:after="120" w:line="480" w:lineRule="auto"/>
        <w:rPr>
          <w:rFonts w:ascii="Times New Roman" w:hAnsi="Times New Roman" w:cs="Times New Roman"/>
          <w:b/>
          <w:i/>
          <w:sz w:val="24"/>
          <w:szCs w:val="24"/>
          <w:shd w:val="clear" w:color="auto" w:fill="FFFFFF"/>
        </w:rPr>
      </w:pPr>
      <w:r w:rsidRPr="00216722">
        <w:rPr>
          <w:rFonts w:ascii="Times New Roman" w:hAnsi="Times New Roman" w:cs="Times New Roman"/>
          <w:b/>
          <w:i/>
          <w:sz w:val="24"/>
          <w:szCs w:val="24"/>
          <w:shd w:val="clear" w:color="auto" w:fill="FFFFFF"/>
        </w:rPr>
        <w:t xml:space="preserve">5.2 </w:t>
      </w:r>
      <w:r w:rsidR="006833D2" w:rsidRPr="00216722">
        <w:rPr>
          <w:rFonts w:ascii="Times New Roman" w:hAnsi="Times New Roman" w:cs="Times New Roman"/>
          <w:b/>
          <w:i/>
          <w:sz w:val="24"/>
          <w:szCs w:val="24"/>
          <w:shd w:val="clear" w:color="auto" w:fill="FFFFFF"/>
        </w:rPr>
        <w:t>Managerial Implications</w:t>
      </w:r>
    </w:p>
    <w:p w14:paraId="601C4342" w14:textId="004B2E9E" w:rsidR="004C4875" w:rsidRPr="00216722" w:rsidRDefault="001F038D">
      <w:pPr>
        <w:spacing w:line="480" w:lineRule="auto"/>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The current study may provide interesting insights to those managers who are contemplating </w:t>
      </w:r>
      <w:r w:rsidR="00C2015B" w:rsidRPr="00216722">
        <w:rPr>
          <w:rFonts w:ascii="Times New Roman" w:hAnsi="Times New Roman" w:cs="Times New Roman"/>
          <w:sz w:val="24"/>
          <w:szCs w:val="24"/>
          <w:shd w:val="clear" w:color="auto" w:fill="FFFFFF"/>
        </w:rPr>
        <w:t>to invest in supply chain connectivity and information sharing resources to improve supply chain visibility</w:t>
      </w:r>
      <w:r w:rsidR="00CB67AE" w:rsidRPr="00216722">
        <w:rPr>
          <w:rFonts w:ascii="Times New Roman" w:hAnsi="Times New Roman" w:cs="Times New Roman"/>
          <w:sz w:val="24"/>
          <w:szCs w:val="24"/>
          <w:shd w:val="clear" w:color="auto" w:fill="FFFFFF"/>
        </w:rPr>
        <w:t>,</w:t>
      </w:r>
      <w:r w:rsidR="00213385" w:rsidRPr="00216722">
        <w:rPr>
          <w:rFonts w:ascii="Times New Roman" w:hAnsi="Times New Roman" w:cs="Times New Roman"/>
          <w:sz w:val="24"/>
          <w:szCs w:val="24"/>
          <w:shd w:val="clear" w:color="auto" w:fill="FFFFFF"/>
        </w:rPr>
        <w:t xml:space="preserve"> and subsequently their supply chain</w:t>
      </w:r>
      <w:r w:rsidR="00C2015B" w:rsidRPr="00216722">
        <w:rPr>
          <w:rFonts w:ascii="Times New Roman" w:hAnsi="Times New Roman" w:cs="Times New Roman"/>
          <w:sz w:val="24"/>
          <w:szCs w:val="24"/>
          <w:shd w:val="clear" w:color="auto" w:fill="FFFFFF"/>
        </w:rPr>
        <w:t xml:space="preserve"> agility, adaptability and alignment.</w:t>
      </w:r>
      <w:r w:rsidR="00F34213" w:rsidRPr="00216722">
        <w:rPr>
          <w:rFonts w:ascii="Times New Roman" w:hAnsi="Times New Roman" w:cs="Times New Roman"/>
          <w:sz w:val="24"/>
          <w:szCs w:val="24"/>
          <w:shd w:val="clear" w:color="auto" w:fill="FFFFFF"/>
        </w:rPr>
        <w:t xml:space="preserve"> </w:t>
      </w:r>
      <w:r w:rsidR="00FC00B1" w:rsidRPr="00216722">
        <w:rPr>
          <w:rFonts w:ascii="Times New Roman" w:hAnsi="Times New Roman" w:cs="Times New Roman"/>
          <w:sz w:val="24"/>
          <w:szCs w:val="24"/>
          <w:shd w:val="clear" w:color="auto" w:fill="FFFFFF"/>
        </w:rPr>
        <w:t>In particular, our study</w:t>
      </w:r>
      <w:r w:rsidR="00F34213" w:rsidRPr="00216722">
        <w:rPr>
          <w:rFonts w:ascii="Times New Roman" w:hAnsi="Times New Roman" w:cs="Times New Roman"/>
          <w:sz w:val="24"/>
          <w:szCs w:val="24"/>
          <w:shd w:val="clear" w:color="auto" w:fill="FFFFFF"/>
        </w:rPr>
        <w:t xml:space="preserve"> offers several useful directions to supply chain and logistics managers who are involved in </w:t>
      </w:r>
      <w:r w:rsidR="00BC6012" w:rsidRPr="00216722">
        <w:rPr>
          <w:rFonts w:ascii="Times New Roman" w:hAnsi="Times New Roman" w:cs="Times New Roman"/>
          <w:sz w:val="24"/>
          <w:szCs w:val="24"/>
          <w:shd w:val="clear" w:color="auto" w:fill="FFFFFF"/>
        </w:rPr>
        <w:t xml:space="preserve">the design of </w:t>
      </w:r>
      <w:r w:rsidR="00F34213" w:rsidRPr="00216722">
        <w:rPr>
          <w:rFonts w:ascii="Times New Roman" w:hAnsi="Times New Roman" w:cs="Times New Roman"/>
          <w:sz w:val="24"/>
          <w:szCs w:val="24"/>
          <w:shd w:val="clear" w:color="auto" w:fill="FFFFFF"/>
        </w:rPr>
        <w:t>supply chain</w:t>
      </w:r>
      <w:r w:rsidR="00BC6012" w:rsidRPr="00216722">
        <w:rPr>
          <w:rFonts w:ascii="Times New Roman" w:hAnsi="Times New Roman" w:cs="Times New Roman"/>
          <w:sz w:val="24"/>
          <w:szCs w:val="24"/>
          <w:shd w:val="clear" w:color="auto" w:fill="FFFFFF"/>
        </w:rPr>
        <w:t>s</w:t>
      </w:r>
      <w:r w:rsidR="00F34213" w:rsidRPr="00216722">
        <w:rPr>
          <w:rFonts w:ascii="Times New Roman" w:hAnsi="Times New Roman" w:cs="Times New Roman"/>
          <w:sz w:val="24"/>
          <w:szCs w:val="24"/>
          <w:shd w:val="clear" w:color="auto" w:fill="FFFFFF"/>
        </w:rPr>
        <w:t xml:space="preserve">. </w:t>
      </w:r>
      <w:r w:rsidR="00C2015B" w:rsidRPr="00216722">
        <w:rPr>
          <w:rFonts w:ascii="Times New Roman" w:hAnsi="Times New Roman" w:cs="Times New Roman"/>
          <w:sz w:val="24"/>
          <w:szCs w:val="24"/>
          <w:shd w:val="clear" w:color="auto" w:fill="FFFFFF"/>
        </w:rPr>
        <w:t xml:space="preserve"> </w:t>
      </w:r>
      <w:r w:rsidR="008D1B8C" w:rsidRPr="00216722">
        <w:rPr>
          <w:rFonts w:ascii="Times New Roman" w:hAnsi="Times New Roman" w:cs="Times New Roman"/>
          <w:sz w:val="24"/>
          <w:szCs w:val="24"/>
          <w:shd w:val="clear" w:color="auto" w:fill="FFFFFF"/>
        </w:rPr>
        <w:t>Firstly, t</w:t>
      </w:r>
      <w:r w:rsidR="00C02E9D" w:rsidRPr="00216722">
        <w:rPr>
          <w:rFonts w:ascii="Times New Roman" w:hAnsi="Times New Roman" w:cs="Times New Roman"/>
          <w:sz w:val="24"/>
          <w:szCs w:val="24"/>
          <w:shd w:val="clear" w:color="auto" w:fill="FFFFFF"/>
        </w:rPr>
        <w:t xml:space="preserve">he results of this study </w:t>
      </w:r>
      <w:r w:rsidR="009E529C" w:rsidRPr="00216722">
        <w:rPr>
          <w:rFonts w:ascii="Times New Roman" w:hAnsi="Times New Roman" w:cs="Times New Roman"/>
          <w:sz w:val="24"/>
          <w:szCs w:val="24"/>
          <w:shd w:val="clear" w:color="auto" w:fill="FFFFFF"/>
        </w:rPr>
        <w:t xml:space="preserve">can be utilized to understand how </w:t>
      </w:r>
      <w:r w:rsidR="004436B5" w:rsidRPr="00216722">
        <w:rPr>
          <w:rFonts w:ascii="Times New Roman" w:hAnsi="Times New Roman" w:cs="Times New Roman"/>
          <w:sz w:val="24"/>
          <w:szCs w:val="24"/>
          <w:shd w:val="clear" w:color="auto" w:fill="FFFFFF"/>
        </w:rPr>
        <w:t xml:space="preserve">inimitable </w:t>
      </w:r>
      <w:r w:rsidR="009E529C" w:rsidRPr="00216722">
        <w:rPr>
          <w:rFonts w:ascii="Times New Roman" w:hAnsi="Times New Roman" w:cs="Times New Roman"/>
          <w:sz w:val="24"/>
          <w:szCs w:val="24"/>
          <w:shd w:val="clear" w:color="auto" w:fill="FFFFFF"/>
        </w:rPr>
        <w:t xml:space="preserve">resources (tangible and intangible) can be selected and utilised. </w:t>
      </w:r>
      <w:r w:rsidR="003F3D86" w:rsidRPr="00216722">
        <w:rPr>
          <w:rFonts w:ascii="Times New Roman" w:hAnsi="Times New Roman" w:cs="Times New Roman"/>
          <w:sz w:val="24"/>
          <w:szCs w:val="24"/>
          <w:shd w:val="clear" w:color="auto" w:fill="FFFFFF"/>
        </w:rPr>
        <w:t>Sharing r</w:t>
      </w:r>
      <w:r w:rsidR="009E529C" w:rsidRPr="00216722">
        <w:rPr>
          <w:rFonts w:ascii="Times New Roman" w:hAnsi="Times New Roman" w:cs="Times New Roman"/>
          <w:sz w:val="24"/>
          <w:szCs w:val="24"/>
          <w:shd w:val="clear" w:color="auto" w:fill="FFFFFF"/>
        </w:rPr>
        <w:t xml:space="preserve">elevant, complete, accurate and confidential information </w:t>
      </w:r>
      <w:r w:rsidR="003F3D86" w:rsidRPr="00216722">
        <w:rPr>
          <w:rFonts w:ascii="Times New Roman" w:hAnsi="Times New Roman" w:cs="Times New Roman"/>
          <w:sz w:val="24"/>
          <w:szCs w:val="24"/>
          <w:shd w:val="clear" w:color="auto" w:fill="FFFFFF"/>
        </w:rPr>
        <w:t xml:space="preserve">would contribute to </w:t>
      </w:r>
      <w:r w:rsidR="009E529C" w:rsidRPr="00216722">
        <w:rPr>
          <w:rFonts w:ascii="Times New Roman" w:hAnsi="Times New Roman" w:cs="Times New Roman"/>
          <w:sz w:val="24"/>
          <w:szCs w:val="24"/>
          <w:shd w:val="clear" w:color="auto" w:fill="FFFFFF"/>
        </w:rPr>
        <w:t>better visibility in terms of in</w:t>
      </w:r>
      <w:r w:rsidR="004C4875" w:rsidRPr="00216722">
        <w:rPr>
          <w:rFonts w:ascii="Times New Roman" w:hAnsi="Times New Roman" w:cs="Times New Roman"/>
          <w:sz w:val="24"/>
          <w:szCs w:val="24"/>
          <w:shd w:val="clear" w:color="auto" w:fill="FFFFFF"/>
        </w:rPr>
        <w:t>ventory and demand in supply chains.</w:t>
      </w:r>
      <w:r w:rsidR="002161EA" w:rsidRPr="00216722">
        <w:rPr>
          <w:rFonts w:ascii="Times New Roman" w:hAnsi="Times New Roman" w:cs="Times New Roman"/>
          <w:sz w:val="24"/>
          <w:szCs w:val="24"/>
          <w:shd w:val="clear" w:color="auto" w:fill="FFFFFF"/>
        </w:rPr>
        <w:t xml:space="preserve"> </w:t>
      </w:r>
      <w:r w:rsidR="000566DF" w:rsidRPr="00216722">
        <w:rPr>
          <w:rFonts w:ascii="Times New Roman" w:hAnsi="Times New Roman" w:cs="Times New Roman"/>
          <w:sz w:val="24"/>
          <w:szCs w:val="24"/>
          <w:shd w:val="clear" w:color="auto" w:fill="FFFFFF"/>
        </w:rPr>
        <w:t>Secondly</w:t>
      </w:r>
      <w:r w:rsidR="005800BA" w:rsidRPr="00216722">
        <w:rPr>
          <w:rFonts w:ascii="Times New Roman" w:hAnsi="Times New Roman" w:cs="Times New Roman"/>
          <w:sz w:val="24"/>
          <w:szCs w:val="24"/>
          <w:shd w:val="clear" w:color="auto" w:fill="FFFFFF"/>
        </w:rPr>
        <w:t xml:space="preserve">, this study highlights the role of TMC in ‘translating’ capabilities and resources into SCAAA. No matter if an organization acquires and possesses resources, the subsequent creation of capabilities and SCAAA depends on the commitment of managers to </w:t>
      </w:r>
      <w:r w:rsidR="00744539" w:rsidRPr="00216722">
        <w:rPr>
          <w:rFonts w:ascii="Times New Roman" w:hAnsi="Times New Roman" w:cs="Times New Roman"/>
          <w:sz w:val="24"/>
          <w:szCs w:val="24"/>
          <w:shd w:val="clear" w:color="auto" w:fill="FFFFFF"/>
        </w:rPr>
        <w:t>utilize them for SCAAA.</w:t>
      </w:r>
      <w:r w:rsidR="0031222F" w:rsidRPr="00216722">
        <w:rPr>
          <w:rFonts w:ascii="Times New Roman" w:hAnsi="Times New Roman" w:cs="Times New Roman"/>
          <w:sz w:val="24"/>
          <w:szCs w:val="24"/>
          <w:shd w:val="clear" w:color="auto" w:fill="FFFFFF"/>
        </w:rPr>
        <w:t xml:space="preserve"> Interestingly, TMC influences not all dimensions of SCAAA in a similar fashion, so that firms have to decide if they rather prefer to enhance supply chain agility and supply chain alignment or rather facilitate higher levels of supply chain adaptability. Our results illuminate important differential effects of TMC on SCAAA, providing enhanced understanding how managers can successfully use supply chain visibility and combine it with their own commitment levels. </w:t>
      </w:r>
      <w:r w:rsidR="00744539" w:rsidRPr="00216722">
        <w:rPr>
          <w:rFonts w:ascii="Times New Roman" w:hAnsi="Times New Roman" w:cs="Times New Roman"/>
          <w:sz w:val="24"/>
          <w:szCs w:val="24"/>
          <w:shd w:val="clear" w:color="auto" w:fill="FFFFFF"/>
        </w:rPr>
        <w:t xml:space="preserve"> </w:t>
      </w:r>
      <w:r w:rsidR="004C4875" w:rsidRPr="00216722">
        <w:rPr>
          <w:rFonts w:ascii="Times New Roman" w:hAnsi="Times New Roman" w:cs="Times New Roman"/>
          <w:sz w:val="24"/>
          <w:szCs w:val="24"/>
          <w:shd w:val="clear" w:color="auto" w:fill="FFFFFF"/>
        </w:rPr>
        <w:t xml:space="preserve">Finally, the current study utilizes </w:t>
      </w:r>
      <w:r w:rsidR="008F29C8" w:rsidRPr="00216722">
        <w:rPr>
          <w:rFonts w:ascii="Times New Roman" w:hAnsi="Times New Roman" w:cs="Times New Roman"/>
          <w:sz w:val="24"/>
          <w:szCs w:val="24"/>
          <w:shd w:val="clear" w:color="auto" w:fill="FFFFFF"/>
        </w:rPr>
        <w:t xml:space="preserve">a </w:t>
      </w:r>
      <w:r w:rsidR="004C4875" w:rsidRPr="00216722">
        <w:rPr>
          <w:rFonts w:ascii="Times New Roman" w:hAnsi="Times New Roman" w:cs="Times New Roman"/>
          <w:sz w:val="24"/>
          <w:szCs w:val="24"/>
          <w:shd w:val="clear" w:color="auto" w:fill="FFFFFF"/>
        </w:rPr>
        <w:t xml:space="preserve">sample from </w:t>
      </w:r>
      <w:r w:rsidR="002523B7" w:rsidRPr="00216722">
        <w:rPr>
          <w:rFonts w:ascii="Times New Roman" w:hAnsi="Times New Roman" w:cs="Times New Roman"/>
          <w:sz w:val="24"/>
          <w:szCs w:val="24"/>
          <w:shd w:val="clear" w:color="auto" w:fill="FFFFFF"/>
        </w:rPr>
        <w:t xml:space="preserve">the </w:t>
      </w:r>
      <w:r w:rsidR="004C4875" w:rsidRPr="00216722">
        <w:rPr>
          <w:rFonts w:ascii="Times New Roman" w:hAnsi="Times New Roman" w:cs="Times New Roman"/>
          <w:sz w:val="24"/>
          <w:szCs w:val="24"/>
          <w:shd w:val="clear" w:color="auto" w:fill="FFFFFF"/>
        </w:rPr>
        <w:t>Indian auto components manufacturing sector</w:t>
      </w:r>
      <w:r w:rsidR="002523B7" w:rsidRPr="00216722">
        <w:rPr>
          <w:rFonts w:ascii="Times New Roman" w:hAnsi="Times New Roman" w:cs="Times New Roman"/>
          <w:sz w:val="24"/>
          <w:szCs w:val="24"/>
          <w:shd w:val="clear" w:color="auto" w:fill="FFFFFF"/>
        </w:rPr>
        <w:t xml:space="preserve"> </w:t>
      </w:r>
      <w:r w:rsidR="005A6B2F" w:rsidRPr="00216722">
        <w:rPr>
          <w:rFonts w:ascii="Times New Roman" w:hAnsi="Times New Roman" w:cs="Times New Roman"/>
          <w:sz w:val="24"/>
          <w:szCs w:val="24"/>
          <w:shd w:val="clear" w:color="auto" w:fill="FFFFFF"/>
        </w:rPr>
        <w:t xml:space="preserve">which </w:t>
      </w:r>
      <w:r w:rsidR="002523B7" w:rsidRPr="00216722">
        <w:rPr>
          <w:rFonts w:ascii="Times New Roman" w:hAnsi="Times New Roman" w:cs="Times New Roman"/>
          <w:sz w:val="24"/>
          <w:szCs w:val="24"/>
          <w:shd w:val="clear" w:color="auto" w:fill="FFFFFF"/>
        </w:rPr>
        <w:t xml:space="preserve">faces stiff competition due </w:t>
      </w:r>
      <w:r w:rsidR="004C4875" w:rsidRPr="00216722">
        <w:rPr>
          <w:rFonts w:ascii="Times New Roman" w:hAnsi="Times New Roman" w:cs="Times New Roman"/>
          <w:sz w:val="24"/>
          <w:szCs w:val="24"/>
          <w:shd w:val="clear" w:color="auto" w:fill="FFFFFF"/>
        </w:rPr>
        <w:t>to poor responsiveness and high supply chain cost</w:t>
      </w:r>
      <w:r w:rsidR="002523B7" w:rsidRPr="00216722">
        <w:rPr>
          <w:rFonts w:ascii="Times New Roman" w:hAnsi="Times New Roman" w:cs="Times New Roman"/>
          <w:sz w:val="24"/>
          <w:szCs w:val="24"/>
          <w:shd w:val="clear" w:color="auto" w:fill="FFFFFF"/>
        </w:rPr>
        <w:t>s</w:t>
      </w:r>
      <w:r w:rsidR="004C4875" w:rsidRPr="00216722">
        <w:rPr>
          <w:rFonts w:ascii="Times New Roman" w:hAnsi="Times New Roman" w:cs="Times New Roman"/>
          <w:sz w:val="24"/>
          <w:szCs w:val="24"/>
          <w:shd w:val="clear" w:color="auto" w:fill="FFFFFF"/>
        </w:rPr>
        <w:t xml:space="preserve">. Hence, the empirical results </w:t>
      </w:r>
      <w:r w:rsidR="00CE15C6" w:rsidRPr="00216722">
        <w:rPr>
          <w:rFonts w:ascii="Times New Roman" w:hAnsi="Times New Roman" w:cs="Times New Roman"/>
          <w:sz w:val="24"/>
          <w:szCs w:val="24"/>
          <w:shd w:val="clear" w:color="auto" w:fill="FFFFFF"/>
        </w:rPr>
        <w:t xml:space="preserve">may </w:t>
      </w:r>
      <w:r w:rsidR="004C4875" w:rsidRPr="00216722">
        <w:rPr>
          <w:rFonts w:ascii="Times New Roman" w:hAnsi="Times New Roman" w:cs="Times New Roman"/>
          <w:sz w:val="24"/>
          <w:szCs w:val="24"/>
          <w:shd w:val="clear" w:color="auto" w:fill="FFFFFF"/>
        </w:rPr>
        <w:t xml:space="preserve">offer guidance </w:t>
      </w:r>
      <w:r w:rsidR="003F7BD5" w:rsidRPr="00216722">
        <w:rPr>
          <w:rFonts w:ascii="Times New Roman" w:hAnsi="Times New Roman" w:cs="Times New Roman"/>
          <w:sz w:val="24"/>
          <w:szCs w:val="24"/>
          <w:shd w:val="clear" w:color="auto" w:fill="FFFFFF"/>
        </w:rPr>
        <w:t xml:space="preserve">to organizations and their top managers regarding the resources needed to create visibility that impacts on SCAAA and therefore on their ability to be responsive and provide </w:t>
      </w:r>
      <w:r w:rsidR="004C4875" w:rsidRPr="00216722">
        <w:rPr>
          <w:rFonts w:ascii="Times New Roman" w:hAnsi="Times New Roman" w:cs="Times New Roman"/>
          <w:sz w:val="24"/>
          <w:szCs w:val="24"/>
          <w:shd w:val="clear" w:color="auto" w:fill="FFFFFF"/>
        </w:rPr>
        <w:t xml:space="preserve">better service at </w:t>
      </w:r>
      <w:r w:rsidR="00A41555" w:rsidRPr="00216722">
        <w:rPr>
          <w:rFonts w:ascii="Times New Roman" w:hAnsi="Times New Roman" w:cs="Times New Roman"/>
          <w:sz w:val="24"/>
          <w:szCs w:val="24"/>
          <w:shd w:val="clear" w:color="auto" w:fill="FFFFFF"/>
        </w:rPr>
        <w:t xml:space="preserve">a </w:t>
      </w:r>
      <w:r w:rsidR="004C4875" w:rsidRPr="00216722">
        <w:rPr>
          <w:rFonts w:ascii="Times New Roman" w:hAnsi="Times New Roman" w:cs="Times New Roman"/>
          <w:sz w:val="24"/>
          <w:szCs w:val="24"/>
          <w:shd w:val="clear" w:color="auto" w:fill="FFFFFF"/>
        </w:rPr>
        <w:t>competitive price.</w:t>
      </w:r>
    </w:p>
    <w:p w14:paraId="67C681DD" w14:textId="330E665C" w:rsidR="004C348F" w:rsidRPr="00216722" w:rsidRDefault="000F2C62" w:rsidP="00654B52">
      <w:pPr>
        <w:shd w:val="clear" w:color="auto" w:fill="FFFFFF" w:themeFill="background1"/>
        <w:spacing w:after="120" w:line="480" w:lineRule="auto"/>
        <w:jc w:val="both"/>
        <w:rPr>
          <w:rFonts w:ascii="Times New Roman" w:hAnsi="Times New Roman" w:cs="Times New Roman"/>
          <w:b/>
          <w:sz w:val="24"/>
          <w:szCs w:val="24"/>
          <w:shd w:val="clear" w:color="auto" w:fill="FFFFFF"/>
        </w:rPr>
      </w:pPr>
      <w:r w:rsidRPr="00216722">
        <w:rPr>
          <w:rFonts w:ascii="Times New Roman" w:hAnsi="Times New Roman" w:cs="Times New Roman"/>
          <w:b/>
          <w:sz w:val="24"/>
          <w:szCs w:val="24"/>
          <w:shd w:val="clear" w:color="auto" w:fill="FFFFFF"/>
        </w:rPr>
        <w:t xml:space="preserve">6. </w:t>
      </w:r>
      <w:r w:rsidR="004C348F" w:rsidRPr="00216722">
        <w:rPr>
          <w:rFonts w:ascii="Times New Roman" w:hAnsi="Times New Roman" w:cs="Times New Roman"/>
          <w:b/>
          <w:sz w:val="24"/>
          <w:szCs w:val="24"/>
          <w:shd w:val="clear" w:color="auto" w:fill="FFFFFF"/>
        </w:rPr>
        <w:t>CONCLUSIONS</w:t>
      </w:r>
    </w:p>
    <w:p w14:paraId="4570ED1A" w14:textId="0EA71738" w:rsidR="004C348F" w:rsidRPr="00216722" w:rsidRDefault="002D6695" w:rsidP="00654B52">
      <w:pPr>
        <w:shd w:val="clear" w:color="auto" w:fill="FFFFFF" w:themeFill="background1"/>
        <w:spacing w:line="480" w:lineRule="auto"/>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Drawing on </w:t>
      </w:r>
      <w:r w:rsidR="006D55B7" w:rsidRPr="00216722">
        <w:rPr>
          <w:rFonts w:ascii="Times New Roman" w:hAnsi="Times New Roman" w:cs="Times New Roman"/>
          <w:sz w:val="24"/>
          <w:szCs w:val="24"/>
          <w:shd w:val="clear" w:color="auto" w:fill="FFFFFF"/>
        </w:rPr>
        <w:t>RBV</w:t>
      </w:r>
      <w:r w:rsidRPr="00216722">
        <w:rPr>
          <w:rFonts w:ascii="Times New Roman" w:hAnsi="Times New Roman" w:cs="Times New Roman"/>
          <w:sz w:val="24"/>
          <w:szCs w:val="24"/>
          <w:shd w:val="clear" w:color="auto" w:fill="FFFFFF"/>
        </w:rPr>
        <w:t xml:space="preserve"> </w:t>
      </w:r>
      <w:r w:rsidR="002E730C" w:rsidRPr="00216722">
        <w:rPr>
          <w:rFonts w:ascii="Times New Roman" w:hAnsi="Times New Roman" w:cs="Times New Roman"/>
          <w:sz w:val="24"/>
          <w:szCs w:val="24"/>
          <w:shd w:val="clear" w:color="auto" w:fill="FFFFFF"/>
        </w:rPr>
        <w:t xml:space="preserve">we developed and tested </w:t>
      </w:r>
      <w:r w:rsidR="00E82C20" w:rsidRPr="00216722">
        <w:rPr>
          <w:rFonts w:ascii="Times New Roman" w:hAnsi="Times New Roman" w:cs="Times New Roman"/>
          <w:sz w:val="24"/>
          <w:szCs w:val="24"/>
          <w:shd w:val="clear" w:color="auto" w:fill="FFFFFF"/>
        </w:rPr>
        <w:t xml:space="preserve">a </w:t>
      </w:r>
      <w:r w:rsidR="002E730C" w:rsidRPr="00216722">
        <w:rPr>
          <w:rFonts w:ascii="Times New Roman" w:hAnsi="Times New Roman" w:cs="Times New Roman"/>
          <w:sz w:val="24"/>
          <w:szCs w:val="24"/>
          <w:shd w:val="clear" w:color="auto" w:fill="FFFFFF"/>
        </w:rPr>
        <w:t>theoretical framework</w:t>
      </w:r>
      <w:r w:rsidR="00413392" w:rsidRPr="00216722">
        <w:rPr>
          <w:rFonts w:ascii="Times New Roman" w:hAnsi="Times New Roman" w:cs="Times New Roman"/>
          <w:sz w:val="24"/>
          <w:szCs w:val="24"/>
          <w:shd w:val="clear" w:color="auto" w:fill="FFFFFF"/>
        </w:rPr>
        <w:t xml:space="preserve"> that </w:t>
      </w:r>
      <w:r w:rsidR="002E730C" w:rsidRPr="00216722">
        <w:rPr>
          <w:rFonts w:ascii="Times New Roman" w:hAnsi="Times New Roman" w:cs="Times New Roman"/>
          <w:sz w:val="24"/>
          <w:szCs w:val="24"/>
          <w:shd w:val="clear" w:color="auto" w:fill="FFFFFF"/>
        </w:rPr>
        <w:t xml:space="preserve">reconciles the independent contributions of two </w:t>
      </w:r>
      <w:r w:rsidR="00A41555" w:rsidRPr="00216722">
        <w:rPr>
          <w:rFonts w:ascii="Times New Roman" w:hAnsi="Times New Roman" w:cs="Times New Roman"/>
          <w:sz w:val="24"/>
          <w:szCs w:val="24"/>
          <w:shd w:val="clear" w:color="auto" w:fill="FFFFFF"/>
        </w:rPr>
        <w:t>well-</w:t>
      </w:r>
      <w:r w:rsidR="002E730C" w:rsidRPr="00216722">
        <w:rPr>
          <w:rFonts w:ascii="Times New Roman" w:hAnsi="Times New Roman" w:cs="Times New Roman"/>
          <w:sz w:val="24"/>
          <w:szCs w:val="24"/>
          <w:shd w:val="clear" w:color="auto" w:fill="FFFFFF"/>
        </w:rPr>
        <w:t xml:space="preserve">established streams in the literature: studies that explain the impact of RBV on supply chain properties and </w:t>
      </w:r>
      <w:r w:rsidR="007708D5" w:rsidRPr="00216722">
        <w:rPr>
          <w:rFonts w:ascii="Times New Roman" w:hAnsi="Times New Roman" w:cs="Times New Roman"/>
          <w:sz w:val="24"/>
          <w:szCs w:val="24"/>
          <w:shd w:val="clear" w:color="auto" w:fill="FFFFFF"/>
        </w:rPr>
        <w:t xml:space="preserve">those that consider the </w:t>
      </w:r>
      <w:r w:rsidR="002E730C" w:rsidRPr="00216722">
        <w:rPr>
          <w:rFonts w:ascii="Times New Roman" w:hAnsi="Times New Roman" w:cs="Times New Roman"/>
          <w:sz w:val="24"/>
          <w:szCs w:val="24"/>
          <w:shd w:val="clear" w:color="auto" w:fill="FFFFFF"/>
        </w:rPr>
        <w:t>role of top management in supply chain network</w:t>
      </w:r>
      <w:r w:rsidR="00BB5E2C" w:rsidRPr="00216722">
        <w:rPr>
          <w:rFonts w:ascii="Times New Roman" w:hAnsi="Times New Roman" w:cs="Times New Roman"/>
          <w:sz w:val="24"/>
          <w:szCs w:val="24"/>
          <w:shd w:val="clear" w:color="auto" w:fill="FFFFFF"/>
        </w:rPr>
        <w:t>s</w:t>
      </w:r>
      <w:r w:rsidR="002E730C" w:rsidRPr="00216722">
        <w:rPr>
          <w:rFonts w:ascii="Times New Roman" w:hAnsi="Times New Roman" w:cs="Times New Roman"/>
          <w:sz w:val="24"/>
          <w:szCs w:val="24"/>
          <w:shd w:val="clear" w:color="auto" w:fill="FFFFFF"/>
        </w:rPr>
        <w:t>. We attempt</w:t>
      </w:r>
      <w:r w:rsidR="00BB5E2C" w:rsidRPr="00216722">
        <w:rPr>
          <w:rFonts w:ascii="Times New Roman" w:hAnsi="Times New Roman" w:cs="Times New Roman"/>
          <w:sz w:val="24"/>
          <w:szCs w:val="24"/>
          <w:shd w:val="clear" w:color="auto" w:fill="FFFFFF"/>
        </w:rPr>
        <w:t>ed</w:t>
      </w:r>
      <w:r w:rsidR="002E730C" w:rsidRPr="00216722">
        <w:rPr>
          <w:rFonts w:ascii="Times New Roman" w:hAnsi="Times New Roman" w:cs="Times New Roman"/>
          <w:sz w:val="24"/>
          <w:szCs w:val="24"/>
          <w:shd w:val="clear" w:color="auto" w:fill="FFFFFF"/>
        </w:rPr>
        <w:t xml:space="preserve"> to explicate how top management </w:t>
      </w:r>
      <w:r w:rsidR="0065476A" w:rsidRPr="00216722">
        <w:rPr>
          <w:rFonts w:ascii="Times New Roman" w:hAnsi="Times New Roman" w:cs="Times New Roman"/>
          <w:sz w:val="24"/>
          <w:szCs w:val="24"/>
          <w:shd w:val="clear" w:color="auto" w:fill="FFFFFF"/>
        </w:rPr>
        <w:t>moderates</w:t>
      </w:r>
      <w:r w:rsidR="002E730C" w:rsidRPr="00216722">
        <w:rPr>
          <w:rFonts w:ascii="Times New Roman" w:hAnsi="Times New Roman" w:cs="Times New Roman"/>
          <w:sz w:val="24"/>
          <w:szCs w:val="24"/>
          <w:shd w:val="clear" w:color="auto" w:fill="FFFFFF"/>
        </w:rPr>
        <w:t xml:space="preserve"> between supply chain visibility and </w:t>
      </w:r>
      <w:r w:rsidR="001B1151" w:rsidRPr="00216722">
        <w:rPr>
          <w:rFonts w:ascii="Times New Roman" w:hAnsi="Times New Roman" w:cs="Times New Roman"/>
          <w:sz w:val="24"/>
          <w:szCs w:val="24"/>
          <w:shd w:val="clear" w:color="auto" w:fill="FFFFFF"/>
        </w:rPr>
        <w:t>SCAAA.</w:t>
      </w:r>
      <w:r w:rsidR="00A41555" w:rsidRPr="00216722">
        <w:rPr>
          <w:rFonts w:ascii="Times New Roman" w:hAnsi="Times New Roman" w:cs="Times New Roman"/>
          <w:sz w:val="24"/>
          <w:szCs w:val="24"/>
          <w:shd w:val="clear" w:color="auto" w:fill="FFFFFF"/>
        </w:rPr>
        <w:t xml:space="preserve">  </w:t>
      </w:r>
      <w:r w:rsidR="002E730C" w:rsidRPr="00216722">
        <w:rPr>
          <w:rFonts w:ascii="Times New Roman" w:hAnsi="Times New Roman" w:cs="Times New Roman"/>
          <w:sz w:val="24"/>
          <w:szCs w:val="24"/>
          <w:shd w:val="clear" w:color="auto" w:fill="FFFFFF"/>
        </w:rPr>
        <w:t xml:space="preserve"> Analyses based on 351 Indian auto components manufacturers support the hypothesized relationships in the theoretical framework. The research contributes to supply chain design literature focusing on building agility, adaptability and alignment. It confirms that </w:t>
      </w:r>
      <w:r w:rsidR="008B4CC8" w:rsidRPr="00216722">
        <w:rPr>
          <w:rFonts w:ascii="Times New Roman" w:hAnsi="Times New Roman" w:cs="Times New Roman"/>
          <w:sz w:val="24"/>
          <w:szCs w:val="24"/>
          <w:shd w:val="clear" w:color="auto" w:fill="FFFFFF"/>
        </w:rPr>
        <w:t xml:space="preserve">from an </w:t>
      </w:r>
      <w:r w:rsidR="002E730C" w:rsidRPr="00216722">
        <w:rPr>
          <w:rFonts w:ascii="Times New Roman" w:hAnsi="Times New Roman" w:cs="Times New Roman"/>
          <w:sz w:val="24"/>
          <w:szCs w:val="24"/>
          <w:shd w:val="clear" w:color="auto" w:fill="FFFFFF"/>
        </w:rPr>
        <w:t>RBV</w:t>
      </w:r>
      <w:r w:rsidR="008B4CC8" w:rsidRPr="00216722">
        <w:rPr>
          <w:rFonts w:ascii="Times New Roman" w:hAnsi="Times New Roman" w:cs="Times New Roman"/>
          <w:sz w:val="24"/>
          <w:szCs w:val="24"/>
          <w:shd w:val="clear" w:color="auto" w:fill="FFFFFF"/>
        </w:rPr>
        <w:t xml:space="preserve"> perspective</w:t>
      </w:r>
      <w:r w:rsidR="005F2992" w:rsidRPr="00216722">
        <w:rPr>
          <w:rFonts w:ascii="Times New Roman" w:hAnsi="Times New Roman" w:cs="Times New Roman"/>
          <w:sz w:val="24"/>
          <w:szCs w:val="24"/>
          <w:shd w:val="clear" w:color="auto" w:fill="FFFFFF"/>
        </w:rPr>
        <w:t>,</w:t>
      </w:r>
      <w:r w:rsidR="002E730C" w:rsidRPr="00216722">
        <w:rPr>
          <w:rFonts w:ascii="Times New Roman" w:hAnsi="Times New Roman" w:cs="Times New Roman"/>
          <w:sz w:val="24"/>
          <w:szCs w:val="24"/>
          <w:shd w:val="clear" w:color="auto" w:fill="FFFFFF"/>
        </w:rPr>
        <w:t xml:space="preserve"> </w:t>
      </w:r>
      <w:r w:rsidR="005F2992" w:rsidRPr="00216722">
        <w:rPr>
          <w:rFonts w:ascii="Times New Roman" w:hAnsi="Times New Roman" w:cs="Times New Roman"/>
          <w:sz w:val="24"/>
          <w:szCs w:val="24"/>
          <w:shd w:val="clear" w:color="auto" w:fill="FFFFFF"/>
        </w:rPr>
        <w:t xml:space="preserve">the </w:t>
      </w:r>
      <w:r w:rsidR="0065476A" w:rsidRPr="00216722">
        <w:rPr>
          <w:rFonts w:ascii="Times New Roman" w:hAnsi="Times New Roman" w:cs="Times New Roman"/>
          <w:sz w:val="24"/>
          <w:szCs w:val="24"/>
          <w:shd w:val="clear" w:color="auto" w:fill="FFFFFF"/>
        </w:rPr>
        <w:t>moderating</w:t>
      </w:r>
      <w:r w:rsidR="002E730C" w:rsidRPr="00216722">
        <w:rPr>
          <w:rFonts w:ascii="Times New Roman" w:hAnsi="Times New Roman" w:cs="Times New Roman"/>
          <w:sz w:val="24"/>
          <w:szCs w:val="24"/>
          <w:shd w:val="clear" w:color="auto" w:fill="FFFFFF"/>
        </w:rPr>
        <w:t xml:space="preserve"> effect of top management commitment can </w:t>
      </w:r>
      <w:r w:rsidR="00DE7370" w:rsidRPr="00216722">
        <w:rPr>
          <w:rFonts w:ascii="Times New Roman" w:hAnsi="Times New Roman" w:cs="Times New Roman"/>
          <w:sz w:val="24"/>
          <w:szCs w:val="24"/>
          <w:shd w:val="clear" w:color="auto" w:fill="FFFFFF"/>
        </w:rPr>
        <w:t xml:space="preserve">contribute to the achievement of </w:t>
      </w:r>
      <w:r w:rsidR="002E730C" w:rsidRPr="00216722">
        <w:rPr>
          <w:rFonts w:ascii="Times New Roman" w:hAnsi="Times New Roman" w:cs="Times New Roman"/>
          <w:sz w:val="24"/>
          <w:szCs w:val="24"/>
          <w:shd w:val="clear" w:color="auto" w:fill="FFFFFF"/>
        </w:rPr>
        <w:t>supply chain</w:t>
      </w:r>
      <w:r w:rsidR="00DE7370" w:rsidRPr="00216722">
        <w:rPr>
          <w:rFonts w:ascii="Times New Roman" w:hAnsi="Times New Roman" w:cs="Times New Roman"/>
          <w:sz w:val="24"/>
          <w:szCs w:val="24"/>
          <w:shd w:val="clear" w:color="auto" w:fill="FFFFFF"/>
        </w:rPr>
        <w:t xml:space="preserve"> agility, adaptability, and alignment</w:t>
      </w:r>
      <w:r w:rsidR="002E730C" w:rsidRPr="00216722">
        <w:rPr>
          <w:rFonts w:ascii="Times New Roman" w:hAnsi="Times New Roman" w:cs="Times New Roman"/>
          <w:sz w:val="24"/>
          <w:szCs w:val="24"/>
          <w:shd w:val="clear" w:color="auto" w:fill="FFFFFF"/>
        </w:rPr>
        <w:t xml:space="preserve">. </w:t>
      </w:r>
    </w:p>
    <w:p w14:paraId="6DF2D103" w14:textId="2BF47355" w:rsidR="004A1965" w:rsidRPr="00216722" w:rsidRDefault="00041242" w:rsidP="004A1965">
      <w:pPr>
        <w:spacing w:line="480" w:lineRule="auto"/>
        <w:jc w:val="both"/>
        <w:rPr>
          <w:rFonts w:ascii="Times New Roman" w:hAnsi="Times New Roman" w:cs="Times New Roman"/>
          <w:b/>
          <w:i/>
          <w:sz w:val="24"/>
          <w:szCs w:val="24"/>
          <w:shd w:val="clear" w:color="auto" w:fill="FFFFFF"/>
        </w:rPr>
      </w:pPr>
      <w:r w:rsidRPr="00216722">
        <w:rPr>
          <w:rFonts w:ascii="Times New Roman" w:hAnsi="Times New Roman" w:cs="Times New Roman"/>
          <w:b/>
          <w:i/>
          <w:sz w:val="24"/>
          <w:szCs w:val="24"/>
          <w:shd w:val="clear" w:color="auto" w:fill="FFFFFF"/>
        </w:rPr>
        <w:t xml:space="preserve">6.1 </w:t>
      </w:r>
      <w:r w:rsidR="004A1965" w:rsidRPr="00216722">
        <w:rPr>
          <w:rFonts w:ascii="Times New Roman" w:hAnsi="Times New Roman" w:cs="Times New Roman"/>
          <w:b/>
          <w:i/>
          <w:sz w:val="24"/>
          <w:szCs w:val="24"/>
          <w:shd w:val="clear" w:color="auto" w:fill="FFFFFF"/>
        </w:rPr>
        <w:t>Limitations and further research directions</w:t>
      </w:r>
    </w:p>
    <w:p w14:paraId="17495D4C" w14:textId="33EDA76C" w:rsidR="004A1965" w:rsidRPr="00216722" w:rsidRDefault="00725D98">
      <w:pPr>
        <w:spacing w:line="480" w:lineRule="auto"/>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The limitations and further research directions are outlined.</w:t>
      </w:r>
      <w:r w:rsidR="00A7786F" w:rsidRPr="00216722">
        <w:rPr>
          <w:rFonts w:ascii="Times New Roman" w:hAnsi="Times New Roman" w:cs="Times New Roman"/>
          <w:sz w:val="24"/>
          <w:szCs w:val="24"/>
          <w:shd w:val="clear" w:color="auto" w:fill="FFFFFF"/>
        </w:rPr>
        <w:t xml:space="preserve"> Firstly, our </w:t>
      </w:r>
      <w:r w:rsidR="006D0116" w:rsidRPr="00216722">
        <w:rPr>
          <w:rFonts w:ascii="Times New Roman" w:hAnsi="Times New Roman" w:cs="Times New Roman"/>
          <w:sz w:val="24"/>
          <w:szCs w:val="24"/>
          <w:shd w:val="clear" w:color="auto" w:fill="FFFFFF"/>
        </w:rPr>
        <w:t xml:space="preserve">research </w:t>
      </w:r>
      <w:r w:rsidR="00A7786F" w:rsidRPr="00216722">
        <w:rPr>
          <w:rFonts w:ascii="Times New Roman" w:hAnsi="Times New Roman" w:cs="Times New Roman"/>
          <w:sz w:val="24"/>
          <w:szCs w:val="24"/>
          <w:shd w:val="clear" w:color="auto" w:fill="FFFFFF"/>
        </w:rPr>
        <w:t>utilizes supply chain visibility to explain SCAAA. However,</w:t>
      </w:r>
      <w:r w:rsidRPr="00216722">
        <w:rPr>
          <w:rFonts w:ascii="Times New Roman" w:hAnsi="Times New Roman" w:cs="Times New Roman"/>
          <w:sz w:val="24"/>
          <w:szCs w:val="24"/>
          <w:shd w:val="clear" w:color="auto" w:fill="FFFFFF"/>
        </w:rPr>
        <w:t xml:space="preserve"> future research could investigate other resources and capabilities</w:t>
      </w:r>
      <w:r w:rsidR="00D63FE4" w:rsidRPr="00216722">
        <w:rPr>
          <w:rFonts w:ascii="Times New Roman" w:hAnsi="Times New Roman" w:cs="Times New Roman"/>
          <w:sz w:val="24"/>
          <w:szCs w:val="24"/>
          <w:shd w:val="clear" w:color="auto" w:fill="FFFFFF"/>
        </w:rPr>
        <w:t>,</w:t>
      </w:r>
      <w:r w:rsidRPr="00216722">
        <w:rPr>
          <w:rFonts w:ascii="Times New Roman" w:hAnsi="Times New Roman" w:cs="Times New Roman"/>
          <w:sz w:val="24"/>
          <w:szCs w:val="24"/>
          <w:shd w:val="clear" w:color="auto" w:fill="FFFFFF"/>
        </w:rPr>
        <w:t xml:space="preserve"> </w:t>
      </w:r>
      <w:r w:rsidR="00CB67AE" w:rsidRPr="00216722">
        <w:rPr>
          <w:rFonts w:ascii="Times New Roman" w:hAnsi="Times New Roman" w:cs="Times New Roman"/>
          <w:sz w:val="24"/>
          <w:szCs w:val="24"/>
          <w:shd w:val="clear" w:color="auto" w:fill="FFFFFF"/>
        </w:rPr>
        <w:t xml:space="preserve">such as </w:t>
      </w:r>
      <w:r w:rsidRPr="00216722">
        <w:rPr>
          <w:rFonts w:ascii="Times New Roman" w:hAnsi="Times New Roman" w:cs="Times New Roman"/>
          <w:sz w:val="24"/>
          <w:szCs w:val="24"/>
          <w:shd w:val="clear" w:color="auto" w:fill="FFFFFF"/>
        </w:rPr>
        <w:t>big data &amp; predictive analytics</w:t>
      </w:r>
      <w:r w:rsidR="00D63FE4" w:rsidRPr="00216722">
        <w:rPr>
          <w:rFonts w:ascii="Times New Roman" w:hAnsi="Times New Roman" w:cs="Times New Roman"/>
          <w:sz w:val="24"/>
          <w:szCs w:val="24"/>
          <w:shd w:val="clear" w:color="auto" w:fill="FFFFFF"/>
        </w:rPr>
        <w:t>,</w:t>
      </w:r>
      <w:r w:rsidRPr="00216722">
        <w:rPr>
          <w:rFonts w:ascii="Times New Roman" w:hAnsi="Times New Roman" w:cs="Times New Roman"/>
          <w:sz w:val="24"/>
          <w:szCs w:val="24"/>
          <w:shd w:val="clear" w:color="auto" w:fill="FFFFFF"/>
        </w:rPr>
        <w:t xml:space="preserve"> to improve agility, adaptability and alignment (</w:t>
      </w:r>
      <w:r w:rsidR="00547332" w:rsidRPr="00216722">
        <w:rPr>
          <w:rFonts w:ascii="Times New Roman" w:hAnsi="Times New Roman" w:cs="Times New Roman"/>
          <w:sz w:val="24"/>
          <w:szCs w:val="24"/>
          <w:shd w:val="clear" w:color="auto" w:fill="FFFFFF"/>
        </w:rPr>
        <w:t>Gunasekaran et al. 2017;</w:t>
      </w:r>
      <w:r w:rsidR="00345096" w:rsidRPr="00216722">
        <w:rPr>
          <w:rFonts w:ascii="Times New Roman" w:hAnsi="Times New Roman" w:cs="Times New Roman"/>
          <w:sz w:val="24"/>
          <w:szCs w:val="24"/>
          <w:shd w:val="clear" w:color="auto" w:fill="FFFFFF"/>
        </w:rPr>
        <w:t xml:space="preserve"> Fosso Wamba et al. 2017). </w:t>
      </w:r>
      <w:r w:rsidR="004946FE" w:rsidRPr="00216722">
        <w:rPr>
          <w:rFonts w:ascii="Times New Roman" w:hAnsi="Times New Roman" w:cs="Times New Roman"/>
          <w:sz w:val="24"/>
          <w:szCs w:val="24"/>
          <w:shd w:val="clear" w:color="auto" w:fill="FFFFFF"/>
        </w:rPr>
        <w:t xml:space="preserve">Secondly, </w:t>
      </w:r>
      <w:r w:rsidR="00271BBC" w:rsidRPr="00216722">
        <w:rPr>
          <w:rFonts w:ascii="Times New Roman" w:hAnsi="Times New Roman" w:cs="Times New Roman"/>
          <w:sz w:val="24"/>
          <w:szCs w:val="24"/>
          <w:shd w:val="clear" w:color="auto" w:fill="FFFFFF"/>
        </w:rPr>
        <w:t>a</w:t>
      </w:r>
      <w:r w:rsidR="00870088" w:rsidRPr="00216722">
        <w:rPr>
          <w:rFonts w:ascii="Times New Roman" w:hAnsi="Times New Roman" w:cs="Times New Roman"/>
          <w:sz w:val="24"/>
          <w:szCs w:val="24"/>
          <w:shd w:val="clear" w:color="auto" w:fill="FFFFFF"/>
        </w:rPr>
        <w:t>nother</w:t>
      </w:r>
      <w:r w:rsidR="00271BBC" w:rsidRPr="00216722">
        <w:rPr>
          <w:rFonts w:ascii="Times New Roman" w:hAnsi="Times New Roman" w:cs="Times New Roman"/>
          <w:sz w:val="24"/>
          <w:szCs w:val="24"/>
          <w:shd w:val="clear" w:color="auto" w:fill="FFFFFF"/>
        </w:rPr>
        <w:t xml:space="preserve"> </w:t>
      </w:r>
      <w:r w:rsidR="004946FE" w:rsidRPr="00216722">
        <w:rPr>
          <w:rFonts w:ascii="Times New Roman" w:hAnsi="Times New Roman" w:cs="Times New Roman"/>
          <w:sz w:val="24"/>
          <w:szCs w:val="24"/>
          <w:shd w:val="clear" w:color="auto" w:fill="FFFFFF"/>
        </w:rPr>
        <w:t>limitation stems from our use of RBV. Since formal and informal institutions may influence the availability and acquisition of resources in a country or region</w:t>
      </w:r>
      <w:r w:rsidR="00A7786F" w:rsidRPr="00216722">
        <w:rPr>
          <w:rFonts w:ascii="Times New Roman" w:hAnsi="Times New Roman" w:cs="Times New Roman"/>
          <w:sz w:val="24"/>
          <w:szCs w:val="24"/>
          <w:shd w:val="clear" w:color="auto" w:fill="FFFFFF"/>
        </w:rPr>
        <w:t xml:space="preserve"> (Ling-</w:t>
      </w:r>
      <w:r w:rsidR="0031222F" w:rsidRPr="00216722">
        <w:rPr>
          <w:rFonts w:ascii="Times New Roman" w:hAnsi="Times New Roman" w:cs="Times New Roman"/>
          <w:sz w:val="24"/>
          <w:szCs w:val="24"/>
          <w:shd w:val="clear" w:color="auto" w:fill="FFFFFF"/>
        </w:rPr>
        <w:t>Yee</w:t>
      </w:r>
      <w:r w:rsidR="00A7786F" w:rsidRPr="00216722">
        <w:rPr>
          <w:rFonts w:ascii="Times New Roman" w:hAnsi="Times New Roman" w:cs="Times New Roman"/>
          <w:sz w:val="24"/>
          <w:szCs w:val="24"/>
          <w:shd w:val="clear" w:color="auto" w:fill="FFFFFF"/>
        </w:rPr>
        <w:t>, 2007; Eckstein et al. 2015)</w:t>
      </w:r>
      <w:r w:rsidR="004946FE" w:rsidRPr="00216722">
        <w:rPr>
          <w:rFonts w:ascii="Times New Roman" w:hAnsi="Times New Roman" w:cs="Times New Roman"/>
          <w:sz w:val="24"/>
          <w:szCs w:val="24"/>
          <w:shd w:val="clear" w:color="auto" w:fill="FFFFFF"/>
        </w:rPr>
        <w:t>,</w:t>
      </w:r>
      <w:r w:rsidR="00BE1E81" w:rsidRPr="00216722">
        <w:rPr>
          <w:rFonts w:ascii="Times New Roman" w:hAnsi="Times New Roman" w:cs="Times New Roman"/>
          <w:sz w:val="24"/>
          <w:szCs w:val="24"/>
          <w:shd w:val="clear" w:color="auto" w:fill="FFFFFF"/>
        </w:rPr>
        <w:t xml:space="preserve"> </w:t>
      </w:r>
      <w:r w:rsidR="005A6B2F" w:rsidRPr="00216722">
        <w:rPr>
          <w:rFonts w:ascii="Times New Roman" w:hAnsi="Times New Roman" w:cs="Times New Roman"/>
          <w:sz w:val="24"/>
          <w:szCs w:val="24"/>
          <w:shd w:val="clear" w:color="auto" w:fill="FFFFFF"/>
        </w:rPr>
        <w:t xml:space="preserve">in future studies </w:t>
      </w:r>
      <w:r w:rsidR="00BE1E81" w:rsidRPr="00216722">
        <w:rPr>
          <w:rFonts w:ascii="Times New Roman" w:hAnsi="Times New Roman" w:cs="Times New Roman"/>
          <w:sz w:val="24"/>
          <w:szCs w:val="24"/>
          <w:shd w:val="clear" w:color="auto" w:fill="FFFFFF"/>
        </w:rPr>
        <w:t>our use of</w:t>
      </w:r>
      <w:r w:rsidR="004946FE" w:rsidRPr="00216722">
        <w:rPr>
          <w:rFonts w:ascii="Times New Roman" w:hAnsi="Times New Roman" w:cs="Times New Roman"/>
          <w:sz w:val="24"/>
          <w:szCs w:val="24"/>
          <w:shd w:val="clear" w:color="auto" w:fill="FFFFFF"/>
        </w:rPr>
        <w:t xml:space="preserve"> RBV could</w:t>
      </w:r>
      <w:r w:rsidR="0031222F" w:rsidRPr="00216722">
        <w:rPr>
          <w:rFonts w:ascii="Times New Roman" w:hAnsi="Times New Roman" w:cs="Times New Roman"/>
          <w:sz w:val="24"/>
          <w:szCs w:val="24"/>
          <w:shd w:val="clear" w:color="auto" w:fill="FFFFFF"/>
        </w:rPr>
        <w:t xml:space="preserve"> </w:t>
      </w:r>
      <w:r w:rsidR="004946FE" w:rsidRPr="00216722">
        <w:rPr>
          <w:rFonts w:ascii="Times New Roman" w:hAnsi="Times New Roman" w:cs="Times New Roman"/>
          <w:sz w:val="24"/>
          <w:szCs w:val="24"/>
          <w:shd w:val="clear" w:color="auto" w:fill="FFFFFF"/>
        </w:rPr>
        <w:t xml:space="preserve">be augmented by institutional theory to shed light upon the influence of these institutions (Hitt et al., 2016). </w:t>
      </w:r>
      <w:r w:rsidR="003E1C84" w:rsidRPr="00216722">
        <w:rPr>
          <w:rFonts w:ascii="Times New Roman" w:hAnsi="Times New Roman" w:cs="Times New Roman"/>
          <w:sz w:val="24"/>
          <w:szCs w:val="24"/>
          <w:shd w:val="clear" w:color="auto" w:fill="FFFFFF"/>
        </w:rPr>
        <w:t xml:space="preserve">Thirdly, </w:t>
      </w:r>
      <w:r w:rsidR="0025106F" w:rsidRPr="00216722">
        <w:rPr>
          <w:rFonts w:ascii="Times New Roman" w:hAnsi="Times New Roman" w:cs="Times New Roman"/>
          <w:sz w:val="24"/>
          <w:szCs w:val="24"/>
          <w:shd w:val="clear" w:color="auto" w:fill="FFFFFF"/>
        </w:rPr>
        <w:t>apart from TMC, it maybe that leadership style</w:t>
      </w:r>
      <w:r w:rsidR="001C3150" w:rsidRPr="00216722">
        <w:rPr>
          <w:rFonts w:ascii="Times New Roman" w:hAnsi="Times New Roman" w:cs="Times New Roman"/>
          <w:sz w:val="24"/>
          <w:szCs w:val="24"/>
          <w:shd w:val="clear" w:color="auto" w:fill="FFFFFF"/>
        </w:rPr>
        <w:t xml:space="preserve"> (Messersmith and Chang, 2017)</w:t>
      </w:r>
      <w:r w:rsidR="0025106F" w:rsidRPr="00216722">
        <w:rPr>
          <w:rFonts w:ascii="Times New Roman" w:hAnsi="Times New Roman" w:cs="Times New Roman"/>
          <w:sz w:val="24"/>
          <w:szCs w:val="24"/>
          <w:shd w:val="clear" w:color="auto" w:fill="FFFFFF"/>
        </w:rPr>
        <w:t xml:space="preserve"> is also important in shaping the design of supply chain agility, adaptability, and alignment, and we hence </w:t>
      </w:r>
      <w:r w:rsidR="004946FE" w:rsidRPr="00216722">
        <w:rPr>
          <w:rFonts w:ascii="Times New Roman" w:hAnsi="Times New Roman" w:cs="Times New Roman"/>
          <w:sz w:val="24"/>
          <w:szCs w:val="24"/>
          <w:shd w:val="clear" w:color="auto" w:fill="FFFFFF"/>
        </w:rPr>
        <w:t xml:space="preserve">may investigate </w:t>
      </w:r>
      <w:r w:rsidR="0025106F" w:rsidRPr="00216722">
        <w:rPr>
          <w:rFonts w:ascii="Times New Roman" w:hAnsi="Times New Roman" w:cs="Times New Roman"/>
          <w:sz w:val="24"/>
          <w:szCs w:val="24"/>
          <w:shd w:val="clear" w:color="auto" w:fill="FFFFFF"/>
        </w:rPr>
        <w:t>its</w:t>
      </w:r>
      <w:r w:rsidR="004946FE" w:rsidRPr="00216722">
        <w:rPr>
          <w:rFonts w:ascii="Times New Roman" w:hAnsi="Times New Roman" w:cs="Times New Roman"/>
          <w:sz w:val="24"/>
          <w:szCs w:val="24"/>
          <w:shd w:val="clear" w:color="auto" w:fill="FFFFFF"/>
        </w:rPr>
        <w:t xml:space="preserve"> influence. </w:t>
      </w:r>
      <w:r w:rsidR="003E1C84" w:rsidRPr="00216722">
        <w:rPr>
          <w:rFonts w:ascii="Times New Roman" w:hAnsi="Times New Roman" w:cs="Times New Roman"/>
          <w:sz w:val="24"/>
          <w:szCs w:val="24"/>
          <w:shd w:val="clear" w:color="auto" w:fill="FFFFFF"/>
        </w:rPr>
        <w:t>Fourthly, we</w:t>
      </w:r>
      <w:r w:rsidR="004946FE" w:rsidRPr="00216722">
        <w:rPr>
          <w:rFonts w:ascii="Times New Roman" w:hAnsi="Times New Roman" w:cs="Times New Roman"/>
          <w:sz w:val="24"/>
          <w:szCs w:val="24"/>
          <w:shd w:val="clear" w:color="auto" w:fill="FFFFFF"/>
        </w:rPr>
        <w:t xml:space="preserve"> acknowledge that our research is inspired by gap-spotting (Alvesson and Sandberg, 2011) and would be fruitful if ‘problematization’ methodology was to be followed in order to identify and challenge the underlying assumptions of current theories (in our case, RBV) and maybe lead to more influential theories.</w:t>
      </w:r>
      <w:r w:rsidR="00A7786F" w:rsidRPr="00216722">
        <w:rPr>
          <w:rFonts w:ascii="Times New Roman" w:hAnsi="Times New Roman" w:cs="Times New Roman"/>
          <w:sz w:val="24"/>
          <w:szCs w:val="24"/>
          <w:shd w:val="clear" w:color="auto" w:fill="FFFFFF"/>
        </w:rPr>
        <w:t xml:space="preserve"> </w:t>
      </w:r>
      <w:r w:rsidR="003958CF" w:rsidRPr="00216722">
        <w:rPr>
          <w:rFonts w:ascii="Times New Roman" w:hAnsi="Times New Roman" w:cs="Times New Roman"/>
          <w:sz w:val="24"/>
          <w:szCs w:val="24"/>
          <w:shd w:val="clear" w:color="auto" w:fill="FFFFFF"/>
        </w:rPr>
        <w:t>Fift</w:t>
      </w:r>
      <w:r w:rsidR="00277EAD" w:rsidRPr="00216722">
        <w:rPr>
          <w:rFonts w:ascii="Times New Roman" w:hAnsi="Times New Roman" w:cs="Times New Roman"/>
          <w:sz w:val="24"/>
          <w:szCs w:val="24"/>
          <w:shd w:val="clear" w:color="auto" w:fill="FFFFFF"/>
        </w:rPr>
        <w:t>h</w:t>
      </w:r>
      <w:r w:rsidR="003958CF" w:rsidRPr="00216722">
        <w:rPr>
          <w:rFonts w:ascii="Times New Roman" w:hAnsi="Times New Roman" w:cs="Times New Roman"/>
          <w:sz w:val="24"/>
          <w:szCs w:val="24"/>
          <w:shd w:val="clear" w:color="auto" w:fill="FFFFFF"/>
        </w:rPr>
        <w:t>ly</w:t>
      </w:r>
      <w:r w:rsidR="00A7786F" w:rsidRPr="00216722">
        <w:rPr>
          <w:rFonts w:ascii="Times New Roman" w:hAnsi="Times New Roman" w:cs="Times New Roman"/>
          <w:sz w:val="24"/>
          <w:szCs w:val="24"/>
          <w:shd w:val="clear" w:color="auto" w:fill="FFFFFF"/>
        </w:rPr>
        <w:t>,</w:t>
      </w:r>
      <w:r w:rsidR="004946FE" w:rsidRPr="00216722">
        <w:rPr>
          <w:rFonts w:ascii="Times New Roman" w:hAnsi="Times New Roman" w:cs="Times New Roman"/>
          <w:sz w:val="24"/>
          <w:szCs w:val="24"/>
          <w:shd w:val="clear" w:color="auto" w:fill="FFFFFF"/>
        </w:rPr>
        <w:t xml:space="preserve"> </w:t>
      </w:r>
      <w:r w:rsidR="003E1C84" w:rsidRPr="00216722">
        <w:rPr>
          <w:rFonts w:ascii="Times New Roman" w:hAnsi="Times New Roman" w:cs="Times New Roman"/>
          <w:sz w:val="24"/>
          <w:szCs w:val="24"/>
          <w:shd w:val="clear" w:color="auto" w:fill="FFFFFF"/>
        </w:rPr>
        <w:t>our</w:t>
      </w:r>
      <w:r w:rsidR="004A1965" w:rsidRPr="00216722">
        <w:rPr>
          <w:rFonts w:ascii="Times New Roman" w:hAnsi="Times New Roman" w:cs="Times New Roman"/>
          <w:sz w:val="24"/>
          <w:szCs w:val="24"/>
          <w:shd w:val="clear" w:color="auto" w:fill="FFFFFF"/>
        </w:rPr>
        <w:t xml:space="preserve"> study utilises cross-sectional data to test research hypotheses. However, in a recent editorial note Guide and Ketokivi (2015) </w:t>
      </w:r>
      <w:r w:rsidR="004946FE" w:rsidRPr="00216722">
        <w:rPr>
          <w:rFonts w:ascii="Times New Roman" w:hAnsi="Times New Roman" w:cs="Times New Roman"/>
          <w:sz w:val="24"/>
          <w:szCs w:val="24"/>
          <w:shd w:val="clear" w:color="auto" w:fill="FFFFFF"/>
        </w:rPr>
        <w:t>argue</w:t>
      </w:r>
      <w:r w:rsidR="004A1965" w:rsidRPr="00216722">
        <w:rPr>
          <w:rFonts w:ascii="Times New Roman" w:hAnsi="Times New Roman" w:cs="Times New Roman"/>
          <w:sz w:val="24"/>
          <w:szCs w:val="24"/>
          <w:shd w:val="clear" w:color="auto" w:fill="FFFFFF"/>
        </w:rPr>
        <w:t xml:space="preserve"> that CMB may be an issue. </w:t>
      </w:r>
      <w:r w:rsidR="00C6527F" w:rsidRPr="00216722">
        <w:rPr>
          <w:rFonts w:ascii="Times New Roman" w:hAnsi="Times New Roman" w:cs="Times New Roman"/>
          <w:sz w:val="24"/>
          <w:szCs w:val="24"/>
          <w:shd w:val="clear" w:color="auto" w:fill="FFFFFF"/>
        </w:rPr>
        <w:t>To address this</w:t>
      </w:r>
      <w:r w:rsidR="004A1965" w:rsidRPr="00216722">
        <w:rPr>
          <w:rFonts w:ascii="Times New Roman" w:hAnsi="Times New Roman" w:cs="Times New Roman"/>
          <w:sz w:val="24"/>
          <w:szCs w:val="24"/>
          <w:shd w:val="clear" w:color="auto" w:fill="FFFFFF"/>
        </w:rPr>
        <w:t xml:space="preserve"> </w:t>
      </w:r>
      <w:r w:rsidR="00771350" w:rsidRPr="00216722">
        <w:rPr>
          <w:rFonts w:ascii="Times New Roman" w:hAnsi="Times New Roman" w:cs="Times New Roman"/>
          <w:sz w:val="24"/>
          <w:szCs w:val="24"/>
          <w:shd w:val="clear" w:color="auto" w:fill="FFFFFF"/>
        </w:rPr>
        <w:t>issue</w:t>
      </w:r>
      <w:r w:rsidR="00EE3BB5" w:rsidRPr="00216722">
        <w:rPr>
          <w:rFonts w:ascii="Times New Roman" w:hAnsi="Times New Roman" w:cs="Times New Roman"/>
          <w:sz w:val="24"/>
          <w:szCs w:val="24"/>
          <w:shd w:val="clear" w:color="auto" w:fill="FFFFFF"/>
        </w:rPr>
        <w:t>,</w:t>
      </w:r>
      <w:r w:rsidR="004A1965" w:rsidRPr="00216722">
        <w:rPr>
          <w:rFonts w:ascii="Times New Roman" w:hAnsi="Times New Roman" w:cs="Times New Roman"/>
          <w:sz w:val="24"/>
          <w:szCs w:val="24"/>
          <w:shd w:val="clear" w:color="auto" w:fill="FFFFFF"/>
        </w:rPr>
        <w:t xml:space="preserve"> </w:t>
      </w:r>
      <w:r w:rsidR="00C6527F" w:rsidRPr="00216722">
        <w:rPr>
          <w:rFonts w:ascii="Times New Roman" w:hAnsi="Times New Roman" w:cs="Times New Roman"/>
          <w:sz w:val="24"/>
          <w:szCs w:val="24"/>
          <w:shd w:val="clear" w:color="auto" w:fill="FFFFFF"/>
        </w:rPr>
        <w:t xml:space="preserve">we followed the guidelines by </w:t>
      </w:r>
      <w:r w:rsidR="004A1965" w:rsidRPr="00216722">
        <w:rPr>
          <w:rFonts w:ascii="Times New Roman" w:hAnsi="Times New Roman" w:cs="Times New Roman"/>
          <w:sz w:val="24"/>
          <w:szCs w:val="24"/>
          <w:shd w:val="clear" w:color="auto" w:fill="FFFFFF"/>
        </w:rPr>
        <w:t xml:space="preserve">Podsakoff et al. (2003), but in </w:t>
      </w:r>
      <w:r w:rsidR="00A41555" w:rsidRPr="00216722">
        <w:rPr>
          <w:rFonts w:ascii="Times New Roman" w:hAnsi="Times New Roman" w:cs="Times New Roman"/>
          <w:sz w:val="24"/>
          <w:szCs w:val="24"/>
          <w:shd w:val="clear" w:color="auto" w:fill="FFFFFF"/>
        </w:rPr>
        <w:t xml:space="preserve">the </w:t>
      </w:r>
      <w:r w:rsidR="004A1965" w:rsidRPr="00216722">
        <w:rPr>
          <w:rFonts w:ascii="Times New Roman" w:hAnsi="Times New Roman" w:cs="Times New Roman"/>
          <w:sz w:val="24"/>
          <w:szCs w:val="24"/>
          <w:shd w:val="clear" w:color="auto" w:fill="FFFFFF"/>
        </w:rPr>
        <w:t xml:space="preserve">case of self-reported data the CMB will always be </w:t>
      </w:r>
      <w:r w:rsidR="00C6527F" w:rsidRPr="00216722">
        <w:rPr>
          <w:rFonts w:ascii="Times New Roman" w:hAnsi="Times New Roman" w:cs="Times New Roman"/>
          <w:sz w:val="24"/>
          <w:szCs w:val="24"/>
          <w:shd w:val="clear" w:color="auto" w:fill="FFFFFF"/>
        </w:rPr>
        <w:t xml:space="preserve">present </w:t>
      </w:r>
      <w:r w:rsidR="004A1965" w:rsidRPr="00216722">
        <w:rPr>
          <w:rFonts w:ascii="Times New Roman" w:hAnsi="Times New Roman" w:cs="Times New Roman"/>
          <w:sz w:val="24"/>
          <w:szCs w:val="24"/>
          <w:shd w:val="clear" w:color="auto" w:fill="FFFFFF"/>
        </w:rPr>
        <w:t>(Ketokivi and Schroeder, 2004). Hence</w:t>
      </w:r>
      <w:r w:rsidR="006924D7" w:rsidRPr="00216722">
        <w:rPr>
          <w:rFonts w:ascii="Times New Roman" w:hAnsi="Times New Roman" w:cs="Times New Roman"/>
          <w:sz w:val="24"/>
          <w:szCs w:val="24"/>
          <w:shd w:val="clear" w:color="auto" w:fill="FFFFFF"/>
        </w:rPr>
        <w:t>,</w:t>
      </w:r>
      <w:r w:rsidR="004A1965" w:rsidRPr="00216722">
        <w:rPr>
          <w:rFonts w:ascii="Times New Roman" w:hAnsi="Times New Roman" w:cs="Times New Roman"/>
          <w:sz w:val="24"/>
          <w:szCs w:val="24"/>
          <w:shd w:val="clear" w:color="auto" w:fill="FFFFFF"/>
        </w:rPr>
        <w:t xml:space="preserve"> </w:t>
      </w:r>
      <w:r w:rsidR="006924D7" w:rsidRPr="00216722">
        <w:rPr>
          <w:rFonts w:ascii="Times New Roman" w:hAnsi="Times New Roman" w:cs="Times New Roman"/>
          <w:sz w:val="24"/>
          <w:szCs w:val="24"/>
          <w:shd w:val="clear" w:color="auto" w:fill="FFFFFF"/>
        </w:rPr>
        <w:t xml:space="preserve">for future studies </w:t>
      </w:r>
      <w:r w:rsidR="004A1965" w:rsidRPr="00216722">
        <w:rPr>
          <w:rFonts w:ascii="Times New Roman" w:hAnsi="Times New Roman" w:cs="Times New Roman"/>
          <w:sz w:val="24"/>
          <w:szCs w:val="24"/>
          <w:shd w:val="clear" w:color="auto" w:fill="FFFFFF"/>
        </w:rPr>
        <w:t xml:space="preserve">we recommend to gather data from multiple respondents from same observational unit. Finally, </w:t>
      </w:r>
      <w:r w:rsidR="007F60A3" w:rsidRPr="00216722">
        <w:rPr>
          <w:rFonts w:ascii="Times New Roman" w:hAnsi="Times New Roman" w:cs="Times New Roman"/>
          <w:sz w:val="24"/>
          <w:szCs w:val="24"/>
          <w:shd w:val="clear" w:color="auto" w:fill="FFFFFF"/>
        </w:rPr>
        <w:t>it may be useful</w:t>
      </w:r>
      <w:r w:rsidR="00A41555" w:rsidRPr="00216722">
        <w:rPr>
          <w:rFonts w:ascii="Times New Roman" w:hAnsi="Times New Roman" w:cs="Times New Roman"/>
          <w:sz w:val="24"/>
          <w:szCs w:val="24"/>
          <w:shd w:val="clear" w:color="auto" w:fill="FFFFFF"/>
        </w:rPr>
        <w:t xml:space="preserve"> to </w:t>
      </w:r>
      <w:r w:rsidR="00FA4236" w:rsidRPr="00216722">
        <w:rPr>
          <w:rFonts w:ascii="Times New Roman" w:hAnsi="Times New Roman" w:cs="Times New Roman"/>
          <w:sz w:val="24"/>
          <w:szCs w:val="24"/>
          <w:shd w:val="clear" w:color="auto" w:fill="FFFFFF"/>
        </w:rPr>
        <w:t xml:space="preserve">conduct </w:t>
      </w:r>
      <w:r w:rsidR="00F81ABB" w:rsidRPr="00216722">
        <w:rPr>
          <w:rFonts w:ascii="Times New Roman" w:hAnsi="Times New Roman" w:cs="Times New Roman"/>
          <w:sz w:val="24"/>
          <w:szCs w:val="24"/>
          <w:shd w:val="clear" w:color="auto" w:fill="FFFFFF"/>
        </w:rPr>
        <w:t xml:space="preserve">our study in </w:t>
      </w:r>
      <w:r w:rsidR="004A1965" w:rsidRPr="00216722">
        <w:rPr>
          <w:rFonts w:ascii="Times New Roman" w:hAnsi="Times New Roman" w:cs="Times New Roman"/>
          <w:sz w:val="24"/>
          <w:szCs w:val="24"/>
          <w:shd w:val="clear" w:color="auto" w:fill="FFFFFF"/>
        </w:rPr>
        <w:t>o</w:t>
      </w:r>
      <w:r w:rsidR="008A093B" w:rsidRPr="00216722">
        <w:rPr>
          <w:rFonts w:ascii="Times New Roman" w:hAnsi="Times New Roman" w:cs="Times New Roman"/>
          <w:sz w:val="24"/>
          <w:szCs w:val="24"/>
          <w:shd w:val="clear" w:color="auto" w:fill="FFFFFF"/>
        </w:rPr>
        <w:t xml:space="preserve">ther sectors to understand the role of visibility and its constituent resources </w:t>
      </w:r>
      <w:r w:rsidR="004A1965" w:rsidRPr="00216722">
        <w:rPr>
          <w:rFonts w:ascii="Times New Roman" w:hAnsi="Times New Roman" w:cs="Times New Roman"/>
          <w:sz w:val="24"/>
          <w:szCs w:val="24"/>
          <w:shd w:val="clear" w:color="auto" w:fill="FFFFFF"/>
        </w:rPr>
        <w:t>in creating agility, adaptability and alignment in supply chain</w:t>
      </w:r>
      <w:r w:rsidR="00384DE5" w:rsidRPr="00216722">
        <w:rPr>
          <w:rFonts w:ascii="Times New Roman" w:hAnsi="Times New Roman" w:cs="Times New Roman"/>
          <w:sz w:val="24"/>
          <w:szCs w:val="24"/>
          <w:shd w:val="clear" w:color="auto" w:fill="FFFFFF"/>
        </w:rPr>
        <w:t>s.</w:t>
      </w:r>
    </w:p>
    <w:p w14:paraId="5A821F5C" w14:textId="5B8BD4E2" w:rsidR="00907F8D" w:rsidRPr="00216722" w:rsidRDefault="00636518" w:rsidP="00E75638">
      <w:pPr>
        <w:spacing w:after="0" w:line="480" w:lineRule="auto"/>
        <w:jc w:val="both"/>
        <w:rPr>
          <w:rFonts w:ascii="Times New Roman" w:hAnsi="Times New Roman" w:cs="Times New Roman"/>
          <w:b/>
          <w:sz w:val="24"/>
          <w:szCs w:val="24"/>
          <w:shd w:val="clear" w:color="auto" w:fill="FFFFFF"/>
        </w:rPr>
      </w:pPr>
      <w:r w:rsidRPr="00216722">
        <w:rPr>
          <w:rFonts w:ascii="Times New Roman" w:hAnsi="Times New Roman" w:cs="Times New Roman"/>
          <w:b/>
          <w:sz w:val="24"/>
          <w:szCs w:val="24"/>
          <w:shd w:val="clear" w:color="auto" w:fill="FFFFFF"/>
        </w:rPr>
        <w:t>References</w:t>
      </w:r>
    </w:p>
    <w:p w14:paraId="4CFA043B" w14:textId="75E204ED" w:rsidR="00CC5AE0" w:rsidRPr="00216722" w:rsidRDefault="00CC5AE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ACMA Annual Report 2014-2015. </w:t>
      </w:r>
      <w:r w:rsidR="0068765C" w:rsidRPr="00216722">
        <w:rPr>
          <w:rFonts w:ascii="Times New Roman" w:hAnsi="Times New Roman" w:cs="Times New Roman"/>
          <w:sz w:val="24"/>
          <w:szCs w:val="24"/>
        </w:rPr>
        <w:t>http://www.acma.in/pdf/ACMA_Annual_Report_2014-15.pdf</w:t>
      </w:r>
      <w:r w:rsidRPr="00216722">
        <w:rPr>
          <w:rFonts w:ascii="Times New Roman" w:hAnsi="Times New Roman" w:cs="Times New Roman"/>
          <w:sz w:val="24"/>
          <w:szCs w:val="24"/>
          <w:shd w:val="clear" w:color="auto" w:fill="FFFFFF"/>
        </w:rPr>
        <w:t>.</w:t>
      </w:r>
    </w:p>
    <w:p w14:paraId="01B507A2" w14:textId="1CFA4FF3" w:rsidR="00926BF5" w:rsidRPr="00216722" w:rsidRDefault="00926BF5"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Alvesson, M., &amp; Sandberg, J. (2011). Generating research questions through problematization.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Academy of Management Review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36</w:t>
      </w:r>
      <w:r w:rsidRPr="00216722">
        <w:rPr>
          <w:rFonts w:ascii="Times New Roman" w:hAnsi="Times New Roman" w:cs="Times New Roman"/>
          <w:sz w:val="24"/>
          <w:szCs w:val="24"/>
          <w:shd w:val="clear" w:color="auto" w:fill="FFFFFF"/>
        </w:rPr>
        <w:t>(2), 247-271.</w:t>
      </w:r>
    </w:p>
    <w:p w14:paraId="49D9D240" w14:textId="191EB78B" w:rsidR="003610D6" w:rsidRPr="00216722" w:rsidRDefault="003610D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Amit, R., &amp; Schoemaker, P. J. H. (1993). Strategic assets and organizational rent.</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Strategic Management Journal,</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14</w:t>
      </w:r>
      <w:r w:rsidRPr="00216722">
        <w:rPr>
          <w:rFonts w:ascii="Times New Roman" w:hAnsi="Times New Roman" w:cs="Times New Roman"/>
          <w:sz w:val="24"/>
          <w:szCs w:val="24"/>
          <w:shd w:val="clear" w:color="auto" w:fill="FFFFFF"/>
        </w:rPr>
        <w:t>(1), 33-46.</w:t>
      </w:r>
    </w:p>
    <w:p w14:paraId="78399E27" w14:textId="7DFEBAAA" w:rsidR="0049787E" w:rsidRPr="00216722" w:rsidRDefault="0049787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Aragon-Correa, J. A., </w:t>
      </w:r>
      <w:r w:rsidR="00346CB7" w:rsidRPr="00216722">
        <w:rPr>
          <w:rFonts w:ascii="Times New Roman" w:hAnsi="Times New Roman" w:cs="Times New Roman"/>
          <w:sz w:val="24"/>
          <w:szCs w:val="24"/>
          <w:shd w:val="clear" w:color="auto" w:fill="FFFFFF"/>
        </w:rPr>
        <w:t>&amp;</w:t>
      </w:r>
      <w:r w:rsidRPr="00216722">
        <w:rPr>
          <w:rFonts w:ascii="Times New Roman" w:hAnsi="Times New Roman" w:cs="Times New Roman"/>
          <w:sz w:val="24"/>
          <w:szCs w:val="24"/>
          <w:shd w:val="clear" w:color="auto" w:fill="FFFFFF"/>
        </w:rPr>
        <w:t xml:space="preserve"> Sharma, S. (2003). A contingent resource-based view of proactive corporate environmental strategy. </w:t>
      </w:r>
      <w:r w:rsidRPr="00216722">
        <w:rPr>
          <w:rFonts w:ascii="Times New Roman" w:hAnsi="Times New Roman" w:cs="Times New Roman"/>
          <w:i/>
          <w:sz w:val="24"/>
          <w:szCs w:val="24"/>
          <w:shd w:val="clear" w:color="auto" w:fill="FFFFFF"/>
        </w:rPr>
        <w:t>Academy of Management Review</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28</w:t>
      </w:r>
      <w:r w:rsidRPr="00216722">
        <w:rPr>
          <w:rFonts w:ascii="Times New Roman" w:hAnsi="Times New Roman" w:cs="Times New Roman"/>
          <w:sz w:val="24"/>
          <w:szCs w:val="24"/>
          <w:shd w:val="clear" w:color="auto" w:fill="FFFFFF"/>
        </w:rPr>
        <w:t>(1), 71–88.</w:t>
      </w:r>
    </w:p>
    <w:p w14:paraId="2E813648" w14:textId="7BCC2545" w:rsidR="00DA195A" w:rsidRPr="00216722" w:rsidRDefault="00DA195A"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Augier, M., &amp;</w:t>
      </w:r>
      <w:r w:rsidR="00767A4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Teece, D. J. (2009).</w:t>
      </w:r>
      <w:r w:rsidR="00CF48D7"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Dynamic capabilities and the role of managers in business strategy and economic performance.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Organization Science</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20</w:t>
      </w:r>
      <w:r w:rsidRPr="00216722">
        <w:rPr>
          <w:rFonts w:ascii="Times New Roman" w:hAnsi="Times New Roman" w:cs="Times New Roman"/>
          <w:sz w:val="24"/>
          <w:szCs w:val="24"/>
          <w:shd w:val="clear" w:color="auto" w:fill="FFFFFF"/>
        </w:rPr>
        <w:t>(2), 410-421.</w:t>
      </w:r>
    </w:p>
    <w:p w14:paraId="61BEB7C8" w14:textId="391981ED" w:rsidR="00783F7E" w:rsidRPr="00216722" w:rsidRDefault="00783F7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Babakus, E., Yavas, U., Karatepe, O. M., &amp; Avci, T. (2003). The effect of management commitment to service quality on employees' affective and performance outcomes.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the Academy of Marketing Science</w:t>
      </w:r>
      <w:r w:rsidRPr="00216722">
        <w:rPr>
          <w:rFonts w:ascii="Times New Roman" w:hAnsi="Times New Roman" w:cs="Times New Roman"/>
          <w:sz w:val="24"/>
          <w:szCs w:val="24"/>
          <w:shd w:val="clear" w:color="auto" w:fill="FFFFFF"/>
        </w:rPr>
        <w:t>,</w:t>
      </w:r>
      <w:r w:rsidR="00A41555"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31</w:t>
      </w:r>
      <w:r w:rsidRPr="00216722">
        <w:rPr>
          <w:rFonts w:ascii="Times New Roman" w:hAnsi="Times New Roman" w:cs="Times New Roman"/>
          <w:sz w:val="24"/>
          <w:szCs w:val="24"/>
          <w:shd w:val="clear" w:color="auto" w:fill="FFFFFF"/>
        </w:rPr>
        <w:t>(3), 272-286.</w:t>
      </w:r>
    </w:p>
    <w:p w14:paraId="2E0C42BF" w14:textId="55E5C00C" w:rsidR="00B20FBD" w:rsidRPr="00216722" w:rsidRDefault="00B20FB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Barney, J. (1991). Firm resources and sustained competitive </w:t>
      </w:r>
      <w:r w:rsidR="008F6591" w:rsidRPr="00216722">
        <w:rPr>
          <w:rFonts w:ascii="Times New Roman" w:hAnsi="Times New Roman" w:cs="Times New Roman"/>
          <w:sz w:val="24"/>
          <w:szCs w:val="24"/>
          <w:shd w:val="clear" w:color="auto" w:fill="FFFFFF"/>
        </w:rPr>
        <w:t>advantage.</w:t>
      </w:r>
      <w:r w:rsidR="008F6591" w:rsidRPr="00216722">
        <w:rPr>
          <w:rFonts w:ascii="Times New Roman" w:hAnsi="Times New Roman" w:cs="Times New Roman"/>
          <w:i/>
          <w:iCs/>
          <w:sz w:val="24"/>
          <w:szCs w:val="24"/>
          <w:shd w:val="clear" w:color="auto" w:fill="FFFFFF"/>
        </w:rPr>
        <w:t xml:space="preserve"> Journal</w:t>
      </w:r>
      <w:r w:rsidRPr="00216722">
        <w:rPr>
          <w:rFonts w:ascii="Times New Roman" w:hAnsi="Times New Roman" w:cs="Times New Roman"/>
          <w:i/>
          <w:iCs/>
          <w:sz w:val="24"/>
          <w:szCs w:val="24"/>
          <w:shd w:val="clear" w:color="auto" w:fill="FFFFFF"/>
        </w:rPr>
        <w:t xml:space="preserve"> of </w:t>
      </w:r>
      <w:r w:rsidR="00AB46E0" w:rsidRPr="00216722">
        <w:rPr>
          <w:rFonts w:ascii="Times New Roman" w:hAnsi="Times New Roman" w:cs="Times New Roman"/>
          <w:i/>
          <w:iCs/>
          <w:sz w:val="24"/>
          <w:szCs w:val="24"/>
          <w:shd w:val="clear" w:color="auto" w:fill="FFFFFF"/>
        </w:rPr>
        <w:t>M</w:t>
      </w:r>
      <w:r w:rsidRPr="00216722">
        <w:rPr>
          <w:rFonts w:ascii="Times New Roman" w:hAnsi="Times New Roman" w:cs="Times New Roman"/>
          <w:i/>
          <w:iCs/>
          <w:sz w:val="24"/>
          <w:szCs w:val="24"/>
          <w:shd w:val="clear" w:color="auto" w:fill="FFFFFF"/>
        </w:rPr>
        <w:t>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17</w:t>
      </w:r>
      <w:r w:rsidRPr="00216722">
        <w:rPr>
          <w:rFonts w:ascii="Times New Roman" w:hAnsi="Times New Roman" w:cs="Times New Roman"/>
          <w:sz w:val="24"/>
          <w:szCs w:val="24"/>
          <w:shd w:val="clear" w:color="auto" w:fill="FFFFFF"/>
        </w:rPr>
        <w:t>(1), 99-120.</w:t>
      </w:r>
    </w:p>
    <w:p w14:paraId="330B88C6" w14:textId="29D3DED7" w:rsidR="00B72206" w:rsidRPr="00216722" w:rsidRDefault="00B7220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Barratt, M. (2004). Understanding the meaning of collaboration in the supply chain.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Supply Chain Management: an international journal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9</w:t>
      </w:r>
      <w:r w:rsidRPr="00216722">
        <w:rPr>
          <w:rFonts w:ascii="Times New Roman" w:hAnsi="Times New Roman" w:cs="Times New Roman"/>
          <w:sz w:val="24"/>
          <w:szCs w:val="24"/>
          <w:shd w:val="clear" w:color="auto" w:fill="FFFFFF"/>
        </w:rPr>
        <w:t>(1), 30-42.</w:t>
      </w:r>
    </w:p>
    <w:p w14:paraId="112EC400" w14:textId="307FF2EA" w:rsidR="00056977" w:rsidRPr="00216722" w:rsidRDefault="00B32AC1"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Barratt, M., &amp;</w:t>
      </w:r>
      <w:r w:rsidR="00767A4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 xml:space="preserve">Oke, A. (2007). Antecedents of supply chain visibility in retail supply chains: a resource-based theory perspective. </w:t>
      </w:r>
      <w:r w:rsidRPr="00216722">
        <w:rPr>
          <w:rFonts w:ascii="Times New Roman" w:eastAsia="Times New Roman" w:hAnsi="Times New Roman" w:cs="Times New Roman"/>
          <w:i/>
          <w:iCs/>
          <w:sz w:val="24"/>
          <w:szCs w:val="24"/>
        </w:rPr>
        <w:t xml:space="preserve">Journal of </w:t>
      </w:r>
      <w:r w:rsidR="00CF48D7" w:rsidRPr="00216722">
        <w:rPr>
          <w:rFonts w:ascii="Times New Roman" w:eastAsia="Times New Roman" w:hAnsi="Times New Roman" w:cs="Times New Roman"/>
          <w:i/>
          <w:iCs/>
          <w:sz w:val="24"/>
          <w:szCs w:val="24"/>
        </w:rPr>
        <w:t>Operations Management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25</w:t>
      </w:r>
      <w:r w:rsidRPr="00216722">
        <w:rPr>
          <w:rFonts w:ascii="Times New Roman" w:eastAsia="Times New Roman" w:hAnsi="Times New Roman" w:cs="Times New Roman"/>
          <w:sz w:val="24"/>
          <w:szCs w:val="24"/>
        </w:rPr>
        <w:t>(6), 1217-1233.</w:t>
      </w:r>
    </w:p>
    <w:p w14:paraId="3796B66D" w14:textId="2D3EF953" w:rsidR="009553A8" w:rsidRPr="00216722" w:rsidRDefault="009553A8"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Barrick, M. R., Bradley, B. H., Kristof-Brown, A. L., &amp; Colbert, A. E. (2007). The moderating role of top management team interdependence: Implications for real teams and working groups.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Academy of Management Journal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50</w:t>
      </w:r>
      <w:r w:rsidRPr="00216722">
        <w:rPr>
          <w:rFonts w:ascii="Times New Roman" w:hAnsi="Times New Roman" w:cs="Times New Roman"/>
          <w:sz w:val="24"/>
          <w:szCs w:val="24"/>
          <w:shd w:val="clear" w:color="auto" w:fill="FFFFFF"/>
        </w:rPr>
        <w:t>(3), 544-557.</w:t>
      </w:r>
    </w:p>
    <w:p w14:paraId="108C3293" w14:textId="0E3EE41E" w:rsidR="00533643" w:rsidRPr="00216722" w:rsidRDefault="00533643"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Bentler, P. M., &amp;</w:t>
      </w:r>
      <w:r w:rsidR="00767A4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Bonett, D. G. (1980).</w:t>
      </w:r>
      <w:r w:rsidR="00CF48D7"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Significance tests and goodness of fit in the analysis of covariance structures.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Psychological </w:t>
      </w:r>
      <w:r w:rsidR="00A41555" w:rsidRPr="00216722">
        <w:rPr>
          <w:rFonts w:ascii="Times New Roman" w:hAnsi="Times New Roman" w:cs="Times New Roman"/>
          <w:i/>
          <w:iCs/>
          <w:sz w:val="24"/>
          <w:szCs w:val="24"/>
          <w:shd w:val="clear" w:color="auto" w:fill="FFFFFF"/>
        </w:rPr>
        <w:t>Bulletin</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88</w:t>
      </w:r>
      <w:r w:rsidRPr="00216722">
        <w:rPr>
          <w:rFonts w:ascii="Times New Roman" w:hAnsi="Times New Roman" w:cs="Times New Roman"/>
          <w:sz w:val="24"/>
          <w:szCs w:val="24"/>
          <w:shd w:val="clear" w:color="auto" w:fill="FFFFFF"/>
        </w:rPr>
        <w:t>(3), 588-606.</w:t>
      </w:r>
    </w:p>
    <w:p w14:paraId="6D7CEF24" w14:textId="38F3F19B" w:rsidR="00A25525" w:rsidRPr="00216722" w:rsidRDefault="00A25525"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Bentler, P. M. (1990). Comparative fit indexes in structural models.</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 xml:space="preserve">Psychological </w:t>
      </w:r>
      <w:r w:rsidR="00A41555" w:rsidRPr="00216722">
        <w:rPr>
          <w:rFonts w:ascii="Times New Roman" w:hAnsi="Times New Roman" w:cs="Times New Roman"/>
          <w:i/>
          <w:iCs/>
          <w:sz w:val="24"/>
          <w:szCs w:val="24"/>
          <w:shd w:val="clear" w:color="auto" w:fill="FFFFFF"/>
        </w:rPr>
        <w:t>Bulletin</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107</w:t>
      </w:r>
      <w:r w:rsidRPr="00216722">
        <w:rPr>
          <w:rFonts w:ascii="Times New Roman" w:hAnsi="Times New Roman" w:cs="Times New Roman"/>
          <w:sz w:val="24"/>
          <w:szCs w:val="24"/>
          <w:shd w:val="clear" w:color="auto" w:fill="FFFFFF"/>
        </w:rPr>
        <w:t>(2), 238-246.</w:t>
      </w:r>
    </w:p>
    <w:p w14:paraId="2E6C09A2" w14:textId="787F7915" w:rsidR="00993F10" w:rsidRPr="00216722" w:rsidRDefault="00993F1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Blome, C., Schoenherr, T., &amp;</w:t>
      </w:r>
      <w:r w:rsidR="00767A46" w:rsidRPr="00216722">
        <w:rPr>
          <w:rFonts w:ascii="Times New Roman" w:hAnsi="Times New Roman" w:cs="Times New Roman"/>
          <w:sz w:val="24"/>
          <w:szCs w:val="24"/>
          <w:shd w:val="clear" w:color="auto" w:fill="FFFFFF"/>
        </w:rPr>
        <w:t xml:space="preserve"> </w:t>
      </w:r>
      <w:r w:rsidR="00057BE3" w:rsidRPr="00216722">
        <w:rPr>
          <w:rFonts w:ascii="Times New Roman" w:hAnsi="Times New Roman" w:cs="Times New Roman"/>
          <w:sz w:val="24"/>
          <w:szCs w:val="24"/>
          <w:shd w:val="clear" w:color="auto" w:fill="FFFFFF"/>
        </w:rPr>
        <w:t>Rexhausen, D. (2013</w:t>
      </w:r>
      <w:r w:rsidRPr="00216722">
        <w:rPr>
          <w:rFonts w:ascii="Times New Roman" w:hAnsi="Times New Roman" w:cs="Times New Roman"/>
          <w:sz w:val="24"/>
          <w:szCs w:val="24"/>
          <w:shd w:val="clear" w:color="auto" w:fill="FFFFFF"/>
        </w:rPr>
        <w:t>). Antecedents and enablers of supply chain agility and its effect on performance: a dynamic capabilities perspective.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Research</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51</w:t>
      </w:r>
      <w:r w:rsidRPr="00216722">
        <w:rPr>
          <w:rFonts w:ascii="Times New Roman" w:hAnsi="Times New Roman" w:cs="Times New Roman"/>
          <w:sz w:val="24"/>
          <w:szCs w:val="24"/>
          <w:shd w:val="clear" w:color="auto" w:fill="FFFFFF"/>
        </w:rPr>
        <w:t>(4), 1295-1318.</w:t>
      </w:r>
    </w:p>
    <w:p w14:paraId="625E3CB4" w14:textId="683B9DFA" w:rsidR="007960E7" w:rsidRPr="00216722" w:rsidRDefault="007960E7"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Brandon</w:t>
      </w:r>
      <w:r w:rsidRPr="00216722">
        <w:rPr>
          <w:rFonts w:ascii="Cambria Math" w:hAnsi="Cambria Math" w:cs="Cambria Math"/>
          <w:sz w:val="24"/>
          <w:szCs w:val="24"/>
          <w:shd w:val="clear" w:color="auto" w:fill="FFFFFF"/>
        </w:rPr>
        <w:t>‐</w:t>
      </w:r>
      <w:r w:rsidRPr="00216722">
        <w:rPr>
          <w:rFonts w:ascii="Times New Roman" w:hAnsi="Times New Roman" w:cs="Times New Roman"/>
          <w:sz w:val="24"/>
          <w:szCs w:val="24"/>
          <w:shd w:val="clear" w:color="auto" w:fill="FFFFFF"/>
        </w:rPr>
        <w:t>Jones, E., Squire, B., Autry, C. W., &amp; Petersen, K. J. (2014).</w:t>
      </w:r>
      <w:r w:rsidR="00260010"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A Contingent Resource</w:t>
      </w:r>
      <w:r w:rsidRPr="00216722">
        <w:rPr>
          <w:rFonts w:ascii="Cambria Math" w:hAnsi="Cambria Math" w:cs="Cambria Math"/>
          <w:sz w:val="24"/>
          <w:szCs w:val="24"/>
          <w:shd w:val="clear" w:color="auto" w:fill="FFFFFF"/>
        </w:rPr>
        <w:t>‐</w:t>
      </w:r>
      <w:r w:rsidRPr="00216722">
        <w:rPr>
          <w:rFonts w:ascii="Times New Roman" w:hAnsi="Times New Roman" w:cs="Times New Roman"/>
          <w:sz w:val="24"/>
          <w:szCs w:val="24"/>
          <w:shd w:val="clear" w:color="auto" w:fill="FFFFFF"/>
        </w:rPr>
        <w:t>Based Perspective of Supply Chain Resilience and Robustness.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Supply Chain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50</w:t>
      </w:r>
      <w:r w:rsidRPr="00216722">
        <w:rPr>
          <w:rFonts w:ascii="Times New Roman" w:hAnsi="Times New Roman" w:cs="Times New Roman"/>
          <w:sz w:val="24"/>
          <w:szCs w:val="24"/>
          <w:shd w:val="clear" w:color="auto" w:fill="FFFFFF"/>
        </w:rPr>
        <w:t>(3), 55-73.</w:t>
      </w:r>
    </w:p>
    <w:p w14:paraId="544B9D95" w14:textId="03145DCD" w:rsidR="00663E0A" w:rsidRPr="00216722" w:rsidRDefault="00663E0A"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Braunscheidel, M. J., &amp; Suresh, N. C. (2009). The organizational antecedents of a firm’s supply chain agility for risk mitigation and response.</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27</w:t>
      </w:r>
      <w:r w:rsidRPr="00216722">
        <w:rPr>
          <w:rFonts w:ascii="Times New Roman" w:hAnsi="Times New Roman" w:cs="Times New Roman"/>
          <w:sz w:val="24"/>
          <w:szCs w:val="24"/>
          <w:shd w:val="clear" w:color="auto" w:fill="FFFFFF"/>
        </w:rPr>
        <w:t>(2), 119-140.</w:t>
      </w:r>
    </w:p>
    <w:p w14:paraId="3F5F4309" w14:textId="44AAE0F7" w:rsidR="00A74BE6" w:rsidRPr="00216722" w:rsidRDefault="00A74BE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Bromiley, P., &amp; Rau, D. (2016). Operations management and the resource based view: Another view.</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41</w:t>
      </w:r>
      <w:r w:rsidRPr="00216722">
        <w:rPr>
          <w:rFonts w:ascii="Times New Roman" w:hAnsi="Times New Roman" w:cs="Times New Roman"/>
          <w:sz w:val="24"/>
          <w:szCs w:val="24"/>
          <w:shd w:val="clear" w:color="auto" w:fill="FFFFFF"/>
        </w:rPr>
        <w:t>, 95-106.</w:t>
      </w:r>
    </w:p>
    <w:p w14:paraId="01CBE6E8" w14:textId="2A86C4CE" w:rsidR="00EF2380" w:rsidRPr="00216722" w:rsidRDefault="00EF238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Brusset, X. (2016). Does supply chain visibility enhance agility? </w:t>
      </w:r>
      <w:r w:rsidRPr="00216722">
        <w:rPr>
          <w:rFonts w:ascii="Times New Roman" w:hAnsi="Times New Roman" w:cs="Times New Roman"/>
          <w:i/>
          <w:iCs/>
          <w:sz w:val="24"/>
          <w:szCs w:val="24"/>
          <w:shd w:val="clear" w:color="auto" w:fill="FFFFFF"/>
        </w:rPr>
        <w:t>International Journal of Production Economics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171</w:t>
      </w:r>
      <w:r w:rsidRPr="00216722">
        <w:rPr>
          <w:rFonts w:ascii="Times New Roman" w:hAnsi="Times New Roman" w:cs="Times New Roman"/>
          <w:sz w:val="24"/>
          <w:szCs w:val="24"/>
          <w:shd w:val="clear" w:color="auto" w:fill="FFFFFF"/>
        </w:rPr>
        <w:t>, 46-59.</w:t>
      </w:r>
    </w:p>
    <w:p w14:paraId="73E945F3" w14:textId="04925488" w:rsidR="00B04118" w:rsidRPr="00216722" w:rsidRDefault="00B04118"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 xml:space="preserve">Cao, M., &amp; Zhang, Q. (2011). Supply chain collaboration: Impact on collaborative advantage and firm performance. </w:t>
      </w:r>
      <w:r w:rsidRPr="00216722">
        <w:rPr>
          <w:rFonts w:ascii="Times New Roman" w:eastAsia="Times New Roman" w:hAnsi="Times New Roman" w:cs="Times New Roman"/>
          <w:i/>
          <w:iCs/>
          <w:sz w:val="24"/>
          <w:szCs w:val="24"/>
        </w:rPr>
        <w:t>Journal of Operations Management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29</w:t>
      </w:r>
      <w:r w:rsidRPr="00216722">
        <w:rPr>
          <w:rFonts w:ascii="Times New Roman" w:eastAsia="Times New Roman" w:hAnsi="Times New Roman" w:cs="Times New Roman"/>
          <w:sz w:val="24"/>
          <w:szCs w:val="24"/>
        </w:rPr>
        <w:t>(3), 163-180.</w:t>
      </w:r>
    </w:p>
    <w:p w14:paraId="7CC1A4F1" w14:textId="711F6609" w:rsidR="0071734B" w:rsidRPr="00216722" w:rsidRDefault="0071734B"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Carmeli, A., &amp; Halevi, M. Y. (2009). How top management team behavioral integration and behavioral complexity enable organizational ambidexterity: The moderating role of contextual ambidexterity.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The Leadership Quarterly</w:t>
      </w:r>
      <w:r w:rsidRPr="00216722">
        <w:rPr>
          <w:rFonts w:ascii="Times New Roman" w:hAnsi="Times New Roman" w:cs="Times New Roman"/>
          <w:sz w:val="24"/>
          <w:szCs w:val="24"/>
          <w:shd w:val="clear" w:color="auto" w:fill="FFFFFF"/>
        </w:rPr>
        <w:t>,</w:t>
      </w:r>
      <w:r w:rsidR="00A41555"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20</w:t>
      </w:r>
      <w:r w:rsidRPr="00216722">
        <w:rPr>
          <w:rFonts w:ascii="Times New Roman" w:hAnsi="Times New Roman" w:cs="Times New Roman"/>
          <w:sz w:val="24"/>
          <w:szCs w:val="24"/>
          <w:shd w:val="clear" w:color="auto" w:fill="FFFFFF"/>
        </w:rPr>
        <w:t>(2), 207-218.</w:t>
      </w:r>
    </w:p>
    <w:p w14:paraId="572D7FE6" w14:textId="7073ABEA" w:rsidR="00A11DE0" w:rsidRPr="00216722" w:rsidRDefault="00A11DE0"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Chen, I. J., Paulraj, A., &amp;</w:t>
      </w:r>
      <w:r w:rsidR="00767A4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 xml:space="preserve">Lado, A. A. (2004). Strategic purchasing, supply management, and firm performance. </w:t>
      </w:r>
      <w:r w:rsidRPr="00216722">
        <w:rPr>
          <w:rFonts w:ascii="Times New Roman" w:eastAsia="Times New Roman" w:hAnsi="Times New Roman" w:cs="Times New Roman"/>
          <w:i/>
          <w:iCs/>
          <w:sz w:val="24"/>
          <w:szCs w:val="24"/>
        </w:rPr>
        <w:t xml:space="preserve">Journal of </w:t>
      </w:r>
      <w:r w:rsidR="00796B4B" w:rsidRPr="00216722">
        <w:rPr>
          <w:rFonts w:ascii="Times New Roman" w:eastAsia="Times New Roman" w:hAnsi="Times New Roman" w:cs="Times New Roman"/>
          <w:i/>
          <w:iCs/>
          <w:sz w:val="24"/>
          <w:szCs w:val="24"/>
        </w:rPr>
        <w:t>O</w:t>
      </w:r>
      <w:r w:rsidRPr="00216722">
        <w:rPr>
          <w:rFonts w:ascii="Times New Roman" w:eastAsia="Times New Roman" w:hAnsi="Times New Roman" w:cs="Times New Roman"/>
          <w:i/>
          <w:iCs/>
          <w:sz w:val="24"/>
          <w:szCs w:val="24"/>
        </w:rPr>
        <w:t xml:space="preserve">perations </w:t>
      </w:r>
      <w:r w:rsidR="00796B4B" w:rsidRPr="00216722">
        <w:rPr>
          <w:rFonts w:ascii="Times New Roman" w:eastAsia="Times New Roman" w:hAnsi="Times New Roman" w:cs="Times New Roman"/>
          <w:i/>
          <w:iCs/>
          <w:sz w:val="24"/>
          <w:szCs w:val="24"/>
        </w:rPr>
        <w:t>M</w:t>
      </w:r>
      <w:r w:rsidRPr="00216722">
        <w:rPr>
          <w:rFonts w:ascii="Times New Roman" w:eastAsia="Times New Roman" w:hAnsi="Times New Roman" w:cs="Times New Roman"/>
          <w:i/>
          <w:iCs/>
          <w:sz w:val="24"/>
          <w:szCs w:val="24"/>
        </w:rPr>
        <w:t>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22</w:t>
      </w:r>
      <w:r w:rsidRPr="00216722">
        <w:rPr>
          <w:rFonts w:ascii="Times New Roman" w:eastAsia="Times New Roman" w:hAnsi="Times New Roman" w:cs="Times New Roman"/>
          <w:sz w:val="24"/>
          <w:szCs w:val="24"/>
        </w:rPr>
        <w:t>(5), 505-523.</w:t>
      </w:r>
    </w:p>
    <w:p w14:paraId="19BCB114" w14:textId="47DB48C8" w:rsidR="007032D3" w:rsidRPr="00216722" w:rsidRDefault="007032D3"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Choi, T. Y., &amp; Wacker, J. G. (2011). Theory Building in the OM/SCM Field: Pointing to the Future by Looking at the Past.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Supply Chain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47</w:t>
      </w:r>
      <w:r w:rsidRPr="00216722">
        <w:rPr>
          <w:rFonts w:ascii="Times New Roman" w:hAnsi="Times New Roman" w:cs="Times New Roman"/>
          <w:sz w:val="24"/>
          <w:szCs w:val="24"/>
          <w:shd w:val="clear" w:color="auto" w:fill="FFFFFF"/>
        </w:rPr>
        <w:t>(2), 8-11.</w:t>
      </w:r>
    </w:p>
    <w:p w14:paraId="418F5EC7" w14:textId="330FF4C6" w:rsidR="00274F4E" w:rsidRPr="00216722" w:rsidRDefault="00274F4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Christopher, M. (2000). The agile supply chain—competing in volatile markets. </w:t>
      </w:r>
      <w:r w:rsidRPr="00216722">
        <w:rPr>
          <w:rFonts w:ascii="Times New Roman" w:hAnsi="Times New Roman" w:cs="Times New Roman"/>
          <w:i/>
          <w:sz w:val="24"/>
          <w:szCs w:val="24"/>
          <w:shd w:val="clear" w:color="auto" w:fill="FFFFFF"/>
        </w:rPr>
        <w:t>Industrial Marketing Management</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29</w:t>
      </w:r>
      <w:r w:rsidR="009E399B" w:rsidRPr="00216722">
        <w:rPr>
          <w:rFonts w:ascii="Times New Roman" w:hAnsi="Times New Roman" w:cs="Times New Roman"/>
          <w:sz w:val="24"/>
          <w:szCs w:val="24"/>
          <w:shd w:val="clear" w:color="auto" w:fill="FFFFFF"/>
        </w:rPr>
        <w:t>(1), 37-</w:t>
      </w:r>
      <w:r w:rsidRPr="00216722">
        <w:rPr>
          <w:rFonts w:ascii="Times New Roman" w:hAnsi="Times New Roman" w:cs="Times New Roman"/>
          <w:sz w:val="24"/>
          <w:szCs w:val="24"/>
          <w:shd w:val="clear" w:color="auto" w:fill="FFFFFF"/>
        </w:rPr>
        <w:t>44.</w:t>
      </w:r>
    </w:p>
    <w:p w14:paraId="3C0D0CBF" w14:textId="51F655F4" w:rsidR="00252A0E" w:rsidRPr="00216722" w:rsidRDefault="00252A0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Christopher, M., &amp; Lee, H. (2004).</w:t>
      </w:r>
      <w:r w:rsidR="00EA219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Mitigating supply chain risk through improved confidence.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International </w:t>
      </w:r>
      <w:r w:rsidR="005B442D" w:rsidRPr="00216722">
        <w:rPr>
          <w:rFonts w:ascii="Times New Roman" w:hAnsi="Times New Roman" w:cs="Times New Roman"/>
          <w:i/>
          <w:iCs/>
          <w:sz w:val="24"/>
          <w:szCs w:val="24"/>
          <w:shd w:val="clear" w:color="auto" w:fill="FFFFFF"/>
        </w:rPr>
        <w:t>Journal of Physical Distribution &amp; Logistics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34</w:t>
      </w:r>
      <w:r w:rsidRPr="00216722">
        <w:rPr>
          <w:rFonts w:ascii="Times New Roman" w:hAnsi="Times New Roman" w:cs="Times New Roman"/>
          <w:sz w:val="24"/>
          <w:szCs w:val="24"/>
          <w:shd w:val="clear" w:color="auto" w:fill="FFFFFF"/>
        </w:rPr>
        <w:t>(5), 388-396.</w:t>
      </w:r>
    </w:p>
    <w:p w14:paraId="70BA397A" w14:textId="5F4ED1ED" w:rsidR="00312202" w:rsidRPr="00216722" w:rsidRDefault="0031220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Crook, T. R., &amp; Esper, T. L. (2014). Do resources aid in supply chain functioning and management? Yes, but more (and more precise) research is needed. </w:t>
      </w:r>
      <w:r w:rsidRPr="00216722">
        <w:rPr>
          <w:rFonts w:ascii="Times New Roman" w:hAnsi="Times New Roman" w:cs="Times New Roman"/>
          <w:i/>
          <w:sz w:val="24"/>
          <w:szCs w:val="24"/>
          <w:shd w:val="clear" w:color="auto" w:fill="FFFFFF"/>
        </w:rPr>
        <w:t>Journal of Supply Chain Management</w:t>
      </w:r>
      <w:r w:rsidR="008E1320" w:rsidRPr="00216722">
        <w:rPr>
          <w:rFonts w:ascii="Times New Roman" w:hAnsi="Times New Roman" w:cs="Times New Roman"/>
          <w:i/>
          <w:sz w:val="24"/>
          <w:szCs w:val="24"/>
          <w:shd w:val="clear" w:color="auto" w:fill="FFFFFF"/>
        </w:rPr>
        <w:t>,</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50</w:t>
      </w:r>
      <w:r w:rsidRPr="00216722">
        <w:rPr>
          <w:rFonts w:ascii="Times New Roman" w:hAnsi="Times New Roman" w:cs="Times New Roman"/>
          <w:sz w:val="24"/>
          <w:szCs w:val="24"/>
          <w:shd w:val="clear" w:color="auto" w:fill="FFFFFF"/>
        </w:rPr>
        <w:t>(3), 94-97.</w:t>
      </w:r>
    </w:p>
    <w:p w14:paraId="3AFBEFF8" w14:textId="6DF367D6" w:rsidR="007F225D" w:rsidRPr="00216722" w:rsidRDefault="007F225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Colwell, S. R., &amp; Joshi, A. W. (2013). Corporate ecological responsiveness: Antecedent effects of institutional pressure and top management commitment and their impact on organizational performance.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Business Strategy and the Environment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22</w:t>
      </w:r>
      <w:r w:rsidRPr="00216722">
        <w:rPr>
          <w:rFonts w:ascii="Times New Roman" w:hAnsi="Times New Roman" w:cs="Times New Roman"/>
          <w:sz w:val="24"/>
          <w:szCs w:val="24"/>
          <w:shd w:val="clear" w:color="auto" w:fill="FFFFFF"/>
        </w:rPr>
        <w:t>(2), 73-91.</w:t>
      </w:r>
    </w:p>
    <w:p w14:paraId="2DE37215" w14:textId="47786C7C" w:rsidR="00372702" w:rsidRPr="00216722" w:rsidRDefault="0037270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Collins, C. J., &amp; Clark, K. D. (2003). Strategic human resource practices, top management team social networks, and firm performance: The role of human resource practices in creating organizational competitive advantage. </w:t>
      </w:r>
      <w:r w:rsidRPr="00216722">
        <w:rPr>
          <w:rFonts w:ascii="Times New Roman" w:hAnsi="Times New Roman" w:cs="Times New Roman"/>
          <w:i/>
          <w:iCs/>
          <w:sz w:val="24"/>
          <w:szCs w:val="24"/>
          <w:shd w:val="clear" w:color="auto" w:fill="FFFFFF"/>
        </w:rPr>
        <w:t>Academy of Management Journal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46</w:t>
      </w:r>
      <w:r w:rsidRPr="00216722">
        <w:rPr>
          <w:rFonts w:ascii="Times New Roman" w:hAnsi="Times New Roman" w:cs="Times New Roman"/>
          <w:sz w:val="24"/>
          <w:szCs w:val="24"/>
          <w:shd w:val="clear" w:color="auto" w:fill="FFFFFF"/>
        </w:rPr>
        <w:t>(6), 740-751.</w:t>
      </w:r>
    </w:p>
    <w:p w14:paraId="71E6AC9B" w14:textId="359A4FBA" w:rsidR="00C675B1" w:rsidRPr="00216722" w:rsidRDefault="00C675B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Davidson, R., &amp; MacKinnon, J. G. (1993). Estimation and inference in econometrics. Oxford University Press, New York.</w:t>
      </w:r>
    </w:p>
    <w:p w14:paraId="3D13D62F" w14:textId="4CA2EF83" w:rsidR="003E3847" w:rsidRPr="00216722" w:rsidRDefault="003E3847"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 xml:space="preserve">DeVellis, R. F. (2012). </w:t>
      </w:r>
      <w:r w:rsidRPr="00216722">
        <w:rPr>
          <w:rFonts w:ascii="Times New Roman" w:eastAsia="Times New Roman" w:hAnsi="Times New Roman" w:cs="Times New Roman"/>
          <w:i/>
          <w:iCs/>
          <w:sz w:val="24"/>
          <w:szCs w:val="24"/>
        </w:rPr>
        <w:t>Scale development: Theory and applications</w:t>
      </w:r>
      <w:r w:rsidRPr="00216722">
        <w:rPr>
          <w:rFonts w:ascii="Times New Roman" w:eastAsia="Times New Roman" w:hAnsi="Times New Roman" w:cs="Times New Roman"/>
          <w:sz w:val="24"/>
          <w:szCs w:val="24"/>
        </w:rPr>
        <w:t>.</w:t>
      </w:r>
      <w:r w:rsidR="005B442D"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Sage publications, Newbury Park, CA.</w:t>
      </w:r>
    </w:p>
    <w:p w14:paraId="3D0C9E45" w14:textId="57E64231" w:rsidR="00340548" w:rsidRPr="00216722" w:rsidRDefault="00340548"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Dillman, D. A. (1978).</w:t>
      </w:r>
      <w:r w:rsidR="005B442D"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Mail and telephone surveys: the Total Design Method</w:t>
      </w:r>
      <w:r w:rsidRPr="00216722">
        <w:rPr>
          <w:rFonts w:ascii="Times New Roman" w:eastAsia="Times New Roman" w:hAnsi="Times New Roman" w:cs="Times New Roman"/>
          <w:sz w:val="24"/>
          <w:szCs w:val="24"/>
        </w:rPr>
        <w:t xml:space="preserve">. Wiley </w:t>
      </w:r>
      <w:r w:rsidR="00A41555" w:rsidRPr="00216722">
        <w:rPr>
          <w:rFonts w:ascii="Times New Roman" w:eastAsia="Times New Roman" w:hAnsi="Times New Roman" w:cs="Times New Roman"/>
          <w:sz w:val="24"/>
          <w:szCs w:val="24"/>
        </w:rPr>
        <w:t>InterScience</w:t>
      </w:r>
      <w:r w:rsidR="00C404E5" w:rsidRPr="00216722">
        <w:rPr>
          <w:rFonts w:ascii="Times New Roman" w:eastAsia="Times New Roman" w:hAnsi="Times New Roman" w:cs="Times New Roman"/>
          <w:sz w:val="24"/>
          <w:szCs w:val="24"/>
        </w:rPr>
        <w:t>, New York.</w:t>
      </w:r>
    </w:p>
    <w:p w14:paraId="7345D112" w14:textId="2727BDE1" w:rsidR="00213FE0" w:rsidRPr="00216722" w:rsidRDefault="00213FE0" w:rsidP="004B7A76">
      <w:pPr>
        <w:tabs>
          <w:tab w:val="left" w:pos="6635"/>
        </w:tabs>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Dong, M. C., Ju, M., &amp; Fang, Y. (2016). Role hazard between supply chain partners in an institutionally fragmented market.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46</w:t>
      </w:r>
      <w:r w:rsidRPr="00216722">
        <w:rPr>
          <w:rFonts w:ascii="Times New Roman" w:hAnsi="Times New Roman" w:cs="Times New Roman"/>
          <w:sz w:val="24"/>
          <w:szCs w:val="24"/>
          <w:shd w:val="clear" w:color="auto" w:fill="FFFFFF"/>
        </w:rPr>
        <w:t>, 5-18.</w:t>
      </w:r>
    </w:p>
    <w:p w14:paraId="5915CD99" w14:textId="11346412" w:rsidR="007E498F" w:rsidRPr="00216722" w:rsidRDefault="00F42957"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Dubey, R., &amp;</w:t>
      </w:r>
      <w:r w:rsidR="0051240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Gunasekaran, A. (2016). The sustainable humanitarian supply chain design: agility, adaptability and alignment.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Logistics Research and Applications</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19</w:t>
      </w:r>
      <w:r w:rsidRPr="00216722">
        <w:rPr>
          <w:rFonts w:ascii="Times New Roman" w:hAnsi="Times New Roman" w:cs="Times New Roman"/>
          <w:sz w:val="24"/>
          <w:szCs w:val="24"/>
          <w:shd w:val="clear" w:color="auto" w:fill="FFFFFF"/>
        </w:rPr>
        <w:t>(1),</w:t>
      </w:r>
      <w:r w:rsidR="00A41555"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62-82.</w:t>
      </w:r>
    </w:p>
    <w:p w14:paraId="347D4CDD" w14:textId="77777777" w:rsidR="001C06FC" w:rsidRPr="00216722" w:rsidRDefault="001C06FC"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Esper, T. L., &amp; Crook, T. R. (2014). Supply chain resources: Advancing theoretical foundations and constructs.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Supply Chain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50</w:t>
      </w:r>
      <w:r w:rsidRPr="00216722">
        <w:rPr>
          <w:rFonts w:ascii="Times New Roman" w:hAnsi="Times New Roman" w:cs="Times New Roman"/>
          <w:sz w:val="24"/>
          <w:szCs w:val="24"/>
          <w:shd w:val="clear" w:color="auto" w:fill="FFFFFF"/>
        </w:rPr>
        <w:t>(3), 3-5.</w:t>
      </w:r>
    </w:p>
    <w:p w14:paraId="45FA8271" w14:textId="015F00EC" w:rsidR="00993F10" w:rsidRPr="00216722" w:rsidRDefault="00993F1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Eckstein, D., Goellner, M., Blome, C., &amp; Henke, M. (2015). The performance impact of supply chain agility and supply chain adaptability: the moderating effect of product complexity.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Research</w:t>
      </w:r>
      <w:r w:rsidRPr="00216722">
        <w:rPr>
          <w:rFonts w:ascii="Times New Roman" w:hAnsi="Times New Roman" w:cs="Times New Roman"/>
          <w:sz w:val="24"/>
          <w:szCs w:val="24"/>
          <w:shd w:val="clear" w:color="auto" w:fill="FFFFFF"/>
        </w:rPr>
        <w:t>,</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53</w:t>
      </w:r>
      <w:r w:rsidRPr="00216722">
        <w:rPr>
          <w:rFonts w:ascii="Times New Roman" w:hAnsi="Times New Roman" w:cs="Times New Roman"/>
          <w:sz w:val="24"/>
          <w:szCs w:val="24"/>
          <w:shd w:val="clear" w:color="auto" w:fill="FFFFFF"/>
        </w:rPr>
        <w:t>(10), 3028-3046.</w:t>
      </w:r>
    </w:p>
    <w:p w14:paraId="03D13060" w14:textId="2322BC38" w:rsidR="00056977" w:rsidRPr="00216722" w:rsidRDefault="00B32AC1"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Fawcett, S. E., Wallin, C., Allred, C., &amp;</w:t>
      </w:r>
      <w:r w:rsidR="0051240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 xml:space="preserve">Magnan, G. (2009). Supply chain information-sharing: benchmarking a proven path. </w:t>
      </w:r>
      <w:r w:rsidRPr="00216722">
        <w:rPr>
          <w:rFonts w:ascii="Times New Roman" w:eastAsia="Times New Roman" w:hAnsi="Times New Roman" w:cs="Times New Roman"/>
          <w:i/>
          <w:iCs/>
          <w:sz w:val="24"/>
          <w:szCs w:val="24"/>
        </w:rPr>
        <w:t>Benchmarking: An International Journal</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16</w:t>
      </w:r>
      <w:r w:rsidRPr="00216722">
        <w:rPr>
          <w:rFonts w:ascii="Times New Roman" w:eastAsia="Times New Roman" w:hAnsi="Times New Roman" w:cs="Times New Roman"/>
          <w:sz w:val="24"/>
          <w:szCs w:val="24"/>
        </w:rPr>
        <w:t>(2), 222-246.</w:t>
      </w:r>
    </w:p>
    <w:p w14:paraId="069B6D30" w14:textId="21EFB572" w:rsidR="00AB3B76" w:rsidRPr="00216722" w:rsidRDefault="00AB3B7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Fawcett, S. E., Wallin, C., Allred, C., Fawcett, A. M., &amp; Magnan, G. M. (2011). Information technology as an enabler of supply chain collaboration: a dynamic</w:t>
      </w:r>
      <w:r w:rsidRPr="00216722">
        <w:rPr>
          <w:rFonts w:ascii="Cambria Math" w:hAnsi="Cambria Math" w:cs="Cambria Math"/>
          <w:sz w:val="24"/>
          <w:szCs w:val="24"/>
          <w:shd w:val="clear" w:color="auto" w:fill="FFFFFF"/>
        </w:rPr>
        <w:t>‐</w:t>
      </w:r>
      <w:r w:rsidRPr="00216722">
        <w:rPr>
          <w:rFonts w:ascii="Times New Roman" w:hAnsi="Times New Roman" w:cs="Times New Roman"/>
          <w:sz w:val="24"/>
          <w:szCs w:val="24"/>
          <w:shd w:val="clear" w:color="auto" w:fill="FFFFFF"/>
        </w:rPr>
        <w:t>capabilities perspective.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Supply Chain Management</w:t>
      </w:r>
      <w:r w:rsidRPr="00216722">
        <w:rPr>
          <w:rFonts w:ascii="Times New Roman" w:hAnsi="Times New Roman" w:cs="Times New Roman"/>
          <w:sz w:val="24"/>
          <w:szCs w:val="24"/>
          <w:shd w:val="clear" w:color="auto" w:fill="FFFFFF"/>
        </w:rPr>
        <w:t>,</w:t>
      </w:r>
      <w:r w:rsidR="00A41555"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47</w:t>
      </w:r>
      <w:r w:rsidRPr="00216722">
        <w:rPr>
          <w:rFonts w:ascii="Times New Roman" w:hAnsi="Times New Roman" w:cs="Times New Roman"/>
          <w:sz w:val="24"/>
          <w:szCs w:val="24"/>
          <w:shd w:val="clear" w:color="auto" w:fill="FFFFFF"/>
        </w:rPr>
        <w:t>(1), 38-59.</w:t>
      </w:r>
    </w:p>
    <w:p w14:paraId="466DEA83" w14:textId="0D9752B0" w:rsidR="006F135C" w:rsidRPr="00216722" w:rsidRDefault="006F135C"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 xml:space="preserve">Flynn, B. B., Huo, B., &amp; Zhao, X. (2010). The impact of supply chain integration on performance: A contingency and configuration approach. </w:t>
      </w:r>
      <w:r w:rsidRPr="00216722">
        <w:rPr>
          <w:rFonts w:ascii="Times New Roman" w:hAnsi="Times New Roman" w:cs="Times New Roman"/>
          <w:i/>
          <w:iCs/>
          <w:sz w:val="24"/>
          <w:szCs w:val="24"/>
          <w:shd w:val="clear" w:color="auto" w:fill="FFFFFF"/>
        </w:rPr>
        <w:t xml:space="preserve">Journal of </w:t>
      </w:r>
      <w:r w:rsidR="00A41555" w:rsidRPr="00216722">
        <w:rPr>
          <w:rFonts w:ascii="Times New Roman" w:hAnsi="Times New Roman" w:cs="Times New Roman"/>
          <w:i/>
          <w:iCs/>
          <w:sz w:val="24"/>
          <w:szCs w:val="24"/>
          <w:shd w:val="clear" w:color="auto" w:fill="FFFFFF"/>
        </w:rPr>
        <w:t>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28</w:t>
      </w:r>
      <w:r w:rsidRPr="00216722">
        <w:rPr>
          <w:rFonts w:ascii="Times New Roman" w:hAnsi="Times New Roman" w:cs="Times New Roman"/>
          <w:sz w:val="24"/>
          <w:szCs w:val="24"/>
          <w:shd w:val="clear" w:color="auto" w:fill="FFFFFF"/>
        </w:rPr>
        <w:t>(1), 58-71.</w:t>
      </w:r>
    </w:p>
    <w:p w14:paraId="0B3991BE" w14:textId="0A847006" w:rsidR="006A1AEE" w:rsidRPr="00216722" w:rsidRDefault="00371764"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Fornell, C., &amp;</w:t>
      </w:r>
      <w:r w:rsidR="0051240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Larcker, D. F. (1981).</w:t>
      </w:r>
      <w:r w:rsidR="00EA219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Evaluating structural equation models with unobservable variables and measurement error</w:t>
      </w:r>
      <w:r w:rsidR="00A71BDC" w:rsidRPr="00216722">
        <w:rPr>
          <w:rFonts w:ascii="Times New Roman" w:eastAsia="Times New Roman" w:hAnsi="Times New Roman" w:cs="Times New Roman"/>
          <w:sz w:val="24"/>
          <w:szCs w:val="24"/>
        </w:rPr>
        <w:t xml:space="preserve"> </w:t>
      </w:r>
      <w:r w:rsidR="00A71BDC" w:rsidRPr="00216722">
        <w:rPr>
          <w:rFonts w:ascii="Times New Roman" w:eastAsia="Times New Roman" w:hAnsi="Times New Roman" w:cs="Times New Roman"/>
          <w:i/>
          <w:iCs/>
          <w:sz w:val="24"/>
          <w:szCs w:val="24"/>
        </w:rPr>
        <w:t xml:space="preserve">Journal </w:t>
      </w:r>
      <w:r w:rsidR="00EA2196" w:rsidRPr="00216722">
        <w:rPr>
          <w:rFonts w:ascii="Times New Roman" w:eastAsia="Times New Roman" w:hAnsi="Times New Roman" w:cs="Times New Roman"/>
          <w:i/>
          <w:iCs/>
          <w:sz w:val="24"/>
          <w:szCs w:val="24"/>
        </w:rPr>
        <w:t>of Marketing Research</w:t>
      </w:r>
      <w:r w:rsidR="00A71BDC" w:rsidRPr="00216722">
        <w:rPr>
          <w:rFonts w:ascii="Times New Roman" w:eastAsia="Times New Roman" w:hAnsi="Times New Roman" w:cs="Times New Roman"/>
          <w:sz w:val="24"/>
          <w:szCs w:val="24"/>
        </w:rPr>
        <w:t>,</w:t>
      </w:r>
      <w:r w:rsidR="007315DE" w:rsidRPr="00216722">
        <w:rPr>
          <w:rFonts w:ascii="Times New Roman" w:eastAsia="Times New Roman" w:hAnsi="Times New Roman" w:cs="Times New Roman"/>
          <w:sz w:val="24"/>
          <w:szCs w:val="24"/>
        </w:rPr>
        <w:t xml:space="preserve"> </w:t>
      </w:r>
      <w:r w:rsidR="00D11FB8" w:rsidRPr="00216722">
        <w:rPr>
          <w:rFonts w:ascii="Times New Roman" w:eastAsia="Times New Roman" w:hAnsi="Times New Roman" w:cs="Times New Roman"/>
          <w:sz w:val="24"/>
          <w:szCs w:val="24"/>
        </w:rPr>
        <w:t xml:space="preserve">18(1), </w:t>
      </w:r>
      <w:r w:rsidRPr="00216722">
        <w:rPr>
          <w:rFonts w:ascii="Times New Roman" w:eastAsia="Times New Roman" w:hAnsi="Times New Roman" w:cs="Times New Roman"/>
          <w:sz w:val="24"/>
          <w:szCs w:val="24"/>
        </w:rPr>
        <w:t>39-50.</w:t>
      </w:r>
    </w:p>
    <w:p w14:paraId="3A98E8B6" w14:textId="307A33D3" w:rsidR="00B93876" w:rsidRPr="00216722" w:rsidRDefault="00233F8A"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Francis, V. (2008). Supply chain visibility: lost in translation?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Supply </w:t>
      </w:r>
      <w:r w:rsidR="005B442D" w:rsidRPr="00216722">
        <w:rPr>
          <w:rFonts w:ascii="Times New Roman" w:hAnsi="Times New Roman" w:cs="Times New Roman"/>
          <w:i/>
          <w:iCs/>
          <w:sz w:val="24"/>
          <w:szCs w:val="24"/>
          <w:shd w:val="clear" w:color="auto" w:fill="FFFFFF"/>
        </w:rPr>
        <w:t xml:space="preserve">Chain Management: </w:t>
      </w:r>
      <w:r w:rsidRPr="00216722">
        <w:rPr>
          <w:rFonts w:ascii="Times New Roman" w:hAnsi="Times New Roman" w:cs="Times New Roman"/>
          <w:i/>
          <w:iCs/>
          <w:sz w:val="24"/>
          <w:szCs w:val="24"/>
          <w:shd w:val="clear" w:color="auto" w:fill="FFFFFF"/>
        </w:rPr>
        <w:t xml:space="preserve">An </w:t>
      </w:r>
      <w:r w:rsidR="005B442D" w:rsidRPr="00216722">
        <w:rPr>
          <w:rFonts w:ascii="Times New Roman" w:hAnsi="Times New Roman" w:cs="Times New Roman"/>
          <w:i/>
          <w:iCs/>
          <w:sz w:val="24"/>
          <w:szCs w:val="24"/>
          <w:shd w:val="clear" w:color="auto" w:fill="FFFFFF"/>
        </w:rPr>
        <w:t>International Journal</w:t>
      </w:r>
      <w:r w:rsidR="005B442D"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13</w:t>
      </w:r>
      <w:r w:rsidRPr="00216722">
        <w:rPr>
          <w:rFonts w:ascii="Times New Roman" w:hAnsi="Times New Roman" w:cs="Times New Roman"/>
          <w:sz w:val="24"/>
          <w:szCs w:val="24"/>
          <w:shd w:val="clear" w:color="auto" w:fill="FFFFFF"/>
        </w:rPr>
        <w:t>(3), 180-184.</w:t>
      </w:r>
    </w:p>
    <w:p w14:paraId="5B22F4C6" w14:textId="2F302F58" w:rsidR="00547332" w:rsidRPr="00216722" w:rsidRDefault="00547332" w:rsidP="004B7A76">
      <w:pPr>
        <w:spacing w:after="0" w:line="480" w:lineRule="auto"/>
        <w:ind w:left="720" w:hanging="720"/>
        <w:jc w:val="both"/>
        <w:rPr>
          <w:rStyle w:val="apple-converted-space"/>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Fosso Wamba, S., Ngai, E. W. T., Riggins, F., &amp; Akter, S. (2017). Guest editorial.</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and Production Management,</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37</w:t>
      </w:r>
      <w:r w:rsidRPr="00216722">
        <w:rPr>
          <w:rFonts w:ascii="Times New Roman" w:hAnsi="Times New Roman" w:cs="Times New Roman"/>
          <w:sz w:val="24"/>
          <w:szCs w:val="24"/>
          <w:shd w:val="clear" w:color="auto" w:fill="FFFFFF"/>
        </w:rPr>
        <w:t>(1), 2-9.</w:t>
      </w:r>
      <w:r w:rsidRPr="00216722">
        <w:rPr>
          <w:rStyle w:val="apple-converted-space"/>
          <w:rFonts w:ascii="Times New Roman" w:hAnsi="Times New Roman" w:cs="Times New Roman"/>
          <w:sz w:val="24"/>
          <w:szCs w:val="24"/>
          <w:shd w:val="clear" w:color="auto" w:fill="FFFFFF"/>
        </w:rPr>
        <w:t> </w:t>
      </w:r>
    </w:p>
    <w:p w14:paraId="66950E1F" w14:textId="10C17DA0" w:rsidR="00E51A55" w:rsidRPr="00216722" w:rsidRDefault="00E51A55"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Fawcett, S. E., Waller, M. A., Miller, J. W., Schwieterman, M. A., Hazen, B. T., &amp; Overstreet, R. E. (2014). A trail guide to publishing success: tips on writing influential conceptual, qualitative, and survey research.</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Business Logistics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35</w:t>
      </w:r>
      <w:r w:rsidRPr="00216722">
        <w:rPr>
          <w:rFonts w:ascii="Times New Roman" w:hAnsi="Times New Roman" w:cs="Times New Roman"/>
          <w:sz w:val="24"/>
          <w:szCs w:val="24"/>
          <w:shd w:val="clear" w:color="auto" w:fill="FFFFFF"/>
        </w:rPr>
        <w:t>(1), 1-16.</w:t>
      </w:r>
    </w:p>
    <w:p w14:paraId="03549F0D" w14:textId="6AC98B98" w:rsidR="00666D96" w:rsidRPr="00216722" w:rsidRDefault="00666D9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Gattorna, J. (1998).</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Strategic supply chain alignment: best practice in supply chain management</w:t>
      </w:r>
      <w:r w:rsidRPr="00216722">
        <w:rPr>
          <w:rFonts w:ascii="Times New Roman" w:hAnsi="Times New Roman" w:cs="Times New Roman"/>
          <w:sz w:val="24"/>
          <w:szCs w:val="24"/>
          <w:shd w:val="clear" w:color="auto" w:fill="FFFFFF"/>
        </w:rPr>
        <w:t>. Gower Publishing, Ltd.</w:t>
      </w:r>
    </w:p>
    <w:p w14:paraId="68C0CA2D" w14:textId="15CA4E74" w:rsidR="006A1AEE" w:rsidRPr="00216722" w:rsidRDefault="006A1AEE"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Gerbing, D. W., &amp; Anderson, J. C. (1988).</w:t>
      </w:r>
      <w:r w:rsidR="00EA219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An updated paradigm for scale development incorporating unidimensionality and its assessment.</w:t>
      </w:r>
      <w:r w:rsidR="005B442D"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 xml:space="preserve">Journal of </w:t>
      </w:r>
      <w:r w:rsidR="005B442D" w:rsidRPr="00216722">
        <w:rPr>
          <w:rFonts w:ascii="Times New Roman" w:eastAsia="Times New Roman" w:hAnsi="Times New Roman" w:cs="Times New Roman"/>
          <w:i/>
          <w:iCs/>
          <w:sz w:val="24"/>
          <w:szCs w:val="24"/>
        </w:rPr>
        <w:t>Marketing Research</w:t>
      </w:r>
      <w:r w:rsidRPr="00216722">
        <w:rPr>
          <w:rFonts w:ascii="Times New Roman" w:eastAsia="Times New Roman" w:hAnsi="Times New Roman" w:cs="Times New Roman"/>
          <w:sz w:val="24"/>
          <w:szCs w:val="24"/>
        </w:rPr>
        <w:t xml:space="preserve">, </w:t>
      </w:r>
      <w:r w:rsidR="00D928B3" w:rsidRPr="00216722">
        <w:rPr>
          <w:rFonts w:ascii="Times New Roman" w:eastAsia="Times New Roman" w:hAnsi="Times New Roman" w:cs="Times New Roman"/>
          <w:sz w:val="24"/>
          <w:szCs w:val="24"/>
        </w:rPr>
        <w:t>25(2),</w:t>
      </w:r>
      <w:r w:rsidR="007315DE"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186-192.</w:t>
      </w:r>
    </w:p>
    <w:p w14:paraId="47191443" w14:textId="77777777" w:rsidR="00031F5F" w:rsidRPr="00216722" w:rsidRDefault="00031F5F"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Gligor, D. M., &amp; Holcomb, M. C. (2012). Antecedents and consequences of supply chain agility: establishing the link to firm performance.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Business Logistics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33</w:t>
      </w:r>
      <w:r w:rsidRPr="00216722">
        <w:rPr>
          <w:rFonts w:ascii="Times New Roman" w:hAnsi="Times New Roman" w:cs="Times New Roman"/>
          <w:sz w:val="24"/>
          <w:szCs w:val="24"/>
          <w:shd w:val="clear" w:color="auto" w:fill="FFFFFF"/>
        </w:rPr>
        <w:t>(4), 295-308.</w:t>
      </w:r>
    </w:p>
    <w:p w14:paraId="282B281B" w14:textId="78A51CD3" w:rsidR="00C81BAF" w:rsidRPr="00216722" w:rsidRDefault="00C81BAF"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Gligor, D. M., Holcomb, M. C., &amp; Stank, T. P. (2013). A multidisciplinary approach to supply chain agility: Conceptualization and scale development.</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Journal of Business Logistics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34</w:t>
      </w:r>
      <w:r w:rsidRPr="00216722">
        <w:rPr>
          <w:rFonts w:ascii="Times New Roman" w:hAnsi="Times New Roman" w:cs="Times New Roman"/>
          <w:sz w:val="24"/>
          <w:szCs w:val="24"/>
          <w:shd w:val="clear" w:color="auto" w:fill="FFFFFF"/>
        </w:rPr>
        <w:t>(2), 94-108.</w:t>
      </w:r>
    </w:p>
    <w:p w14:paraId="1906A44C" w14:textId="032693A5" w:rsidR="005C63E1" w:rsidRPr="00216722" w:rsidRDefault="0005001E"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 xml:space="preserve">Gligor, D.M., &amp; Holcomb, M. (2014). The road to supply chain agility: an RBV perspective on the role of logistics capabilities. </w:t>
      </w:r>
      <w:r w:rsidRPr="00216722">
        <w:rPr>
          <w:rFonts w:ascii="Times New Roman" w:eastAsia="Times New Roman" w:hAnsi="Times New Roman" w:cs="Times New Roman"/>
          <w:i/>
          <w:iCs/>
          <w:sz w:val="24"/>
          <w:szCs w:val="24"/>
        </w:rPr>
        <w:t>The International Journal of Logistics Management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25</w:t>
      </w:r>
      <w:r w:rsidRPr="00216722">
        <w:rPr>
          <w:rFonts w:ascii="Times New Roman" w:eastAsia="Times New Roman" w:hAnsi="Times New Roman" w:cs="Times New Roman"/>
          <w:sz w:val="24"/>
          <w:szCs w:val="24"/>
        </w:rPr>
        <w:t>(1), 160-179.</w:t>
      </w:r>
    </w:p>
    <w:p w14:paraId="79FAD9E2" w14:textId="50FD48CF" w:rsidR="00E6643D" w:rsidRPr="00216722" w:rsidRDefault="00E6643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Gligor, D. M., Esmark, C. L., &amp; Holcomb, M. C. (2015). Performance outcomes of supply chain agility: when should you be agile?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33</w:t>
      </w:r>
      <w:r w:rsidRPr="00216722">
        <w:rPr>
          <w:rFonts w:ascii="Times New Roman" w:hAnsi="Times New Roman" w:cs="Times New Roman"/>
          <w:sz w:val="24"/>
          <w:szCs w:val="24"/>
          <w:shd w:val="clear" w:color="auto" w:fill="FFFFFF"/>
        </w:rPr>
        <w:t>, 71-82.</w:t>
      </w:r>
    </w:p>
    <w:p w14:paraId="1BB2EA97" w14:textId="67C1C6AA" w:rsidR="00972CD8" w:rsidRPr="00216722" w:rsidRDefault="00972CD8"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Gligor, D. M., Holcomb, M. C., &amp; Feizabadi, J. (2016). An exploration of the strategic antecedents of firm supply chain agility: The role of a firm's orientations.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Economics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179</w:t>
      </w:r>
      <w:r w:rsidRPr="00216722">
        <w:rPr>
          <w:rFonts w:ascii="Times New Roman" w:hAnsi="Times New Roman" w:cs="Times New Roman"/>
          <w:sz w:val="24"/>
          <w:szCs w:val="24"/>
          <w:shd w:val="clear" w:color="auto" w:fill="FFFFFF"/>
        </w:rPr>
        <w:t>, 24-34.</w:t>
      </w:r>
    </w:p>
    <w:p w14:paraId="34FAA753" w14:textId="0B681A47" w:rsidR="006C55B7" w:rsidRPr="00216722" w:rsidRDefault="006C55B7"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Gnyawali, D. R., Madhavan, R., He, J., &amp; Bengtsson, M. (2016). The competition–cooperation paradox in inter-firm relationships: A conceptual framework.</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Industrial Marketing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53</w:t>
      </w:r>
      <w:r w:rsidRPr="00216722">
        <w:rPr>
          <w:rFonts w:ascii="Times New Roman" w:hAnsi="Times New Roman" w:cs="Times New Roman"/>
          <w:sz w:val="24"/>
          <w:szCs w:val="24"/>
          <w:shd w:val="clear" w:color="auto" w:fill="FFFFFF"/>
        </w:rPr>
        <w:t>, 7-18.</w:t>
      </w:r>
    </w:p>
    <w:p w14:paraId="51F356EE" w14:textId="2F7A9916" w:rsidR="00863DC6" w:rsidRPr="00216722" w:rsidRDefault="00863DC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Grant, R. M. (1991). The resource-based theory of competitive advantage: implications for strategy formulation.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California Management Review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33</w:t>
      </w:r>
      <w:r w:rsidRPr="00216722">
        <w:rPr>
          <w:rFonts w:ascii="Times New Roman" w:hAnsi="Times New Roman" w:cs="Times New Roman"/>
          <w:sz w:val="24"/>
          <w:szCs w:val="24"/>
          <w:shd w:val="clear" w:color="auto" w:fill="FFFFFF"/>
        </w:rPr>
        <w:t>(3), 114-135.</w:t>
      </w:r>
    </w:p>
    <w:p w14:paraId="0D4FB849" w14:textId="17FBE2C9" w:rsidR="007F225D" w:rsidRPr="00216722" w:rsidRDefault="007F225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Greenwood, R., &amp; Hinings, C. R. (1996). Understanding radical organizational change: Bringing together the old and the new institutionalism.</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Academy of </w:t>
      </w:r>
      <w:r w:rsidR="007315DE" w:rsidRPr="00216722">
        <w:rPr>
          <w:rFonts w:ascii="Times New Roman" w:hAnsi="Times New Roman" w:cs="Times New Roman"/>
          <w:i/>
          <w:iCs/>
          <w:sz w:val="24"/>
          <w:szCs w:val="24"/>
          <w:shd w:val="clear" w:color="auto" w:fill="FFFFFF"/>
        </w:rPr>
        <w:t>Management Review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21</w:t>
      </w:r>
      <w:r w:rsidRPr="00216722">
        <w:rPr>
          <w:rFonts w:ascii="Times New Roman" w:hAnsi="Times New Roman" w:cs="Times New Roman"/>
          <w:sz w:val="24"/>
          <w:szCs w:val="24"/>
          <w:shd w:val="clear" w:color="auto" w:fill="FFFFFF"/>
        </w:rPr>
        <w:t>(4), 1022-1054.</w:t>
      </w:r>
    </w:p>
    <w:p w14:paraId="019A19C1" w14:textId="0B0ECDA1" w:rsidR="006E34F0" w:rsidRPr="00216722" w:rsidRDefault="006E34F0"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Größler, A., &amp; Grübner, A. (2006). An empirical model of the relationships between manufacturing capabilities.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26</w:t>
      </w:r>
      <w:r w:rsidRPr="00216722">
        <w:rPr>
          <w:rFonts w:ascii="Times New Roman" w:hAnsi="Times New Roman" w:cs="Times New Roman"/>
          <w:sz w:val="24"/>
          <w:szCs w:val="24"/>
          <w:shd w:val="clear" w:color="auto" w:fill="FFFFFF"/>
        </w:rPr>
        <w:t>(5), 458-485.</w:t>
      </w:r>
    </w:p>
    <w:p w14:paraId="592B7F44" w14:textId="17729B71" w:rsidR="00865F82" w:rsidRPr="00216722" w:rsidRDefault="00865F8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Guide, V. D. R., &amp; Ketokivi, M. (2015). Notes from the Editors: Redefining some methodological criteria for the journal.</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 37, v-viii.</w:t>
      </w:r>
    </w:p>
    <w:p w14:paraId="22C20DC7" w14:textId="194B3E1F" w:rsidR="00725D98" w:rsidRPr="00216722" w:rsidRDefault="00725D98"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Gunasekaran, A., Papadopoulos, T., Dubey, R., Wamba, S. F., Childe, S. J., Hazen, B., &amp; Akter, S. (2017). Big data and predictive analytics for supply chain and organizational performance.</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Journal of Business Research,</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70</w:t>
      </w:r>
      <w:r w:rsidRPr="00216722">
        <w:rPr>
          <w:rFonts w:ascii="Times New Roman" w:hAnsi="Times New Roman" w:cs="Times New Roman"/>
          <w:sz w:val="24"/>
          <w:szCs w:val="24"/>
          <w:shd w:val="clear" w:color="auto" w:fill="FFFFFF"/>
        </w:rPr>
        <w:t>, 308-317.</w:t>
      </w:r>
      <w:r w:rsidRPr="00216722">
        <w:rPr>
          <w:rStyle w:val="apple-converted-space"/>
          <w:rFonts w:ascii="Times New Roman" w:hAnsi="Times New Roman" w:cs="Times New Roman"/>
          <w:sz w:val="24"/>
          <w:szCs w:val="24"/>
          <w:shd w:val="clear" w:color="auto" w:fill="FFFFFF"/>
        </w:rPr>
        <w:t> </w:t>
      </w:r>
    </w:p>
    <w:p w14:paraId="35809496" w14:textId="5B148B0C" w:rsidR="005D3B39" w:rsidRPr="00216722" w:rsidRDefault="005D3B39"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Hair, J. F., Black, W. C., Babin, B. J., Anderson, R. E., &amp;Tatham, R. L. (2006).</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Multivariate data analysis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sz w:val="24"/>
          <w:szCs w:val="24"/>
          <w:shd w:val="clear" w:color="auto" w:fill="FFFFFF"/>
        </w:rPr>
        <w:t>(Vol. 6). Upper Saddle River, NJ: Pearson Prentice Hall.</w:t>
      </w:r>
    </w:p>
    <w:p w14:paraId="3E27372E" w14:textId="3F52E078" w:rsidR="00E45639" w:rsidRPr="00216722" w:rsidRDefault="00E45639"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Hambrick, D. C., &amp; Mason, P. A. (1984). Upper echelons: The organization as a reflection of its top managers.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Academy of </w:t>
      </w:r>
      <w:r w:rsidR="007315DE" w:rsidRPr="00216722">
        <w:rPr>
          <w:rFonts w:ascii="Times New Roman" w:hAnsi="Times New Roman" w:cs="Times New Roman"/>
          <w:i/>
          <w:iCs/>
          <w:sz w:val="24"/>
          <w:szCs w:val="24"/>
          <w:shd w:val="clear" w:color="auto" w:fill="FFFFFF"/>
        </w:rPr>
        <w:t>Management Review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9</w:t>
      </w:r>
      <w:r w:rsidRPr="00216722">
        <w:rPr>
          <w:rFonts w:ascii="Times New Roman" w:hAnsi="Times New Roman" w:cs="Times New Roman"/>
          <w:sz w:val="24"/>
          <w:szCs w:val="24"/>
          <w:shd w:val="clear" w:color="auto" w:fill="FFFFFF"/>
        </w:rPr>
        <w:t>(2), 193-206.</w:t>
      </w:r>
    </w:p>
    <w:p w14:paraId="20D0FE42" w14:textId="370BBACE" w:rsidR="006A1AEE" w:rsidRPr="00216722" w:rsidRDefault="00371764"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Henseler, J., Ringle, C. M., &amp;</w:t>
      </w:r>
      <w:r w:rsidR="00D16582"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 xml:space="preserve">Sinkovics, R. R. (2009). The use of partial least squares path modeling in international marketing. </w:t>
      </w:r>
      <w:r w:rsidRPr="00216722">
        <w:rPr>
          <w:rFonts w:ascii="Times New Roman" w:eastAsia="Times New Roman" w:hAnsi="Times New Roman" w:cs="Times New Roman"/>
          <w:i/>
          <w:iCs/>
          <w:sz w:val="24"/>
          <w:szCs w:val="24"/>
        </w:rPr>
        <w:t xml:space="preserve">Advances in </w:t>
      </w:r>
      <w:r w:rsidR="00E13098" w:rsidRPr="00216722">
        <w:rPr>
          <w:rFonts w:ascii="Times New Roman" w:eastAsia="Times New Roman" w:hAnsi="Times New Roman" w:cs="Times New Roman"/>
          <w:i/>
          <w:iCs/>
          <w:sz w:val="24"/>
          <w:szCs w:val="24"/>
        </w:rPr>
        <w:t>I</w:t>
      </w:r>
      <w:r w:rsidRPr="00216722">
        <w:rPr>
          <w:rFonts w:ascii="Times New Roman" w:eastAsia="Times New Roman" w:hAnsi="Times New Roman" w:cs="Times New Roman"/>
          <w:i/>
          <w:iCs/>
          <w:sz w:val="24"/>
          <w:szCs w:val="24"/>
        </w:rPr>
        <w:t xml:space="preserve">nternational </w:t>
      </w:r>
      <w:r w:rsidR="00E13098" w:rsidRPr="00216722">
        <w:rPr>
          <w:rFonts w:ascii="Times New Roman" w:eastAsia="Times New Roman" w:hAnsi="Times New Roman" w:cs="Times New Roman"/>
          <w:i/>
          <w:iCs/>
          <w:sz w:val="24"/>
          <w:szCs w:val="24"/>
        </w:rPr>
        <w:t>M</w:t>
      </w:r>
      <w:r w:rsidRPr="00216722">
        <w:rPr>
          <w:rFonts w:ascii="Times New Roman" w:eastAsia="Times New Roman" w:hAnsi="Times New Roman" w:cs="Times New Roman"/>
          <w:i/>
          <w:iCs/>
          <w:sz w:val="24"/>
          <w:szCs w:val="24"/>
        </w:rPr>
        <w:t>arketing</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20</w:t>
      </w:r>
      <w:r w:rsidRPr="00216722">
        <w:rPr>
          <w:rFonts w:ascii="Times New Roman" w:eastAsia="Times New Roman" w:hAnsi="Times New Roman" w:cs="Times New Roman"/>
          <w:sz w:val="24"/>
          <w:szCs w:val="24"/>
        </w:rPr>
        <w:t>(1), 277-319.</w:t>
      </w:r>
    </w:p>
    <w:p w14:paraId="2C285359" w14:textId="13121D29" w:rsidR="00F06BD8" w:rsidRPr="00216722" w:rsidRDefault="00F06BD8"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Hitt, M. A., Xu, K., &amp; Carnes, C. M. (2016). Resource based theory in operations management research.</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41</w:t>
      </w:r>
      <w:r w:rsidRPr="00216722">
        <w:rPr>
          <w:rFonts w:ascii="Times New Roman" w:hAnsi="Times New Roman" w:cs="Times New Roman"/>
          <w:sz w:val="24"/>
          <w:szCs w:val="24"/>
          <w:shd w:val="clear" w:color="auto" w:fill="FFFFFF"/>
        </w:rPr>
        <w:t>, 77-94.</w:t>
      </w:r>
    </w:p>
    <w:p w14:paraId="38F562F2" w14:textId="062E2401" w:rsidR="00AB46E0" w:rsidRPr="00216722" w:rsidRDefault="00AB46E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Hitt, M. A., Carnes, C. M., &amp; Xu, K. (2016</w:t>
      </w:r>
      <w:r w:rsidR="00CF7687" w:rsidRPr="00216722">
        <w:rPr>
          <w:rFonts w:ascii="Times New Roman" w:hAnsi="Times New Roman" w:cs="Times New Roman"/>
          <w:sz w:val="24"/>
          <w:szCs w:val="24"/>
          <w:shd w:val="clear" w:color="auto" w:fill="FFFFFF"/>
        </w:rPr>
        <w:t>a</w:t>
      </w:r>
      <w:r w:rsidRPr="00216722">
        <w:rPr>
          <w:rFonts w:ascii="Times New Roman" w:hAnsi="Times New Roman" w:cs="Times New Roman"/>
          <w:sz w:val="24"/>
          <w:szCs w:val="24"/>
          <w:shd w:val="clear" w:color="auto" w:fill="FFFFFF"/>
        </w:rPr>
        <w:t>). A current view of resource based theory in operations management: A response to Bromiley and Rau.</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41</w:t>
      </w:r>
      <w:r w:rsidRPr="00216722">
        <w:rPr>
          <w:rFonts w:ascii="Times New Roman" w:hAnsi="Times New Roman" w:cs="Times New Roman"/>
          <w:sz w:val="24"/>
          <w:szCs w:val="24"/>
          <w:shd w:val="clear" w:color="auto" w:fill="FFFFFF"/>
        </w:rPr>
        <w:t xml:space="preserve">(10), </w:t>
      </w:r>
      <w:r w:rsidR="005A77B5" w:rsidRPr="00216722">
        <w:rPr>
          <w:rFonts w:ascii="Times New Roman" w:hAnsi="Times New Roman" w:cs="Times New Roman"/>
          <w:sz w:val="24"/>
          <w:szCs w:val="24"/>
          <w:shd w:val="clear" w:color="auto" w:fill="FFFFFF"/>
        </w:rPr>
        <w:t>10</w:t>
      </w:r>
      <w:r w:rsidRPr="00216722">
        <w:rPr>
          <w:rFonts w:ascii="Times New Roman" w:hAnsi="Times New Roman" w:cs="Times New Roman"/>
          <w:sz w:val="24"/>
          <w:szCs w:val="24"/>
          <w:shd w:val="clear" w:color="auto" w:fill="FFFFFF"/>
        </w:rPr>
        <w:t>7</w:t>
      </w:r>
      <w:r w:rsidR="005A77B5" w:rsidRPr="00216722">
        <w:rPr>
          <w:rFonts w:ascii="Times New Roman" w:hAnsi="Times New Roman" w:cs="Times New Roman"/>
          <w:sz w:val="24"/>
          <w:szCs w:val="24"/>
          <w:shd w:val="clear" w:color="auto" w:fill="FFFFFF"/>
        </w:rPr>
        <w:t>-</w:t>
      </w:r>
      <w:r w:rsidRPr="00216722">
        <w:rPr>
          <w:rFonts w:ascii="Times New Roman" w:hAnsi="Times New Roman" w:cs="Times New Roman"/>
          <w:sz w:val="24"/>
          <w:szCs w:val="24"/>
          <w:shd w:val="clear" w:color="auto" w:fill="FFFFFF"/>
        </w:rPr>
        <w:t>109.</w:t>
      </w:r>
    </w:p>
    <w:p w14:paraId="0CB6F38F" w14:textId="47CC17BE" w:rsidR="005F28E1" w:rsidRPr="00216722" w:rsidRDefault="005F28E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Hu, L. T., &amp;</w:t>
      </w:r>
      <w:r w:rsidR="00D16582"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Bentler, P. M. (1999).</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Cutoff criteria for fit indexes in covariance structure analysis: Conventional criteria versus new alternatives.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Structural </w:t>
      </w:r>
      <w:r w:rsidR="005B442D" w:rsidRPr="00216722">
        <w:rPr>
          <w:rFonts w:ascii="Times New Roman" w:hAnsi="Times New Roman" w:cs="Times New Roman"/>
          <w:i/>
          <w:iCs/>
          <w:sz w:val="24"/>
          <w:szCs w:val="24"/>
          <w:shd w:val="clear" w:color="auto" w:fill="FFFFFF"/>
        </w:rPr>
        <w:t>Equation Modeling: a Multidisciplinary Journal</w:t>
      </w:r>
      <w:r w:rsidR="005B442D" w:rsidRPr="00216722">
        <w:rPr>
          <w:rFonts w:ascii="Times New Roman" w:hAnsi="Times New Roman" w:cs="Times New Roman"/>
          <w:sz w:val="24"/>
          <w:szCs w:val="24"/>
          <w:shd w:val="clear" w:color="auto" w:fill="FFFFFF"/>
        </w:rPr>
        <w:t>,</w:t>
      </w:r>
      <w:r w:rsidR="005B442D"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6</w:t>
      </w:r>
      <w:r w:rsidRPr="00216722">
        <w:rPr>
          <w:rFonts w:ascii="Times New Roman" w:hAnsi="Times New Roman" w:cs="Times New Roman"/>
          <w:sz w:val="24"/>
          <w:szCs w:val="24"/>
          <w:shd w:val="clear" w:color="auto" w:fill="FFFFFF"/>
        </w:rPr>
        <w:t>(1), 1-55.</w:t>
      </w:r>
    </w:p>
    <w:p w14:paraId="7BB7AFE2" w14:textId="3B87C622" w:rsidR="00AB3B76" w:rsidRPr="00216722" w:rsidRDefault="00AB3B76"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Huo, B., Zhao, X., &amp; Zhou, H. (2014). The effects of competitive environment on supply chain information sharing and performance: an empirical study in China.</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Production and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23</w:t>
      </w:r>
      <w:r w:rsidRPr="00216722">
        <w:rPr>
          <w:rFonts w:ascii="Times New Roman" w:hAnsi="Times New Roman" w:cs="Times New Roman"/>
          <w:sz w:val="24"/>
          <w:szCs w:val="24"/>
          <w:shd w:val="clear" w:color="auto" w:fill="FFFFFF"/>
        </w:rPr>
        <w:t>(4), 552-569.</w:t>
      </w:r>
    </w:p>
    <w:p w14:paraId="24A640F8" w14:textId="04C0E4BA" w:rsidR="00CA3C69" w:rsidRPr="00216722" w:rsidRDefault="00CA3C69"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Hunt, S. D., &amp; Morgan, R. M. (1994). Organizational commitment: one of many commitments or key mediating construct?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Academy of Management Journal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37</w:t>
      </w:r>
      <w:r w:rsidRPr="00216722">
        <w:rPr>
          <w:rFonts w:ascii="Times New Roman" w:hAnsi="Times New Roman" w:cs="Times New Roman"/>
          <w:sz w:val="24"/>
          <w:szCs w:val="24"/>
          <w:shd w:val="clear" w:color="auto" w:fill="FFFFFF"/>
        </w:rPr>
        <w:t>(6), 1568-1587.</w:t>
      </w:r>
    </w:p>
    <w:p w14:paraId="7713610C" w14:textId="50130637" w:rsidR="009B7B0B" w:rsidRPr="00216722" w:rsidRDefault="009B7B0B"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Hunt, S. D. (1997). Resource-advantage theory: An evolutionary theory of competitive firm behavior?</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Journal of Economic Issues,</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31</w:t>
      </w:r>
      <w:r w:rsidRPr="00216722">
        <w:rPr>
          <w:rFonts w:ascii="Times New Roman" w:hAnsi="Times New Roman" w:cs="Times New Roman"/>
          <w:sz w:val="24"/>
          <w:szCs w:val="24"/>
          <w:shd w:val="clear" w:color="auto" w:fill="FFFFFF"/>
        </w:rPr>
        <w:t>(1), 59-77.</w:t>
      </w:r>
    </w:p>
    <w:p w14:paraId="639716B2" w14:textId="1BAC77CB" w:rsidR="00CC260D" w:rsidRPr="00216722" w:rsidRDefault="00CC260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IBEF (2016).</w:t>
      </w:r>
      <w:r w:rsidR="00082343"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rPr>
        <w:t>http://www.ibef.org/industry/autocomponents-india.aspx</w:t>
      </w:r>
      <w:r w:rsidRPr="00216722">
        <w:rPr>
          <w:rFonts w:ascii="Times New Roman" w:hAnsi="Times New Roman" w:cs="Times New Roman"/>
          <w:sz w:val="24"/>
          <w:szCs w:val="24"/>
          <w:shd w:val="clear" w:color="auto" w:fill="FFFFFF"/>
        </w:rPr>
        <w:t xml:space="preserve"> (date of access 16th January, 2016).</w:t>
      </w:r>
    </w:p>
    <w:p w14:paraId="67B3500C" w14:textId="11E4C38A" w:rsidR="00E45639" w:rsidRPr="00216722" w:rsidRDefault="00E45639"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Jarvenpaa, S. L., &amp; Ives, B. (1991). Executive involvement and participation in the management of information technology.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MIS Quarterly</w:t>
      </w:r>
      <w:r w:rsidRPr="00216722">
        <w:rPr>
          <w:rFonts w:ascii="Times New Roman" w:hAnsi="Times New Roman" w:cs="Times New Roman"/>
          <w:sz w:val="24"/>
          <w:szCs w:val="24"/>
          <w:shd w:val="clear" w:color="auto" w:fill="FFFFFF"/>
        </w:rPr>
        <w:t>,</w:t>
      </w:r>
      <w:r w:rsidR="007315DE"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15</w:t>
      </w:r>
      <w:r w:rsidRPr="00216722">
        <w:rPr>
          <w:rFonts w:ascii="Times New Roman" w:hAnsi="Times New Roman" w:cs="Times New Roman"/>
          <w:sz w:val="24"/>
          <w:szCs w:val="24"/>
          <w:shd w:val="clear" w:color="auto" w:fill="FFFFFF"/>
        </w:rPr>
        <w:t>(2), 205-227.</w:t>
      </w:r>
    </w:p>
    <w:p w14:paraId="1DB26B78" w14:textId="23A5515D" w:rsidR="00AB3B76" w:rsidRPr="00216722" w:rsidRDefault="00AB3B7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Jin, Y., Vonderembse, M., Ragu-Nathan, T. S., &amp; Smith, J. T. (2014). Exploring relationships among IT-enabled sharing capability, supply chain flexibility, and competitive performance.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Economics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153</w:t>
      </w:r>
      <w:r w:rsidRPr="00216722">
        <w:rPr>
          <w:rFonts w:ascii="Times New Roman" w:hAnsi="Times New Roman" w:cs="Times New Roman"/>
          <w:sz w:val="24"/>
          <w:szCs w:val="24"/>
          <w:shd w:val="clear" w:color="auto" w:fill="FFFFFF"/>
        </w:rPr>
        <w:t>, 24-34.</w:t>
      </w:r>
    </w:p>
    <w:p w14:paraId="182F21DF" w14:textId="107DC70B" w:rsidR="00E27E82" w:rsidRPr="00216722" w:rsidRDefault="00E27E8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Joshi, D., Nepal, B., Rathore, A. P. S., &amp; Sharma, D. (2013). On supply chain competitiveness of Indian automotive component manufacturing industry.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Economics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143</w:t>
      </w:r>
      <w:r w:rsidRPr="00216722">
        <w:rPr>
          <w:rFonts w:ascii="Times New Roman" w:hAnsi="Times New Roman" w:cs="Times New Roman"/>
          <w:sz w:val="24"/>
          <w:szCs w:val="24"/>
          <w:shd w:val="clear" w:color="auto" w:fill="FFFFFF"/>
        </w:rPr>
        <w:t>(1), 151-161.</w:t>
      </w:r>
    </w:p>
    <w:p w14:paraId="53F742CB" w14:textId="1394232E" w:rsidR="00921A16" w:rsidRPr="00216722" w:rsidRDefault="00921A1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Ketchen, D. J., &amp;</w:t>
      </w:r>
      <w:r w:rsidR="00D16582"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Hult, G. T. M. (2007). Bridging organization theory and supply chain management: The case of best value supply chains.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25</w:t>
      </w:r>
      <w:r w:rsidRPr="00216722">
        <w:rPr>
          <w:rFonts w:ascii="Times New Roman" w:hAnsi="Times New Roman" w:cs="Times New Roman"/>
          <w:sz w:val="24"/>
          <w:szCs w:val="24"/>
          <w:shd w:val="clear" w:color="auto" w:fill="FFFFFF"/>
        </w:rPr>
        <w:t>(2), 573-580.</w:t>
      </w:r>
    </w:p>
    <w:p w14:paraId="6BF04902" w14:textId="1DB58119" w:rsidR="006C25DE" w:rsidRPr="00216722" w:rsidRDefault="006C25D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Ketokivi, M. A., &amp; Schroeder, R. G. (2004). Perceptual measures of performance: fact or fiction?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22</w:t>
      </w:r>
      <w:r w:rsidRPr="00216722">
        <w:rPr>
          <w:rFonts w:ascii="Times New Roman" w:hAnsi="Times New Roman" w:cs="Times New Roman"/>
          <w:sz w:val="24"/>
          <w:szCs w:val="24"/>
          <w:shd w:val="clear" w:color="auto" w:fill="FFFFFF"/>
        </w:rPr>
        <w:t>(3), 247-264.</w:t>
      </w:r>
    </w:p>
    <w:p w14:paraId="6B2B1CCA" w14:textId="204E0BC6" w:rsidR="007A3AC2" w:rsidRPr="00216722" w:rsidRDefault="007A3AC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Ketokivi, M. (2016). Point–counterpoint: Resource heterogeneity, performance, and competitive advantage.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41</w:t>
      </w:r>
      <w:r w:rsidRPr="00216722">
        <w:rPr>
          <w:rFonts w:ascii="Times New Roman" w:hAnsi="Times New Roman" w:cs="Times New Roman"/>
          <w:sz w:val="24"/>
          <w:szCs w:val="24"/>
          <w:shd w:val="clear" w:color="auto" w:fill="FFFFFF"/>
        </w:rPr>
        <w:t>, 75-76.</w:t>
      </w:r>
    </w:p>
    <w:p w14:paraId="2DB2CB5E" w14:textId="34CB2A22" w:rsidR="00494C77" w:rsidRPr="00216722" w:rsidRDefault="00494C77"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Lado, A. A., &amp; Wilson, M. C. (1994). Human resource systems and sustained competitive advantage: A competency-based perspective. </w:t>
      </w:r>
      <w:r w:rsidRPr="00216722">
        <w:rPr>
          <w:rFonts w:ascii="Times New Roman" w:hAnsi="Times New Roman" w:cs="Times New Roman"/>
          <w:i/>
          <w:iCs/>
          <w:sz w:val="24"/>
          <w:szCs w:val="24"/>
          <w:shd w:val="clear" w:color="auto" w:fill="FFFFFF"/>
        </w:rPr>
        <w:t xml:space="preserve">Academy of </w:t>
      </w:r>
      <w:r w:rsidR="007315DE" w:rsidRPr="00216722">
        <w:rPr>
          <w:rFonts w:ascii="Times New Roman" w:hAnsi="Times New Roman" w:cs="Times New Roman"/>
          <w:i/>
          <w:iCs/>
          <w:sz w:val="24"/>
          <w:szCs w:val="24"/>
          <w:shd w:val="clear" w:color="auto" w:fill="FFFFFF"/>
        </w:rPr>
        <w:t>Management Review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19</w:t>
      </w:r>
      <w:r w:rsidRPr="00216722">
        <w:rPr>
          <w:rFonts w:ascii="Times New Roman" w:hAnsi="Times New Roman" w:cs="Times New Roman"/>
          <w:sz w:val="24"/>
          <w:szCs w:val="24"/>
          <w:shd w:val="clear" w:color="auto" w:fill="FFFFFF"/>
        </w:rPr>
        <w:t>(4), 699-727.</w:t>
      </w:r>
    </w:p>
    <w:p w14:paraId="3DC7AF8B" w14:textId="3327E633" w:rsidR="009E399B" w:rsidRPr="00216722" w:rsidRDefault="009E399B"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Lamming, R.C., Caldwell, N.D., Harrison, D.A. &amp; Phillips, W. (2001). Transparency in supply relationships: concept and practice, </w:t>
      </w:r>
      <w:r w:rsidRPr="00216722">
        <w:rPr>
          <w:rFonts w:ascii="Times New Roman" w:hAnsi="Times New Roman" w:cs="Times New Roman"/>
          <w:i/>
          <w:sz w:val="24"/>
          <w:szCs w:val="24"/>
          <w:shd w:val="clear" w:color="auto" w:fill="FFFFFF"/>
        </w:rPr>
        <w:t>Journal of Supply Chain Management</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37</w:t>
      </w:r>
      <w:r w:rsidRPr="00216722">
        <w:rPr>
          <w:rFonts w:ascii="Times New Roman" w:hAnsi="Times New Roman" w:cs="Times New Roman"/>
          <w:sz w:val="24"/>
          <w:szCs w:val="24"/>
          <w:shd w:val="clear" w:color="auto" w:fill="FFFFFF"/>
        </w:rPr>
        <w:t>(3), 4-10.</w:t>
      </w:r>
    </w:p>
    <w:p w14:paraId="205773B4" w14:textId="635245AE" w:rsidR="001841B1" w:rsidRPr="00216722" w:rsidRDefault="001841B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Lee, H. L. (2002). Aligning supply chain strategies with product uncertainties.</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 xml:space="preserve">California </w:t>
      </w:r>
      <w:r w:rsidR="00E63EE4" w:rsidRPr="00216722">
        <w:rPr>
          <w:rFonts w:ascii="Times New Roman" w:hAnsi="Times New Roman" w:cs="Times New Roman"/>
          <w:i/>
          <w:iCs/>
          <w:sz w:val="24"/>
          <w:szCs w:val="24"/>
          <w:shd w:val="clear" w:color="auto" w:fill="FFFFFF"/>
        </w:rPr>
        <w:t>M</w:t>
      </w:r>
      <w:r w:rsidRPr="00216722">
        <w:rPr>
          <w:rFonts w:ascii="Times New Roman" w:hAnsi="Times New Roman" w:cs="Times New Roman"/>
          <w:i/>
          <w:iCs/>
          <w:sz w:val="24"/>
          <w:szCs w:val="24"/>
          <w:shd w:val="clear" w:color="auto" w:fill="FFFFFF"/>
        </w:rPr>
        <w:t xml:space="preserve">anagement </w:t>
      </w:r>
      <w:r w:rsidR="00E63EE4" w:rsidRPr="00216722">
        <w:rPr>
          <w:rFonts w:ascii="Times New Roman" w:hAnsi="Times New Roman" w:cs="Times New Roman"/>
          <w:i/>
          <w:iCs/>
          <w:sz w:val="24"/>
          <w:szCs w:val="24"/>
          <w:shd w:val="clear" w:color="auto" w:fill="FFFFFF"/>
        </w:rPr>
        <w:t>R</w:t>
      </w:r>
      <w:r w:rsidRPr="00216722">
        <w:rPr>
          <w:rFonts w:ascii="Times New Roman" w:hAnsi="Times New Roman" w:cs="Times New Roman"/>
          <w:i/>
          <w:iCs/>
          <w:sz w:val="24"/>
          <w:szCs w:val="24"/>
          <w:shd w:val="clear" w:color="auto" w:fill="FFFFFF"/>
        </w:rPr>
        <w:t>eview</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44</w:t>
      </w:r>
      <w:r w:rsidRPr="00216722">
        <w:rPr>
          <w:rFonts w:ascii="Times New Roman" w:hAnsi="Times New Roman" w:cs="Times New Roman"/>
          <w:sz w:val="24"/>
          <w:szCs w:val="24"/>
          <w:shd w:val="clear" w:color="auto" w:fill="FFFFFF"/>
        </w:rPr>
        <w:t>(3), 105-119.</w:t>
      </w:r>
    </w:p>
    <w:p w14:paraId="55FE84F3" w14:textId="2D8CD5F6" w:rsidR="001841B1" w:rsidRPr="00216722" w:rsidRDefault="001841B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Lee, H. L. (2004). The triple-A supply chain.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Harvard </w:t>
      </w:r>
      <w:r w:rsidR="005B442D" w:rsidRPr="00216722">
        <w:rPr>
          <w:rFonts w:ascii="Times New Roman" w:hAnsi="Times New Roman" w:cs="Times New Roman"/>
          <w:i/>
          <w:iCs/>
          <w:sz w:val="24"/>
          <w:szCs w:val="24"/>
          <w:shd w:val="clear" w:color="auto" w:fill="FFFFFF"/>
        </w:rPr>
        <w:t>Business Review</w:t>
      </w:r>
      <w:r w:rsidRPr="00216722">
        <w:rPr>
          <w:rFonts w:ascii="Times New Roman" w:hAnsi="Times New Roman" w:cs="Times New Roman"/>
          <w:sz w:val="24"/>
          <w:szCs w:val="24"/>
          <w:shd w:val="clear" w:color="auto" w:fill="FFFFFF"/>
        </w:rPr>
        <w:t>,</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82</w:t>
      </w:r>
      <w:r w:rsidRPr="00216722">
        <w:rPr>
          <w:rFonts w:ascii="Times New Roman" w:hAnsi="Times New Roman" w:cs="Times New Roman"/>
          <w:sz w:val="24"/>
          <w:szCs w:val="24"/>
          <w:shd w:val="clear" w:color="auto" w:fill="FFFFFF"/>
        </w:rPr>
        <w:t>(10), 102-113.</w:t>
      </w:r>
    </w:p>
    <w:p w14:paraId="4A0F476F" w14:textId="6E257FB7" w:rsidR="00C9107F" w:rsidRPr="00216722" w:rsidRDefault="00C9107F"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Liang, H., Saraf, N., Hu, Q., &amp; Xue, Y. (2007). Assimilation of enterprise systems: the effect of institutional pressures and the mediating role of top management.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MIS Quarterly</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31</w:t>
      </w:r>
      <w:r w:rsidRPr="00216722">
        <w:rPr>
          <w:rFonts w:ascii="Times New Roman" w:hAnsi="Times New Roman" w:cs="Times New Roman"/>
          <w:sz w:val="24"/>
          <w:szCs w:val="24"/>
          <w:shd w:val="clear" w:color="auto" w:fill="FFFFFF"/>
        </w:rPr>
        <w:t>(1),</w:t>
      </w:r>
      <w:r w:rsidR="00EB463B"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59-87.</w:t>
      </w:r>
    </w:p>
    <w:p w14:paraId="028F46AD" w14:textId="34BFEAB7" w:rsidR="009E399B" w:rsidRPr="00216722" w:rsidRDefault="009E399B"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Lin, C.T., Chiu, H., &amp; Chu, P-Y. (2006). Agility index in the supply chain.</w:t>
      </w:r>
      <w:r w:rsidRPr="00216722">
        <w:rPr>
          <w:rFonts w:ascii="Times New Roman" w:hAnsi="Times New Roman" w:cs="Times New Roman"/>
          <w:i/>
          <w:sz w:val="24"/>
          <w:szCs w:val="24"/>
          <w:shd w:val="clear" w:color="auto" w:fill="FFFFFF"/>
        </w:rPr>
        <w:t xml:space="preserve"> International journal of Production Economics</w:t>
      </w:r>
      <w:r w:rsidRPr="00216722">
        <w:rPr>
          <w:rFonts w:ascii="Times New Roman" w:hAnsi="Times New Roman" w:cs="Times New Roman"/>
          <w:sz w:val="24"/>
          <w:szCs w:val="24"/>
          <w:shd w:val="clear" w:color="auto" w:fill="FFFFFF"/>
        </w:rPr>
        <w:t>,</w:t>
      </w:r>
      <w:r w:rsidRPr="00216722">
        <w:rPr>
          <w:rFonts w:ascii="Times New Roman" w:hAnsi="Times New Roman" w:cs="Times New Roman"/>
          <w:i/>
          <w:sz w:val="24"/>
          <w:szCs w:val="24"/>
          <w:shd w:val="clear" w:color="auto" w:fill="FFFFFF"/>
        </w:rPr>
        <w:t xml:space="preserve"> 100</w:t>
      </w:r>
      <w:r w:rsidRPr="00216722">
        <w:rPr>
          <w:rFonts w:ascii="Times New Roman" w:hAnsi="Times New Roman" w:cs="Times New Roman"/>
          <w:sz w:val="24"/>
          <w:szCs w:val="24"/>
          <w:shd w:val="clear" w:color="auto" w:fill="FFFFFF"/>
        </w:rPr>
        <w:t>(2), 285-299.</w:t>
      </w:r>
    </w:p>
    <w:p w14:paraId="419C2CBF" w14:textId="764A3144" w:rsidR="004B7A76" w:rsidRPr="00216722" w:rsidRDefault="004B7A7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Ling-</w:t>
      </w:r>
      <w:r w:rsidR="00F63712" w:rsidRPr="00216722">
        <w:rPr>
          <w:rFonts w:ascii="Times New Roman" w:hAnsi="Times New Roman" w:cs="Times New Roman"/>
          <w:sz w:val="24"/>
          <w:szCs w:val="24"/>
          <w:shd w:val="clear" w:color="auto" w:fill="FFFFFF"/>
        </w:rPr>
        <w:t>Yee</w:t>
      </w:r>
      <w:r w:rsidRPr="00216722">
        <w:rPr>
          <w:rFonts w:ascii="Times New Roman" w:hAnsi="Times New Roman" w:cs="Times New Roman"/>
          <w:sz w:val="24"/>
          <w:szCs w:val="24"/>
          <w:shd w:val="clear" w:color="auto" w:fill="FFFFFF"/>
        </w:rPr>
        <w:t>, L. (2007). Marketing resources and performance of exhibitor firms in trade shows: A contingent resource perspective.</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Industrial Marketing Management,</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36</w:t>
      </w:r>
      <w:r w:rsidRPr="00216722">
        <w:rPr>
          <w:rFonts w:ascii="Times New Roman" w:hAnsi="Times New Roman" w:cs="Times New Roman"/>
          <w:sz w:val="24"/>
          <w:szCs w:val="24"/>
          <w:shd w:val="clear" w:color="auto" w:fill="FFFFFF"/>
        </w:rPr>
        <w:t>(3), 360-370.</w:t>
      </w:r>
    </w:p>
    <w:p w14:paraId="5666A12C" w14:textId="0A93C038" w:rsidR="006F135C" w:rsidRPr="00216722" w:rsidRDefault="006F135C"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Liu, H., Wei, S., Ke, W., Wei, K. K., &amp; Hua, Z. (2016). The configuration between supply chain integration and information technology competency: A resource orchestration perspective.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 44, 13-29.</w:t>
      </w:r>
    </w:p>
    <w:p w14:paraId="1D621FC2" w14:textId="28A82B30" w:rsidR="00617F86" w:rsidRPr="00216722" w:rsidRDefault="00617F8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Makris, S., Zoupas, P., &amp; Chryssolouris, G. (2011). Supply chain control logic for enabling adaptability under uncertainty.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Research</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49</w:t>
      </w:r>
      <w:r w:rsidRPr="00216722">
        <w:rPr>
          <w:rFonts w:ascii="Times New Roman" w:hAnsi="Times New Roman" w:cs="Times New Roman"/>
          <w:sz w:val="24"/>
          <w:szCs w:val="24"/>
          <w:shd w:val="clear" w:color="auto" w:fill="FFFFFF"/>
        </w:rPr>
        <w:t>(1), 121-137.</w:t>
      </w:r>
    </w:p>
    <w:p w14:paraId="247EE53E" w14:textId="3120D4D6" w:rsidR="007E29AE" w:rsidRPr="00216722" w:rsidRDefault="007E29A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Maghsoudi, A., &amp; Pazirandeh, A. (2016). Visibility, resource sharing and performance in supply chain relationships: insights from humanitarian practitioners. </w:t>
      </w:r>
      <w:r w:rsidRPr="00216722">
        <w:rPr>
          <w:rFonts w:ascii="Times New Roman" w:hAnsi="Times New Roman" w:cs="Times New Roman"/>
          <w:i/>
          <w:sz w:val="24"/>
          <w:szCs w:val="24"/>
          <w:shd w:val="clear" w:color="auto" w:fill="FFFFFF"/>
        </w:rPr>
        <w:t>Supply Chain Management: An International Journal</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21</w:t>
      </w:r>
      <w:r w:rsidRPr="00216722">
        <w:rPr>
          <w:rFonts w:ascii="Times New Roman" w:hAnsi="Times New Roman" w:cs="Times New Roman"/>
          <w:sz w:val="24"/>
          <w:szCs w:val="24"/>
          <w:shd w:val="clear" w:color="auto" w:fill="FFFFFF"/>
        </w:rPr>
        <w:t>(1), 125-139.</w:t>
      </w:r>
    </w:p>
    <w:p w14:paraId="49CE8AB1" w14:textId="5A6DBAC6" w:rsidR="003D01B5" w:rsidRPr="00216722" w:rsidRDefault="003D01B5"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Matthyssens, P., &amp; Vandenbempt, K. (2008). Moving from basic offerings to value-added solutions: Strategies, barriers and alignment.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Industrial Marketing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37</w:t>
      </w:r>
      <w:r w:rsidRPr="00216722">
        <w:rPr>
          <w:rFonts w:ascii="Times New Roman" w:hAnsi="Times New Roman" w:cs="Times New Roman"/>
          <w:sz w:val="24"/>
          <w:szCs w:val="24"/>
          <w:shd w:val="clear" w:color="auto" w:fill="FFFFFF"/>
        </w:rPr>
        <w:t>(3), 316-328.</w:t>
      </w:r>
    </w:p>
    <w:p w14:paraId="3EA3299A" w14:textId="0EEDFF13" w:rsidR="001C3150" w:rsidRPr="00216722" w:rsidRDefault="001C315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Messersmith, J. G., &amp; Chang, Y. (2017). On the same page: Exploring the link between cross-level leadership fit and innovation.</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 xml:space="preserve">Human </w:t>
      </w:r>
      <w:r w:rsidR="00A474C7" w:rsidRPr="00216722">
        <w:rPr>
          <w:rFonts w:ascii="Times New Roman" w:hAnsi="Times New Roman" w:cs="Times New Roman"/>
          <w:i/>
          <w:iCs/>
          <w:sz w:val="24"/>
          <w:szCs w:val="24"/>
          <w:shd w:val="clear" w:color="auto" w:fill="FFFFFF"/>
        </w:rPr>
        <w:t>Performance,</w:t>
      </w:r>
      <w:r w:rsidR="00A474C7" w:rsidRPr="00216722">
        <w:rPr>
          <w:rStyle w:val="apple-converted-space"/>
          <w:rFonts w:ascii="Times New Roman" w:hAnsi="Times New Roman" w:cs="Times New Roman"/>
          <w:i/>
          <w:iCs/>
          <w:sz w:val="24"/>
          <w:szCs w:val="24"/>
          <w:shd w:val="clear" w:color="auto" w:fill="FFFFFF"/>
        </w:rPr>
        <w:t>1</w:t>
      </w:r>
      <w:r w:rsidRPr="00216722">
        <w:rPr>
          <w:rFonts w:ascii="Times New Roman" w:hAnsi="Times New Roman" w:cs="Times New Roman"/>
          <w:sz w:val="24"/>
          <w:szCs w:val="24"/>
          <w:shd w:val="clear" w:color="auto" w:fill="FFFFFF"/>
        </w:rPr>
        <w:t>-20. doi:10.1080/08959285.2016.1250766.</w:t>
      </w:r>
    </w:p>
    <w:p w14:paraId="2FEFAEC7" w14:textId="1AE1646A" w:rsidR="001F070C" w:rsidRPr="00216722" w:rsidRDefault="001F070C"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Miller, S. R., &amp; Ross, A. D. (2003). An exploratory analysis of resource utilization across organizational units: Understanding the resource-based view.</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23</w:t>
      </w:r>
      <w:r w:rsidRPr="00216722">
        <w:rPr>
          <w:rFonts w:ascii="Times New Roman" w:hAnsi="Times New Roman" w:cs="Times New Roman"/>
          <w:sz w:val="24"/>
          <w:szCs w:val="24"/>
          <w:shd w:val="clear" w:color="auto" w:fill="FFFFFF"/>
        </w:rPr>
        <w:t>(9), 1062-1083.</w:t>
      </w:r>
    </w:p>
    <w:p w14:paraId="08A1DC25" w14:textId="35D061EE" w:rsidR="00F06C38" w:rsidRPr="00216722" w:rsidRDefault="00636518"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Morgan, N. A., Kaleka, A., &amp;</w:t>
      </w:r>
      <w:r w:rsidR="00B31ABB"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Gooner, R. A. (2007).</w:t>
      </w:r>
      <w:r w:rsidR="00082343"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Focal supplier opportunism in supermarket retailer category management.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25</w:t>
      </w:r>
      <w:r w:rsidRPr="00216722">
        <w:rPr>
          <w:rFonts w:ascii="Times New Roman" w:hAnsi="Times New Roman" w:cs="Times New Roman"/>
          <w:sz w:val="24"/>
          <w:szCs w:val="24"/>
          <w:shd w:val="clear" w:color="auto" w:fill="FFFFFF"/>
        </w:rPr>
        <w:t>(2), 512-527.</w:t>
      </w:r>
    </w:p>
    <w:p w14:paraId="44873329" w14:textId="16C4B49D" w:rsidR="008331E1" w:rsidRPr="00216722" w:rsidRDefault="00233F8A"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Newbert, S. L. (2007). Empirical research on the resource</w:t>
      </w:r>
      <w:r w:rsidRPr="00216722">
        <w:rPr>
          <w:rFonts w:ascii="Cambria Math" w:hAnsi="Cambria Math" w:cs="Cambria Math"/>
          <w:sz w:val="24"/>
          <w:szCs w:val="24"/>
          <w:shd w:val="clear" w:color="auto" w:fill="FFFFFF"/>
        </w:rPr>
        <w:t>‐</w:t>
      </w:r>
      <w:r w:rsidRPr="00216722">
        <w:rPr>
          <w:rFonts w:ascii="Times New Roman" w:hAnsi="Times New Roman" w:cs="Times New Roman"/>
          <w:sz w:val="24"/>
          <w:szCs w:val="24"/>
          <w:shd w:val="clear" w:color="auto" w:fill="FFFFFF"/>
        </w:rPr>
        <w:t>based view of the firm: an assessment and suggestions for future research.</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Strategic </w:t>
      </w:r>
      <w:r w:rsidR="000770BB" w:rsidRPr="00216722">
        <w:rPr>
          <w:rFonts w:ascii="Times New Roman" w:hAnsi="Times New Roman" w:cs="Times New Roman"/>
          <w:i/>
          <w:iCs/>
          <w:sz w:val="24"/>
          <w:szCs w:val="24"/>
          <w:shd w:val="clear" w:color="auto" w:fill="FFFFFF"/>
        </w:rPr>
        <w:t>M</w:t>
      </w:r>
      <w:r w:rsidRPr="00216722">
        <w:rPr>
          <w:rFonts w:ascii="Times New Roman" w:hAnsi="Times New Roman" w:cs="Times New Roman"/>
          <w:i/>
          <w:iCs/>
          <w:sz w:val="24"/>
          <w:szCs w:val="24"/>
          <w:shd w:val="clear" w:color="auto" w:fill="FFFFFF"/>
        </w:rPr>
        <w:t xml:space="preserve">anagement </w:t>
      </w:r>
      <w:r w:rsidR="000770BB" w:rsidRPr="00216722">
        <w:rPr>
          <w:rFonts w:ascii="Times New Roman" w:hAnsi="Times New Roman" w:cs="Times New Roman"/>
          <w:i/>
          <w:iCs/>
          <w:sz w:val="24"/>
          <w:szCs w:val="24"/>
          <w:shd w:val="clear" w:color="auto" w:fill="FFFFFF"/>
        </w:rPr>
        <w:t>J</w:t>
      </w:r>
      <w:r w:rsidRPr="00216722">
        <w:rPr>
          <w:rFonts w:ascii="Times New Roman" w:hAnsi="Times New Roman" w:cs="Times New Roman"/>
          <w:i/>
          <w:iCs/>
          <w:sz w:val="24"/>
          <w:szCs w:val="24"/>
          <w:shd w:val="clear" w:color="auto" w:fill="FFFFFF"/>
        </w:rPr>
        <w:t>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28</w:t>
      </w:r>
      <w:r w:rsidRPr="00216722">
        <w:rPr>
          <w:rFonts w:ascii="Times New Roman" w:hAnsi="Times New Roman" w:cs="Times New Roman"/>
          <w:sz w:val="24"/>
          <w:szCs w:val="24"/>
          <w:shd w:val="clear" w:color="auto" w:fill="FFFFFF"/>
        </w:rPr>
        <w:t>(2), 121-146.</w:t>
      </w:r>
    </w:p>
    <w:p w14:paraId="23FE24AC" w14:textId="55477F0A" w:rsidR="002E5831" w:rsidRPr="00216722" w:rsidRDefault="002E583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Oliver, C. (1997). Sustainable competitive advantage: Combining institutional and resource-based views.</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Strategic Management Journal,</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18</w:t>
      </w:r>
      <w:r w:rsidRPr="00216722">
        <w:rPr>
          <w:rFonts w:ascii="Times New Roman" w:hAnsi="Times New Roman" w:cs="Times New Roman"/>
          <w:sz w:val="24"/>
          <w:szCs w:val="24"/>
          <w:shd w:val="clear" w:color="auto" w:fill="FFFFFF"/>
        </w:rPr>
        <w:t>(9), 697-713.</w:t>
      </w:r>
      <w:r w:rsidRPr="00216722">
        <w:rPr>
          <w:rStyle w:val="apple-converted-space"/>
          <w:rFonts w:ascii="Times New Roman" w:hAnsi="Times New Roman" w:cs="Times New Roman"/>
          <w:sz w:val="24"/>
          <w:szCs w:val="24"/>
          <w:shd w:val="clear" w:color="auto" w:fill="FFFFFF"/>
        </w:rPr>
        <w:t> </w:t>
      </w:r>
    </w:p>
    <w:p w14:paraId="6D3B3E5B" w14:textId="65709949" w:rsidR="00E02A5F" w:rsidRPr="00216722" w:rsidRDefault="00E02A5F"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Ou, C. S., Liu, F. C., Hung, Y. C., &amp; Yen, D. C. (2010).</w:t>
      </w:r>
      <w:r w:rsidR="005753BB"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A structural model of supply chain management on firm performance.</w:t>
      </w:r>
      <w:r w:rsidR="005B442D"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International Journal of Operations &amp; Production Management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30</w:t>
      </w:r>
      <w:r w:rsidRPr="00216722">
        <w:rPr>
          <w:rFonts w:ascii="Times New Roman" w:eastAsia="Times New Roman" w:hAnsi="Times New Roman" w:cs="Times New Roman"/>
          <w:sz w:val="24"/>
          <w:szCs w:val="24"/>
        </w:rPr>
        <w:t>(5), 526-545.</w:t>
      </w:r>
    </w:p>
    <w:p w14:paraId="2EBB4EE6" w14:textId="5391E41E" w:rsidR="00A16824" w:rsidRPr="00216722" w:rsidRDefault="00A16824"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Petersen, K.J., Ragatz, G.L., &amp; Monczka, R.M. (2005). An examination of collaborative planning effectiveness and supply chain performance. </w:t>
      </w:r>
      <w:r w:rsidRPr="00216722">
        <w:rPr>
          <w:rFonts w:ascii="Times New Roman" w:hAnsi="Times New Roman" w:cs="Times New Roman"/>
          <w:i/>
          <w:sz w:val="24"/>
          <w:szCs w:val="24"/>
          <w:shd w:val="clear" w:color="auto" w:fill="FFFFFF"/>
        </w:rPr>
        <w:t>Journal of Supply Chain Management</w:t>
      </w:r>
      <w:r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sz w:val="24"/>
          <w:szCs w:val="24"/>
          <w:shd w:val="clear" w:color="auto" w:fill="FFFFFF"/>
        </w:rPr>
        <w:t>41</w:t>
      </w:r>
      <w:r w:rsidRPr="00216722">
        <w:rPr>
          <w:rFonts w:ascii="Times New Roman" w:hAnsi="Times New Roman" w:cs="Times New Roman"/>
          <w:sz w:val="24"/>
          <w:szCs w:val="24"/>
          <w:shd w:val="clear" w:color="auto" w:fill="FFFFFF"/>
        </w:rPr>
        <w:t>(2), 14-25.</w:t>
      </w:r>
    </w:p>
    <w:p w14:paraId="28EF704B" w14:textId="7AAF7D10" w:rsidR="00292DFA" w:rsidRPr="00216722" w:rsidRDefault="0021766D"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Podsakoff, P. M., &amp; Organ, D. W. (1986). Self-reports in organizational research: Problems and prospects.</w:t>
      </w:r>
      <w:r w:rsidR="00D16582"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 xml:space="preserve">Journal of </w:t>
      </w:r>
      <w:r w:rsidR="00DE675F" w:rsidRPr="00216722">
        <w:rPr>
          <w:rFonts w:ascii="Times New Roman" w:eastAsia="Times New Roman" w:hAnsi="Times New Roman" w:cs="Times New Roman"/>
          <w:i/>
          <w:iCs/>
          <w:sz w:val="24"/>
          <w:szCs w:val="24"/>
        </w:rPr>
        <w:t>M</w:t>
      </w:r>
      <w:r w:rsidRPr="00216722">
        <w:rPr>
          <w:rFonts w:ascii="Times New Roman" w:eastAsia="Times New Roman" w:hAnsi="Times New Roman" w:cs="Times New Roman"/>
          <w:i/>
          <w:iCs/>
          <w:sz w:val="24"/>
          <w:szCs w:val="24"/>
        </w:rPr>
        <w:t>anagement</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12</w:t>
      </w:r>
      <w:r w:rsidRPr="00216722">
        <w:rPr>
          <w:rFonts w:ascii="Times New Roman" w:eastAsia="Times New Roman" w:hAnsi="Times New Roman" w:cs="Times New Roman"/>
          <w:sz w:val="24"/>
          <w:szCs w:val="24"/>
        </w:rPr>
        <w:t>(4), 531-544.</w:t>
      </w:r>
    </w:p>
    <w:p w14:paraId="395DBAC9" w14:textId="596EBE3F" w:rsidR="00540793" w:rsidRPr="00216722" w:rsidRDefault="00540793"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Podsakoff, P. M., MacKenzie, S. B., Lee, J., &amp; Podsakoff, N. P. (2003). Common method biases in behavioral research: A critical review of the literature and recommended remedies.</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Journal of Applied Psychology,</w:t>
      </w:r>
      <w:r w:rsidRPr="00216722">
        <w:rPr>
          <w:rStyle w:val="apple-converted-space"/>
          <w:rFonts w:ascii="Times New Roman" w:hAnsi="Times New Roman" w:cs="Times New Roman"/>
          <w:i/>
          <w:iCs/>
          <w:sz w:val="24"/>
          <w:szCs w:val="24"/>
          <w:shd w:val="clear" w:color="auto" w:fill="FFFFFF"/>
        </w:rPr>
        <w:t> </w:t>
      </w:r>
      <w:r w:rsidRPr="00216722">
        <w:rPr>
          <w:rFonts w:ascii="Times New Roman" w:hAnsi="Times New Roman" w:cs="Times New Roman"/>
          <w:i/>
          <w:iCs/>
          <w:sz w:val="24"/>
          <w:szCs w:val="24"/>
          <w:shd w:val="clear" w:color="auto" w:fill="FFFFFF"/>
        </w:rPr>
        <w:t>88</w:t>
      </w:r>
      <w:r w:rsidRPr="00216722">
        <w:rPr>
          <w:rFonts w:ascii="Times New Roman" w:hAnsi="Times New Roman" w:cs="Times New Roman"/>
          <w:sz w:val="24"/>
          <w:szCs w:val="24"/>
          <w:shd w:val="clear" w:color="auto" w:fill="FFFFFF"/>
        </w:rPr>
        <w:t>(5), 879-903.</w:t>
      </w:r>
      <w:r w:rsidRPr="00216722">
        <w:rPr>
          <w:rStyle w:val="apple-converted-space"/>
          <w:rFonts w:ascii="Times New Roman" w:hAnsi="Times New Roman" w:cs="Times New Roman"/>
          <w:sz w:val="24"/>
          <w:szCs w:val="24"/>
          <w:shd w:val="clear" w:color="auto" w:fill="FFFFFF"/>
        </w:rPr>
        <w:t> </w:t>
      </w:r>
    </w:p>
    <w:p w14:paraId="0533F743" w14:textId="4B380121" w:rsidR="00BC390F" w:rsidRPr="00216722" w:rsidRDefault="00BC390F"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Prajogo, D., &amp; Olhager, J. (2012). Supply chain integration and performance: The effects of long-term relationships, information technology and sharing, and logistics integration.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Economics</w:t>
      </w:r>
      <w:r w:rsidRPr="00216722">
        <w:rPr>
          <w:rFonts w:ascii="Times New Roman" w:hAnsi="Times New Roman" w:cs="Times New Roman"/>
          <w:sz w:val="24"/>
          <w:szCs w:val="24"/>
          <w:shd w:val="clear" w:color="auto" w:fill="FFFFFF"/>
        </w:rPr>
        <w:t>,</w:t>
      </w:r>
      <w:r w:rsidR="007315DE"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i/>
          <w:iCs/>
          <w:sz w:val="24"/>
          <w:szCs w:val="24"/>
          <w:shd w:val="clear" w:color="auto" w:fill="FFFFFF"/>
        </w:rPr>
        <w:t>135</w:t>
      </w:r>
      <w:r w:rsidRPr="00216722">
        <w:rPr>
          <w:rFonts w:ascii="Times New Roman" w:hAnsi="Times New Roman" w:cs="Times New Roman"/>
          <w:sz w:val="24"/>
          <w:szCs w:val="24"/>
          <w:shd w:val="clear" w:color="auto" w:fill="FFFFFF"/>
        </w:rPr>
        <w:t>(1), 514-522.</w:t>
      </w:r>
    </w:p>
    <w:p w14:paraId="7F738DF6" w14:textId="3F8D016B" w:rsidR="00FB48D1" w:rsidRPr="00216722" w:rsidRDefault="00FB48D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Prater, E., Biehl, M., &amp; Smith, M. A. (2001).</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International supply chain agility-Tradeoffs between flexibility and uncertainty.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International </w:t>
      </w:r>
      <w:r w:rsidR="005B442D" w:rsidRPr="00216722">
        <w:rPr>
          <w:rFonts w:ascii="Times New Roman" w:hAnsi="Times New Roman" w:cs="Times New Roman"/>
          <w:i/>
          <w:iCs/>
          <w:sz w:val="24"/>
          <w:szCs w:val="24"/>
          <w:shd w:val="clear" w:color="auto" w:fill="FFFFFF"/>
        </w:rPr>
        <w:t>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21</w:t>
      </w:r>
      <w:r w:rsidRPr="00216722">
        <w:rPr>
          <w:rFonts w:ascii="Times New Roman" w:hAnsi="Times New Roman" w:cs="Times New Roman"/>
          <w:sz w:val="24"/>
          <w:szCs w:val="24"/>
          <w:shd w:val="clear" w:color="auto" w:fill="FFFFFF"/>
        </w:rPr>
        <w:t>(5/6), 823-839.</w:t>
      </w:r>
    </w:p>
    <w:p w14:paraId="0F1A25A2" w14:textId="77777777" w:rsidR="00056977" w:rsidRPr="00216722" w:rsidRDefault="00B32AC1"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 xml:space="preserve">Premkumar, G., &amp; King, W. R. (1994). Organizational characteristics and information systems planning: an empirical study. </w:t>
      </w:r>
      <w:r w:rsidRPr="00216722">
        <w:rPr>
          <w:rFonts w:ascii="Times New Roman" w:eastAsia="Times New Roman" w:hAnsi="Times New Roman" w:cs="Times New Roman"/>
          <w:i/>
          <w:iCs/>
          <w:sz w:val="24"/>
          <w:szCs w:val="24"/>
        </w:rPr>
        <w:t>Information Systems Research</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5</w:t>
      </w:r>
      <w:r w:rsidRPr="00216722">
        <w:rPr>
          <w:rFonts w:ascii="Times New Roman" w:eastAsia="Times New Roman" w:hAnsi="Times New Roman" w:cs="Times New Roman"/>
          <w:sz w:val="24"/>
          <w:szCs w:val="24"/>
        </w:rPr>
        <w:t>(2), 75-109.</w:t>
      </w:r>
    </w:p>
    <w:p w14:paraId="792276B7" w14:textId="375952EF" w:rsidR="006A1AEE" w:rsidRPr="00216722" w:rsidRDefault="00371764"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eastAsia="Times New Roman" w:hAnsi="Times New Roman" w:cs="Times New Roman"/>
          <w:sz w:val="24"/>
          <w:szCs w:val="24"/>
        </w:rPr>
        <w:t>Revelle, W., &amp;</w:t>
      </w:r>
      <w:r w:rsidR="002D5AA6"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sz w:val="24"/>
          <w:szCs w:val="24"/>
        </w:rPr>
        <w:t xml:space="preserve">Zinbarg, R. E. (2009). Coefficients alpha, beta, omega, and the glb: Comments on Sijtsma. </w:t>
      </w:r>
      <w:r w:rsidRPr="00216722">
        <w:rPr>
          <w:rFonts w:ascii="Times New Roman" w:eastAsia="Times New Roman" w:hAnsi="Times New Roman" w:cs="Times New Roman"/>
          <w:i/>
          <w:iCs/>
          <w:sz w:val="24"/>
          <w:szCs w:val="24"/>
        </w:rPr>
        <w:t>Psychometrika</w:t>
      </w:r>
      <w:r w:rsidRPr="00216722">
        <w:rPr>
          <w:rFonts w:ascii="Times New Roman" w:eastAsia="Times New Roman" w:hAnsi="Times New Roman" w:cs="Times New Roman"/>
          <w:sz w:val="24"/>
          <w:szCs w:val="24"/>
        </w:rPr>
        <w:t xml:space="preserve">, </w:t>
      </w:r>
      <w:r w:rsidRPr="00216722">
        <w:rPr>
          <w:rFonts w:ascii="Times New Roman" w:eastAsia="Times New Roman" w:hAnsi="Times New Roman" w:cs="Times New Roman"/>
          <w:i/>
          <w:iCs/>
          <w:sz w:val="24"/>
          <w:szCs w:val="24"/>
        </w:rPr>
        <w:t>74</w:t>
      </w:r>
      <w:r w:rsidRPr="00216722">
        <w:rPr>
          <w:rFonts w:ascii="Times New Roman" w:eastAsia="Times New Roman" w:hAnsi="Times New Roman" w:cs="Times New Roman"/>
          <w:sz w:val="24"/>
          <w:szCs w:val="24"/>
        </w:rPr>
        <w:t>(1), 145-154.</w:t>
      </w:r>
    </w:p>
    <w:p w14:paraId="78CF65F9" w14:textId="695A0430" w:rsidR="00E132F2" w:rsidRPr="00216722" w:rsidRDefault="00E132F2"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Roy, S., Sivakumar, K., &amp; Wilkinson, I. F. (2004). Innovation generation in supply chain relationships: A conceptual model and research propositions.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Journal of the Academy of </w:t>
      </w:r>
      <w:r w:rsidR="00DD367E" w:rsidRPr="00216722">
        <w:rPr>
          <w:rFonts w:ascii="Times New Roman" w:hAnsi="Times New Roman" w:cs="Times New Roman"/>
          <w:i/>
          <w:iCs/>
          <w:sz w:val="24"/>
          <w:szCs w:val="24"/>
          <w:shd w:val="clear" w:color="auto" w:fill="FFFFFF"/>
        </w:rPr>
        <w:t>M</w:t>
      </w:r>
      <w:r w:rsidRPr="00216722">
        <w:rPr>
          <w:rFonts w:ascii="Times New Roman" w:hAnsi="Times New Roman" w:cs="Times New Roman"/>
          <w:i/>
          <w:iCs/>
          <w:sz w:val="24"/>
          <w:szCs w:val="24"/>
          <w:shd w:val="clear" w:color="auto" w:fill="FFFFFF"/>
        </w:rPr>
        <w:t>arketing Science</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32</w:t>
      </w:r>
      <w:r w:rsidRPr="00216722">
        <w:rPr>
          <w:rFonts w:ascii="Times New Roman" w:hAnsi="Times New Roman" w:cs="Times New Roman"/>
          <w:sz w:val="24"/>
          <w:szCs w:val="24"/>
          <w:shd w:val="clear" w:color="auto" w:fill="FFFFFF"/>
        </w:rPr>
        <w:t>(1), 61-79.</w:t>
      </w:r>
    </w:p>
    <w:p w14:paraId="1847E659" w14:textId="2B748DEA" w:rsidR="008A1CFD" w:rsidRPr="00216722" w:rsidRDefault="008A1CF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 xml:space="preserve">Sharma, R., Yetton, P., &amp; Crawford, J. (2009). Estimating the </w:t>
      </w:r>
      <w:r w:rsidR="008E1320" w:rsidRPr="00216722">
        <w:rPr>
          <w:rFonts w:ascii="Times New Roman" w:hAnsi="Times New Roman" w:cs="Times New Roman"/>
          <w:sz w:val="24"/>
          <w:szCs w:val="24"/>
          <w:shd w:val="clear" w:color="auto" w:fill="FFFFFF"/>
        </w:rPr>
        <w:t xml:space="preserve">effect </w:t>
      </w:r>
      <w:r w:rsidRPr="00216722">
        <w:rPr>
          <w:rFonts w:ascii="Times New Roman" w:hAnsi="Times New Roman" w:cs="Times New Roman"/>
          <w:sz w:val="24"/>
          <w:szCs w:val="24"/>
          <w:shd w:val="clear" w:color="auto" w:fill="FFFFFF"/>
        </w:rPr>
        <w:t xml:space="preserve">of </w:t>
      </w:r>
      <w:r w:rsidR="008E1320" w:rsidRPr="00216722">
        <w:rPr>
          <w:rFonts w:ascii="Times New Roman" w:hAnsi="Times New Roman" w:cs="Times New Roman"/>
          <w:sz w:val="24"/>
          <w:szCs w:val="24"/>
          <w:shd w:val="clear" w:color="auto" w:fill="FFFFFF"/>
        </w:rPr>
        <w:t>common method variance</w:t>
      </w:r>
      <w:r w:rsidRPr="00216722">
        <w:rPr>
          <w:rFonts w:ascii="Times New Roman" w:hAnsi="Times New Roman" w:cs="Times New Roman"/>
          <w:sz w:val="24"/>
          <w:szCs w:val="24"/>
          <w:shd w:val="clear" w:color="auto" w:fill="FFFFFF"/>
        </w:rPr>
        <w:t xml:space="preserve">: The </w:t>
      </w:r>
      <w:r w:rsidR="008E1320" w:rsidRPr="00216722">
        <w:rPr>
          <w:rFonts w:ascii="Times New Roman" w:hAnsi="Times New Roman" w:cs="Times New Roman"/>
          <w:sz w:val="24"/>
          <w:szCs w:val="24"/>
          <w:shd w:val="clear" w:color="auto" w:fill="FFFFFF"/>
        </w:rPr>
        <w:t>method</w:t>
      </w:r>
      <w:r w:rsidRPr="00216722">
        <w:rPr>
          <w:rFonts w:ascii="Times New Roman" w:hAnsi="Times New Roman" w:cs="Times New Roman"/>
          <w:sz w:val="24"/>
          <w:szCs w:val="24"/>
          <w:shd w:val="clear" w:color="auto" w:fill="FFFFFF"/>
        </w:rPr>
        <w:t>—</w:t>
      </w:r>
      <w:r w:rsidR="008E1320" w:rsidRPr="00216722">
        <w:rPr>
          <w:rFonts w:ascii="Times New Roman" w:hAnsi="Times New Roman" w:cs="Times New Roman"/>
          <w:sz w:val="24"/>
          <w:szCs w:val="24"/>
          <w:shd w:val="clear" w:color="auto" w:fill="FFFFFF"/>
        </w:rPr>
        <w:t xml:space="preserve">method pair technique </w:t>
      </w:r>
      <w:r w:rsidRPr="00216722">
        <w:rPr>
          <w:rFonts w:ascii="Times New Roman" w:hAnsi="Times New Roman" w:cs="Times New Roman"/>
          <w:sz w:val="24"/>
          <w:szCs w:val="24"/>
          <w:shd w:val="clear" w:color="auto" w:fill="FFFFFF"/>
        </w:rPr>
        <w:t xml:space="preserve">with an </w:t>
      </w:r>
      <w:r w:rsidR="008E1320" w:rsidRPr="00216722">
        <w:rPr>
          <w:rFonts w:ascii="Times New Roman" w:hAnsi="Times New Roman" w:cs="Times New Roman"/>
          <w:sz w:val="24"/>
          <w:szCs w:val="24"/>
          <w:shd w:val="clear" w:color="auto" w:fill="FFFFFF"/>
        </w:rPr>
        <w:t xml:space="preserve">illustration </w:t>
      </w:r>
      <w:r w:rsidRPr="00216722">
        <w:rPr>
          <w:rFonts w:ascii="Times New Roman" w:hAnsi="Times New Roman" w:cs="Times New Roman"/>
          <w:sz w:val="24"/>
          <w:szCs w:val="24"/>
          <w:shd w:val="clear" w:color="auto" w:fill="FFFFFF"/>
        </w:rPr>
        <w:t>from TAM Research.</w:t>
      </w:r>
      <w:r w:rsidRPr="00216722">
        <w:rPr>
          <w:rStyle w:val="apple-converted-space"/>
          <w:rFonts w:ascii="Times New Roman" w:hAnsi="Times New Roman" w:cs="Times New Roman"/>
          <w:sz w:val="24"/>
          <w:szCs w:val="24"/>
          <w:shd w:val="clear" w:color="auto" w:fill="FFFFFF"/>
        </w:rPr>
        <w:t> </w:t>
      </w:r>
      <w:r w:rsidR="007315DE" w:rsidRPr="00216722">
        <w:rPr>
          <w:rFonts w:ascii="Times New Roman" w:hAnsi="Times New Roman" w:cs="Times New Roman"/>
          <w:i/>
          <w:iCs/>
          <w:sz w:val="24"/>
          <w:szCs w:val="24"/>
          <w:shd w:val="clear" w:color="auto" w:fill="FFFFFF"/>
        </w:rPr>
        <w:t xml:space="preserve">MIS </w:t>
      </w:r>
      <w:r w:rsidRPr="00216722">
        <w:rPr>
          <w:rFonts w:ascii="Times New Roman" w:hAnsi="Times New Roman" w:cs="Times New Roman"/>
          <w:i/>
          <w:iCs/>
          <w:sz w:val="24"/>
          <w:szCs w:val="24"/>
          <w:shd w:val="clear" w:color="auto" w:fill="FFFFFF"/>
        </w:rPr>
        <w:t>Quarterly</w:t>
      </w:r>
      <w:r w:rsidRPr="00216722">
        <w:rPr>
          <w:rFonts w:ascii="Times New Roman" w:hAnsi="Times New Roman" w:cs="Times New Roman"/>
          <w:sz w:val="24"/>
          <w:szCs w:val="24"/>
          <w:shd w:val="clear" w:color="auto" w:fill="FFFFFF"/>
        </w:rPr>
        <w:t xml:space="preserve">, </w:t>
      </w:r>
      <w:r w:rsidR="008E1320" w:rsidRPr="00216722">
        <w:rPr>
          <w:rFonts w:ascii="Times New Roman" w:hAnsi="Times New Roman" w:cs="Times New Roman"/>
          <w:i/>
          <w:sz w:val="24"/>
          <w:szCs w:val="24"/>
          <w:shd w:val="clear" w:color="auto" w:fill="FFFFFF"/>
        </w:rPr>
        <w:t>33</w:t>
      </w:r>
      <w:r w:rsidR="008E1320" w:rsidRPr="00216722">
        <w:rPr>
          <w:rFonts w:ascii="Times New Roman" w:hAnsi="Times New Roman" w:cs="Times New Roman"/>
          <w:sz w:val="24"/>
          <w:szCs w:val="24"/>
          <w:shd w:val="clear" w:color="auto" w:fill="FFFFFF"/>
        </w:rPr>
        <w:t xml:space="preserve">(3), </w:t>
      </w:r>
      <w:r w:rsidRPr="00216722">
        <w:rPr>
          <w:rFonts w:ascii="Times New Roman" w:hAnsi="Times New Roman" w:cs="Times New Roman"/>
          <w:sz w:val="24"/>
          <w:szCs w:val="24"/>
          <w:shd w:val="clear" w:color="auto" w:fill="FFFFFF"/>
        </w:rPr>
        <w:t>473-490.</w:t>
      </w:r>
    </w:p>
    <w:p w14:paraId="4A90E2C1" w14:textId="5576136A" w:rsidR="00F6773A" w:rsidRPr="00216722" w:rsidRDefault="00F6773A"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Shrivastava, P. (1983). A typology of organizational learning systems.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management studies</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20</w:t>
      </w:r>
      <w:r w:rsidRPr="00216722">
        <w:rPr>
          <w:rFonts w:ascii="Times New Roman" w:hAnsi="Times New Roman" w:cs="Times New Roman"/>
          <w:sz w:val="24"/>
          <w:szCs w:val="24"/>
          <w:shd w:val="clear" w:color="auto" w:fill="FFFFFF"/>
        </w:rPr>
        <w:t>(1), 7-28.</w:t>
      </w:r>
    </w:p>
    <w:p w14:paraId="5D2DE1DA" w14:textId="317518E9" w:rsidR="00511AE0" w:rsidRPr="00216722" w:rsidRDefault="00511AE0"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Smith, W. K., &amp; Tushman, M. L. (2005). Managing strategic contradictions: A top management model for managing innovation streams.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Organization </w:t>
      </w:r>
      <w:r w:rsidR="008E1320" w:rsidRPr="00216722">
        <w:rPr>
          <w:rFonts w:ascii="Times New Roman" w:hAnsi="Times New Roman" w:cs="Times New Roman"/>
          <w:i/>
          <w:iCs/>
          <w:sz w:val="24"/>
          <w:szCs w:val="24"/>
          <w:shd w:val="clear" w:color="auto" w:fill="FFFFFF"/>
        </w:rPr>
        <w:t>Science</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16</w:t>
      </w:r>
      <w:r w:rsidRPr="00216722">
        <w:rPr>
          <w:rFonts w:ascii="Times New Roman" w:hAnsi="Times New Roman" w:cs="Times New Roman"/>
          <w:sz w:val="24"/>
          <w:szCs w:val="24"/>
          <w:shd w:val="clear" w:color="auto" w:fill="FFFFFF"/>
        </w:rPr>
        <w:t>(5), 522-536.</w:t>
      </w:r>
    </w:p>
    <w:p w14:paraId="4B62697A" w14:textId="35D492AA" w:rsidR="0067503D" w:rsidRPr="00216722" w:rsidRDefault="0067503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Stevenson, M., &amp; Spring, M. (2007). Flexibility from a supply chain perspective: definition and review.</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27</w:t>
      </w:r>
      <w:r w:rsidRPr="00216722">
        <w:rPr>
          <w:rFonts w:ascii="Times New Roman" w:hAnsi="Times New Roman" w:cs="Times New Roman"/>
          <w:sz w:val="24"/>
          <w:szCs w:val="24"/>
          <w:shd w:val="clear" w:color="auto" w:fill="FFFFFF"/>
        </w:rPr>
        <w:t>(7), 685-713.</w:t>
      </w:r>
    </w:p>
    <w:p w14:paraId="370B5EDF" w14:textId="34452A17" w:rsidR="00057BE3" w:rsidRPr="00216722" w:rsidRDefault="00057BE3"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Stevenson, M., &amp; Spring, M. (2009). Supply chain flexibility: an inter-firm empirical study.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29</w:t>
      </w:r>
      <w:r w:rsidRPr="00216722">
        <w:rPr>
          <w:rFonts w:ascii="Times New Roman" w:hAnsi="Times New Roman" w:cs="Times New Roman"/>
          <w:sz w:val="24"/>
          <w:szCs w:val="24"/>
          <w:shd w:val="clear" w:color="auto" w:fill="FFFFFF"/>
        </w:rPr>
        <w:t>(9), 946-971.</w:t>
      </w:r>
    </w:p>
    <w:p w14:paraId="4B9E6989" w14:textId="26EC963C" w:rsidR="00EC52DE" w:rsidRPr="00216722" w:rsidRDefault="00EC52DE"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Swafford, P. M., Ghosh, S., &amp; Murthy, N. (2006). The antecedents of supply chain agility of a firm: scale development and model testing.</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24</w:t>
      </w:r>
      <w:r w:rsidRPr="00216722">
        <w:rPr>
          <w:rFonts w:ascii="Times New Roman" w:hAnsi="Times New Roman" w:cs="Times New Roman"/>
          <w:sz w:val="24"/>
          <w:szCs w:val="24"/>
          <w:shd w:val="clear" w:color="auto" w:fill="FFFFFF"/>
        </w:rPr>
        <w:t>(2), 170-188.</w:t>
      </w:r>
    </w:p>
    <w:p w14:paraId="5D4C374A" w14:textId="74496062" w:rsidR="00E6643D" w:rsidRPr="00216722" w:rsidRDefault="00E6643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Tarafdar, M., &amp; Qrunfleh, S. (2016). Agile supply chain strategy and supply chain performance: complementary roles of supply chain practices and information systems capability for agility.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Research</w:t>
      </w:r>
      <w:r w:rsidR="008E1320" w:rsidRPr="00216722">
        <w:rPr>
          <w:rFonts w:ascii="Times New Roman" w:hAnsi="Times New Roman" w:cs="Times New Roman"/>
          <w:sz w:val="24"/>
          <w:szCs w:val="24"/>
          <w:shd w:val="clear" w:color="auto" w:fill="FFFFFF"/>
        </w:rPr>
        <w:t xml:space="preserve"> (in print)</w:t>
      </w:r>
      <w:r w:rsidRPr="00216722">
        <w:rPr>
          <w:rFonts w:ascii="Times New Roman" w:hAnsi="Times New Roman" w:cs="Times New Roman"/>
          <w:sz w:val="24"/>
          <w:szCs w:val="24"/>
          <w:shd w:val="clear" w:color="auto" w:fill="FFFFFF"/>
        </w:rPr>
        <w:t>.</w:t>
      </w:r>
    </w:p>
    <w:p w14:paraId="2CAB0C77" w14:textId="09E76CB7" w:rsidR="008F4F31" w:rsidRPr="00216722" w:rsidRDefault="008F4F31"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Taylor, A., &amp; Taylor, M. (2009). Operations management research: contemporary themes, trends and potential future directions.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29</w:t>
      </w:r>
      <w:r w:rsidRPr="00216722">
        <w:rPr>
          <w:rFonts w:ascii="Times New Roman" w:hAnsi="Times New Roman" w:cs="Times New Roman"/>
          <w:sz w:val="24"/>
          <w:szCs w:val="24"/>
          <w:shd w:val="clear" w:color="auto" w:fill="FFFFFF"/>
        </w:rPr>
        <w:t>(12), 1316-1340.</w:t>
      </w:r>
    </w:p>
    <w:p w14:paraId="17438351" w14:textId="1446A71B" w:rsidR="00E57EFD" w:rsidRPr="00216722" w:rsidRDefault="00E57EFD"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Teece, D. J., Pisano, G., &amp;</w:t>
      </w:r>
      <w:r w:rsidR="002D5AA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Shuen, A. (1997). Dynamic capabilities and strategic management.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Strategic </w:t>
      </w:r>
      <w:r w:rsidR="005B442D" w:rsidRPr="00216722">
        <w:rPr>
          <w:rFonts w:ascii="Times New Roman" w:hAnsi="Times New Roman" w:cs="Times New Roman"/>
          <w:i/>
          <w:iCs/>
          <w:sz w:val="24"/>
          <w:szCs w:val="24"/>
          <w:shd w:val="clear" w:color="auto" w:fill="FFFFFF"/>
        </w:rPr>
        <w:t>Management Journal</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18</w:t>
      </w:r>
      <w:r w:rsidRPr="00216722">
        <w:rPr>
          <w:rFonts w:ascii="Times New Roman" w:hAnsi="Times New Roman" w:cs="Times New Roman"/>
          <w:sz w:val="24"/>
          <w:szCs w:val="24"/>
          <w:shd w:val="clear" w:color="auto" w:fill="FFFFFF"/>
        </w:rPr>
        <w:t>(7), 509-533.</w:t>
      </w:r>
    </w:p>
    <w:p w14:paraId="08306BD9" w14:textId="7ACD3F2A" w:rsidR="001035D2" w:rsidRPr="00216722" w:rsidRDefault="001035D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Vanpoucke, E., Boyer, K. K., &amp; Vereecke, A. (2009). Supply chain information flow strategies: an empirical taxonomy.</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29</w:t>
      </w:r>
      <w:r w:rsidRPr="00216722">
        <w:rPr>
          <w:rFonts w:ascii="Times New Roman" w:hAnsi="Times New Roman" w:cs="Times New Roman"/>
          <w:sz w:val="24"/>
          <w:szCs w:val="24"/>
          <w:shd w:val="clear" w:color="auto" w:fill="FFFFFF"/>
        </w:rPr>
        <w:t>(12), 1213-1241.</w:t>
      </w:r>
    </w:p>
    <w:p w14:paraId="16DBC715" w14:textId="0FE68537" w:rsidR="001035D2" w:rsidRPr="00216722" w:rsidRDefault="001035D2"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Vereecke, A., &amp; Muylle, S. (2006). Performance improvement through supply chain collaboration in Europe.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26</w:t>
      </w:r>
      <w:r w:rsidRPr="00216722">
        <w:rPr>
          <w:rFonts w:ascii="Times New Roman" w:hAnsi="Times New Roman" w:cs="Times New Roman"/>
          <w:sz w:val="24"/>
          <w:szCs w:val="24"/>
          <w:shd w:val="clear" w:color="auto" w:fill="FFFFFF"/>
        </w:rPr>
        <w:t>(11), 1176-1198.</w:t>
      </w:r>
    </w:p>
    <w:p w14:paraId="6375F347" w14:textId="07EC6721" w:rsidR="005C5D07" w:rsidRPr="00216722" w:rsidRDefault="005C5D07"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Wagner, S. M., &amp; Neshat, N. (2012). A comparison of supply chain vulnerability indices for different categories of firms.</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Production Research</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50</w:t>
      </w:r>
      <w:r w:rsidRPr="00216722">
        <w:rPr>
          <w:rFonts w:ascii="Times New Roman" w:hAnsi="Times New Roman" w:cs="Times New Roman"/>
          <w:sz w:val="24"/>
          <w:szCs w:val="24"/>
          <w:shd w:val="clear" w:color="auto" w:fill="FFFFFF"/>
        </w:rPr>
        <w:t>(11), 2877-2891.</w:t>
      </w:r>
    </w:p>
    <w:p w14:paraId="133D10C4" w14:textId="602D7C6E" w:rsidR="00D87344" w:rsidRPr="00216722" w:rsidRDefault="00D87344" w:rsidP="004B7A76">
      <w:pPr>
        <w:spacing w:after="0" w:line="480" w:lineRule="auto"/>
        <w:ind w:left="720" w:hanging="720"/>
        <w:jc w:val="both"/>
        <w:rPr>
          <w:rFonts w:ascii="Times New Roman" w:eastAsia="Times New Roman" w:hAnsi="Times New Roman" w:cs="Times New Roman"/>
          <w:sz w:val="24"/>
          <w:szCs w:val="24"/>
        </w:rPr>
      </w:pPr>
      <w:r w:rsidRPr="00216722">
        <w:rPr>
          <w:rFonts w:ascii="Times New Roman" w:hAnsi="Times New Roman" w:cs="Times New Roman"/>
          <w:sz w:val="24"/>
          <w:szCs w:val="24"/>
          <w:shd w:val="clear" w:color="auto" w:fill="FFFFFF"/>
        </w:rPr>
        <w:t xml:space="preserve">Walker, H., Chicksand, D., Radnor, Z., &amp; Watson, G. (2015). Theoretical perspectives in operations management: an analysis of the literature.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35</w:t>
      </w:r>
      <w:r w:rsidRPr="00216722">
        <w:rPr>
          <w:rFonts w:ascii="Times New Roman" w:hAnsi="Times New Roman" w:cs="Times New Roman"/>
          <w:sz w:val="24"/>
          <w:szCs w:val="24"/>
          <w:shd w:val="clear" w:color="auto" w:fill="FFFFFF"/>
        </w:rPr>
        <w:t>(8), 1182-1206.</w:t>
      </w:r>
    </w:p>
    <w:p w14:paraId="3D1EF3BA" w14:textId="11731B07" w:rsidR="00031F5F" w:rsidRPr="00216722" w:rsidRDefault="00031F5F"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Whitten,</w:t>
      </w:r>
      <w:r w:rsidR="005B442D"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D.G., Green Jr, K. W., &amp;</w:t>
      </w:r>
      <w:r w:rsidR="002D5AA6" w:rsidRPr="00216722">
        <w:rPr>
          <w:rFonts w:ascii="Times New Roman" w:hAnsi="Times New Roman" w:cs="Times New Roman"/>
          <w:sz w:val="24"/>
          <w:szCs w:val="24"/>
          <w:shd w:val="clear" w:color="auto" w:fill="FFFFFF"/>
        </w:rPr>
        <w:t xml:space="preserve"> </w:t>
      </w:r>
      <w:r w:rsidRPr="00216722">
        <w:rPr>
          <w:rFonts w:ascii="Times New Roman" w:hAnsi="Times New Roman" w:cs="Times New Roman"/>
          <w:sz w:val="24"/>
          <w:szCs w:val="24"/>
          <w:shd w:val="clear" w:color="auto" w:fill="FFFFFF"/>
        </w:rPr>
        <w:t>Zelbst, P. J. (2012). Triple-A supply chain performance.</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International Journal of Operations &amp; Production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32</w:t>
      </w:r>
      <w:r w:rsidRPr="00216722">
        <w:rPr>
          <w:rFonts w:ascii="Times New Roman" w:hAnsi="Times New Roman" w:cs="Times New Roman"/>
          <w:sz w:val="24"/>
          <w:szCs w:val="24"/>
          <w:shd w:val="clear" w:color="auto" w:fill="FFFFFF"/>
        </w:rPr>
        <w:t>(1), 28-48.</w:t>
      </w:r>
    </w:p>
    <w:p w14:paraId="07E087AE" w14:textId="0BF49568" w:rsidR="00322357" w:rsidRPr="00216722" w:rsidRDefault="00322357"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Williams, B. D., Roh, J., Tokar, T., &amp; Swink, M. (2013). Leveraging supply chain visibility for responsiveness: The moderating role of internal integration.</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Journal of Operations Management</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31</w:t>
      </w:r>
      <w:r w:rsidRPr="00216722">
        <w:rPr>
          <w:rFonts w:ascii="Times New Roman" w:hAnsi="Times New Roman" w:cs="Times New Roman"/>
          <w:sz w:val="24"/>
          <w:szCs w:val="24"/>
          <w:shd w:val="clear" w:color="auto" w:fill="FFFFFF"/>
        </w:rPr>
        <w:t>(7), 543-554.</w:t>
      </w:r>
    </w:p>
    <w:p w14:paraId="7C52A395" w14:textId="72AA9AE1" w:rsidR="00CC1C06" w:rsidRPr="00216722" w:rsidRDefault="00CC1C06" w:rsidP="004B7A76">
      <w:pPr>
        <w:spacing w:after="0" w:line="480" w:lineRule="auto"/>
        <w:ind w:left="720" w:hanging="720"/>
        <w:jc w:val="both"/>
        <w:rPr>
          <w:rFonts w:ascii="Times New Roman" w:hAnsi="Times New Roman" w:cs="Times New Roman"/>
          <w:sz w:val="24"/>
          <w:szCs w:val="24"/>
          <w:shd w:val="clear" w:color="auto" w:fill="FFFFFF"/>
        </w:rPr>
      </w:pPr>
      <w:r w:rsidRPr="00216722">
        <w:rPr>
          <w:rFonts w:ascii="Times New Roman" w:hAnsi="Times New Roman" w:cs="Times New Roman"/>
          <w:sz w:val="24"/>
          <w:szCs w:val="24"/>
          <w:shd w:val="clear" w:color="auto" w:fill="FFFFFF"/>
        </w:rPr>
        <w:t>Zhu, K., &amp; Kraemer, K. L. (2002). E-commerce metrics for net-enhanced organizations: Assessing the value of e-commerce to firm performance in the manufacturing sector.</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 xml:space="preserve">Information </w:t>
      </w:r>
      <w:r w:rsidR="005B442D" w:rsidRPr="00216722">
        <w:rPr>
          <w:rFonts w:ascii="Times New Roman" w:hAnsi="Times New Roman" w:cs="Times New Roman"/>
          <w:i/>
          <w:iCs/>
          <w:sz w:val="24"/>
          <w:szCs w:val="24"/>
          <w:shd w:val="clear" w:color="auto" w:fill="FFFFFF"/>
        </w:rPr>
        <w:t>Systems Research</w:t>
      </w:r>
      <w:r w:rsidRPr="00216722">
        <w:rPr>
          <w:rFonts w:ascii="Times New Roman" w:hAnsi="Times New Roman" w:cs="Times New Roman"/>
          <w:sz w:val="24"/>
          <w:szCs w:val="24"/>
          <w:shd w:val="clear" w:color="auto" w:fill="FFFFFF"/>
        </w:rPr>
        <w:t>,</w:t>
      </w:r>
      <w:r w:rsidRPr="00216722">
        <w:rPr>
          <w:rStyle w:val="apple-converted-space"/>
          <w:rFonts w:ascii="Times New Roman" w:hAnsi="Times New Roman" w:cs="Times New Roman"/>
          <w:sz w:val="24"/>
          <w:szCs w:val="24"/>
          <w:shd w:val="clear" w:color="auto" w:fill="FFFFFF"/>
        </w:rPr>
        <w:t> </w:t>
      </w:r>
      <w:r w:rsidRPr="00216722">
        <w:rPr>
          <w:rFonts w:ascii="Times New Roman" w:hAnsi="Times New Roman" w:cs="Times New Roman"/>
          <w:i/>
          <w:iCs/>
          <w:sz w:val="24"/>
          <w:szCs w:val="24"/>
          <w:shd w:val="clear" w:color="auto" w:fill="FFFFFF"/>
        </w:rPr>
        <w:t>13</w:t>
      </w:r>
      <w:r w:rsidRPr="00216722">
        <w:rPr>
          <w:rFonts w:ascii="Times New Roman" w:hAnsi="Times New Roman" w:cs="Times New Roman"/>
          <w:sz w:val="24"/>
          <w:szCs w:val="24"/>
          <w:shd w:val="clear" w:color="auto" w:fill="FFFFFF"/>
        </w:rPr>
        <w:t>(3), 275-295.</w:t>
      </w:r>
    </w:p>
    <w:p w14:paraId="101B7F91" w14:textId="09F99341" w:rsidR="004C201F" w:rsidRDefault="004C201F">
      <w:pP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br w:type="page"/>
      </w:r>
    </w:p>
    <w:p w14:paraId="095A8D6F" w14:textId="7D6D9BE4" w:rsidR="00031F5F" w:rsidRPr="00170A09" w:rsidRDefault="00170A09" w:rsidP="00654B52">
      <w:pPr>
        <w:spacing w:line="480" w:lineRule="auto"/>
        <w:ind w:left="720" w:hanging="720"/>
        <w:jc w:val="both"/>
        <w:rPr>
          <w:rFonts w:ascii="Times New Roman" w:hAnsi="Times New Roman" w:cs="Times New Roman"/>
          <w:b/>
          <w:sz w:val="24"/>
          <w:szCs w:val="24"/>
        </w:rPr>
      </w:pPr>
      <w:r w:rsidRPr="00170A09">
        <w:rPr>
          <w:rFonts w:ascii="Times New Roman" w:hAnsi="Times New Roman" w:cs="Times New Roman"/>
          <w:b/>
          <w:sz w:val="24"/>
          <w:szCs w:val="24"/>
        </w:rPr>
        <w:t>A</w:t>
      </w:r>
      <w:r w:rsidR="00803BAD" w:rsidRPr="00170A09">
        <w:rPr>
          <w:rFonts w:ascii="Times New Roman" w:hAnsi="Times New Roman" w:cs="Times New Roman"/>
          <w:b/>
          <w:sz w:val="24"/>
          <w:szCs w:val="24"/>
        </w:rPr>
        <w:t xml:space="preserve">ppendix 1: </w:t>
      </w:r>
      <w:r w:rsidR="00822C64" w:rsidRPr="00170A09">
        <w:rPr>
          <w:rFonts w:ascii="Times New Roman" w:hAnsi="Times New Roman" w:cs="Times New Roman"/>
          <w:b/>
          <w:sz w:val="24"/>
          <w:szCs w:val="24"/>
        </w:rPr>
        <w:t>Sample characteristics (n=351)</w:t>
      </w:r>
    </w:p>
    <w:tbl>
      <w:tblPr>
        <w:tblStyle w:val="TableGrid"/>
        <w:tblW w:w="9920" w:type="dxa"/>
        <w:tblInd w:w="-5" w:type="dxa"/>
        <w:tblLook w:val="04A0" w:firstRow="1" w:lastRow="0" w:firstColumn="1" w:lastColumn="0" w:noHBand="0" w:noVBand="1"/>
      </w:tblPr>
      <w:tblGrid>
        <w:gridCol w:w="7960"/>
        <w:gridCol w:w="960"/>
        <w:gridCol w:w="1000"/>
      </w:tblGrid>
      <w:tr w:rsidR="0014735A" w:rsidRPr="00170A09" w14:paraId="40DEB74D" w14:textId="77777777" w:rsidTr="00822C64">
        <w:trPr>
          <w:trHeight w:val="330"/>
        </w:trPr>
        <w:tc>
          <w:tcPr>
            <w:tcW w:w="7960" w:type="dxa"/>
            <w:tcBorders>
              <w:left w:val="nil"/>
              <w:bottom w:val="single" w:sz="4" w:space="0" w:color="auto"/>
              <w:right w:val="nil"/>
            </w:tcBorders>
            <w:noWrap/>
            <w:hideMark/>
          </w:tcPr>
          <w:p w14:paraId="3F50D745" w14:textId="77777777" w:rsidR="0014735A" w:rsidRPr="00170A09" w:rsidRDefault="0014735A" w:rsidP="00654B52">
            <w:pPr>
              <w:spacing w:line="480" w:lineRule="auto"/>
              <w:rPr>
                <w:rFonts w:ascii="Times New Roman" w:eastAsia="Times New Roman" w:hAnsi="Times New Roman" w:cs="Times New Roman"/>
                <w:b/>
                <w:i/>
                <w:iCs/>
                <w:color w:val="000000"/>
                <w:sz w:val="24"/>
                <w:szCs w:val="24"/>
              </w:rPr>
            </w:pPr>
            <w:r w:rsidRPr="00170A09">
              <w:rPr>
                <w:rFonts w:ascii="Times New Roman" w:eastAsia="Times New Roman" w:hAnsi="Times New Roman" w:cs="Times New Roman"/>
                <w:b/>
                <w:i/>
                <w:iCs/>
                <w:color w:val="000000"/>
                <w:sz w:val="24"/>
                <w:szCs w:val="24"/>
              </w:rPr>
              <w:t>Number of employees</w:t>
            </w:r>
          </w:p>
        </w:tc>
        <w:tc>
          <w:tcPr>
            <w:tcW w:w="960" w:type="dxa"/>
            <w:tcBorders>
              <w:left w:val="nil"/>
              <w:bottom w:val="single" w:sz="4" w:space="0" w:color="auto"/>
              <w:right w:val="nil"/>
            </w:tcBorders>
            <w:noWrap/>
            <w:hideMark/>
          </w:tcPr>
          <w:p w14:paraId="1B5F575F" w14:textId="67A02A81"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n</w:t>
            </w:r>
          </w:p>
        </w:tc>
        <w:tc>
          <w:tcPr>
            <w:tcW w:w="1000" w:type="dxa"/>
            <w:tcBorders>
              <w:left w:val="nil"/>
              <w:bottom w:val="single" w:sz="4" w:space="0" w:color="auto"/>
              <w:right w:val="nil"/>
            </w:tcBorders>
            <w:noWrap/>
            <w:hideMark/>
          </w:tcPr>
          <w:p w14:paraId="33A7A12B" w14:textId="068B793F"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w:t>
            </w:r>
          </w:p>
        </w:tc>
      </w:tr>
      <w:tr w:rsidR="0014735A" w:rsidRPr="00170A09" w14:paraId="24BCC99C" w14:textId="77777777" w:rsidTr="00822C64">
        <w:trPr>
          <w:trHeight w:val="325"/>
        </w:trPr>
        <w:tc>
          <w:tcPr>
            <w:tcW w:w="7960" w:type="dxa"/>
            <w:tcBorders>
              <w:top w:val="single" w:sz="4" w:space="0" w:color="auto"/>
              <w:left w:val="nil"/>
              <w:bottom w:val="nil"/>
              <w:right w:val="nil"/>
            </w:tcBorders>
            <w:noWrap/>
            <w:hideMark/>
          </w:tcPr>
          <w:p w14:paraId="3B2AE628"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Less than 100</w:t>
            </w:r>
          </w:p>
        </w:tc>
        <w:tc>
          <w:tcPr>
            <w:tcW w:w="960" w:type="dxa"/>
            <w:tcBorders>
              <w:top w:val="single" w:sz="4" w:space="0" w:color="auto"/>
              <w:left w:val="nil"/>
              <w:bottom w:val="nil"/>
              <w:right w:val="nil"/>
            </w:tcBorders>
            <w:noWrap/>
            <w:hideMark/>
          </w:tcPr>
          <w:p w14:paraId="77CC568F"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48</w:t>
            </w:r>
          </w:p>
        </w:tc>
        <w:tc>
          <w:tcPr>
            <w:tcW w:w="1000" w:type="dxa"/>
            <w:tcBorders>
              <w:top w:val="single" w:sz="4" w:space="0" w:color="auto"/>
              <w:left w:val="nil"/>
              <w:bottom w:val="nil"/>
              <w:right w:val="nil"/>
            </w:tcBorders>
            <w:noWrap/>
            <w:hideMark/>
          </w:tcPr>
          <w:p w14:paraId="75219778"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13.68</w:t>
            </w:r>
          </w:p>
        </w:tc>
      </w:tr>
      <w:tr w:rsidR="0014735A" w:rsidRPr="00170A09" w14:paraId="6D29BE3E" w14:textId="77777777" w:rsidTr="00822C64">
        <w:trPr>
          <w:trHeight w:val="330"/>
        </w:trPr>
        <w:tc>
          <w:tcPr>
            <w:tcW w:w="7960" w:type="dxa"/>
            <w:tcBorders>
              <w:top w:val="nil"/>
              <w:left w:val="nil"/>
              <w:bottom w:val="nil"/>
              <w:right w:val="nil"/>
            </w:tcBorders>
            <w:noWrap/>
            <w:hideMark/>
          </w:tcPr>
          <w:p w14:paraId="798F389D"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101-500</w:t>
            </w:r>
          </w:p>
        </w:tc>
        <w:tc>
          <w:tcPr>
            <w:tcW w:w="960" w:type="dxa"/>
            <w:tcBorders>
              <w:top w:val="nil"/>
              <w:left w:val="nil"/>
              <w:bottom w:val="nil"/>
              <w:right w:val="nil"/>
            </w:tcBorders>
            <w:noWrap/>
            <w:hideMark/>
          </w:tcPr>
          <w:p w14:paraId="067BE22A"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70</w:t>
            </w:r>
          </w:p>
        </w:tc>
        <w:tc>
          <w:tcPr>
            <w:tcW w:w="1000" w:type="dxa"/>
            <w:tcBorders>
              <w:top w:val="nil"/>
              <w:left w:val="nil"/>
              <w:bottom w:val="nil"/>
              <w:right w:val="nil"/>
            </w:tcBorders>
            <w:noWrap/>
            <w:hideMark/>
          </w:tcPr>
          <w:p w14:paraId="59A013F0"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19.94</w:t>
            </w:r>
          </w:p>
        </w:tc>
      </w:tr>
      <w:tr w:rsidR="0014735A" w:rsidRPr="00170A09" w14:paraId="493D7ACD" w14:textId="77777777" w:rsidTr="00822C64">
        <w:trPr>
          <w:trHeight w:val="572"/>
        </w:trPr>
        <w:tc>
          <w:tcPr>
            <w:tcW w:w="7960" w:type="dxa"/>
            <w:tcBorders>
              <w:top w:val="nil"/>
              <w:left w:val="nil"/>
              <w:bottom w:val="nil"/>
              <w:right w:val="nil"/>
            </w:tcBorders>
            <w:noWrap/>
            <w:hideMark/>
          </w:tcPr>
          <w:p w14:paraId="75744B7A"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501-1000</w:t>
            </w:r>
          </w:p>
        </w:tc>
        <w:tc>
          <w:tcPr>
            <w:tcW w:w="960" w:type="dxa"/>
            <w:tcBorders>
              <w:top w:val="nil"/>
              <w:left w:val="nil"/>
              <w:bottom w:val="nil"/>
              <w:right w:val="nil"/>
            </w:tcBorders>
            <w:noWrap/>
            <w:hideMark/>
          </w:tcPr>
          <w:p w14:paraId="09808A60"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100</w:t>
            </w:r>
          </w:p>
        </w:tc>
        <w:tc>
          <w:tcPr>
            <w:tcW w:w="1000" w:type="dxa"/>
            <w:tcBorders>
              <w:top w:val="nil"/>
              <w:left w:val="nil"/>
              <w:bottom w:val="nil"/>
              <w:right w:val="nil"/>
            </w:tcBorders>
            <w:noWrap/>
            <w:hideMark/>
          </w:tcPr>
          <w:p w14:paraId="23492C84"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28.49</w:t>
            </w:r>
          </w:p>
        </w:tc>
      </w:tr>
      <w:tr w:rsidR="0014735A" w:rsidRPr="00170A09" w14:paraId="4595ED1B" w14:textId="77777777" w:rsidTr="00822C64">
        <w:trPr>
          <w:trHeight w:val="330"/>
        </w:trPr>
        <w:tc>
          <w:tcPr>
            <w:tcW w:w="7960" w:type="dxa"/>
            <w:tcBorders>
              <w:top w:val="nil"/>
              <w:left w:val="nil"/>
              <w:bottom w:val="nil"/>
              <w:right w:val="nil"/>
            </w:tcBorders>
            <w:noWrap/>
            <w:hideMark/>
          </w:tcPr>
          <w:p w14:paraId="569CE2D0"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1000 or more</w:t>
            </w:r>
          </w:p>
        </w:tc>
        <w:tc>
          <w:tcPr>
            <w:tcW w:w="960" w:type="dxa"/>
            <w:tcBorders>
              <w:top w:val="nil"/>
              <w:left w:val="nil"/>
              <w:bottom w:val="nil"/>
              <w:right w:val="nil"/>
            </w:tcBorders>
            <w:noWrap/>
            <w:hideMark/>
          </w:tcPr>
          <w:p w14:paraId="5BB62552"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133</w:t>
            </w:r>
          </w:p>
        </w:tc>
        <w:tc>
          <w:tcPr>
            <w:tcW w:w="1000" w:type="dxa"/>
            <w:tcBorders>
              <w:top w:val="nil"/>
              <w:left w:val="nil"/>
              <w:bottom w:val="nil"/>
              <w:right w:val="nil"/>
            </w:tcBorders>
            <w:noWrap/>
            <w:hideMark/>
          </w:tcPr>
          <w:p w14:paraId="75C299DF"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37.89</w:t>
            </w:r>
          </w:p>
        </w:tc>
      </w:tr>
      <w:tr w:rsidR="00822C64" w:rsidRPr="00170A09" w14:paraId="3C6F14CA" w14:textId="77777777" w:rsidTr="00822C64">
        <w:trPr>
          <w:trHeight w:val="111"/>
        </w:trPr>
        <w:tc>
          <w:tcPr>
            <w:tcW w:w="7960" w:type="dxa"/>
            <w:tcBorders>
              <w:top w:val="nil"/>
              <w:left w:val="nil"/>
              <w:bottom w:val="single" w:sz="4" w:space="0" w:color="auto"/>
              <w:right w:val="nil"/>
            </w:tcBorders>
            <w:noWrap/>
          </w:tcPr>
          <w:p w14:paraId="4BB23329" w14:textId="77777777" w:rsidR="00822C64" w:rsidRPr="00170A09" w:rsidRDefault="00822C64" w:rsidP="00654B52">
            <w:pPr>
              <w:spacing w:line="480" w:lineRule="auto"/>
              <w:rPr>
                <w:rFonts w:ascii="Times New Roman" w:eastAsia="Times New Roman" w:hAnsi="Times New Roman" w:cs="Times New Roman"/>
                <w:color w:val="000000"/>
                <w:sz w:val="24"/>
                <w:szCs w:val="24"/>
              </w:rPr>
            </w:pPr>
          </w:p>
        </w:tc>
        <w:tc>
          <w:tcPr>
            <w:tcW w:w="960" w:type="dxa"/>
            <w:tcBorders>
              <w:top w:val="nil"/>
              <w:left w:val="nil"/>
              <w:bottom w:val="single" w:sz="4" w:space="0" w:color="auto"/>
              <w:right w:val="nil"/>
            </w:tcBorders>
            <w:noWrap/>
          </w:tcPr>
          <w:p w14:paraId="0E61928D" w14:textId="77777777" w:rsidR="00822C64" w:rsidRPr="00170A09" w:rsidRDefault="00822C64" w:rsidP="00654B52">
            <w:pPr>
              <w:spacing w:line="480" w:lineRule="auto"/>
              <w:jc w:val="right"/>
              <w:rPr>
                <w:rFonts w:ascii="Times New Roman" w:eastAsia="Times New Roman" w:hAnsi="Times New Roman" w:cs="Times New Roman"/>
                <w:color w:val="000000"/>
                <w:sz w:val="24"/>
                <w:szCs w:val="24"/>
              </w:rPr>
            </w:pPr>
          </w:p>
        </w:tc>
        <w:tc>
          <w:tcPr>
            <w:tcW w:w="1000" w:type="dxa"/>
            <w:tcBorders>
              <w:top w:val="nil"/>
              <w:left w:val="nil"/>
              <w:bottom w:val="single" w:sz="4" w:space="0" w:color="auto"/>
              <w:right w:val="nil"/>
            </w:tcBorders>
            <w:noWrap/>
          </w:tcPr>
          <w:p w14:paraId="503FD8DA" w14:textId="77777777" w:rsidR="00822C64" w:rsidRPr="00170A09" w:rsidRDefault="00822C64" w:rsidP="00654B52">
            <w:pPr>
              <w:spacing w:line="480" w:lineRule="auto"/>
              <w:jc w:val="right"/>
              <w:rPr>
                <w:rFonts w:ascii="Times New Roman" w:eastAsia="Times New Roman" w:hAnsi="Times New Roman" w:cs="Times New Roman"/>
                <w:color w:val="000000"/>
                <w:sz w:val="24"/>
                <w:szCs w:val="24"/>
              </w:rPr>
            </w:pPr>
          </w:p>
        </w:tc>
      </w:tr>
      <w:tr w:rsidR="0014735A" w:rsidRPr="00170A09" w14:paraId="276EB255" w14:textId="77777777" w:rsidTr="00822C64">
        <w:trPr>
          <w:trHeight w:val="330"/>
        </w:trPr>
        <w:tc>
          <w:tcPr>
            <w:tcW w:w="7960" w:type="dxa"/>
            <w:tcBorders>
              <w:top w:val="single" w:sz="4" w:space="0" w:color="auto"/>
              <w:left w:val="nil"/>
              <w:bottom w:val="single" w:sz="4" w:space="0" w:color="auto"/>
              <w:right w:val="nil"/>
            </w:tcBorders>
            <w:noWrap/>
            <w:hideMark/>
          </w:tcPr>
          <w:p w14:paraId="6FE7E6C7" w14:textId="77777777" w:rsidR="0014735A" w:rsidRPr="00170A09" w:rsidRDefault="0014735A" w:rsidP="00654B52">
            <w:pPr>
              <w:spacing w:line="480" w:lineRule="auto"/>
              <w:rPr>
                <w:rFonts w:ascii="Times New Roman" w:eastAsia="Times New Roman" w:hAnsi="Times New Roman" w:cs="Times New Roman"/>
                <w:b/>
                <w:i/>
                <w:iCs/>
                <w:color w:val="000000"/>
                <w:sz w:val="24"/>
                <w:szCs w:val="24"/>
              </w:rPr>
            </w:pPr>
            <w:r w:rsidRPr="00170A09">
              <w:rPr>
                <w:rFonts w:ascii="Times New Roman" w:eastAsia="Times New Roman" w:hAnsi="Times New Roman" w:cs="Times New Roman"/>
                <w:b/>
                <w:i/>
                <w:iCs/>
                <w:color w:val="000000"/>
                <w:sz w:val="24"/>
                <w:szCs w:val="24"/>
              </w:rPr>
              <w:t xml:space="preserve">Annual Sales (US$) </w:t>
            </w:r>
          </w:p>
        </w:tc>
        <w:tc>
          <w:tcPr>
            <w:tcW w:w="960" w:type="dxa"/>
            <w:tcBorders>
              <w:top w:val="single" w:sz="4" w:space="0" w:color="auto"/>
              <w:left w:val="nil"/>
              <w:bottom w:val="single" w:sz="4" w:space="0" w:color="auto"/>
              <w:right w:val="nil"/>
            </w:tcBorders>
            <w:noWrap/>
            <w:hideMark/>
          </w:tcPr>
          <w:p w14:paraId="2E8D564E" w14:textId="0C7D4AF3"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n</w:t>
            </w:r>
          </w:p>
        </w:tc>
        <w:tc>
          <w:tcPr>
            <w:tcW w:w="1000" w:type="dxa"/>
            <w:tcBorders>
              <w:top w:val="single" w:sz="4" w:space="0" w:color="auto"/>
              <w:left w:val="nil"/>
              <w:bottom w:val="single" w:sz="4" w:space="0" w:color="auto"/>
              <w:right w:val="nil"/>
            </w:tcBorders>
            <w:noWrap/>
            <w:hideMark/>
          </w:tcPr>
          <w:p w14:paraId="7F34CB78" w14:textId="3DB0FD48"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w:t>
            </w:r>
          </w:p>
        </w:tc>
      </w:tr>
      <w:tr w:rsidR="0014735A" w:rsidRPr="00170A09" w14:paraId="57FC72F4" w14:textId="77777777" w:rsidTr="00822C64">
        <w:trPr>
          <w:trHeight w:val="330"/>
        </w:trPr>
        <w:tc>
          <w:tcPr>
            <w:tcW w:w="7960" w:type="dxa"/>
            <w:tcBorders>
              <w:top w:val="single" w:sz="4" w:space="0" w:color="auto"/>
              <w:left w:val="nil"/>
              <w:bottom w:val="nil"/>
              <w:right w:val="nil"/>
            </w:tcBorders>
            <w:noWrap/>
            <w:hideMark/>
          </w:tcPr>
          <w:p w14:paraId="5CBC248B"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150 million and above</w:t>
            </w:r>
          </w:p>
        </w:tc>
        <w:tc>
          <w:tcPr>
            <w:tcW w:w="960" w:type="dxa"/>
            <w:tcBorders>
              <w:top w:val="single" w:sz="4" w:space="0" w:color="auto"/>
              <w:left w:val="nil"/>
              <w:bottom w:val="nil"/>
              <w:right w:val="nil"/>
            </w:tcBorders>
            <w:noWrap/>
            <w:hideMark/>
          </w:tcPr>
          <w:p w14:paraId="38D2D525"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120</w:t>
            </w:r>
          </w:p>
        </w:tc>
        <w:tc>
          <w:tcPr>
            <w:tcW w:w="1000" w:type="dxa"/>
            <w:tcBorders>
              <w:top w:val="single" w:sz="4" w:space="0" w:color="auto"/>
              <w:left w:val="nil"/>
              <w:bottom w:val="nil"/>
              <w:right w:val="nil"/>
            </w:tcBorders>
            <w:noWrap/>
            <w:hideMark/>
          </w:tcPr>
          <w:p w14:paraId="0B47AE75"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34.19</w:t>
            </w:r>
          </w:p>
        </w:tc>
      </w:tr>
      <w:tr w:rsidR="0014735A" w:rsidRPr="00170A09" w14:paraId="2254496A" w14:textId="77777777" w:rsidTr="00822C64">
        <w:trPr>
          <w:trHeight w:val="330"/>
        </w:trPr>
        <w:tc>
          <w:tcPr>
            <w:tcW w:w="7960" w:type="dxa"/>
            <w:tcBorders>
              <w:top w:val="nil"/>
              <w:left w:val="nil"/>
              <w:bottom w:val="nil"/>
              <w:right w:val="nil"/>
            </w:tcBorders>
            <w:noWrap/>
            <w:hideMark/>
          </w:tcPr>
          <w:p w14:paraId="0AD2DA2E"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more than 100 million and less than 150 million</w:t>
            </w:r>
          </w:p>
        </w:tc>
        <w:tc>
          <w:tcPr>
            <w:tcW w:w="960" w:type="dxa"/>
            <w:tcBorders>
              <w:top w:val="nil"/>
              <w:left w:val="nil"/>
              <w:bottom w:val="nil"/>
              <w:right w:val="nil"/>
            </w:tcBorders>
            <w:noWrap/>
            <w:hideMark/>
          </w:tcPr>
          <w:p w14:paraId="5608BA87"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150</w:t>
            </w:r>
          </w:p>
        </w:tc>
        <w:tc>
          <w:tcPr>
            <w:tcW w:w="1000" w:type="dxa"/>
            <w:tcBorders>
              <w:top w:val="nil"/>
              <w:left w:val="nil"/>
              <w:bottom w:val="nil"/>
              <w:right w:val="nil"/>
            </w:tcBorders>
            <w:noWrap/>
            <w:hideMark/>
          </w:tcPr>
          <w:p w14:paraId="27E8A024"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42.74</w:t>
            </w:r>
          </w:p>
        </w:tc>
      </w:tr>
      <w:tr w:rsidR="0014735A" w:rsidRPr="00170A09" w14:paraId="05F4E6A8" w14:textId="77777777" w:rsidTr="00822C64">
        <w:trPr>
          <w:trHeight w:val="330"/>
        </w:trPr>
        <w:tc>
          <w:tcPr>
            <w:tcW w:w="7960" w:type="dxa"/>
            <w:tcBorders>
              <w:top w:val="nil"/>
              <w:left w:val="nil"/>
              <w:bottom w:val="nil"/>
              <w:right w:val="nil"/>
            </w:tcBorders>
            <w:noWrap/>
            <w:hideMark/>
          </w:tcPr>
          <w:p w14:paraId="1691342A"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Less than 100 million</w:t>
            </w:r>
          </w:p>
        </w:tc>
        <w:tc>
          <w:tcPr>
            <w:tcW w:w="960" w:type="dxa"/>
            <w:tcBorders>
              <w:top w:val="nil"/>
              <w:left w:val="nil"/>
              <w:bottom w:val="nil"/>
              <w:right w:val="nil"/>
            </w:tcBorders>
            <w:noWrap/>
            <w:hideMark/>
          </w:tcPr>
          <w:p w14:paraId="5B8ADBC4"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81</w:t>
            </w:r>
          </w:p>
        </w:tc>
        <w:tc>
          <w:tcPr>
            <w:tcW w:w="1000" w:type="dxa"/>
            <w:tcBorders>
              <w:top w:val="nil"/>
              <w:left w:val="nil"/>
              <w:bottom w:val="nil"/>
              <w:right w:val="nil"/>
            </w:tcBorders>
            <w:noWrap/>
            <w:hideMark/>
          </w:tcPr>
          <w:p w14:paraId="791DC3FE"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23.08</w:t>
            </w:r>
          </w:p>
        </w:tc>
      </w:tr>
      <w:tr w:rsidR="0014735A" w:rsidRPr="00170A09" w14:paraId="59BE1E3D" w14:textId="77777777" w:rsidTr="00822C64">
        <w:trPr>
          <w:trHeight w:val="330"/>
        </w:trPr>
        <w:tc>
          <w:tcPr>
            <w:tcW w:w="7960" w:type="dxa"/>
            <w:tcBorders>
              <w:top w:val="nil"/>
              <w:left w:val="nil"/>
              <w:bottom w:val="single" w:sz="4" w:space="0" w:color="auto"/>
              <w:right w:val="nil"/>
            </w:tcBorders>
            <w:noWrap/>
            <w:hideMark/>
          </w:tcPr>
          <w:p w14:paraId="1F41666B"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lang w:val="en-US"/>
              </w:rPr>
              <w:t xml:space="preserve"> </w:t>
            </w:r>
          </w:p>
        </w:tc>
        <w:tc>
          <w:tcPr>
            <w:tcW w:w="960" w:type="dxa"/>
            <w:tcBorders>
              <w:top w:val="nil"/>
              <w:left w:val="nil"/>
              <w:bottom w:val="single" w:sz="4" w:space="0" w:color="auto"/>
              <w:right w:val="nil"/>
            </w:tcBorders>
            <w:noWrap/>
            <w:hideMark/>
          </w:tcPr>
          <w:p w14:paraId="2B02D0DE"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p>
        </w:tc>
        <w:tc>
          <w:tcPr>
            <w:tcW w:w="1000" w:type="dxa"/>
            <w:tcBorders>
              <w:top w:val="nil"/>
              <w:left w:val="nil"/>
              <w:bottom w:val="single" w:sz="4" w:space="0" w:color="auto"/>
              <w:right w:val="nil"/>
            </w:tcBorders>
            <w:noWrap/>
            <w:hideMark/>
          </w:tcPr>
          <w:p w14:paraId="26139EC1"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p>
        </w:tc>
      </w:tr>
      <w:tr w:rsidR="0014735A" w:rsidRPr="00170A09" w14:paraId="03D12832" w14:textId="77777777" w:rsidTr="00822C64">
        <w:trPr>
          <w:trHeight w:val="330"/>
        </w:trPr>
        <w:tc>
          <w:tcPr>
            <w:tcW w:w="7960" w:type="dxa"/>
            <w:tcBorders>
              <w:top w:val="single" w:sz="4" w:space="0" w:color="auto"/>
              <w:left w:val="nil"/>
              <w:bottom w:val="single" w:sz="4" w:space="0" w:color="auto"/>
              <w:right w:val="nil"/>
            </w:tcBorders>
            <w:noWrap/>
            <w:hideMark/>
          </w:tcPr>
          <w:p w14:paraId="6D9AF8FA" w14:textId="77777777" w:rsidR="0014735A" w:rsidRPr="00170A09" w:rsidRDefault="0014735A" w:rsidP="00654B52">
            <w:pPr>
              <w:spacing w:line="480" w:lineRule="auto"/>
              <w:rPr>
                <w:rFonts w:ascii="Times New Roman" w:eastAsia="Times New Roman" w:hAnsi="Times New Roman" w:cs="Times New Roman"/>
                <w:b/>
                <w:i/>
                <w:iCs/>
                <w:color w:val="000000"/>
                <w:sz w:val="24"/>
                <w:szCs w:val="24"/>
              </w:rPr>
            </w:pPr>
            <w:r w:rsidRPr="00170A09">
              <w:rPr>
                <w:rFonts w:ascii="Times New Roman" w:eastAsia="Times New Roman" w:hAnsi="Times New Roman" w:cs="Times New Roman"/>
                <w:b/>
                <w:i/>
                <w:iCs/>
                <w:color w:val="000000"/>
                <w:sz w:val="24"/>
                <w:szCs w:val="24"/>
              </w:rPr>
              <w:t>Position of the respondents</w:t>
            </w:r>
          </w:p>
        </w:tc>
        <w:tc>
          <w:tcPr>
            <w:tcW w:w="960" w:type="dxa"/>
            <w:tcBorders>
              <w:top w:val="single" w:sz="4" w:space="0" w:color="auto"/>
              <w:left w:val="nil"/>
              <w:bottom w:val="single" w:sz="4" w:space="0" w:color="auto"/>
              <w:right w:val="nil"/>
            </w:tcBorders>
            <w:noWrap/>
            <w:hideMark/>
          </w:tcPr>
          <w:p w14:paraId="6D4E8175" w14:textId="49F1850D"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n</w:t>
            </w:r>
          </w:p>
        </w:tc>
        <w:tc>
          <w:tcPr>
            <w:tcW w:w="1000" w:type="dxa"/>
            <w:tcBorders>
              <w:top w:val="single" w:sz="4" w:space="0" w:color="auto"/>
              <w:left w:val="nil"/>
              <w:bottom w:val="single" w:sz="4" w:space="0" w:color="auto"/>
              <w:right w:val="nil"/>
            </w:tcBorders>
            <w:noWrap/>
            <w:hideMark/>
          </w:tcPr>
          <w:p w14:paraId="77C96268" w14:textId="518A3204" w:rsidR="0014735A" w:rsidRPr="00170A09" w:rsidRDefault="0014735A" w:rsidP="00822C64">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 </w:t>
            </w:r>
            <w:r w:rsidR="00822C64" w:rsidRPr="00170A09">
              <w:rPr>
                <w:rFonts w:ascii="Times New Roman" w:eastAsia="Times New Roman" w:hAnsi="Times New Roman" w:cs="Times New Roman"/>
                <w:color w:val="000000"/>
                <w:sz w:val="24"/>
                <w:szCs w:val="24"/>
              </w:rPr>
              <w:t>%</w:t>
            </w:r>
          </w:p>
        </w:tc>
      </w:tr>
      <w:tr w:rsidR="0014735A" w:rsidRPr="00170A09" w14:paraId="57DFB142" w14:textId="77777777" w:rsidTr="00822C64">
        <w:trPr>
          <w:trHeight w:val="330"/>
        </w:trPr>
        <w:tc>
          <w:tcPr>
            <w:tcW w:w="7960" w:type="dxa"/>
            <w:tcBorders>
              <w:top w:val="single" w:sz="4" w:space="0" w:color="auto"/>
              <w:left w:val="nil"/>
              <w:bottom w:val="nil"/>
              <w:right w:val="nil"/>
            </w:tcBorders>
            <w:noWrap/>
            <w:hideMark/>
          </w:tcPr>
          <w:p w14:paraId="09FFB5BF"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Directors</w:t>
            </w:r>
          </w:p>
        </w:tc>
        <w:tc>
          <w:tcPr>
            <w:tcW w:w="960" w:type="dxa"/>
            <w:tcBorders>
              <w:top w:val="single" w:sz="4" w:space="0" w:color="auto"/>
              <w:left w:val="nil"/>
              <w:bottom w:val="nil"/>
              <w:right w:val="nil"/>
            </w:tcBorders>
            <w:noWrap/>
            <w:hideMark/>
          </w:tcPr>
          <w:p w14:paraId="31EC20FA"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65</w:t>
            </w:r>
          </w:p>
        </w:tc>
        <w:tc>
          <w:tcPr>
            <w:tcW w:w="1000" w:type="dxa"/>
            <w:tcBorders>
              <w:top w:val="single" w:sz="4" w:space="0" w:color="auto"/>
              <w:left w:val="nil"/>
              <w:bottom w:val="nil"/>
              <w:right w:val="nil"/>
            </w:tcBorders>
            <w:noWrap/>
            <w:hideMark/>
          </w:tcPr>
          <w:p w14:paraId="4AB9E053"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18.52</w:t>
            </w:r>
          </w:p>
        </w:tc>
      </w:tr>
      <w:tr w:rsidR="0014735A" w:rsidRPr="00170A09" w14:paraId="6D04E3DB" w14:textId="77777777" w:rsidTr="00822C64">
        <w:trPr>
          <w:trHeight w:val="330"/>
        </w:trPr>
        <w:tc>
          <w:tcPr>
            <w:tcW w:w="7960" w:type="dxa"/>
            <w:tcBorders>
              <w:top w:val="nil"/>
              <w:left w:val="nil"/>
              <w:bottom w:val="nil"/>
              <w:right w:val="nil"/>
            </w:tcBorders>
            <w:noWrap/>
            <w:hideMark/>
          </w:tcPr>
          <w:p w14:paraId="3BA01A67"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Vice-Presidents</w:t>
            </w:r>
          </w:p>
        </w:tc>
        <w:tc>
          <w:tcPr>
            <w:tcW w:w="960" w:type="dxa"/>
            <w:tcBorders>
              <w:top w:val="nil"/>
              <w:left w:val="nil"/>
              <w:bottom w:val="nil"/>
              <w:right w:val="nil"/>
            </w:tcBorders>
            <w:noWrap/>
            <w:hideMark/>
          </w:tcPr>
          <w:p w14:paraId="0821AAB4"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110</w:t>
            </w:r>
          </w:p>
        </w:tc>
        <w:tc>
          <w:tcPr>
            <w:tcW w:w="1000" w:type="dxa"/>
            <w:tcBorders>
              <w:top w:val="nil"/>
              <w:left w:val="nil"/>
              <w:bottom w:val="nil"/>
              <w:right w:val="nil"/>
            </w:tcBorders>
            <w:noWrap/>
            <w:hideMark/>
          </w:tcPr>
          <w:p w14:paraId="0E9E613C"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31.34</w:t>
            </w:r>
          </w:p>
        </w:tc>
      </w:tr>
      <w:tr w:rsidR="0014735A" w:rsidRPr="00170A09" w14:paraId="6DED5951" w14:textId="77777777" w:rsidTr="00822C64">
        <w:trPr>
          <w:trHeight w:val="330"/>
        </w:trPr>
        <w:tc>
          <w:tcPr>
            <w:tcW w:w="7960" w:type="dxa"/>
            <w:tcBorders>
              <w:top w:val="nil"/>
              <w:left w:val="nil"/>
              <w:bottom w:val="nil"/>
              <w:right w:val="nil"/>
            </w:tcBorders>
            <w:noWrap/>
            <w:hideMark/>
          </w:tcPr>
          <w:p w14:paraId="6FA63713" w14:textId="19D8D711"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 xml:space="preserve">General </w:t>
            </w:r>
            <w:r w:rsidR="00553EB9" w:rsidRPr="00170A09">
              <w:rPr>
                <w:rFonts w:ascii="Times New Roman" w:eastAsia="Times New Roman" w:hAnsi="Times New Roman" w:cs="Times New Roman"/>
                <w:color w:val="000000"/>
                <w:sz w:val="24"/>
                <w:szCs w:val="24"/>
              </w:rPr>
              <w:t>Managers</w:t>
            </w:r>
          </w:p>
        </w:tc>
        <w:tc>
          <w:tcPr>
            <w:tcW w:w="960" w:type="dxa"/>
            <w:tcBorders>
              <w:top w:val="nil"/>
              <w:left w:val="nil"/>
              <w:bottom w:val="nil"/>
              <w:right w:val="nil"/>
            </w:tcBorders>
            <w:noWrap/>
            <w:hideMark/>
          </w:tcPr>
          <w:p w14:paraId="569BD11B"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75</w:t>
            </w:r>
          </w:p>
        </w:tc>
        <w:tc>
          <w:tcPr>
            <w:tcW w:w="1000" w:type="dxa"/>
            <w:tcBorders>
              <w:top w:val="nil"/>
              <w:left w:val="nil"/>
              <w:bottom w:val="nil"/>
              <w:right w:val="nil"/>
            </w:tcBorders>
            <w:noWrap/>
            <w:hideMark/>
          </w:tcPr>
          <w:p w14:paraId="32B1E6BB"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21.37</w:t>
            </w:r>
          </w:p>
        </w:tc>
      </w:tr>
      <w:tr w:rsidR="0014735A" w:rsidRPr="00170A09" w14:paraId="6ED65580" w14:textId="77777777" w:rsidTr="00822C64">
        <w:trPr>
          <w:trHeight w:val="330"/>
        </w:trPr>
        <w:tc>
          <w:tcPr>
            <w:tcW w:w="7960" w:type="dxa"/>
            <w:tcBorders>
              <w:top w:val="nil"/>
              <w:left w:val="nil"/>
              <w:bottom w:val="nil"/>
              <w:right w:val="nil"/>
            </w:tcBorders>
            <w:noWrap/>
            <w:hideMark/>
          </w:tcPr>
          <w:p w14:paraId="458859E8" w14:textId="77777777" w:rsidR="0014735A" w:rsidRPr="00170A09" w:rsidRDefault="0014735A" w:rsidP="00654B52">
            <w:pPr>
              <w:spacing w:line="480" w:lineRule="auto"/>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Senior Managers</w:t>
            </w:r>
          </w:p>
        </w:tc>
        <w:tc>
          <w:tcPr>
            <w:tcW w:w="960" w:type="dxa"/>
            <w:tcBorders>
              <w:top w:val="nil"/>
              <w:left w:val="nil"/>
              <w:bottom w:val="nil"/>
              <w:right w:val="nil"/>
            </w:tcBorders>
            <w:noWrap/>
            <w:hideMark/>
          </w:tcPr>
          <w:p w14:paraId="1AEDFF43"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101</w:t>
            </w:r>
          </w:p>
        </w:tc>
        <w:tc>
          <w:tcPr>
            <w:tcW w:w="1000" w:type="dxa"/>
            <w:tcBorders>
              <w:top w:val="nil"/>
              <w:left w:val="nil"/>
              <w:bottom w:val="nil"/>
              <w:right w:val="nil"/>
            </w:tcBorders>
            <w:noWrap/>
            <w:hideMark/>
          </w:tcPr>
          <w:p w14:paraId="376668FC" w14:textId="77777777" w:rsidR="0014735A" w:rsidRPr="00170A09" w:rsidRDefault="0014735A" w:rsidP="00654B52">
            <w:pPr>
              <w:spacing w:line="480" w:lineRule="auto"/>
              <w:jc w:val="right"/>
              <w:rPr>
                <w:rFonts w:ascii="Times New Roman" w:eastAsia="Times New Roman" w:hAnsi="Times New Roman" w:cs="Times New Roman"/>
                <w:color w:val="000000"/>
                <w:sz w:val="24"/>
                <w:szCs w:val="24"/>
              </w:rPr>
            </w:pPr>
            <w:r w:rsidRPr="00170A09">
              <w:rPr>
                <w:rFonts w:ascii="Times New Roman" w:eastAsia="Times New Roman" w:hAnsi="Times New Roman" w:cs="Times New Roman"/>
                <w:color w:val="000000"/>
                <w:sz w:val="24"/>
                <w:szCs w:val="24"/>
              </w:rPr>
              <w:t>28.77</w:t>
            </w:r>
          </w:p>
        </w:tc>
      </w:tr>
    </w:tbl>
    <w:p w14:paraId="3B88B4EC" w14:textId="77777777" w:rsidR="0014735A" w:rsidRPr="00170A09" w:rsidRDefault="0014735A" w:rsidP="00654B52">
      <w:pPr>
        <w:spacing w:line="480" w:lineRule="auto"/>
        <w:ind w:left="720" w:hanging="720"/>
        <w:jc w:val="both"/>
        <w:rPr>
          <w:rFonts w:ascii="Times New Roman" w:hAnsi="Times New Roman" w:cs="Times New Roman"/>
          <w:b/>
          <w:sz w:val="24"/>
          <w:szCs w:val="24"/>
        </w:rPr>
      </w:pPr>
    </w:p>
    <w:sectPr w:rsidR="0014735A" w:rsidRPr="00170A09" w:rsidSect="00F4295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F64C6" w14:textId="77777777" w:rsidR="00120D4C" w:rsidRDefault="00120D4C" w:rsidP="00A7620F">
      <w:pPr>
        <w:spacing w:after="0" w:line="240" w:lineRule="auto"/>
      </w:pPr>
      <w:r>
        <w:separator/>
      </w:r>
    </w:p>
  </w:endnote>
  <w:endnote w:type="continuationSeparator" w:id="0">
    <w:p w14:paraId="5D2291BE" w14:textId="77777777" w:rsidR="00120D4C" w:rsidRDefault="00120D4C" w:rsidP="00A76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8699844"/>
      <w:docPartObj>
        <w:docPartGallery w:val="Page Numbers (Bottom of Page)"/>
        <w:docPartUnique/>
      </w:docPartObj>
    </w:sdtPr>
    <w:sdtEndPr>
      <w:rPr>
        <w:rFonts w:ascii="Garamond" w:hAnsi="Garamond"/>
        <w:noProof/>
        <w:sz w:val="14"/>
        <w:szCs w:val="14"/>
      </w:rPr>
    </w:sdtEndPr>
    <w:sdtContent>
      <w:p w14:paraId="3D13FF84" w14:textId="7398590D" w:rsidR="00956655" w:rsidRPr="004A7623" w:rsidRDefault="00956655">
        <w:pPr>
          <w:pStyle w:val="Footer"/>
          <w:jc w:val="right"/>
          <w:rPr>
            <w:rFonts w:ascii="Garamond" w:hAnsi="Garamond"/>
            <w:sz w:val="14"/>
            <w:szCs w:val="14"/>
          </w:rPr>
        </w:pPr>
        <w:r w:rsidRPr="004A7623">
          <w:rPr>
            <w:rFonts w:ascii="Garamond" w:hAnsi="Garamond"/>
            <w:sz w:val="14"/>
            <w:szCs w:val="14"/>
          </w:rPr>
          <w:fldChar w:fldCharType="begin"/>
        </w:r>
        <w:r w:rsidRPr="004A7623">
          <w:rPr>
            <w:rFonts w:ascii="Garamond" w:hAnsi="Garamond"/>
            <w:sz w:val="14"/>
            <w:szCs w:val="14"/>
          </w:rPr>
          <w:instrText xml:space="preserve"> PAGE   \* MERGEFORMAT </w:instrText>
        </w:r>
        <w:r w:rsidRPr="004A7623">
          <w:rPr>
            <w:rFonts w:ascii="Garamond" w:hAnsi="Garamond"/>
            <w:sz w:val="14"/>
            <w:szCs w:val="14"/>
          </w:rPr>
          <w:fldChar w:fldCharType="separate"/>
        </w:r>
        <w:r w:rsidR="00006240">
          <w:rPr>
            <w:rFonts w:ascii="Garamond" w:hAnsi="Garamond"/>
            <w:noProof/>
            <w:sz w:val="14"/>
            <w:szCs w:val="14"/>
          </w:rPr>
          <w:t>6</w:t>
        </w:r>
        <w:r w:rsidRPr="004A7623">
          <w:rPr>
            <w:rFonts w:ascii="Garamond" w:hAnsi="Garamond"/>
            <w:noProof/>
            <w:sz w:val="14"/>
            <w:szCs w:val="14"/>
          </w:rPr>
          <w:fldChar w:fldCharType="end"/>
        </w:r>
      </w:p>
    </w:sdtContent>
  </w:sdt>
  <w:p w14:paraId="5CE5BA41" w14:textId="77777777" w:rsidR="00956655" w:rsidRPr="004A7623" w:rsidRDefault="00956655">
    <w:pPr>
      <w:pStyle w:val="Footer"/>
      <w:rPr>
        <w:rFonts w:ascii="Garamond" w:hAnsi="Garamond"/>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F0E7C" w14:textId="77777777" w:rsidR="00120D4C" w:rsidRDefault="00120D4C" w:rsidP="00A7620F">
      <w:pPr>
        <w:spacing w:after="0" w:line="240" w:lineRule="auto"/>
      </w:pPr>
      <w:r>
        <w:separator/>
      </w:r>
    </w:p>
  </w:footnote>
  <w:footnote w:type="continuationSeparator" w:id="0">
    <w:p w14:paraId="27D47A5C" w14:textId="77777777" w:rsidR="00120D4C" w:rsidRDefault="00120D4C" w:rsidP="00A762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46206A"/>
    <w:multiLevelType w:val="hybridMultilevel"/>
    <w:tmpl w:val="60341566"/>
    <w:lvl w:ilvl="0" w:tplc="E3C23AD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4AC94795"/>
    <w:multiLevelType w:val="hybridMultilevel"/>
    <w:tmpl w:val="B3A69DCC"/>
    <w:lvl w:ilvl="0" w:tplc="37D8AC62">
      <w:numFmt w:val="bullet"/>
      <w:lvlText w:val=""/>
      <w:lvlJc w:val="left"/>
      <w:pPr>
        <w:ind w:left="720" w:hanging="360"/>
      </w:pPr>
      <w:rPr>
        <w:rFonts w:ascii="Symbol" w:eastAsiaTheme="minorEastAsia"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1DE7C2E"/>
    <w:multiLevelType w:val="hybridMultilevel"/>
    <w:tmpl w:val="E416ACBC"/>
    <w:lvl w:ilvl="0" w:tplc="F8FA3B5E">
      <w:start w:val="2"/>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DAC242A"/>
    <w:multiLevelType w:val="hybridMultilevel"/>
    <w:tmpl w:val="89BECCE6"/>
    <w:lvl w:ilvl="0" w:tplc="214CA33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activeWritingStyle w:appName="MSWord" w:lang="en-IN" w:vendorID="64" w:dllVersion="0" w:nlCheck="1" w:checkStyle="1"/>
  <w:activeWritingStyle w:appName="MSWord" w:lang="en-GB" w:vendorID="64" w:dllVersion="0" w:nlCheck="1" w:checkStyle="1"/>
  <w:activeWritingStyle w:appName="MSWord" w:lang="en-US" w:vendorID="64" w:dllVersion="0" w:nlCheck="1" w:checkStyle="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063"/>
    <w:rsid w:val="00000051"/>
    <w:rsid w:val="00000365"/>
    <w:rsid w:val="00000A5F"/>
    <w:rsid w:val="000015E0"/>
    <w:rsid w:val="00001829"/>
    <w:rsid w:val="00001DC1"/>
    <w:rsid w:val="00003275"/>
    <w:rsid w:val="000034A7"/>
    <w:rsid w:val="000045EC"/>
    <w:rsid w:val="00004799"/>
    <w:rsid w:val="00005307"/>
    <w:rsid w:val="00005741"/>
    <w:rsid w:val="00005A4A"/>
    <w:rsid w:val="00006240"/>
    <w:rsid w:val="0001218C"/>
    <w:rsid w:val="00012C8D"/>
    <w:rsid w:val="00013816"/>
    <w:rsid w:val="00014299"/>
    <w:rsid w:val="00016098"/>
    <w:rsid w:val="000172E4"/>
    <w:rsid w:val="00020CE0"/>
    <w:rsid w:val="00020E71"/>
    <w:rsid w:val="00020FF6"/>
    <w:rsid w:val="000211BC"/>
    <w:rsid w:val="00021A3C"/>
    <w:rsid w:val="00022836"/>
    <w:rsid w:val="00023D1E"/>
    <w:rsid w:val="000253EE"/>
    <w:rsid w:val="0002592D"/>
    <w:rsid w:val="00025B9E"/>
    <w:rsid w:val="000269E6"/>
    <w:rsid w:val="000273AE"/>
    <w:rsid w:val="000300C2"/>
    <w:rsid w:val="00030881"/>
    <w:rsid w:val="00030991"/>
    <w:rsid w:val="00031F5F"/>
    <w:rsid w:val="00032EAB"/>
    <w:rsid w:val="000335C5"/>
    <w:rsid w:val="00033A06"/>
    <w:rsid w:val="00033F93"/>
    <w:rsid w:val="00034CB6"/>
    <w:rsid w:val="00034D8B"/>
    <w:rsid w:val="00035B0F"/>
    <w:rsid w:val="00035D9C"/>
    <w:rsid w:val="00040153"/>
    <w:rsid w:val="00041242"/>
    <w:rsid w:val="00041585"/>
    <w:rsid w:val="00041AA5"/>
    <w:rsid w:val="0004245E"/>
    <w:rsid w:val="000427FF"/>
    <w:rsid w:val="00043DE6"/>
    <w:rsid w:val="00045989"/>
    <w:rsid w:val="00046581"/>
    <w:rsid w:val="00046F60"/>
    <w:rsid w:val="000472B3"/>
    <w:rsid w:val="00047780"/>
    <w:rsid w:val="0005001E"/>
    <w:rsid w:val="0005016A"/>
    <w:rsid w:val="00050DA6"/>
    <w:rsid w:val="00050F45"/>
    <w:rsid w:val="00052AC1"/>
    <w:rsid w:val="00053A3C"/>
    <w:rsid w:val="0005467F"/>
    <w:rsid w:val="000547E7"/>
    <w:rsid w:val="000547F9"/>
    <w:rsid w:val="00054BE1"/>
    <w:rsid w:val="00055CD9"/>
    <w:rsid w:val="000564B7"/>
    <w:rsid w:val="000566DF"/>
    <w:rsid w:val="00056977"/>
    <w:rsid w:val="00057BE3"/>
    <w:rsid w:val="00057C78"/>
    <w:rsid w:val="00060A9D"/>
    <w:rsid w:val="00060B88"/>
    <w:rsid w:val="00061161"/>
    <w:rsid w:val="000630F7"/>
    <w:rsid w:val="00063150"/>
    <w:rsid w:val="00063235"/>
    <w:rsid w:val="00063ABF"/>
    <w:rsid w:val="000658D1"/>
    <w:rsid w:val="00066C57"/>
    <w:rsid w:val="0006722A"/>
    <w:rsid w:val="00067FB8"/>
    <w:rsid w:val="00072205"/>
    <w:rsid w:val="00074989"/>
    <w:rsid w:val="00074CC9"/>
    <w:rsid w:val="00075FE9"/>
    <w:rsid w:val="000761A4"/>
    <w:rsid w:val="000770BB"/>
    <w:rsid w:val="00080F88"/>
    <w:rsid w:val="00081DE8"/>
    <w:rsid w:val="00082343"/>
    <w:rsid w:val="00082FC5"/>
    <w:rsid w:val="000833F6"/>
    <w:rsid w:val="0008352B"/>
    <w:rsid w:val="00084A94"/>
    <w:rsid w:val="000855EF"/>
    <w:rsid w:val="00086B4D"/>
    <w:rsid w:val="00091269"/>
    <w:rsid w:val="00091C83"/>
    <w:rsid w:val="000962F0"/>
    <w:rsid w:val="000972E0"/>
    <w:rsid w:val="000A0821"/>
    <w:rsid w:val="000A1C0A"/>
    <w:rsid w:val="000A1F75"/>
    <w:rsid w:val="000A29C6"/>
    <w:rsid w:val="000A33CC"/>
    <w:rsid w:val="000A3B55"/>
    <w:rsid w:val="000A502C"/>
    <w:rsid w:val="000A6E48"/>
    <w:rsid w:val="000B04A1"/>
    <w:rsid w:val="000B2498"/>
    <w:rsid w:val="000B319A"/>
    <w:rsid w:val="000B3C6B"/>
    <w:rsid w:val="000B53FC"/>
    <w:rsid w:val="000B5778"/>
    <w:rsid w:val="000B5B74"/>
    <w:rsid w:val="000B5C0E"/>
    <w:rsid w:val="000B66AB"/>
    <w:rsid w:val="000B6ED3"/>
    <w:rsid w:val="000C2C8B"/>
    <w:rsid w:val="000C2DD7"/>
    <w:rsid w:val="000C3576"/>
    <w:rsid w:val="000C56C0"/>
    <w:rsid w:val="000C6776"/>
    <w:rsid w:val="000C7383"/>
    <w:rsid w:val="000C7552"/>
    <w:rsid w:val="000C76C5"/>
    <w:rsid w:val="000C7936"/>
    <w:rsid w:val="000D020A"/>
    <w:rsid w:val="000D02B3"/>
    <w:rsid w:val="000D07E2"/>
    <w:rsid w:val="000D1A5B"/>
    <w:rsid w:val="000D1D2F"/>
    <w:rsid w:val="000D1F49"/>
    <w:rsid w:val="000D20C6"/>
    <w:rsid w:val="000D5CC8"/>
    <w:rsid w:val="000D7253"/>
    <w:rsid w:val="000E1AE6"/>
    <w:rsid w:val="000E1D72"/>
    <w:rsid w:val="000E2B24"/>
    <w:rsid w:val="000E318A"/>
    <w:rsid w:val="000E3A75"/>
    <w:rsid w:val="000E47D8"/>
    <w:rsid w:val="000E4961"/>
    <w:rsid w:val="000E5405"/>
    <w:rsid w:val="000E5E3C"/>
    <w:rsid w:val="000E774F"/>
    <w:rsid w:val="000E7974"/>
    <w:rsid w:val="000F0735"/>
    <w:rsid w:val="000F100E"/>
    <w:rsid w:val="000F134A"/>
    <w:rsid w:val="000F14FD"/>
    <w:rsid w:val="000F16DF"/>
    <w:rsid w:val="000F1E19"/>
    <w:rsid w:val="000F2724"/>
    <w:rsid w:val="000F2A47"/>
    <w:rsid w:val="000F2C62"/>
    <w:rsid w:val="000F2D67"/>
    <w:rsid w:val="000F3FB4"/>
    <w:rsid w:val="000F61EC"/>
    <w:rsid w:val="00100357"/>
    <w:rsid w:val="00101D5E"/>
    <w:rsid w:val="00102BD4"/>
    <w:rsid w:val="00102F5C"/>
    <w:rsid w:val="001035D2"/>
    <w:rsid w:val="00103AE2"/>
    <w:rsid w:val="00105654"/>
    <w:rsid w:val="0010574B"/>
    <w:rsid w:val="001067D1"/>
    <w:rsid w:val="001106D2"/>
    <w:rsid w:val="0011080A"/>
    <w:rsid w:val="00110911"/>
    <w:rsid w:val="0011225E"/>
    <w:rsid w:val="00115EB2"/>
    <w:rsid w:val="0011636E"/>
    <w:rsid w:val="00116ABB"/>
    <w:rsid w:val="0011762E"/>
    <w:rsid w:val="0011784C"/>
    <w:rsid w:val="0012023E"/>
    <w:rsid w:val="001202E8"/>
    <w:rsid w:val="00120D4C"/>
    <w:rsid w:val="00120E66"/>
    <w:rsid w:val="0012104E"/>
    <w:rsid w:val="00122CAF"/>
    <w:rsid w:val="00122F1B"/>
    <w:rsid w:val="0012694F"/>
    <w:rsid w:val="00127C97"/>
    <w:rsid w:val="00127FD2"/>
    <w:rsid w:val="00130111"/>
    <w:rsid w:val="00131265"/>
    <w:rsid w:val="00132663"/>
    <w:rsid w:val="001334E7"/>
    <w:rsid w:val="00133675"/>
    <w:rsid w:val="0013707D"/>
    <w:rsid w:val="0013750A"/>
    <w:rsid w:val="00140423"/>
    <w:rsid w:val="001419E4"/>
    <w:rsid w:val="00142862"/>
    <w:rsid w:val="00143643"/>
    <w:rsid w:val="0014566F"/>
    <w:rsid w:val="0014665D"/>
    <w:rsid w:val="00146793"/>
    <w:rsid w:val="0014735A"/>
    <w:rsid w:val="001479BC"/>
    <w:rsid w:val="00151623"/>
    <w:rsid w:val="001516BA"/>
    <w:rsid w:val="00152ED0"/>
    <w:rsid w:val="0015378B"/>
    <w:rsid w:val="00154CA1"/>
    <w:rsid w:val="00154EC0"/>
    <w:rsid w:val="00155B04"/>
    <w:rsid w:val="00156612"/>
    <w:rsid w:val="00156AC6"/>
    <w:rsid w:val="00157B27"/>
    <w:rsid w:val="00157B98"/>
    <w:rsid w:val="0016460C"/>
    <w:rsid w:val="00165F5D"/>
    <w:rsid w:val="00165FCF"/>
    <w:rsid w:val="00166EE4"/>
    <w:rsid w:val="001709CC"/>
    <w:rsid w:val="00170A09"/>
    <w:rsid w:val="00171166"/>
    <w:rsid w:val="001711FD"/>
    <w:rsid w:val="00171474"/>
    <w:rsid w:val="00171644"/>
    <w:rsid w:val="00171B24"/>
    <w:rsid w:val="00171ED2"/>
    <w:rsid w:val="00171F19"/>
    <w:rsid w:val="001724D3"/>
    <w:rsid w:val="001737BE"/>
    <w:rsid w:val="001737CC"/>
    <w:rsid w:val="00175117"/>
    <w:rsid w:val="00175734"/>
    <w:rsid w:val="00175C0C"/>
    <w:rsid w:val="00176398"/>
    <w:rsid w:val="00176FDB"/>
    <w:rsid w:val="0017734A"/>
    <w:rsid w:val="00177F3E"/>
    <w:rsid w:val="0018039A"/>
    <w:rsid w:val="00180B9C"/>
    <w:rsid w:val="00180DB7"/>
    <w:rsid w:val="0018162E"/>
    <w:rsid w:val="00181E46"/>
    <w:rsid w:val="0018207C"/>
    <w:rsid w:val="001830B4"/>
    <w:rsid w:val="001841B1"/>
    <w:rsid w:val="00184E41"/>
    <w:rsid w:val="0018654D"/>
    <w:rsid w:val="001868C2"/>
    <w:rsid w:val="00186CC7"/>
    <w:rsid w:val="00187057"/>
    <w:rsid w:val="00187E65"/>
    <w:rsid w:val="00191863"/>
    <w:rsid w:val="00191F4D"/>
    <w:rsid w:val="00192DD3"/>
    <w:rsid w:val="00193EB6"/>
    <w:rsid w:val="0019454C"/>
    <w:rsid w:val="001952C9"/>
    <w:rsid w:val="001957E0"/>
    <w:rsid w:val="00195A05"/>
    <w:rsid w:val="001A1056"/>
    <w:rsid w:val="001A150D"/>
    <w:rsid w:val="001A25D3"/>
    <w:rsid w:val="001A28A5"/>
    <w:rsid w:val="001A2921"/>
    <w:rsid w:val="001A2B21"/>
    <w:rsid w:val="001A2E8C"/>
    <w:rsid w:val="001A31AA"/>
    <w:rsid w:val="001A7BF4"/>
    <w:rsid w:val="001A7CE6"/>
    <w:rsid w:val="001A7F67"/>
    <w:rsid w:val="001B096F"/>
    <w:rsid w:val="001B1151"/>
    <w:rsid w:val="001B2679"/>
    <w:rsid w:val="001B3580"/>
    <w:rsid w:val="001B64C7"/>
    <w:rsid w:val="001B686D"/>
    <w:rsid w:val="001B6C45"/>
    <w:rsid w:val="001B75BB"/>
    <w:rsid w:val="001B7C52"/>
    <w:rsid w:val="001C06FC"/>
    <w:rsid w:val="001C11AA"/>
    <w:rsid w:val="001C16EA"/>
    <w:rsid w:val="001C1FC8"/>
    <w:rsid w:val="001C2726"/>
    <w:rsid w:val="001C2FC5"/>
    <w:rsid w:val="001C3150"/>
    <w:rsid w:val="001C31BA"/>
    <w:rsid w:val="001C5CA4"/>
    <w:rsid w:val="001C6A24"/>
    <w:rsid w:val="001C6E5F"/>
    <w:rsid w:val="001C76E0"/>
    <w:rsid w:val="001C79CA"/>
    <w:rsid w:val="001D05FF"/>
    <w:rsid w:val="001D082F"/>
    <w:rsid w:val="001D4048"/>
    <w:rsid w:val="001D47A0"/>
    <w:rsid w:val="001D489A"/>
    <w:rsid w:val="001D676F"/>
    <w:rsid w:val="001D6872"/>
    <w:rsid w:val="001D72C4"/>
    <w:rsid w:val="001D763A"/>
    <w:rsid w:val="001E11F4"/>
    <w:rsid w:val="001E2FBB"/>
    <w:rsid w:val="001E32AC"/>
    <w:rsid w:val="001E4C50"/>
    <w:rsid w:val="001E5296"/>
    <w:rsid w:val="001E5577"/>
    <w:rsid w:val="001E5A25"/>
    <w:rsid w:val="001E5D2B"/>
    <w:rsid w:val="001E62CE"/>
    <w:rsid w:val="001E74A3"/>
    <w:rsid w:val="001E7927"/>
    <w:rsid w:val="001F038D"/>
    <w:rsid w:val="001F0488"/>
    <w:rsid w:val="001F070C"/>
    <w:rsid w:val="001F1A87"/>
    <w:rsid w:val="001F27FC"/>
    <w:rsid w:val="001F2E61"/>
    <w:rsid w:val="001F4B6A"/>
    <w:rsid w:val="001F62A2"/>
    <w:rsid w:val="001F776D"/>
    <w:rsid w:val="001F7A75"/>
    <w:rsid w:val="001F7AFC"/>
    <w:rsid w:val="002003BB"/>
    <w:rsid w:val="002012D1"/>
    <w:rsid w:val="00202073"/>
    <w:rsid w:val="0020266B"/>
    <w:rsid w:val="00202D5C"/>
    <w:rsid w:val="00203074"/>
    <w:rsid w:val="002038E1"/>
    <w:rsid w:val="00204672"/>
    <w:rsid w:val="00204A1C"/>
    <w:rsid w:val="00205181"/>
    <w:rsid w:val="002062C5"/>
    <w:rsid w:val="00207E4B"/>
    <w:rsid w:val="00210949"/>
    <w:rsid w:val="00211797"/>
    <w:rsid w:val="00212D5E"/>
    <w:rsid w:val="00213385"/>
    <w:rsid w:val="0021368A"/>
    <w:rsid w:val="00213FE0"/>
    <w:rsid w:val="002161EA"/>
    <w:rsid w:val="00216689"/>
    <w:rsid w:val="00216722"/>
    <w:rsid w:val="0021766D"/>
    <w:rsid w:val="002179D1"/>
    <w:rsid w:val="00217BC3"/>
    <w:rsid w:val="00220568"/>
    <w:rsid w:val="002221D7"/>
    <w:rsid w:val="00223363"/>
    <w:rsid w:val="002240FA"/>
    <w:rsid w:val="00225943"/>
    <w:rsid w:val="00226860"/>
    <w:rsid w:val="00227270"/>
    <w:rsid w:val="002277D1"/>
    <w:rsid w:val="00227887"/>
    <w:rsid w:val="002278B0"/>
    <w:rsid w:val="00231A05"/>
    <w:rsid w:val="00231DCA"/>
    <w:rsid w:val="00233F8A"/>
    <w:rsid w:val="00234902"/>
    <w:rsid w:val="00235A7F"/>
    <w:rsid w:val="00235EFF"/>
    <w:rsid w:val="002378A7"/>
    <w:rsid w:val="00237AD7"/>
    <w:rsid w:val="00240AEA"/>
    <w:rsid w:val="00240CF9"/>
    <w:rsid w:val="00243596"/>
    <w:rsid w:val="0024625C"/>
    <w:rsid w:val="002466D4"/>
    <w:rsid w:val="002477BB"/>
    <w:rsid w:val="00250372"/>
    <w:rsid w:val="0025106F"/>
    <w:rsid w:val="00251CE5"/>
    <w:rsid w:val="002523B7"/>
    <w:rsid w:val="002525FE"/>
    <w:rsid w:val="00252863"/>
    <w:rsid w:val="00252A0E"/>
    <w:rsid w:val="00253BD3"/>
    <w:rsid w:val="00253F87"/>
    <w:rsid w:val="002542B5"/>
    <w:rsid w:val="00255A53"/>
    <w:rsid w:val="00256652"/>
    <w:rsid w:val="002569AC"/>
    <w:rsid w:val="00256F17"/>
    <w:rsid w:val="00260010"/>
    <w:rsid w:val="002605F1"/>
    <w:rsid w:val="00260875"/>
    <w:rsid w:val="00263BC4"/>
    <w:rsid w:val="00264DF3"/>
    <w:rsid w:val="00266B20"/>
    <w:rsid w:val="0026762F"/>
    <w:rsid w:val="00267B8D"/>
    <w:rsid w:val="00270AD1"/>
    <w:rsid w:val="00270CA7"/>
    <w:rsid w:val="0027174D"/>
    <w:rsid w:val="00271A44"/>
    <w:rsid w:val="00271BBC"/>
    <w:rsid w:val="00271BD1"/>
    <w:rsid w:val="00271CBD"/>
    <w:rsid w:val="002722A3"/>
    <w:rsid w:val="00272BED"/>
    <w:rsid w:val="00274597"/>
    <w:rsid w:val="00274F4E"/>
    <w:rsid w:val="00277EAD"/>
    <w:rsid w:val="00280191"/>
    <w:rsid w:val="002807BB"/>
    <w:rsid w:val="002832DB"/>
    <w:rsid w:val="002834C8"/>
    <w:rsid w:val="00283C9B"/>
    <w:rsid w:val="00284B19"/>
    <w:rsid w:val="00284BBB"/>
    <w:rsid w:val="00285349"/>
    <w:rsid w:val="002864D7"/>
    <w:rsid w:val="00286E88"/>
    <w:rsid w:val="002877FE"/>
    <w:rsid w:val="00287A68"/>
    <w:rsid w:val="00290A99"/>
    <w:rsid w:val="002911AD"/>
    <w:rsid w:val="002911D3"/>
    <w:rsid w:val="002921A0"/>
    <w:rsid w:val="00292DFA"/>
    <w:rsid w:val="00293887"/>
    <w:rsid w:val="00294FBA"/>
    <w:rsid w:val="00295033"/>
    <w:rsid w:val="00296163"/>
    <w:rsid w:val="002963C8"/>
    <w:rsid w:val="00296B87"/>
    <w:rsid w:val="002A0E86"/>
    <w:rsid w:val="002A1132"/>
    <w:rsid w:val="002A18BA"/>
    <w:rsid w:val="002A20BF"/>
    <w:rsid w:val="002A24D7"/>
    <w:rsid w:val="002A2C4D"/>
    <w:rsid w:val="002A2D3C"/>
    <w:rsid w:val="002A2DF0"/>
    <w:rsid w:val="002A3944"/>
    <w:rsid w:val="002A67C1"/>
    <w:rsid w:val="002A6F49"/>
    <w:rsid w:val="002A7084"/>
    <w:rsid w:val="002B0F09"/>
    <w:rsid w:val="002B11FA"/>
    <w:rsid w:val="002B30FA"/>
    <w:rsid w:val="002B33C2"/>
    <w:rsid w:val="002B643B"/>
    <w:rsid w:val="002B64B5"/>
    <w:rsid w:val="002B69AA"/>
    <w:rsid w:val="002B7B3E"/>
    <w:rsid w:val="002C0119"/>
    <w:rsid w:val="002C084B"/>
    <w:rsid w:val="002C1971"/>
    <w:rsid w:val="002C688D"/>
    <w:rsid w:val="002C6E30"/>
    <w:rsid w:val="002D0436"/>
    <w:rsid w:val="002D0660"/>
    <w:rsid w:val="002D06DD"/>
    <w:rsid w:val="002D3A9B"/>
    <w:rsid w:val="002D3AA0"/>
    <w:rsid w:val="002D41D1"/>
    <w:rsid w:val="002D5AA6"/>
    <w:rsid w:val="002D6537"/>
    <w:rsid w:val="002D6695"/>
    <w:rsid w:val="002E1020"/>
    <w:rsid w:val="002E3C11"/>
    <w:rsid w:val="002E464B"/>
    <w:rsid w:val="002E57D0"/>
    <w:rsid w:val="002E5831"/>
    <w:rsid w:val="002E5FF2"/>
    <w:rsid w:val="002E727D"/>
    <w:rsid w:val="002E730C"/>
    <w:rsid w:val="002F0672"/>
    <w:rsid w:val="002F1285"/>
    <w:rsid w:val="002F163E"/>
    <w:rsid w:val="002F1CB0"/>
    <w:rsid w:val="002F290F"/>
    <w:rsid w:val="002F383A"/>
    <w:rsid w:val="002F4420"/>
    <w:rsid w:val="002F4B57"/>
    <w:rsid w:val="002F5167"/>
    <w:rsid w:val="002F5E54"/>
    <w:rsid w:val="002F6B29"/>
    <w:rsid w:val="00300B9D"/>
    <w:rsid w:val="003010DF"/>
    <w:rsid w:val="003014F0"/>
    <w:rsid w:val="003019E9"/>
    <w:rsid w:val="00302689"/>
    <w:rsid w:val="003026AF"/>
    <w:rsid w:val="00303006"/>
    <w:rsid w:val="0030300A"/>
    <w:rsid w:val="0030317F"/>
    <w:rsid w:val="00303B0B"/>
    <w:rsid w:val="00303FBD"/>
    <w:rsid w:val="00304EEF"/>
    <w:rsid w:val="00306F98"/>
    <w:rsid w:val="00307D39"/>
    <w:rsid w:val="00307F97"/>
    <w:rsid w:val="00310E01"/>
    <w:rsid w:val="00311187"/>
    <w:rsid w:val="003114B3"/>
    <w:rsid w:val="0031172D"/>
    <w:rsid w:val="00311994"/>
    <w:rsid w:val="00311C08"/>
    <w:rsid w:val="00312202"/>
    <w:rsid w:val="0031222F"/>
    <w:rsid w:val="00313424"/>
    <w:rsid w:val="00313D3A"/>
    <w:rsid w:val="00314754"/>
    <w:rsid w:val="003148BB"/>
    <w:rsid w:val="003148F2"/>
    <w:rsid w:val="0031580B"/>
    <w:rsid w:val="00316C03"/>
    <w:rsid w:val="003170D5"/>
    <w:rsid w:val="0031714C"/>
    <w:rsid w:val="003177D7"/>
    <w:rsid w:val="00320FD2"/>
    <w:rsid w:val="0032102E"/>
    <w:rsid w:val="003211A2"/>
    <w:rsid w:val="00321F15"/>
    <w:rsid w:val="00322357"/>
    <w:rsid w:val="00323CB1"/>
    <w:rsid w:val="00323E6C"/>
    <w:rsid w:val="00324702"/>
    <w:rsid w:val="00324BE7"/>
    <w:rsid w:val="00325FCA"/>
    <w:rsid w:val="0032622B"/>
    <w:rsid w:val="003263A3"/>
    <w:rsid w:val="0032776E"/>
    <w:rsid w:val="0033050F"/>
    <w:rsid w:val="00330E02"/>
    <w:rsid w:val="0033158D"/>
    <w:rsid w:val="00332C7E"/>
    <w:rsid w:val="00335749"/>
    <w:rsid w:val="003370E1"/>
    <w:rsid w:val="0033777C"/>
    <w:rsid w:val="00340548"/>
    <w:rsid w:val="003408C9"/>
    <w:rsid w:val="00341677"/>
    <w:rsid w:val="003432E6"/>
    <w:rsid w:val="003435FF"/>
    <w:rsid w:val="0034406F"/>
    <w:rsid w:val="00344FA5"/>
    <w:rsid w:val="00345096"/>
    <w:rsid w:val="00346CB7"/>
    <w:rsid w:val="003478AE"/>
    <w:rsid w:val="003504E3"/>
    <w:rsid w:val="0035315D"/>
    <w:rsid w:val="0035331E"/>
    <w:rsid w:val="00353BC6"/>
    <w:rsid w:val="00354096"/>
    <w:rsid w:val="00354450"/>
    <w:rsid w:val="00355893"/>
    <w:rsid w:val="00355C87"/>
    <w:rsid w:val="00356CAC"/>
    <w:rsid w:val="00357E3D"/>
    <w:rsid w:val="00360294"/>
    <w:rsid w:val="00360867"/>
    <w:rsid w:val="003610D6"/>
    <w:rsid w:val="00361431"/>
    <w:rsid w:val="003614B9"/>
    <w:rsid w:val="003623E6"/>
    <w:rsid w:val="00363A71"/>
    <w:rsid w:val="00363DC2"/>
    <w:rsid w:val="00363F9E"/>
    <w:rsid w:val="0036482D"/>
    <w:rsid w:val="0036575D"/>
    <w:rsid w:val="003667B2"/>
    <w:rsid w:val="00371123"/>
    <w:rsid w:val="00371764"/>
    <w:rsid w:val="00372702"/>
    <w:rsid w:val="00373D4F"/>
    <w:rsid w:val="00374051"/>
    <w:rsid w:val="00374674"/>
    <w:rsid w:val="00375224"/>
    <w:rsid w:val="00375D34"/>
    <w:rsid w:val="00377749"/>
    <w:rsid w:val="003805DC"/>
    <w:rsid w:val="00381164"/>
    <w:rsid w:val="00382CA6"/>
    <w:rsid w:val="00384DE5"/>
    <w:rsid w:val="00391127"/>
    <w:rsid w:val="003913B0"/>
    <w:rsid w:val="00392C9D"/>
    <w:rsid w:val="00393D48"/>
    <w:rsid w:val="003958CF"/>
    <w:rsid w:val="00397ED3"/>
    <w:rsid w:val="003A00E2"/>
    <w:rsid w:val="003A02E8"/>
    <w:rsid w:val="003A04C7"/>
    <w:rsid w:val="003A12B6"/>
    <w:rsid w:val="003A22E4"/>
    <w:rsid w:val="003A3667"/>
    <w:rsid w:val="003A7329"/>
    <w:rsid w:val="003A7D84"/>
    <w:rsid w:val="003A7E09"/>
    <w:rsid w:val="003B008C"/>
    <w:rsid w:val="003B0239"/>
    <w:rsid w:val="003B44C9"/>
    <w:rsid w:val="003B5434"/>
    <w:rsid w:val="003C273A"/>
    <w:rsid w:val="003C4C7D"/>
    <w:rsid w:val="003C5684"/>
    <w:rsid w:val="003C6701"/>
    <w:rsid w:val="003C7E4D"/>
    <w:rsid w:val="003D01B5"/>
    <w:rsid w:val="003D13D6"/>
    <w:rsid w:val="003D1626"/>
    <w:rsid w:val="003D2371"/>
    <w:rsid w:val="003D23EB"/>
    <w:rsid w:val="003D3E08"/>
    <w:rsid w:val="003D3ED6"/>
    <w:rsid w:val="003D4288"/>
    <w:rsid w:val="003D573A"/>
    <w:rsid w:val="003D6081"/>
    <w:rsid w:val="003D64A8"/>
    <w:rsid w:val="003D6FD5"/>
    <w:rsid w:val="003D7C19"/>
    <w:rsid w:val="003E1BD4"/>
    <w:rsid w:val="003E1C84"/>
    <w:rsid w:val="003E3847"/>
    <w:rsid w:val="003E4C74"/>
    <w:rsid w:val="003E6742"/>
    <w:rsid w:val="003E689E"/>
    <w:rsid w:val="003E7ADF"/>
    <w:rsid w:val="003E7DA0"/>
    <w:rsid w:val="003E7EDB"/>
    <w:rsid w:val="003F068D"/>
    <w:rsid w:val="003F16D6"/>
    <w:rsid w:val="003F27EF"/>
    <w:rsid w:val="003F336E"/>
    <w:rsid w:val="003F3BCA"/>
    <w:rsid w:val="003F3D86"/>
    <w:rsid w:val="003F40F8"/>
    <w:rsid w:val="003F42AC"/>
    <w:rsid w:val="003F4F6D"/>
    <w:rsid w:val="003F7BD5"/>
    <w:rsid w:val="0040172B"/>
    <w:rsid w:val="00401930"/>
    <w:rsid w:val="00401DD3"/>
    <w:rsid w:val="004028AA"/>
    <w:rsid w:val="00403E04"/>
    <w:rsid w:val="00405E88"/>
    <w:rsid w:val="00406413"/>
    <w:rsid w:val="004067A1"/>
    <w:rsid w:val="00406BC1"/>
    <w:rsid w:val="00406C27"/>
    <w:rsid w:val="004079E4"/>
    <w:rsid w:val="00410D96"/>
    <w:rsid w:val="00410DCB"/>
    <w:rsid w:val="004122BA"/>
    <w:rsid w:val="00412343"/>
    <w:rsid w:val="00413392"/>
    <w:rsid w:val="00417A60"/>
    <w:rsid w:val="00417CA4"/>
    <w:rsid w:val="004205D9"/>
    <w:rsid w:val="00420EB4"/>
    <w:rsid w:val="004215FA"/>
    <w:rsid w:val="00421D49"/>
    <w:rsid w:val="00422D39"/>
    <w:rsid w:val="004266D5"/>
    <w:rsid w:val="0042690C"/>
    <w:rsid w:val="0042737A"/>
    <w:rsid w:val="004304BA"/>
    <w:rsid w:val="00431C5D"/>
    <w:rsid w:val="00431D2F"/>
    <w:rsid w:val="00432E57"/>
    <w:rsid w:val="004331E7"/>
    <w:rsid w:val="00433818"/>
    <w:rsid w:val="004339B1"/>
    <w:rsid w:val="00433A99"/>
    <w:rsid w:val="00433C63"/>
    <w:rsid w:val="00434C51"/>
    <w:rsid w:val="00435CEE"/>
    <w:rsid w:val="00436187"/>
    <w:rsid w:val="004362AD"/>
    <w:rsid w:val="004376D2"/>
    <w:rsid w:val="00437ADF"/>
    <w:rsid w:val="00440B9F"/>
    <w:rsid w:val="00442784"/>
    <w:rsid w:val="004436B5"/>
    <w:rsid w:val="004438E1"/>
    <w:rsid w:val="004452BD"/>
    <w:rsid w:val="00445682"/>
    <w:rsid w:val="0044579B"/>
    <w:rsid w:val="00446BFE"/>
    <w:rsid w:val="00446C04"/>
    <w:rsid w:val="00447056"/>
    <w:rsid w:val="004472BE"/>
    <w:rsid w:val="004479A0"/>
    <w:rsid w:val="00452444"/>
    <w:rsid w:val="004525C7"/>
    <w:rsid w:val="00454F1C"/>
    <w:rsid w:val="00456691"/>
    <w:rsid w:val="004568C1"/>
    <w:rsid w:val="0045743C"/>
    <w:rsid w:val="00460460"/>
    <w:rsid w:val="00462559"/>
    <w:rsid w:val="0046479D"/>
    <w:rsid w:val="00465D37"/>
    <w:rsid w:val="00466BC3"/>
    <w:rsid w:val="00466C6D"/>
    <w:rsid w:val="004670DA"/>
    <w:rsid w:val="00467EFA"/>
    <w:rsid w:val="004707B1"/>
    <w:rsid w:val="004747B8"/>
    <w:rsid w:val="00476B8D"/>
    <w:rsid w:val="004805B8"/>
    <w:rsid w:val="00480F9B"/>
    <w:rsid w:val="004810EF"/>
    <w:rsid w:val="004852D8"/>
    <w:rsid w:val="00485DB9"/>
    <w:rsid w:val="0048603A"/>
    <w:rsid w:val="00491761"/>
    <w:rsid w:val="00492231"/>
    <w:rsid w:val="00492626"/>
    <w:rsid w:val="00493076"/>
    <w:rsid w:val="004946FE"/>
    <w:rsid w:val="00494C77"/>
    <w:rsid w:val="00495C39"/>
    <w:rsid w:val="00496DDC"/>
    <w:rsid w:val="00497018"/>
    <w:rsid w:val="0049787E"/>
    <w:rsid w:val="004A0BA9"/>
    <w:rsid w:val="004A164C"/>
    <w:rsid w:val="004A1965"/>
    <w:rsid w:val="004A21A3"/>
    <w:rsid w:val="004A2490"/>
    <w:rsid w:val="004A4C95"/>
    <w:rsid w:val="004A4D05"/>
    <w:rsid w:val="004A6718"/>
    <w:rsid w:val="004A6A87"/>
    <w:rsid w:val="004A6E59"/>
    <w:rsid w:val="004A75C6"/>
    <w:rsid w:val="004A7623"/>
    <w:rsid w:val="004B00DE"/>
    <w:rsid w:val="004B060B"/>
    <w:rsid w:val="004B0BD8"/>
    <w:rsid w:val="004B22CB"/>
    <w:rsid w:val="004B27C7"/>
    <w:rsid w:val="004B284E"/>
    <w:rsid w:val="004B375E"/>
    <w:rsid w:val="004B4AFA"/>
    <w:rsid w:val="004B5F14"/>
    <w:rsid w:val="004B6582"/>
    <w:rsid w:val="004B66C8"/>
    <w:rsid w:val="004B77A2"/>
    <w:rsid w:val="004B79D1"/>
    <w:rsid w:val="004B7A76"/>
    <w:rsid w:val="004C0C92"/>
    <w:rsid w:val="004C0F5D"/>
    <w:rsid w:val="004C201F"/>
    <w:rsid w:val="004C348F"/>
    <w:rsid w:val="004C4875"/>
    <w:rsid w:val="004C4B0D"/>
    <w:rsid w:val="004C5642"/>
    <w:rsid w:val="004C5BDB"/>
    <w:rsid w:val="004C5E14"/>
    <w:rsid w:val="004C61F6"/>
    <w:rsid w:val="004C7505"/>
    <w:rsid w:val="004C791D"/>
    <w:rsid w:val="004D0BE2"/>
    <w:rsid w:val="004D1B70"/>
    <w:rsid w:val="004D1F52"/>
    <w:rsid w:val="004D2B9F"/>
    <w:rsid w:val="004D3135"/>
    <w:rsid w:val="004D336A"/>
    <w:rsid w:val="004D3D1E"/>
    <w:rsid w:val="004D4921"/>
    <w:rsid w:val="004D73BE"/>
    <w:rsid w:val="004D7529"/>
    <w:rsid w:val="004D7C1D"/>
    <w:rsid w:val="004E11CF"/>
    <w:rsid w:val="004E16AB"/>
    <w:rsid w:val="004E1983"/>
    <w:rsid w:val="004E29C5"/>
    <w:rsid w:val="004E2A89"/>
    <w:rsid w:val="004E47D6"/>
    <w:rsid w:val="004E49CB"/>
    <w:rsid w:val="004E4CDA"/>
    <w:rsid w:val="004E6230"/>
    <w:rsid w:val="004E651E"/>
    <w:rsid w:val="004E65D9"/>
    <w:rsid w:val="004F0A55"/>
    <w:rsid w:val="004F1E3E"/>
    <w:rsid w:val="004F3D78"/>
    <w:rsid w:val="005022B5"/>
    <w:rsid w:val="00502460"/>
    <w:rsid w:val="0050355E"/>
    <w:rsid w:val="0050367C"/>
    <w:rsid w:val="005043C6"/>
    <w:rsid w:val="005047F8"/>
    <w:rsid w:val="0050676E"/>
    <w:rsid w:val="005068B6"/>
    <w:rsid w:val="00506ADB"/>
    <w:rsid w:val="00506FD4"/>
    <w:rsid w:val="00507906"/>
    <w:rsid w:val="00510537"/>
    <w:rsid w:val="00511AE0"/>
    <w:rsid w:val="00512406"/>
    <w:rsid w:val="00514144"/>
    <w:rsid w:val="00520139"/>
    <w:rsid w:val="00520ADC"/>
    <w:rsid w:val="00521228"/>
    <w:rsid w:val="005219E3"/>
    <w:rsid w:val="00521BF1"/>
    <w:rsid w:val="00521C0D"/>
    <w:rsid w:val="0052213C"/>
    <w:rsid w:val="0052222C"/>
    <w:rsid w:val="00524697"/>
    <w:rsid w:val="00524F8F"/>
    <w:rsid w:val="005253A7"/>
    <w:rsid w:val="005303F2"/>
    <w:rsid w:val="0053101B"/>
    <w:rsid w:val="0053174F"/>
    <w:rsid w:val="00532426"/>
    <w:rsid w:val="005324B9"/>
    <w:rsid w:val="00532D93"/>
    <w:rsid w:val="00533643"/>
    <w:rsid w:val="00534B93"/>
    <w:rsid w:val="00535460"/>
    <w:rsid w:val="0053660A"/>
    <w:rsid w:val="00540294"/>
    <w:rsid w:val="00540678"/>
    <w:rsid w:val="00540793"/>
    <w:rsid w:val="005407A8"/>
    <w:rsid w:val="005409A4"/>
    <w:rsid w:val="005413B6"/>
    <w:rsid w:val="0054221D"/>
    <w:rsid w:val="00542A99"/>
    <w:rsid w:val="00544225"/>
    <w:rsid w:val="0054593A"/>
    <w:rsid w:val="00545C91"/>
    <w:rsid w:val="005461A6"/>
    <w:rsid w:val="00546993"/>
    <w:rsid w:val="00546D70"/>
    <w:rsid w:val="005472DA"/>
    <w:rsid w:val="00547332"/>
    <w:rsid w:val="0055160D"/>
    <w:rsid w:val="0055296F"/>
    <w:rsid w:val="00552C76"/>
    <w:rsid w:val="00553512"/>
    <w:rsid w:val="00553EB9"/>
    <w:rsid w:val="005548F0"/>
    <w:rsid w:val="0055703F"/>
    <w:rsid w:val="00561637"/>
    <w:rsid w:val="00561B35"/>
    <w:rsid w:val="005620BC"/>
    <w:rsid w:val="0056298D"/>
    <w:rsid w:val="00562E2B"/>
    <w:rsid w:val="005632B7"/>
    <w:rsid w:val="00563718"/>
    <w:rsid w:val="005642F1"/>
    <w:rsid w:val="005652AC"/>
    <w:rsid w:val="0056571A"/>
    <w:rsid w:val="005658CC"/>
    <w:rsid w:val="005703E7"/>
    <w:rsid w:val="00570CB4"/>
    <w:rsid w:val="005721F4"/>
    <w:rsid w:val="00572FAC"/>
    <w:rsid w:val="00573BA2"/>
    <w:rsid w:val="00573C70"/>
    <w:rsid w:val="00574E67"/>
    <w:rsid w:val="005753BB"/>
    <w:rsid w:val="0057585F"/>
    <w:rsid w:val="00576051"/>
    <w:rsid w:val="005762DA"/>
    <w:rsid w:val="0057633F"/>
    <w:rsid w:val="00576E11"/>
    <w:rsid w:val="00577391"/>
    <w:rsid w:val="00577F6E"/>
    <w:rsid w:val="005800BA"/>
    <w:rsid w:val="00580658"/>
    <w:rsid w:val="005813FF"/>
    <w:rsid w:val="00582B94"/>
    <w:rsid w:val="005834DD"/>
    <w:rsid w:val="005836C8"/>
    <w:rsid w:val="005838A8"/>
    <w:rsid w:val="00584E47"/>
    <w:rsid w:val="00585E4B"/>
    <w:rsid w:val="005868AC"/>
    <w:rsid w:val="00587122"/>
    <w:rsid w:val="00594235"/>
    <w:rsid w:val="00594C60"/>
    <w:rsid w:val="0059648A"/>
    <w:rsid w:val="00596C92"/>
    <w:rsid w:val="00597AE4"/>
    <w:rsid w:val="005A0115"/>
    <w:rsid w:val="005A0ACD"/>
    <w:rsid w:val="005A1358"/>
    <w:rsid w:val="005A2483"/>
    <w:rsid w:val="005A3320"/>
    <w:rsid w:val="005A3673"/>
    <w:rsid w:val="005A3744"/>
    <w:rsid w:val="005A382F"/>
    <w:rsid w:val="005A46FF"/>
    <w:rsid w:val="005A59CC"/>
    <w:rsid w:val="005A6B2F"/>
    <w:rsid w:val="005A77B5"/>
    <w:rsid w:val="005B0AD5"/>
    <w:rsid w:val="005B0E36"/>
    <w:rsid w:val="005B1226"/>
    <w:rsid w:val="005B1A39"/>
    <w:rsid w:val="005B2FCF"/>
    <w:rsid w:val="005B30DE"/>
    <w:rsid w:val="005B442D"/>
    <w:rsid w:val="005B4A13"/>
    <w:rsid w:val="005B54A1"/>
    <w:rsid w:val="005B78EB"/>
    <w:rsid w:val="005C0157"/>
    <w:rsid w:val="005C0FEB"/>
    <w:rsid w:val="005C1FA2"/>
    <w:rsid w:val="005C226D"/>
    <w:rsid w:val="005C2E60"/>
    <w:rsid w:val="005C3230"/>
    <w:rsid w:val="005C331C"/>
    <w:rsid w:val="005C46E7"/>
    <w:rsid w:val="005C476F"/>
    <w:rsid w:val="005C5D07"/>
    <w:rsid w:val="005C63E1"/>
    <w:rsid w:val="005C6612"/>
    <w:rsid w:val="005C6D23"/>
    <w:rsid w:val="005C6E0F"/>
    <w:rsid w:val="005D09BD"/>
    <w:rsid w:val="005D13A6"/>
    <w:rsid w:val="005D1C07"/>
    <w:rsid w:val="005D2465"/>
    <w:rsid w:val="005D3B39"/>
    <w:rsid w:val="005D4C1A"/>
    <w:rsid w:val="005D56F2"/>
    <w:rsid w:val="005D5E77"/>
    <w:rsid w:val="005D7A56"/>
    <w:rsid w:val="005E0BED"/>
    <w:rsid w:val="005E0FDE"/>
    <w:rsid w:val="005E1135"/>
    <w:rsid w:val="005E1208"/>
    <w:rsid w:val="005E1F09"/>
    <w:rsid w:val="005E2DBE"/>
    <w:rsid w:val="005E3BC4"/>
    <w:rsid w:val="005E4744"/>
    <w:rsid w:val="005E5762"/>
    <w:rsid w:val="005E71A1"/>
    <w:rsid w:val="005E72DF"/>
    <w:rsid w:val="005F1D84"/>
    <w:rsid w:val="005F21D9"/>
    <w:rsid w:val="005F28E1"/>
    <w:rsid w:val="005F2992"/>
    <w:rsid w:val="005F2C9A"/>
    <w:rsid w:val="005F3595"/>
    <w:rsid w:val="005F4F69"/>
    <w:rsid w:val="005F6427"/>
    <w:rsid w:val="005F7285"/>
    <w:rsid w:val="0060039E"/>
    <w:rsid w:val="006008F4"/>
    <w:rsid w:val="006014B9"/>
    <w:rsid w:val="00602AC0"/>
    <w:rsid w:val="006044FF"/>
    <w:rsid w:val="00604938"/>
    <w:rsid w:val="00605274"/>
    <w:rsid w:val="00605A7A"/>
    <w:rsid w:val="00606B1F"/>
    <w:rsid w:val="00607A6F"/>
    <w:rsid w:val="00607AB9"/>
    <w:rsid w:val="0061022C"/>
    <w:rsid w:val="00612F81"/>
    <w:rsid w:val="00614E7F"/>
    <w:rsid w:val="006172D8"/>
    <w:rsid w:val="00617616"/>
    <w:rsid w:val="006176EA"/>
    <w:rsid w:val="00617927"/>
    <w:rsid w:val="00617F86"/>
    <w:rsid w:val="00620656"/>
    <w:rsid w:val="0062228C"/>
    <w:rsid w:val="00623AB7"/>
    <w:rsid w:val="00623BBD"/>
    <w:rsid w:val="0062410F"/>
    <w:rsid w:val="00624E3B"/>
    <w:rsid w:val="006304C1"/>
    <w:rsid w:val="00630D03"/>
    <w:rsid w:val="00630E40"/>
    <w:rsid w:val="00630EC3"/>
    <w:rsid w:val="006330DC"/>
    <w:rsid w:val="00635216"/>
    <w:rsid w:val="00636234"/>
    <w:rsid w:val="00636518"/>
    <w:rsid w:val="006377ED"/>
    <w:rsid w:val="00637FBD"/>
    <w:rsid w:val="00641548"/>
    <w:rsid w:val="00642EE2"/>
    <w:rsid w:val="00642EF7"/>
    <w:rsid w:val="00643821"/>
    <w:rsid w:val="00645A5D"/>
    <w:rsid w:val="00646E25"/>
    <w:rsid w:val="00650951"/>
    <w:rsid w:val="00652C51"/>
    <w:rsid w:val="0065476A"/>
    <w:rsid w:val="00654B52"/>
    <w:rsid w:val="00657CF5"/>
    <w:rsid w:val="006606CE"/>
    <w:rsid w:val="006619A5"/>
    <w:rsid w:val="00661EF5"/>
    <w:rsid w:val="00662853"/>
    <w:rsid w:val="00662B29"/>
    <w:rsid w:val="00662CEE"/>
    <w:rsid w:val="00663E0A"/>
    <w:rsid w:val="00664088"/>
    <w:rsid w:val="00664262"/>
    <w:rsid w:val="006664B1"/>
    <w:rsid w:val="00666707"/>
    <w:rsid w:val="00666D96"/>
    <w:rsid w:val="006676B5"/>
    <w:rsid w:val="006711CA"/>
    <w:rsid w:val="006712F8"/>
    <w:rsid w:val="006746BA"/>
    <w:rsid w:val="006749A3"/>
    <w:rsid w:val="00674ACF"/>
    <w:rsid w:val="0067503D"/>
    <w:rsid w:val="00675824"/>
    <w:rsid w:val="006759B4"/>
    <w:rsid w:val="0067632A"/>
    <w:rsid w:val="00676497"/>
    <w:rsid w:val="00677485"/>
    <w:rsid w:val="00681BB8"/>
    <w:rsid w:val="00682AB2"/>
    <w:rsid w:val="006833D2"/>
    <w:rsid w:val="00683BC7"/>
    <w:rsid w:val="00684E64"/>
    <w:rsid w:val="00685EEC"/>
    <w:rsid w:val="00686AED"/>
    <w:rsid w:val="0068765C"/>
    <w:rsid w:val="00690439"/>
    <w:rsid w:val="006919AB"/>
    <w:rsid w:val="00691F53"/>
    <w:rsid w:val="006924D7"/>
    <w:rsid w:val="006936D0"/>
    <w:rsid w:val="006946FF"/>
    <w:rsid w:val="00696303"/>
    <w:rsid w:val="006969E9"/>
    <w:rsid w:val="0069737F"/>
    <w:rsid w:val="00697EC5"/>
    <w:rsid w:val="006A1AEE"/>
    <w:rsid w:val="006A4E10"/>
    <w:rsid w:val="006A5561"/>
    <w:rsid w:val="006A6315"/>
    <w:rsid w:val="006A6B4F"/>
    <w:rsid w:val="006B0664"/>
    <w:rsid w:val="006B3364"/>
    <w:rsid w:val="006B4156"/>
    <w:rsid w:val="006B5A2A"/>
    <w:rsid w:val="006B5E50"/>
    <w:rsid w:val="006B6298"/>
    <w:rsid w:val="006C0626"/>
    <w:rsid w:val="006C1896"/>
    <w:rsid w:val="006C1CCF"/>
    <w:rsid w:val="006C25DE"/>
    <w:rsid w:val="006C2787"/>
    <w:rsid w:val="006C2C1B"/>
    <w:rsid w:val="006C2CFF"/>
    <w:rsid w:val="006C35BD"/>
    <w:rsid w:val="006C4320"/>
    <w:rsid w:val="006C4EF1"/>
    <w:rsid w:val="006C52AA"/>
    <w:rsid w:val="006C55B7"/>
    <w:rsid w:val="006C59B7"/>
    <w:rsid w:val="006C633D"/>
    <w:rsid w:val="006C70A6"/>
    <w:rsid w:val="006C7E64"/>
    <w:rsid w:val="006D0116"/>
    <w:rsid w:val="006D1D91"/>
    <w:rsid w:val="006D4BAC"/>
    <w:rsid w:val="006D4C9B"/>
    <w:rsid w:val="006D4CD2"/>
    <w:rsid w:val="006D4ED9"/>
    <w:rsid w:val="006D5184"/>
    <w:rsid w:val="006D55B7"/>
    <w:rsid w:val="006D61FD"/>
    <w:rsid w:val="006D77FE"/>
    <w:rsid w:val="006D7A7F"/>
    <w:rsid w:val="006E12EF"/>
    <w:rsid w:val="006E2408"/>
    <w:rsid w:val="006E2F40"/>
    <w:rsid w:val="006E2F55"/>
    <w:rsid w:val="006E34F0"/>
    <w:rsid w:val="006E3C7E"/>
    <w:rsid w:val="006E42BD"/>
    <w:rsid w:val="006E4594"/>
    <w:rsid w:val="006E7C0E"/>
    <w:rsid w:val="006E7DF6"/>
    <w:rsid w:val="006E7F39"/>
    <w:rsid w:val="006E7FC8"/>
    <w:rsid w:val="006F12C9"/>
    <w:rsid w:val="006F135C"/>
    <w:rsid w:val="006F301F"/>
    <w:rsid w:val="006F3DBE"/>
    <w:rsid w:val="006F4162"/>
    <w:rsid w:val="006F46EC"/>
    <w:rsid w:val="006F51FA"/>
    <w:rsid w:val="006F5A2B"/>
    <w:rsid w:val="006F5C1B"/>
    <w:rsid w:val="006F6974"/>
    <w:rsid w:val="006F7DA0"/>
    <w:rsid w:val="006F7EEB"/>
    <w:rsid w:val="007007DC"/>
    <w:rsid w:val="00700F44"/>
    <w:rsid w:val="00702558"/>
    <w:rsid w:val="007032D3"/>
    <w:rsid w:val="0070361B"/>
    <w:rsid w:val="0070430C"/>
    <w:rsid w:val="007046C0"/>
    <w:rsid w:val="007059C4"/>
    <w:rsid w:val="0070633B"/>
    <w:rsid w:val="00707D27"/>
    <w:rsid w:val="00711253"/>
    <w:rsid w:val="007112C3"/>
    <w:rsid w:val="00711900"/>
    <w:rsid w:val="007120A2"/>
    <w:rsid w:val="0071252C"/>
    <w:rsid w:val="0071281C"/>
    <w:rsid w:val="00712989"/>
    <w:rsid w:val="00714263"/>
    <w:rsid w:val="007145CE"/>
    <w:rsid w:val="00715C9D"/>
    <w:rsid w:val="007167BD"/>
    <w:rsid w:val="0071734B"/>
    <w:rsid w:val="007206F7"/>
    <w:rsid w:val="00720C19"/>
    <w:rsid w:val="0072221B"/>
    <w:rsid w:val="00723753"/>
    <w:rsid w:val="00723825"/>
    <w:rsid w:val="00724DC1"/>
    <w:rsid w:val="00725D98"/>
    <w:rsid w:val="00726268"/>
    <w:rsid w:val="00726BCB"/>
    <w:rsid w:val="00727851"/>
    <w:rsid w:val="007315DE"/>
    <w:rsid w:val="007329FF"/>
    <w:rsid w:val="00733888"/>
    <w:rsid w:val="00735225"/>
    <w:rsid w:val="00736817"/>
    <w:rsid w:val="00736E4E"/>
    <w:rsid w:val="00740E93"/>
    <w:rsid w:val="0074222F"/>
    <w:rsid w:val="00744539"/>
    <w:rsid w:val="0074459C"/>
    <w:rsid w:val="007447F8"/>
    <w:rsid w:val="00744FE6"/>
    <w:rsid w:val="00745DA1"/>
    <w:rsid w:val="007461A9"/>
    <w:rsid w:val="00746AC5"/>
    <w:rsid w:val="00746C24"/>
    <w:rsid w:val="007502E4"/>
    <w:rsid w:val="00751100"/>
    <w:rsid w:val="00751C1D"/>
    <w:rsid w:val="0075308D"/>
    <w:rsid w:val="0075374D"/>
    <w:rsid w:val="00756580"/>
    <w:rsid w:val="00757052"/>
    <w:rsid w:val="00757D49"/>
    <w:rsid w:val="00757E29"/>
    <w:rsid w:val="00760E28"/>
    <w:rsid w:val="0076108D"/>
    <w:rsid w:val="00762095"/>
    <w:rsid w:val="0076284B"/>
    <w:rsid w:val="00763588"/>
    <w:rsid w:val="007645BC"/>
    <w:rsid w:val="0076463D"/>
    <w:rsid w:val="007648B3"/>
    <w:rsid w:val="0076491F"/>
    <w:rsid w:val="007665B6"/>
    <w:rsid w:val="00766602"/>
    <w:rsid w:val="0076667E"/>
    <w:rsid w:val="00767A46"/>
    <w:rsid w:val="007708BB"/>
    <w:rsid w:val="007708D5"/>
    <w:rsid w:val="00770B51"/>
    <w:rsid w:val="00771350"/>
    <w:rsid w:val="00771F6B"/>
    <w:rsid w:val="00773EF0"/>
    <w:rsid w:val="0077442A"/>
    <w:rsid w:val="00775843"/>
    <w:rsid w:val="0077651F"/>
    <w:rsid w:val="00777AB5"/>
    <w:rsid w:val="00777B82"/>
    <w:rsid w:val="00777BAA"/>
    <w:rsid w:val="00777E08"/>
    <w:rsid w:val="00780313"/>
    <w:rsid w:val="00783F7E"/>
    <w:rsid w:val="0078470E"/>
    <w:rsid w:val="007849AE"/>
    <w:rsid w:val="00790D26"/>
    <w:rsid w:val="0079175A"/>
    <w:rsid w:val="00793A37"/>
    <w:rsid w:val="00793A5C"/>
    <w:rsid w:val="00793B95"/>
    <w:rsid w:val="00793F7C"/>
    <w:rsid w:val="007950B2"/>
    <w:rsid w:val="00795530"/>
    <w:rsid w:val="007960E7"/>
    <w:rsid w:val="00796B4B"/>
    <w:rsid w:val="00796FB7"/>
    <w:rsid w:val="007974A7"/>
    <w:rsid w:val="007A1703"/>
    <w:rsid w:val="007A1DEA"/>
    <w:rsid w:val="007A3AC2"/>
    <w:rsid w:val="007A53EA"/>
    <w:rsid w:val="007A5A88"/>
    <w:rsid w:val="007A6C19"/>
    <w:rsid w:val="007A7311"/>
    <w:rsid w:val="007A760D"/>
    <w:rsid w:val="007A7A5E"/>
    <w:rsid w:val="007A7A78"/>
    <w:rsid w:val="007B0C9C"/>
    <w:rsid w:val="007B2196"/>
    <w:rsid w:val="007B2B21"/>
    <w:rsid w:val="007B33B4"/>
    <w:rsid w:val="007B4E0C"/>
    <w:rsid w:val="007B4F8A"/>
    <w:rsid w:val="007B6227"/>
    <w:rsid w:val="007B6755"/>
    <w:rsid w:val="007C005D"/>
    <w:rsid w:val="007C09BE"/>
    <w:rsid w:val="007C0D0C"/>
    <w:rsid w:val="007C10B6"/>
    <w:rsid w:val="007C1810"/>
    <w:rsid w:val="007C1990"/>
    <w:rsid w:val="007C1E63"/>
    <w:rsid w:val="007C2769"/>
    <w:rsid w:val="007C3A67"/>
    <w:rsid w:val="007C3C17"/>
    <w:rsid w:val="007C4ECE"/>
    <w:rsid w:val="007C5073"/>
    <w:rsid w:val="007C62B3"/>
    <w:rsid w:val="007C7233"/>
    <w:rsid w:val="007C79FA"/>
    <w:rsid w:val="007D15AE"/>
    <w:rsid w:val="007D1A98"/>
    <w:rsid w:val="007D2A85"/>
    <w:rsid w:val="007D4193"/>
    <w:rsid w:val="007D5338"/>
    <w:rsid w:val="007D6299"/>
    <w:rsid w:val="007D708B"/>
    <w:rsid w:val="007E052C"/>
    <w:rsid w:val="007E0F79"/>
    <w:rsid w:val="007E10A3"/>
    <w:rsid w:val="007E19A7"/>
    <w:rsid w:val="007E19DD"/>
    <w:rsid w:val="007E1E6A"/>
    <w:rsid w:val="007E2417"/>
    <w:rsid w:val="007E29AE"/>
    <w:rsid w:val="007E32EB"/>
    <w:rsid w:val="007E39A4"/>
    <w:rsid w:val="007E3F65"/>
    <w:rsid w:val="007E421A"/>
    <w:rsid w:val="007E45FA"/>
    <w:rsid w:val="007E498F"/>
    <w:rsid w:val="007E4DF8"/>
    <w:rsid w:val="007E4EE3"/>
    <w:rsid w:val="007E5253"/>
    <w:rsid w:val="007E567B"/>
    <w:rsid w:val="007E5797"/>
    <w:rsid w:val="007E66C4"/>
    <w:rsid w:val="007E6B44"/>
    <w:rsid w:val="007E7888"/>
    <w:rsid w:val="007F0A18"/>
    <w:rsid w:val="007F101F"/>
    <w:rsid w:val="007F1795"/>
    <w:rsid w:val="007F225D"/>
    <w:rsid w:val="007F25E2"/>
    <w:rsid w:val="007F3930"/>
    <w:rsid w:val="007F5CFF"/>
    <w:rsid w:val="007F60A3"/>
    <w:rsid w:val="007F6D99"/>
    <w:rsid w:val="007F7331"/>
    <w:rsid w:val="00801EC3"/>
    <w:rsid w:val="008022A6"/>
    <w:rsid w:val="0080274D"/>
    <w:rsid w:val="00802DE2"/>
    <w:rsid w:val="00803BAD"/>
    <w:rsid w:val="008042E5"/>
    <w:rsid w:val="00804965"/>
    <w:rsid w:val="008051D9"/>
    <w:rsid w:val="008052C0"/>
    <w:rsid w:val="00805A52"/>
    <w:rsid w:val="0080706C"/>
    <w:rsid w:val="00810227"/>
    <w:rsid w:val="00810471"/>
    <w:rsid w:val="008109FD"/>
    <w:rsid w:val="0081442F"/>
    <w:rsid w:val="00815C8A"/>
    <w:rsid w:val="0081614B"/>
    <w:rsid w:val="008175AB"/>
    <w:rsid w:val="00817F49"/>
    <w:rsid w:val="00817FE1"/>
    <w:rsid w:val="008202EA"/>
    <w:rsid w:val="00820488"/>
    <w:rsid w:val="00820629"/>
    <w:rsid w:val="008212B3"/>
    <w:rsid w:val="00821F1D"/>
    <w:rsid w:val="00822C64"/>
    <w:rsid w:val="008234F0"/>
    <w:rsid w:val="00824647"/>
    <w:rsid w:val="008250DD"/>
    <w:rsid w:val="008267C6"/>
    <w:rsid w:val="00826A56"/>
    <w:rsid w:val="00827D0E"/>
    <w:rsid w:val="00827FE3"/>
    <w:rsid w:val="0083062F"/>
    <w:rsid w:val="00832FCB"/>
    <w:rsid w:val="008331E1"/>
    <w:rsid w:val="008336E6"/>
    <w:rsid w:val="008345A7"/>
    <w:rsid w:val="00834D35"/>
    <w:rsid w:val="008360A2"/>
    <w:rsid w:val="0083644C"/>
    <w:rsid w:val="0084182D"/>
    <w:rsid w:val="008419A6"/>
    <w:rsid w:val="00841A20"/>
    <w:rsid w:val="0084245E"/>
    <w:rsid w:val="0084443B"/>
    <w:rsid w:val="00846AD6"/>
    <w:rsid w:val="0084783A"/>
    <w:rsid w:val="008505F4"/>
    <w:rsid w:val="00850D38"/>
    <w:rsid w:val="008518A6"/>
    <w:rsid w:val="00852861"/>
    <w:rsid w:val="00852A8E"/>
    <w:rsid w:val="00854C63"/>
    <w:rsid w:val="008565E6"/>
    <w:rsid w:val="00856DE7"/>
    <w:rsid w:val="00860333"/>
    <w:rsid w:val="00861CCF"/>
    <w:rsid w:val="008624E6"/>
    <w:rsid w:val="0086288F"/>
    <w:rsid w:val="00862950"/>
    <w:rsid w:val="008629EC"/>
    <w:rsid w:val="00862BB0"/>
    <w:rsid w:val="00862FD5"/>
    <w:rsid w:val="00863DC6"/>
    <w:rsid w:val="0086442E"/>
    <w:rsid w:val="00865F82"/>
    <w:rsid w:val="008668B6"/>
    <w:rsid w:val="0086695E"/>
    <w:rsid w:val="008672B0"/>
    <w:rsid w:val="00870059"/>
    <w:rsid w:val="00870088"/>
    <w:rsid w:val="008705C8"/>
    <w:rsid w:val="00871605"/>
    <w:rsid w:val="00871F7B"/>
    <w:rsid w:val="008736C4"/>
    <w:rsid w:val="0087512B"/>
    <w:rsid w:val="00875A8F"/>
    <w:rsid w:val="008775EF"/>
    <w:rsid w:val="00883336"/>
    <w:rsid w:val="008834EE"/>
    <w:rsid w:val="00883950"/>
    <w:rsid w:val="00884845"/>
    <w:rsid w:val="008866F7"/>
    <w:rsid w:val="00887B3B"/>
    <w:rsid w:val="00890999"/>
    <w:rsid w:val="00891137"/>
    <w:rsid w:val="00891500"/>
    <w:rsid w:val="0089155B"/>
    <w:rsid w:val="008918AD"/>
    <w:rsid w:val="008919B3"/>
    <w:rsid w:val="008927EE"/>
    <w:rsid w:val="00892BF1"/>
    <w:rsid w:val="0089424B"/>
    <w:rsid w:val="008976AA"/>
    <w:rsid w:val="008A056D"/>
    <w:rsid w:val="008A093B"/>
    <w:rsid w:val="008A1CFD"/>
    <w:rsid w:val="008A334B"/>
    <w:rsid w:val="008A3806"/>
    <w:rsid w:val="008A4E3E"/>
    <w:rsid w:val="008A519F"/>
    <w:rsid w:val="008A613F"/>
    <w:rsid w:val="008A6710"/>
    <w:rsid w:val="008A6D78"/>
    <w:rsid w:val="008B0854"/>
    <w:rsid w:val="008B1CEA"/>
    <w:rsid w:val="008B27C7"/>
    <w:rsid w:val="008B3501"/>
    <w:rsid w:val="008B40A4"/>
    <w:rsid w:val="008B4CC8"/>
    <w:rsid w:val="008B59BC"/>
    <w:rsid w:val="008B6F94"/>
    <w:rsid w:val="008C15D3"/>
    <w:rsid w:val="008C22B5"/>
    <w:rsid w:val="008C2B9F"/>
    <w:rsid w:val="008C2D9B"/>
    <w:rsid w:val="008C2EB5"/>
    <w:rsid w:val="008C3217"/>
    <w:rsid w:val="008C349E"/>
    <w:rsid w:val="008C3ACC"/>
    <w:rsid w:val="008C4670"/>
    <w:rsid w:val="008C4D7F"/>
    <w:rsid w:val="008C521F"/>
    <w:rsid w:val="008C6025"/>
    <w:rsid w:val="008C6C73"/>
    <w:rsid w:val="008C7171"/>
    <w:rsid w:val="008C762C"/>
    <w:rsid w:val="008C7995"/>
    <w:rsid w:val="008C7C3D"/>
    <w:rsid w:val="008D00B9"/>
    <w:rsid w:val="008D1B8C"/>
    <w:rsid w:val="008D1E3C"/>
    <w:rsid w:val="008D2E6D"/>
    <w:rsid w:val="008D2F82"/>
    <w:rsid w:val="008D495B"/>
    <w:rsid w:val="008D4C79"/>
    <w:rsid w:val="008D4EB4"/>
    <w:rsid w:val="008D59EF"/>
    <w:rsid w:val="008D6406"/>
    <w:rsid w:val="008D67F4"/>
    <w:rsid w:val="008D75FA"/>
    <w:rsid w:val="008E024E"/>
    <w:rsid w:val="008E1320"/>
    <w:rsid w:val="008E27B9"/>
    <w:rsid w:val="008E304F"/>
    <w:rsid w:val="008E3243"/>
    <w:rsid w:val="008E385A"/>
    <w:rsid w:val="008E3CC1"/>
    <w:rsid w:val="008E4480"/>
    <w:rsid w:val="008E4523"/>
    <w:rsid w:val="008E6824"/>
    <w:rsid w:val="008E7715"/>
    <w:rsid w:val="008E785C"/>
    <w:rsid w:val="008F0558"/>
    <w:rsid w:val="008F118E"/>
    <w:rsid w:val="008F1A28"/>
    <w:rsid w:val="008F1BF4"/>
    <w:rsid w:val="008F29C8"/>
    <w:rsid w:val="008F3236"/>
    <w:rsid w:val="008F4F31"/>
    <w:rsid w:val="008F53E1"/>
    <w:rsid w:val="008F5427"/>
    <w:rsid w:val="008F6591"/>
    <w:rsid w:val="008F6FA0"/>
    <w:rsid w:val="008F7A38"/>
    <w:rsid w:val="0090002A"/>
    <w:rsid w:val="00900CD0"/>
    <w:rsid w:val="00900CF2"/>
    <w:rsid w:val="00901094"/>
    <w:rsid w:val="009019A7"/>
    <w:rsid w:val="00903123"/>
    <w:rsid w:val="00903C02"/>
    <w:rsid w:val="009047DA"/>
    <w:rsid w:val="00904962"/>
    <w:rsid w:val="00904BB5"/>
    <w:rsid w:val="0090573B"/>
    <w:rsid w:val="0090736A"/>
    <w:rsid w:val="00907F8D"/>
    <w:rsid w:val="00910ACC"/>
    <w:rsid w:val="009114D4"/>
    <w:rsid w:val="009115DA"/>
    <w:rsid w:val="009116AB"/>
    <w:rsid w:val="00913142"/>
    <w:rsid w:val="00913369"/>
    <w:rsid w:val="00914040"/>
    <w:rsid w:val="009141B4"/>
    <w:rsid w:val="00915A4E"/>
    <w:rsid w:val="00915CE3"/>
    <w:rsid w:val="0091614C"/>
    <w:rsid w:val="00917D8D"/>
    <w:rsid w:val="009203F2"/>
    <w:rsid w:val="00920B43"/>
    <w:rsid w:val="00921A16"/>
    <w:rsid w:val="00921D28"/>
    <w:rsid w:val="00923BB9"/>
    <w:rsid w:val="0092462A"/>
    <w:rsid w:val="00926BF5"/>
    <w:rsid w:val="009276F2"/>
    <w:rsid w:val="00927A37"/>
    <w:rsid w:val="00927F20"/>
    <w:rsid w:val="00930CC3"/>
    <w:rsid w:val="0093145F"/>
    <w:rsid w:val="0093236D"/>
    <w:rsid w:val="00933B02"/>
    <w:rsid w:val="00934162"/>
    <w:rsid w:val="009342A8"/>
    <w:rsid w:val="00935D2D"/>
    <w:rsid w:val="00936C7C"/>
    <w:rsid w:val="00936F74"/>
    <w:rsid w:val="009373B9"/>
    <w:rsid w:val="00940019"/>
    <w:rsid w:val="0094157D"/>
    <w:rsid w:val="00942F8B"/>
    <w:rsid w:val="00943489"/>
    <w:rsid w:val="00944095"/>
    <w:rsid w:val="009442B8"/>
    <w:rsid w:val="00944E02"/>
    <w:rsid w:val="00945520"/>
    <w:rsid w:val="00945AD6"/>
    <w:rsid w:val="00947567"/>
    <w:rsid w:val="00947891"/>
    <w:rsid w:val="00951B04"/>
    <w:rsid w:val="0095370E"/>
    <w:rsid w:val="00953CF4"/>
    <w:rsid w:val="009547E2"/>
    <w:rsid w:val="0095514B"/>
    <w:rsid w:val="009553A8"/>
    <w:rsid w:val="0095566A"/>
    <w:rsid w:val="00956655"/>
    <w:rsid w:val="00956B7D"/>
    <w:rsid w:val="0095772F"/>
    <w:rsid w:val="009600DF"/>
    <w:rsid w:val="00961BA1"/>
    <w:rsid w:val="0096252A"/>
    <w:rsid w:val="00962EF8"/>
    <w:rsid w:val="00963589"/>
    <w:rsid w:val="00963CE5"/>
    <w:rsid w:val="009642A4"/>
    <w:rsid w:val="00965155"/>
    <w:rsid w:val="009659CD"/>
    <w:rsid w:val="00967427"/>
    <w:rsid w:val="00970143"/>
    <w:rsid w:val="00972CD8"/>
    <w:rsid w:val="009739C4"/>
    <w:rsid w:val="00974166"/>
    <w:rsid w:val="009751AF"/>
    <w:rsid w:val="00975852"/>
    <w:rsid w:val="00975999"/>
    <w:rsid w:val="00975D68"/>
    <w:rsid w:val="00976553"/>
    <w:rsid w:val="0097788A"/>
    <w:rsid w:val="00980410"/>
    <w:rsid w:val="00980D6D"/>
    <w:rsid w:val="0098174D"/>
    <w:rsid w:val="00983BA6"/>
    <w:rsid w:val="00984DE9"/>
    <w:rsid w:val="00984E51"/>
    <w:rsid w:val="00985909"/>
    <w:rsid w:val="00986BB9"/>
    <w:rsid w:val="00987801"/>
    <w:rsid w:val="00990CE4"/>
    <w:rsid w:val="0099128C"/>
    <w:rsid w:val="00992A64"/>
    <w:rsid w:val="00993106"/>
    <w:rsid w:val="0099321A"/>
    <w:rsid w:val="00993F10"/>
    <w:rsid w:val="009944BA"/>
    <w:rsid w:val="0099456F"/>
    <w:rsid w:val="0099555C"/>
    <w:rsid w:val="0099594D"/>
    <w:rsid w:val="00995DC5"/>
    <w:rsid w:val="009966EF"/>
    <w:rsid w:val="009A00AB"/>
    <w:rsid w:val="009A1E70"/>
    <w:rsid w:val="009A277E"/>
    <w:rsid w:val="009A2DB4"/>
    <w:rsid w:val="009A350C"/>
    <w:rsid w:val="009A5EE6"/>
    <w:rsid w:val="009B0A6D"/>
    <w:rsid w:val="009B19B1"/>
    <w:rsid w:val="009B28EE"/>
    <w:rsid w:val="009B2EEC"/>
    <w:rsid w:val="009B3409"/>
    <w:rsid w:val="009B40B6"/>
    <w:rsid w:val="009B70EB"/>
    <w:rsid w:val="009B7B0B"/>
    <w:rsid w:val="009C348A"/>
    <w:rsid w:val="009C5302"/>
    <w:rsid w:val="009C5A27"/>
    <w:rsid w:val="009C5E53"/>
    <w:rsid w:val="009C6547"/>
    <w:rsid w:val="009C6700"/>
    <w:rsid w:val="009C6A87"/>
    <w:rsid w:val="009D0216"/>
    <w:rsid w:val="009D0B8A"/>
    <w:rsid w:val="009D2FF9"/>
    <w:rsid w:val="009D4A6C"/>
    <w:rsid w:val="009D51E2"/>
    <w:rsid w:val="009D5343"/>
    <w:rsid w:val="009D54BA"/>
    <w:rsid w:val="009D5AC1"/>
    <w:rsid w:val="009D6198"/>
    <w:rsid w:val="009D63F2"/>
    <w:rsid w:val="009D72BA"/>
    <w:rsid w:val="009E0228"/>
    <w:rsid w:val="009E0A6A"/>
    <w:rsid w:val="009E0E00"/>
    <w:rsid w:val="009E399B"/>
    <w:rsid w:val="009E529C"/>
    <w:rsid w:val="009E715F"/>
    <w:rsid w:val="009F10E1"/>
    <w:rsid w:val="009F139D"/>
    <w:rsid w:val="009F1FA7"/>
    <w:rsid w:val="009F235E"/>
    <w:rsid w:val="009F3634"/>
    <w:rsid w:val="009F3D44"/>
    <w:rsid w:val="009F3EE2"/>
    <w:rsid w:val="009F4C10"/>
    <w:rsid w:val="009F6859"/>
    <w:rsid w:val="009F6CA0"/>
    <w:rsid w:val="009F6FCF"/>
    <w:rsid w:val="009F73D6"/>
    <w:rsid w:val="009F7A47"/>
    <w:rsid w:val="009F7F03"/>
    <w:rsid w:val="00A01273"/>
    <w:rsid w:val="00A01EE2"/>
    <w:rsid w:val="00A04170"/>
    <w:rsid w:val="00A04514"/>
    <w:rsid w:val="00A0670F"/>
    <w:rsid w:val="00A06AC7"/>
    <w:rsid w:val="00A106A0"/>
    <w:rsid w:val="00A10EFB"/>
    <w:rsid w:val="00A11355"/>
    <w:rsid w:val="00A117B2"/>
    <w:rsid w:val="00A11DE0"/>
    <w:rsid w:val="00A11FA9"/>
    <w:rsid w:val="00A127B9"/>
    <w:rsid w:val="00A1280B"/>
    <w:rsid w:val="00A12FA3"/>
    <w:rsid w:val="00A13979"/>
    <w:rsid w:val="00A146E2"/>
    <w:rsid w:val="00A157DA"/>
    <w:rsid w:val="00A159F0"/>
    <w:rsid w:val="00A15B6A"/>
    <w:rsid w:val="00A15EF7"/>
    <w:rsid w:val="00A16824"/>
    <w:rsid w:val="00A21EFE"/>
    <w:rsid w:val="00A23E05"/>
    <w:rsid w:val="00A24E82"/>
    <w:rsid w:val="00A25525"/>
    <w:rsid w:val="00A25CC5"/>
    <w:rsid w:val="00A3226D"/>
    <w:rsid w:val="00A333EE"/>
    <w:rsid w:val="00A34B79"/>
    <w:rsid w:val="00A3516E"/>
    <w:rsid w:val="00A3517D"/>
    <w:rsid w:val="00A3529F"/>
    <w:rsid w:val="00A36222"/>
    <w:rsid w:val="00A369BC"/>
    <w:rsid w:val="00A37D05"/>
    <w:rsid w:val="00A40A75"/>
    <w:rsid w:val="00A40C2C"/>
    <w:rsid w:val="00A41428"/>
    <w:rsid w:val="00A41555"/>
    <w:rsid w:val="00A42063"/>
    <w:rsid w:val="00A432AC"/>
    <w:rsid w:val="00A434DC"/>
    <w:rsid w:val="00A43AB7"/>
    <w:rsid w:val="00A44F2A"/>
    <w:rsid w:val="00A45D52"/>
    <w:rsid w:val="00A46CB2"/>
    <w:rsid w:val="00A474C7"/>
    <w:rsid w:val="00A476E8"/>
    <w:rsid w:val="00A47B91"/>
    <w:rsid w:val="00A50B89"/>
    <w:rsid w:val="00A518E3"/>
    <w:rsid w:val="00A51BF6"/>
    <w:rsid w:val="00A52456"/>
    <w:rsid w:val="00A5270B"/>
    <w:rsid w:val="00A52AD7"/>
    <w:rsid w:val="00A52BE6"/>
    <w:rsid w:val="00A53164"/>
    <w:rsid w:val="00A53BDB"/>
    <w:rsid w:val="00A5500B"/>
    <w:rsid w:val="00A55AE3"/>
    <w:rsid w:val="00A56651"/>
    <w:rsid w:val="00A56EA4"/>
    <w:rsid w:val="00A57104"/>
    <w:rsid w:val="00A601F1"/>
    <w:rsid w:val="00A60B8A"/>
    <w:rsid w:val="00A62CE4"/>
    <w:rsid w:val="00A667A1"/>
    <w:rsid w:val="00A67D50"/>
    <w:rsid w:val="00A7038E"/>
    <w:rsid w:val="00A70F01"/>
    <w:rsid w:val="00A70F3F"/>
    <w:rsid w:val="00A71A32"/>
    <w:rsid w:val="00A71BDC"/>
    <w:rsid w:val="00A73433"/>
    <w:rsid w:val="00A744D8"/>
    <w:rsid w:val="00A74BE6"/>
    <w:rsid w:val="00A7620F"/>
    <w:rsid w:val="00A76232"/>
    <w:rsid w:val="00A7636A"/>
    <w:rsid w:val="00A773D5"/>
    <w:rsid w:val="00A7786F"/>
    <w:rsid w:val="00A77B15"/>
    <w:rsid w:val="00A807A7"/>
    <w:rsid w:val="00A80AA5"/>
    <w:rsid w:val="00A81140"/>
    <w:rsid w:val="00A81B19"/>
    <w:rsid w:val="00A81F36"/>
    <w:rsid w:val="00A8224D"/>
    <w:rsid w:val="00A82930"/>
    <w:rsid w:val="00A83EDB"/>
    <w:rsid w:val="00A8456F"/>
    <w:rsid w:val="00A8600A"/>
    <w:rsid w:val="00A86082"/>
    <w:rsid w:val="00A9090A"/>
    <w:rsid w:val="00A93959"/>
    <w:rsid w:val="00A93E90"/>
    <w:rsid w:val="00A94E45"/>
    <w:rsid w:val="00A95B6A"/>
    <w:rsid w:val="00A95EEA"/>
    <w:rsid w:val="00A975A2"/>
    <w:rsid w:val="00A97B81"/>
    <w:rsid w:val="00A97E9C"/>
    <w:rsid w:val="00AA0FFF"/>
    <w:rsid w:val="00AA157F"/>
    <w:rsid w:val="00AA225C"/>
    <w:rsid w:val="00AA6632"/>
    <w:rsid w:val="00AB05B5"/>
    <w:rsid w:val="00AB066B"/>
    <w:rsid w:val="00AB09F0"/>
    <w:rsid w:val="00AB1562"/>
    <w:rsid w:val="00AB244D"/>
    <w:rsid w:val="00AB24D2"/>
    <w:rsid w:val="00AB3513"/>
    <w:rsid w:val="00AB3B76"/>
    <w:rsid w:val="00AB40EE"/>
    <w:rsid w:val="00AB46E0"/>
    <w:rsid w:val="00AB596F"/>
    <w:rsid w:val="00AB5C41"/>
    <w:rsid w:val="00AB65D2"/>
    <w:rsid w:val="00AB70AD"/>
    <w:rsid w:val="00AC18F1"/>
    <w:rsid w:val="00AC2172"/>
    <w:rsid w:val="00AC29A7"/>
    <w:rsid w:val="00AC5755"/>
    <w:rsid w:val="00AC758A"/>
    <w:rsid w:val="00AD33AC"/>
    <w:rsid w:val="00AD3A29"/>
    <w:rsid w:val="00AD5AD3"/>
    <w:rsid w:val="00AD65E2"/>
    <w:rsid w:val="00AD66B5"/>
    <w:rsid w:val="00AE06DC"/>
    <w:rsid w:val="00AE23EE"/>
    <w:rsid w:val="00AE298E"/>
    <w:rsid w:val="00AE36BF"/>
    <w:rsid w:val="00AE763A"/>
    <w:rsid w:val="00AF06FD"/>
    <w:rsid w:val="00AF1A67"/>
    <w:rsid w:val="00AF2DBF"/>
    <w:rsid w:val="00AF3DF5"/>
    <w:rsid w:val="00AF663B"/>
    <w:rsid w:val="00B00A11"/>
    <w:rsid w:val="00B00E3D"/>
    <w:rsid w:val="00B0103E"/>
    <w:rsid w:val="00B01A74"/>
    <w:rsid w:val="00B03CDA"/>
    <w:rsid w:val="00B03DAF"/>
    <w:rsid w:val="00B04118"/>
    <w:rsid w:val="00B04812"/>
    <w:rsid w:val="00B0601F"/>
    <w:rsid w:val="00B06953"/>
    <w:rsid w:val="00B06ADA"/>
    <w:rsid w:val="00B111F5"/>
    <w:rsid w:val="00B11733"/>
    <w:rsid w:val="00B118A7"/>
    <w:rsid w:val="00B1190B"/>
    <w:rsid w:val="00B123F7"/>
    <w:rsid w:val="00B12A6D"/>
    <w:rsid w:val="00B145FE"/>
    <w:rsid w:val="00B158A7"/>
    <w:rsid w:val="00B15A5A"/>
    <w:rsid w:val="00B17056"/>
    <w:rsid w:val="00B20FBD"/>
    <w:rsid w:val="00B237A9"/>
    <w:rsid w:val="00B239D9"/>
    <w:rsid w:val="00B250E7"/>
    <w:rsid w:val="00B25F07"/>
    <w:rsid w:val="00B26783"/>
    <w:rsid w:val="00B270FE"/>
    <w:rsid w:val="00B2754D"/>
    <w:rsid w:val="00B275A8"/>
    <w:rsid w:val="00B3057E"/>
    <w:rsid w:val="00B3072E"/>
    <w:rsid w:val="00B30E00"/>
    <w:rsid w:val="00B31A7E"/>
    <w:rsid w:val="00B31ABB"/>
    <w:rsid w:val="00B323F6"/>
    <w:rsid w:val="00B32620"/>
    <w:rsid w:val="00B32AC1"/>
    <w:rsid w:val="00B32EF2"/>
    <w:rsid w:val="00B33233"/>
    <w:rsid w:val="00B34F39"/>
    <w:rsid w:val="00B350A7"/>
    <w:rsid w:val="00B36488"/>
    <w:rsid w:val="00B36CB3"/>
    <w:rsid w:val="00B37157"/>
    <w:rsid w:val="00B40C04"/>
    <w:rsid w:val="00B40CB5"/>
    <w:rsid w:val="00B40D69"/>
    <w:rsid w:val="00B4133B"/>
    <w:rsid w:val="00B4241D"/>
    <w:rsid w:val="00B42965"/>
    <w:rsid w:val="00B435BE"/>
    <w:rsid w:val="00B44842"/>
    <w:rsid w:val="00B44E48"/>
    <w:rsid w:val="00B46265"/>
    <w:rsid w:val="00B46E37"/>
    <w:rsid w:val="00B4794D"/>
    <w:rsid w:val="00B50B97"/>
    <w:rsid w:val="00B5154D"/>
    <w:rsid w:val="00B51911"/>
    <w:rsid w:val="00B51E02"/>
    <w:rsid w:val="00B52EBE"/>
    <w:rsid w:val="00B56892"/>
    <w:rsid w:val="00B60A6D"/>
    <w:rsid w:val="00B627F9"/>
    <w:rsid w:val="00B64090"/>
    <w:rsid w:val="00B6465E"/>
    <w:rsid w:val="00B654A9"/>
    <w:rsid w:val="00B65D4D"/>
    <w:rsid w:val="00B66914"/>
    <w:rsid w:val="00B716DC"/>
    <w:rsid w:val="00B71A06"/>
    <w:rsid w:val="00B72206"/>
    <w:rsid w:val="00B72875"/>
    <w:rsid w:val="00B73336"/>
    <w:rsid w:val="00B73EF6"/>
    <w:rsid w:val="00B74343"/>
    <w:rsid w:val="00B753F8"/>
    <w:rsid w:val="00B75A3E"/>
    <w:rsid w:val="00B75D96"/>
    <w:rsid w:val="00B7685C"/>
    <w:rsid w:val="00B76A52"/>
    <w:rsid w:val="00B76A7F"/>
    <w:rsid w:val="00B76C8E"/>
    <w:rsid w:val="00B7716E"/>
    <w:rsid w:val="00B77637"/>
    <w:rsid w:val="00B81C5A"/>
    <w:rsid w:val="00B83D6C"/>
    <w:rsid w:val="00B8491C"/>
    <w:rsid w:val="00B86C9E"/>
    <w:rsid w:val="00B9107D"/>
    <w:rsid w:val="00B91A08"/>
    <w:rsid w:val="00B92726"/>
    <w:rsid w:val="00B92909"/>
    <w:rsid w:val="00B93876"/>
    <w:rsid w:val="00B93D4D"/>
    <w:rsid w:val="00B93E96"/>
    <w:rsid w:val="00B943B5"/>
    <w:rsid w:val="00B96A6C"/>
    <w:rsid w:val="00B96DA9"/>
    <w:rsid w:val="00BA0A0E"/>
    <w:rsid w:val="00BA0AD6"/>
    <w:rsid w:val="00BA2C5B"/>
    <w:rsid w:val="00BA4A26"/>
    <w:rsid w:val="00BA58E6"/>
    <w:rsid w:val="00BA6D48"/>
    <w:rsid w:val="00BB0784"/>
    <w:rsid w:val="00BB0C5D"/>
    <w:rsid w:val="00BB1521"/>
    <w:rsid w:val="00BB1D0A"/>
    <w:rsid w:val="00BB31A4"/>
    <w:rsid w:val="00BB31AD"/>
    <w:rsid w:val="00BB3813"/>
    <w:rsid w:val="00BB5055"/>
    <w:rsid w:val="00BB5A2A"/>
    <w:rsid w:val="00BB5E2C"/>
    <w:rsid w:val="00BB5FC8"/>
    <w:rsid w:val="00BB6382"/>
    <w:rsid w:val="00BB6572"/>
    <w:rsid w:val="00BB67C3"/>
    <w:rsid w:val="00BB6C12"/>
    <w:rsid w:val="00BB7ADC"/>
    <w:rsid w:val="00BC0528"/>
    <w:rsid w:val="00BC0FE4"/>
    <w:rsid w:val="00BC2289"/>
    <w:rsid w:val="00BC2672"/>
    <w:rsid w:val="00BC2736"/>
    <w:rsid w:val="00BC390F"/>
    <w:rsid w:val="00BC3C7F"/>
    <w:rsid w:val="00BC479D"/>
    <w:rsid w:val="00BC6012"/>
    <w:rsid w:val="00BC63FC"/>
    <w:rsid w:val="00BC6D12"/>
    <w:rsid w:val="00BD00D7"/>
    <w:rsid w:val="00BD18F4"/>
    <w:rsid w:val="00BD41B1"/>
    <w:rsid w:val="00BD6DCC"/>
    <w:rsid w:val="00BD75FE"/>
    <w:rsid w:val="00BE0714"/>
    <w:rsid w:val="00BE1E81"/>
    <w:rsid w:val="00BE280C"/>
    <w:rsid w:val="00BE4900"/>
    <w:rsid w:val="00BF0037"/>
    <w:rsid w:val="00BF0293"/>
    <w:rsid w:val="00BF02C6"/>
    <w:rsid w:val="00BF1F07"/>
    <w:rsid w:val="00BF201C"/>
    <w:rsid w:val="00BF4D27"/>
    <w:rsid w:val="00BF5840"/>
    <w:rsid w:val="00BF58F0"/>
    <w:rsid w:val="00BF5C7E"/>
    <w:rsid w:val="00BF604A"/>
    <w:rsid w:val="00BF6F97"/>
    <w:rsid w:val="00C011BE"/>
    <w:rsid w:val="00C01B4E"/>
    <w:rsid w:val="00C01C32"/>
    <w:rsid w:val="00C0242B"/>
    <w:rsid w:val="00C02ADD"/>
    <w:rsid w:val="00C02C30"/>
    <w:rsid w:val="00C02E9D"/>
    <w:rsid w:val="00C0333D"/>
    <w:rsid w:val="00C04DA1"/>
    <w:rsid w:val="00C057B2"/>
    <w:rsid w:val="00C06094"/>
    <w:rsid w:val="00C0664A"/>
    <w:rsid w:val="00C07BBF"/>
    <w:rsid w:val="00C102DC"/>
    <w:rsid w:val="00C109CD"/>
    <w:rsid w:val="00C1287A"/>
    <w:rsid w:val="00C145C2"/>
    <w:rsid w:val="00C163FB"/>
    <w:rsid w:val="00C16FE6"/>
    <w:rsid w:val="00C2015B"/>
    <w:rsid w:val="00C20D53"/>
    <w:rsid w:val="00C21973"/>
    <w:rsid w:val="00C2366A"/>
    <w:rsid w:val="00C2366F"/>
    <w:rsid w:val="00C236A1"/>
    <w:rsid w:val="00C25067"/>
    <w:rsid w:val="00C2636F"/>
    <w:rsid w:val="00C26D6F"/>
    <w:rsid w:val="00C300BE"/>
    <w:rsid w:val="00C307D4"/>
    <w:rsid w:val="00C3098E"/>
    <w:rsid w:val="00C32CDA"/>
    <w:rsid w:val="00C34CDE"/>
    <w:rsid w:val="00C34EA1"/>
    <w:rsid w:val="00C35360"/>
    <w:rsid w:val="00C37D49"/>
    <w:rsid w:val="00C40060"/>
    <w:rsid w:val="00C404E5"/>
    <w:rsid w:val="00C40A34"/>
    <w:rsid w:val="00C40E32"/>
    <w:rsid w:val="00C4148F"/>
    <w:rsid w:val="00C416FE"/>
    <w:rsid w:val="00C426EB"/>
    <w:rsid w:val="00C4341D"/>
    <w:rsid w:val="00C43B67"/>
    <w:rsid w:val="00C45BB3"/>
    <w:rsid w:val="00C4605B"/>
    <w:rsid w:val="00C47754"/>
    <w:rsid w:val="00C479C3"/>
    <w:rsid w:val="00C47B14"/>
    <w:rsid w:val="00C50F2C"/>
    <w:rsid w:val="00C514ED"/>
    <w:rsid w:val="00C51D0F"/>
    <w:rsid w:val="00C537DF"/>
    <w:rsid w:val="00C56336"/>
    <w:rsid w:val="00C56875"/>
    <w:rsid w:val="00C57096"/>
    <w:rsid w:val="00C60BF8"/>
    <w:rsid w:val="00C61674"/>
    <w:rsid w:val="00C61A9B"/>
    <w:rsid w:val="00C634F2"/>
    <w:rsid w:val="00C63964"/>
    <w:rsid w:val="00C63F3B"/>
    <w:rsid w:val="00C64522"/>
    <w:rsid w:val="00C6481C"/>
    <w:rsid w:val="00C6527F"/>
    <w:rsid w:val="00C65369"/>
    <w:rsid w:val="00C65A61"/>
    <w:rsid w:val="00C66C12"/>
    <w:rsid w:val="00C675B1"/>
    <w:rsid w:val="00C73F8C"/>
    <w:rsid w:val="00C74AEC"/>
    <w:rsid w:val="00C7501A"/>
    <w:rsid w:val="00C7502B"/>
    <w:rsid w:val="00C7595D"/>
    <w:rsid w:val="00C7649D"/>
    <w:rsid w:val="00C80234"/>
    <w:rsid w:val="00C8068C"/>
    <w:rsid w:val="00C80E48"/>
    <w:rsid w:val="00C8183F"/>
    <w:rsid w:val="00C81BAF"/>
    <w:rsid w:val="00C83015"/>
    <w:rsid w:val="00C83734"/>
    <w:rsid w:val="00C83798"/>
    <w:rsid w:val="00C84CF0"/>
    <w:rsid w:val="00C85870"/>
    <w:rsid w:val="00C86E58"/>
    <w:rsid w:val="00C87CAE"/>
    <w:rsid w:val="00C907D7"/>
    <w:rsid w:val="00C9107F"/>
    <w:rsid w:val="00C91B31"/>
    <w:rsid w:val="00C934E3"/>
    <w:rsid w:val="00C9399C"/>
    <w:rsid w:val="00C93C0F"/>
    <w:rsid w:val="00C93F98"/>
    <w:rsid w:val="00C9470B"/>
    <w:rsid w:val="00C94946"/>
    <w:rsid w:val="00C96794"/>
    <w:rsid w:val="00CA0651"/>
    <w:rsid w:val="00CA13A2"/>
    <w:rsid w:val="00CA24C9"/>
    <w:rsid w:val="00CA2F07"/>
    <w:rsid w:val="00CA368E"/>
    <w:rsid w:val="00CA3C53"/>
    <w:rsid w:val="00CA3C69"/>
    <w:rsid w:val="00CA76C4"/>
    <w:rsid w:val="00CA7E93"/>
    <w:rsid w:val="00CB0011"/>
    <w:rsid w:val="00CB0746"/>
    <w:rsid w:val="00CB0DB7"/>
    <w:rsid w:val="00CB132B"/>
    <w:rsid w:val="00CB35D5"/>
    <w:rsid w:val="00CB398F"/>
    <w:rsid w:val="00CB3B5D"/>
    <w:rsid w:val="00CB3C3E"/>
    <w:rsid w:val="00CB47D6"/>
    <w:rsid w:val="00CB51A0"/>
    <w:rsid w:val="00CB5C29"/>
    <w:rsid w:val="00CB67AE"/>
    <w:rsid w:val="00CB6B8C"/>
    <w:rsid w:val="00CC030C"/>
    <w:rsid w:val="00CC0959"/>
    <w:rsid w:val="00CC1052"/>
    <w:rsid w:val="00CC182B"/>
    <w:rsid w:val="00CC1C06"/>
    <w:rsid w:val="00CC21E0"/>
    <w:rsid w:val="00CC260D"/>
    <w:rsid w:val="00CC58A6"/>
    <w:rsid w:val="00CC5AE0"/>
    <w:rsid w:val="00CC5E24"/>
    <w:rsid w:val="00CC66FD"/>
    <w:rsid w:val="00CC7525"/>
    <w:rsid w:val="00CD0459"/>
    <w:rsid w:val="00CD3FD8"/>
    <w:rsid w:val="00CD5E53"/>
    <w:rsid w:val="00CD7AF1"/>
    <w:rsid w:val="00CD7F44"/>
    <w:rsid w:val="00CD7FA5"/>
    <w:rsid w:val="00CE15C6"/>
    <w:rsid w:val="00CE25F1"/>
    <w:rsid w:val="00CE2C7F"/>
    <w:rsid w:val="00CE4233"/>
    <w:rsid w:val="00CE4962"/>
    <w:rsid w:val="00CE60AD"/>
    <w:rsid w:val="00CF07F4"/>
    <w:rsid w:val="00CF0FF2"/>
    <w:rsid w:val="00CF1780"/>
    <w:rsid w:val="00CF35BD"/>
    <w:rsid w:val="00CF3BFE"/>
    <w:rsid w:val="00CF48D7"/>
    <w:rsid w:val="00CF4A4C"/>
    <w:rsid w:val="00CF4C74"/>
    <w:rsid w:val="00CF537F"/>
    <w:rsid w:val="00CF5392"/>
    <w:rsid w:val="00CF58A8"/>
    <w:rsid w:val="00CF5DC4"/>
    <w:rsid w:val="00CF7687"/>
    <w:rsid w:val="00CF7C71"/>
    <w:rsid w:val="00D04F19"/>
    <w:rsid w:val="00D06333"/>
    <w:rsid w:val="00D06B57"/>
    <w:rsid w:val="00D072E1"/>
    <w:rsid w:val="00D07A0D"/>
    <w:rsid w:val="00D10D71"/>
    <w:rsid w:val="00D11FB8"/>
    <w:rsid w:val="00D120F9"/>
    <w:rsid w:val="00D12DB5"/>
    <w:rsid w:val="00D12E6F"/>
    <w:rsid w:val="00D13B97"/>
    <w:rsid w:val="00D15D11"/>
    <w:rsid w:val="00D16582"/>
    <w:rsid w:val="00D17815"/>
    <w:rsid w:val="00D17B69"/>
    <w:rsid w:val="00D203F0"/>
    <w:rsid w:val="00D20743"/>
    <w:rsid w:val="00D20A38"/>
    <w:rsid w:val="00D218FB"/>
    <w:rsid w:val="00D2285F"/>
    <w:rsid w:val="00D25A62"/>
    <w:rsid w:val="00D25EB7"/>
    <w:rsid w:val="00D26A43"/>
    <w:rsid w:val="00D2755A"/>
    <w:rsid w:val="00D27D7C"/>
    <w:rsid w:val="00D306ED"/>
    <w:rsid w:val="00D309D5"/>
    <w:rsid w:val="00D32444"/>
    <w:rsid w:val="00D33271"/>
    <w:rsid w:val="00D34063"/>
    <w:rsid w:val="00D34DB1"/>
    <w:rsid w:val="00D3523A"/>
    <w:rsid w:val="00D402AA"/>
    <w:rsid w:val="00D41082"/>
    <w:rsid w:val="00D41233"/>
    <w:rsid w:val="00D423BA"/>
    <w:rsid w:val="00D42D32"/>
    <w:rsid w:val="00D4742A"/>
    <w:rsid w:val="00D5094E"/>
    <w:rsid w:val="00D516E3"/>
    <w:rsid w:val="00D52538"/>
    <w:rsid w:val="00D52986"/>
    <w:rsid w:val="00D53296"/>
    <w:rsid w:val="00D53856"/>
    <w:rsid w:val="00D55615"/>
    <w:rsid w:val="00D55B9D"/>
    <w:rsid w:val="00D566D9"/>
    <w:rsid w:val="00D60EB9"/>
    <w:rsid w:val="00D61182"/>
    <w:rsid w:val="00D61889"/>
    <w:rsid w:val="00D63BCA"/>
    <w:rsid w:val="00D63FE4"/>
    <w:rsid w:val="00D64E2B"/>
    <w:rsid w:val="00D6782B"/>
    <w:rsid w:val="00D67905"/>
    <w:rsid w:val="00D67CFB"/>
    <w:rsid w:val="00D707A1"/>
    <w:rsid w:val="00D70D91"/>
    <w:rsid w:val="00D71936"/>
    <w:rsid w:val="00D72147"/>
    <w:rsid w:val="00D72EBE"/>
    <w:rsid w:val="00D730F7"/>
    <w:rsid w:val="00D73723"/>
    <w:rsid w:val="00D75135"/>
    <w:rsid w:val="00D76647"/>
    <w:rsid w:val="00D7724C"/>
    <w:rsid w:val="00D77962"/>
    <w:rsid w:val="00D81139"/>
    <w:rsid w:val="00D844E5"/>
    <w:rsid w:val="00D84D7D"/>
    <w:rsid w:val="00D86281"/>
    <w:rsid w:val="00D865EB"/>
    <w:rsid w:val="00D87344"/>
    <w:rsid w:val="00D874D5"/>
    <w:rsid w:val="00D911A1"/>
    <w:rsid w:val="00D914AB"/>
    <w:rsid w:val="00D917B6"/>
    <w:rsid w:val="00D92387"/>
    <w:rsid w:val="00D92897"/>
    <w:rsid w:val="00D928B3"/>
    <w:rsid w:val="00D93960"/>
    <w:rsid w:val="00D94A43"/>
    <w:rsid w:val="00D959D9"/>
    <w:rsid w:val="00D96326"/>
    <w:rsid w:val="00D965D7"/>
    <w:rsid w:val="00DA0ECE"/>
    <w:rsid w:val="00DA195A"/>
    <w:rsid w:val="00DA26A3"/>
    <w:rsid w:val="00DA3E4A"/>
    <w:rsid w:val="00DA4173"/>
    <w:rsid w:val="00DA574A"/>
    <w:rsid w:val="00DA75C0"/>
    <w:rsid w:val="00DA77D6"/>
    <w:rsid w:val="00DB0576"/>
    <w:rsid w:val="00DB22BF"/>
    <w:rsid w:val="00DB2566"/>
    <w:rsid w:val="00DB387F"/>
    <w:rsid w:val="00DB40C6"/>
    <w:rsid w:val="00DB4A14"/>
    <w:rsid w:val="00DB6B0F"/>
    <w:rsid w:val="00DB7711"/>
    <w:rsid w:val="00DB776F"/>
    <w:rsid w:val="00DB7E20"/>
    <w:rsid w:val="00DC0ABD"/>
    <w:rsid w:val="00DC12AD"/>
    <w:rsid w:val="00DC150F"/>
    <w:rsid w:val="00DC24AC"/>
    <w:rsid w:val="00DC455C"/>
    <w:rsid w:val="00DD1103"/>
    <w:rsid w:val="00DD1C97"/>
    <w:rsid w:val="00DD2615"/>
    <w:rsid w:val="00DD2709"/>
    <w:rsid w:val="00DD27C2"/>
    <w:rsid w:val="00DD3445"/>
    <w:rsid w:val="00DD367E"/>
    <w:rsid w:val="00DD4544"/>
    <w:rsid w:val="00DD5565"/>
    <w:rsid w:val="00DD5AB5"/>
    <w:rsid w:val="00DD67E9"/>
    <w:rsid w:val="00DD6E46"/>
    <w:rsid w:val="00DD7763"/>
    <w:rsid w:val="00DD7BA4"/>
    <w:rsid w:val="00DE0AB9"/>
    <w:rsid w:val="00DE0B5C"/>
    <w:rsid w:val="00DE176F"/>
    <w:rsid w:val="00DE19D9"/>
    <w:rsid w:val="00DE5210"/>
    <w:rsid w:val="00DE6324"/>
    <w:rsid w:val="00DE675F"/>
    <w:rsid w:val="00DE70BA"/>
    <w:rsid w:val="00DE7370"/>
    <w:rsid w:val="00DE7BB1"/>
    <w:rsid w:val="00DE7EBA"/>
    <w:rsid w:val="00DF0678"/>
    <w:rsid w:val="00DF2094"/>
    <w:rsid w:val="00DF3C30"/>
    <w:rsid w:val="00DF4283"/>
    <w:rsid w:val="00DF6B77"/>
    <w:rsid w:val="00DF7397"/>
    <w:rsid w:val="00DF7B5D"/>
    <w:rsid w:val="00DF7FAF"/>
    <w:rsid w:val="00E002A4"/>
    <w:rsid w:val="00E00646"/>
    <w:rsid w:val="00E01505"/>
    <w:rsid w:val="00E020FE"/>
    <w:rsid w:val="00E029E4"/>
    <w:rsid w:val="00E02A5F"/>
    <w:rsid w:val="00E04418"/>
    <w:rsid w:val="00E0481C"/>
    <w:rsid w:val="00E04A36"/>
    <w:rsid w:val="00E053F5"/>
    <w:rsid w:val="00E05BE8"/>
    <w:rsid w:val="00E063D2"/>
    <w:rsid w:val="00E06C1C"/>
    <w:rsid w:val="00E0778D"/>
    <w:rsid w:val="00E121E4"/>
    <w:rsid w:val="00E13098"/>
    <w:rsid w:val="00E132F2"/>
    <w:rsid w:val="00E15831"/>
    <w:rsid w:val="00E16541"/>
    <w:rsid w:val="00E21A43"/>
    <w:rsid w:val="00E21DC9"/>
    <w:rsid w:val="00E21E3C"/>
    <w:rsid w:val="00E234DC"/>
    <w:rsid w:val="00E23AC6"/>
    <w:rsid w:val="00E253FE"/>
    <w:rsid w:val="00E25F33"/>
    <w:rsid w:val="00E26281"/>
    <w:rsid w:val="00E26564"/>
    <w:rsid w:val="00E26884"/>
    <w:rsid w:val="00E27E82"/>
    <w:rsid w:val="00E30E85"/>
    <w:rsid w:val="00E3430E"/>
    <w:rsid w:val="00E34A92"/>
    <w:rsid w:val="00E35107"/>
    <w:rsid w:val="00E359DF"/>
    <w:rsid w:val="00E3608E"/>
    <w:rsid w:val="00E3686F"/>
    <w:rsid w:val="00E379D5"/>
    <w:rsid w:val="00E42959"/>
    <w:rsid w:val="00E43DAD"/>
    <w:rsid w:val="00E4412E"/>
    <w:rsid w:val="00E45264"/>
    <w:rsid w:val="00E453CA"/>
    <w:rsid w:val="00E45639"/>
    <w:rsid w:val="00E45E6B"/>
    <w:rsid w:val="00E47632"/>
    <w:rsid w:val="00E50BFF"/>
    <w:rsid w:val="00E50DD3"/>
    <w:rsid w:val="00E50F86"/>
    <w:rsid w:val="00E51A55"/>
    <w:rsid w:val="00E52A24"/>
    <w:rsid w:val="00E557FE"/>
    <w:rsid w:val="00E55BC3"/>
    <w:rsid w:val="00E563D3"/>
    <w:rsid w:val="00E56A7A"/>
    <w:rsid w:val="00E56C67"/>
    <w:rsid w:val="00E573C3"/>
    <w:rsid w:val="00E57EFD"/>
    <w:rsid w:val="00E619FB"/>
    <w:rsid w:val="00E63EE4"/>
    <w:rsid w:val="00E64559"/>
    <w:rsid w:val="00E6470B"/>
    <w:rsid w:val="00E64F74"/>
    <w:rsid w:val="00E6643D"/>
    <w:rsid w:val="00E67B2E"/>
    <w:rsid w:val="00E71CBF"/>
    <w:rsid w:val="00E7314B"/>
    <w:rsid w:val="00E73768"/>
    <w:rsid w:val="00E739FB"/>
    <w:rsid w:val="00E73FDF"/>
    <w:rsid w:val="00E748B4"/>
    <w:rsid w:val="00E75638"/>
    <w:rsid w:val="00E76F21"/>
    <w:rsid w:val="00E8045D"/>
    <w:rsid w:val="00E81404"/>
    <w:rsid w:val="00E81C26"/>
    <w:rsid w:val="00E81D96"/>
    <w:rsid w:val="00E82C20"/>
    <w:rsid w:val="00E83691"/>
    <w:rsid w:val="00E844B8"/>
    <w:rsid w:val="00E8688A"/>
    <w:rsid w:val="00E87D54"/>
    <w:rsid w:val="00E90AFE"/>
    <w:rsid w:val="00E90F6B"/>
    <w:rsid w:val="00E940BE"/>
    <w:rsid w:val="00E96D40"/>
    <w:rsid w:val="00E9769B"/>
    <w:rsid w:val="00EA2196"/>
    <w:rsid w:val="00EA30B0"/>
    <w:rsid w:val="00EA3263"/>
    <w:rsid w:val="00EA3AAC"/>
    <w:rsid w:val="00EA58B6"/>
    <w:rsid w:val="00EA76F2"/>
    <w:rsid w:val="00EA7949"/>
    <w:rsid w:val="00EA7E56"/>
    <w:rsid w:val="00EB0FA4"/>
    <w:rsid w:val="00EB329E"/>
    <w:rsid w:val="00EB3354"/>
    <w:rsid w:val="00EB3DF2"/>
    <w:rsid w:val="00EB4111"/>
    <w:rsid w:val="00EB463B"/>
    <w:rsid w:val="00EB5007"/>
    <w:rsid w:val="00EB6BCC"/>
    <w:rsid w:val="00EB7BC1"/>
    <w:rsid w:val="00EC1FCD"/>
    <w:rsid w:val="00EC2AB9"/>
    <w:rsid w:val="00EC4249"/>
    <w:rsid w:val="00EC48C4"/>
    <w:rsid w:val="00EC52DE"/>
    <w:rsid w:val="00ED009A"/>
    <w:rsid w:val="00ED019A"/>
    <w:rsid w:val="00ED10A0"/>
    <w:rsid w:val="00ED2162"/>
    <w:rsid w:val="00ED464B"/>
    <w:rsid w:val="00ED53C1"/>
    <w:rsid w:val="00ED5BE7"/>
    <w:rsid w:val="00ED6295"/>
    <w:rsid w:val="00ED7F14"/>
    <w:rsid w:val="00EE1E22"/>
    <w:rsid w:val="00EE3BB5"/>
    <w:rsid w:val="00EE3E92"/>
    <w:rsid w:val="00EE459A"/>
    <w:rsid w:val="00EE6DE8"/>
    <w:rsid w:val="00EF2273"/>
    <w:rsid w:val="00EF2380"/>
    <w:rsid w:val="00EF451F"/>
    <w:rsid w:val="00EF54B6"/>
    <w:rsid w:val="00EF5C82"/>
    <w:rsid w:val="00EF66F6"/>
    <w:rsid w:val="00EF715C"/>
    <w:rsid w:val="00EF79B6"/>
    <w:rsid w:val="00F01662"/>
    <w:rsid w:val="00F017B9"/>
    <w:rsid w:val="00F020A5"/>
    <w:rsid w:val="00F027B6"/>
    <w:rsid w:val="00F03909"/>
    <w:rsid w:val="00F04DD6"/>
    <w:rsid w:val="00F05BA3"/>
    <w:rsid w:val="00F06164"/>
    <w:rsid w:val="00F06BD8"/>
    <w:rsid w:val="00F06C38"/>
    <w:rsid w:val="00F07F06"/>
    <w:rsid w:val="00F1116F"/>
    <w:rsid w:val="00F11FDC"/>
    <w:rsid w:val="00F12244"/>
    <w:rsid w:val="00F1251C"/>
    <w:rsid w:val="00F12826"/>
    <w:rsid w:val="00F1378D"/>
    <w:rsid w:val="00F15BDC"/>
    <w:rsid w:val="00F206A3"/>
    <w:rsid w:val="00F22110"/>
    <w:rsid w:val="00F2288C"/>
    <w:rsid w:val="00F2311F"/>
    <w:rsid w:val="00F24A8E"/>
    <w:rsid w:val="00F31CC6"/>
    <w:rsid w:val="00F3204B"/>
    <w:rsid w:val="00F3219C"/>
    <w:rsid w:val="00F329D6"/>
    <w:rsid w:val="00F335D1"/>
    <w:rsid w:val="00F33AB9"/>
    <w:rsid w:val="00F34213"/>
    <w:rsid w:val="00F34FC1"/>
    <w:rsid w:val="00F366A7"/>
    <w:rsid w:val="00F36980"/>
    <w:rsid w:val="00F36F6A"/>
    <w:rsid w:val="00F378AB"/>
    <w:rsid w:val="00F37F88"/>
    <w:rsid w:val="00F40184"/>
    <w:rsid w:val="00F41F48"/>
    <w:rsid w:val="00F42288"/>
    <w:rsid w:val="00F42957"/>
    <w:rsid w:val="00F4302C"/>
    <w:rsid w:val="00F4321F"/>
    <w:rsid w:val="00F43CD2"/>
    <w:rsid w:val="00F447D7"/>
    <w:rsid w:val="00F504F6"/>
    <w:rsid w:val="00F507BA"/>
    <w:rsid w:val="00F50D5F"/>
    <w:rsid w:val="00F519A0"/>
    <w:rsid w:val="00F52BD7"/>
    <w:rsid w:val="00F55AFD"/>
    <w:rsid w:val="00F55E46"/>
    <w:rsid w:val="00F56738"/>
    <w:rsid w:val="00F57731"/>
    <w:rsid w:val="00F60D59"/>
    <w:rsid w:val="00F621EF"/>
    <w:rsid w:val="00F624E7"/>
    <w:rsid w:val="00F62561"/>
    <w:rsid w:val="00F62BC0"/>
    <w:rsid w:val="00F63712"/>
    <w:rsid w:val="00F637F8"/>
    <w:rsid w:val="00F64F68"/>
    <w:rsid w:val="00F6768F"/>
    <w:rsid w:val="00F6773A"/>
    <w:rsid w:val="00F70086"/>
    <w:rsid w:val="00F70F1B"/>
    <w:rsid w:val="00F71233"/>
    <w:rsid w:val="00F71F29"/>
    <w:rsid w:val="00F7301A"/>
    <w:rsid w:val="00F73643"/>
    <w:rsid w:val="00F749B5"/>
    <w:rsid w:val="00F758A6"/>
    <w:rsid w:val="00F75FCB"/>
    <w:rsid w:val="00F77D52"/>
    <w:rsid w:val="00F80392"/>
    <w:rsid w:val="00F80EEA"/>
    <w:rsid w:val="00F817A6"/>
    <w:rsid w:val="00F81ABB"/>
    <w:rsid w:val="00F83167"/>
    <w:rsid w:val="00F834B1"/>
    <w:rsid w:val="00F84813"/>
    <w:rsid w:val="00F8581D"/>
    <w:rsid w:val="00F85E15"/>
    <w:rsid w:val="00F85F38"/>
    <w:rsid w:val="00F872D8"/>
    <w:rsid w:val="00F873A1"/>
    <w:rsid w:val="00F87F3F"/>
    <w:rsid w:val="00F9085A"/>
    <w:rsid w:val="00F93CBB"/>
    <w:rsid w:val="00F93F8F"/>
    <w:rsid w:val="00F95E46"/>
    <w:rsid w:val="00F9621F"/>
    <w:rsid w:val="00F9649F"/>
    <w:rsid w:val="00F96A09"/>
    <w:rsid w:val="00F96BE3"/>
    <w:rsid w:val="00F97256"/>
    <w:rsid w:val="00F97E73"/>
    <w:rsid w:val="00FA103C"/>
    <w:rsid w:val="00FA2068"/>
    <w:rsid w:val="00FA278E"/>
    <w:rsid w:val="00FA3941"/>
    <w:rsid w:val="00FA4236"/>
    <w:rsid w:val="00FA6A8B"/>
    <w:rsid w:val="00FB00CF"/>
    <w:rsid w:val="00FB24B8"/>
    <w:rsid w:val="00FB317B"/>
    <w:rsid w:val="00FB3382"/>
    <w:rsid w:val="00FB33B1"/>
    <w:rsid w:val="00FB351F"/>
    <w:rsid w:val="00FB36B4"/>
    <w:rsid w:val="00FB48D1"/>
    <w:rsid w:val="00FB5EE3"/>
    <w:rsid w:val="00FB63AC"/>
    <w:rsid w:val="00FB698F"/>
    <w:rsid w:val="00FC00B1"/>
    <w:rsid w:val="00FC04A7"/>
    <w:rsid w:val="00FC0B24"/>
    <w:rsid w:val="00FC1720"/>
    <w:rsid w:val="00FC1B33"/>
    <w:rsid w:val="00FC32E8"/>
    <w:rsid w:val="00FC660E"/>
    <w:rsid w:val="00FC68F6"/>
    <w:rsid w:val="00FD1E7C"/>
    <w:rsid w:val="00FD2B0E"/>
    <w:rsid w:val="00FD3971"/>
    <w:rsid w:val="00FD4FEE"/>
    <w:rsid w:val="00FD522A"/>
    <w:rsid w:val="00FD569A"/>
    <w:rsid w:val="00FD7B9C"/>
    <w:rsid w:val="00FD7BC3"/>
    <w:rsid w:val="00FE0271"/>
    <w:rsid w:val="00FE035C"/>
    <w:rsid w:val="00FE080C"/>
    <w:rsid w:val="00FE17F3"/>
    <w:rsid w:val="00FE22A7"/>
    <w:rsid w:val="00FE382F"/>
    <w:rsid w:val="00FE3EA0"/>
    <w:rsid w:val="00FE4B86"/>
    <w:rsid w:val="00FE6119"/>
    <w:rsid w:val="00FE7ABB"/>
    <w:rsid w:val="00FE7B7D"/>
    <w:rsid w:val="00FF15F7"/>
    <w:rsid w:val="00FF19BB"/>
    <w:rsid w:val="00FF216F"/>
    <w:rsid w:val="00FF47C6"/>
    <w:rsid w:val="00FF76F0"/>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B8EF26"/>
  <w15:docId w15:val="{CFC1758F-263F-491B-B7D6-3A2EFD0E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2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620F"/>
  </w:style>
  <w:style w:type="paragraph" w:styleId="Footer">
    <w:name w:val="footer"/>
    <w:basedOn w:val="Normal"/>
    <w:link w:val="FooterChar"/>
    <w:uiPriority w:val="99"/>
    <w:unhideWhenUsed/>
    <w:rsid w:val="00A762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620F"/>
  </w:style>
  <w:style w:type="paragraph" w:customStyle="1" w:styleId="first">
    <w:name w:val="first"/>
    <w:basedOn w:val="Normal"/>
    <w:rsid w:val="00FB48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B48D1"/>
  </w:style>
  <w:style w:type="character" w:styleId="CommentReference">
    <w:name w:val="annotation reference"/>
    <w:basedOn w:val="DefaultParagraphFont"/>
    <w:uiPriority w:val="99"/>
    <w:semiHidden/>
    <w:unhideWhenUsed/>
    <w:rsid w:val="00891500"/>
    <w:rPr>
      <w:sz w:val="18"/>
      <w:szCs w:val="18"/>
    </w:rPr>
  </w:style>
  <w:style w:type="paragraph" w:styleId="CommentText">
    <w:name w:val="annotation text"/>
    <w:basedOn w:val="Normal"/>
    <w:link w:val="CommentTextChar"/>
    <w:uiPriority w:val="99"/>
    <w:semiHidden/>
    <w:unhideWhenUsed/>
    <w:rsid w:val="00891500"/>
    <w:pPr>
      <w:spacing w:line="240" w:lineRule="auto"/>
    </w:pPr>
    <w:rPr>
      <w:sz w:val="24"/>
      <w:szCs w:val="24"/>
    </w:rPr>
  </w:style>
  <w:style w:type="character" w:customStyle="1" w:styleId="CommentTextChar">
    <w:name w:val="Comment Text Char"/>
    <w:basedOn w:val="DefaultParagraphFont"/>
    <w:link w:val="CommentText"/>
    <w:uiPriority w:val="99"/>
    <w:semiHidden/>
    <w:rsid w:val="00891500"/>
    <w:rPr>
      <w:sz w:val="24"/>
      <w:szCs w:val="24"/>
    </w:rPr>
  </w:style>
  <w:style w:type="paragraph" w:styleId="CommentSubject">
    <w:name w:val="annotation subject"/>
    <w:basedOn w:val="CommentText"/>
    <w:next w:val="CommentText"/>
    <w:link w:val="CommentSubjectChar"/>
    <w:uiPriority w:val="99"/>
    <w:semiHidden/>
    <w:unhideWhenUsed/>
    <w:rsid w:val="00891500"/>
    <w:rPr>
      <w:b/>
      <w:bCs/>
      <w:sz w:val="20"/>
      <w:szCs w:val="20"/>
    </w:rPr>
  </w:style>
  <w:style w:type="character" w:customStyle="1" w:styleId="CommentSubjectChar">
    <w:name w:val="Comment Subject Char"/>
    <w:basedOn w:val="CommentTextChar"/>
    <w:link w:val="CommentSubject"/>
    <w:uiPriority w:val="99"/>
    <w:semiHidden/>
    <w:rsid w:val="00891500"/>
    <w:rPr>
      <w:b/>
      <w:bCs/>
      <w:sz w:val="20"/>
      <w:szCs w:val="20"/>
    </w:rPr>
  </w:style>
  <w:style w:type="paragraph" w:styleId="BalloonText">
    <w:name w:val="Balloon Text"/>
    <w:basedOn w:val="Normal"/>
    <w:link w:val="BalloonTextChar"/>
    <w:uiPriority w:val="99"/>
    <w:semiHidden/>
    <w:unhideWhenUsed/>
    <w:rsid w:val="0089150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1500"/>
    <w:rPr>
      <w:rFonts w:ascii="Lucida Grande" w:hAnsi="Lucida Grande" w:cs="Lucida Grande"/>
      <w:sz w:val="18"/>
      <w:szCs w:val="18"/>
    </w:rPr>
  </w:style>
  <w:style w:type="character" w:styleId="Hyperlink">
    <w:name w:val="Hyperlink"/>
    <w:basedOn w:val="DefaultParagraphFont"/>
    <w:uiPriority w:val="99"/>
    <w:unhideWhenUsed/>
    <w:rsid w:val="0054593A"/>
    <w:rPr>
      <w:color w:val="0000FF" w:themeColor="hyperlink"/>
      <w:u w:val="single"/>
    </w:rPr>
  </w:style>
  <w:style w:type="table" w:styleId="TableGrid">
    <w:name w:val="Table Grid"/>
    <w:basedOn w:val="TableNormal"/>
    <w:uiPriority w:val="59"/>
    <w:rsid w:val="000722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072205"/>
    <w:pPr>
      <w:ind w:left="720"/>
      <w:contextualSpacing/>
    </w:pPr>
  </w:style>
  <w:style w:type="paragraph" w:styleId="Revision">
    <w:name w:val="Revision"/>
    <w:hidden/>
    <w:uiPriority w:val="99"/>
    <w:semiHidden/>
    <w:rsid w:val="003E7DA0"/>
    <w:pPr>
      <w:spacing w:after="0" w:line="240" w:lineRule="auto"/>
    </w:pPr>
  </w:style>
  <w:style w:type="character" w:styleId="PlaceholderText">
    <w:name w:val="Placeholder Text"/>
    <w:basedOn w:val="DefaultParagraphFont"/>
    <w:uiPriority w:val="99"/>
    <w:semiHidden/>
    <w:rsid w:val="00F97E73"/>
    <w:rPr>
      <w:color w:val="808080"/>
    </w:rPr>
  </w:style>
  <w:style w:type="table" w:styleId="MediumList2">
    <w:name w:val="Medium List 2"/>
    <w:basedOn w:val="TableNormal"/>
    <w:uiPriority w:val="66"/>
    <w:rsid w:val="008A334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shd w:val="clear" w:color="auto" w:fill="FFFFFF" w:themeFill="background1"/>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NormalWeb">
    <w:name w:val="Normal (Web)"/>
    <w:basedOn w:val="Normal"/>
    <w:uiPriority w:val="99"/>
    <w:semiHidden/>
    <w:unhideWhenUsed/>
    <w:rsid w:val="0004245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iliation">
    <w:name w:val="Affiliation"/>
    <w:basedOn w:val="Normal"/>
    <w:qFormat/>
    <w:rsid w:val="00420EB4"/>
    <w:pPr>
      <w:spacing w:before="240" w:after="0" w:line="360" w:lineRule="auto"/>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420EB4"/>
    <w:pPr>
      <w:spacing w:before="240" w:after="0" w:line="360" w:lineRule="auto"/>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032EAB"/>
    <w:rPr>
      <w:color w:val="800080" w:themeColor="followedHyperlink"/>
      <w:u w:val="single"/>
    </w:rPr>
  </w:style>
  <w:style w:type="table" w:styleId="PlainTable3">
    <w:name w:val="Plain Table 3"/>
    <w:basedOn w:val="TableNormal"/>
    <w:uiPriority w:val="43"/>
    <w:rsid w:val="005C331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034415">
      <w:bodyDiv w:val="1"/>
      <w:marLeft w:val="0"/>
      <w:marRight w:val="0"/>
      <w:marTop w:val="0"/>
      <w:marBottom w:val="0"/>
      <w:divBdr>
        <w:top w:val="none" w:sz="0" w:space="0" w:color="auto"/>
        <w:left w:val="none" w:sz="0" w:space="0" w:color="auto"/>
        <w:bottom w:val="none" w:sz="0" w:space="0" w:color="auto"/>
        <w:right w:val="none" w:sz="0" w:space="0" w:color="auto"/>
      </w:divBdr>
      <w:divsChild>
        <w:div w:id="184707950">
          <w:marLeft w:val="0"/>
          <w:marRight w:val="0"/>
          <w:marTop w:val="0"/>
          <w:marBottom w:val="0"/>
          <w:divBdr>
            <w:top w:val="none" w:sz="0" w:space="0" w:color="auto"/>
            <w:left w:val="none" w:sz="0" w:space="0" w:color="auto"/>
            <w:bottom w:val="none" w:sz="0" w:space="0" w:color="auto"/>
            <w:right w:val="none" w:sz="0" w:space="0" w:color="auto"/>
          </w:divBdr>
          <w:divsChild>
            <w:div w:id="459767664">
              <w:marLeft w:val="0"/>
              <w:marRight w:val="0"/>
              <w:marTop w:val="0"/>
              <w:marBottom w:val="0"/>
              <w:divBdr>
                <w:top w:val="none" w:sz="0" w:space="0" w:color="auto"/>
                <w:left w:val="none" w:sz="0" w:space="0" w:color="auto"/>
                <w:bottom w:val="none" w:sz="0" w:space="0" w:color="auto"/>
                <w:right w:val="none" w:sz="0" w:space="0" w:color="auto"/>
              </w:divBdr>
              <w:divsChild>
                <w:div w:id="1205288708">
                  <w:marLeft w:val="0"/>
                  <w:marRight w:val="0"/>
                  <w:marTop w:val="0"/>
                  <w:marBottom w:val="0"/>
                  <w:divBdr>
                    <w:top w:val="none" w:sz="0" w:space="0" w:color="auto"/>
                    <w:left w:val="none" w:sz="0" w:space="0" w:color="auto"/>
                    <w:bottom w:val="none" w:sz="0" w:space="0" w:color="auto"/>
                    <w:right w:val="none" w:sz="0" w:space="0" w:color="auto"/>
                  </w:divBdr>
                  <w:divsChild>
                    <w:div w:id="1227833637">
                      <w:marLeft w:val="0"/>
                      <w:marRight w:val="0"/>
                      <w:marTop w:val="0"/>
                      <w:marBottom w:val="0"/>
                      <w:divBdr>
                        <w:top w:val="none" w:sz="0" w:space="0" w:color="auto"/>
                        <w:left w:val="none" w:sz="0" w:space="0" w:color="auto"/>
                        <w:bottom w:val="none" w:sz="0" w:space="0" w:color="auto"/>
                        <w:right w:val="none" w:sz="0" w:space="0" w:color="auto"/>
                      </w:divBdr>
                      <w:divsChild>
                        <w:div w:id="807167792">
                          <w:marLeft w:val="0"/>
                          <w:marRight w:val="0"/>
                          <w:marTop w:val="0"/>
                          <w:marBottom w:val="0"/>
                          <w:divBdr>
                            <w:top w:val="none" w:sz="0" w:space="0" w:color="auto"/>
                            <w:left w:val="none" w:sz="0" w:space="0" w:color="auto"/>
                            <w:bottom w:val="none" w:sz="0" w:space="0" w:color="auto"/>
                            <w:right w:val="none" w:sz="0" w:space="0" w:color="auto"/>
                          </w:divBdr>
                          <w:divsChild>
                            <w:div w:id="204343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10755">
      <w:bodyDiv w:val="1"/>
      <w:marLeft w:val="0"/>
      <w:marRight w:val="0"/>
      <w:marTop w:val="0"/>
      <w:marBottom w:val="0"/>
      <w:divBdr>
        <w:top w:val="none" w:sz="0" w:space="0" w:color="auto"/>
        <w:left w:val="none" w:sz="0" w:space="0" w:color="auto"/>
        <w:bottom w:val="none" w:sz="0" w:space="0" w:color="auto"/>
        <w:right w:val="none" w:sz="0" w:space="0" w:color="auto"/>
      </w:divBdr>
      <w:divsChild>
        <w:div w:id="1238782868">
          <w:marLeft w:val="0"/>
          <w:marRight w:val="0"/>
          <w:marTop w:val="0"/>
          <w:marBottom w:val="0"/>
          <w:divBdr>
            <w:top w:val="none" w:sz="0" w:space="0" w:color="auto"/>
            <w:left w:val="none" w:sz="0" w:space="0" w:color="auto"/>
            <w:bottom w:val="none" w:sz="0" w:space="0" w:color="auto"/>
            <w:right w:val="none" w:sz="0" w:space="0" w:color="auto"/>
          </w:divBdr>
          <w:divsChild>
            <w:div w:id="1729263333">
              <w:marLeft w:val="0"/>
              <w:marRight w:val="0"/>
              <w:marTop w:val="0"/>
              <w:marBottom w:val="0"/>
              <w:divBdr>
                <w:top w:val="none" w:sz="0" w:space="0" w:color="auto"/>
                <w:left w:val="none" w:sz="0" w:space="0" w:color="auto"/>
                <w:bottom w:val="none" w:sz="0" w:space="0" w:color="auto"/>
                <w:right w:val="none" w:sz="0" w:space="0" w:color="auto"/>
              </w:divBdr>
              <w:divsChild>
                <w:div w:id="1447310923">
                  <w:marLeft w:val="0"/>
                  <w:marRight w:val="0"/>
                  <w:marTop w:val="0"/>
                  <w:marBottom w:val="0"/>
                  <w:divBdr>
                    <w:top w:val="none" w:sz="0" w:space="0" w:color="auto"/>
                    <w:left w:val="none" w:sz="0" w:space="0" w:color="auto"/>
                    <w:bottom w:val="none" w:sz="0" w:space="0" w:color="auto"/>
                    <w:right w:val="none" w:sz="0" w:space="0" w:color="auto"/>
                  </w:divBdr>
                  <w:divsChild>
                    <w:div w:id="886918025">
                      <w:marLeft w:val="0"/>
                      <w:marRight w:val="0"/>
                      <w:marTop w:val="0"/>
                      <w:marBottom w:val="0"/>
                      <w:divBdr>
                        <w:top w:val="none" w:sz="0" w:space="0" w:color="auto"/>
                        <w:left w:val="none" w:sz="0" w:space="0" w:color="auto"/>
                        <w:bottom w:val="none" w:sz="0" w:space="0" w:color="auto"/>
                        <w:right w:val="none" w:sz="0" w:space="0" w:color="auto"/>
                      </w:divBdr>
                      <w:divsChild>
                        <w:div w:id="93208188">
                          <w:marLeft w:val="0"/>
                          <w:marRight w:val="0"/>
                          <w:marTop w:val="0"/>
                          <w:marBottom w:val="0"/>
                          <w:divBdr>
                            <w:top w:val="none" w:sz="0" w:space="0" w:color="auto"/>
                            <w:left w:val="none" w:sz="0" w:space="0" w:color="auto"/>
                            <w:bottom w:val="none" w:sz="0" w:space="0" w:color="auto"/>
                            <w:right w:val="none" w:sz="0" w:space="0" w:color="auto"/>
                          </w:divBdr>
                          <w:divsChild>
                            <w:div w:id="440882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92171">
      <w:bodyDiv w:val="1"/>
      <w:marLeft w:val="0"/>
      <w:marRight w:val="0"/>
      <w:marTop w:val="0"/>
      <w:marBottom w:val="0"/>
      <w:divBdr>
        <w:top w:val="none" w:sz="0" w:space="0" w:color="auto"/>
        <w:left w:val="none" w:sz="0" w:space="0" w:color="auto"/>
        <w:bottom w:val="none" w:sz="0" w:space="0" w:color="auto"/>
        <w:right w:val="none" w:sz="0" w:space="0" w:color="auto"/>
      </w:divBdr>
      <w:divsChild>
        <w:div w:id="545485078">
          <w:marLeft w:val="0"/>
          <w:marRight w:val="0"/>
          <w:marTop w:val="0"/>
          <w:marBottom w:val="0"/>
          <w:divBdr>
            <w:top w:val="none" w:sz="0" w:space="0" w:color="auto"/>
            <w:left w:val="none" w:sz="0" w:space="0" w:color="auto"/>
            <w:bottom w:val="none" w:sz="0" w:space="0" w:color="auto"/>
            <w:right w:val="none" w:sz="0" w:space="0" w:color="auto"/>
          </w:divBdr>
          <w:divsChild>
            <w:div w:id="1839883358">
              <w:marLeft w:val="0"/>
              <w:marRight w:val="0"/>
              <w:marTop w:val="0"/>
              <w:marBottom w:val="0"/>
              <w:divBdr>
                <w:top w:val="none" w:sz="0" w:space="0" w:color="auto"/>
                <w:left w:val="none" w:sz="0" w:space="0" w:color="auto"/>
                <w:bottom w:val="none" w:sz="0" w:space="0" w:color="auto"/>
                <w:right w:val="none" w:sz="0" w:space="0" w:color="auto"/>
              </w:divBdr>
              <w:divsChild>
                <w:div w:id="2133865185">
                  <w:marLeft w:val="0"/>
                  <w:marRight w:val="0"/>
                  <w:marTop w:val="0"/>
                  <w:marBottom w:val="0"/>
                  <w:divBdr>
                    <w:top w:val="none" w:sz="0" w:space="0" w:color="auto"/>
                    <w:left w:val="none" w:sz="0" w:space="0" w:color="auto"/>
                    <w:bottom w:val="none" w:sz="0" w:space="0" w:color="auto"/>
                    <w:right w:val="none" w:sz="0" w:space="0" w:color="auto"/>
                  </w:divBdr>
                  <w:divsChild>
                    <w:div w:id="359165773">
                      <w:marLeft w:val="0"/>
                      <w:marRight w:val="0"/>
                      <w:marTop w:val="0"/>
                      <w:marBottom w:val="0"/>
                      <w:divBdr>
                        <w:top w:val="none" w:sz="0" w:space="0" w:color="auto"/>
                        <w:left w:val="none" w:sz="0" w:space="0" w:color="auto"/>
                        <w:bottom w:val="none" w:sz="0" w:space="0" w:color="auto"/>
                        <w:right w:val="none" w:sz="0" w:space="0" w:color="auto"/>
                      </w:divBdr>
                      <w:divsChild>
                        <w:div w:id="367419429">
                          <w:marLeft w:val="0"/>
                          <w:marRight w:val="0"/>
                          <w:marTop w:val="0"/>
                          <w:marBottom w:val="0"/>
                          <w:divBdr>
                            <w:top w:val="none" w:sz="0" w:space="0" w:color="auto"/>
                            <w:left w:val="none" w:sz="0" w:space="0" w:color="auto"/>
                            <w:bottom w:val="none" w:sz="0" w:space="0" w:color="auto"/>
                            <w:right w:val="none" w:sz="0" w:space="0" w:color="auto"/>
                          </w:divBdr>
                          <w:divsChild>
                            <w:div w:id="141231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122297">
      <w:bodyDiv w:val="1"/>
      <w:marLeft w:val="0"/>
      <w:marRight w:val="0"/>
      <w:marTop w:val="0"/>
      <w:marBottom w:val="0"/>
      <w:divBdr>
        <w:top w:val="none" w:sz="0" w:space="0" w:color="auto"/>
        <w:left w:val="none" w:sz="0" w:space="0" w:color="auto"/>
        <w:bottom w:val="none" w:sz="0" w:space="0" w:color="auto"/>
        <w:right w:val="none" w:sz="0" w:space="0" w:color="auto"/>
      </w:divBdr>
    </w:div>
    <w:div w:id="288634664">
      <w:bodyDiv w:val="1"/>
      <w:marLeft w:val="0"/>
      <w:marRight w:val="0"/>
      <w:marTop w:val="0"/>
      <w:marBottom w:val="0"/>
      <w:divBdr>
        <w:top w:val="none" w:sz="0" w:space="0" w:color="auto"/>
        <w:left w:val="none" w:sz="0" w:space="0" w:color="auto"/>
        <w:bottom w:val="none" w:sz="0" w:space="0" w:color="auto"/>
        <w:right w:val="none" w:sz="0" w:space="0" w:color="auto"/>
      </w:divBdr>
      <w:divsChild>
        <w:div w:id="1525285692">
          <w:marLeft w:val="0"/>
          <w:marRight w:val="0"/>
          <w:marTop w:val="0"/>
          <w:marBottom w:val="0"/>
          <w:divBdr>
            <w:top w:val="none" w:sz="0" w:space="0" w:color="auto"/>
            <w:left w:val="none" w:sz="0" w:space="0" w:color="auto"/>
            <w:bottom w:val="none" w:sz="0" w:space="0" w:color="auto"/>
            <w:right w:val="none" w:sz="0" w:space="0" w:color="auto"/>
          </w:divBdr>
          <w:divsChild>
            <w:div w:id="505294503">
              <w:marLeft w:val="0"/>
              <w:marRight w:val="0"/>
              <w:marTop w:val="0"/>
              <w:marBottom w:val="0"/>
              <w:divBdr>
                <w:top w:val="none" w:sz="0" w:space="0" w:color="auto"/>
                <w:left w:val="none" w:sz="0" w:space="0" w:color="auto"/>
                <w:bottom w:val="none" w:sz="0" w:space="0" w:color="auto"/>
                <w:right w:val="none" w:sz="0" w:space="0" w:color="auto"/>
              </w:divBdr>
              <w:divsChild>
                <w:div w:id="1517040311">
                  <w:marLeft w:val="0"/>
                  <w:marRight w:val="0"/>
                  <w:marTop w:val="0"/>
                  <w:marBottom w:val="0"/>
                  <w:divBdr>
                    <w:top w:val="none" w:sz="0" w:space="0" w:color="auto"/>
                    <w:left w:val="none" w:sz="0" w:space="0" w:color="auto"/>
                    <w:bottom w:val="none" w:sz="0" w:space="0" w:color="auto"/>
                    <w:right w:val="none" w:sz="0" w:space="0" w:color="auto"/>
                  </w:divBdr>
                  <w:divsChild>
                    <w:div w:id="315378185">
                      <w:marLeft w:val="0"/>
                      <w:marRight w:val="0"/>
                      <w:marTop w:val="0"/>
                      <w:marBottom w:val="0"/>
                      <w:divBdr>
                        <w:top w:val="none" w:sz="0" w:space="0" w:color="auto"/>
                        <w:left w:val="none" w:sz="0" w:space="0" w:color="auto"/>
                        <w:bottom w:val="none" w:sz="0" w:space="0" w:color="auto"/>
                        <w:right w:val="none" w:sz="0" w:space="0" w:color="auto"/>
                      </w:divBdr>
                      <w:divsChild>
                        <w:div w:id="621807030">
                          <w:marLeft w:val="0"/>
                          <w:marRight w:val="0"/>
                          <w:marTop w:val="0"/>
                          <w:marBottom w:val="0"/>
                          <w:divBdr>
                            <w:top w:val="none" w:sz="0" w:space="0" w:color="auto"/>
                            <w:left w:val="none" w:sz="0" w:space="0" w:color="auto"/>
                            <w:bottom w:val="none" w:sz="0" w:space="0" w:color="auto"/>
                            <w:right w:val="none" w:sz="0" w:space="0" w:color="auto"/>
                          </w:divBdr>
                          <w:divsChild>
                            <w:div w:id="15908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935186">
      <w:bodyDiv w:val="1"/>
      <w:marLeft w:val="0"/>
      <w:marRight w:val="0"/>
      <w:marTop w:val="0"/>
      <w:marBottom w:val="0"/>
      <w:divBdr>
        <w:top w:val="none" w:sz="0" w:space="0" w:color="auto"/>
        <w:left w:val="none" w:sz="0" w:space="0" w:color="auto"/>
        <w:bottom w:val="none" w:sz="0" w:space="0" w:color="auto"/>
        <w:right w:val="none" w:sz="0" w:space="0" w:color="auto"/>
      </w:divBdr>
      <w:divsChild>
        <w:div w:id="314722867">
          <w:marLeft w:val="0"/>
          <w:marRight w:val="0"/>
          <w:marTop w:val="0"/>
          <w:marBottom w:val="0"/>
          <w:divBdr>
            <w:top w:val="none" w:sz="0" w:space="0" w:color="auto"/>
            <w:left w:val="none" w:sz="0" w:space="0" w:color="auto"/>
            <w:bottom w:val="none" w:sz="0" w:space="0" w:color="auto"/>
            <w:right w:val="none" w:sz="0" w:space="0" w:color="auto"/>
          </w:divBdr>
          <w:divsChild>
            <w:div w:id="1301496880">
              <w:marLeft w:val="0"/>
              <w:marRight w:val="0"/>
              <w:marTop w:val="0"/>
              <w:marBottom w:val="0"/>
              <w:divBdr>
                <w:top w:val="none" w:sz="0" w:space="0" w:color="auto"/>
                <w:left w:val="none" w:sz="0" w:space="0" w:color="auto"/>
                <w:bottom w:val="none" w:sz="0" w:space="0" w:color="auto"/>
                <w:right w:val="none" w:sz="0" w:space="0" w:color="auto"/>
              </w:divBdr>
              <w:divsChild>
                <w:div w:id="930239179">
                  <w:marLeft w:val="0"/>
                  <w:marRight w:val="0"/>
                  <w:marTop w:val="0"/>
                  <w:marBottom w:val="0"/>
                  <w:divBdr>
                    <w:top w:val="none" w:sz="0" w:space="0" w:color="auto"/>
                    <w:left w:val="none" w:sz="0" w:space="0" w:color="auto"/>
                    <w:bottom w:val="none" w:sz="0" w:space="0" w:color="auto"/>
                    <w:right w:val="none" w:sz="0" w:space="0" w:color="auto"/>
                  </w:divBdr>
                  <w:divsChild>
                    <w:div w:id="1473139319">
                      <w:marLeft w:val="0"/>
                      <w:marRight w:val="0"/>
                      <w:marTop w:val="0"/>
                      <w:marBottom w:val="0"/>
                      <w:divBdr>
                        <w:top w:val="none" w:sz="0" w:space="0" w:color="auto"/>
                        <w:left w:val="none" w:sz="0" w:space="0" w:color="auto"/>
                        <w:bottom w:val="none" w:sz="0" w:space="0" w:color="auto"/>
                        <w:right w:val="none" w:sz="0" w:space="0" w:color="auto"/>
                      </w:divBdr>
                      <w:divsChild>
                        <w:div w:id="71854380">
                          <w:marLeft w:val="0"/>
                          <w:marRight w:val="0"/>
                          <w:marTop w:val="0"/>
                          <w:marBottom w:val="0"/>
                          <w:divBdr>
                            <w:top w:val="none" w:sz="0" w:space="0" w:color="auto"/>
                            <w:left w:val="none" w:sz="0" w:space="0" w:color="auto"/>
                            <w:bottom w:val="none" w:sz="0" w:space="0" w:color="auto"/>
                            <w:right w:val="none" w:sz="0" w:space="0" w:color="auto"/>
                          </w:divBdr>
                          <w:divsChild>
                            <w:div w:id="52266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7984051">
      <w:bodyDiv w:val="1"/>
      <w:marLeft w:val="0"/>
      <w:marRight w:val="0"/>
      <w:marTop w:val="0"/>
      <w:marBottom w:val="0"/>
      <w:divBdr>
        <w:top w:val="none" w:sz="0" w:space="0" w:color="auto"/>
        <w:left w:val="none" w:sz="0" w:space="0" w:color="auto"/>
        <w:bottom w:val="none" w:sz="0" w:space="0" w:color="auto"/>
        <w:right w:val="none" w:sz="0" w:space="0" w:color="auto"/>
      </w:divBdr>
      <w:divsChild>
        <w:div w:id="1361130817">
          <w:marLeft w:val="0"/>
          <w:marRight w:val="0"/>
          <w:marTop w:val="0"/>
          <w:marBottom w:val="0"/>
          <w:divBdr>
            <w:top w:val="none" w:sz="0" w:space="0" w:color="auto"/>
            <w:left w:val="none" w:sz="0" w:space="0" w:color="auto"/>
            <w:bottom w:val="none" w:sz="0" w:space="0" w:color="auto"/>
            <w:right w:val="none" w:sz="0" w:space="0" w:color="auto"/>
          </w:divBdr>
          <w:divsChild>
            <w:div w:id="1890995411">
              <w:marLeft w:val="0"/>
              <w:marRight w:val="0"/>
              <w:marTop w:val="0"/>
              <w:marBottom w:val="0"/>
              <w:divBdr>
                <w:top w:val="none" w:sz="0" w:space="0" w:color="auto"/>
                <w:left w:val="none" w:sz="0" w:space="0" w:color="auto"/>
                <w:bottom w:val="none" w:sz="0" w:space="0" w:color="auto"/>
                <w:right w:val="none" w:sz="0" w:space="0" w:color="auto"/>
              </w:divBdr>
              <w:divsChild>
                <w:div w:id="2104640156">
                  <w:marLeft w:val="0"/>
                  <w:marRight w:val="0"/>
                  <w:marTop w:val="0"/>
                  <w:marBottom w:val="0"/>
                  <w:divBdr>
                    <w:top w:val="none" w:sz="0" w:space="0" w:color="auto"/>
                    <w:left w:val="none" w:sz="0" w:space="0" w:color="auto"/>
                    <w:bottom w:val="none" w:sz="0" w:space="0" w:color="auto"/>
                    <w:right w:val="none" w:sz="0" w:space="0" w:color="auto"/>
                  </w:divBdr>
                  <w:divsChild>
                    <w:div w:id="146170466">
                      <w:marLeft w:val="0"/>
                      <w:marRight w:val="0"/>
                      <w:marTop w:val="0"/>
                      <w:marBottom w:val="0"/>
                      <w:divBdr>
                        <w:top w:val="none" w:sz="0" w:space="0" w:color="auto"/>
                        <w:left w:val="none" w:sz="0" w:space="0" w:color="auto"/>
                        <w:bottom w:val="none" w:sz="0" w:space="0" w:color="auto"/>
                        <w:right w:val="none" w:sz="0" w:space="0" w:color="auto"/>
                      </w:divBdr>
                      <w:divsChild>
                        <w:div w:id="1979262118">
                          <w:marLeft w:val="0"/>
                          <w:marRight w:val="0"/>
                          <w:marTop w:val="0"/>
                          <w:marBottom w:val="0"/>
                          <w:divBdr>
                            <w:top w:val="none" w:sz="0" w:space="0" w:color="auto"/>
                            <w:left w:val="none" w:sz="0" w:space="0" w:color="auto"/>
                            <w:bottom w:val="none" w:sz="0" w:space="0" w:color="auto"/>
                            <w:right w:val="none" w:sz="0" w:space="0" w:color="auto"/>
                          </w:divBdr>
                          <w:divsChild>
                            <w:div w:id="117738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19194">
      <w:bodyDiv w:val="1"/>
      <w:marLeft w:val="0"/>
      <w:marRight w:val="0"/>
      <w:marTop w:val="0"/>
      <w:marBottom w:val="0"/>
      <w:divBdr>
        <w:top w:val="none" w:sz="0" w:space="0" w:color="auto"/>
        <w:left w:val="none" w:sz="0" w:space="0" w:color="auto"/>
        <w:bottom w:val="none" w:sz="0" w:space="0" w:color="auto"/>
        <w:right w:val="none" w:sz="0" w:space="0" w:color="auto"/>
      </w:divBdr>
    </w:div>
    <w:div w:id="710812821">
      <w:bodyDiv w:val="1"/>
      <w:marLeft w:val="0"/>
      <w:marRight w:val="0"/>
      <w:marTop w:val="0"/>
      <w:marBottom w:val="0"/>
      <w:divBdr>
        <w:top w:val="none" w:sz="0" w:space="0" w:color="auto"/>
        <w:left w:val="none" w:sz="0" w:space="0" w:color="auto"/>
        <w:bottom w:val="none" w:sz="0" w:space="0" w:color="auto"/>
        <w:right w:val="none" w:sz="0" w:space="0" w:color="auto"/>
      </w:divBdr>
    </w:div>
    <w:div w:id="745809275">
      <w:bodyDiv w:val="1"/>
      <w:marLeft w:val="0"/>
      <w:marRight w:val="0"/>
      <w:marTop w:val="0"/>
      <w:marBottom w:val="0"/>
      <w:divBdr>
        <w:top w:val="none" w:sz="0" w:space="0" w:color="auto"/>
        <w:left w:val="none" w:sz="0" w:space="0" w:color="auto"/>
        <w:bottom w:val="none" w:sz="0" w:space="0" w:color="auto"/>
        <w:right w:val="none" w:sz="0" w:space="0" w:color="auto"/>
      </w:divBdr>
      <w:divsChild>
        <w:div w:id="1312638044">
          <w:marLeft w:val="0"/>
          <w:marRight w:val="0"/>
          <w:marTop w:val="0"/>
          <w:marBottom w:val="0"/>
          <w:divBdr>
            <w:top w:val="none" w:sz="0" w:space="0" w:color="auto"/>
            <w:left w:val="none" w:sz="0" w:space="0" w:color="auto"/>
            <w:bottom w:val="none" w:sz="0" w:space="0" w:color="auto"/>
            <w:right w:val="none" w:sz="0" w:space="0" w:color="auto"/>
          </w:divBdr>
        </w:div>
      </w:divsChild>
    </w:div>
    <w:div w:id="770129074">
      <w:bodyDiv w:val="1"/>
      <w:marLeft w:val="0"/>
      <w:marRight w:val="0"/>
      <w:marTop w:val="0"/>
      <w:marBottom w:val="0"/>
      <w:divBdr>
        <w:top w:val="none" w:sz="0" w:space="0" w:color="auto"/>
        <w:left w:val="none" w:sz="0" w:space="0" w:color="auto"/>
        <w:bottom w:val="none" w:sz="0" w:space="0" w:color="auto"/>
        <w:right w:val="none" w:sz="0" w:space="0" w:color="auto"/>
      </w:divBdr>
      <w:divsChild>
        <w:div w:id="1951933393">
          <w:marLeft w:val="0"/>
          <w:marRight w:val="0"/>
          <w:marTop w:val="0"/>
          <w:marBottom w:val="0"/>
          <w:divBdr>
            <w:top w:val="none" w:sz="0" w:space="0" w:color="auto"/>
            <w:left w:val="none" w:sz="0" w:space="0" w:color="auto"/>
            <w:bottom w:val="none" w:sz="0" w:space="0" w:color="auto"/>
            <w:right w:val="none" w:sz="0" w:space="0" w:color="auto"/>
          </w:divBdr>
          <w:divsChild>
            <w:div w:id="1621649218">
              <w:marLeft w:val="0"/>
              <w:marRight w:val="0"/>
              <w:marTop w:val="0"/>
              <w:marBottom w:val="0"/>
              <w:divBdr>
                <w:top w:val="none" w:sz="0" w:space="0" w:color="auto"/>
                <w:left w:val="none" w:sz="0" w:space="0" w:color="auto"/>
                <w:bottom w:val="none" w:sz="0" w:space="0" w:color="auto"/>
                <w:right w:val="none" w:sz="0" w:space="0" w:color="auto"/>
              </w:divBdr>
              <w:divsChild>
                <w:div w:id="663321991">
                  <w:marLeft w:val="0"/>
                  <w:marRight w:val="0"/>
                  <w:marTop w:val="0"/>
                  <w:marBottom w:val="0"/>
                  <w:divBdr>
                    <w:top w:val="none" w:sz="0" w:space="0" w:color="auto"/>
                    <w:left w:val="none" w:sz="0" w:space="0" w:color="auto"/>
                    <w:bottom w:val="none" w:sz="0" w:space="0" w:color="auto"/>
                    <w:right w:val="none" w:sz="0" w:space="0" w:color="auto"/>
                  </w:divBdr>
                  <w:divsChild>
                    <w:div w:id="701901087">
                      <w:marLeft w:val="0"/>
                      <w:marRight w:val="0"/>
                      <w:marTop w:val="0"/>
                      <w:marBottom w:val="0"/>
                      <w:divBdr>
                        <w:top w:val="none" w:sz="0" w:space="0" w:color="auto"/>
                        <w:left w:val="none" w:sz="0" w:space="0" w:color="auto"/>
                        <w:bottom w:val="none" w:sz="0" w:space="0" w:color="auto"/>
                        <w:right w:val="none" w:sz="0" w:space="0" w:color="auto"/>
                      </w:divBdr>
                      <w:divsChild>
                        <w:div w:id="257100662">
                          <w:marLeft w:val="0"/>
                          <w:marRight w:val="0"/>
                          <w:marTop w:val="0"/>
                          <w:marBottom w:val="0"/>
                          <w:divBdr>
                            <w:top w:val="none" w:sz="0" w:space="0" w:color="auto"/>
                            <w:left w:val="none" w:sz="0" w:space="0" w:color="auto"/>
                            <w:bottom w:val="none" w:sz="0" w:space="0" w:color="auto"/>
                            <w:right w:val="none" w:sz="0" w:space="0" w:color="auto"/>
                          </w:divBdr>
                          <w:divsChild>
                            <w:div w:id="211524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141511">
      <w:bodyDiv w:val="1"/>
      <w:marLeft w:val="0"/>
      <w:marRight w:val="0"/>
      <w:marTop w:val="0"/>
      <w:marBottom w:val="0"/>
      <w:divBdr>
        <w:top w:val="none" w:sz="0" w:space="0" w:color="auto"/>
        <w:left w:val="none" w:sz="0" w:space="0" w:color="auto"/>
        <w:bottom w:val="none" w:sz="0" w:space="0" w:color="auto"/>
        <w:right w:val="none" w:sz="0" w:space="0" w:color="auto"/>
      </w:divBdr>
      <w:divsChild>
        <w:div w:id="1364667777">
          <w:marLeft w:val="0"/>
          <w:marRight w:val="0"/>
          <w:marTop w:val="0"/>
          <w:marBottom w:val="0"/>
          <w:divBdr>
            <w:top w:val="none" w:sz="0" w:space="0" w:color="auto"/>
            <w:left w:val="none" w:sz="0" w:space="0" w:color="auto"/>
            <w:bottom w:val="none" w:sz="0" w:space="0" w:color="auto"/>
            <w:right w:val="none" w:sz="0" w:space="0" w:color="auto"/>
          </w:divBdr>
          <w:divsChild>
            <w:div w:id="624702880">
              <w:marLeft w:val="0"/>
              <w:marRight w:val="0"/>
              <w:marTop w:val="0"/>
              <w:marBottom w:val="0"/>
              <w:divBdr>
                <w:top w:val="none" w:sz="0" w:space="0" w:color="auto"/>
                <w:left w:val="none" w:sz="0" w:space="0" w:color="auto"/>
                <w:bottom w:val="none" w:sz="0" w:space="0" w:color="auto"/>
                <w:right w:val="none" w:sz="0" w:space="0" w:color="auto"/>
              </w:divBdr>
              <w:divsChild>
                <w:div w:id="56364821">
                  <w:marLeft w:val="0"/>
                  <w:marRight w:val="0"/>
                  <w:marTop w:val="0"/>
                  <w:marBottom w:val="0"/>
                  <w:divBdr>
                    <w:top w:val="none" w:sz="0" w:space="0" w:color="auto"/>
                    <w:left w:val="none" w:sz="0" w:space="0" w:color="auto"/>
                    <w:bottom w:val="none" w:sz="0" w:space="0" w:color="auto"/>
                    <w:right w:val="none" w:sz="0" w:space="0" w:color="auto"/>
                  </w:divBdr>
                  <w:divsChild>
                    <w:div w:id="113182974">
                      <w:marLeft w:val="0"/>
                      <w:marRight w:val="0"/>
                      <w:marTop w:val="0"/>
                      <w:marBottom w:val="0"/>
                      <w:divBdr>
                        <w:top w:val="none" w:sz="0" w:space="0" w:color="auto"/>
                        <w:left w:val="none" w:sz="0" w:space="0" w:color="auto"/>
                        <w:bottom w:val="none" w:sz="0" w:space="0" w:color="auto"/>
                        <w:right w:val="none" w:sz="0" w:space="0" w:color="auto"/>
                      </w:divBdr>
                      <w:divsChild>
                        <w:div w:id="2145736393">
                          <w:marLeft w:val="0"/>
                          <w:marRight w:val="0"/>
                          <w:marTop w:val="0"/>
                          <w:marBottom w:val="0"/>
                          <w:divBdr>
                            <w:top w:val="none" w:sz="0" w:space="0" w:color="auto"/>
                            <w:left w:val="none" w:sz="0" w:space="0" w:color="auto"/>
                            <w:bottom w:val="none" w:sz="0" w:space="0" w:color="auto"/>
                            <w:right w:val="none" w:sz="0" w:space="0" w:color="auto"/>
                          </w:divBdr>
                          <w:divsChild>
                            <w:div w:id="103758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623682">
      <w:bodyDiv w:val="1"/>
      <w:marLeft w:val="0"/>
      <w:marRight w:val="0"/>
      <w:marTop w:val="0"/>
      <w:marBottom w:val="0"/>
      <w:divBdr>
        <w:top w:val="none" w:sz="0" w:space="0" w:color="auto"/>
        <w:left w:val="none" w:sz="0" w:space="0" w:color="auto"/>
        <w:bottom w:val="none" w:sz="0" w:space="0" w:color="auto"/>
        <w:right w:val="none" w:sz="0" w:space="0" w:color="auto"/>
      </w:divBdr>
      <w:divsChild>
        <w:div w:id="1915430888">
          <w:marLeft w:val="0"/>
          <w:marRight w:val="0"/>
          <w:marTop w:val="0"/>
          <w:marBottom w:val="0"/>
          <w:divBdr>
            <w:top w:val="none" w:sz="0" w:space="0" w:color="auto"/>
            <w:left w:val="none" w:sz="0" w:space="0" w:color="auto"/>
            <w:bottom w:val="none" w:sz="0" w:space="0" w:color="auto"/>
            <w:right w:val="none" w:sz="0" w:space="0" w:color="auto"/>
          </w:divBdr>
        </w:div>
      </w:divsChild>
    </w:div>
    <w:div w:id="885411044">
      <w:bodyDiv w:val="1"/>
      <w:marLeft w:val="0"/>
      <w:marRight w:val="0"/>
      <w:marTop w:val="0"/>
      <w:marBottom w:val="0"/>
      <w:divBdr>
        <w:top w:val="none" w:sz="0" w:space="0" w:color="auto"/>
        <w:left w:val="none" w:sz="0" w:space="0" w:color="auto"/>
        <w:bottom w:val="none" w:sz="0" w:space="0" w:color="auto"/>
        <w:right w:val="none" w:sz="0" w:space="0" w:color="auto"/>
      </w:divBdr>
    </w:div>
    <w:div w:id="926112465">
      <w:bodyDiv w:val="1"/>
      <w:marLeft w:val="0"/>
      <w:marRight w:val="0"/>
      <w:marTop w:val="0"/>
      <w:marBottom w:val="0"/>
      <w:divBdr>
        <w:top w:val="none" w:sz="0" w:space="0" w:color="auto"/>
        <w:left w:val="none" w:sz="0" w:space="0" w:color="auto"/>
        <w:bottom w:val="none" w:sz="0" w:space="0" w:color="auto"/>
        <w:right w:val="none" w:sz="0" w:space="0" w:color="auto"/>
      </w:divBdr>
      <w:divsChild>
        <w:div w:id="1453669845">
          <w:marLeft w:val="0"/>
          <w:marRight w:val="0"/>
          <w:marTop w:val="0"/>
          <w:marBottom w:val="0"/>
          <w:divBdr>
            <w:top w:val="none" w:sz="0" w:space="0" w:color="auto"/>
            <w:left w:val="none" w:sz="0" w:space="0" w:color="auto"/>
            <w:bottom w:val="none" w:sz="0" w:space="0" w:color="auto"/>
            <w:right w:val="none" w:sz="0" w:space="0" w:color="auto"/>
          </w:divBdr>
        </w:div>
      </w:divsChild>
    </w:div>
    <w:div w:id="992222235">
      <w:bodyDiv w:val="1"/>
      <w:marLeft w:val="0"/>
      <w:marRight w:val="0"/>
      <w:marTop w:val="0"/>
      <w:marBottom w:val="0"/>
      <w:divBdr>
        <w:top w:val="none" w:sz="0" w:space="0" w:color="auto"/>
        <w:left w:val="none" w:sz="0" w:space="0" w:color="auto"/>
        <w:bottom w:val="none" w:sz="0" w:space="0" w:color="auto"/>
        <w:right w:val="none" w:sz="0" w:space="0" w:color="auto"/>
      </w:divBdr>
    </w:div>
    <w:div w:id="1062605644">
      <w:bodyDiv w:val="1"/>
      <w:marLeft w:val="0"/>
      <w:marRight w:val="0"/>
      <w:marTop w:val="0"/>
      <w:marBottom w:val="0"/>
      <w:divBdr>
        <w:top w:val="none" w:sz="0" w:space="0" w:color="auto"/>
        <w:left w:val="none" w:sz="0" w:space="0" w:color="auto"/>
        <w:bottom w:val="none" w:sz="0" w:space="0" w:color="auto"/>
        <w:right w:val="none" w:sz="0" w:space="0" w:color="auto"/>
      </w:divBdr>
    </w:div>
    <w:div w:id="1099250402">
      <w:bodyDiv w:val="1"/>
      <w:marLeft w:val="0"/>
      <w:marRight w:val="0"/>
      <w:marTop w:val="0"/>
      <w:marBottom w:val="0"/>
      <w:divBdr>
        <w:top w:val="none" w:sz="0" w:space="0" w:color="auto"/>
        <w:left w:val="none" w:sz="0" w:space="0" w:color="auto"/>
        <w:bottom w:val="none" w:sz="0" w:space="0" w:color="auto"/>
        <w:right w:val="none" w:sz="0" w:space="0" w:color="auto"/>
      </w:divBdr>
      <w:divsChild>
        <w:div w:id="1502895466">
          <w:marLeft w:val="0"/>
          <w:marRight w:val="0"/>
          <w:marTop w:val="0"/>
          <w:marBottom w:val="0"/>
          <w:divBdr>
            <w:top w:val="none" w:sz="0" w:space="0" w:color="auto"/>
            <w:left w:val="none" w:sz="0" w:space="0" w:color="auto"/>
            <w:bottom w:val="none" w:sz="0" w:space="0" w:color="auto"/>
            <w:right w:val="none" w:sz="0" w:space="0" w:color="auto"/>
          </w:divBdr>
          <w:divsChild>
            <w:div w:id="1081874052">
              <w:marLeft w:val="0"/>
              <w:marRight w:val="0"/>
              <w:marTop w:val="0"/>
              <w:marBottom w:val="0"/>
              <w:divBdr>
                <w:top w:val="none" w:sz="0" w:space="0" w:color="auto"/>
                <w:left w:val="none" w:sz="0" w:space="0" w:color="auto"/>
                <w:bottom w:val="none" w:sz="0" w:space="0" w:color="auto"/>
                <w:right w:val="none" w:sz="0" w:space="0" w:color="auto"/>
              </w:divBdr>
              <w:divsChild>
                <w:div w:id="257251806">
                  <w:marLeft w:val="0"/>
                  <w:marRight w:val="0"/>
                  <w:marTop w:val="0"/>
                  <w:marBottom w:val="0"/>
                  <w:divBdr>
                    <w:top w:val="none" w:sz="0" w:space="0" w:color="auto"/>
                    <w:left w:val="none" w:sz="0" w:space="0" w:color="auto"/>
                    <w:bottom w:val="none" w:sz="0" w:space="0" w:color="auto"/>
                    <w:right w:val="none" w:sz="0" w:space="0" w:color="auto"/>
                  </w:divBdr>
                  <w:divsChild>
                    <w:div w:id="1845899871">
                      <w:marLeft w:val="0"/>
                      <w:marRight w:val="0"/>
                      <w:marTop w:val="0"/>
                      <w:marBottom w:val="0"/>
                      <w:divBdr>
                        <w:top w:val="none" w:sz="0" w:space="0" w:color="auto"/>
                        <w:left w:val="none" w:sz="0" w:space="0" w:color="auto"/>
                        <w:bottom w:val="none" w:sz="0" w:space="0" w:color="auto"/>
                        <w:right w:val="none" w:sz="0" w:space="0" w:color="auto"/>
                      </w:divBdr>
                      <w:divsChild>
                        <w:div w:id="1433862831">
                          <w:marLeft w:val="0"/>
                          <w:marRight w:val="0"/>
                          <w:marTop w:val="0"/>
                          <w:marBottom w:val="0"/>
                          <w:divBdr>
                            <w:top w:val="none" w:sz="0" w:space="0" w:color="auto"/>
                            <w:left w:val="none" w:sz="0" w:space="0" w:color="auto"/>
                            <w:bottom w:val="none" w:sz="0" w:space="0" w:color="auto"/>
                            <w:right w:val="none" w:sz="0" w:space="0" w:color="auto"/>
                          </w:divBdr>
                          <w:divsChild>
                            <w:div w:id="12223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423331">
      <w:bodyDiv w:val="1"/>
      <w:marLeft w:val="0"/>
      <w:marRight w:val="0"/>
      <w:marTop w:val="0"/>
      <w:marBottom w:val="0"/>
      <w:divBdr>
        <w:top w:val="none" w:sz="0" w:space="0" w:color="auto"/>
        <w:left w:val="none" w:sz="0" w:space="0" w:color="auto"/>
        <w:bottom w:val="none" w:sz="0" w:space="0" w:color="auto"/>
        <w:right w:val="none" w:sz="0" w:space="0" w:color="auto"/>
      </w:divBdr>
    </w:div>
    <w:div w:id="1142577921">
      <w:bodyDiv w:val="1"/>
      <w:marLeft w:val="0"/>
      <w:marRight w:val="0"/>
      <w:marTop w:val="0"/>
      <w:marBottom w:val="0"/>
      <w:divBdr>
        <w:top w:val="none" w:sz="0" w:space="0" w:color="auto"/>
        <w:left w:val="none" w:sz="0" w:space="0" w:color="auto"/>
        <w:bottom w:val="none" w:sz="0" w:space="0" w:color="auto"/>
        <w:right w:val="none" w:sz="0" w:space="0" w:color="auto"/>
      </w:divBdr>
      <w:divsChild>
        <w:div w:id="1214806583">
          <w:marLeft w:val="0"/>
          <w:marRight w:val="0"/>
          <w:marTop w:val="0"/>
          <w:marBottom w:val="0"/>
          <w:divBdr>
            <w:top w:val="none" w:sz="0" w:space="0" w:color="auto"/>
            <w:left w:val="none" w:sz="0" w:space="0" w:color="auto"/>
            <w:bottom w:val="none" w:sz="0" w:space="0" w:color="auto"/>
            <w:right w:val="none" w:sz="0" w:space="0" w:color="auto"/>
          </w:divBdr>
          <w:divsChild>
            <w:div w:id="1551771239">
              <w:marLeft w:val="0"/>
              <w:marRight w:val="0"/>
              <w:marTop w:val="0"/>
              <w:marBottom w:val="0"/>
              <w:divBdr>
                <w:top w:val="none" w:sz="0" w:space="0" w:color="auto"/>
                <w:left w:val="none" w:sz="0" w:space="0" w:color="auto"/>
                <w:bottom w:val="none" w:sz="0" w:space="0" w:color="auto"/>
                <w:right w:val="none" w:sz="0" w:space="0" w:color="auto"/>
              </w:divBdr>
              <w:divsChild>
                <w:div w:id="2064254622">
                  <w:marLeft w:val="0"/>
                  <w:marRight w:val="0"/>
                  <w:marTop w:val="0"/>
                  <w:marBottom w:val="0"/>
                  <w:divBdr>
                    <w:top w:val="none" w:sz="0" w:space="0" w:color="auto"/>
                    <w:left w:val="none" w:sz="0" w:space="0" w:color="auto"/>
                    <w:bottom w:val="none" w:sz="0" w:space="0" w:color="auto"/>
                    <w:right w:val="none" w:sz="0" w:space="0" w:color="auto"/>
                  </w:divBdr>
                  <w:divsChild>
                    <w:div w:id="1906647919">
                      <w:marLeft w:val="0"/>
                      <w:marRight w:val="0"/>
                      <w:marTop w:val="0"/>
                      <w:marBottom w:val="0"/>
                      <w:divBdr>
                        <w:top w:val="none" w:sz="0" w:space="0" w:color="auto"/>
                        <w:left w:val="none" w:sz="0" w:space="0" w:color="auto"/>
                        <w:bottom w:val="none" w:sz="0" w:space="0" w:color="auto"/>
                        <w:right w:val="none" w:sz="0" w:space="0" w:color="auto"/>
                      </w:divBdr>
                      <w:divsChild>
                        <w:div w:id="1597901531">
                          <w:marLeft w:val="0"/>
                          <w:marRight w:val="0"/>
                          <w:marTop w:val="0"/>
                          <w:marBottom w:val="0"/>
                          <w:divBdr>
                            <w:top w:val="none" w:sz="0" w:space="0" w:color="auto"/>
                            <w:left w:val="none" w:sz="0" w:space="0" w:color="auto"/>
                            <w:bottom w:val="none" w:sz="0" w:space="0" w:color="auto"/>
                            <w:right w:val="none" w:sz="0" w:space="0" w:color="auto"/>
                          </w:divBdr>
                          <w:divsChild>
                            <w:div w:id="58951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0713">
      <w:bodyDiv w:val="1"/>
      <w:marLeft w:val="0"/>
      <w:marRight w:val="0"/>
      <w:marTop w:val="0"/>
      <w:marBottom w:val="0"/>
      <w:divBdr>
        <w:top w:val="none" w:sz="0" w:space="0" w:color="auto"/>
        <w:left w:val="none" w:sz="0" w:space="0" w:color="auto"/>
        <w:bottom w:val="none" w:sz="0" w:space="0" w:color="auto"/>
        <w:right w:val="none" w:sz="0" w:space="0" w:color="auto"/>
      </w:divBdr>
      <w:divsChild>
        <w:div w:id="809901780">
          <w:marLeft w:val="0"/>
          <w:marRight w:val="0"/>
          <w:marTop w:val="0"/>
          <w:marBottom w:val="0"/>
          <w:divBdr>
            <w:top w:val="none" w:sz="0" w:space="0" w:color="auto"/>
            <w:left w:val="none" w:sz="0" w:space="0" w:color="auto"/>
            <w:bottom w:val="none" w:sz="0" w:space="0" w:color="auto"/>
            <w:right w:val="none" w:sz="0" w:space="0" w:color="auto"/>
          </w:divBdr>
          <w:divsChild>
            <w:div w:id="677462519">
              <w:marLeft w:val="0"/>
              <w:marRight w:val="0"/>
              <w:marTop w:val="0"/>
              <w:marBottom w:val="0"/>
              <w:divBdr>
                <w:top w:val="none" w:sz="0" w:space="0" w:color="auto"/>
                <w:left w:val="none" w:sz="0" w:space="0" w:color="auto"/>
                <w:bottom w:val="none" w:sz="0" w:space="0" w:color="auto"/>
                <w:right w:val="none" w:sz="0" w:space="0" w:color="auto"/>
              </w:divBdr>
              <w:divsChild>
                <w:div w:id="292179874">
                  <w:marLeft w:val="0"/>
                  <w:marRight w:val="0"/>
                  <w:marTop w:val="0"/>
                  <w:marBottom w:val="0"/>
                  <w:divBdr>
                    <w:top w:val="none" w:sz="0" w:space="0" w:color="auto"/>
                    <w:left w:val="none" w:sz="0" w:space="0" w:color="auto"/>
                    <w:bottom w:val="none" w:sz="0" w:space="0" w:color="auto"/>
                    <w:right w:val="none" w:sz="0" w:space="0" w:color="auto"/>
                  </w:divBdr>
                  <w:divsChild>
                    <w:div w:id="936519917">
                      <w:marLeft w:val="0"/>
                      <w:marRight w:val="0"/>
                      <w:marTop w:val="0"/>
                      <w:marBottom w:val="0"/>
                      <w:divBdr>
                        <w:top w:val="none" w:sz="0" w:space="0" w:color="auto"/>
                        <w:left w:val="none" w:sz="0" w:space="0" w:color="auto"/>
                        <w:bottom w:val="none" w:sz="0" w:space="0" w:color="auto"/>
                        <w:right w:val="none" w:sz="0" w:space="0" w:color="auto"/>
                      </w:divBdr>
                      <w:divsChild>
                        <w:div w:id="436369665">
                          <w:marLeft w:val="0"/>
                          <w:marRight w:val="0"/>
                          <w:marTop w:val="0"/>
                          <w:marBottom w:val="0"/>
                          <w:divBdr>
                            <w:top w:val="none" w:sz="0" w:space="0" w:color="auto"/>
                            <w:left w:val="none" w:sz="0" w:space="0" w:color="auto"/>
                            <w:bottom w:val="none" w:sz="0" w:space="0" w:color="auto"/>
                            <w:right w:val="none" w:sz="0" w:space="0" w:color="auto"/>
                          </w:divBdr>
                          <w:divsChild>
                            <w:div w:id="71061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0092584">
      <w:bodyDiv w:val="1"/>
      <w:marLeft w:val="0"/>
      <w:marRight w:val="0"/>
      <w:marTop w:val="0"/>
      <w:marBottom w:val="0"/>
      <w:divBdr>
        <w:top w:val="none" w:sz="0" w:space="0" w:color="auto"/>
        <w:left w:val="none" w:sz="0" w:space="0" w:color="auto"/>
        <w:bottom w:val="none" w:sz="0" w:space="0" w:color="auto"/>
        <w:right w:val="none" w:sz="0" w:space="0" w:color="auto"/>
      </w:divBdr>
      <w:divsChild>
        <w:div w:id="1454251839">
          <w:marLeft w:val="0"/>
          <w:marRight w:val="0"/>
          <w:marTop w:val="0"/>
          <w:marBottom w:val="0"/>
          <w:divBdr>
            <w:top w:val="none" w:sz="0" w:space="0" w:color="auto"/>
            <w:left w:val="none" w:sz="0" w:space="0" w:color="auto"/>
            <w:bottom w:val="none" w:sz="0" w:space="0" w:color="auto"/>
            <w:right w:val="none" w:sz="0" w:space="0" w:color="auto"/>
          </w:divBdr>
          <w:divsChild>
            <w:div w:id="513494157">
              <w:marLeft w:val="0"/>
              <w:marRight w:val="0"/>
              <w:marTop w:val="0"/>
              <w:marBottom w:val="0"/>
              <w:divBdr>
                <w:top w:val="none" w:sz="0" w:space="0" w:color="auto"/>
                <w:left w:val="none" w:sz="0" w:space="0" w:color="auto"/>
                <w:bottom w:val="none" w:sz="0" w:space="0" w:color="auto"/>
                <w:right w:val="none" w:sz="0" w:space="0" w:color="auto"/>
              </w:divBdr>
              <w:divsChild>
                <w:div w:id="1435245627">
                  <w:marLeft w:val="0"/>
                  <w:marRight w:val="0"/>
                  <w:marTop w:val="0"/>
                  <w:marBottom w:val="0"/>
                  <w:divBdr>
                    <w:top w:val="none" w:sz="0" w:space="0" w:color="auto"/>
                    <w:left w:val="none" w:sz="0" w:space="0" w:color="auto"/>
                    <w:bottom w:val="none" w:sz="0" w:space="0" w:color="auto"/>
                    <w:right w:val="none" w:sz="0" w:space="0" w:color="auto"/>
                  </w:divBdr>
                  <w:divsChild>
                    <w:div w:id="1304384340">
                      <w:marLeft w:val="0"/>
                      <w:marRight w:val="0"/>
                      <w:marTop w:val="0"/>
                      <w:marBottom w:val="0"/>
                      <w:divBdr>
                        <w:top w:val="none" w:sz="0" w:space="0" w:color="auto"/>
                        <w:left w:val="none" w:sz="0" w:space="0" w:color="auto"/>
                        <w:bottom w:val="none" w:sz="0" w:space="0" w:color="auto"/>
                        <w:right w:val="none" w:sz="0" w:space="0" w:color="auto"/>
                      </w:divBdr>
                      <w:divsChild>
                        <w:div w:id="770978331">
                          <w:marLeft w:val="0"/>
                          <w:marRight w:val="0"/>
                          <w:marTop w:val="0"/>
                          <w:marBottom w:val="0"/>
                          <w:divBdr>
                            <w:top w:val="none" w:sz="0" w:space="0" w:color="auto"/>
                            <w:left w:val="none" w:sz="0" w:space="0" w:color="auto"/>
                            <w:bottom w:val="none" w:sz="0" w:space="0" w:color="auto"/>
                            <w:right w:val="none" w:sz="0" w:space="0" w:color="auto"/>
                          </w:divBdr>
                          <w:divsChild>
                            <w:div w:id="136632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624410">
      <w:bodyDiv w:val="1"/>
      <w:marLeft w:val="0"/>
      <w:marRight w:val="0"/>
      <w:marTop w:val="0"/>
      <w:marBottom w:val="0"/>
      <w:divBdr>
        <w:top w:val="none" w:sz="0" w:space="0" w:color="auto"/>
        <w:left w:val="none" w:sz="0" w:space="0" w:color="auto"/>
        <w:bottom w:val="none" w:sz="0" w:space="0" w:color="auto"/>
        <w:right w:val="none" w:sz="0" w:space="0" w:color="auto"/>
      </w:divBdr>
      <w:divsChild>
        <w:div w:id="818421204">
          <w:marLeft w:val="0"/>
          <w:marRight w:val="0"/>
          <w:marTop w:val="0"/>
          <w:marBottom w:val="0"/>
          <w:divBdr>
            <w:top w:val="none" w:sz="0" w:space="0" w:color="auto"/>
            <w:left w:val="none" w:sz="0" w:space="0" w:color="auto"/>
            <w:bottom w:val="none" w:sz="0" w:space="0" w:color="auto"/>
            <w:right w:val="none" w:sz="0" w:space="0" w:color="auto"/>
          </w:divBdr>
          <w:divsChild>
            <w:div w:id="611519653">
              <w:marLeft w:val="0"/>
              <w:marRight w:val="0"/>
              <w:marTop w:val="0"/>
              <w:marBottom w:val="0"/>
              <w:divBdr>
                <w:top w:val="none" w:sz="0" w:space="0" w:color="auto"/>
                <w:left w:val="none" w:sz="0" w:space="0" w:color="auto"/>
                <w:bottom w:val="none" w:sz="0" w:space="0" w:color="auto"/>
                <w:right w:val="none" w:sz="0" w:space="0" w:color="auto"/>
              </w:divBdr>
              <w:divsChild>
                <w:div w:id="1680307716">
                  <w:marLeft w:val="0"/>
                  <w:marRight w:val="0"/>
                  <w:marTop w:val="0"/>
                  <w:marBottom w:val="0"/>
                  <w:divBdr>
                    <w:top w:val="none" w:sz="0" w:space="0" w:color="auto"/>
                    <w:left w:val="none" w:sz="0" w:space="0" w:color="auto"/>
                    <w:bottom w:val="none" w:sz="0" w:space="0" w:color="auto"/>
                    <w:right w:val="none" w:sz="0" w:space="0" w:color="auto"/>
                  </w:divBdr>
                  <w:divsChild>
                    <w:div w:id="913276002">
                      <w:marLeft w:val="0"/>
                      <w:marRight w:val="0"/>
                      <w:marTop w:val="0"/>
                      <w:marBottom w:val="0"/>
                      <w:divBdr>
                        <w:top w:val="none" w:sz="0" w:space="0" w:color="auto"/>
                        <w:left w:val="none" w:sz="0" w:space="0" w:color="auto"/>
                        <w:bottom w:val="none" w:sz="0" w:space="0" w:color="auto"/>
                        <w:right w:val="none" w:sz="0" w:space="0" w:color="auto"/>
                      </w:divBdr>
                      <w:divsChild>
                        <w:div w:id="64499006">
                          <w:marLeft w:val="0"/>
                          <w:marRight w:val="0"/>
                          <w:marTop w:val="0"/>
                          <w:marBottom w:val="0"/>
                          <w:divBdr>
                            <w:top w:val="none" w:sz="0" w:space="0" w:color="auto"/>
                            <w:left w:val="none" w:sz="0" w:space="0" w:color="auto"/>
                            <w:bottom w:val="none" w:sz="0" w:space="0" w:color="auto"/>
                            <w:right w:val="none" w:sz="0" w:space="0" w:color="auto"/>
                          </w:divBdr>
                          <w:divsChild>
                            <w:div w:id="15562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041084">
      <w:bodyDiv w:val="1"/>
      <w:marLeft w:val="0"/>
      <w:marRight w:val="0"/>
      <w:marTop w:val="0"/>
      <w:marBottom w:val="0"/>
      <w:divBdr>
        <w:top w:val="none" w:sz="0" w:space="0" w:color="auto"/>
        <w:left w:val="none" w:sz="0" w:space="0" w:color="auto"/>
        <w:bottom w:val="none" w:sz="0" w:space="0" w:color="auto"/>
        <w:right w:val="none" w:sz="0" w:space="0" w:color="auto"/>
      </w:divBdr>
      <w:divsChild>
        <w:div w:id="1867056053">
          <w:marLeft w:val="0"/>
          <w:marRight w:val="0"/>
          <w:marTop w:val="0"/>
          <w:marBottom w:val="0"/>
          <w:divBdr>
            <w:top w:val="none" w:sz="0" w:space="0" w:color="auto"/>
            <w:left w:val="none" w:sz="0" w:space="0" w:color="auto"/>
            <w:bottom w:val="none" w:sz="0" w:space="0" w:color="auto"/>
            <w:right w:val="none" w:sz="0" w:space="0" w:color="auto"/>
          </w:divBdr>
          <w:divsChild>
            <w:div w:id="1576091151">
              <w:marLeft w:val="0"/>
              <w:marRight w:val="0"/>
              <w:marTop w:val="0"/>
              <w:marBottom w:val="0"/>
              <w:divBdr>
                <w:top w:val="none" w:sz="0" w:space="0" w:color="auto"/>
                <w:left w:val="none" w:sz="0" w:space="0" w:color="auto"/>
                <w:bottom w:val="none" w:sz="0" w:space="0" w:color="auto"/>
                <w:right w:val="none" w:sz="0" w:space="0" w:color="auto"/>
              </w:divBdr>
              <w:divsChild>
                <w:div w:id="42292242">
                  <w:marLeft w:val="0"/>
                  <w:marRight w:val="0"/>
                  <w:marTop w:val="0"/>
                  <w:marBottom w:val="0"/>
                  <w:divBdr>
                    <w:top w:val="none" w:sz="0" w:space="0" w:color="auto"/>
                    <w:left w:val="none" w:sz="0" w:space="0" w:color="auto"/>
                    <w:bottom w:val="none" w:sz="0" w:space="0" w:color="auto"/>
                    <w:right w:val="none" w:sz="0" w:space="0" w:color="auto"/>
                  </w:divBdr>
                  <w:divsChild>
                    <w:div w:id="1865702617">
                      <w:marLeft w:val="0"/>
                      <w:marRight w:val="0"/>
                      <w:marTop w:val="0"/>
                      <w:marBottom w:val="0"/>
                      <w:divBdr>
                        <w:top w:val="none" w:sz="0" w:space="0" w:color="auto"/>
                        <w:left w:val="none" w:sz="0" w:space="0" w:color="auto"/>
                        <w:bottom w:val="none" w:sz="0" w:space="0" w:color="auto"/>
                        <w:right w:val="none" w:sz="0" w:space="0" w:color="auto"/>
                      </w:divBdr>
                      <w:divsChild>
                        <w:div w:id="782194440">
                          <w:marLeft w:val="0"/>
                          <w:marRight w:val="0"/>
                          <w:marTop w:val="0"/>
                          <w:marBottom w:val="0"/>
                          <w:divBdr>
                            <w:top w:val="none" w:sz="0" w:space="0" w:color="auto"/>
                            <w:left w:val="none" w:sz="0" w:space="0" w:color="auto"/>
                            <w:bottom w:val="none" w:sz="0" w:space="0" w:color="auto"/>
                            <w:right w:val="none" w:sz="0" w:space="0" w:color="auto"/>
                          </w:divBdr>
                          <w:divsChild>
                            <w:div w:id="46131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80912">
      <w:bodyDiv w:val="1"/>
      <w:marLeft w:val="0"/>
      <w:marRight w:val="0"/>
      <w:marTop w:val="0"/>
      <w:marBottom w:val="0"/>
      <w:divBdr>
        <w:top w:val="none" w:sz="0" w:space="0" w:color="auto"/>
        <w:left w:val="none" w:sz="0" w:space="0" w:color="auto"/>
        <w:bottom w:val="none" w:sz="0" w:space="0" w:color="auto"/>
        <w:right w:val="none" w:sz="0" w:space="0" w:color="auto"/>
      </w:divBdr>
    </w:div>
    <w:div w:id="1346590716">
      <w:bodyDiv w:val="1"/>
      <w:marLeft w:val="0"/>
      <w:marRight w:val="0"/>
      <w:marTop w:val="0"/>
      <w:marBottom w:val="0"/>
      <w:divBdr>
        <w:top w:val="none" w:sz="0" w:space="0" w:color="auto"/>
        <w:left w:val="none" w:sz="0" w:space="0" w:color="auto"/>
        <w:bottom w:val="none" w:sz="0" w:space="0" w:color="auto"/>
        <w:right w:val="none" w:sz="0" w:space="0" w:color="auto"/>
      </w:divBdr>
      <w:divsChild>
        <w:div w:id="991329748">
          <w:marLeft w:val="0"/>
          <w:marRight w:val="0"/>
          <w:marTop w:val="0"/>
          <w:marBottom w:val="0"/>
          <w:divBdr>
            <w:top w:val="none" w:sz="0" w:space="0" w:color="auto"/>
            <w:left w:val="none" w:sz="0" w:space="0" w:color="auto"/>
            <w:bottom w:val="none" w:sz="0" w:space="0" w:color="auto"/>
            <w:right w:val="none" w:sz="0" w:space="0" w:color="auto"/>
          </w:divBdr>
          <w:divsChild>
            <w:div w:id="868837178">
              <w:marLeft w:val="0"/>
              <w:marRight w:val="0"/>
              <w:marTop w:val="0"/>
              <w:marBottom w:val="0"/>
              <w:divBdr>
                <w:top w:val="none" w:sz="0" w:space="0" w:color="auto"/>
                <w:left w:val="none" w:sz="0" w:space="0" w:color="auto"/>
                <w:bottom w:val="none" w:sz="0" w:space="0" w:color="auto"/>
                <w:right w:val="none" w:sz="0" w:space="0" w:color="auto"/>
              </w:divBdr>
              <w:divsChild>
                <w:div w:id="1784570992">
                  <w:marLeft w:val="0"/>
                  <w:marRight w:val="0"/>
                  <w:marTop w:val="0"/>
                  <w:marBottom w:val="0"/>
                  <w:divBdr>
                    <w:top w:val="none" w:sz="0" w:space="0" w:color="auto"/>
                    <w:left w:val="none" w:sz="0" w:space="0" w:color="auto"/>
                    <w:bottom w:val="none" w:sz="0" w:space="0" w:color="auto"/>
                    <w:right w:val="none" w:sz="0" w:space="0" w:color="auto"/>
                  </w:divBdr>
                  <w:divsChild>
                    <w:div w:id="1398281410">
                      <w:marLeft w:val="0"/>
                      <w:marRight w:val="0"/>
                      <w:marTop w:val="0"/>
                      <w:marBottom w:val="0"/>
                      <w:divBdr>
                        <w:top w:val="none" w:sz="0" w:space="0" w:color="auto"/>
                        <w:left w:val="none" w:sz="0" w:space="0" w:color="auto"/>
                        <w:bottom w:val="none" w:sz="0" w:space="0" w:color="auto"/>
                        <w:right w:val="none" w:sz="0" w:space="0" w:color="auto"/>
                      </w:divBdr>
                      <w:divsChild>
                        <w:div w:id="154539845">
                          <w:marLeft w:val="0"/>
                          <w:marRight w:val="0"/>
                          <w:marTop w:val="0"/>
                          <w:marBottom w:val="0"/>
                          <w:divBdr>
                            <w:top w:val="none" w:sz="0" w:space="0" w:color="auto"/>
                            <w:left w:val="none" w:sz="0" w:space="0" w:color="auto"/>
                            <w:bottom w:val="none" w:sz="0" w:space="0" w:color="auto"/>
                            <w:right w:val="none" w:sz="0" w:space="0" w:color="auto"/>
                          </w:divBdr>
                          <w:divsChild>
                            <w:div w:id="9090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850627">
      <w:bodyDiv w:val="1"/>
      <w:marLeft w:val="0"/>
      <w:marRight w:val="0"/>
      <w:marTop w:val="0"/>
      <w:marBottom w:val="0"/>
      <w:divBdr>
        <w:top w:val="none" w:sz="0" w:space="0" w:color="auto"/>
        <w:left w:val="none" w:sz="0" w:space="0" w:color="auto"/>
        <w:bottom w:val="none" w:sz="0" w:space="0" w:color="auto"/>
        <w:right w:val="none" w:sz="0" w:space="0" w:color="auto"/>
      </w:divBdr>
      <w:divsChild>
        <w:div w:id="1614552959">
          <w:marLeft w:val="0"/>
          <w:marRight w:val="0"/>
          <w:marTop w:val="0"/>
          <w:marBottom w:val="0"/>
          <w:divBdr>
            <w:top w:val="none" w:sz="0" w:space="0" w:color="auto"/>
            <w:left w:val="none" w:sz="0" w:space="0" w:color="auto"/>
            <w:bottom w:val="none" w:sz="0" w:space="0" w:color="auto"/>
            <w:right w:val="none" w:sz="0" w:space="0" w:color="auto"/>
          </w:divBdr>
        </w:div>
      </w:divsChild>
    </w:div>
    <w:div w:id="1365061708">
      <w:bodyDiv w:val="1"/>
      <w:marLeft w:val="0"/>
      <w:marRight w:val="0"/>
      <w:marTop w:val="0"/>
      <w:marBottom w:val="0"/>
      <w:divBdr>
        <w:top w:val="none" w:sz="0" w:space="0" w:color="auto"/>
        <w:left w:val="none" w:sz="0" w:space="0" w:color="auto"/>
        <w:bottom w:val="none" w:sz="0" w:space="0" w:color="auto"/>
        <w:right w:val="none" w:sz="0" w:space="0" w:color="auto"/>
      </w:divBdr>
      <w:divsChild>
        <w:div w:id="1103190728">
          <w:marLeft w:val="0"/>
          <w:marRight w:val="0"/>
          <w:marTop w:val="0"/>
          <w:marBottom w:val="0"/>
          <w:divBdr>
            <w:top w:val="none" w:sz="0" w:space="0" w:color="auto"/>
            <w:left w:val="none" w:sz="0" w:space="0" w:color="auto"/>
            <w:bottom w:val="none" w:sz="0" w:space="0" w:color="auto"/>
            <w:right w:val="none" w:sz="0" w:space="0" w:color="auto"/>
          </w:divBdr>
          <w:divsChild>
            <w:div w:id="951323844">
              <w:marLeft w:val="0"/>
              <w:marRight w:val="0"/>
              <w:marTop w:val="0"/>
              <w:marBottom w:val="0"/>
              <w:divBdr>
                <w:top w:val="none" w:sz="0" w:space="0" w:color="auto"/>
                <w:left w:val="none" w:sz="0" w:space="0" w:color="auto"/>
                <w:bottom w:val="none" w:sz="0" w:space="0" w:color="auto"/>
                <w:right w:val="none" w:sz="0" w:space="0" w:color="auto"/>
              </w:divBdr>
              <w:divsChild>
                <w:div w:id="1631782620">
                  <w:marLeft w:val="0"/>
                  <w:marRight w:val="0"/>
                  <w:marTop w:val="0"/>
                  <w:marBottom w:val="0"/>
                  <w:divBdr>
                    <w:top w:val="none" w:sz="0" w:space="0" w:color="auto"/>
                    <w:left w:val="none" w:sz="0" w:space="0" w:color="auto"/>
                    <w:bottom w:val="none" w:sz="0" w:space="0" w:color="auto"/>
                    <w:right w:val="none" w:sz="0" w:space="0" w:color="auto"/>
                  </w:divBdr>
                  <w:divsChild>
                    <w:div w:id="764348019">
                      <w:marLeft w:val="0"/>
                      <w:marRight w:val="0"/>
                      <w:marTop w:val="0"/>
                      <w:marBottom w:val="0"/>
                      <w:divBdr>
                        <w:top w:val="none" w:sz="0" w:space="0" w:color="auto"/>
                        <w:left w:val="none" w:sz="0" w:space="0" w:color="auto"/>
                        <w:bottom w:val="none" w:sz="0" w:space="0" w:color="auto"/>
                        <w:right w:val="none" w:sz="0" w:space="0" w:color="auto"/>
                      </w:divBdr>
                      <w:divsChild>
                        <w:div w:id="136803794">
                          <w:marLeft w:val="0"/>
                          <w:marRight w:val="0"/>
                          <w:marTop w:val="0"/>
                          <w:marBottom w:val="0"/>
                          <w:divBdr>
                            <w:top w:val="none" w:sz="0" w:space="0" w:color="auto"/>
                            <w:left w:val="none" w:sz="0" w:space="0" w:color="auto"/>
                            <w:bottom w:val="none" w:sz="0" w:space="0" w:color="auto"/>
                            <w:right w:val="none" w:sz="0" w:space="0" w:color="auto"/>
                          </w:divBdr>
                          <w:divsChild>
                            <w:div w:id="1256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212304">
      <w:bodyDiv w:val="1"/>
      <w:marLeft w:val="0"/>
      <w:marRight w:val="0"/>
      <w:marTop w:val="0"/>
      <w:marBottom w:val="0"/>
      <w:divBdr>
        <w:top w:val="none" w:sz="0" w:space="0" w:color="auto"/>
        <w:left w:val="none" w:sz="0" w:space="0" w:color="auto"/>
        <w:bottom w:val="none" w:sz="0" w:space="0" w:color="auto"/>
        <w:right w:val="none" w:sz="0" w:space="0" w:color="auto"/>
      </w:divBdr>
    </w:div>
    <w:div w:id="1456557066">
      <w:bodyDiv w:val="1"/>
      <w:marLeft w:val="0"/>
      <w:marRight w:val="0"/>
      <w:marTop w:val="0"/>
      <w:marBottom w:val="0"/>
      <w:divBdr>
        <w:top w:val="none" w:sz="0" w:space="0" w:color="auto"/>
        <w:left w:val="none" w:sz="0" w:space="0" w:color="auto"/>
        <w:bottom w:val="none" w:sz="0" w:space="0" w:color="auto"/>
        <w:right w:val="none" w:sz="0" w:space="0" w:color="auto"/>
      </w:divBdr>
      <w:divsChild>
        <w:div w:id="1353728741">
          <w:marLeft w:val="0"/>
          <w:marRight w:val="0"/>
          <w:marTop w:val="0"/>
          <w:marBottom w:val="0"/>
          <w:divBdr>
            <w:top w:val="none" w:sz="0" w:space="0" w:color="auto"/>
            <w:left w:val="none" w:sz="0" w:space="0" w:color="auto"/>
            <w:bottom w:val="none" w:sz="0" w:space="0" w:color="auto"/>
            <w:right w:val="none" w:sz="0" w:space="0" w:color="auto"/>
          </w:divBdr>
          <w:divsChild>
            <w:div w:id="13190891">
              <w:marLeft w:val="0"/>
              <w:marRight w:val="0"/>
              <w:marTop w:val="0"/>
              <w:marBottom w:val="0"/>
              <w:divBdr>
                <w:top w:val="none" w:sz="0" w:space="0" w:color="auto"/>
                <w:left w:val="none" w:sz="0" w:space="0" w:color="auto"/>
                <w:bottom w:val="none" w:sz="0" w:space="0" w:color="auto"/>
                <w:right w:val="none" w:sz="0" w:space="0" w:color="auto"/>
              </w:divBdr>
              <w:divsChild>
                <w:div w:id="1376932673">
                  <w:marLeft w:val="0"/>
                  <w:marRight w:val="0"/>
                  <w:marTop w:val="0"/>
                  <w:marBottom w:val="0"/>
                  <w:divBdr>
                    <w:top w:val="none" w:sz="0" w:space="0" w:color="auto"/>
                    <w:left w:val="none" w:sz="0" w:space="0" w:color="auto"/>
                    <w:bottom w:val="none" w:sz="0" w:space="0" w:color="auto"/>
                    <w:right w:val="none" w:sz="0" w:space="0" w:color="auto"/>
                  </w:divBdr>
                  <w:divsChild>
                    <w:div w:id="1587417648">
                      <w:marLeft w:val="0"/>
                      <w:marRight w:val="0"/>
                      <w:marTop w:val="0"/>
                      <w:marBottom w:val="0"/>
                      <w:divBdr>
                        <w:top w:val="none" w:sz="0" w:space="0" w:color="auto"/>
                        <w:left w:val="none" w:sz="0" w:space="0" w:color="auto"/>
                        <w:bottom w:val="none" w:sz="0" w:space="0" w:color="auto"/>
                        <w:right w:val="none" w:sz="0" w:space="0" w:color="auto"/>
                      </w:divBdr>
                      <w:divsChild>
                        <w:div w:id="934551917">
                          <w:marLeft w:val="0"/>
                          <w:marRight w:val="0"/>
                          <w:marTop w:val="0"/>
                          <w:marBottom w:val="0"/>
                          <w:divBdr>
                            <w:top w:val="none" w:sz="0" w:space="0" w:color="auto"/>
                            <w:left w:val="none" w:sz="0" w:space="0" w:color="auto"/>
                            <w:bottom w:val="none" w:sz="0" w:space="0" w:color="auto"/>
                            <w:right w:val="none" w:sz="0" w:space="0" w:color="auto"/>
                          </w:divBdr>
                          <w:divsChild>
                            <w:div w:id="19880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858216">
      <w:bodyDiv w:val="1"/>
      <w:marLeft w:val="0"/>
      <w:marRight w:val="0"/>
      <w:marTop w:val="0"/>
      <w:marBottom w:val="0"/>
      <w:divBdr>
        <w:top w:val="none" w:sz="0" w:space="0" w:color="auto"/>
        <w:left w:val="none" w:sz="0" w:space="0" w:color="auto"/>
        <w:bottom w:val="none" w:sz="0" w:space="0" w:color="auto"/>
        <w:right w:val="none" w:sz="0" w:space="0" w:color="auto"/>
      </w:divBdr>
    </w:div>
    <w:div w:id="1661082721">
      <w:bodyDiv w:val="1"/>
      <w:marLeft w:val="0"/>
      <w:marRight w:val="0"/>
      <w:marTop w:val="0"/>
      <w:marBottom w:val="0"/>
      <w:divBdr>
        <w:top w:val="none" w:sz="0" w:space="0" w:color="auto"/>
        <w:left w:val="none" w:sz="0" w:space="0" w:color="auto"/>
        <w:bottom w:val="none" w:sz="0" w:space="0" w:color="auto"/>
        <w:right w:val="none" w:sz="0" w:space="0" w:color="auto"/>
      </w:divBdr>
      <w:divsChild>
        <w:div w:id="474876891">
          <w:marLeft w:val="0"/>
          <w:marRight w:val="0"/>
          <w:marTop w:val="0"/>
          <w:marBottom w:val="0"/>
          <w:divBdr>
            <w:top w:val="none" w:sz="0" w:space="0" w:color="auto"/>
            <w:left w:val="none" w:sz="0" w:space="0" w:color="auto"/>
            <w:bottom w:val="none" w:sz="0" w:space="0" w:color="auto"/>
            <w:right w:val="none" w:sz="0" w:space="0" w:color="auto"/>
          </w:divBdr>
        </w:div>
      </w:divsChild>
    </w:div>
    <w:div w:id="1713846636">
      <w:bodyDiv w:val="1"/>
      <w:marLeft w:val="0"/>
      <w:marRight w:val="0"/>
      <w:marTop w:val="0"/>
      <w:marBottom w:val="0"/>
      <w:divBdr>
        <w:top w:val="none" w:sz="0" w:space="0" w:color="auto"/>
        <w:left w:val="none" w:sz="0" w:space="0" w:color="auto"/>
        <w:bottom w:val="none" w:sz="0" w:space="0" w:color="auto"/>
        <w:right w:val="none" w:sz="0" w:space="0" w:color="auto"/>
      </w:divBdr>
      <w:divsChild>
        <w:div w:id="1338188585">
          <w:marLeft w:val="0"/>
          <w:marRight w:val="0"/>
          <w:marTop w:val="0"/>
          <w:marBottom w:val="0"/>
          <w:divBdr>
            <w:top w:val="none" w:sz="0" w:space="0" w:color="auto"/>
            <w:left w:val="none" w:sz="0" w:space="0" w:color="auto"/>
            <w:bottom w:val="none" w:sz="0" w:space="0" w:color="auto"/>
            <w:right w:val="none" w:sz="0" w:space="0" w:color="auto"/>
          </w:divBdr>
          <w:divsChild>
            <w:div w:id="1832330561">
              <w:marLeft w:val="0"/>
              <w:marRight w:val="0"/>
              <w:marTop w:val="0"/>
              <w:marBottom w:val="0"/>
              <w:divBdr>
                <w:top w:val="none" w:sz="0" w:space="0" w:color="auto"/>
                <w:left w:val="none" w:sz="0" w:space="0" w:color="auto"/>
                <w:bottom w:val="none" w:sz="0" w:space="0" w:color="auto"/>
                <w:right w:val="none" w:sz="0" w:space="0" w:color="auto"/>
              </w:divBdr>
              <w:divsChild>
                <w:div w:id="1963681622">
                  <w:marLeft w:val="0"/>
                  <w:marRight w:val="0"/>
                  <w:marTop w:val="0"/>
                  <w:marBottom w:val="0"/>
                  <w:divBdr>
                    <w:top w:val="none" w:sz="0" w:space="0" w:color="auto"/>
                    <w:left w:val="none" w:sz="0" w:space="0" w:color="auto"/>
                    <w:bottom w:val="none" w:sz="0" w:space="0" w:color="auto"/>
                    <w:right w:val="none" w:sz="0" w:space="0" w:color="auto"/>
                  </w:divBdr>
                  <w:divsChild>
                    <w:div w:id="325860960">
                      <w:marLeft w:val="0"/>
                      <w:marRight w:val="0"/>
                      <w:marTop w:val="0"/>
                      <w:marBottom w:val="0"/>
                      <w:divBdr>
                        <w:top w:val="none" w:sz="0" w:space="0" w:color="auto"/>
                        <w:left w:val="none" w:sz="0" w:space="0" w:color="auto"/>
                        <w:bottom w:val="none" w:sz="0" w:space="0" w:color="auto"/>
                        <w:right w:val="none" w:sz="0" w:space="0" w:color="auto"/>
                      </w:divBdr>
                      <w:divsChild>
                        <w:div w:id="1574659910">
                          <w:marLeft w:val="0"/>
                          <w:marRight w:val="0"/>
                          <w:marTop w:val="0"/>
                          <w:marBottom w:val="0"/>
                          <w:divBdr>
                            <w:top w:val="none" w:sz="0" w:space="0" w:color="auto"/>
                            <w:left w:val="none" w:sz="0" w:space="0" w:color="auto"/>
                            <w:bottom w:val="none" w:sz="0" w:space="0" w:color="auto"/>
                            <w:right w:val="none" w:sz="0" w:space="0" w:color="auto"/>
                          </w:divBdr>
                          <w:divsChild>
                            <w:div w:id="657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090555">
      <w:bodyDiv w:val="1"/>
      <w:marLeft w:val="0"/>
      <w:marRight w:val="0"/>
      <w:marTop w:val="0"/>
      <w:marBottom w:val="0"/>
      <w:divBdr>
        <w:top w:val="none" w:sz="0" w:space="0" w:color="auto"/>
        <w:left w:val="none" w:sz="0" w:space="0" w:color="auto"/>
        <w:bottom w:val="none" w:sz="0" w:space="0" w:color="auto"/>
        <w:right w:val="none" w:sz="0" w:space="0" w:color="auto"/>
      </w:divBdr>
      <w:divsChild>
        <w:div w:id="78599277">
          <w:marLeft w:val="0"/>
          <w:marRight w:val="0"/>
          <w:marTop w:val="0"/>
          <w:marBottom w:val="0"/>
          <w:divBdr>
            <w:top w:val="none" w:sz="0" w:space="0" w:color="auto"/>
            <w:left w:val="none" w:sz="0" w:space="0" w:color="auto"/>
            <w:bottom w:val="none" w:sz="0" w:space="0" w:color="auto"/>
            <w:right w:val="none" w:sz="0" w:space="0" w:color="auto"/>
          </w:divBdr>
          <w:divsChild>
            <w:div w:id="1799689357">
              <w:marLeft w:val="0"/>
              <w:marRight w:val="0"/>
              <w:marTop w:val="0"/>
              <w:marBottom w:val="0"/>
              <w:divBdr>
                <w:top w:val="none" w:sz="0" w:space="0" w:color="auto"/>
                <w:left w:val="none" w:sz="0" w:space="0" w:color="auto"/>
                <w:bottom w:val="none" w:sz="0" w:space="0" w:color="auto"/>
                <w:right w:val="none" w:sz="0" w:space="0" w:color="auto"/>
              </w:divBdr>
              <w:divsChild>
                <w:div w:id="1260870602">
                  <w:marLeft w:val="0"/>
                  <w:marRight w:val="0"/>
                  <w:marTop w:val="0"/>
                  <w:marBottom w:val="0"/>
                  <w:divBdr>
                    <w:top w:val="none" w:sz="0" w:space="0" w:color="auto"/>
                    <w:left w:val="none" w:sz="0" w:space="0" w:color="auto"/>
                    <w:bottom w:val="none" w:sz="0" w:space="0" w:color="auto"/>
                    <w:right w:val="none" w:sz="0" w:space="0" w:color="auto"/>
                  </w:divBdr>
                  <w:divsChild>
                    <w:div w:id="1781993932">
                      <w:marLeft w:val="0"/>
                      <w:marRight w:val="0"/>
                      <w:marTop w:val="0"/>
                      <w:marBottom w:val="0"/>
                      <w:divBdr>
                        <w:top w:val="none" w:sz="0" w:space="0" w:color="auto"/>
                        <w:left w:val="none" w:sz="0" w:space="0" w:color="auto"/>
                        <w:bottom w:val="none" w:sz="0" w:space="0" w:color="auto"/>
                        <w:right w:val="none" w:sz="0" w:space="0" w:color="auto"/>
                      </w:divBdr>
                      <w:divsChild>
                        <w:div w:id="1027101988">
                          <w:marLeft w:val="0"/>
                          <w:marRight w:val="0"/>
                          <w:marTop w:val="0"/>
                          <w:marBottom w:val="0"/>
                          <w:divBdr>
                            <w:top w:val="none" w:sz="0" w:space="0" w:color="auto"/>
                            <w:left w:val="none" w:sz="0" w:space="0" w:color="auto"/>
                            <w:bottom w:val="none" w:sz="0" w:space="0" w:color="auto"/>
                            <w:right w:val="none" w:sz="0" w:space="0" w:color="auto"/>
                          </w:divBdr>
                          <w:divsChild>
                            <w:div w:id="8260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806470">
      <w:bodyDiv w:val="1"/>
      <w:marLeft w:val="0"/>
      <w:marRight w:val="0"/>
      <w:marTop w:val="0"/>
      <w:marBottom w:val="0"/>
      <w:divBdr>
        <w:top w:val="none" w:sz="0" w:space="0" w:color="auto"/>
        <w:left w:val="none" w:sz="0" w:space="0" w:color="auto"/>
        <w:bottom w:val="none" w:sz="0" w:space="0" w:color="auto"/>
        <w:right w:val="none" w:sz="0" w:space="0" w:color="auto"/>
      </w:divBdr>
    </w:div>
    <w:div w:id="1834250173">
      <w:bodyDiv w:val="1"/>
      <w:marLeft w:val="0"/>
      <w:marRight w:val="0"/>
      <w:marTop w:val="0"/>
      <w:marBottom w:val="0"/>
      <w:divBdr>
        <w:top w:val="none" w:sz="0" w:space="0" w:color="auto"/>
        <w:left w:val="none" w:sz="0" w:space="0" w:color="auto"/>
        <w:bottom w:val="none" w:sz="0" w:space="0" w:color="auto"/>
        <w:right w:val="none" w:sz="0" w:space="0" w:color="auto"/>
      </w:divBdr>
    </w:div>
    <w:div w:id="1873226311">
      <w:bodyDiv w:val="1"/>
      <w:marLeft w:val="0"/>
      <w:marRight w:val="0"/>
      <w:marTop w:val="0"/>
      <w:marBottom w:val="0"/>
      <w:divBdr>
        <w:top w:val="none" w:sz="0" w:space="0" w:color="auto"/>
        <w:left w:val="none" w:sz="0" w:space="0" w:color="auto"/>
        <w:bottom w:val="none" w:sz="0" w:space="0" w:color="auto"/>
        <w:right w:val="none" w:sz="0" w:space="0" w:color="auto"/>
      </w:divBdr>
      <w:divsChild>
        <w:div w:id="90709824">
          <w:marLeft w:val="0"/>
          <w:marRight w:val="0"/>
          <w:marTop w:val="0"/>
          <w:marBottom w:val="0"/>
          <w:divBdr>
            <w:top w:val="none" w:sz="0" w:space="0" w:color="auto"/>
            <w:left w:val="none" w:sz="0" w:space="0" w:color="auto"/>
            <w:bottom w:val="none" w:sz="0" w:space="0" w:color="auto"/>
            <w:right w:val="none" w:sz="0" w:space="0" w:color="auto"/>
          </w:divBdr>
          <w:divsChild>
            <w:div w:id="1506896236">
              <w:marLeft w:val="0"/>
              <w:marRight w:val="0"/>
              <w:marTop w:val="0"/>
              <w:marBottom w:val="0"/>
              <w:divBdr>
                <w:top w:val="none" w:sz="0" w:space="0" w:color="auto"/>
                <w:left w:val="none" w:sz="0" w:space="0" w:color="auto"/>
                <w:bottom w:val="none" w:sz="0" w:space="0" w:color="auto"/>
                <w:right w:val="none" w:sz="0" w:space="0" w:color="auto"/>
              </w:divBdr>
              <w:divsChild>
                <w:div w:id="328023467">
                  <w:marLeft w:val="0"/>
                  <w:marRight w:val="0"/>
                  <w:marTop w:val="0"/>
                  <w:marBottom w:val="0"/>
                  <w:divBdr>
                    <w:top w:val="none" w:sz="0" w:space="0" w:color="auto"/>
                    <w:left w:val="none" w:sz="0" w:space="0" w:color="auto"/>
                    <w:bottom w:val="none" w:sz="0" w:space="0" w:color="auto"/>
                    <w:right w:val="none" w:sz="0" w:space="0" w:color="auto"/>
                  </w:divBdr>
                  <w:divsChild>
                    <w:div w:id="339162169">
                      <w:marLeft w:val="0"/>
                      <w:marRight w:val="0"/>
                      <w:marTop w:val="0"/>
                      <w:marBottom w:val="0"/>
                      <w:divBdr>
                        <w:top w:val="none" w:sz="0" w:space="0" w:color="auto"/>
                        <w:left w:val="none" w:sz="0" w:space="0" w:color="auto"/>
                        <w:bottom w:val="none" w:sz="0" w:space="0" w:color="auto"/>
                        <w:right w:val="none" w:sz="0" w:space="0" w:color="auto"/>
                      </w:divBdr>
                      <w:divsChild>
                        <w:div w:id="451947890">
                          <w:marLeft w:val="0"/>
                          <w:marRight w:val="0"/>
                          <w:marTop w:val="0"/>
                          <w:marBottom w:val="0"/>
                          <w:divBdr>
                            <w:top w:val="none" w:sz="0" w:space="0" w:color="auto"/>
                            <w:left w:val="none" w:sz="0" w:space="0" w:color="auto"/>
                            <w:bottom w:val="none" w:sz="0" w:space="0" w:color="auto"/>
                            <w:right w:val="none" w:sz="0" w:space="0" w:color="auto"/>
                          </w:divBdr>
                          <w:divsChild>
                            <w:div w:id="11614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606679">
      <w:bodyDiv w:val="1"/>
      <w:marLeft w:val="0"/>
      <w:marRight w:val="0"/>
      <w:marTop w:val="0"/>
      <w:marBottom w:val="0"/>
      <w:divBdr>
        <w:top w:val="none" w:sz="0" w:space="0" w:color="auto"/>
        <w:left w:val="none" w:sz="0" w:space="0" w:color="auto"/>
        <w:bottom w:val="none" w:sz="0" w:space="0" w:color="auto"/>
        <w:right w:val="none" w:sz="0" w:space="0" w:color="auto"/>
      </w:divBdr>
      <w:divsChild>
        <w:div w:id="1495224128">
          <w:marLeft w:val="0"/>
          <w:marRight w:val="0"/>
          <w:marTop w:val="0"/>
          <w:marBottom w:val="0"/>
          <w:divBdr>
            <w:top w:val="none" w:sz="0" w:space="0" w:color="auto"/>
            <w:left w:val="none" w:sz="0" w:space="0" w:color="auto"/>
            <w:bottom w:val="none" w:sz="0" w:space="0" w:color="auto"/>
            <w:right w:val="none" w:sz="0" w:space="0" w:color="auto"/>
          </w:divBdr>
          <w:divsChild>
            <w:div w:id="2001037792">
              <w:marLeft w:val="0"/>
              <w:marRight w:val="0"/>
              <w:marTop w:val="0"/>
              <w:marBottom w:val="0"/>
              <w:divBdr>
                <w:top w:val="none" w:sz="0" w:space="0" w:color="auto"/>
                <w:left w:val="none" w:sz="0" w:space="0" w:color="auto"/>
                <w:bottom w:val="none" w:sz="0" w:space="0" w:color="auto"/>
                <w:right w:val="none" w:sz="0" w:space="0" w:color="auto"/>
              </w:divBdr>
              <w:divsChild>
                <w:div w:id="1044914979">
                  <w:marLeft w:val="0"/>
                  <w:marRight w:val="0"/>
                  <w:marTop w:val="0"/>
                  <w:marBottom w:val="0"/>
                  <w:divBdr>
                    <w:top w:val="none" w:sz="0" w:space="0" w:color="auto"/>
                    <w:left w:val="none" w:sz="0" w:space="0" w:color="auto"/>
                    <w:bottom w:val="none" w:sz="0" w:space="0" w:color="auto"/>
                    <w:right w:val="none" w:sz="0" w:space="0" w:color="auto"/>
                  </w:divBdr>
                  <w:divsChild>
                    <w:div w:id="273287697">
                      <w:marLeft w:val="0"/>
                      <w:marRight w:val="0"/>
                      <w:marTop w:val="0"/>
                      <w:marBottom w:val="0"/>
                      <w:divBdr>
                        <w:top w:val="none" w:sz="0" w:space="0" w:color="auto"/>
                        <w:left w:val="none" w:sz="0" w:space="0" w:color="auto"/>
                        <w:bottom w:val="none" w:sz="0" w:space="0" w:color="auto"/>
                        <w:right w:val="none" w:sz="0" w:space="0" w:color="auto"/>
                      </w:divBdr>
                      <w:divsChild>
                        <w:div w:id="826358475">
                          <w:marLeft w:val="0"/>
                          <w:marRight w:val="0"/>
                          <w:marTop w:val="0"/>
                          <w:marBottom w:val="0"/>
                          <w:divBdr>
                            <w:top w:val="none" w:sz="0" w:space="0" w:color="auto"/>
                            <w:left w:val="none" w:sz="0" w:space="0" w:color="auto"/>
                            <w:bottom w:val="none" w:sz="0" w:space="0" w:color="auto"/>
                            <w:right w:val="none" w:sz="0" w:space="0" w:color="auto"/>
                          </w:divBdr>
                          <w:divsChild>
                            <w:div w:id="193694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2664673">
      <w:bodyDiv w:val="1"/>
      <w:marLeft w:val="0"/>
      <w:marRight w:val="0"/>
      <w:marTop w:val="0"/>
      <w:marBottom w:val="0"/>
      <w:divBdr>
        <w:top w:val="none" w:sz="0" w:space="0" w:color="auto"/>
        <w:left w:val="none" w:sz="0" w:space="0" w:color="auto"/>
        <w:bottom w:val="none" w:sz="0" w:space="0" w:color="auto"/>
        <w:right w:val="none" w:sz="0" w:space="0" w:color="auto"/>
      </w:divBdr>
      <w:divsChild>
        <w:div w:id="323049688">
          <w:marLeft w:val="0"/>
          <w:marRight w:val="0"/>
          <w:marTop w:val="0"/>
          <w:marBottom w:val="0"/>
          <w:divBdr>
            <w:top w:val="none" w:sz="0" w:space="0" w:color="auto"/>
            <w:left w:val="none" w:sz="0" w:space="0" w:color="auto"/>
            <w:bottom w:val="none" w:sz="0" w:space="0" w:color="auto"/>
            <w:right w:val="none" w:sz="0" w:space="0" w:color="auto"/>
          </w:divBdr>
          <w:divsChild>
            <w:div w:id="579683240">
              <w:marLeft w:val="0"/>
              <w:marRight w:val="0"/>
              <w:marTop w:val="0"/>
              <w:marBottom w:val="0"/>
              <w:divBdr>
                <w:top w:val="none" w:sz="0" w:space="0" w:color="auto"/>
                <w:left w:val="none" w:sz="0" w:space="0" w:color="auto"/>
                <w:bottom w:val="none" w:sz="0" w:space="0" w:color="auto"/>
                <w:right w:val="none" w:sz="0" w:space="0" w:color="auto"/>
              </w:divBdr>
              <w:divsChild>
                <w:div w:id="1805852171">
                  <w:marLeft w:val="0"/>
                  <w:marRight w:val="0"/>
                  <w:marTop w:val="0"/>
                  <w:marBottom w:val="0"/>
                  <w:divBdr>
                    <w:top w:val="none" w:sz="0" w:space="0" w:color="auto"/>
                    <w:left w:val="none" w:sz="0" w:space="0" w:color="auto"/>
                    <w:bottom w:val="none" w:sz="0" w:space="0" w:color="auto"/>
                    <w:right w:val="none" w:sz="0" w:space="0" w:color="auto"/>
                  </w:divBdr>
                  <w:divsChild>
                    <w:div w:id="658533410">
                      <w:marLeft w:val="0"/>
                      <w:marRight w:val="0"/>
                      <w:marTop w:val="0"/>
                      <w:marBottom w:val="0"/>
                      <w:divBdr>
                        <w:top w:val="none" w:sz="0" w:space="0" w:color="auto"/>
                        <w:left w:val="none" w:sz="0" w:space="0" w:color="auto"/>
                        <w:bottom w:val="none" w:sz="0" w:space="0" w:color="auto"/>
                        <w:right w:val="none" w:sz="0" w:space="0" w:color="auto"/>
                      </w:divBdr>
                      <w:divsChild>
                        <w:div w:id="1523590691">
                          <w:marLeft w:val="0"/>
                          <w:marRight w:val="0"/>
                          <w:marTop w:val="0"/>
                          <w:marBottom w:val="0"/>
                          <w:divBdr>
                            <w:top w:val="none" w:sz="0" w:space="0" w:color="auto"/>
                            <w:left w:val="none" w:sz="0" w:space="0" w:color="auto"/>
                            <w:bottom w:val="none" w:sz="0" w:space="0" w:color="auto"/>
                            <w:right w:val="none" w:sz="0" w:space="0" w:color="auto"/>
                          </w:divBdr>
                          <w:divsChild>
                            <w:div w:id="304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628443">
      <w:bodyDiv w:val="1"/>
      <w:marLeft w:val="0"/>
      <w:marRight w:val="0"/>
      <w:marTop w:val="0"/>
      <w:marBottom w:val="0"/>
      <w:divBdr>
        <w:top w:val="none" w:sz="0" w:space="0" w:color="auto"/>
        <w:left w:val="none" w:sz="0" w:space="0" w:color="auto"/>
        <w:bottom w:val="none" w:sz="0" w:space="0" w:color="auto"/>
        <w:right w:val="none" w:sz="0" w:space="0" w:color="auto"/>
      </w:divBdr>
      <w:divsChild>
        <w:div w:id="793331173">
          <w:marLeft w:val="0"/>
          <w:marRight w:val="0"/>
          <w:marTop w:val="0"/>
          <w:marBottom w:val="0"/>
          <w:divBdr>
            <w:top w:val="none" w:sz="0" w:space="0" w:color="auto"/>
            <w:left w:val="none" w:sz="0" w:space="0" w:color="auto"/>
            <w:bottom w:val="none" w:sz="0" w:space="0" w:color="auto"/>
            <w:right w:val="none" w:sz="0" w:space="0" w:color="auto"/>
          </w:divBdr>
          <w:divsChild>
            <w:div w:id="1723867686">
              <w:marLeft w:val="0"/>
              <w:marRight w:val="0"/>
              <w:marTop w:val="0"/>
              <w:marBottom w:val="0"/>
              <w:divBdr>
                <w:top w:val="none" w:sz="0" w:space="0" w:color="auto"/>
                <w:left w:val="none" w:sz="0" w:space="0" w:color="auto"/>
                <w:bottom w:val="none" w:sz="0" w:space="0" w:color="auto"/>
                <w:right w:val="none" w:sz="0" w:space="0" w:color="auto"/>
              </w:divBdr>
              <w:divsChild>
                <w:div w:id="1791851608">
                  <w:marLeft w:val="0"/>
                  <w:marRight w:val="0"/>
                  <w:marTop w:val="0"/>
                  <w:marBottom w:val="0"/>
                  <w:divBdr>
                    <w:top w:val="none" w:sz="0" w:space="0" w:color="auto"/>
                    <w:left w:val="none" w:sz="0" w:space="0" w:color="auto"/>
                    <w:bottom w:val="none" w:sz="0" w:space="0" w:color="auto"/>
                    <w:right w:val="none" w:sz="0" w:space="0" w:color="auto"/>
                  </w:divBdr>
                  <w:divsChild>
                    <w:div w:id="1330211466">
                      <w:marLeft w:val="0"/>
                      <w:marRight w:val="0"/>
                      <w:marTop w:val="0"/>
                      <w:marBottom w:val="0"/>
                      <w:divBdr>
                        <w:top w:val="none" w:sz="0" w:space="0" w:color="auto"/>
                        <w:left w:val="none" w:sz="0" w:space="0" w:color="auto"/>
                        <w:bottom w:val="none" w:sz="0" w:space="0" w:color="auto"/>
                        <w:right w:val="none" w:sz="0" w:space="0" w:color="auto"/>
                      </w:divBdr>
                      <w:divsChild>
                        <w:div w:id="2102143538">
                          <w:marLeft w:val="0"/>
                          <w:marRight w:val="0"/>
                          <w:marTop w:val="0"/>
                          <w:marBottom w:val="0"/>
                          <w:divBdr>
                            <w:top w:val="none" w:sz="0" w:space="0" w:color="auto"/>
                            <w:left w:val="none" w:sz="0" w:space="0" w:color="auto"/>
                            <w:bottom w:val="none" w:sz="0" w:space="0" w:color="auto"/>
                            <w:right w:val="none" w:sz="0" w:space="0" w:color="auto"/>
                          </w:divBdr>
                          <w:divsChild>
                            <w:div w:id="6503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6875732">
      <w:bodyDiv w:val="1"/>
      <w:marLeft w:val="0"/>
      <w:marRight w:val="0"/>
      <w:marTop w:val="0"/>
      <w:marBottom w:val="0"/>
      <w:divBdr>
        <w:top w:val="none" w:sz="0" w:space="0" w:color="auto"/>
        <w:left w:val="none" w:sz="0" w:space="0" w:color="auto"/>
        <w:bottom w:val="none" w:sz="0" w:space="0" w:color="auto"/>
        <w:right w:val="none" w:sz="0" w:space="0" w:color="auto"/>
      </w:divBdr>
      <w:divsChild>
        <w:div w:id="356542808">
          <w:marLeft w:val="0"/>
          <w:marRight w:val="0"/>
          <w:marTop w:val="0"/>
          <w:marBottom w:val="0"/>
          <w:divBdr>
            <w:top w:val="none" w:sz="0" w:space="0" w:color="auto"/>
            <w:left w:val="none" w:sz="0" w:space="0" w:color="auto"/>
            <w:bottom w:val="none" w:sz="0" w:space="0" w:color="auto"/>
            <w:right w:val="none" w:sz="0" w:space="0" w:color="auto"/>
          </w:divBdr>
          <w:divsChild>
            <w:div w:id="1506364929">
              <w:marLeft w:val="0"/>
              <w:marRight w:val="0"/>
              <w:marTop w:val="0"/>
              <w:marBottom w:val="0"/>
              <w:divBdr>
                <w:top w:val="none" w:sz="0" w:space="0" w:color="auto"/>
                <w:left w:val="none" w:sz="0" w:space="0" w:color="auto"/>
                <w:bottom w:val="none" w:sz="0" w:space="0" w:color="auto"/>
                <w:right w:val="none" w:sz="0" w:space="0" w:color="auto"/>
              </w:divBdr>
              <w:divsChild>
                <w:div w:id="1016806553">
                  <w:marLeft w:val="0"/>
                  <w:marRight w:val="0"/>
                  <w:marTop w:val="0"/>
                  <w:marBottom w:val="0"/>
                  <w:divBdr>
                    <w:top w:val="none" w:sz="0" w:space="0" w:color="auto"/>
                    <w:left w:val="none" w:sz="0" w:space="0" w:color="auto"/>
                    <w:bottom w:val="none" w:sz="0" w:space="0" w:color="auto"/>
                    <w:right w:val="none" w:sz="0" w:space="0" w:color="auto"/>
                  </w:divBdr>
                  <w:divsChild>
                    <w:div w:id="786241035">
                      <w:marLeft w:val="0"/>
                      <w:marRight w:val="0"/>
                      <w:marTop w:val="0"/>
                      <w:marBottom w:val="0"/>
                      <w:divBdr>
                        <w:top w:val="none" w:sz="0" w:space="0" w:color="auto"/>
                        <w:left w:val="none" w:sz="0" w:space="0" w:color="auto"/>
                        <w:bottom w:val="none" w:sz="0" w:space="0" w:color="auto"/>
                        <w:right w:val="none" w:sz="0" w:space="0" w:color="auto"/>
                      </w:divBdr>
                      <w:divsChild>
                        <w:div w:id="585652201">
                          <w:marLeft w:val="0"/>
                          <w:marRight w:val="0"/>
                          <w:marTop w:val="0"/>
                          <w:marBottom w:val="0"/>
                          <w:divBdr>
                            <w:top w:val="none" w:sz="0" w:space="0" w:color="auto"/>
                            <w:left w:val="none" w:sz="0" w:space="0" w:color="auto"/>
                            <w:bottom w:val="none" w:sz="0" w:space="0" w:color="auto"/>
                            <w:right w:val="none" w:sz="0" w:space="0" w:color="auto"/>
                          </w:divBdr>
                          <w:divsChild>
                            <w:div w:id="13276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088381">
      <w:bodyDiv w:val="1"/>
      <w:marLeft w:val="0"/>
      <w:marRight w:val="0"/>
      <w:marTop w:val="0"/>
      <w:marBottom w:val="0"/>
      <w:divBdr>
        <w:top w:val="none" w:sz="0" w:space="0" w:color="auto"/>
        <w:left w:val="none" w:sz="0" w:space="0" w:color="auto"/>
        <w:bottom w:val="none" w:sz="0" w:space="0" w:color="auto"/>
        <w:right w:val="none" w:sz="0" w:space="0" w:color="auto"/>
      </w:divBdr>
    </w:div>
    <w:div w:id="2102405980">
      <w:bodyDiv w:val="1"/>
      <w:marLeft w:val="0"/>
      <w:marRight w:val="0"/>
      <w:marTop w:val="0"/>
      <w:marBottom w:val="0"/>
      <w:divBdr>
        <w:top w:val="none" w:sz="0" w:space="0" w:color="auto"/>
        <w:left w:val="none" w:sz="0" w:space="0" w:color="auto"/>
        <w:bottom w:val="none" w:sz="0" w:space="0" w:color="auto"/>
        <w:right w:val="none" w:sz="0" w:space="0" w:color="auto"/>
      </w:divBdr>
      <w:divsChild>
        <w:div w:id="1388991520">
          <w:marLeft w:val="0"/>
          <w:marRight w:val="0"/>
          <w:marTop w:val="0"/>
          <w:marBottom w:val="0"/>
          <w:divBdr>
            <w:top w:val="none" w:sz="0" w:space="0" w:color="auto"/>
            <w:left w:val="none" w:sz="0" w:space="0" w:color="auto"/>
            <w:bottom w:val="none" w:sz="0" w:space="0" w:color="auto"/>
            <w:right w:val="none" w:sz="0" w:space="0" w:color="auto"/>
          </w:divBdr>
          <w:divsChild>
            <w:div w:id="2020886452">
              <w:marLeft w:val="0"/>
              <w:marRight w:val="0"/>
              <w:marTop w:val="0"/>
              <w:marBottom w:val="0"/>
              <w:divBdr>
                <w:top w:val="none" w:sz="0" w:space="0" w:color="auto"/>
                <w:left w:val="none" w:sz="0" w:space="0" w:color="auto"/>
                <w:bottom w:val="none" w:sz="0" w:space="0" w:color="auto"/>
                <w:right w:val="none" w:sz="0" w:space="0" w:color="auto"/>
              </w:divBdr>
              <w:divsChild>
                <w:div w:id="1049453711">
                  <w:marLeft w:val="0"/>
                  <w:marRight w:val="0"/>
                  <w:marTop w:val="0"/>
                  <w:marBottom w:val="0"/>
                  <w:divBdr>
                    <w:top w:val="none" w:sz="0" w:space="0" w:color="auto"/>
                    <w:left w:val="none" w:sz="0" w:space="0" w:color="auto"/>
                    <w:bottom w:val="none" w:sz="0" w:space="0" w:color="auto"/>
                    <w:right w:val="none" w:sz="0" w:space="0" w:color="auto"/>
                  </w:divBdr>
                  <w:divsChild>
                    <w:div w:id="362443726">
                      <w:marLeft w:val="0"/>
                      <w:marRight w:val="0"/>
                      <w:marTop w:val="0"/>
                      <w:marBottom w:val="0"/>
                      <w:divBdr>
                        <w:top w:val="none" w:sz="0" w:space="0" w:color="auto"/>
                        <w:left w:val="none" w:sz="0" w:space="0" w:color="auto"/>
                        <w:bottom w:val="none" w:sz="0" w:space="0" w:color="auto"/>
                        <w:right w:val="none" w:sz="0" w:space="0" w:color="auto"/>
                      </w:divBdr>
                      <w:divsChild>
                        <w:div w:id="1965498995">
                          <w:marLeft w:val="0"/>
                          <w:marRight w:val="0"/>
                          <w:marTop w:val="0"/>
                          <w:marBottom w:val="0"/>
                          <w:divBdr>
                            <w:top w:val="none" w:sz="0" w:space="0" w:color="auto"/>
                            <w:left w:val="none" w:sz="0" w:space="0" w:color="auto"/>
                            <w:bottom w:val="none" w:sz="0" w:space="0" w:color="auto"/>
                            <w:right w:val="none" w:sz="0" w:space="0" w:color="auto"/>
                          </w:divBdr>
                          <w:divsChild>
                            <w:div w:id="51742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58C3A-73AE-3544-8E5A-1D8274A22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10268</Words>
  <Characters>58533</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DePaul University</Company>
  <LinksUpToDate>false</LinksUpToDate>
  <CharactersWithSpaces>68664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rameshwar</dc:creator>
  <cp:lastModifiedBy>Microsoft Office User</cp:lastModifiedBy>
  <cp:revision>2</cp:revision>
  <dcterms:created xsi:type="dcterms:W3CDTF">2020-01-12T10:01:00Z</dcterms:created>
  <dcterms:modified xsi:type="dcterms:W3CDTF">2020-01-12T10:01:00Z</dcterms:modified>
</cp:coreProperties>
</file>