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FCF618" w14:textId="094CCF68" w:rsidR="00935491" w:rsidRPr="00833CE8" w:rsidRDefault="006B6ECF" w:rsidP="000D319F">
      <w:pPr>
        <w:snapToGrid w:val="0"/>
        <w:spacing w:after="240" w:line="360" w:lineRule="auto"/>
        <w:jc w:val="center"/>
        <w:rPr>
          <w:rFonts w:cs="Times New Roman"/>
          <w:b/>
          <w:bCs/>
          <w:sz w:val="28"/>
          <w:szCs w:val="28"/>
        </w:rPr>
      </w:pPr>
      <w:bookmarkStart w:id="0" w:name="_Hlk170553958"/>
      <w:r w:rsidRPr="006B6ECF">
        <w:rPr>
          <w:rFonts w:cs="Times New Roman"/>
          <w:b/>
          <w:bCs/>
          <w:color w:val="FF0000"/>
          <w:sz w:val="28"/>
          <w:szCs w:val="28"/>
        </w:rPr>
        <w:t xml:space="preserve">Bacteria-Microalgae </w:t>
      </w:r>
      <w:r w:rsidR="00935491" w:rsidRPr="006B6ECF">
        <w:rPr>
          <w:rFonts w:cs="Times New Roman"/>
          <w:b/>
          <w:bCs/>
          <w:color w:val="FF0000"/>
          <w:sz w:val="28"/>
          <w:szCs w:val="28"/>
        </w:rPr>
        <w:t xml:space="preserve">Interactions </w:t>
      </w:r>
      <w:r w:rsidR="00935491" w:rsidRPr="00833CE8">
        <w:rPr>
          <w:rFonts w:cs="Times New Roman"/>
          <w:b/>
          <w:bCs/>
          <w:sz w:val="28"/>
          <w:szCs w:val="28"/>
        </w:rPr>
        <w:t>from an Evolutionary Perspective and their Biotechnological Significance</w:t>
      </w:r>
    </w:p>
    <w:bookmarkEnd w:id="0"/>
    <w:p w14:paraId="45D139DB" w14:textId="49B568C1" w:rsidR="00431199" w:rsidRPr="00833CE8" w:rsidRDefault="00431199" w:rsidP="00234889">
      <w:pPr>
        <w:snapToGrid w:val="0"/>
        <w:spacing w:after="240" w:line="360" w:lineRule="auto"/>
        <w:jc w:val="center"/>
        <w:rPr>
          <w:rFonts w:cs="Times New Roman"/>
          <w:szCs w:val="24"/>
          <w:vertAlign w:val="superscript"/>
          <w:lang w:eastAsia="de-DE"/>
        </w:rPr>
      </w:pPr>
      <w:r w:rsidRPr="00833CE8">
        <w:rPr>
          <w:rFonts w:cs="Times New Roman"/>
          <w:szCs w:val="24"/>
        </w:rPr>
        <w:t>Ahmad Abd-El-Aziz</w:t>
      </w:r>
      <w:r w:rsidR="00262490" w:rsidRPr="00833CE8">
        <w:rPr>
          <w:rFonts w:cs="Times New Roman"/>
          <w:szCs w:val="24"/>
          <w:vertAlign w:val="superscript"/>
        </w:rPr>
        <w:t>1</w:t>
      </w:r>
      <w:r w:rsidR="00D97A8F">
        <w:rPr>
          <w:rFonts w:cs="Times New Roman"/>
          <w:szCs w:val="24"/>
          <w:vertAlign w:val="superscript"/>
        </w:rPr>
        <w:t>,*</w:t>
      </w:r>
      <w:r w:rsidRPr="00833CE8">
        <w:rPr>
          <w:rFonts w:cs="Times New Roman"/>
          <w:szCs w:val="24"/>
        </w:rPr>
        <w:t xml:space="preserve">, </w:t>
      </w:r>
      <w:r w:rsidRPr="00833CE8">
        <w:rPr>
          <w:rFonts w:cs="Times New Roman"/>
          <w:szCs w:val="24"/>
          <w:lang w:eastAsia="de-DE"/>
        </w:rPr>
        <w:t>Sherif M. El</w:t>
      </w:r>
      <w:r w:rsidR="0038231C">
        <w:rPr>
          <w:rFonts w:cs="Times New Roman"/>
          <w:szCs w:val="24"/>
          <w:lang w:eastAsia="de-DE"/>
        </w:rPr>
        <w:t>n</w:t>
      </w:r>
      <w:r w:rsidRPr="00833CE8">
        <w:rPr>
          <w:rFonts w:cs="Times New Roman"/>
          <w:szCs w:val="24"/>
          <w:lang w:eastAsia="de-DE"/>
        </w:rPr>
        <w:t>agdy</w:t>
      </w:r>
      <w:r w:rsidR="00262490" w:rsidRPr="00833CE8">
        <w:rPr>
          <w:rFonts w:cs="Times New Roman"/>
          <w:szCs w:val="24"/>
          <w:vertAlign w:val="superscript"/>
          <w:lang w:eastAsia="de-DE"/>
        </w:rPr>
        <w:t>1,2</w:t>
      </w:r>
      <w:r w:rsidRPr="00833CE8">
        <w:rPr>
          <w:rFonts w:cs="Times New Roman"/>
          <w:szCs w:val="24"/>
          <w:lang w:eastAsia="de-DE"/>
        </w:rPr>
        <w:t xml:space="preserve">, </w:t>
      </w:r>
      <w:proofErr w:type="spellStart"/>
      <w:r w:rsidR="00862A3A" w:rsidRPr="00833CE8">
        <w:rPr>
          <w:rFonts w:cs="Times New Roman"/>
          <w:szCs w:val="24"/>
          <w:lang w:eastAsia="de-DE"/>
        </w:rPr>
        <w:t>Jichang</w:t>
      </w:r>
      <w:proofErr w:type="spellEnd"/>
      <w:r w:rsidR="00862A3A" w:rsidRPr="00833CE8">
        <w:rPr>
          <w:rFonts w:cs="Times New Roman"/>
          <w:szCs w:val="24"/>
          <w:lang w:eastAsia="de-DE"/>
        </w:rPr>
        <w:t xml:space="preserve"> Han</w:t>
      </w:r>
      <w:r w:rsidR="00262490" w:rsidRPr="00833CE8">
        <w:rPr>
          <w:rFonts w:cs="Times New Roman"/>
          <w:szCs w:val="24"/>
          <w:vertAlign w:val="superscript"/>
          <w:lang w:eastAsia="de-DE"/>
        </w:rPr>
        <w:t>3</w:t>
      </w:r>
      <w:r w:rsidR="00862A3A" w:rsidRPr="00833CE8">
        <w:rPr>
          <w:rFonts w:cs="Times New Roman"/>
          <w:szCs w:val="24"/>
          <w:lang w:eastAsia="de-DE"/>
        </w:rPr>
        <w:t xml:space="preserve">, </w:t>
      </w:r>
      <w:r w:rsidR="008F5E4B">
        <w:rPr>
          <w:rFonts w:cs="Times New Roman"/>
          <w:szCs w:val="24"/>
          <w:lang w:eastAsia="de-DE"/>
        </w:rPr>
        <w:t xml:space="preserve">Rok </w:t>
      </w:r>
      <w:r w:rsidR="008F5E4B" w:rsidRPr="008F5E4B">
        <w:rPr>
          <w:rFonts w:cs="Times New Roman"/>
          <w:szCs w:val="24"/>
          <w:lang w:eastAsia="de-DE"/>
        </w:rPr>
        <w:t>Mihelič</w:t>
      </w:r>
      <w:r w:rsidR="00C456A9">
        <w:rPr>
          <w:rFonts w:cs="Times New Roman"/>
          <w:szCs w:val="24"/>
          <w:vertAlign w:val="superscript"/>
          <w:lang w:eastAsia="de-DE"/>
        </w:rPr>
        <w:t>4</w:t>
      </w:r>
      <w:r w:rsidR="008F5E4B">
        <w:rPr>
          <w:rFonts w:cs="Times New Roman"/>
          <w:szCs w:val="24"/>
          <w:lang w:eastAsia="de-DE"/>
        </w:rPr>
        <w:t>,</w:t>
      </w:r>
      <w:r w:rsidR="008F5E4B" w:rsidRPr="008F5E4B">
        <w:rPr>
          <w:rFonts w:cs="Times New Roman"/>
          <w:szCs w:val="24"/>
          <w:lang w:eastAsia="de-DE"/>
        </w:rPr>
        <w:t xml:space="preserve"> </w:t>
      </w:r>
      <w:proofErr w:type="spellStart"/>
      <w:r w:rsidR="0073494D">
        <w:rPr>
          <w:rFonts w:cs="Times New Roman"/>
          <w:szCs w:val="24"/>
          <w:lang w:eastAsia="de-DE"/>
        </w:rPr>
        <w:t>Xulei</w:t>
      </w:r>
      <w:proofErr w:type="spellEnd"/>
      <w:r w:rsidR="0073494D">
        <w:rPr>
          <w:rFonts w:cs="Times New Roman"/>
          <w:szCs w:val="24"/>
          <w:lang w:eastAsia="de-DE"/>
        </w:rPr>
        <w:t xml:space="preserve"> Wang</w:t>
      </w:r>
      <w:r w:rsidR="0073494D" w:rsidRPr="0073494D">
        <w:rPr>
          <w:rFonts w:cs="Times New Roman"/>
          <w:szCs w:val="24"/>
          <w:vertAlign w:val="superscript"/>
          <w:lang w:eastAsia="de-DE"/>
        </w:rPr>
        <w:t>5</w:t>
      </w:r>
      <w:r w:rsidR="0073494D">
        <w:rPr>
          <w:rFonts w:cs="Times New Roman"/>
          <w:szCs w:val="24"/>
          <w:lang w:eastAsia="de-DE"/>
        </w:rPr>
        <w:t xml:space="preserve">, </w:t>
      </w:r>
      <w:r w:rsidRPr="00833CE8">
        <w:rPr>
          <w:rFonts w:cs="Times New Roman"/>
          <w:szCs w:val="24"/>
        </w:rPr>
        <w:t>S</w:t>
      </w:r>
      <w:r w:rsidRPr="00833CE8">
        <w:rPr>
          <w:rFonts w:cs="Times New Roman"/>
          <w:szCs w:val="24"/>
          <w:lang w:eastAsia="de-DE"/>
        </w:rPr>
        <w:t>piros N. Agathos</w:t>
      </w:r>
      <w:r w:rsidR="00262490" w:rsidRPr="00833CE8">
        <w:rPr>
          <w:rFonts w:cs="Times New Roman"/>
          <w:szCs w:val="24"/>
          <w:vertAlign w:val="superscript"/>
          <w:lang w:eastAsia="de-DE"/>
        </w:rPr>
        <w:t>1,</w:t>
      </w:r>
      <w:r w:rsidR="0073494D">
        <w:rPr>
          <w:rFonts w:cs="Times New Roman"/>
          <w:szCs w:val="24"/>
          <w:vertAlign w:val="superscript"/>
          <w:lang w:eastAsia="de-DE"/>
        </w:rPr>
        <w:t>6</w:t>
      </w:r>
      <w:r w:rsidR="00DC4359" w:rsidRPr="00833CE8">
        <w:rPr>
          <w:rFonts w:cs="Times New Roman"/>
          <w:szCs w:val="24"/>
          <w:lang w:eastAsia="de-DE"/>
        </w:rPr>
        <w:t>, Jian Li</w:t>
      </w:r>
      <w:r w:rsidR="00DC4359" w:rsidRPr="00833CE8">
        <w:rPr>
          <w:rFonts w:cs="Times New Roman"/>
          <w:szCs w:val="24"/>
          <w:vertAlign w:val="superscript"/>
          <w:lang w:eastAsia="de-DE"/>
        </w:rPr>
        <w:t>1,*</w:t>
      </w:r>
    </w:p>
    <w:p w14:paraId="14E49E13" w14:textId="40BAE78B" w:rsidR="00262490" w:rsidRPr="00833CE8" w:rsidRDefault="00262490" w:rsidP="00234889">
      <w:pPr>
        <w:snapToGrid w:val="0"/>
        <w:spacing w:line="360" w:lineRule="auto"/>
        <w:rPr>
          <w:rFonts w:cs="Times New Roman"/>
          <w:i/>
          <w:iCs/>
          <w:szCs w:val="24"/>
          <w:lang w:eastAsia="de-DE"/>
        </w:rPr>
      </w:pPr>
      <w:r w:rsidRPr="00833CE8">
        <w:rPr>
          <w:rFonts w:cs="Times New Roman"/>
          <w:i/>
          <w:iCs/>
          <w:szCs w:val="24"/>
          <w:vertAlign w:val="superscript"/>
          <w:lang w:eastAsia="de-DE"/>
        </w:rPr>
        <w:t>1</w:t>
      </w:r>
      <w:r w:rsidRPr="00833CE8">
        <w:rPr>
          <w:rFonts w:cs="Times New Roman"/>
          <w:i/>
          <w:iCs/>
          <w:szCs w:val="24"/>
          <w:lang w:eastAsia="de-DE"/>
        </w:rPr>
        <w:t xml:space="preserve"> Qingdao Innovation and Development Center, Harbin Engineering University, Qingdao, 266400, China</w:t>
      </w:r>
    </w:p>
    <w:p w14:paraId="09F6E7C6" w14:textId="3BFEB8A0" w:rsidR="00321AA3" w:rsidRPr="00833CE8" w:rsidRDefault="00262490" w:rsidP="00234889">
      <w:pPr>
        <w:snapToGrid w:val="0"/>
        <w:spacing w:line="360" w:lineRule="auto"/>
        <w:rPr>
          <w:rFonts w:cs="Times New Roman"/>
          <w:i/>
          <w:iCs/>
          <w:szCs w:val="24"/>
          <w:lang w:eastAsia="de-DE"/>
        </w:rPr>
      </w:pPr>
      <w:r w:rsidRPr="00833CE8">
        <w:rPr>
          <w:rFonts w:cs="Times New Roman"/>
          <w:i/>
          <w:iCs/>
          <w:szCs w:val="24"/>
          <w:vertAlign w:val="superscript"/>
          <w:lang w:eastAsia="de-DE"/>
        </w:rPr>
        <w:t xml:space="preserve">2  </w:t>
      </w:r>
      <w:r w:rsidR="00321AA3" w:rsidRPr="00833CE8">
        <w:rPr>
          <w:rFonts w:cs="Times New Roman"/>
          <w:i/>
          <w:iCs/>
          <w:szCs w:val="24"/>
          <w:lang w:eastAsia="de-DE"/>
        </w:rPr>
        <w:t>Botany and Microbiology Department, Faculty of Science, Cairo University, Cairo</w:t>
      </w:r>
      <w:r w:rsidR="00A01258" w:rsidRPr="00833CE8">
        <w:rPr>
          <w:rFonts w:cs="Times New Roman"/>
          <w:i/>
          <w:iCs/>
          <w:szCs w:val="24"/>
          <w:lang w:eastAsia="de-DE"/>
        </w:rPr>
        <w:t>,</w:t>
      </w:r>
      <w:r w:rsidR="00321AA3" w:rsidRPr="00833CE8">
        <w:rPr>
          <w:rFonts w:cs="Times New Roman"/>
          <w:i/>
          <w:iCs/>
          <w:szCs w:val="24"/>
          <w:lang w:eastAsia="de-DE"/>
        </w:rPr>
        <w:t xml:space="preserve"> 12613, Egypt</w:t>
      </w:r>
    </w:p>
    <w:p w14:paraId="43657A3D" w14:textId="0C789B9F" w:rsidR="00262490" w:rsidRPr="00833CE8" w:rsidRDefault="00262490" w:rsidP="00234889">
      <w:pPr>
        <w:snapToGrid w:val="0"/>
        <w:spacing w:line="360" w:lineRule="auto"/>
        <w:rPr>
          <w:rFonts w:cs="Times New Roman"/>
          <w:i/>
          <w:iCs/>
          <w:szCs w:val="24"/>
          <w:vertAlign w:val="superscript"/>
          <w:lang w:eastAsia="de-DE"/>
        </w:rPr>
      </w:pPr>
      <w:r w:rsidRPr="00833CE8">
        <w:rPr>
          <w:rFonts w:cs="Times New Roman"/>
          <w:i/>
          <w:iCs/>
          <w:szCs w:val="24"/>
          <w:vertAlign w:val="superscript"/>
          <w:lang w:eastAsia="de-DE"/>
        </w:rPr>
        <w:t xml:space="preserve">3 </w:t>
      </w:r>
      <w:r w:rsidRPr="00833CE8">
        <w:rPr>
          <w:rFonts w:cs="Times New Roman"/>
          <w:i/>
          <w:iCs/>
          <w:szCs w:val="24"/>
          <w:lang w:eastAsia="de-DE"/>
        </w:rPr>
        <w:t>College of Food and Engineering, Ningbo University, Ningbo, 315832, China</w:t>
      </w:r>
    </w:p>
    <w:p w14:paraId="76902E51" w14:textId="1DDDEC1C" w:rsidR="008F5E4B" w:rsidRDefault="00262490" w:rsidP="008F5E4B">
      <w:pPr>
        <w:snapToGrid w:val="0"/>
        <w:spacing w:line="360" w:lineRule="auto"/>
        <w:rPr>
          <w:rFonts w:cs="Times New Roman"/>
          <w:i/>
          <w:iCs/>
          <w:szCs w:val="24"/>
          <w:lang w:eastAsia="de-DE"/>
        </w:rPr>
      </w:pPr>
      <w:r w:rsidRPr="00833CE8">
        <w:rPr>
          <w:rFonts w:cs="Times New Roman"/>
          <w:i/>
          <w:iCs/>
          <w:szCs w:val="24"/>
          <w:vertAlign w:val="superscript"/>
          <w:lang w:eastAsia="de-DE"/>
        </w:rPr>
        <w:t>4</w:t>
      </w:r>
      <w:r w:rsidR="008F5E4B">
        <w:rPr>
          <w:rFonts w:cs="Times New Roman"/>
          <w:i/>
          <w:iCs/>
          <w:szCs w:val="24"/>
          <w:vertAlign w:val="superscript"/>
          <w:lang w:eastAsia="de-DE"/>
        </w:rPr>
        <w:t xml:space="preserve"> </w:t>
      </w:r>
      <w:r w:rsidR="008F5E4B" w:rsidRPr="008F5E4B">
        <w:rPr>
          <w:rFonts w:cs="Times New Roman"/>
          <w:i/>
          <w:iCs/>
          <w:szCs w:val="24"/>
          <w:lang w:eastAsia="de-DE"/>
        </w:rPr>
        <w:t xml:space="preserve">Department of Agronomy, Biotechnical Faculty, University of Ljubljana, </w:t>
      </w:r>
      <w:proofErr w:type="spellStart"/>
      <w:r w:rsidR="008F5E4B" w:rsidRPr="008F5E4B">
        <w:rPr>
          <w:rFonts w:cs="Times New Roman"/>
          <w:i/>
          <w:iCs/>
          <w:szCs w:val="24"/>
          <w:lang w:eastAsia="de-DE"/>
        </w:rPr>
        <w:t>Jamnikarjeva</w:t>
      </w:r>
      <w:proofErr w:type="spellEnd"/>
      <w:r w:rsidR="008F5E4B" w:rsidRPr="008F5E4B">
        <w:rPr>
          <w:rFonts w:cs="Times New Roman"/>
          <w:i/>
          <w:iCs/>
          <w:szCs w:val="24"/>
          <w:lang w:eastAsia="de-DE"/>
        </w:rPr>
        <w:t xml:space="preserve"> 101, 1000 Ljubljana, Slovenia</w:t>
      </w:r>
    </w:p>
    <w:p w14:paraId="20210E24" w14:textId="2C13D696" w:rsidR="0073494D" w:rsidRPr="008F5E4B" w:rsidRDefault="0073494D" w:rsidP="008F5E4B">
      <w:pPr>
        <w:snapToGrid w:val="0"/>
        <w:spacing w:line="360" w:lineRule="auto"/>
        <w:rPr>
          <w:rFonts w:cs="Times New Roman"/>
          <w:i/>
          <w:iCs/>
          <w:szCs w:val="24"/>
          <w:lang w:eastAsia="de-DE"/>
        </w:rPr>
      </w:pPr>
      <w:r w:rsidRPr="0073494D">
        <w:rPr>
          <w:rFonts w:cs="Times New Roman"/>
          <w:i/>
          <w:iCs/>
          <w:szCs w:val="24"/>
          <w:vertAlign w:val="superscript"/>
          <w:lang w:eastAsia="de-DE"/>
        </w:rPr>
        <w:t>5</w:t>
      </w:r>
      <w:r>
        <w:rPr>
          <w:rFonts w:cs="Times New Roman"/>
          <w:i/>
          <w:iCs/>
          <w:szCs w:val="24"/>
          <w:vertAlign w:val="superscript"/>
          <w:lang w:eastAsia="de-DE"/>
        </w:rPr>
        <w:t xml:space="preserve"> </w:t>
      </w:r>
      <w:r w:rsidRPr="0073494D">
        <w:rPr>
          <w:rFonts w:cs="Times New Roman"/>
          <w:i/>
          <w:iCs/>
          <w:szCs w:val="24"/>
          <w:lang w:eastAsia="de-DE"/>
        </w:rPr>
        <w:t>CAS Key Laboratory of Experimental Marine Biology, Institute of Oceanology, Chinese Academy of Sciences, Qingdao, China</w:t>
      </w:r>
    </w:p>
    <w:p w14:paraId="144DD549" w14:textId="531F9EC3" w:rsidR="008F5E4B" w:rsidRPr="00833CE8" w:rsidRDefault="0073494D" w:rsidP="008F5E4B">
      <w:pPr>
        <w:snapToGrid w:val="0"/>
        <w:spacing w:after="240" w:line="360" w:lineRule="auto"/>
        <w:rPr>
          <w:rFonts w:cs="Times New Roman"/>
          <w:i/>
          <w:iCs/>
          <w:szCs w:val="24"/>
          <w:lang w:eastAsia="de-DE"/>
        </w:rPr>
      </w:pPr>
      <w:r>
        <w:rPr>
          <w:rFonts w:cs="Times New Roman"/>
          <w:i/>
          <w:iCs/>
          <w:szCs w:val="24"/>
          <w:vertAlign w:val="superscript"/>
          <w:lang w:eastAsia="de-DE"/>
        </w:rPr>
        <w:t>6</w:t>
      </w:r>
      <w:r w:rsidR="008F5E4B" w:rsidRPr="00833CE8">
        <w:rPr>
          <w:rFonts w:cs="Times New Roman"/>
          <w:i/>
          <w:iCs/>
          <w:szCs w:val="24"/>
          <w:vertAlign w:val="superscript"/>
          <w:lang w:eastAsia="de-DE"/>
        </w:rPr>
        <w:t xml:space="preserve"> </w:t>
      </w:r>
      <w:r w:rsidR="008F5E4B" w:rsidRPr="00833CE8">
        <w:rPr>
          <w:rFonts w:cs="Times New Roman"/>
          <w:i/>
          <w:iCs/>
          <w:szCs w:val="24"/>
          <w:lang w:eastAsia="de-DE"/>
        </w:rPr>
        <w:t>Earth &amp; Life Institute, Catholic University of Louvain, Louvain-</w:t>
      </w:r>
      <w:r w:rsidR="008774DD">
        <w:rPr>
          <w:rFonts w:cs="Times New Roman"/>
          <w:i/>
          <w:iCs/>
          <w:szCs w:val="24"/>
          <w:lang w:eastAsia="de-DE"/>
        </w:rPr>
        <w:t>l</w:t>
      </w:r>
      <w:r w:rsidR="008F5E4B" w:rsidRPr="00833CE8">
        <w:rPr>
          <w:rFonts w:cs="Times New Roman"/>
          <w:i/>
          <w:iCs/>
          <w:szCs w:val="24"/>
          <w:lang w:eastAsia="de-DE"/>
        </w:rPr>
        <w:t>a-Neuve, 1348, Belgium</w:t>
      </w:r>
    </w:p>
    <w:p w14:paraId="118B7FFA" w14:textId="75BAB1F1" w:rsidR="00A7350E" w:rsidRPr="00833CE8" w:rsidRDefault="00A7350E" w:rsidP="004E7EE3">
      <w:pPr>
        <w:snapToGrid w:val="0"/>
        <w:spacing w:after="240" w:line="360" w:lineRule="auto"/>
        <w:rPr>
          <w:rFonts w:cs="Times New Roman"/>
          <w:szCs w:val="24"/>
        </w:rPr>
      </w:pPr>
      <w:r w:rsidRPr="00833CE8">
        <w:rPr>
          <w:rFonts w:cs="Times New Roman"/>
          <w:i/>
          <w:iCs/>
          <w:szCs w:val="24"/>
          <w:lang w:eastAsia="de-DE"/>
        </w:rPr>
        <w:t>*</w:t>
      </w:r>
      <w:r w:rsidRPr="00833CE8">
        <w:rPr>
          <w:rFonts w:cs="Times New Roman"/>
          <w:szCs w:val="24"/>
          <w:lang w:eastAsia="de-DE"/>
        </w:rPr>
        <w:t xml:space="preserve"> Corresponding author</w:t>
      </w:r>
      <w:r w:rsidR="00C00C17" w:rsidRPr="00833CE8">
        <w:rPr>
          <w:rFonts w:cs="Times New Roman"/>
          <w:szCs w:val="24"/>
          <w:lang w:eastAsia="de-DE"/>
        </w:rPr>
        <w:t>s</w:t>
      </w:r>
    </w:p>
    <w:p w14:paraId="0E14B18B" w14:textId="77777777" w:rsidR="00E32652" w:rsidRDefault="00E32652" w:rsidP="004E7EE3">
      <w:pPr>
        <w:snapToGrid w:val="0"/>
        <w:spacing w:line="360" w:lineRule="auto"/>
        <w:jc w:val="both"/>
        <w:rPr>
          <w:rFonts w:cs="Times New Roman"/>
          <w:b/>
          <w:bCs/>
          <w:szCs w:val="24"/>
        </w:rPr>
      </w:pPr>
    </w:p>
    <w:p w14:paraId="6F2853EA" w14:textId="6F6D90A6" w:rsidR="00E32652" w:rsidRDefault="00E32652" w:rsidP="004E7EE3">
      <w:pPr>
        <w:snapToGrid w:val="0"/>
        <w:spacing w:line="360" w:lineRule="auto"/>
        <w:jc w:val="both"/>
        <w:rPr>
          <w:rFonts w:cs="Times New Roman"/>
          <w:b/>
          <w:bCs/>
          <w:szCs w:val="24"/>
        </w:rPr>
      </w:pPr>
      <w:r>
        <w:rPr>
          <w:rFonts w:cs="Times New Roman"/>
          <w:b/>
          <w:bCs/>
          <w:szCs w:val="24"/>
        </w:rPr>
        <w:t>Abstract</w:t>
      </w:r>
    </w:p>
    <w:p w14:paraId="02F88ACB" w14:textId="77777777" w:rsidR="005B2BBF" w:rsidRPr="005B2BBF" w:rsidRDefault="005B2BBF" w:rsidP="005B2BBF">
      <w:pPr>
        <w:snapToGrid w:val="0"/>
        <w:spacing w:line="360" w:lineRule="auto"/>
        <w:ind w:firstLine="284"/>
        <w:jc w:val="both"/>
        <w:rPr>
          <w:rFonts w:cs="Times New Roman"/>
          <w:color w:val="FF0000"/>
          <w:szCs w:val="24"/>
          <w:lang w:eastAsia="zh-CN"/>
        </w:rPr>
      </w:pPr>
      <w:r w:rsidRPr="005B2BBF">
        <w:rPr>
          <w:rFonts w:cs="Times New Roman" w:hint="eastAsia"/>
          <w:color w:val="FF0000"/>
          <w:szCs w:val="24"/>
          <w:lang w:eastAsia="zh-CN"/>
        </w:rPr>
        <w:t>Interactions</w:t>
      </w:r>
      <w:r w:rsidRPr="005B2BBF">
        <w:rPr>
          <w:rFonts w:cs="Times New Roman"/>
          <w:color w:val="FF0000"/>
          <w:szCs w:val="24"/>
        </w:rPr>
        <w:t xml:space="preserve"> between bacteria and microalgae have been studied in natural environments and in industrial consortia.  As </w:t>
      </w:r>
      <w:r w:rsidRPr="005B2BBF">
        <w:rPr>
          <w:rFonts w:cs="Times New Roman" w:hint="eastAsia"/>
          <w:color w:val="FF0000"/>
          <w:szCs w:val="24"/>
          <w:lang w:eastAsia="zh-CN"/>
        </w:rPr>
        <w:t>results</w:t>
      </w:r>
      <w:r w:rsidRPr="005B2BBF">
        <w:rPr>
          <w:rFonts w:cs="Times New Roman"/>
          <w:color w:val="FF0000"/>
          <w:szCs w:val="24"/>
        </w:rPr>
        <w:t xml:space="preserve"> of  co-evolution </w:t>
      </w:r>
      <w:r w:rsidRPr="005B2BBF">
        <w:rPr>
          <w:rFonts w:cs="Times New Roman" w:hint="eastAsia"/>
          <w:color w:val="FF0000"/>
          <w:szCs w:val="24"/>
          <w:lang w:eastAsia="zh-CN"/>
        </w:rPr>
        <w:t>for millions of years in nature</w:t>
      </w:r>
      <w:r w:rsidRPr="005B2BBF">
        <w:rPr>
          <w:rFonts w:cs="Times New Roman"/>
          <w:color w:val="FF0000"/>
          <w:szCs w:val="24"/>
        </w:rPr>
        <w:t>, they have developed complex symbiotic relationships, including mutualism</w:t>
      </w:r>
      <w:r w:rsidRPr="005B2BBF">
        <w:rPr>
          <w:rFonts w:cs="Times New Roman" w:hint="eastAsia"/>
          <w:color w:val="FF0000"/>
          <w:szCs w:val="24"/>
          <w:lang w:eastAsia="zh-CN"/>
        </w:rPr>
        <w:t xml:space="preserve">, </w:t>
      </w:r>
      <w:r w:rsidRPr="005B2BBF">
        <w:rPr>
          <w:rFonts w:cs="Times New Roman"/>
          <w:color w:val="FF0000"/>
          <w:szCs w:val="24"/>
        </w:rPr>
        <w:t>commensalism</w:t>
      </w:r>
      <w:r w:rsidRPr="005B2BBF">
        <w:rPr>
          <w:rFonts w:cs="Times New Roman" w:hint="eastAsia"/>
          <w:color w:val="FF0000"/>
          <w:szCs w:val="24"/>
          <w:lang w:eastAsia="zh-CN"/>
        </w:rPr>
        <w:t xml:space="preserve"> and </w:t>
      </w:r>
      <w:r w:rsidRPr="005B2BBF">
        <w:rPr>
          <w:rFonts w:cs="Times New Roman"/>
          <w:color w:val="FF0000"/>
          <w:szCs w:val="24"/>
        </w:rPr>
        <w:t>parasitism</w:t>
      </w:r>
      <w:r w:rsidRPr="005B2BBF">
        <w:rPr>
          <w:rFonts w:cs="Times New Roman" w:hint="eastAsia"/>
          <w:color w:val="FF0000"/>
          <w:szCs w:val="24"/>
          <w:lang w:eastAsia="zh-CN"/>
        </w:rPr>
        <w:t xml:space="preserve">, the nature of which is decided by mechanisms of the interaction. </w:t>
      </w:r>
      <w:r w:rsidRPr="005B2BBF">
        <w:rPr>
          <w:rFonts w:cs="Times New Roman"/>
          <w:color w:val="FF0000"/>
          <w:szCs w:val="24"/>
        </w:rPr>
        <w:t>There are two main types of molecular interactions between microalgae and bacteria: exchange</w:t>
      </w:r>
      <w:r w:rsidRPr="005B2BBF">
        <w:rPr>
          <w:rFonts w:cs="Times New Roman" w:hint="eastAsia"/>
          <w:color w:val="FF0000"/>
          <w:szCs w:val="24"/>
          <w:lang w:eastAsia="zh-CN"/>
        </w:rPr>
        <w:t xml:space="preserve"> of</w:t>
      </w:r>
      <w:r w:rsidRPr="005B2BBF">
        <w:rPr>
          <w:rFonts w:cs="Times New Roman"/>
          <w:color w:val="FF0000"/>
          <w:szCs w:val="24"/>
        </w:rPr>
        <w:t xml:space="preserve"> nutrient</w:t>
      </w:r>
      <w:r w:rsidRPr="005B2BBF">
        <w:rPr>
          <w:rFonts w:cs="Times New Roman" w:hint="eastAsia"/>
          <w:color w:val="FF0000"/>
          <w:szCs w:val="24"/>
          <w:lang w:eastAsia="zh-CN"/>
        </w:rPr>
        <w:t>s</w:t>
      </w:r>
      <w:r w:rsidRPr="005B2BBF">
        <w:rPr>
          <w:rFonts w:cs="Times New Roman"/>
          <w:color w:val="FF0000"/>
          <w:szCs w:val="24"/>
        </w:rPr>
        <w:t xml:space="preserve"> and release of signalling molecules.  Nutrient exchange includes transport of organic carbon from microalgae </w:t>
      </w:r>
      <w:r w:rsidRPr="005B2BBF">
        <w:rPr>
          <w:rFonts w:cs="Times New Roman" w:hint="eastAsia"/>
          <w:color w:val="FF0000"/>
          <w:szCs w:val="24"/>
          <w:lang w:eastAsia="zh-CN"/>
        </w:rPr>
        <w:t xml:space="preserve">to bacteria </w:t>
      </w:r>
      <w:r w:rsidRPr="005B2BBF">
        <w:rPr>
          <w:rFonts w:cs="Times New Roman"/>
          <w:color w:val="FF0000"/>
          <w:szCs w:val="24"/>
        </w:rPr>
        <w:t xml:space="preserve">and </w:t>
      </w:r>
      <w:r w:rsidRPr="005B2BBF">
        <w:rPr>
          <w:rFonts w:cs="Times New Roman" w:hint="eastAsia"/>
          <w:color w:val="FF0000"/>
          <w:szCs w:val="24"/>
          <w:lang w:eastAsia="zh-CN"/>
        </w:rPr>
        <w:t xml:space="preserve">nutrient </w:t>
      </w:r>
      <w:r w:rsidRPr="005B2BBF">
        <w:rPr>
          <w:rFonts w:cs="Times New Roman"/>
          <w:color w:val="FF0000"/>
          <w:szCs w:val="24"/>
        </w:rPr>
        <w:t>nitrogen released from nitrogen-fixing bacteria</w:t>
      </w:r>
      <w:r w:rsidRPr="005B2BBF">
        <w:rPr>
          <w:rFonts w:cs="Times New Roman" w:hint="eastAsia"/>
          <w:color w:val="FF0000"/>
          <w:szCs w:val="24"/>
          <w:lang w:eastAsia="zh-CN"/>
        </w:rPr>
        <w:t xml:space="preserve"> to microalgae</w:t>
      </w:r>
      <w:r w:rsidRPr="005B2BBF">
        <w:rPr>
          <w:rFonts w:cs="Times New Roman"/>
          <w:color w:val="FF0000"/>
          <w:szCs w:val="24"/>
        </w:rPr>
        <w:t xml:space="preserve">, as well as </w:t>
      </w:r>
      <w:r w:rsidRPr="005B2BBF">
        <w:rPr>
          <w:rFonts w:cs="Times New Roman" w:hint="eastAsia"/>
          <w:color w:val="FF0000"/>
          <w:szCs w:val="24"/>
          <w:lang w:eastAsia="zh-CN"/>
        </w:rPr>
        <w:t xml:space="preserve">reciprocal supply of </w:t>
      </w:r>
      <w:r w:rsidRPr="005B2BBF">
        <w:rPr>
          <w:rFonts w:cs="Times New Roman"/>
          <w:color w:val="FF0000"/>
          <w:szCs w:val="24"/>
        </w:rPr>
        <w:t xml:space="preserve">micronutrients such as B vitamins and iron. Signalling molecules such as phytohormones secreted by microalgae and quorum sensing molecules secreted by bacteria have been shown to positively affect growth and metabolism of the symbiotic partner.  However, there are still a number of potential microalgae-bacteria interactions that have not been well explored, including </w:t>
      </w:r>
      <w:r w:rsidRPr="005B2BBF">
        <w:rPr>
          <w:rFonts w:cs="Times New Roman"/>
          <w:color w:val="FF0000"/>
          <w:szCs w:val="24"/>
        </w:rPr>
        <w:lastRenderedPageBreak/>
        <w:t xml:space="preserve">cyclic peptides, other quorum signalling molecules, and extracellular vesicles involved in exchange of genetic </w:t>
      </w:r>
      <w:r w:rsidRPr="005B2BBF">
        <w:rPr>
          <w:rFonts w:cs="Times New Roman" w:hint="eastAsia"/>
          <w:color w:val="FF0000"/>
          <w:szCs w:val="24"/>
          <w:lang w:eastAsia="zh-CN"/>
        </w:rPr>
        <w:t>materials</w:t>
      </w:r>
      <w:r w:rsidRPr="005B2BBF">
        <w:rPr>
          <w:rFonts w:cs="Times New Roman"/>
          <w:color w:val="FF0000"/>
          <w:szCs w:val="24"/>
        </w:rPr>
        <w:t xml:space="preserve">.  A more thorough understanding of these interactions may not only result in a deeper </w:t>
      </w:r>
      <w:r w:rsidRPr="005B2BBF">
        <w:rPr>
          <w:rFonts w:cs="Times New Roman" w:hint="eastAsia"/>
          <w:color w:val="FF0000"/>
          <w:szCs w:val="24"/>
          <w:lang w:eastAsia="zh-CN"/>
        </w:rPr>
        <w:t xml:space="preserve">understanding of </w:t>
      </w:r>
      <w:r w:rsidRPr="005B2BBF">
        <w:rPr>
          <w:rFonts w:cs="Times New Roman"/>
          <w:color w:val="FF0000"/>
          <w:szCs w:val="24"/>
        </w:rPr>
        <w:t xml:space="preserve">the relationships between these symbiotic organisms but also have potential biotechnological applications. </w:t>
      </w:r>
      <w:r w:rsidRPr="005B2BBF">
        <w:rPr>
          <w:rFonts w:cs="Times New Roman" w:hint="eastAsia"/>
          <w:color w:val="FF0000"/>
          <w:szCs w:val="24"/>
          <w:lang w:eastAsia="zh-CN"/>
        </w:rPr>
        <w:t xml:space="preserve">Upon new mechanisms of interaction being </w:t>
      </w:r>
      <w:r w:rsidRPr="005B2BBF">
        <w:rPr>
          <w:rFonts w:cs="Times New Roman"/>
          <w:color w:val="FF0000"/>
          <w:szCs w:val="24"/>
          <w:lang w:eastAsia="zh-CN"/>
        </w:rPr>
        <w:t>identified</w:t>
      </w:r>
      <w:r w:rsidRPr="005B2BBF">
        <w:rPr>
          <w:rFonts w:cs="Times New Roman" w:hint="eastAsia"/>
          <w:color w:val="FF0000"/>
          <w:szCs w:val="24"/>
          <w:lang w:eastAsia="zh-CN"/>
        </w:rPr>
        <w:t xml:space="preserve"> and characterized, </w:t>
      </w:r>
      <w:r w:rsidRPr="005B2BBF">
        <w:rPr>
          <w:rFonts w:cs="Times New Roman"/>
          <w:color w:val="FF0000"/>
          <w:szCs w:val="24"/>
        </w:rPr>
        <w:t xml:space="preserve"> </w:t>
      </w:r>
      <w:r w:rsidRPr="005B2BBF">
        <w:rPr>
          <w:rFonts w:cs="Times New Roman" w:hint="eastAsia"/>
          <w:color w:val="FF0000"/>
          <w:szCs w:val="24"/>
          <w:lang w:eastAsia="zh-CN"/>
        </w:rPr>
        <w:t>novel</w:t>
      </w:r>
      <w:r w:rsidRPr="005B2BBF">
        <w:rPr>
          <w:rFonts w:cs="Times New Roman"/>
          <w:color w:val="FF0000"/>
          <w:szCs w:val="24"/>
        </w:rPr>
        <w:t xml:space="preserve"> </w:t>
      </w:r>
      <w:r w:rsidRPr="005B2BBF">
        <w:rPr>
          <w:rFonts w:cs="Times New Roman" w:hint="eastAsia"/>
          <w:color w:val="FF0000"/>
          <w:szCs w:val="24"/>
          <w:lang w:eastAsia="zh-CN"/>
        </w:rPr>
        <w:t xml:space="preserve">bioprocesses of synthetic ecology might be developed especially for wastewater treatment and </w:t>
      </w:r>
      <w:r w:rsidRPr="005B2BBF">
        <w:rPr>
          <w:rFonts w:cs="Times New Roman"/>
          <w:color w:val="FF0000"/>
          <w:szCs w:val="24"/>
          <w:lang w:eastAsia="zh-CN"/>
        </w:rPr>
        <w:t>production</w:t>
      </w:r>
      <w:r w:rsidRPr="005B2BBF">
        <w:rPr>
          <w:rFonts w:cs="Times New Roman" w:hint="eastAsia"/>
          <w:color w:val="FF0000"/>
          <w:szCs w:val="24"/>
          <w:lang w:eastAsia="zh-CN"/>
        </w:rPr>
        <w:t xml:space="preserve"> of biofertilizers and biofuels.</w:t>
      </w:r>
    </w:p>
    <w:p w14:paraId="2B19C413" w14:textId="77777777" w:rsidR="003D3CC2" w:rsidRDefault="003D3CC2" w:rsidP="00E32652">
      <w:pPr>
        <w:snapToGrid w:val="0"/>
        <w:spacing w:line="360" w:lineRule="auto"/>
        <w:ind w:firstLine="284"/>
        <w:jc w:val="both"/>
        <w:rPr>
          <w:rFonts w:cs="Times New Roman"/>
          <w:szCs w:val="24"/>
        </w:rPr>
      </w:pPr>
    </w:p>
    <w:p w14:paraId="58FF0952" w14:textId="144ABB16" w:rsidR="003D3CC2" w:rsidRPr="00DD7233" w:rsidRDefault="003D3CC2" w:rsidP="003D3CC2">
      <w:pPr>
        <w:snapToGrid w:val="0"/>
        <w:spacing w:line="360" w:lineRule="auto"/>
        <w:jc w:val="both"/>
        <w:rPr>
          <w:rFonts w:cs="Times New Roman"/>
          <w:szCs w:val="24"/>
        </w:rPr>
      </w:pPr>
      <w:r w:rsidRPr="003D3CC2">
        <w:rPr>
          <w:rFonts w:cs="Times New Roman"/>
          <w:b/>
          <w:bCs/>
          <w:szCs w:val="24"/>
        </w:rPr>
        <w:t>Keywo</w:t>
      </w:r>
      <w:r>
        <w:rPr>
          <w:rFonts w:cs="Times New Roman"/>
          <w:b/>
          <w:bCs/>
          <w:szCs w:val="24"/>
        </w:rPr>
        <w:t>r</w:t>
      </w:r>
      <w:r w:rsidRPr="003D3CC2">
        <w:rPr>
          <w:rFonts w:cs="Times New Roman"/>
          <w:b/>
          <w:bCs/>
          <w:szCs w:val="24"/>
        </w:rPr>
        <w:t>ds</w:t>
      </w:r>
      <w:r>
        <w:rPr>
          <w:rFonts w:cs="Times New Roman"/>
          <w:b/>
          <w:bCs/>
          <w:szCs w:val="24"/>
        </w:rPr>
        <w:t xml:space="preserve">: </w:t>
      </w:r>
      <w:r w:rsidRPr="003D3CC2">
        <w:rPr>
          <w:rFonts w:cs="Times New Roman"/>
          <w:b/>
          <w:bCs/>
          <w:szCs w:val="24"/>
        </w:rPr>
        <w:t xml:space="preserve"> </w:t>
      </w:r>
      <w:r w:rsidR="00DD7233" w:rsidRPr="00DD7233">
        <w:rPr>
          <w:rFonts w:cs="Times New Roman"/>
          <w:szCs w:val="24"/>
        </w:rPr>
        <w:t>Bacteria, microalgae, circular economy, wastewater treatment, mutualism</w:t>
      </w:r>
      <w:r w:rsidR="000E543F">
        <w:rPr>
          <w:rFonts w:cs="Times New Roman"/>
          <w:szCs w:val="24"/>
        </w:rPr>
        <w:t>, synthetic ecology</w:t>
      </w:r>
    </w:p>
    <w:p w14:paraId="296EA8B3" w14:textId="77777777" w:rsidR="004A10E7" w:rsidRDefault="004A10E7" w:rsidP="004E7EE3">
      <w:pPr>
        <w:snapToGrid w:val="0"/>
        <w:spacing w:line="360" w:lineRule="auto"/>
        <w:jc w:val="both"/>
        <w:rPr>
          <w:rFonts w:cs="Times New Roman"/>
          <w:b/>
          <w:bCs/>
          <w:szCs w:val="24"/>
        </w:rPr>
      </w:pPr>
    </w:p>
    <w:p w14:paraId="2E7D795D" w14:textId="77777777" w:rsidR="0034609D" w:rsidRDefault="0034609D" w:rsidP="004E7EE3">
      <w:pPr>
        <w:snapToGrid w:val="0"/>
        <w:spacing w:line="360" w:lineRule="auto"/>
        <w:jc w:val="both"/>
        <w:rPr>
          <w:rFonts w:cs="Times New Roman"/>
          <w:b/>
          <w:bCs/>
          <w:szCs w:val="24"/>
        </w:rPr>
      </w:pPr>
    </w:p>
    <w:p w14:paraId="1C530BD8" w14:textId="515A3E4B" w:rsidR="004E7EE3" w:rsidRPr="00833CE8" w:rsidRDefault="00D73312" w:rsidP="004E7EE3">
      <w:pPr>
        <w:snapToGrid w:val="0"/>
        <w:spacing w:line="360" w:lineRule="auto"/>
        <w:jc w:val="both"/>
        <w:rPr>
          <w:rFonts w:cs="Times New Roman"/>
          <w:b/>
          <w:bCs/>
          <w:szCs w:val="24"/>
        </w:rPr>
      </w:pPr>
      <w:r w:rsidRPr="00833CE8">
        <w:rPr>
          <w:rFonts w:cs="Times New Roman"/>
          <w:b/>
          <w:bCs/>
          <w:szCs w:val="24"/>
        </w:rPr>
        <w:t>Table of Contents</w:t>
      </w:r>
    </w:p>
    <w:p w14:paraId="61B716E8" w14:textId="2DD70A81" w:rsidR="00D73312" w:rsidRPr="007B1908" w:rsidRDefault="00D73312" w:rsidP="007B1908">
      <w:pPr>
        <w:pStyle w:val="ListParagraph"/>
        <w:numPr>
          <w:ilvl w:val="0"/>
          <w:numId w:val="7"/>
        </w:numPr>
        <w:snapToGrid w:val="0"/>
        <w:spacing w:line="360" w:lineRule="auto"/>
        <w:jc w:val="both"/>
        <w:rPr>
          <w:rFonts w:cs="Times New Roman"/>
          <w:b/>
          <w:bCs/>
          <w:szCs w:val="24"/>
        </w:rPr>
      </w:pPr>
      <w:r w:rsidRPr="007B1908">
        <w:rPr>
          <w:rFonts w:cs="Times New Roman"/>
          <w:b/>
          <w:bCs/>
          <w:szCs w:val="24"/>
          <w:lang w:eastAsia="zh-CN"/>
        </w:rPr>
        <w:t>Background</w:t>
      </w:r>
    </w:p>
    <w:p w14:paraId="458522CC" w14:textId="77777777" w:rsidR="00D73312" w:rsidRPr="00833CE8" w:rsidRDefault="00D73312" w:rsidP="00D73312">
      <w:pPr>
        <w:pStyle w:val="ListParagraph"/>
        <w:numPr>
          <w:ilvl w:val="0"/>
          <w:numId w:val="7"/>
        </w:numPr>
        <w:snapToGrid w:val="0"/>
        <w:spacing w:line="360" w:lineRule="auto"/>
        <w:jc w:val="both"/>
        <w:rPr>
          <w:rFonts w:cs="Times New Roman"/>
          <w:b/>
          <w:bCs/>
          <w:szCs w:val="24"/>
          <w:lang w:eastAsia="zh-CN"/>
        </w:rPr>
      </w:pPr>
      <w:r w:rsidRPr="00833CE8">
        <w:rPr>
          <w:rFonts w:cs="Times New Roman"/>
          <w:b/>
          <w:bCs/>
          <w:szCs w:val="24"/>
          <w:lang w:eastAsia="zh-CN"/>
        </w:rPr>
        <w:t>Microalgae-bacteria Interactions</w:t>
      </w:r>
    </w:p>
    <w:p w14:paraId="297AE3F4" w14:textId="4A4E0858" w:rsidR="00D73312" w:rsidRPr="00833CE8" w:rsidRDefault="00D73312" w:rsidP="00D73312">
      <w:pPr>
        <w:pStyle w:val="ListParagraph"/>
        <w:numPr>
          <w:ilvl w:val="1"/>
          <w:numId w:val="7"/>
        </w:numPr>
        <w:snapToGrid w:val="0"/>
        <w:spacing w:line="360" w:lineRule="auto"/>
        <w:rPr>
          <w:rFonts w:cs="Times New Roman"/>
          <w:b/>
          <w:bCs/>
          <w:szCs w:val="24"/>
        </w:rPr>
      </w:pPr>
      <w:r w:rsidRPr="00833CE8">
        <w:rPr>
          <w:rFonts w:cs="Times New Roman"/>
          <w:b/>
          <w:bCs/>
          <w:szCs w:val="24"/>
        </w:rPr>
        <w:t xml:space="preserve">Nutrient </w:t>
      </w:r>
      <w:r w:rsidR="00442883">
        <w:rPr>
          <w:rFonts w:cs="Times New Roman"/>
          <w:b/>
          <w:bCs/>
          <w:szCs w:val="24"/>
        </w:rPr>
        <w:t>E</w:t>
      </w:r>
      <w:r w:rsidRPr="00833CE8">
        <w:rPr>
          <w:rFonts w:cs="Times New Roman"/>
          <w:b/>
          <w:bCs/>
          <w:szCs w:val="24"/>
        </w:rPr>
        <w:t>xchange</w:t>
      </w:r>
    </w:p>
    <w:p w14:paraId="7874EDC7" w14:textId="6419E86E" w:rsidR="00D73312" w:rsidRDefault="00D73312" w:rsidP="00D73312">
      <w:pPr>
        <w:pStyle w:val="ListParagraph"/>
        <w:numPr>
          <w:ilvl w:val="1"/>
          <w:numId w:val="7"/>
        </w:numPr>
        <w:snapToGrid w:val="0"/>
        <w:spacing w:line="360" w:lineRule="auto"/>
        <w:rPr>
          <w:rFonts w:cs="Times New Roman"/>
          <w:b/>
          <w:bCs/>
          <w:szCs w:val="24"/>
        </w:rPr>
      </w:pPr>
      <w:r w:rsidRPr="00833CE8">
        <w:rPr>
          <w:rFonts w:cs="Times New Roman"/>
          <w:b/>
          <w:bCs/>
          <w:szCs w:val="24"/>
        </w:rPr>
        <w:t xml:space="preserve">Signalling </w:t>
      </w:r>
      <w:r w:rsidR="00835DD1">
        <w:rPr>
          <w:rFonts w:cs="Times New Roman"/>
          <w:b/>
          <w:bCs/>
          <w:szCs w:val="24"/>
        </w:rPr>
        <w:t>M</w:t>
      </w:r>
      <w:r w:rsidRPr="00833CE8">
        <w:rPr>
          <w:rFonts w:cs="Times New Roman"/>
          <w:b/>
          <w:bCs/>
          <w:szCs w:val="24"/>
        </w:rPr>
        <w:t>olecules</w:t>
      </w:r>
    </w:p>
    <w:p w14:paraId="1CF7B06C" w14:textId="2629858E" w:rsidR="00967FF4" w:rsidRDefault="00967FF4" w:rsidP="00967FF4">
      <w:pPr>
        <w:pStyle w:val="ListParagraph"/>
        <w:numPr>
          <w:ilvl w:val="2"/>
          <w:numId w:val="7"/>
        </w:numPr>
        <w:snapToGrid w:val="0"/>
        <w:spacing w:line="360" w:lineRule="auto"/>
        <w:rPr>
          <w:rFonts w:cs="Times New Roman"/>
          <w:b/>
          <w:bCs/>
          <w:szCs w:val="24"/>
        </w:rPr>
      </w:pPr>
      <w:r>
        <w:rPr>
          <w:rFonts w:cs="Times New Roman"/>
          <w:b/>
          <w:bCs/>
          <w:szCs w:val="24"/>
        </w:rPr>
        <w:t>Quorum sensing (QS)</w:t>
      </w:r>
    </w:p>
    <w:p w14:paraId="3E7428F9" w14:textId="2A9AA99E" w:rsidR="00004CAC" w:rsidRDefault="00004CAC" w:rsidP="00004CAC">
      <w:pPr>
        <w:pStyle w:val="ListParagraph"/>
        <w:numPr>
          <w:ilvl w:val="3"/>
          <w:numId w:val="7"/>
        </w:numPr>
        <w:snapToGrid w:val="0"/>
        <w:spacing w:line="360" w:lineRule="auto"/>
        <w:rPr>
          <w:rFonts w:cs="Times New Roman"/>
          <w:b/>
          <w:bCs/>
          <w:szCs w:val="24"/>
        </w:rPr>
      </w:pPr>
      <w:r>
        <w:rPr>
          <w:rFonts w:cs="Times New Roman"/>
          <w:b/>
          <w:bCs/>
          <w:szCs w:val="24"/>
        </w:rPr>
        <w:t>N-acyl-homoserine lactones (AHLs)</w:t>
      </w:r>
    </w:p>
    <w:p w14:paraId="6955B835" w14:textId="39C20E15" w:rsidR="00004CAC" w:rsidRDefault="00004CAC" w:rsidP="00004CAC">
      <w:pPr>
        <w:pStyle w:val="ListParagraph"/>
        <w:numPr>
          <w:ilvl w:val="3"/>
          <w:numId w:val="7"/>
        </w:numPr>
        <w:snapToGrid w:val="0"/>
        <w:spacing w:line="360" w:lineRule="auto"/>
        <w:rPr>
          <w:rFonts w:cs="Times New Roman"/>
          <w:b/>
          <w:bCs/>
          <w:szCs w:val="24"/>
        </w:rPr>
      </w:pPr>
      <w:r>
        <w:rPr>
          <w:rFonts w:cs="Times New Roman"/>
          <w:b/>
          <w:bCs/>
          <w:szCs w:val="24"/>
        </w:rPr>
        <w:t>2-Alkyl-4-quinolones</w:t>
      </w:r>
    </w:p>
    <w:p w14:paraId="42DA198F" w14:textId="69702FF5" w:rsidR="00967FF4" w:rsidRDefault="00967FF4" w:rsidP="00967FF4">
      <w:pPr>
        <w:pStyle w:val="ListParagraph"/>
        <w:numPr>
          <w:ilvl w:val="2"/>
          <w:numId w:val="7"/>
        </w:numPr>
        <w:snapToGrid w:val="0"/>
        <w:spacing w:line="360" w:lineRule="auto"/>
        <w:rPr>
          <w:rFonts w:cs="Times New Roman"/>
          <w:b/>
          <w:bCs/>
          <w:szCs w:val="24"/>
        </w:rPr>
      </w:pPr>
      <w:r>
        <w:rPr>
          <w:rFonts w:cs="Times New Roman"/>
          <w:b/>
          <w:bCs/>
          <w:szCs w:val="24"/>
        </w:rPr>
        <w:t>Phytohormones</w:t>
      </w:r>
    </w:p>
    <w:p w14:paraId="6C140486" w14:textId="3DFA0B78" w:rsidR="00004CAC" w:rsidRDefault="0034609D" w:rsidP="00004CAC">
      <w:pPr>
        <w:pStyle w:val="ListParagraph"/>
        <w:numPr>
          <w:ilvl w:val="3"/>
          <w:numId w:val="7"/>
        </w:numPr>
        <w:snapToGrid w:val="0"/>
        <w:spacing w:line="360" w:lineRule="auto"/>
        <w:rPr>
          <w:rFonts w:cs="Times New Roman"/>
          <w:b/>
          <w:bCs/>
          <w:szCs w:val="24"/>
        </w:rPr>
      </w:pPr>
      <w:r>
        <w:rPr>
          <w:rFonts w:cs="Times New Roman"/>
          <w:b/>
          <w:bCs/>
          <w:szCs w:val="24"/>
        </w:rPr>
        <w:t>Indole-3-acetic Acid (IAA) and Phenylacetic Acid (PAA)</w:t>
      </w:r>
    </w:p>
    <w:p w14:paraId="703C5B44" w14:textId="3F6266D4" w:rsidR="00004CAC" w:rsidRDefault="00004CAC" w:rsidP="00004CAC">
      <w:pPr>
        <w:pStyle w:val="ListParagraph"/>
        <w:numPr>
          <w:ilvl w:val="3"/>
          <w:numId w:val="7"/>
        </w:numPr>
        <w:snapToGrid w:val="0"/>
        <w:spacing w:line="360" w:lineRule="auto"/>
        <w:rPr>
          <w:rFonts w:cs="Times New Roman"/>
          <w:b/>
          <w:bCs/>
          <w:szCs w:val="24"/>
        </w:rPr>
      </w:pPr>
      <w:r>
        <w:rPr>
          <w:rFonts w:cs="Times New Roman"/>
          <w:b/>
          <w:bCs/>
          <w:szCs w:val="24"/>
        </w:rPr>
        <w:t>Polyamine</w:t>
      </w:r>
      <w:r w:rsidR="0034609D">
        <w:rPr>
          <w:rFonts w:cs="Times New Roman"/>
          <w:b/>
          <w:bCs/>
          <w:szCs w:val="24"/>
        </w:rPr>
        <w:t xml:space="preserve"> Phytohormone</w:t>
      </w:r>
      <w:r>
        <w:rPr>
          <w:rFonts w:cs="Times New Roman"/>
          <w:b/>
          <w:bCs/>
          <w:szCs w:val="24"/>
        </w:rPr>
        <w:t>s</w:t>
      </w:r>
    </w:p>
    <w:p w14:paraId="1F29871E" w14:textId="46C990D8" w:rsidR="00004CAC" w:rsidRPr="00833CE8" w:rsidRDefault="00004CAC" w:rsidP="00004CAC">
      <w:pPr>
        <w:pStyle w:val="ListParagraph"/>
        <w:numPr>
          <w:ilvl w:val="2"/>
          <w:numId w:val="7"/>
        </w:numPr>
        <w:snapToGrid w:val="0"/>
        <w:spacing w:line="360" w:lineRule="auto"/>
        <w:rPr>
          <w:rFonts w:cs="Times New Roman"/>
          <w:b/>
          <w:bCs/>
          <w:szCs w:val="24"/>
        </w:rPr>
      </w:pPr>
      <w:r>
        <w:rPr>
          <w:rFonts w:cs="Times New Roman"/>
          <w:b/>
          <w:bCs/>
          <w:szCs w:val="24"/>
        </w:rPr>
        <w:t>Algicides</w:t>
      </w:r>
    </w:p>
    <w:p w14:paraId="0C81F168" w14:textId="77777777" w:rsidR="00D73312" w:rsidRPr="00833CE8" w:rsidRDefault="00D73312" w:rsidP="00D73312">
      <w:pPr>
        <w:pStyle w:val="ListParagraph"/>
        <w:numPr>
          <w:ilvl w:val="0"/>
          <w:numId w:val="7"/>
        </w:numPr>
        <w:snapToGrid w:val="0"/>
        <w:spacing w:line="360" w:lineRule="auto"/>
        <w:rPr>
          <w:rFonts w:cs="Times New Roman"/>
          <w:b/>
          <w:bCs/>
          <w:szCs w:val="24"/>
        </w:rPr>
      </w:pPr>
      <w:r w:rsidRPr="00833CE8">
        <w:rPr>
          <w:rFonts w:cs="Times New Roman"/>
          <w:b/>
          <w:bCs/>
          <w:szCs w:val="24"/>
        </w:rPr>
        <w:t>Synthetic Ecology</w:t>
      </w:r>
    </w:p>
    <w:p w14:paraId="0C426EDF" w14:textId="27003031" w:rsidR="00E078C1" w:rsidRDefault="00B317C6" w:rsidP="00E078C1">
      <w:pPr>
        <w:pStyle w:val="ListParagraph"/>
        <w:numPr>
          <w:ilvl w:val="1"/>
          <w:numId w:val="7"/>
        </w:numPr>
        <w:snapToGrid w:val="0"/>
        <w:spacing w:line="360" w:lineRule="auto"/>
        <w:rPr>
          <w:rFonts w:cs="Times New Roman"/>
          <w:b/>
          <w:bCs/>
          <w:szCs w:val="24"/>
        </w:rPr>
      </w:pPr>
      <w:r w:rsidRPr="00833CE8">
        <w:rPr>
          <w:rFonts w:cs="Times New Roman"/>
          <w:b/>
          <w:bCs/>
          <w:szCs w:val="24"/>
        </w:rPr>
        <w:t xml:space="preserve">Identification of </w:t>
      </w:r>
      <w:r w:rsidR="00835DD1">
        <w:rPr>
          <w:rFonts w:cs="Times New Roman"/>
          <w:b/>
          <w:bCs/>
          <w:szCs w:val="24"/>
        </w:rPr>
        <w:t>P</w:t>
      </w:r>
      <w:r w:rsidRPr="00833CE8">
        <w:rPr>
          <w:rFonts w:cs="Times New Roman"/>
          <w:b/>
          <w:bCs/>
          <w:szCs w:val="24"/>
        </w:rPr>
        <w:t xml:space="preserve">otential </w:t>
      </w:r>
      <w:bookmarkStart w:id="1" w:name="_Hlk186021793"/>
      <w:r w:rsidR="00835DD1">
        <w:rPr>
          <w:rFonts w:cs="Times New Roman"/>
          <w:b/>
          <w:bCs/>
          <w:szCs w:val="24"/>
        </w:rPr>
        <w:t>M</w:t>
      </w:r>
      <w:r w:rsidRPr="00833CE8">
        <w:rPr>
          <w:rFonts w:cs="Times New Roman"/>
          <w:b/>
          <w:bCs/>
          <w:szCs w:val="24"/>
        </w:rPr>
        <w:t xml:space="preserve">icroalgae-bacteria </w:t>
      </w:r>
      <w:r w:rsidR="00835DD1">
        <w:rPr>
          <w:rFonts w:cs="Times New Roman"/>
          <w:b/>
          <w:bCs/>
          <w:szCs w:val="24"/>
        </w:rPr>
        <w:t>I</w:t>
      </w:r>
      <w:r w:rsidRPr="00833CE8">
        <w:rPr>
          <w:rFonts w:cs="Times New Roman"/>
          <w:b/>
          <w:bCs/>
          <w:szCs w:val="24"/>
        </w:rPr>
        <w:t>nteractions</w:t>
      </w:r>
    </w:p>
    <w:p w14:paraId="714B1065" w14:textId="4EE84D85" w:rsidR="00445000" w:rsidRDefault="006A2B4C" w:rsidP="00445000">
      <w:pPr>
        <w:pStyle w:val="ListParagraph"/>
        <w:numPr>
          <w:ilvl w:val="2"/>
          <w:numId w:val="7"/>
        </w:numPr>
        <w:snapToGrid w:val="0"/>
        <w:spacing w:line="360" w:lineRule="auto"/>
        <w:rPr>
          <w:rFonts w:cs="Times New Roman"/>
          <w:b/>
          <w:bCs/>
          <w:szCs w:val="24"/>
        </w:rPr>
      </w:pPr>
      <w:r>
        <w:rPr>
          <w:rFonts w:cs="Times New Roman"/>
          <w:b/>
          <w:bCs/>
          <w:szCs w:val="24"/>
        </w:rPr>
        <w:t>Other QS Signalling</w:t>
      </w:r>
    </w:p>
    <w:p w14:paraId="099E628D" w14:textId="19486102" w:rsidR="00445000" w:rsidRDefault="006A2B4C" w:rsidP="00445000">
      <w:pPr>
        <w:pStyle w:val="ListParagraph"/>
        <w:numPr>
          <w:ilvl w:val="2"/>
          <w:numId w:val="7"/>
        </w:numPr>
        <w:snapToGrid w:val="0"/>
        <w:spacing w:line="360" w:lineRule="auto"/>
        <w:rPr>
          <w:rFonts w:cs="Times New Roman"/>
          <w:b/>
          <w:bCs/>
          <w:szCs w:val="24"/>
        </w:rPr>
      </w:pPr>
      <w:r w:rsidRPr="006A2B4C">
        <w:rPr>
          <w:rFonts w:cs="Times New Roman"/>
          <w:b/>
          <w:bCs/>
          <w:szCs w:val="24"/>
        </w:rPr>
        <w:t>2,5-</w:t>
      </w:r>
      <w:r>
        <w:rPr>
          <w:rFonts w:cs="Times New Roman"/>
          <w:b/>
          <w:bCs/>
          <w:szCs w:val="24"/>
        </w:rPr>
        <w:t>D</w:t>
      </w:r>
      <w:r w:rsidRPr="006A2B4C">
        <w:rPr>
          <w:rFonts w:cs="Times New Roman"/>
          <w:b/>
          <w:bCs/>
          <w:szCs w:val="24"/>
        </w:rPr>
        <w:t>iketopiperazines</w:t>
      </w:r>
      <w:r w:rsidR="0034609D">
        <w:rPr>
          <w:rFonts w:cs="Times New Roman"/>
          <w:b/>
          <w:bCs/>
          <w:szCs w:val="24"/>
        </w:rPr>
        <w:t xml:space="preserve"> (DKPs)</w:t>
      </w:r>
    </w:p>
    <w:p w14:paraId="394DC7EF" w14:textId="1A48AB50" w:rsidR="006A2B4C" w:rsidRPr="006A2B4C" w:rsidRDefault="006A2B4C" w:rsidP="006A2B4C">
      <w:pPr>
        <w:pStyle w:val="ListParagraph"/>
        <w:numPr>
          <w:ilvl w:val="2"/>
          <w:numId w:val="7"/>
        </w:numPr>
        <w:snapToGrid w:val="0"/>
        <w:spacing w:line="360" w:lineRule="auto"/>
        <w:rPr>
          <w:rFonts w:cs="Times New Roman"/>
          <w:b/>
          <w:bCs/>
          <w:szCs w:val="24"/>
        </w:rPr>
      </w:pPr>
      <w:r>
        <w:rPr>
          <w:rFonts w:cs="Times New Roman"/>
          <w:b/>
          <w:bCs/>
          <w:szCs w:val="24"/>
        </w:rPr>
        <w:t>Biofilm Interactions</w:t>
      </w:r>
    </w:p>
    <w:p w14:paraId="4DD2DBF7" w14:textId="1F666F40" w:rsidR="006A2B4C" w:rsidRPr="00833CE8" w:rsidRDefault="006A2B4C" w:rsidP="00445000">
      <w:pPr>
        <w:pStyle w:val="ListParagraph"/>
        <w:numPr>
          <w:ilvl w:val="2"/>
          <w:numId w:val="7"/>
        </w:numPr>
        <w:snapToGrid w:val="0"/>
        <w:spacing w:line="360" w:lineRule="auto"/>
        <w:rPr>
          <w:rFonts w:cs="Times New Roman"/>
          <w:b/>
          <w:bCs/>
          <w:szCs w:val="24"/>
        </w:rPr>
      </w:pPr>
      <w:r>
        <w:rPr>
          <w:rFonts w:cs="Times New Roman"/>
          <w:b/>
          <w:bCs/>
          <w:szCs w:val="24"/>
        </w:rPr>
        <w:t>Extracellular Vesicles</w:t>
      </w:r>
    </w:p>
    <w:bookmarkEnd w:id="1"/>
    <w:p w14:paraId="3529AA8A" w14:textId="77777777" w:rsidR="00D73312" w:rsidRDefault="00D73312" w:rsidP="00E078C1">
      <w:pPr>
        <w:pStyle w:val="ListParagraph"/>
        <w:numPr>
          <w:ilvl w:val="1"/>
          <w:numId w:val="7"/>
        </w:numPr>
        <w:snapToGrid w:val="0"/>
        <w:spacing w:line="360" w:lineRule="auto"/>
        <w:rPr>
          <w:rFonts w:cs="Times New Roman"/>
          <w:b/>
          <w:bCs/>
          <w:szCs w:val="24"/>
        </w:rPr>
      </w:pPr>
      <w:r w:rsidRPr="00833CE8">
        <w:rPr>
          <w:rFonts w:cs="Times New Roman"/>
          <w:b/>
          <w:bCs/>
          <w:szCs w:val="24"/>
        </w:rPr>
        <w:t xml:space="preserve">Biotechnological Applications </w:t>
      </w:r>
    </w:p>
    <w:p w14:paraId="6EF1E026" w14:textId="68FC6305" w:rsidR="00004CAC" w:rsidRPr="00004CAC" w:rsidRDefault="00004CAC" w:rsidP="00004CAC">
      <w:pPr>
        <w:pStyle w:val="ListParagraph"/>
        <w:numPr>
          <w:ilvl w:val="2"/>
          <w:numId w:val="7"/>
        </w:numPr>
        <w:snapToGrid w:val="0"/>
        <w:spacing w:line="360" w:lineRule="auto"/>
        <w:rPr>
          <w:rFonts w:cs="Times New Roman"/>
          <w:b/>
          <w:bCs/>
          <w:szCs w:val="24"/>
        </w:rPr>
      </w:pPr>
      <w:r>
        <w:rPr>
          <w:rFonts w:cs="Times New Roman"/>
          <w:b/>
          <w:bCs/>
          <w:szCs w:val="24"/>
        </w:rPr>
        <w:t>Bioproducts</w:t>
      </w:r>
    </w:p>
    <w:p w14:paraId="54E01670" w14:textId="30EC291C" w:rsidR="00004CAC" w:rsidRDefault="00004CAC" w:rsidP="00004CAC">
      <w:pPr>
        <w:pStyle w:val="ListParagraph"/>
        <w:numPr>
          <w:ilvl w:val="2"/>
          <w:numId w:val="7"/>
        </w:numPr>
        <w:snapToGrid w:val="0"/>
        <w:spacing w:line="360" w:lineRule="auto"/>
        <w:rPr>
          <w:rFonts w:cs="Times New Roman"/>
          <w:b/>
          <w:bCs/>
          <w:szCs w:val="24"/>
        </w:rPr>
      </w:pPr>
      <w:r>
        <w:rPr>
          <w:rFonts w:cs="Times New Roman"/>
          <w:b/>
          <w:bCs/>
          <w:szCs w:val="24"/>
        </w:rPr>
        <w:lastRenderedPageBreak/>
        <w:t>Wastewater</w:t>
      </w:r>
    </w:p>
    <w:p w14:paraId="0CA45D3F" w14:textId="130E905D" w:rsidR="00004CAC" w:rsidRPr="00833CE8" w:rsidRDefault="00004CAC" w:rsidP="00004CAC">
      <w:pPr>
        <w:pStyle w:val="ListParagraph"/>
        <w:numPr>
          <w:ilvl w:val="2"/>
          <w:numId w:val="7"/>
        </w:numPr>
        <w:snapToGrid w:val="0"/>
        <w:spacing w:line="360" w:lineRule="auto"/>
        <w:rPr>
          <w:rFonts w:cs="Times New Roman"/>
          <w:b/>
          <w:bCs/>
          <w:szCs w:val="24"/>
        </w:rPr>
      </w:pPr>
      <w:r>
        <w:rPr>
          <w:rFonts w:cs="Times New Roman"/>
          <w:b/>
          <w:bCs/>
          <w:szCs w:val="24"/>
        </w:rPr>
        <w:t>Circular Economy</w:t>
      </w:r>
    </w:p>
    <w:p w14:paraId="20B8BAA7" w14:textId="213E92EA" w:rsidR="00D73312" w:rsidRDefault="00D73312" w:rsidP="00D73312">
      <w:pPr>
        <w:pStyle w:val="ListParagraph"/>
        <w:numPr>
          <w:ilvl w:val="0"/>
          <w:numId w:val="7"/>
        </w:numPr>
        <w:snapToGrid w:val="0"/>
        <w:spacing w:line="360" w:lineRule="auto"/>
        <w:rPr>
          <w:rFonts w:cs="Times New Roman"/>
          <w:b/>
          <w:bCs/>
          <w:szCs w:val="24"/>
        </w:rPr>
      </w:pPr>
      <w:r w:rsidRPr="00833CE8">
        <w:rPr>
          <w:rFonts w:cs="Times New Roman"/>
          <w:b/>
          <w:bCs/>
          <w:szCs w:val="24"/>
        </w:rPr>
        <w:t>Conclusion and Future Directions</w:t>
      </w:r>
    </w:p>
    <w:p w14:paraId="79D16B5B" w14:textId="3157DB40" w:rsidR="007B1908" w:rsidRPr="007B1908" w:rsidRDefault="007B1908" w:rsidP="007B1908">
      <w:pPr>
        <w:snapToGrid w:val="0"/>
        <w:spacing w:line="360" w:lineRule="auto"/>
        <w:rPr>
          <w:rFonts w:cs="Times New Roman"/>
          <w:b/>
          <w:bCs/>
          <w:szCs w:val="24"/>
        </w:rPr>
      </w:pPr>
      <w:r>
        <w:rPr>
          <w:rFonts w:cs="Times New Roman"/>
          <w:b/>
          <w:bCs/>
          <w:szCs w:val="24"/>
        </w:rPr>
        <w:t>References</w:t>
      </w:r>
    </w:p>
    <w:p w14:paraId="21B6E0A5" w14:textId="77777777" w:rsidR="00D73312" w:rsidRPr="00833CE8" w:rsidRDefault="00D73312" w:rsidP="004E7EE3">
      <w:pPr>
        <w:snapToGrid w:val="0"/>
        <w:spacing w:line="360" w:lineRule="auto"/>
        <w:jc w:val="both"/>
        <w:rPr>
          <w:rFonts w:cs="Times New Roman"/>
          <w:b/>
          <w:bCs/>
          <w:szCs w:val="24"/>
        </w:rPr>
      </w:pPr>
    </w:p>
    <w:p w14:paraId="6271E4CD" w14:textId="6F212E5B" w:rsidR="007345D2" w:rsidRPr="00833CE8" w:rsidRDefault="0003499B" w:rsidP="00D73312">
      <w:pPr>
        <w:pStyle w:val="ListParagraph"/>
        <w:numPr>
          <w:ilvl w:val="0"/>
          <w:numId w:val="9"/>
        </w:numPr>
        <w:snapToGrid w:val="0"/>
        <w:spacing w:line="360" w:lineRule="auto"/>
        <w:jc w:val="both"/>
        <w:rPr>
          <w:rFonts w:cs="Times New Roman"/>
          <w:b/>
          <w:bCs/>
          <w:szCs w:val="24"/>
        </w:rPr>
      </w:pPr>
      <w:r>
        <w:rPr>
          <w:rFonts w:cs="Times New Roman"/>
          <w:b/>
          <w:bCs/>
          <w:szCs w:val="24"/>
        </w:rPr>
        <w:t>Background</w:t>
      </w:r>
    </w:p>
    <w:p w14:paraId="5EC4581A" w14:textId="0BC4075C" w:rsidR="00BC1C2C" w:rsidRPr="000E543F" w:rsidRDefault="000A5BF4" w:rsidP="00772119">
      <w:pPr>
        <w:snapToGrid w:val="0"/>
        <w:spacing w:line="360" w:lineRule="auto"/>
        <w:ind w:firstLine="284"/>
        <w:jc w:val="both"/>
        <w:rPr>
          <w:rFonts w:cs="Times New Roman"/>
          <w:szCs w:val="24"/>
          <w:lang w:val="fr-BE" w:eastAsia="zh-CN"/>
        </w:rPr>
      </w:pPr>
      <w:bookmarkStart w:id="2" w:name="_Hlk185944595"/>
      <w:bookmarkStart w:id="3" w:name="_Hlk173918495"/>
      <w:r w:rsidRPr="00833CE8">
        <w:rPr>
          <w:rFonts w:cs="Times New Roman"/>
          <w:szCs w:val="24"/>
        </w:rPr>
        <w:t>T</w:t>
      </w:r>
      <w:r w:rsidR="00C05FE1" w:rsidRPr="00833CE8">
        <w:rPr>
          <w:rFonts w:cs="Times New Roman"/>
          <w:szCs w:val="24"/>
        </w:rPr>
        <w:t>he relationship between bacteria and microalgae</w:t>
      </w:r>
      <w:r w:rsidR="00922827" w:rsidRPr="00833CE8">
        <w:rPr>
          <w:rFonts w:cs="Times New Roman"/>
          <w:szCs w:val="24"/>
        </w:rPr>
        <w:t xml:space="preserve"> has been studied in the natural </w:t>
      </w:r>
      <w:r w:rsidR="00922827" w:rsidRPr="00996890">
        <w:rPr>
          <w:rFonts w:cs="Times New Roman"/>
          <w:szCs w:val="24"/>
        </w:rPr>
        <w:t>environment</w:t>
      </w:r>
      <w:r w:rsidR="00766067" w:rsidRPr="00833CE8">
        <w:rPr>
          <w:rFonts w:cs="Times New Roman"/>
          <w:szCs w:val="24"/>
        </w:rPr>
        <w:t xml:space="preserve">, </w:t>
      </w:r>
      <w:bookmarkEnd w:id="2"/>
      <w:r w:rsidR="00766067" w:rsidRPr="00833CE8">
        <w:rPr>
          <w:rFonts w:cs="Times New Roman"/>
          <w:szCs w:val="24"/>
        </w:rPr>
        <w:t xml:space="preserve">especially marine </w:t>
      </w:r>
      <w:r w:rsidR="000E543F">
        <w:rPr>
          <w:rFonts w:cs="Times New Roman"/>
          <w:szCs w:val="24"/>
        </w:rPr>
        <w:t>ecosystems</w:t>
      </w:r>
      <w:r w:rsidR="00766067" w:rsidRPr="00833CE8">
        <w:rPr>
          <w:rFonts w:cs="Times New Roman"/>
          <w:szCs w:val="24"/>
        </w:rPr>
        <w:t>,</w:t>
      </w:r>
      <w:r w:rsidR="00922827" w:rsidRPr="00833CE8">
        <w:rPr>
          <w:rFonts w:cs="Times New Roman"/>
          <w:szCs w:val="24"/>
        </w:rPr>
        <w:t xml:space="preserve"> as well as for microbial consortia in industrial settings</w:t>
      </w:r>
      <w:r w:rsidR="003C405A" w:rsidRPr="00833CE8">
        <w:rPr>
          <w:rFonts w:cs="Times New Roman"/>
          <w:szCs w:val="24"/>
        </w:rPr>
        <w:t xml:space="preserve"> </w:t>
      </w:r>
      <w:r w:rsidR="003738FE" w:rsidRPr="00833CE8">
        <w:rPr>
          <w:rFonts w:cs="Times New Roman"/>
          <w:szCs w:val="24"/>
        </w:rPr>
        <w:fldChar w:fldCharType="begin"/>
      </w:r>
      <w:r w:rsidR="005522CA" w:rsidRPr="00833CE8">
        <w:rPr>
          <w:rFonts w:cs="Times New Roman"/>
          <w:szCs w:val="24"/>
        </w:rPr>
        <w:instrText xml:space="preserve"> ADDIN ZOTERO_ITEM CSL_CITATION {"citationID":"R8MccZro","properties":{"formattedCitation":"(Ramanan et al., 2016)","plainCitation":"(Ramanan et al., 2016)","noteIndex":0},"citationItems":[{"id":4341,"uris":["http://zotero.org/users/764524/items/ERRNH89J"],"itemData":{"id":4341,"type":"article-journal","abstract":"Algae and bacteria have coexisted ever since the early stages of evolution. This coevolution has revolutionized life on earth in many aspects. Algae and bacteria together influence ecosystems as varied as deep seas to lichens and represent all conceivable modes of interactions — from mutualism to parasitism. Several studies have shown that algae and bacteria synergistically affect each other's physiology and metabolism, a classic case being algae–roseobacter interaction. These interactions are ubiquitous and define the primary productivity in most ecosystems. In recent years, algae have received much attention for industrial exploitation but their interaction with bacteria is often considered a contamination during commercialization. A few recent studies have shown that bacteria not only enhance algal growth but also help in flocculation, both essential processes in algal biotechnology. Hence, there is a need to understand these interactions from an evolutionary and ecological standpoint, and integrate this understanding for industrial use. Here we reflect on the diversity of such relationships and their associated mechanisms, as well as the habitats that they mutually influence. This review also outlines the role of these interactions in key evolutionary events such as endosymbiosis, besides their ecological role in biogeochemical cycles. Finally, we focus on extending such studies on algal–bacterial interactions to various environmental and bio-technological applications.","container-title":"Biotechnology Advances","DOI":"10.1016/j.biotechadv.2015.12.003","ISSN":"0734-9750","issue":"1","journalAbbreviation":"Biotechnol. Adv.","page":"14-29","source":"ScienceDirect","title":"Algae–bacteria interactions: Evolution, ecology and emerging applications","title-short":"Algae–bacteria interactions","volume":"34","author":[{"family":"Ramanan","given":"Rishiram"},{"family":"Kim","given":"Byung-Hyuk"},{"family":"Cho","given":"Dae-Hyun"},{"family":"Oh","given":"Hee-Mock"},{"family":"Kim","given":"Hee-Sik"}],"issued":{"date-parts":[["2016",1,1]]}}}],"schema":"https://github.com/citation-style-language/schema/raw/master/csl-citation.json"} </w:instrText>
      </w:r>
      <w:r w:rsidR="003738FE" w:rsidRPr="00833CE8">
        <w:rPr>
          <w:rFonts w:cs="Times New Roman"/>
          <w:szCs w:val="24"/>
        </w:rPr>
        <w:fldChar w:fldCharType="separate"/>
      </w:r>
      <w:r w:rsidR="009F150C" w:rsidRPr="00833CE8">
        <w:rPr>
          <w:rFonts w:cs="Times New Roman"/>
        </w:rPr>
        <w:t>(Ramanan et al., 2016)</w:t>
      </w:r>
      <w:r w:rsidR="003738FE" w:rsidRPr="00833CE8">
        <w:rPr>
          <w:rFonts w:cs="Times New Roman"/>
          <w:szCs w:val="24"/>
        </w:rPr>
        <w:fldChar w:fldCharType="end"/>
      </w:r>
      <w:r w:rsidR="003C405A" w:rsidRPr="00833CE8">
        <w:rPr>
          <w:rFonts w:cs="Times New Roman"/>
          <w:szCs w:val="24"/>
        </w:rPr>
        <w:t>.</w:t>
      </w:r>
      <w:r w:rsidR="00922827" w:rsidRPr="00833CE8">
        <w:rPr>
          <w:rFonts w:cs="Times New Roman"/>
          <w:szCs w:val="24"/>
        </w:rPr>
        <w:t xml:space="preserve">  </w:t>
      </w:r>
      <w:r w:rsidR="002F2DB4" w:rsidRPr="00833CE8">
        <w:rPr>
          <w:rFonts w:cs="Times New Roman"/>
          <w:szCs w:val="24"/>
        </w:rPr>
        <w:t xml:space="preserve">The </w:t>
      </w:r>
      <w:r w:rsidR="00766067" w:rsidRPr="00833CE8">
        <w:rPr>
          <w:rFonts w:cs="Times New Roman"/>
          <w:szCs w:val="24"/>
        </w:rPr>
        <w:t>h</w:t>
      </w:r>
      <w:r w:rsidR="00922827" w:rsidRPr="00833CE8">
        <w:rPr>
          <w:rFonts w:cs="Times New Roman"/>
          <w:szCs w:val="24"/>
        </w:rPr>
        <w:t xml:space="preserve">istory of </w:t>
      </w:r>
      <w:r w:rsidR="00845CD4" w:rsidRPr="00845CD4">
        <w:rPr>
          <w:rFonts w:cs="Times New Roman"/>
          <w:color w:val="FF0000"/>
          <w:szCs w:val="24"/>
        </w:rPr>
        <w:t>co-</w:t>
      </w:r>
      <w:r w:rsidR="00922827" w:rsidRPr="00845CD4">
        <w:rPr>
          <w:rFonts w:cs="Times New Roman"/>
          <w:color w:val="FF0000"/>
          <w:szCs w:val="24"/>
        </w:rPr>
        <w:t>evolution</w:t>
      </w:r>
      <w:r w:rsidR="00766067" w:rsidRPr="00845CD4">
        <w:rPr>
          <w:rFonts w:cs="Times New Roman"/>
          <w:color w:val="FF0000"/>
          <w:szCs w:val="24"/>
        </w:rPr>
        <w:t xml:space="preserve"> </w:t>
      </w:r>
      <w:r w:rsidR="00845CD4" w:rsidRPr="00845CD4">
        <w:rPr>
          <w:rFonts w:cs="Times New Roman"/>
          <w:color w:val="FF0000"/>
          <w:szCs w:val="24"/>
        </w:rPr>
        <w:t xml:space="preserve">between bacteria and </w:t>
      </w:r>
      <w:r w:rsidR="005B2BBF">
        <w:rPr>
          <w:rFonts w:cs="Times New Roman"/>
          <w:color w:val="FF0000"/>
          <w:szCs w:val="24"/>
        </w:rPr>
        <w:t>microalgae</w:t>
      </w:r>
      <w:r w:rsidR="00845CD4" w:rsidRPr="00845CD4">
        <w:rPr>
          <w:rFonts w:cs="Times New Roman"/>
          <w:color w:val="FF0000"/>
          <w:szCs w:val="24"/>
        </w:rPr>
        <w:t xml:space="preserve"> </w:t>
      </w:r>
      <w:r w:rsidR="00766067" w:rsidRPr="00833CE8">
        <w:rPr>
          <w:rFonts w:cs="Times New Roman"/>
          <w:szCs w:val="24"/>
        </w:rPr>
        <w:t xml:space="preserve">is ancient, including </w:t>
      </w:r>
      <w:r w:rsidR="00922827" w:rsidRPr="00833CE8">
        <w:rPr>
          <w:rFonts w:cs="Times New Roman"/>
          <w:szCs w:val="24"/>
        </w:rPr>
        <w:t>endosymbio</w:t>
      </w:r>
      <w:r w:rsidR="00766067" w:rsidRPr="00833CE8">
        <w:rPr>
          <w:rFonts w:cs="Times New Roman"/>
          <w:szCs w:val="24"/>
        </w:rPr>
        <w:t>sis</w:t>
      </w:r>
      <w:r w:rsidR="00922827" w:rsidRPr="00833CE8">
        <w:rPr>
          <w:rFonts w:cs="Times New Roman"/>
          <w:szCs w:val="24"/>
        </w:rPr>
        <w:t xml:space="preserve"> </w:t>
      </w:r>
      <w:r w:rsidR="003738FE" w:rsidRPr="00833CE8">
        <w:rPr>
          <w:rFonts w:cs="Times New Roman"/>
          <w:szCs w:val="24"/>
        </w:rPr>
        <w:fldChar w:fldCharType="begin"/>
      </w:r>
      <w:r w:rsidR="009F150C" w:rsidRPr="00833CE8">
        <w:rPr>
          <w:rFonts w:cs="Times New Roman"/>
          <w:szCs w:val="24"/>
        </w:rPr>
        <w:instrText xml:space="preserve"> ADDIN ZOTERO_ITEM CSL_CITATION {"citationID":"7aSQGleL","properties":{"formattedCitation":"(Bennett et al., 2024; Matthews et al., 2023; Murphy and O\\uc0\\u8217{}Neill, 2024)","plainCitation":"(Bennett et al., 2024; Matthews et al., 2023; Murphy and O’Neill, 2024)","noteIndex":0},"citationItems":[{"id":4437,"uris":["http://zotero.org/users/764524/items/KRM58D8Y"],"itemData":{"id":4437,"type":"article-journal","abstract":"Mitochondria retain bacterial traits due to their endosymbiotic origin, but host cells do not recognize them as foreign because the organelles are sequestered. However, the regulated release of mitochondrial factors into the cytosol can trigger cell death, innate immunity and inflammation. This selective breakdown in the 2-billion-year-old endosymbiotic relationship enables mitochondria to act as intracellular signalling hubs. Mitochondrial signals include proteins, nucleic acids, phospholipids, metabolites and reactive oxygen species, which have many modes of release from mitochondria, and of decoding in the cytosol and nucleus. Because these mitochondrial signals probably contribute to the homeostatic role of inflammation, dysregulation of these processes may lead to autoimmune and inflammatory diseases. A potential reason for the increased incidence of these diseases may be changes in mitochondrial function and signalling in response to such recent phenomena as obesity, dietary changes and other environmental factors. Focusing on the mixed heritage of mitochondria therefore leads to predictions for future insights, research paths and therapeutic opportunities. Thus, whereas mitochondria can be considered ‘the enemy within’ the cell, evolution has used this strained relationship in intriguing ways, with increasing evidence pointing to the recent failure of endosymbiosis being critical for the pathogenesis of inflammatory diseases.","container-title":"Nature","DOI":"10.1038/s41586-023-06866-z","ISSN":"1476-4687","issue":"7998","language":"en","license":"2024 Springer Nature Limited","note":"publisher: Nature Publishing Group","page":"271-279","source":"www.nature.com","title":"A break in mitochondrial endosymbiosis as a basis for inflammatory diseases","volume":"626","author":[{"family":"Murphy","given":"Michael P."},{"family":"O’Neill","given":"Luke A. J."}],"issued":{"date-parts":[["2024",2]]}}},{"id":4442,"uris":["http://zotero.org/users/764524/items/LSRDGR2H"],"itemData":{"id":4442,"type":"article-journal","abstract":"Bacteria are key contributors to microalgae resource acquisition, competitive performance, and functional diversity, but their potential metabolic interactions with coral microalgal endosymbionts (Symbiodiniaceae) have been largely overlooked. Here, we show that altering the bacterial composition of two widespread Symbiodiniaceae species, during their free-living stage, results in a significant shift in their cellular metabolism. Indeed, the abundance of monosaccharides and the key phytohormone indole-3-acetic acid (IAA) were correlated with the presence of specific bacteria, including members of the Labrenzia (Roseibium) and Marinobacter genera. Single-cell stable isotope tracking revealed that these two bacterial genera are involved in reciprocal exchanges of carbon and nitrogen with Symbiodiniaceae. We identified the provision of IAA by Labrenzia and Marinobacter, and this metabolite caused a significant growth enhancement of Symbiodiniaceae. By unravelling these interkingdom interactions, our work demonstrates how specific bacterial associates fundamentally govern Symbiodiniaceae fitness.","container-title":"Nature Communications","DOI":"10.1038/s41467-023-42663-y","ISSN":"2041-1723","issue":"1","journalAbbreviation":"Nat. Commun.","language":"en","license":"2023 The Author(s)","note":"publisher: Nature Publishing Group","page":"6864","source":"www.nature.com","title":"Coral endosymbiont growth is enhanced by metabolic interactions with bacteria","volume":"14","author":[{"family":"Matthews","given":"Jennifer L."},{"family":"Khalil","given":"Abeeha"},{"family":"Siboni","given":"Nachshon"},{"family":"Bougoure","given":"Jeremy"},{"family":"Guagliardo","given":"Paul"},{"family":"Kuzhiumparambil","given":"Unnikrishnan"},{"family":"DeMaere","given":"Matthew"},{"family":"Le Reun","given":"Nine M."},{"family":"Seymour","given":"Justin R."},{"family":"Suggett","given":"David J."},{"family":"Raina","given":"Jean-Baptiste"}],"issued":{"date-parts":[["2023",10,27]]}}},{"id":4439,"uris":["http://zotero.org/users/764524/items/JUB86TPA"],"itemData":{"id":4439,"type":"article-journal","abstract":"Life on Earth comprises prokaryotes and a broad assemblage of endosymbioses. The pages of Molecular Biology and Evolution and Genome Biology and Evolution have provided an essential window into how these endosymbiotic interactions have evolved and shaped biological diversity. Here, we provide a current perspective on this knowledge by drawing on decades of revelatory research published in Molecular Biology and Evolution and Genome Biology and Evolution, and insights from the field at large. The accumulated work illustrates how endosymbioses provide hosts with novel phenotypes that allow them to transition between adaptive landscapes to access environmental resources. Such endosymbiotic relationships have shaped and reshaped life on Earth. The early serial establishment of mitochondria and chloroplasts through endosymbioses permitted massive upscaling of cellular energetics, multicellularity, and terrestrial planetary greening. These endosymbioses are also the foundation upon which all later ones are built, including everything from land–plant endosymbioses with fungi and bacteria to nutritional endosymbioses found in invertebrate animals. Common evolutionary mechanisms have shaped this broad range of interactions. Endosymbionts generally experience adaptive and stochastic genome streamlining, the extent of which depends on several key factors (e.g. mode of transmission). Hosts, in contrast, adapt complex mechanisms of resource exchange, cellular integration and regulation, and genetic support mechanisms to prop up degraded symbionts. However, there are significant differences between endosymbiotic interactions not only in how partners have evolved with each other but also in the scope of their influence on biological diversity. These differences are important considerations for predicting how endosymbioses will persist and adapt to a changing planet.","container-title":"Genome Biology and Evolution","DOI":"10.1093/gbe/evae112","ISSN":"1759-6653","issue":"6","journalAbbreviation":"Genome Biol. Evol.","page":"evae112","source":"Silverchair","title":"Endosymbioses Have Shaped the Evolution of Biological Diversity and Complexity Time and Time Again","volume":"16","author":[{"family":"Bennett","given":"Gordon M"},{"family":"Kwak","given":"Younghwan"},{"family":"Maynard","given":"Reo"}],"issued":{"date-parts":[["2024",6,1]]}}}],"schema":"https://github.com/citation-style-language/schema/raw/master/csl-citation.json"} </w:instrText>
      </w:r>
      <w:r w:rsidR="003738FE" w:rsidRPr="00833CE8">
        <w:rPr>
          <w:rFonts w:cs="Times New Roman"/>
          <w:szCs w:val="24"/>
        </w:rPr>
        <w:fldChar w:fldCharType="separate"/>
      </w:r>
      <w:r w:rsidR="009F150C" w:rsidRPr="00833CE8">
        <w:rPr>
          <w:rFonts w:cs="Times New Roman"/>
          <w:kern w:val="0"/>
        </w:rPr>
        <w:t>(Bennett et al., 2024; Matthews et al., 2023; Murphy and O’Neill, 2024)</w:t>
      </w:r>
      <w:r w:rsidR="003738FE" w:rsidRPr="00833CE8">
        <w:rPr>
          <w:rFonts w:cs="Times New Roman"/>
          <w:szCs w:val="24"/>
        </w:rPr>
        <w:fldChar w:fldCharType="end"/>
      </w:r>
      <w:r w:rsidR="004850C2" w:rsidRPr="00833CE8">
        <w:rPr>
          <w:rFonts w:cs="Times New Roman"/>
          <w:szCs w:val="24"/>
        </w:rPr>
        <w:t>.</w:t>
      </w:r>
      <w:r w:rsidR="00922827" w:rsidRPr="00833CE8">
        <w:rPr>
          <w:rFonts w:cs="Times New Roman"/>
          <w:szCs w:val="24"/>
        </w:rPr>
        <w:t xml:space="preserve">  </w:t>
      </w:r>
      <w:r w:rsidR="00E64A89" w:rsidRPr="00833CE8">
        <w:rPr>
          <w:rFonts w:cs="Times New Roman"/>
          <w:szCs w:val="24"/>
        </w:rPr>
        <w:t>This relationship is mediated by a broad range of interactions, including</w:t>
      </w:r>
      <w:r w:rsidR="007B6089" w:rsidRPr="00833CE8">
        <w:rPr>
          <w:rFonts w:cs="Times New Roman"/>
          <w:szCs w:val="24"/>
        </w:rPr>
        <w:t xml:space="preserve"> exchange of nutrients, quorum sensing,</w:t>
      </w:r>
      <w:r w:rsidR="00E64A89" w:rsidRPr="00833CE8">
        <w:rPr>
          <w:rFonts w:cs="Times New Roman"/>
          <w:szCs w:val="24"/>
        </w:rPr>
        <w:t xml:space="preserve"> </w:t>
      </w:r>
      <w:r w:rsidR="007B6089" w:rsidRPr="00833CE8">
        <w:rPr>
          <w:rFonts w:cs="Times New Roman"/>
          <w:szCs w:val="24"/>
        </w:rPr>
        <w:t>and even killing of</w:t>
      </w:r>
      <w:r w:rsidR="002F2DB4" w:rsidRPr="00833CE8">
        <w:rPr>
          <w:rFonts w:cs="Times New Roman"/>
          <w:szCs w:val="24"/>
        </w:rPr>
        <w:t xml:space="preserve"> one organism by another</w:t>
      </w:r>
      <w:r w:rsidR="00767C1A" w:rsidRPr="00833CE8">
        <w:rPr>
          <w:rFonts w:cs="Times New Roman"/>
          <w:szCs w:val="24"/>
        </w:rPr>
        <w:t xml:space="preserve"> </w:t>
      </w:r>
      <w:r w:rsidR="00922827" w:rsidRPr="00833CE8">
        <w:rPr>
          <w:rFonts w:cs="Times New Roman"/>
          <w:szCs w:val="24"/>
        </w:rPr>
        <w:fldChar w:fldCharType="begin"/>
      </w:r>
      <w:r w:rsidR="005522CA" w:rsidRPr="00833CE8">
        <w:rPr>
          <w:rFonts w:cs="Times New Roman"/>
          <w:szCs w:val="24"/>
        </w:rPr>
        <w:instrText xml:space="preserve"> ADDIN ZOTERO_ITEM CSL_CITATION {"citationID":"66pbAU5j","properties":{"formattedCitation":"(Cirri and Pohnert, 2019)","plainCitation":"(Cirri and Pohnert, 2019)","noteIndex":0},"citationItems":[{"id":4348,"uris":["http://zotero.org/users/764524/items/Z6K3GVD2"],"itemData":{"id":4348,"type":"article-journal","abstract":"&lt;em&gt;New Phytologist&lt;/em&gt; is an international journal owned by the New Phytologist Foundation publishing original research in plant science and its applications.","container-title":"New Phytologist","DOI":"10.1111/nph.15765","ISSN":"1469-8137","issue":"1","journalAbbreviation":"New Phytol.","language":"en","note":"publisher: John Wiley &amp; Sons, Ltd","page":"100-106","source":"nph.onlinelibrary.wiley.com","title":"Algae−bacteria interactions that balance the planktonic microbiome","volume":"223","author":[{"family":"Cirri","given":"Emilio"},{"family":"Pohnert","given":"Georg"}],"issued":{"date-parts":[["2019",7,1]]}}}],"schema":"https://github.com/citation-style-language/schema/raw/master/csl-citation.json"} </w:instrText>
      </w:r>
      <w:r w:rsidR="00922827" w:rsidRPr="00833CE8">
        <w:rPr>
          <w:rFonts w:cs="Times New Roman"/>
          <w:szCs w:val="24"/>
        </w:rPr>
        <w:fldChar w:fldCharType="separate"/>
      </w:r>
      <w:r w:rsidR="009F150C" w:rsidRPr="00833CE8">
        <w:rPr>
          <w:rFonts w:cs="Times New Roman"/>
        </w:rPr>
        <w:t>(Cirri and Pohnert, 2019)</w:t>
      </w:r>
      <w:r w:rsidR="00922827" w:rsidRPr="00833CE8">
        <w:rPr>
          <w:rFonts w:cs="Times New Roman"/>
          <w:szCs w:val="24"/>
        </w:rPr>
        <w:fldChar w:fldCharType="end"/>
      </w:r>
      <w:r w:rsidR="00767C1A" w:rsidRPr="00833CE8">
        <w:rPr>
          <w:rFonts w:cs="Times New Roman"/>
          <w:szCs w:val="24"/>
        </w:rPr>
        <w:t>.</w:t>
      </w:r>
      <w:r w:rsidR="00922827" w:rsidRPr="00833CE8">
        <w:rPr>
          <w:rFonts w:cs="Times New Roman"/>
          <w:szCs w:val="24"/>
        </w:rPr>
        <w:t xml:space="preserve"> </w:t>
      </w:r>
      <w:r w:rsidR="00374EB0" w:rsidRPr="00833CE8">
        <w:rPr>
          <w:rFonts w:cs="Times New Roman"/>
          <w:szCs w:val="24"/>
        </w:rPr>
        <w:t xml:space="preserve"> </w:t>
      </w:r>
      <w:r w:rsidR="00922827" w:rsidRPr="00833CE8">
        <w:rPr>
          <w:rFonts w:cs="Times New Roman"/>
          <w:szCs w:val="24"/>
        </w:rPr>
        <w:t xml:space="preserve">However, mutualistic relationships have been a focus of research </w:t>
      </w:r>
      <w:r w:rsidR="002F2DB4" w:rsidRPr="00833CE8">
        <w:rPr>
          <w:rFonts w:cs="Times New Roman"/>
          <w:szCs w:val="24"/>
        </w:rPr>
        <w:t xml:space="preserve">due to the potential for </w:t>
      </w:r>
      <w:r w:rsidR="00766067" w:rsidRPr="00833CE8">
        <w:rPr>
          <w:rFonts w:cs="Times New Roman"/>
          <w:szCs w:val="24"/>
        </w:rPr>
        <w:t>use in biotechnology, as co-cultured consortia of bacteria and microalgae can result in improved performance compared with monocultures of alga</w:t>
      </w:r>
      <w:r w:rsidR="00DD4C70" w:rsidRPr="00833CE8">
        <w:rPr>
          <w:rFonts w:cs="Times New Roman"/>
          <w:szCs w:val="24"/>
        </w:rPr>
        <w:t xml:space="preserve">e </w:t>
      </w:r>
      <w:r w:rsidR="006D24A8" w:rsidRPr="00833CE8">
        <w:rPr>
          <w:rFonts w:cs="Times New Roman"/>
          <w:szCs w:val="24"/>
          <w:lang w:eastAsia="zh-CN"/>
        </w:rPr>
        <w:fldChar w:fldCharType="begin"/>
      </w:r>
      <w:r w:rsidR="009F150C" w:rsidRPr="00833CE8">
        <w:rPr>
          <w:rFonts w:cs="Times New Roman"/>
          <w:szCs w:val="24"/>
          <w:lang w:eastAsia="zh-CN"/>
        </w:rPr>
        <w:instrText xml:space="preserve"> ADDIN ZOTERO_ITEM CSL_CITATION {"citationID":"jYuuaQTb","properties":{"formattedCitation":"(Abate et al., 2024; Azarpour et al., 2022; Di Costanzo et al., 2023; Yarbro et al., 2024)","plainCitation":"(Abate et al., 2024; Azarpour et al., 2022; Di Costanzo et al., 2023; Yarbro et al., 2024)","noteIndex":0},"citationItems":[{"id":4549,"uris":["http://zotero.org/users/764524/items/KBSGWGEG"],"itemData":{"id":4549,"type":"article-journal","abstract":"Oleaginous microalgae have become a focus for large-scale biofuel production due to their ability to accumulate large quantities of lipids [1]. However, production is currently limited by cost and predation [2]. At present, algal biofuel cultivation is optimized through starvation, supplementing media with nutrients, or genetic engineering; these methods can often be costly with little to no increase in lipid production or the culture's defense. Investigating the phycosphere of algal-bacterial interactions may overcome these current barriers to large-scale production. The phycosphere of algalbacterial interactions have formed over millions of years through mutualistic and symbiotic relationships and can provide a more direct source of nutrients compared to adding the nutrients in bulk [3]. The most promising of these interactions include the production of phytohormones and quorum signaling compounds that alter the behaviors of the consortia. Phytohormones can improve algal growth rates, lipid production, and stress resistance. Quorum signaling could create consortia capable of warding off invaders-such as rotifers-while self-regulating and altering behavior based on population density [4]. Mechanisms within the algal phycosphere present many opportunities for the development of novel engineering strategies to further improve algal lipid production and operational costs. This review outlines previous preliminary phycosphere research as well as posing possible opportunities to be pursued in future biofuel production.","container-title":"Frontiers in Climate","DOI":"10.3389/fclim.2024.1277475","ISSN":"2624-9553","journalAbbreviation":"Front. Clim.","language":"English","note":"publisher: Frontiers","page":"1277475","source":"Frontiers","title":"The phycosphere and its role in algal biofuel production","volume":"6","author":[{"family":"Yarbro","given":"Jake"},{"family":"Khorunzhy","given":"Emma"},{"family":"Boyle","given":"Nanette"}],"issued":{"date-parts":[["2024",4,26]]}}},{"id":4551,"uris":["http://zotero.org/users/764524/items/25PKEBIE"],"itemData":{"id":4551,"type":"article-journal","abstract":"Diatom–bacteria interactions evolved during more than 200 million years of coexistence in the same environment. In this time frame, they established complex and heterogeneous cohorts and consortia, creating networks of multiple cell-to-cell mutualistic or antagonistic interactions for nutrient exchanges, communication, and defence. The most diffused type of interaction between diatoms and bacteria is based on a win-win relationship in which bacteria benefit from the organic matter and nutrients released by diatoms, while these last rely on bacteria for the supply of nutrients they are not able to produce, such as vitamins and nitrogen. Despite the importance of diatom–bacteria interactions in the evolutionary history of diatoms, especially in structuring the marine food web and controlling algal blooms, the molecular mechanisms underlying them remain poorly studied. This review aims to present a comprehensive report on diatom–bacteria interactions, illustrating the different interplays described until now and the chemical cues involved in the communication and exchange between the two groups of organisms. We also discuss the potential biotechnological applications of molecules and processes involved in those fascinating marine microbial networks and provide information on novel approaches to unveiling the molecular mechanisms underlying diatom–bacteria interactions.","container-title":"Microorganisms","DOI":"10.3390/microorganisms11122967","ISSN":"2076-2607","issue":"12","language":"en","license":"http://creativecommons.org/licenses/by/3.0/","note":"number: 12\npublisher: Multidisciplinary Digital Publishing Institute","page":"2967","source":"www.mdpi.com","title":"Diatom–Bacteria Interactions in the Marine Environment: Complexity, Heterogeneity, and Potential for Biotechnological Applications","title-short":"Diatom–Bacteria Interactions in the Marine Environment","volume":"11","author":[{"family":"Di Costanzo","given":"Federica"},{"family":"Di Dato","given":"Valeria"},{"family":"Romano","given":"Giovanna"}],"issued":{"date-parts":[["2023",12]]}}},{"id":4541,"uris":["http://zotero.org/users/764524/items/I8JESPDP"],"itemData":{"id":4541,"type":"article-journal","abstract":"&lt;h2&gt;Abstract&lt;/h2&gt;&lt;p&gt;Microalgae and bacteria, known for their resilience, rapid growth, and proximate ecological partnerships, play fundamental roles in environmental and biotechnological advancements. This comprehensive review explores the synergistic interactions between microalgae and bacteria as an innovative approach to address some of the most pressing environmental issues and the demands of clean and renewable freshwater and energy sources. Studies indicated that microalgae-bacteria consortia can considerably enhance the output of biotechnological applications; for instance, various reports showed during wastewater treatment the COD removal efficiency increased by 40%–90.5 % due to microalgae-bacteria consortia, suggesting its great potential amenability in biotechnology. This review critically synthesizes research works on the microalgae and bacteria nexus applied in the advancements of renewable energy generation, with a special focus on biohydrogen, reclamation of wastewater and desalination processes. The mechanisms of underlying interactions, the environmental factors influencing consortia performance, and the challenges and benefits of employing these bio-complexes over traditional methods are also discussed in detail. This paper also evaluates the biotechnological applications of these microorganism consortia for the augmentation of biomass production and the synthesis of valuable biochemicals. Furthermore, the review sheds light on the integration of microalgae-bacteria systems in microbial fuel cells for concurrent energy production, waste treatment, and resource recovery. This review postulates microalgae-bacteria consortia as a sustainable and efficient solution for clean water and energy, providing insights into future research directions and the potential for industrial-scale applications.&lt;/p&gt;","container-title":"Heliyon","DOI":"10.1016/j.heliyon.2024.e31170","ISSN":"2405-8440","issue":"10","journalAbbreviation":"Heliyon","language":"English","note":"publisher: Elsevier","source":"www.cell.com","title":"Microalgae-bacteria nexus for environmental remediation and renewable energy resources: Advances, mechanisms and biotechnological applications","title-short":"Microalgae-bacteria nexus for environmental remediation and renewable energy resources","URL":"https://www.cell.com/heliyon/abstract/S2405-8440(24)07201-3","volume":"10","author":[{"family":"Abate","given":"Rediat"},{"family":"Oon","given":"Yoong-Sin"},{"family":"Oon","given":"Yoong-Ling"},{"family":"Bi","given":"Yonghong"}],"accessed":{"date-parts":[["2024",6,17]]},"issued":{"date-parts":[["2024",5,30]]}}},{"id":4557,"uris":["http://zotero.org/users/764524/items/VCE7N327"],"itemData":{"id":4557,"type":"article-journal","abstract":"The adverse impacts of fossil fuels on the environment, specifically climate change, have intensified the need for finding a sustainable alternative source of energy. Numerous studies have postulated that biotechnology development, focusing on biofuel production processes, could be a suitable solution for sustainable energy production. The utilization of microorganisms, such as microalgae, is one of the basic strategies to produce biodiesel, pharmaceuticals, and nutraceuticals. Co-cultivation has overtaken mono-cultivation to improve the production of microalgae due to its endurance, foreseeability, and stability. However, further development of the co-cultivation process requires elaborate efforts to make it safe, practical, and optimal. Some dominant factors affecting the co-culture system control are the diversity of the cell groups, mass transfer, scale-up, population ratio, and time. In this review article, we will discuss some critical topics related to the co-cultivation process, such as data collection, modelling, cultivation methods, and interaction varieties. An overview of the quantif</w:instrText>
      </w:r>
      <w:r w:rsidR="009F150C" w:rsidRPr="000E543F">
        <w:rPr>
          <w:rFonts w:cs="Times New Roman"/>
          <w:szCs w:val="24"/>
          <w:lang w:val="fr-BE" w:eastAsia="zh-CN"/>
        </w:rPr>
        <w:instrText xml:space="preserve">ication techniques for biomass concentration and lipid content is also provided. Moreover, the utilization of microalgal co-cultures will be analyzed, depicting the difficulties associated with their efficient control. As knowledge of the reactions and their entailing kinetics is elemental for analyzing the microalgal systems, which are used to synthesize intermediate products and chemicals, some studies focusing on the kinetics of microalgal biomass conversion into biofuels are presented. Since the microbial fuel cells (MFCs), as a new bioelectrochemical process, are utilized in the mixed-culture systems to treat wastewater and produce biofuels and other valuable by-products, a summary of the microalgal MFCs is also provided. Finally, arguments about the challenges and advantages of the co-cultivation systems are presented.","container-title":"Energy Conversion and Management","DOI":"10.1016/j.enconman.2022.115757","ISSN":"0196-8904","journalAbbreviation":"Energy Convers. Manag.","page":"115757","source":"ScienceDirect","title":"A review on microalgal biomass and biodiesel production through Co-cultivation strategy","volume":"267","author":[{"family":"Azarpour","given":"Abbas"},{"family":"Zendehboudi","given":"Sohrab"},{"family":"Mohammadzadeh","given":"Omid"},{"family":"Rajabzadeh","given":"Amin Reza"},{"family":"Chatzis","given":"Ioannis"}],"issued":{"date-parts":[["2022",9,1]]}}}],"schema":"https://github.com/citation-style-language/schema/raw/master/csl-citation.json"} </w:instrText>
      </w:r>
      <w:r w:rsidR="006D24A8" w:rsidRPr="00833CE8">
        <w:rPr>
          <w:rFonts w:cs="Times New Roman"/>
          <w:szCs w:val="24"/>
          <w:lang w:eastAsia="zh-CN"/>
        </w:rPr>
        <w:fldChar w:fldCharType="separate"/>
      </w:r>
      <w:r w:rsidR="009F150C" w:rsidRPr="000E543F">
        <w:rPr>
          <w:rFonts w:cs="Times New Roman"/>
          <w:lang w:val="fr-BE"/>
        </w:rPr>
        <w:t>(Abate et al., 2024; Azarpour et al., 2022; Di Costanzo et al., 2023; Yarbro et al., 2024)</w:t>
      </w:r>
      <w:r w:rsidR="006D24A8" w:rsidRPr="00833CE8">
        <w:rPr>
          <w:rFonts w:cs="Times New Roman"/>
          <w:szCs w:val="24"/>
          <w:lang w:eastAsia="zh-CN"/>
        </w:rPr>
        <w:fldChar w:fldCharType="end"/>
      </w:r>
      <w:r w:rsidR="008F0D7D" w:rsidRPr="000E543F">
        <w:rPr>
          <w:rFonts w:cs="Times New Roman"/>
          <w:szCs w:val="24"/>
          <w:lang w:val="fr-BE" w:eastAsia="zh-CN"/>
        </w:rPr>
        <w:t>.</w:t>
      </w:r>
    </w:p>
    <w:bookmarkEnd w:id="3"/>
    <w:p w14:paraId="00DC25F4" w14:textId="6206C5BA" w:rsidR="003C611C" w:rsidRPr="004C26E3" w:rsidRDefault="00845CD4" w:rsidP="003C611C">
      <w:pPr>
        <w:snapToGrid w:val="0"/>
        <w:spacing w:line="360" w:lineRule="auto"/>
        <w:ind w:firstLine="284"/>
        <w:jc w:val="both"/>
        <w:rPr>
          <w:rFonts w:cs="Times New Roman"/>
          <w:szCs w:val="24"/>
        </w:rPr>
      </w:pPr>
      <w:r w:rsidRPr="00845CD4">
        <w:rPr>
          <w:rFonts w:cs="Times New Roman"/>
          <w:color w:val="FF0000"/>
          <w:szCs w:val="24"/>
        </w:rPr>
        <w:t xml:space="preserve">The </w:t>
      </w:r>
      <w:r w:rsidR="005B2BBF">
        <w:rPr>
          <w:rFonts w:cs="Times New Roman"/>
          <w:color w:val="FF0000"/>
          <w:szCs w:val="24"/>
        </w:rPr>
        <w:t xml:space="preserve">mechanisms of </w:t>
      </w:r>
      <w:r>
        <w:rPr>
          <w:rFonts w:cs="Times New Roman"/>
          <w:color w:val="FF0000"/>
          <w:szCs w:val="24"/>
        </w:rPr>
        <w:t xml:space="preserve">interactions </w:t>
      </w:r>
      <w:r w:rsidRPr="00845CD4">
        <w:rPr>
          <w:rFonts w:cs="Times New Roman"/>
          <w:color w:val="FF0000"/>
          <w:szCs w:val="24"/>
        </w:rPr>
        <w:t xml:space="preserve">between </w:t>
      </w:r>
      <w:r>
        <w:rPr>
          <w:rFonts w:cs="Times New Roman"/>
          <w:color w:val="FF0000"/>
          <w:szCs w:val="24"/>
        </w:rPr>
        <w:t xml:space="preserve">bacteria and microalgae define the nature of their symbiotic relationships.  </w:t>
      </w:r>
      <w:r w:rsidR="003C611C" w:rsidRPr="00833CE8">
        <w:rPr>
          <w:rFonts w:cs="Times New Roman"/>
          <w:szCs w:val="24"/>
        </w:rPr>
        <w:t xml:space="preserve">Symbiosis can be defined as a continuum ranging from mutualism, a relationship that benefits both organisms, to commensalism, which benefits one organism with few impacts on the other, and finally parasitism, which benefits one organism while harming the other.  Notably, this continuum is based on ecological and evolutionary </w:t>
      </w:r>
      <w:r w:rsidR="003C611C" w:rsidRPr="00996890">
        <w:rPr>
          <w:rFonts w:cs="Times New Roman"/>
          <w:szCs w:val="24"/>
        </w:rPr>
        <w:t>conditions</w:t>
      </w:r>
      <w:r w:rsidR="003C611C" w:rsidRPr="00833CE8">
        <w:rPr>
          <w:rFonts w:cs="Times New Roman"/>
          <w:szCs w:val="24"/>
        </w:rPr>
        <w:t xml:space="preserve">, and can shift based on </w:t>
      </w:r>
      <w:r w:rsidR="003C611C" w:rsidRPr="00996890">
        <w:rPr>
          <w:rFonts w:cs="Times New Roman"/>
          <w:szCs w:val="24"/>
        </w:rPr>
        <w:t xml:space="preserve">these situations </w:t>
      </w:r>
      <w:r w:rsidR="003C611C" w:rsidRPr="00996890">
        <w:rPr>
          <w:rFonts w:cs="Times New Roman"/>
          <w:szCs w:val="24"/>
        </w:rPr>
        <w:fldChar w:fldCharType="begin"/>
      </w:r>
      <w:r w:rsidR="003C611C" w:rsidRPr="00996890">
        <w:rPr>
          <w:rFonts w:cs="Times New Roman"/>
          <w:szCs w:val="24"/>
        </w:rPr>
        <w:instrText xml:space="preserve"> ADDIN ZOTERO_ITEM CSL_CITATION {"citationID":"2HeUnJpM","properties":{"formattedCitation":"(Drew et al., 2021)","plainCitation":"(Drew et al., 2021)","noteIndex":0},"citationItems":[{"id":4656,"uris":["http://zotero.org/users/764524/items/4BSZWJKN"],"itemData":{"id":4656,"type":"article-journal","abstract":"Virtually all plants and animals, including humans, are home to symbiotic microorganisms. Symbiotic interactions can be neutral, harmful or have beneficial effects on the host organism. However, growing evidence suggests that microbial symbionts can evolve rapidly, resulting in drastic transitions along the parasite–mutualist continuum. In this Review, we integrate theoretical and empirical findings to discuss the mechanisms underpinning these evolutionary shifts, as well as the ecological drivers and why some host–microorganism interactions may be stuck at the end of the continuum. In addition to having biomedical consequences, understanding the dynamic life of microorganisms reveals how symbioses can shape an organism’s biology and the entire community, particularly in a changing world.","container-title":"Nature Reviews Microbiology","DOI":"10.1038/s41579-021-00550-7","ISSN":"1740-1534","issue":"10","journalAbbreviation":"Nat. Rev. Microbiol.","language":"en","license":"2021 Springer Nature Limited","note":"publisher: Nature Publishing Group","page":"623-638","source":"www.nature.com","title":"Microbial evolution and transitions along the parasite–mutualist continuum","volume":"19","author":[{"family":"Drew","given":"Georgia C."},{"family":"Stevens","given":"Emily J."},{"family":"King","given":"Kayla C."}],"issued":{"date-parts":[["2021",10]]}}}],"schema":"https://github.com/citation-style-language/schema/raw/master/csl-citation.json"} </w:instrText>
      </w:r>
      <w:r w:rsidR="003C611C" w:rsidRPr="00996890">
        <w:rPr>
          <w:rFonts w:cs="Times New Roman"/>
          <w:szCs w:val="24"/>
        </w:rPr>
        <w:fldChar w:fldCharType="separate"/>
      </w:r>
      <w:r w:rsidR="003C611C" w:rsidRPr="00996890">
        <w:rPr>
          <w:rFonts w:cs="Times New Roman"/>
        </w:rPr>
        <w:t>(Drew et al., 2021)</w:t>
      </w:r>
      <w:r w:rsidR="003C611C" w:rsidRPr="00996890">
        <w:rPr>
          <w:rFonts w:cs="Times New Roman"/>
          <w:szCs w:val="24"/>
        </w:rPr>
        <w:fldChar w:fldCharType="end"/>
      </w:r>
      <w:r w:rsidR="003C611C" w:rsidRPr="00996890">
        <w:rPr>
          <w:rFonts w:cs="Times New Roman"/>
          <w:szCs w:val="24"/>
        </w:rPr>
        <w:t>.</w:t>
      </w:r>
      <w:r w:rsidR="003C611C" w:rsidRPr="003C611C">
        <w:rPr>
          <w:rFonts w:cs="Times New Roman"/>
          <w:szCs w:val="24"/>
        </w:rPr>
        <w:t xml:space="preserve"> </w:t>
      </w:r>
      <w:r w:rsidR="003C611C" w:rsidRPr="00833CE8">
        <w:rPr>
          <w:rFonts w:cs="Times New Roman"/>
          <w:szCs w:val="24"/>
        </w:rPr>
        <w:t xml:space="preserve">While certain species of bacteria and microalgae have been observed to form mutualistic relationships, it should be noted that this is not necessarily that simple.  Some microalgae form mutualistic relationships with one bacterial species, but not another such as an observed mutual relationship between </w:t>
      </w:r>
      <w:r w:rsidR="003C611C" w:rsidRPr="00833CE8">
        <w:rPr>
          <w:rFonts w:cs="Times New Roman"/>
          <w:i/>
          <w:iCs/>
          <w:szCs w:val="24"/>
        </w:rPr>
        <w:t xml:space="preserve">Chlamydomonas </w:t>
      </w:r>
      <w:proofErr w:type="spellStart"/>
      <w:r w:rsidR="003C611C" w:rsidRPr="00833CE8">
        <w:rPr>
          <w:rFonts w:cs="Times New Roman"/>
          <w:i/>
          <w:iCs/>
          <w:szCs w:val="24"/>
        </w:rPr>
        <w:t>reinhardtii</w:t>
      </w:r>
      <w:proofErr w:type="spellEnd"/>
      <w:r w:rsidR="003C611C" w:rsidRPr="00833CE8">
        <w:rPr>
          <w:rFonts w:cs="Times New Roman"/>
          <w:szCs w:val="24"/>
        </w:rPr>
        <w:t xml:space="preserve"> with </w:t>
      </w:r>
      <w:proofErr w:type="spellStart"/>
      <w:r w:rsidR="003C611C" w:rsidRPr="00833CE8">
        <w:rPr>
          <w:rFonts w:cs="Times New Roman"/>
          <w:i/>
          <w:iCs/>
          <w:szCs w:val="24"/>
        </w:rPr>
        <w:t>Methylobacterium</w:t>
      </w:r>
      <w:proofErr w:type="spellEnd"/>
      <w:r w:rsidR="003C611C">
        <w:rPr>
          <w:rFonts w:cs="Times New Roman"/>
          <w:i/>
          <w:iCs/>
          <w:szCs w:val="24"/>
        </w:rPr>
        <w:t xml:space="preserve"> aquaticum</w:t>
      </w:r>
      <w:r w:rsidR="003C611C" w:rsidRPr="00833CE8">
        <w:rPr>
          <w:rFonts w:cs="Times New Roman"/>
          <w:szCs w:val="24"/>
        </w:rPr>
        <w:t xml:space="preserve">, but an antagonistic one with the toxin-producing species </w:t>
      </w:r>
      <w:r w:rsidR="003C611C" w:rsidRPr="00833CE8">
        <w:rPr>
          <w:rFonts w:cs="Times New Roman"/>
          <w:i/>
          <w:iCs/>
          <w:szCs w:val="24"/>
        </w:rPr>
        <w:t xml:space="preserve">Pseudomonas </w:t>
      </w:r>
      <w:proofErr w:type="spellStart"/>
      <w:r w:rsidR="003C611C" w:rsidRPr="00833CE8">
        <w:rPr>
          <w:rFonts w:cs="Times New Roman"/>
          <w:i/>
          <w:iCs/>
          <w:szCs w:val="24"/>
        </w:rPr>
        <w:t>protegens</w:t>
      </w:r>
      <w:proofErr w:type="spellEnd"/>
      <w:r w:rsidR="003C611C" w:rsidRPr="00833CE8">
        <w:rPr>
          <w:rFonts w:cs="Times New Roman"/>
          <w:szCs w:val="24"/>
        </w:rPr>
        <w:t xml:space="preserve">.  It is also possible for a microalgal species to form completely different relationships with the </w:t>
      </w:r>
      <w:r w:rsidR="00862910">
        <w:rPr>
          <w:rFonts w:cs="Times New Roman"/>
          <w:szCs w:val="24"/>
        </w:rPr>
        <w:t>s</w:t>
      </w:r>
      <w:r w:rsidR="003C611C" w:rsidRPr="00833CE8">
        <w:rPr>
          <w:rFonts w:cs="Times New Roman"/>
          <w:szCs w:val="24"/>
        </w:rPr>
        <w:t xml:space="preserve">ame species of bacteria depending on the metabolites in the environment, such as </w:t>
      </w:r>
      <w:proofErr w:type="spellStart"/>
      <w:r w:rsidR="003C611C" w:rsidRPr="00FB4BA4">
        <w:rPr>
          <w:rFonts w:cs="Times New Roman"/>
          <w:i/>
          <w:iCs/>
          <w:color w:val="FF0000"/>
          <w:szCs w:val="24"/>
        </w:rPr>
        <w:t>Emilian</w:t>
      </w:r>
      <w:r w:rsidR="00FB4BA4" w:rsidRPr="00FB4BA4">
        <w:rPr>
          <w:rFonts w:cs="Times New Roman"/>
          <w:i/>
          <w:iCs/>
          <w:color w:val="FF0000"/>
          <w:szCs w:val="24"/>
        </w:rPr>
        <w:t>i</w:t>
      </w:r>
      <w:r w:rsidR="003C611C" w:rsidRPr="00FB4BA4">
        <w:rPr>
          <w:rFonts w:cs="Times New Roman"/>
          <w:i/>
          <w:iCs/>
          <w:color w:val="FF0000"/>
          <w:szCs w:val="24"/>
        </w:rPr>
        <w:t>a</w:t>
      </w:r>
      <w:proofErr w:type="spellEnd"/>
      <w:r w:rsidR="003C611C" w:rsidRPr="00833CE8">
        <w:rPr>
          <w:rFonts w:cs="Times New Roman"/>
          <w:i/>
          <w:iCs/>
          <w:szCs w:val="24"/>
        </w:rPr>
        <w:t xml:space="preserve"> </w:t>
      </w:r>
      <w:proofErr w:type="spellStart"/>
      <w:r w:rsidR="003C611C" w:rsidRPr="00833CE8">
        <w:rPr>
          <w:rFonts w:cs="Times New Roman"/>
          <w:i/>
          <w:iCs/>
          <w:szCs w:val="24"/>
        </w:rPr>
        <w:t>huxleyi</w:t>
      </w:r>
      <w:proofErr w:type="spellEnd"/>
      <w:r w:rsidR="003C611C" w:rsidRPr="00833CE8">
        <w:rPr>
          <w:rFonts w:cs="Times New Roman"/>
          <w:i/>
          <w:iCs/>
          <w:szCs w:val="24"/>
        </w:rPr>
        <w:t xml:space="preserve"> </w:t>
      </w:r>
      <w:r w:rsidR="003C611C" w:rsidRPr="00833CE8">
        <w:rPr>
          <w:rFonts w:cs="Times New Roman"/>
          <w:szCs w:val="24"/>
        </w:rPr>
        <w:t xml:space="preserve">and </w:t>
      </w:r>
      <w:proofErr w:type="spellStart"/>
      <w:r w:rsidR="003C611C" w:rsidRPr="00833CE8">
        <w:rPr>
          <w:i/>
          <w:iCs/>
        </w:rPr>
        <w:t>Phaeobacter</w:t>
      </w:r>
      <w:proofErr w:type="spellEnd"/>
      <w:r w:rsidR="003C611C" w:rsidRPr="00833CE8">
        <w:t xml:space="preserve"> </w:t>
      </w:r>
      <w:proofErr w:type="spellStart"/>
      <w:r w:rsidR="003C611C" w:rsidRPr="00833CE8">
        <w:rPr>
          <w:rStyle w:val="html-italic"/>
          <w:rFonts w:cs="Times New Roman"/>
          <w:i/>
          <w:iCs/>
          <w:szCs w:val="24"/>
        </w:rPr>
        <w:t>inhibens</w:t>
      </w:r>
      <w:proofErr w:type="spellEnd"/>
      <w:r w:rsidR="003C611C" w:rsidRPr="004E41AC">
        <w:rPr>
          <w:rStyle w:val="html-italic"/>
          <w:rFonts w:cs="Times New Roman"/>
          <w:szCs w:val="24"/>
        </w:rPr>
        <w:t>, in which</w:t>
      </w:r>
      <w:r w:rsidR="003C611C" w:rsidRPr="00833CE8">
        <w:rPr>
          <w:rStyle w:val="html-italic"/>
          <w:rFonts w:cs="Times New Roman"/>
          <w:i/>
          <w:iCs/>
          <w:szCs w:val="24"/>
        </w:rPr>
        <w:t xml:space="preserve">  </w:t>
      </w:r>
      <w:r w:rsidR="003C611C">
        <w:rPr>
          <w:i/>
          <w:iCs/>
        </w:rPr>
        <w:t>P.</w:t>
      </w:r>
      <w:r w:rsidR="003C611C" w:rsidRPr="00833CE8">
        <w:t xml:space="preserve"> </w:t>
      </w:r>
      <w:proofErr w:type="spellStart"/>
      <w:r w:rsidR="003C611C" w:rsidRPr="00833CE8">
        <w:rPr>
          <w:rStyle w:val="html-italic"/>
          <w:rFonts w:cs="Times New Roman"/>
          <w:i/>
          <w:iCs/>
          <w:szCs w:val="24"/>
        </w:rPr>
        <w:t>inhibens</w:t>
      </w:r>
      <w:proofErr w:type="spellEnd"/>
      <w:r w:rsidR="003C611C" w:rsidRPr="00833CE8">
        <w:rPr>
          <w:rStyle w:val="html-italic"/>
          <w:rFonts w:cs="Times New Roman"/>
          <w:i/>
          <w:iCs/>
          <w:szCs w:val="24"/>
        </w:rPr>
        <w:t xml:space="preserve"> </w:t>
      </w:r>
      <w:r w:rsidR="003C611C" w:rsidRPr="00833CE8">
        <w:rPr>
          <w:rStyle w:val="html-italic"/>
          <w:rFonts w:cs="Times New Roman"/>
          <w:szCs w:val="24"/>
        </w:rPr>
        <w:t xml:space="preserve">can be mutualistic, except in the presence of </w:t>
      </w:r>
      <w:r w:rsidR="003C611C" w:rsidRPr="00833CE8">
        <w:rPr>
          <w:rStyle w:val="html-italic"/>
          <w:rFonts w:cs="Times New Roman"/>
          <w:i/>
          <w:iCs/>
          <w:szCs w:val="24"/>
        </w:rPr>
        <w:t xml:space="preserve">E. </w:t>
      </w:r>
      <w:proofErr w:type="spellStart"/>
      <w:r w:rsidR="003C611C" w:rsidRPr="00833CE8">
        <w:rPr>
          <w:rStyle w:val="html-italic"/>
          <w:rFonts w:cs="Times New Roman"/>
          <w:i/>
          <w:iCs/>
          <w:szCs w:val="24"/>
        </w:rPr>
        <w:t>huxleyi</w:t>
      </w:r>
      <w:proofErr w:type="spellEnd"/>
      <w:r w:rsidR="003C611C" w:rsidRPr="00833CE8">
        <w:rPr>
          <w:rStyle w:val="html-italic"/>
          <w:rFonts w:cs="Times New Roman"/>
          <w:i/>
          <w:iCs/>
          <w:szCs w:val="24"/>
        </w:rPr>
        <w:t xml:space="preserve"> </w:t>
      </w:r>
      <w:r w:rsidR="003C611C" w:rsidRPr="00833CE8">
        <w:rPr>
          <w:rStyle w:val="html-italic"/>
          <w:rFonts w:cs="Times New Roman"/>
          <w:szCs w:val="24"/>
        </w:rPr>
        <w:t>senescence signals, which can cause it to become pathogenic</w:t>
      </w:r>
      <w:r w:rsidR="003C611C" w:rsidRPr="00833CE8">
        <w:rPr>
          <w:rFonts w:cs="Times New Roman"/>
          <w:i/>
          <w:iCs/>
          <w:szCs w:val="24"/>
        </w:rPr>
        <w:t xml:space="preserve"> </w:t>
      </w:r>
      <w:r w:rsidR="003C611C" w:rsidRPr="00833CE8">
        <w:rPr>
          <w:rFonts w:cs="Times New Roman"/>
          <w:szCs w:val="24"/>
        </w:rPr>
        <w:fldChar w:fldCharType="begin"/>
      </w:r>
      <w:r w:rsidR="003C611C" w:rsidRPr="00833CE8">
        <w:rPr>
          <w:rFonts w:cs="Times New Roman"/>
          <w:szCs w:val="24"/>
        </w:rPr>
        <w:instrText xml:space="preserve"> ADDIN ZOTERO_ITEM CSL_CITATION {"citationID":"QYej5pp4","properties":{"formattedCitation":"(Burgunter-Delamare et al., 2024)","plainCitation":"(Burgunter-Delamare et al., 2024)","noteIndex":0},"citationItems":[{"id":4547,"uris":["http://zotero.org/users/764524/items/B2RDIMI5"],"itemData":{"id":4547,"type":"article-journal","abstract":"Algae and bacteria have co-occurred and coevolved in common habitats for hundreds of millions of years, fostering specific associations and interactions such as mutualism or antagonism. These interactions are shaped through exchanges of primary and secondary metabolites provided by one of the partners. Metabolites, such as N-sources or vitamins, can be beneficial to the partner and they may be assimilated through chemotaxis towards the partner producing these metabolites. Other metabolites, especially many natural products synthesized by bacteria, can act as toxins and damage or kill the partner. For instance, the green microalga Chlamydomonas reinhardtii establishes a mutualistic partnership with a Methylobacterium, in stark contrast to its antagonistic relationship with the toxin producing Pseudomonas protegens. In other cases, as with a coccolithophore haptophyte alga and a Phaeobacter bacterium, the same alga and bacterium can even be subject to both processes, depending on the secreted bacterial and algal metabolites. Some bacteria also influence algal morphology by producing specific metabolites and micronutrients, as is observed in some macroalgae. This review focuses on algal-bacterial interactions with micro- and macroalgal models from marine, freshwater, and terrestrial environments and summarizes the advances in the field. It also highlights the effects of temperature on these interactions as it is presently known.","container-title":"Plants","DOI":"10.3390/plants13060829","ISSN":"2223-7747","issue":"6","language":"en","license":"http://creativecommons.org/licenses/by/3.0/","note":"number: 6\npublisher: Multidisciplinary Digital Publishing Institute","page":"829","source":"www.mdpi.com","title":"Exchange or Eliminate: The Secrets of Algal-Bacterial Relationships","title-short":"Exchange or Eliminate","volume":"13","author":[{"family":"Burgunter-Delamare","given":"Bertille"},{"family":"Shetty","given":"Prateek"},{"family":"Vuong","given":"Trang"},{"family":"Mittag","given":"Maria"}],"issued":{"date-parts":[["2024",1]]}}}],"schema":"https://github.com/citation-style-language/schema/raw/master/csl-citation.json"} </w:instrText>
      </w:r>
      <w:r w:rsidR="003C611C" w:rsidRPr="00833CE8">
        <w:rPr>
          <w:rFonts w:cs="Times New Roman"/>
          <w:szCs w:val="24"/>
        </w:rPr>
        <w:fldChar w:fldCharType="separate"/>
      </w:r>
      <w:r w:rsidR="003C611C" w:rsidRPr="00833CE8">
        <w:rPr>
          <w:rFonts w:cs="Times New Roman"/>
        </w:rPr>
        <w:t>(Burgunter-Delamare et al., 2024)</w:t>
      </w:r>
      <w:r w:rsidR="003C611C" w:rsidRPr="00833CE8">
        <w:rPr>
          <w:rFonts w:cs="Times New Roman"/>
          <w:szCs w:val="24"/>
        </w:rPr>
        <w:fldChar w:fldCharType="end"/>
      </w:r>
      <w:r w:rsidR="003C611C" w:rsidRPr="00833CE8">
        <w:rPr>
          <w:rFonts w:cs="Times New Roman"/>
          <w:szCs w:val="24"/>
        </w:rPr>
        <w:t>.</w:t>
      </w:r>
      <w:r w:rsidR="003C611C">
        <w:rPr>
          <w:rFonts w:cs="Times New Roman"/>
          <w:szCs w:val="24"/>
        </w:rPr>
        <w:t xml:space="preserve">  These relationships can be mediated by the type of inorganic </w:t>
      </w:r>
      <w:r w:rsidR="003C611C">
        <w:rPr>
          <w:rFonts w:cs="Times New Roman"/>
          <w:szCs w:val="24"/>
        </w:rPr>
        <w:lastRenderedPageBreak/>
        <w:t xml:space="preserve">nitrogen sources available for the algae, such as nitrate or ammonium, which alter the levels of organic compounds released by microalgae </w:t>
      </w:r>
      <w:r w:rsidR="003C611C">
        <w:rPr>
          <w:rFonts w:cs="Times New Roman"/>
          <w:szCs w:val="24"/>
        </w:rPr>
        <w:fldChar w:fldCharType="begin"/>
      </w:r>
      <w:r w:rsidR="003C611C">
        <w:rPr>
          <w:rFonts w:cs="Times New Roman"/>
          <w:szCs w:val="24"/>
        </w:rPr>
        <w:instrText xml:space="preserve"> ADDIN ZOTERO_ITEM CSL_CITATION {"citationID":"Dll50nr7","properties":{"formattedCitation":"(Perera et al., 2022)","plainCitation":"(Perera et al., 2022)","noteIndex":0},"citationItems":[{"id":9447,"uris":["http://zotero.org/users/764524/items/ZBZSAJ24"],"itemData":{"id":9447,"type":"article-journal","abstract":"We investigated the role of extracellular metabolites released during mutualistic interactions in co-cultures of a microalga, Tetradesmus obliquus IS2 or Coelastrella sp. IS3, and a bacterium, Variovorax paradoxus IS1, grown with varying levels of NO3–N and NH4–N. Both NO3–N and NH4–N were added to modified Bold’s basal medium at 16:0, 12:4, 8:8; 4:12 and 0:16 molar ratios by keeping a final N:P ratio of 16:1. Monocultures of microalgae grown with nitrate alone showed enhanced growth (&gt; twofold) than ammonium, while the bacterial strain cultured with ammonium alone exhibited a &gt; 1.3-fold increase in growth than nitrate. Co-culturing performed higher growth at combined nitrate and ammonium supply as compared to the single cultures. The same ratio of nitrate and ammonium resulted in superior growth of microalgae (&gt; 1.7-fold) and the bacterium (&gt; 4.1-fold) as compared to the monocultures. Uptake of NO3–N, NH4–N and PO4–P by monocultures or co-cultures depended on the ratio of two inorganic nitrogen sources used. The composition of organic acids, amino acids and simple sugars in exudates from monocultures varied with the ratios of nitrate and ammonium in the medium. Thus, the present novel study demonstrates that the release of exudates is affected both qualitatively and quantitatively during mutualistic interactions in microalgal‒bacterial co-cultures under the impact of inorganic nitrogen sources. Our results suggest that the variables such as inorganic nitrogen sources and extracellular metabolites released need to be considered while using co-cultures for effective bioremediation of wastewaters.","container-title":"Journal of Applied Phycology","DOI":"10.1007/s10811-022-02711-4","ISSN":"1573-5176","issue":"3","journalAbbreviation":"J. Appl. Phycol.","language":"en","page":"1311-1322","source":"Springer Link","title":"Combined inorganic nitrogen sources influence the release of extracellular compounds that drive mutualistic interactions in microalgal‒bacterial co-cultures","volume":"34","author":[{"family":"Perera","given":"Isiri Adhiwarie"},{"family":"Abinandan","given":"Sudharsanam"},{"family":"Subashchandrabose","given":"Suresh R."},{"family":"Venkateswarlu","given":"Kadiyala"},{"family":"Naidu","given":"Ravi"},{"family":"Megharaj","given":"Mallavarapu"}],"issued":{"date-parts":[["2022",6,1]]}}}],"schema":"https://github.com/citation-style-language/schema/raw/master/csl-citation.json"} </w:instrText>
      </w:r>
      <w:r w:rsidR="003C611C">
        <w:rPr>
          <w:rFonts w:cs="Times New Roman"/>
          <w:szCs w:val="24"/>
        </w:rPr>
        <w:fldChar w:fldCharType="separate"/>
      </w:r>
      <w:r w:rsidR="003C611C" w:rsidRPr="00901C40">
        <w:rPr>
          <w:rFonts w:cs="Times New Roman"/>
        </w:rPr>
        <w:t>(Perera et al., 2022)</w:t>
      </w:r>
      <w:r w:rsidR="003C611C">
        <w:rPr>
          <w:rFonts w:cs="Times New Roman"/>
          <w:szCs w:val="24"/>
        </w:rPr>
        <w:fldChar w:fldCharType="end"/>
      </w:r>
      <w:r w:rsidR="003C611C">
        <w:rPr>
          <w:rFonts w:cs="Times New Roman"/>
          <w:szCs w:val="24"/>
        </w:rPr>
        <w:t xml:space="preserve">.  Further, an optimal ratio of nitrogen to phosphorous enhances mutualistic interactions, while excess carbon instead leads to improved bacterial growth and inhibition of microalgal growth </w:t>
      </w:r>
      <w:r w:rsidR="003C611C">
        <w:rPr>
          <w:rFonts w:cs="Times New Roman"/>
          <w:szCs w:val="24"/>
        </w:rPr>
        <w:fldChar w:fldCharType="begin"/>
      </w:r>
      <w:r w:rsidR="003C611C">
        <w:rPr>
          <w:rFonts w:cs="Times New Roman"/>
          <w:szCs w:val="24"/>
        </w:rPr>
        <w:instrText xml:space="preserve"> ADDIN ZOTERO_ITEM CSL_CITATION {"citationID":"RbjIYOJQ","properties":{"formattedCitation":"(Cao et al., 2020)","plainCitation":"(Cao et al., 2020)","noteIndex":0},"citationItems":[{"id":4352,"uris":["http://zotero.org/users/764524/items/Y4DKCFVQ"],"itemData":{"id":4352,"type":"article-journal","abstract":"The shift of mutualistic nutrient relationship among algae, free-living and attached bacteria as well as the effects on algal growth were conducted in experimental mesocosm in which three nutrient ...","archive_location":"world","container-title":"Journal of Freshwater Ecology","ISSN":"0270-5060","journalAbbreviation":"J. Freshw. Ecol.","language":"EN","license":"© 2020 The Author(s). Published by Informa UK Limited, trading as Taylor &amp; Francis Group.","note":"publisher: Taylor &amp; Francis","source":"www.tandfonline.com","title":"The shift of mutualistic relationships among algae, free-living and attached bacteria through different nutrient addition mode: a mesocosm study","title-short":"The shift of mutualistic relationships among algae, free-living and attached bacteria through different nutrient addition mode","URL":"https://www.tandfonline.com/doi/abs/10.1080/02705060.2020.1858984","author":[{"family":"Cao","given":"Xiuyun"},{"family":"Li","given":"Hui"},{"family":"Zhou","given":"Yiyong"},{"family":"Song","given":"Chunlei"}],"accessed":{"date-parts":[["2024",6,3]]},"issued":{"date-parts":[["2020",1,1]]}}}],"schema":"https://github.com/citation-style-language/schema/raw/master/csl-citation.json"} </w:instrText>
      </w:r>
      <w:r w:rsidR="003C611C">
        <w:rPr>
          <w:rFonts w:cs="Times New Roman"/>
          <w:szCs w:val="24"/>
        </w:rPr>
        <w:fldChar w:fldCharType="separate"/>
      </w:r>
      <w:r w:rsidR="003C611C" w:rsidRPr="00901C40">
        <w:rPr>
          <w:rFonts w:cs="Times New Roman"/>
        </w:rPr>
        <w:t>(Cao et al., 2020)</w:t>
      </w:r>
      <w:r w:rsidR="003C611C">
        <w:rPr>
          <w:rFonts w:cs="Times New Roman"/>
          <w:szCs w:val="24"/>
        </w:rPr>
        <w:fldChar w:fldCharType="end"/>
      </w:r>
      <w:r w:rsidR="003C611C">
        <w:rPr>
          <w:rFonts w:cs="Times New Roman"/>
          <w:szCs w:val="24"/>
        </w:rPr>
        <w:t>.  Finally, while these mutualistic relationships are formed by beneficial inte</w:t>
      </w:r>
      <w:r w:rsidR="003C611C" w:rsidRPr="004C26E3">
        <w:rPr>
          <w:rFonts w:cs="Times New Roman"/>
          <w:szCs w:val="24"/>
        </w:rPr>
        <w:t xml:space="preserve">ractions, it should be noted that there may also be potential negative interactions, including competition for limited nutrients, predation or antagonism mediated by the release of bactericides or algicides </w:t>
      </w:r>
      <w:r w:rsidR="003C611C" w:rsidRPr="004C26E3">
        <w:rPr>
          <w:rFonts w:cs="Times New Roman"/>
          <w:szCs w:val="24"/>
        </w:rPr>
        <w:fldChar w:fldCharType="begin"/>
      </w:r>
      <w:r w:rsidR="003C611C">
        <w:rPr>
          <w:rFonts w:cs="Times New Roman"/>
          <w:szCs w:val="24"/>
        </w:rPr>
        <w:instrText xml:space="preserve"> ADDIN ZOTERO_ITEM CSL_CITATION {"citationID":"2CZYAUOI","properties":{"formattedCitation":"(Amin et al., 2012; Eiler et al., 2012; Johnson et al., 2020)","plainCitation":"(Amin et al., 2012; Eiler et al., 2012; Johnson et al., 2020)","noteIndex":0},"citationItems":[{"id":9516,"uris":["http://zotero.org/users/764524/items/Z9ZPWUTZ"],"itemData":{"id":9516,"type":"article-journal","abstract":"SUMMARY\nDiatoms and bacteria have cooccurred in common habitats for hundreds of millions of years, thus fostering specific associations and interactions with global biogeochemical consequences. Diatoms are responsible for one-fifth of the photosynthesis on Earth, while bacteria remineralize a large portion of this fixed carbon in the oceans. Through their coexistence, diatoms and bacteria cycle nutrients between oxidized and reduced states, impacting bioavailability and ultimately feeding higher trophic levels. Here we present an overview of how diatoms and bacteria interact and the implications of these interactions. We emphasize that heterotrophic bacteria in the oceans that are consistently associated with diatoms are confined to two phyla. These consistent bacterial associations result from encounter mechanisms that occur within a microscale environment surrounding a diatom cell. We review signaling mechanisms that occur in this microenvironment to pave the way for specific interactions. Finally, we discuss known interactions between diatoms and bacteria and exciting new directions and research opportunities in this field. Throughout the review, we emphasize new technological advances that will help in the discovery of new interactions. Deciphering the languages of diatoms and bacteria and how they interact will inform our understanding of the role these organisms have in shaping the ocean and how these interactions may change in future oceans.","container-title":"Microbiology and Molecular Biology Reviews","DOI":"10.1128/mmbr.00007-12","issue":"3","journalAbbreviation":"Microbiol. Mol. Biol. Rev.","note":"publisher: American Society for Microbiology","page":"667-684","source":"journals.asm.org (Atypon)","title":"Interactions between Diatoms and Bacteria","volume":"76","author":[{"family":"Amin","given":"Shady A."},{"family":"Parker","given":"Micaela S."},{"family":"Armbrust","given":"E. Virginia"}],"issued":{"date-parts":[["2012",8,29]]}}},{"id":9518,"uris":["http://zotero.org/users/764524/items/V74KBGEF"],"itemData":{"id":9518,"type":"article-journal","abstract":"Bacteria have important roles in freshwater food webs and in the cycling of elements in the ecosystem. Yet specific ecological features of individual phylogenetic groups and interactions among these are largely unknown. We used 454 pyrosequencing of 16S rRNA genes to study associations of different bacterioplankton groups to environmental characteristics and their co-occurrence patterns over an annual cycle in a dimictic lake. Clear seasonal succession of the bacterioplankton community was observed. After binning of sequences into previously described and highly resolved phylogenetic groups (tribes), their temporal dynamics revealed extensive synchrony and associations with seasonal events such as ice coverage, ice-off, mixing and phytoplankton blooms. Coupling between closely and distantly related tribes was resolved by time-dependent rank correlations, suggesting ecological coherence that was often dependent on taxonomic relatedness. Association networks with the abundant freshwater Actinobacteria and Proteobacteria in focus revealed complex interdependencies within bacterioplankton communities and contrasting linkages to environmental conditions. Accordingly, unique ecological features can be inferred for each tribe and reveal the natural history of abundant cultured and uncultured freshwater bacteria.","container-title":"The ISME Journal","DOI":"10.1038/ismej.2011.113","ISSN":"1751-7362","issue":"2","journalAbbreviation":"ISME J.","page":"330-342","source":"Silverchair","title":"Coherent dynamics and association networks among lake bacterioplankton taxa","volume":"6","author":[{"family":"Eiler","given":"Alexander"},{"family":"Heinrich","given":"Friederike"},{"family":"Bertilsson","given":"Stefan"}],"issued":{"date-parts":[["2012",2,1]]}}},{"id":9519,"uris":["http://zotero.org/users/764524/items/IJVUPVDJ"],"itemData":{"id":9519,"type":"article-journal","abstract":"Auxotrophy, or an organism's requirement for an exogenous source of an organic molecule, is widespread throughout species and ecosystems. Auxotrophy can result in obligate interactions between organisms, influencing ecosystem structure and community composition. We explore how auxotrophy-induced interactions between aquatic microorganisms affect microbial community structure and stability. While some studies have documented auxotrophy in aquatic microorganisms, these studies are not widespread, and we therefore do not know the full extent of auxotrophic interactions in aquatic environments. Current theoretical and experimental work suggests that auxotrophy links microbial community members through a complex web of metabolic dependencies. We discuss the proposed ways in which auxotrophy may enhance or undermine the stability of aquatic microbial communities, highlighting areas where our limited understanding of these interactions prevents us from being able to predict the ecological implications of auxotrophy. Finally, we examine an example of auxotrophy in harmful algal blooms to place this often theoretical discussion in a field context where auxotrophy may have implications for the development and robustness of algal bloom communities. We seek to draw attention to the relationship between auxotrophy and community stability in an effort to encourage further field and theoretical work that explores the underlying principles of microbial interactions.","container-title":"FEMS Microbiology Ecology","DOI":"10.1093/femsec/fiaa115","ISSN":"0168-6496","issue":"11","journalAbbreviation":"FEMS Microbiol. Ecol.","page":"fiaa115","source":"Silverchair","title":"Auxotrophic interactions: a stabilizing attribute of aquatic microbial communities?","title-short":"Auxotrophic interactions","volume":"96","author":[{"family":"Johnson","given":"Winifred M"},{"family":"Alexander","given":"Harriet"},{"family":"Bier","given":"Raven L"},{"family":"Miller","given":"Dan R"},{"family":"Muscarella","given":"Mario E"},{"family":"Pitz","given":"Kathleen J"},{"family":"Smith","given":"Heidi"}],"issued":{"date-parts":[["2020",11,3]]}}}],"schema":"https://github.com/citation-style-language/schema/raw/master/csl-citation.json"} </w:instrText>
      </w:r>
      <w:r w:rsidR="003C611C" w:rsidRPr="004C26E3">
        <w:rPr>
          <w:rFonts w:cs="Times New Roman"/>
          <w:szCs w:val="24"/>
        </w:rPr>
        <w:fldChar w:fldCharType="separate"/>
      </w:r>
      <w:r w:rsidR="003C611C" w:rsidRPr="004C26E3">
        <w:rPr>
          <w:rFonts w:cs="Times New Roman"/>
        </w:rPr>
        <w:t>(Amin et al., 2012; Eiler et al., 2012; Johnson et al., 2020)</w:t>
      </w:r>
      <w:r w:rsidR="003C611C" w:rsidRPr="004C26E3">
        <w:rPr>
          <w:rFonts w:cs="Times New Roman"/>
          <w:szCs w:val="24"/>
        </w:rPr>
        <w:fldChar w:fldCharType="end"/>
      </w:r>
      <w:r w:rsidR="003C611C" w:rsidRPr="004C26E3">
        <w:rPr>
          <w:rFonts w:cs="Times New Roman"/>
          <w:szCs w:val="24"/>
        </w:rPr>
        <w:t xml:space="preserve">.  In particular, bacterial algicide production has been shown to influence the composition of algae in the </w:t>
      </w:r>
      <w:proofErr w:type="spellStart"/>
      <w:r w:rsidR="003C611C" w:rsidRPr="004C26E3">
        <w:rPr>
          <w:rFonts w:cs="Times New Roman"/>
          <w:szCs w:val="24"/>
        </w:rPr>
        <w:t>phycosphere</w:t>
      </w:r>
      <w:proofErr w:type="spellEnd"/>
      <w:r w:rsidR="003C611C" w:rsidRPr="004C26E3">
        <w:rPr>
          <w:rFonts w:cs="Times New Roman"/>
          <w:szCs w:val="24"/>
        </w:rPr>
        <w:t xml:space="preserve">, although the effect on this ecosystem is complex and requires further study </w:t>
      </w:r>
      <w:r w:rsidR="003C611C" w:rsidRPr="004C26E3">
        <w:rPr>
          <w:rFonts w:cs="Times New Roman"/>
          <w:szCs w:val="24"/>
        </w:rPr>
        <w:fldChar w:fldCharType="begin"/>
      </w:r>
      <w:r w:rsidR="003C611C">
        <w:rPr>
          <w:rFonts w:cs="Times New Roman"/>
          <w:szCs w:val="24"/>
        </w:rPr>
        <w:instrText xml:space="preserve"> ADDIN ZOTERO_ITEM CSL_CITATION {"citationID":"ZpuTetEy","properties":{"formattedCitation":"(Meyer et al., 2017)","plainCitation":"(Meyer et al., 2017)","noteIndex":0},"citationItems":[{"id":9513,"uris":["http://zotero.org/users/764524/items/4EZ93DH8"],"itemData":{"id":9513,"type":"article-journal","abstract":"In both freshwater and marine ecosystems, phytoplankton are the most dominant primary producers, contributing substantially to aquatic food webs. Algicidal bacteria that can associate to microalgae from the phytoplankton have the capability to control the proliferation and even to lyse them. These bacteria thus play an important role in shaping species composition in pelagic environments. In this review, we discuss and categorise strategies used by algicidal bacteria for the attack on microalgae. We highlight the complex regulation of algicidal activity and defence responses that govern alga–bacteria interactions. We also discuss how algicidal bacteria impact algal physiology and metabolism and survey the existing algicidal metabolites and enzymes. The review illustrates that the ecological role of algicidal bacteria is not yet fully understood and critically discusses the challenges in obtaining ecologically relevant data.","container-title":"FEMS Microbiology Reviews","DOI":"10.1093/femsre/fux029","ISSN":"0168-6445","issue":"6","journalAbbreviation":"FEMS Microbiol. Rev.","page":"880-899","source":"Silverchair","title":"Strategies and ecological roles of algicidal bacteria","volume":"41","author":[{"family":"Meyer","given":"Nils"},{"family":"Bigalke","given":"Arite"},{"family":"Kaulfuß","given":"Anett"},{"family":"Pohnert","given":"Georg"}],"issued":{"date-parts":[["2017",11,1]]}}}],"schema":"https://github.com/citation-style-language/schema/raw/master/csl-citation.json"} </w:instrText>
      </w:r>
      <w:r w:rsidR="003C611C" w:rsidRPr="004C26E3">
        <w:rPr>
          <w:rFonts w:cs="Times New Roman"/>
          <w:szCs w:val="24"/>
        </w:rPr>
        <w:fldChar w:fldCharType="separate"/>
      </w:r>
      <w:r w:rsidR="003C611C" w:rsidRPr="004C26E3">
        <w:rPr>
          <w:rFonts w:cs="Times New Roman"/>
        </w:rPr>
        <w:t>(Meyer et al., 2017)</w:t>
      </w:r>
      <w:r w:rsidR="003C611C" w:rsidRPr="004C26E3">
        <w:rPr>
          <w:rFonts w:cs="Times New Roman"/>
          <w:szCs w:val="24"/>
        </w:rPr>
        <w:fldChar w:fldCharType="end"/>
      </w:r>
      <w:r w:rsidR="003C611C" w:rsidRPr="004C26E3">
        <w:rPr>
          <w:rFonts w:cs="Times New Roman"/>
          <w:szCs w:val="24"/>
        </w:rPr>
        <w:t>.</w:t>
      </w:r>
    </w:p>
    <w:p w14:paraId="27E9614F" w14:textId="13E9671C" w:rsidR="00E662EA" w:rsidRDefault="005B2BBF" w:rsidP="00E662EA">
      <w:pPr>
        <w:snapToGrid w:val="0"/>
        <w:spacing w:line="360" w:lineRule="auto"/>
        <w:ind w:firstLine="284"/>
        <w:jc w:val="both"/>
        <w:rPr>
          <w:rFonts w:cs="Times New Roman"/>
          <w:szCs w:val="24"/>
        </w:rPr>
      </w:pPr>
      <w:r>
        <w:rPr>
          <w:rFonts w:cs="Times New Roman"/>
          <w:color w:val="FF0000"/>
          <w:szCs w:val="24"/>
        </w:rPr>
        <w:t>S</w:t>
      </w:r>
      <w:r w:rsidR="003C611C" w:rsidRPr="003C611C">
        <w:rPr>
          <w:rFonts w:cs="Times New Roman"/>
          <w:color w:val="FF0000"/>
          <w:szCs w:val="24"/>
        </w:rPr>
        <w:t>ymbio</w:t>
      </w:r>
      <w:r w:rsidR="00845CD4">
        <w:rPr>
          <w:rFonts w:cs="Times New Roman"/>
          <w:color w:val="FF0000"/>
          <w:szCs w:val="24"/>
        </w:rPr>
        <w:t xml:space="preserve">sis </w:t>
      </w:r>
      <w:r w:rsidR="003C611C" w:rsidRPr="003C611C">
        <w:rPr>
          <w:rFonts w:cs="Times New Roman"/>
          <w:color w:val="FF0000"/>
          <w:szCs w:val="24"/>
        </w:rPr>
        <w:t xml:space="preserve">between </w:t>
      </w:r>
      <w:r w:rsidR="0024169C" w:rsidRPr="003C611C">
        <w:rPr>
          <w:rFonts w:cs="Times New Roman"/>
          <w:color w:val="FF0000"/>
          <w:szCs w:val="24"/>
        </w:rPr>
        <w:t xml:space="preserve">bacteria and algae </w:t>
      </w:r>
      <w:r>
        <w:rPr>
          <w:rFonts w:cs="Times New Roman"/>
          <w:color w:val="FF0000"/>
          <w:szCs w:val="24"/>
        </w:rPr>
        <w:t>resulted from</w:t>
      </w:r>
      <w:r w:rsidR="00E04801" w:rsidRPr="003C611C">
        <w:rPr>
          <w:rFonts w:cs="Times New Roman"/>
          <w:color w:val="FF0000"/>
          <w:szCs w:val="24"/>
        </w:rPr>
        <w:t xml:space="preserve"> millions of years of co-evolutio</w:t>
      </w:r>
      <w:r w:rsidR="00E662EA">
        <w:rPr>
          <w:rFonts w:cs="Times New Roman"/>
          <w:color w:val="FF0000"/>
          <w:szCs w:val="24"/>
        </w:rPr>
        <w:t xml:space="preserve">n </w:t>
      </w:r>
      <w:r w:rsidR="00E662EA" w:rsidRPr="00E662EA">
        <w:rPr>
          <w:rFonts w:cs="Times New Roman"/>
          <w:color w:val="FF0000"/>
          <w:szCs w:val="24"/>
        </w:rPr>
        <w:t xml:space="preserve">and </w:t>
      </w:r>
      <w:r w:rsidR="006B7D13" w:rsidRPr="00E662EA">
        <w:rPr>
          <w:rFonts w:cs="Times New Roman"/>
          <w:color w:val="FF0000"/>
          <w:szCs w:val="24"/>
        </w:rPr>
        <w:t xml:space="preserve">can be divided into </w:t>
      </w:r>
      <w:r w:rsidR="00845CD4">
        <w:rPr>
          <w:rFonts w:cs="Times New Roman"/>
          <w:color w:val="FF0000"/>
          <w:szCs w:val="24"/>
        </w:rPr>
        <w:t xml:space="preserve">two main types: </w:t>
      </w:r>
      <w:r w:rsidR="006B7D13" w:rsidRPr="00E662EA">
        <w:rPr>
          <w:rFonts w:cs="Times New Roman"/>
          <w:color w:val="FF0000"/>
          <w:szCs w:val="24"/>
        </w:rPr>
        <w:t xml:space="preserve">endosymbiosis and </w:t>
      </w:r>
      <w:proofErr w:type="spellStart"/>
      <w:r w:rsidR="006B7D13" w:rsidRPr="00E662EA">
        <w:rPr>
          <w:rFonts w:cs="Times New Roman"/>
          <w:color w:val="FF0000"/>
          <w:szCs w:val="24"/>
        </w:rPr>
        <w:t>exosymbiosis</w:t>
      </w:r>
      <w:proofErr w:type="spellEnd"/>
      <w:r w:rsidR="00CF0F03" w:rsidRPr="00E662EA">
        <w:rPr>
          <w:rFonts w:cs="Times New Roman"/>
          <w:color w:val="FF0000"/>
          <w:szCs w:val="24"/>
        </w:rPr>
        <w:t xml:space="preserve">.  </w:t>
      </w:r>
      <w:r w:rsidR="00E662EA" w:rsidRPr="00833CE8">
        <w:rPr>
          <w:rFonts w:cs="Times New Roman"/>
          <w:szCs w:val="24"/>
        </w:rPr>
        <w:t xml:space="preserve">Endosymbiosis is the engulfing and integration of one cell by a second organism to form a </w:t>
      </w:r>
      <w:r w:rsidR="00E662EA" w:rsidRPr="00741E01">
        <w:rPr>
          <w:rFonts w:cs="Times New Roman"/>
          <w:szCs w:val="24"/>
        </w:rPr>
        <w:t xml:space="preserve">symbiotic relationship, while </w:t>
      </w:r>
      <w:proofErr w:type="spellStart"/>
      <w:r w:rsidR="00E662EA" w:rsidRPr="00741E01">
        <w:rPr>
          <w:rFonts w:cs="Times New Roman"/>
          <w:szCs w:val="24"/>
        </w:rPr>
        <w:t>exosymbiosis</w:t>
      </w:r>
      <w:proofErr w:type="spellEnd"/>
      <w:r w:rsidR="00E662EA" w:rsidRPr="00741E01">
        <w:rPr>
          <w:rFonts w:cs="Times New Roman"/>
          <w:szCs w:val="24"/>
        </w:rPr>
        <w:t xml:space="preserve">, the more common type of symbiotic relationship, does not require the first organism to be inside the second.  In the early 20th century, the Russian microbiologist </w:t>
      </w:r>
      <w:proofErr w:type="spellStart"/>
      <w:r w:rsidR="00E662EA" w:rsidRPr="00741E01">
        <w:rPr>
          <w:rFonts w:cs="Times New Roman"/>
          <w:szCs w:val="24"/>
        </w:rPr>
        <w:t>Mereschkovsky</w:t>
      </w:r>
      <w:proofErr w:type="spellEnd"/>
      <w:r w:rsidR="00E662EA" w:rsidRPr="00741E01">
        <w:rPr>
          <w:rFonts w:cs="Times New Roman"/>
          <w:szCs w:val="24"/>
        </w:rPr>
        <w:t xml:space="preserve"> first proposed the theory of symbiotic origin of organisms </w:t>
      </w:r>
      <w:r w:rsidR="00E662EA" w:rsidRPr="00741E01">
        <w:rPr>
          <w:rFonts w:cs="Times New Roman"/>
          <w:szCs w:val="24"/>
        </w:rPr>
        <w:fldChar w:fldCharType="begin"/>
      </w:r>
      <w:r w:rsidR="00E662EA" w:rsidRPr="00741E01">
        <w:rPr>
          <w:rFonts w:cs="Times New Roman"/>
          <w:szCs w:val="24"/>
        </w:rPr>
        <w:instrText xml:space="preserve"> ADDIN ZOTERO_ITEM CSL_CITATION {"citationID":"Reo72GED","properties":{"formattedCitation":"(Kowallik and Martin, 2021)","plainCitation":"(Kowallik and Martin, 2021)","noteIndex":0},"citationItems":[{"id":9399,"uris":["http://zotero.org/users/764524/items/W9E7JKG8"],"itemData":{"id":9399,"type":"article-journal","abstract":"In 1910, the Russian biologist Konstantin Sergejewitch Mereschkowsky (Константин Сергеевич Мережковский, in standard transliterations also written as Konstantin Sergeevič Merežkovskij and Konstantin Sergeevich Merezhkovsky) published a notable synthesis of observations and inferences concerning the origin of life and the origin of nucleated cells. His theory was based on physiology and leaned heavily upon the premise that thermophilic autotrophs were ancient. The ancestors of plants and animals were inferred as ancestrally mesophilic anucleate heterotrophs (Monera) that became complex and diverse through endosymbiosis. He placed a phylogenetic root in the tree of life among anaerobic autotrophic bacteria that lack chlorophyll. His higher level classification of all microbes and macrobes in the living world was based upon the presence or absence of past endosymbiotic events. The paper's primary aim was to demonstrate that all life forms descend from two fundamentally distinct organismal lineages, called mykoplasma and amoeboplasma, whose very nature was so different that, in his view, they could only have arisen independently of one another and at different times during Earth history. The mykoplasma arose at a time when the young Earth was still hot, it later gave rise to cyanobacteria, which in turn gave rise to plastids. The product of the second origin of life, the amoeboplasma, arose after the Earth had cooled and autotrophs had generated substrates for heterotrophic growth. Lineage diversification of that second plasma brought forth, via serial endosymbioses, animals (one symbiosis) and then plants (two symbioses, the second being the plastid). The paper was published in German, rendering it inaccessible to many interested scholars. Here we translate the 1910 paper in full and briefly provide some context.","container-title":"Biosystems","DOI":"10.1016/j.biosystems.2020.104281","ISSN":"0303-2647","journalAbbreviation":"Biosystems","page":"104281","source":"ScienceDirect","title":"The origin of symbiogenesis: An annotated English translation of Mereschkowsky's 1910 paper on the theory of two plasma lineages","title-short":"The origin of symbiogenesis","volume":"199","author":[{"family":"Kowallik","given":"Klaus V."},{"family":"Martin","given":"William F."}],"issued":{"date-parts":[["2021",1,1]]}}}],"schema":"https://github.com/citation-style-language/schema/raw/master/csl-citation.json"} </w:instrText>
      </w:r>
      <w:r w:rsidR="00E662EA" w:rsidRPr="00741E01">
        <w:rPr>
          <w:rFonts w:cs="Times New Roman"/>
          <w:szCs w:val="24"/>
        </w:rPr>
        <w:fldChar w:fldCharType="separate"/>
      </w:r>
      <w:r w:rsidR="00E662EA" w:rsidRPr="00741E01">
        <w:rPr>
          <w:rFonts w:cs="Times New Roman"/>
        </w:rPr>
        <w:t>(Kowallik and Martin, 2021)</w:t>
      </w:r>
      <w:r w:rsidR="00E662EA" w:rsidRPr="00741E01">
        <w:rPr>
          <w:rFonts w:cs="Times New Roman"/>
          <w:szCs w:val="24"/>
        </w:rPr>
        <w:fldChar w:fldCharType="end"/>
      </w:r>
      <w:r w:rsidR="00E662EA" w:rsidRPr="00741E01">
        <w:rPr>
          <w:rFonts w:cs="Times New Roman"/>
          <w:szCs w:val="24"/>
        </w:rPr>
        <w:t>.</w:t>
      </w:r>
      <w:r w:rsidR="00E662EA" w:rsidRPr="00741E01">
        <w:rPr>
          <w:rFonts w:cs="Times New Roman"/>
          <w:b/>
          <w:bCs/>
          <w:szCs w:val="24"/>
        </w:rPr>
        <w:t xml:space="preserve">  </w:t>
      </w:r>
      <w:r w:rsidR="00E662EA" w:rsidRPr="00741E01">
        <w:rPr>
          <w:rFonts w:cs="Times New Roman"/>
          <w:szCs w:val="24"/>
        </w:rPr>
        <w:t xml:space="preserve">The modern </w:t>
      </w:r>
      <w:r w:rsidR="00E662EA" w:rsidRPr="00833CE8">
        <w:rPr>
          <w:rFonts w:cs="Times New Roman"/>
          <w:szCs w:val="24"/>
        </w:rPr>
        <w:t xml:space="preserve">endosymbiotic theory was first described in 1967 by Lynn Margulis (then Lynn Sagan) </w:t>
      </w:r>
      <w:r w:rsidR="00E662EA" w:rsidRPr="00833CE8">
        <w:rPr>
          <w:rFonts w:cs="Times New Roman"/>
          <w:b/>
          <w:bCs/>
          <w:color w:val="FF0000"/>
          <w:szCs w:val="24"/>
        </w:rPr>
        <w:fldChar w:fldCharType="begin"/>
      </w:r>
      <w:r w:rsidR="00E662EA" w:rsidRPr="00833CE8">
        <w:rPr>
          <w:rFonts w:cs="Times New Roman"/>
          <w:b/>
          <w:bCs/>
          <w:color w:val="FF0000"/>
          <w:szCs w:val="24"/>
        </w:rPr>
        <w:instrText xml:space="preserve"> ADDIN ZOTERO_ITEM CSL_CITATION {"citationID":"PlhglUbI","properties":{"unsorted":true,"formattedCitation":"(Sagan, 1967; Gray, 2017)","plainCitation":"(Sagan, 1967; Gray, 2017)","noteIndex":0},"citationItems":[{"id":9314,"uris":["http://zotero.org/users/764524/items/NGAIA4DK"],"itemData":{"id":9314,"type":"article-journal","abstract":"A theory of the origin of eukaryotic cells (\"higher\" cells which divide by classical mitosis) is presented. By hypothesis, three fundamental organelles: the mitochondria, the photosynthetic plastids and the (9+2) basal bodies of flagella were themselves once free-living (prokaryotic) cells. The evolution of photosynthesis under the anaerobic conditions of the early atmosphere to form anaerobic bacteria, photosynthetic bacteria and eventually blue-green algae (and protoplastids) is described. The subsequent evolution of aerobic metabolism in prokaryotes to form aerobic bacteria (protoflagella and protomitochondria) presumably occurred during the transition to the oxidizing atmosphere. Classical mitosis evolved in protozoan-type cells millions of years after the evolution of photosynthesis. A plausible scheme for the origin of classical mitosis in primitive amoeboflagellates is presented. During the course of the evolution of mitosis, photosynthetic plastids (themselves derived from prokaryotes) were symbiotically acquired by some of these protozoans to form the eukaryotic algae and the green plants. The cytological, biochemical and paleontological evidence for this theory is presented, along with suggestions for further possible experimental verification. The implications of this scheme for the systematics of the lower organisms is discussed.","container-title":"Journal of Theoretical Biology","DOI":"10.1016/0022-5193(67)90079-3","ISSN":"0022-5193","issue":"3","journalAbbreviation":"J. Theor. Biol.","language":"eng","note":"PMID: 11541392","page":"255-274","source":"PubMed","title":"On the origin of mitosing cells","volume":"14","author":[{"family":"Sagan","given":"L."}],"issued":{"date-parts":[["1967",3]]}}},{"id":9310,"uris":["http://zotero.org/users/764524/items/LRBPNH67"],"itemData":{"id":9310,"type":"article-journal","abstract":"The 1967 article “On the Origin of Mitosing Cells” in the Journal of Theoretical Biology by Lynn Margulis (then Lynn Sagan) is widely regarded as stimulating renewed interest in the long-dormant endosymbiont hypothesis of organelle origins. In her article, not only did Margulis champion an endosymbiotic origin of mitochondria and plastids from bacterial ancestors, but she also posited that the eukaryotic flagellum (undulipodium in her usage) and mitotic apparatus originated from an endosymbiotic, spirochete-like organism. In essence, she presented a comprehensive symbiotic view of eukaryotic cell evolution (eukaryogenesis). Not all of the ideas in her article have been accepted, for want of compelling evidence, but her vigorous promotion of the role of symbiosis in cell evolution unquestionably had a major influence on how subsequent investigators have viewed the origin and evolution of mitochondria and plastids and the eukaryotic cell per se.","container-title":"Molecular Biology of the Cell","DOI":"10.1091/mbc.e16-07-0509","ISSN":"1059-1524","issue":"10","journalAbbreviation":"MBoC","note":"publisher: American Society for Cell Biology (mboc)","page":"1285-1287","source":"molbiolcell.org (Atypon)","title":"Lynn Margulis and the endosymbiont hypothesis: 50 years later","title-short":"Lynn Margulis and the endosymbiont hypothesis","volume":"28","author":[{"family":"Gray","given":"Michael W."}],"issued":{"date-parts":[["2017",5,15]]}}}],"schema":"https://github.com/citation-style-language/schema/raw/master/csl-citation.json"} </w:instrText>
      </w:r>
      <w:r w:rsidR="00E662EA" w:rsidRPr="00833CE8">
        <w:rPr>
          <w:rFonts w:cs="Times New Roman"/>
          <w:b/>
          <w:bCs/>
          <w:color w:val="FF0000"/>
          <w:szCs w:val="24"/>
        </w:rPr>
        <w:fldChar w:fldCharType="separate"/>
      </w:r>
      <w:r w:rsidR="00E662EA" w:rsidRPr="00833CE8">
        <w:rPr>
          <w:rFonts w:cs="Times New Roman"/>
        </w:rPr>
        <w:t>(Sagan, 1967; Gray, 2017)</w:t>
      </w:r>
      <w:r w:rsidR="00E662EA" w:rsidRPr="00833CE8">
        <w:rPr>
          <w:rFonts w:cs="Times New Roman"/>
          <w:b/>
          <w:bCs/>
          <w:color w:val="FF0000"/>
          <w:szCs w:val="24"/>
        </w:rPr>
        <w:fldChar w:fldCharType="end"/>
      </w:r>
      <w:r w:rsidR="00E662EA" w:rsidRPr="00E81348">
        <w:rPr>
          <w:rFonts w:cs="Times New Roman"/>
          <w:color w:val="FF0000"/>
          <w:szCs w:val="24"/>
        </w:rPr>
        <w:t xml:space="preserve">.  </w:t>
      </w:r>
      <w:r w:rsidR="00E81348" w:rsidRPr="00E81348">
        <w:rPr>
          <w:rFonts w:cs="Times New Roman"/>
          <w:color w:val="FF0000"/>
          <w:szCs w:val="24"/>
        </w:rPr>
        <w:t xml:space="preserve">Endosymbiosis has been </w:t>
      </w:r>
      <w:r w:rsidR="00E662EA" w:rsidRPr="00E81348">
        <w:rPr>
          <w:rFonts w:cs="Times New Roman"/>
          <w:color w:val="FF0000"/>
          <w:szCs w:val="24"/>
        </w:rPr>
        <w:t xml:space="preserve">one of </w:t>
      </w:r>
      <w:r w:rsidR="00E662EA" w:rsidRPr="003C611C">
        <w:rPr>
          <w:rFonts w:cs="Times New Roman"/>
          <w:color w:val="FF0000"/>
          <w:szCs w:val="24"/>
        </w:rPr>
        <w:t xml:space="preserve">the major </w:t>
      </w:r>
      <w:r>
        <w:rPr>
          <w:rFonts w:cs="Times New Roman"/>
          <w:color w:val="FF0000"/>
          <w:szCs w:val="24"/>
        </w:rPr>
        <w:t>events</w:t>
      </w:r>
      <w:r w:rsidR="00E662EA" w:rsidRPr="003C611C">
        <w:rPr>
          <w:rFonts w:cs="Times New Roman"/>
          <w:color w:val="FF0000"/>
          <w:szCs w:val="24"/>
        </w:rPr>
        <w:t xml:space="preserve"> in bacteria-algae coevolution </w:t>
      </w:r>
      <w:r w:rsidR="00E662EA" w:rsidRPr="00833CE8">
        <w:rPr>
          <w:rFonts w:cs="Times New Roman"/>
          <w:szCs w:val="24"/>
        </w:rPr>
        <w:fldChar w:fldCharType="begin"/>
      </w:r>
      <w:r w:rsidR="00E662EA" w:rsidRPr="00833CE8">
        <w:rPr>
          <w:rFonts w:cs="Times New Roman"/>
          <w:szCs w:val="24"/>
        </w:rPr>
        <w:instrText xml:space="preserve"> ADDIN ZOTERO_ITEM CSL_CITATION {"citationID":"q8bsvXft","properties":{"formattedCitation":"(Bennett et al., 2024; Matthews et al., 2023; Murphy and O\\uc0\\u8217{}Neill, 2024)","plainCitation":"(Bennett et al., 2024; Matthews et al., 2023; Murphy and O’Neill, 2024)","noteIndex":0},"citationItems":[{"id":4437,"uris":["http://zotero.org/users/764524/items/KRM58D8Y"],"itemData":{"id":4437,"type":"article-journal","abstract":"Mitochondria retain bacterial traits due to their endosymbiotic origin, but host cells do not recognize them as foreign because the organelles are sequestered. However, the regulated release of mitochondrial factors into the cytosol can trigger cell death, innate immunity and inflammation. This selective breakdown in the 2-billion-year-old endosymbiotic relationship enables mitochondria to act as intracellular signalling hubs. Mitochondrial signals include proteins, nucleic acids, phospholipids, metabolites and reactive oxygen species, which have many modes of release from mitochondria, and of decoding in the cytosol and nucleus. Because these mitochondrial signals probably contribute to the homeostatic role of inflammation, dysregulation of these processes may lead to autoimmune and inflammatory diseases. A potential reason for the increased incidence of these diseases may be changes in mitochondrial function and signalling in response to such recent phenomena as obesity, dietary changes and other environmental factors. Focusing on the mixed heritage of mitochondria therefore leads to predictions for future insights, research paths and therapeutic opportunities. Thus, whereas mitochondria can be considered ‘the enemy within’ the cell, evolution has used this strained relationship in intriguing ways, with increasing evidence pointing to the recent failure of endosymbiosis being critical for the pathogenesis of inflammatory diseases.","container-title":"Nature","DOI":"10.1038/s41586-023-06866-z","ISSN":"1476-4687","issue":"7998","language":"en","license":"2024 Springer Nature Limited","note":"publisher: Nature Publishing Group","page":"271-279","source":"www.nature.com","title":"A break in mitochondrial endosymbiosis as a basis for inflammatory diseases","volume":"626","author":[{"family":"Murphy","given":"Michael P."},{"family":"O’Neill","given":"Luke A. J."}],"issued":{"date-parts":[["2024",2]]}}},{"id":4442,"uris":["http://zotero.org/users/764524/items/LSRDGR2H"],"itemData":{"id":4442,"type":"article-journal","abstract":"Bacteria are key contributors to microalgae resource acquisition, competitive performance, and functional diversity, but their potential metabolic interactions with coral microalgal endosymbionts (Symbiodiniaceae) have been largely overlooked. Here, we show that altering the bacterial composition of two widespread Symbiodiniaceae species, during their free-living stage, results in a significant shift in their cellular metabolism. Indeed, the abundance of monosaccharides and the key phytohormone indole-3-acetic acid (IAA) were correlated with the presence of specific bacteria, including members of the Labrenzia (Roseibium) and Marinobacter genera. Single-cell stable isotope tracking revealed that these two bacterial genera are involved in reciprocal exchanges of carbon and nitrogen with Symbiodiniaceae. We identified the provision of IAA by Labrenzia and Marinobacter, and this metabolite caused a significant growth enhancement of Symbiodiniaceae. By unravelling these interkingdom interactions, our work demonstrates how specific bacterial associates fundamentally govern Symbiodiniaceae fitness.","container-title":"Nature Communications","DOI":"10.1038/s41467-023-42663-y","ISSN":"2041-1723","issue":"1","journalAbbreviation":"Nat. Commun.","language":"en","license":"2023 The Author(s)","note":"publisher: Nature Publishing Group","page":"6864","source":"www.nature.com","title":"Coral endosymbiont growth is enhanced by metabolic interactions with bacteria","volume":"14","author":[{"family":"Matthews","given":"Jennifer L."},{"family":"Khalil","given":"Abeeha"},{"family":"Siboni","given":"Nachshon"},{"family":"Bougoure","given":"Jeremy"},{"family":"Guagliardo","given":"Paul"},{"family":"Kuzhiumparambil","given":"Unnikrishnan"},{"family":"DeMaere","given":"Matthew"},{"family":"Le Reun","given":"Nine M."},{"family":"Seymour","given":"Justin R."},{"family":"Suggett","given":"David J."},{"family":"Raina","given":"Jean-Baptiste"}],"issued":{"date-parts":[["2023",10,27]]}}},{"id":4439,"uris":["http://zotero.org/users/764524/items/JUB86TPA"],"itemData":{"id":4439,"type":"article-journal","abstract":"Life on Earth comprises prokaryotes and a broad assemblage of endosymbioses. The pages of Molecular Biology and Evolution and Genome Biology and Evolution have provided an essential window into how these endosymbiotic interactions have evolved and shaped biological diversity. Here, we provide a current perspective on this knowledge by drawing on decades of revelatory research published in Molecular Biology and Evolution and Genome Biology and Evolution, and insights from the field at large. The accumulated work illustrates how endosymbioses provide hosts with novel phenotypes that allow them to transition between adaptive landscapes to access environmental resources. Such endosymbiotic relationships have shaped and reshaped life on Earth. The early serial establishment of mitochondria and chloroplasts through endosymbioses permitted massive upscaling of cellular energetics, multicellularity, and terrestrial planetary greening. These endosymbioses are also the foundation upon which all later ones are built, including everything from land–plant endosymbioses with fungi and bacteria to nutritional endosymbioses found in invertebrate animals. Common evolutionary mechanisms have shaped this broad range of interactions. Endosymbionts generally experience adaptive and stochastic genome streamlining, the extent of which depends on several key factors (e.g. mode of transmission). Hosts, in contrast, adapt complex mechanisms of resource exchange, cellular integration and regulation, and genetic support mechanisms to prop up degraded symbionts. However, there are significant differences between endosymbiotic interactions not only in how partners have evolved with each other but also in the scope of their influence on biological diversity. These differences are important considerations for predicting how endosymbioses will persist and adapt to a changing planet.","container-title":"Genome Biology and Evolution","DOI":"10.1093/gbe/evae112","ISSN":"1759-6653","issue":"6","journalAbbreviation":"Genome Biol. Evol.","page":"evae112","source":"Silverchair","title":"Endosymbioses Have Shaped the Evolution of Biological Diversity and Complexity Time and Time Again","volume":"16","author":[{"family":"Bennett","given":"Gordon M"},{"family":"Kwak","given":"Younghwan"},{"family":"Maynard","given":"Reo"}],"issued":{"date-parts":[["2024",6,1]]}}}],"schema":"https://github.com/citation-style-language/schema/raw/master/csl-citation.json"} </w:instrText>
      </w:r>
      <w:r w:rsidR="00E662EA" w:rsidRPr="00833CE8">
        <w:rPr>
          <w:rFonts w:cs="Times New Roman"/>
          <w:szCs w:val="24"/>
        </w:rPr>
        <w:fldChar w:fldCharType="separate"/>
      </w:r>
      <w:r w:rsidR="00E662EA" w:rsidRPr="00833CE8">
        <w:rPr>
          <w:rFonts w:cs="Times New Roman"/>
          <w:kern w:val="0"/>
        </w:rPr>
        <w:t>(Bennett et al., 2024; Matthews et al., 2023; Murphy and O’Neill, 2024)</w:t>
      </w:r>
      <w:r w:rsidR="00E662EA" w:rsidRPr="00833CE8">
        <w:rPr>
          <w:rFonts w:cs="Times New Roman"/>
          <w:szCs w:val="24"/>
        </w:rPr>
        <w:fldChar w:fldCharType="end"/>
      </w:r>
      <w:r w:rsidR="00E662EA" w:rsidRPr="00833CE8">
        <w:rPr>
          <w:rFonts w:cs="Times New Roman"/>
          <w:szCs w:val="24"/>
        </w:rPr>
        <w:t xml:space="preserve">.  Endosymbionts were originally prokaryotic cells that were incorporated into eukaryotic cells, eventually forming organelles like chloroplasts and mitochondria for photosynthesis and energy production in the form of adenosine triphosphate (ATP), respectively </w:t>
      </w:r>
      <w:r w:rsidR="00E662EA" w:rsidRPr="00833CE8">
        <w:rPr>
          <w:rFonts w:cs="Times New Roman"/>
          <w:szCs w:val="24"/>
        </w:rPr>
        <w:fldChar w:fldCharType="begin"/>
      </w:r>
      <w:r w:rsidR="00E662EA" w:rsidRPr="00833CE8">
        <w:rPr>
          <w:rFonts w:cs="Times New Roman"/>
          <w:szCs w:val="24"/>
        </w:rPr>
        <w:instrText xml:space="preserve"> ADDIN ZOTERO_ITEM CSL_CITATION {"citationID":"xttxyvVD","properties":{"formattedCitation":"(Bennett et al., 2024)","plainCitation":"(Bennett et al., 2024)","noteIndex":0},"citationItems":[{"id":4439,"uris":["http://zotero.org/users/764524/items/JUB86TPA"],"itemData":{"id":4439,"type":"article-journal","abstract":"Life on Earth comprises prokaryotes and a broad assemblage of endosymbioses. The pages of Molecular Biology and Evolution and Genome Biology and Evolution have provided an essential window into how these endosymbiotic interactions have evolved and shaped biological diversity. Here, we provide a current perspective on this knowledge by drawing on decades of revelatory research published in Molecular Biology and Evolution and Genome Biology and Evolution, and insights from the field at large. The accumulated work illustrates how endosymbioses provide hosts with novel phenotypes that allow them to transition between adaptive landscapes to access environmental resources. Such endosymbiotic relationships have shaped and reshaped life on Earth. The early serial establishment of mitochondria and chloroplasts through endosymbioses permitted massive upscaling of cellular energetics, multicellularity, and terrestrial planetary greening. These endosymbioses are also the foundation upon which all later ones are built, including everything from land–plant endosymbioses with fungi and bacteria to nutritional endosymbioses found in invertebrate animals. Common evolutionary mechanisms have shaped this broad range of interactions. Endosymbionts generally experience adaptive and stochastic genome streamlining, the extent of which depends on several key factors (e.g. mode of transmission). Hosts, in contrast, adapt complex mechanisms of resource exchange, cellular integration and regulation, and genetic support mechanisms to prop up degraded symbionts. However, there are significant differences between endosymbiotic interactions not only in how partners have evolved with each other but also in the scope of their influence on biological diversity. These differences are important considerations for predicting how endosymbioses will persist and adapt to a changing planet.","container-title":"Genome Biology and Evolution","DOI":"10.1093/gbe/evae112","ISSN":"1759-6653","issue":"6","journalAbbreviation":"Genome Biol. Evol.","page":"evae112","source":"Silverchair","title":"Endosymbioses Have Shaped the Evolution of Biological Diversity and Complexity Time and Time Again","volume":"16","author":[{"family":"Bennett","given":"Gordon M"},{"family":"Kwak","given":"Younghwan"},{"family":"Maynard","given":"Reo"}],"issued":{"date-parts":[["2024",6,1]]}}}],"schema":"https://github.com/citation-style-language/schema/raw/master/csl-citation.json"} </w:instrText>
      </w:r>
      <w:r w:rsidR="00E662EA" w:rsidRPr="00833CE8">
        <w:rPr>
          <w:rFonts w:cs="Times New Roman"/>
          <w:szCs w:val="24"/>
        </w:rPr>
        <w:fldChar w:fldCharType="separate"/>
      </w:r>
      <w:r w:rsidR="00E662EA" w:rsidRPr="00833CE8">
        <w:rPr>
          <w:rFonts w:cs="Times New Roman"/>
        </w:rPr>
        <w:t>(Bennett et al., 2024)</w:t>
      </w:r>
      <w:r w:rsidR="00E662EA" w:rsidRPr="00833CE8">
        <w:rPr>
          <w:rFonts w:cs="Times New Roman"/>
          <w:szCs w:val="24"/>
        </w:rPr>
        <w:fldChar w:fldCharType="end"/>
      </w:r>
      <w:r w:rsidR="00E662EA" w:rsidRPr="00833CE8">
        <w:rPr>
          <w:rFonts w:cs="Times New Roman"/>
          <w:szCs w:val="24"/>
        </w:rPr>
        <w:t>.</w:t>
      </w:r>
      <w:r w:rsidR="00E662EA">
        <w:rPr>
          <w:rFonts w:cs="Times New Roman"/>
          <w:szCs w:val="24"/>
        </w:rPr>
        <w:t xml:space="preserve">  </w:t>
      </w:r>
      <w:r w:rsidR="00E662EA" w:rsidRPr="00833CE8">
        <w:rPr>
          <w:rFonts w:cs="Times New Roman"/>
          <w:szCs w:val="24"/>
        </w:rPr>
        <w:t>Co-evolution of bacteria with</w:t>
      </w:r>
      <w:r w:rsidR="00E662EA" w:rsidRPr="00833CE8">
        <w:rPr>
          <w:rFonts w:cs="Times New Roman"/>
          <w:b/>
          <w:bCs/>
          <w:szCs w:val="24"/>
        </w:rPr>
        <w:t xml:space="preserve"> </w:t>
      </w:r>
      <w:r w:rsidR="00E662EA" w:rsidRPr="00833CE8">
        <w:rPr>
          <w:rFonts w:cs="Times New Roman"/>
          <w:szCs w:val="24"/>
        </w:rPr>
        <w:t xml:space="preserve">algae not only was important for endosymbiosis, but also </w:t>
      </w:r>
      <w:r w:rsidR="00E662EA">
        <w:rPr>
          <w:rFonts w:cs="Times New Roman"/>
          <w:szCs w:val="24"/>
        </w:rPr>
        <w:t xml:space="preserve">for </w:t>
      </w:r>
      <w:r w:rsidR="00E662EA" w:rsidRPr="00833CE8">
        <w:rPr>
          <w:rFonts w:cs="Times New Roman"/>
          <w:szCs w:val="24"/>
        </w:rPr>
        <w:t xml:space="preserve">gene transfer which helped with adaptation to extreme environments </w:t>
      </w:r>
      <w:r w:rsidR="00E662EA" w:rsidRPr="00833CE8">
        <w:rPr>
          <w:rFonts w:cs="Times New Roman"/>
          <w:szCs w:val="24"/>
        </w:rPr>
        <w:fldChar w:fldCharType="begin"/>
      </w:r>
      <w:r w:rsidR="00E662EA" w:rsidRPr="00833CE8">
        <w:rPr>
          <w:rFonts w:cs="Times New Roman"/>
          <w:szCs w:val="24"/>
        </w:rPr>
        <w:instrText xml:space="preserve"> ADDIN ZOTERO_ITEM CSL_CITATION {"citationID":"MmmLDC9p","properties":{"formattedCitation":"(Ramanan et al., 2016)","plainCitation":"(Ramanan et al., 2016)","noteIndex":0},"citationItems":[{"id":4341,"uris":["http://zotero.org/users/764524/items/ERRNH89J"],"itemData":{"id":4341,"type":"article-journal","abstract":"Algae and bacteria have coexisted ever since the early stages of evolution. This coevolution has revolutionized life on earth in many aspects. Algae and bacteria together influence ecosystems as varied as deep seas to lichens and represent all conceivable modes of interactions — from mutualism to parasitism. Several studies have shown that algae and bacteria synergistically affect each other's physiology and metabolism, a classic case being algae–roseobacter interaction. These interactions are ubiquitous and define the primary productivity in most ecosystems. In recent years, algae have received much attention for industrial exploitation but their interaction with bacteria is often considered a contamination during commercialization. A few recent studies have shown that bacteria not only enhance algal growth but also help in flocculation, both essential processes in algal biotechnology. Hence, there is a need to understand these interactions from an evolutionary and ecological standpoint, and integrate this understanding for industrial use. Here we reflect on the diversity of such relationships and their associated mechanisms, as well as the habitats that they mutually influence. This review also outlines the role of these interactions in key evolutionary events such as endosymbiosis, besides their ecological role in biogeochemical cycles. Finally, we focus on extending such studies on algal–bacterial interactions to various environmental and bio-technological applications.","container-title":"Biotechnology Advances","DOI":"10.1016/j.biotechadv.2015.12.003","ISSN":"0734-9750","issue":"1","journalAbbreviation":"Biotechnol. Adv.","page":"14-29","source":"ScienceDirect","title":"Algae–bacteria interactions: Evolution, ecology and emerging applications","title-short":"Algae–bacteria interactions","volume":"34","author":[{"family":"Ramanan","given":"Rishiram"},{"family":"Kim","given":"Byung-Hyuk"},{"family":"Cho","given":"Dae-Hyun"},{"family":"Oh","given":"Hee-Mock"},{"family":"Kim","given":"Hee-Sik"}],"issued":{"date-parts":[["2016",1,1]]}}}],"schema":"https://github.com/citation-style-language/schema/raw/master/csl-citation.json"} </w:instrText>
      </w:r>
      <w:r w:rsidR="00E662EA" w:rsidRPr="00833CE8">
        <w:rPr>
          <w:rFonts w:cs="Times New Roman"/>
          <w:szCs w:val="24"/>
        </w:rPr>
        <w:fldChar w:fldCharType="separate"/>
      </w:r>
      <w:r w:rsidR="00E662EA" w:rsidRPr="00833CE8">
        <w:rPr>
          <w:rFonts w:cs="Times New Roman"/>
        </w:rPr>
        <w:t>(Ramanan et al., 2016)</w:t>
      </w:r>
      <w:r w:rsidR="00E662EA" w:rsidRPr="00833CE8">
        <w:rPr>
          <w:rFonts w:cs="Times New Roman"/>
          <w:szCs w:val="24"/>
        </w:rPr>
        <w:fldChar w:fldCharType="end"/>
      </w:r>
      <w:r w:rsidR="00E662EA" w:rsidRPr="00833CE8">
        <w:rPr>
          <w:rFonts w:cs="Times New Roman"/>
          <w:szCs w:val="24"/>
          <w:lang w:eastAsia="zh-CN"/>
        </w:rPr>
        <w:t>.</w:t>
      </w:r>
      <w:r w:rsidR="00E662EA" w:rsidRPr="00833CE8">
        <w:rPr>
          <w:rFonts w:cs="Times New Roman"/>
          <w:szCs w:val="24"/>
        </w:rPr>
        <w:t xml:space="preserve">  </w:t>
      </w:r>
    </w:p>
    <w:p w14:paraId="3FFC5FFC" w14:textId="441F679B" w:rsidR="008F67BF" w:rsidRDefault="00576FFB" w:rsidP="008F67BF">
      <w:pPr>
        <w:snapToGrid w:val="0"/>
        <w:spacing w:line="360" w:lineRule="auto"/>
        <w:ind w:firstLine="284"/>
        <w:jc w:val="both"/>
        <w:rPr>
          <w:rFonts w:cs="Times New Roman"/>
          <w:color w:val="FF0000"/>
          <w:szCs w:val="24"/>
        </w:rPr>
      </w:pPr>
      <w:proofErr w:type="spellStart"/>
      <w:r w:rsidRPr="00E43AE9">
        <w:rPr>
          <w:rFonts w:cs="Times New Roman"/>
          <w:szCs w:val="24"/>
        </w:rPr>
        <w:t>Exosymbio</w:t>
      </w:r>
      <w:r w:rsidR="00E234F7" w:rsidRPr="00E43AE9">
        <w:rPr>
          <w:rFonts w:cs="Times New Roman"/>
          <w:szCs w:val="24"/>
        </w:rPr>
        <w:t>tic</w:t>
      </w:r>
      <w:proofErr w:type="spellEnd"/>
      <w:r w:rsidR="00E234F7" w:rsidRPr="00E43AE9">
        <w:rPr>
          <w:rFonts w:cs="Times New Roman"/>
          <w:szCs w:val="24"/>
        </w:rPr>
        <w:t xml:space="preserve"> relationships developed</w:t>
      </w:r>
      <w:r w:rsidRPr="00E43AE9">
        <w:rPr>
          <w:rFonts w:cs="Times New Roman"/>
          <w:szCs w:val="24"/>
        </w:rPr>
        <w:t xml:space="preserve"> first, mostly involving metabolites</w:t>
      </w:r>
      <w:r w:rsidR="00D1071D" w:rsidRPr="00E43AE9">
        <w:rPr>
          <w:rFonts w:cs="Times New Roman"/>
          <w:szCs w:val="24"/>
        </w:rPr>
        <w:t xml:space="preserve">.  </w:t>
      </w:r>
      <w:r w:rsidR="00E234F7" w:rsidRPr="00E43AE9">
        <w:rPr>
          <w:rFonts w:cs="Times New Roman"/>
          <w:szCs w:val="24"/>
        </w:rPr>
        <w:t>S</w:t>
      </w:r>
      <w:r w:rsidR="00D1071D" w:rsidRPr="00E43AE9">
        <w:rPr>
          <w:rFonts w:cs="Times New Roman"/>
          <w:szCs w:val="24"/>
        </w:rPr>
        <w:t>ymbiotic relationships</w:t>
      </w:r>
      <w:r w:rsidR="00E234F7" w:rsidRPr="00E43AE9">
        <w:rPr>
          <w:rFonts w:cs="Times New Roman"/>
          <w:szCs w:val="24"/>
        </w:rPr>
        <w:t xml:space="preserve"> in microorganism</w:t>
      </w:r>
      <w:r w:rsidR="003B37CA">
        <w:rPr>
          <w:rFonts w:cs="Times New Roman"/>
          <w:szCs w:val="24"/>
        </w:rPr>
        <w:t>s</w:t>
      </w:r>
      <w:r w:rsidR="00D1071D" w:rsidRPr="00E43AE9">
        <w:rPr>
          <w:rFonts w:cs="Times New Roman"/>
          <w:szCs w:val="24"/>
        </w:rPr>
        <w:t>, including endosy</w:t>
      </w:r>
      <w:r w:rsidR="00E234F7" w:rsidRPr="00E43AE9">
        <w:rPr>
          <w:rFonts w:cs="Times New Roman"/>
          <w:szCs w:val="24"/>
        </w:rPr>
        <w:t>mbiosis,</w:t>
      </w:r>
      <w:r w:rsidR="00D1071D" w:rsidRPr="00E43AE9">
        <w:rPr>
          <w:rFonts w:cs="Times New Roman"/>
          <w:szCs w:val="24"/>
        </w:rPr>
        <w:t xml:space="preserve"> </w:t>
      </w:r>
      <w:r w:rsidR="00E234F7" w:rsidRPr="00E43AE9">
        <w:rPr>
          <w:rFonts w:cs="Times New Roman"/>
          <w:szCs w:val="24"/>
        </w:rPr>
        <w:t xml:space="preserve">are believed to have begun as </w:t>
      </w:r>
      <w:r w:rsidR="00D1071D" w:rsidRPr="00E43AE9">
        <w:rPr>
          <w:rFonts w:cs="Times New Roman"/>
          <w:szCs w:val="24"/>
        </w:rPr>
        <w:t xml:space="preserve">exploitation </w:t>
      </w:r>
      <w:r w:rsidR="00E234F7" w:rsidRPr="00E43AE9">
        <w:rPr>
          <w:rFonts w:cs="Times New Roman"/>
          <w:szCs w:val="24"/>
        </w:rPr>
        <w:t xml:space="preserve">of a host organism but developed </w:t>
      </w:r>
      <w:r w:rsidR="00D1071D" w:rsidRPr="00E43AE9">
        <w:rPr>
          <w:rFonts w:cs="Times New Roman"/>
          <w:szCs w:val="24"/>
        </w:rPr>
        <w:t xml:space="preserve">into </w:t>
      </w:r>
      <w:r w:rsidR="006E0186" w:rsidRPr="00E43AE9">
        <w:rPr>
          <w:rFonts w:cs="Times New Roman"/>
          <w:szCs w:val="24"/>
        </w:rPr>
        <w:t xml:space="preserve">mutualism </w:t>
      </w:r>
      <w:r w:rsidR="00E234F7" w:rsidRPr="00E43AE9">
        <w:rPr>
          <w:rFonts w:cs="Times New Roman"/>
          <w:szCs w:val="24"/>
        </w:rPr>
        <w:t>as both organisms adapted to benefit from the relationship</w:t>
      </w:r>
      <w:r w:rsidR="00E234F7">
        <w:rPr>
          <w:rFonts w:cs="Times New Roman"/>
          <w:b/>
          <w:bCs/>
          <w:color w:val="FF0000"/>
          <w:szCs w:val="24"/>
        </w:rPr>
        <w:t xml:space="preserve"> </w:t>
      </w:r>
      <w:r w:rsidR="006E0186">
        <w:rPr>
          <w:rFonts w:cs="Times New Roman"/>
          <w:b/>
          <w:bCs/>
          <w:color w:val="FF0000"/>
          <w:szCs w:val="24"/>
        </w:rPr>
        <w:fldChar w:fldCharType="begin"/>
      </w:r>
      <w:r w:rsidR="006E0186">
        <w:rPr>
          <w:rFonts w:cs="Times New Roman"/>
          <w:b/>
          <w:bCs/>
          <w:color w:val="FF0000"/>
          <w:szCs w:val="24"/>
        </w:rPr>
        <w:instrText xml:space="preserve"> ADDIN ZOTERO_ITEM CSL_CITATION {"citationID":"ZarBe4UD","properties":{"formattedCitation":"(S\\uc0\\u248{}rensen et al., 2019)","plainCitation":"(Sørensen et al., 2019)","noteIndex":0},"citationItems":[{"id":9390,"uris":["http://zotero.org/users/764524/items/66DWS8P9"],"itemData":{"id":9390,"type":"article-journal","abstract":"Evolutionary theory suggests that the conditions required for the establishment of mutualistic symbioses through mutualism alone are highly restrictive, often requiring the evolution of complex stabilising mechanisms. Exploitation, whereby initially the host benefits at the expense of its symbiotic partner and mutual benefits evolve subsequently through trade-offs, offers an arguably simpler route to the establishment of mutualistic symbiosis. In this review, we discuss the theoretical and experimental evidence supporting a role for host exploitation in the establishment and evolution of mutualistic microbial symbioses, including data from both extant and experimentally evolved symbioses. We conclude that exploitation rather than mutualism may often explain the origin of mutualistic microbial symbioses.","container-title":"FEMS Microbiology Letters","DOI":"10.1093/femsle/fnz148","ISSN":"0378-1097","issue":"12","journalAbbreviation":"FEMS Microbiol. Lett.","page":"fnz148","source":"Silverchair","title":"The role of exploitation in the establishment of mutualistic microbial symbioses","volume":"366","author":[{"family":"Sørensen","given":"Megan E S"},{"family":"Lowe","given":"Chris D"},{"family":"Minter","given":"Ewan J A"},{"family":"Wood","given":"A Jamie"},{"family":"Cameron","given":"Duncan D"},{"family":"Brockhurst","given":"Michael A"}],"issued":{"date-parts":[["2019",6,1]]}}}],"schema":"https://github.com/citation-style-language/schema/raw/master/csl-citation.json"} </w:instrText>
      </w:r>
      <w:r w:rsidR="006E0186">
        <w:rPr>
          <w:rFonts w:cs="Times New Roman"/>
          <w:b/>
          <w:bCs/>
          <w:color w:val="FF0000"/>
          <w:szCs w:val="24"/>
        </w:rPr>
        <w:fldChar w:fldCharType="separate"/>
      </w:r>
      <w:r w:rsidR="006E0186" w:rsidRPr="006E0186">
        <w:rPr>
          <w:rFonts w:cs="Times New Roman"/>
          <w:kern w:val="0"/>
        </w:rPr>
        <w:t>(Sørensen et al., 2019)</w:t>
      </w:r>
      <w:r w:rsidR="006E0186">
        <w:rPr>
          <w:rFonts w:cs="Times New Roman"/>
          <w:b/>
          <w:bCs/>
          <w:color w:val="FF0000"/>
          <w:szCs w:val="24"/>
        </w:rPr>
        <w:fldChar w:fldCharType="end"/>
      </w:r>
      <w:r w:rsidR="006E0186" w:rsidRPr="006E0186">
        <w:rPr>
          <w:rFonts w:cs="Times New Roman"/>
          <w:szCs w:val="24"/>
        </w:rPr>
        <w:t xml:space="preserve">.  </w:t>
      </w:r>
      <w:r w:rsidR="006E0186" w:rsidRPr="00E43AE9">
        <w:rPr>
          <w:rFonts w:cs="Times New Roman"/>
          <w:szCs w:val="24"/>
        </w:rPr>
        <w:t>T</w:t>
      </w:r>
      <w:r w:rsidR="00CF26C6" w:rsidRPr="00E43AE9">
        <w:rPr>
          <w:rFonts w:cs="Times New Roman"/>
          <w:szCs w:val="24"/>
        </w:rPr>
        <w:t xml:space="preserve">he </w:t>
      </w:r>
      <w:proofErr w:type="spellStart"/>
      <w:r w:rsidR="00CF26C6" w:rsidRPr="00E43AE9">
        <w:rPr>
          <w:rFonts w:cs="Times New Roman"/>
          <w:szCs w:val="24"/>
        </w:rPr>
        <w:t>syntrophy</w:t>
      </w:r>
      <w:proofErr w:type="spellEnd"/>
      <w:r w:rsidR="00CF26C6" w:rsidRPr="00E43AE9">
        <w:rPr>
          <w:rFonts w:cs="Times New Roman"/>
          <w:szCs w:val="24"/>
        </w:rPr>
        <w:t xml:space="preserve"> hypothesis propose</w:t>
      </w:r>
      <w:r w:rsidR="0050343F" w:rsidRPr="00E43AE9">
        <w:rPr>
          <w:rFonts w:cs="Times New Roman"/>
          <w:szCs w:val="24"/>
        </w:rPr>
        <w:t>s</w:t>
      </w:r>
      <w:r w:rsidR="00CF26C6" w:rsidRPr="00E43AE9">
        <w:rPr>
          <w:rFonts w:cs="Times New Roman"/>
          <w:szCs w:val="24"/>
        </w:rPr>
        <w:t xml:space="preserve"> </w:t>
      </w:r>
      <w:r w:rsidR="0050343F" w:rsidRPr="00E43AE9">
        <w:rPr>
          <w:rFonts w:cs="Times New Roman"/>
          <w:szCs w:val="24"/>
        </w:rPr>
        <w:t xml:space="preserve">that an </w:t>
      </w:r>
      <w:proofErr w:type="spellStart"/>
      <w:r w:rsidR="0050343F" w:rsidRPr="00E43AE9">
        <w:rPr>
          <w:rFonts w:cs="Times New Roman"/>
          <w:szCs w:val="24"/>
        </w:rPr>
        <w:t>exosymbiotic</w:t>
      </w:r>
      <w:proofErr w:type="spellEnd"/>
      <w:r w:rsidR="0050343F" w:rsidRPr="00E43AE9">
        <w:rPr>
          <w:rFonts w:cs="Times New Roman"/>
          <w:szCs w:val="24"/>
        </w:rPr>
        <w:t xml:space="preserve"> </w:t>
      </w:r>
      <w:r w:rsidR="0050343F" w:rsidRPr="00833CE8">
        <w:rPr>
          <w:rFonts w:cs="Times New Roman"/>
          <w:szCs w:val="24"/>
        </w:rPr>
        <w:t xml:space="preserve">relationship developed between archaeal and bacterial </w:t>
      </w:r>
      <w:r w:rsidR="0050343F" w:rsidRPr="00513E58">
        <w:rPr>
          <w:rFonts w:cs="Times New Roman"/>
          <w:szCs w:val="24"/>
        </w:rPr>
        <w:t>cells involving metabolic exchange</w:t>
      </w:r>
      <w:r w:rsidR="00375A90">
        <w:rPr>
          <w:rFonts w:cs="Times New Roman"/>
          <w:szCs w:val="24"/>
        </w:rPr>
        <w:t>, a process r</w:t>
      </w:r>
      <w:r w:rsidR="0050343F" w:rsidRPr="00513E58">
        <w:rPr>
          <w:rFonts w:cs="Times New Roman"/>
          <w:szCs w:val="24"/>
        </w:rPr>
        <w:t xml:space="preserve">eferred to as </w:t>
      </w:r>
      <w:proofErr w:type="spellStart"/>
      <w:r w:rsidR="0050343F" w:rsidRPr="00513E58">
        <w:rPr>
          <w:rFonts w:cs="Times New Roman"/>
          <w:szCs w:val="24"/>
        </w:rPr>
        <w:t>syntrophy</w:t>
      </w:r>
      <w:proofErr w:type="spellEnd"/>
      <w:r w:rsidR="0050343F" w:rsidRPr="00513E58">
        <w:rPr>
          <w:rFonts w:cs="Times New Roman"/>
          <w:szCs w:val="24"/>
        </w:rPr>
        <w:t>.</w:t>
      </w:r>
      <w:r w:rsidR="0050343F" w:rsidRPr="00513E58">
        <w:rPr>
          <w:rFonts w:cs="Times New Roman"/>
          <w:b/>
          <w:bCs/>
          <w:szCs w:val="24"/>
        </w:rPr>
        <w:t xml:space="preserve">  </w:t>
      </w:r>
      <w:r w:rsidR="0050343F" w:rsidRPr="00513E58">
        <w:rPr>
          <w:rFonts w:cs="Times New Roman"/>
          <w:szCs w:val="24"/>
        </w:rPr>
        <w:t xml:space="preserve">Over time, </w:t>
      </w:r>
      <w:r w:rsidR="00412776" w:rsidRPr="00513E58">
        <w:rPr>
          <w:rFonts w:cs="Times New Roman"/>
          <w:szCs w:val="24"/>
        </w:rPr>
        <w:t>the larger organism</w:t>
      </w:r>
      <w:r w:rsidR="003B37CA">
        <w:rPr>
          <w:rFonts w:cs="Times New Roman"/>
          <w:szCs w:val="24"/>
        </w:rPr>
        <w:t>s</w:t>
      </w:r>
      <w:r w:rsidR="00412776" w:rsidRPr="00513E58">
        <w:rPr>
          <w:rFonts w:cs="Times New Roman"/>
          <w:szCs w:val="24"/>
        </w:rPr>
        <w:t xml:space="preserve"> engulfed the smaller ones to maximize the efficiency of </w:t>
      </w:r>
      <w:r w:rsidR="00513E58" w:rsidRPr="00513E58">
        <w:rPr>
          <w:rFonts w:cs="Times New Roman"/>
          <w:szCs w:val="24"/>
        </w:rPr>
        <w:t xml:space="preserve">aerobic metabolic </w:t>
      </w:r>
      <w:r w:rsidR="00412776" w:rsidRPr="00513E58">
        <w:rPr>
          <w:rFonts w:cs="Times New Roman"/>
          <w:szCs w:val="24"/>
        </w:rPr>
        <w:t>exchange</w:t>
      </w:r>
      <w:r w:rsidR="00513E58" w:rsidRPr="00513E58">
        <w:rPr>
          <w:rFonts w:cs="Times New Roman"/>
          <w:szCs w:val="24"/>
        </w:rPr>
        <w:t>, due to the presence of toxic O</w:t>
      </w:r>
      <w:r w:rsidR="00513E58" w:rsidRPr="00513E58">
        <w:rPr>
          <w:rFonts w:cs="Times New Roman"/>
          <w:szCs w:val="24"/>
          <w:vertAlign w:val="subscript"/>
        </w:rPr>
        <w:t>2</w:t>
      </w:r>
      <w:r w:rsidR="00412776" w:rsidRPr="00513E58">
        <w:rPr>
          <w:rFonts w:cs="Times New Roman"/>
          <w:szCs w:val="24"/>
        </w:rPr>
        <w:t xml:space="preserve">. </w:t>
      </w:r>
      <w:r w:rsidR="00B96722" w:rsidRPr="00513E58">
        <w:rPr>
          <w:rFonts w:cs="Times New Roman"/>
          <w:szCs w:val="24"/>
        </w:rPr>
        <w:t xml:space="preserve"> </w:t>
      </w:r>
      <w:r w:rsidR="00513E58" w:rsidRPr="00513E58">
        <w:rPr>
          <w:rFonts w:cs="Times New Roman"/>
          <w:szCs w:val="24"/>
        </w:rPr>
        <w:lastRenderedPageBreak/>
        <w:t xml:space="preserve">A </w:t>
      </w:r>
      <w:r w:rsidR="0050343F" w:rsidRPr="00513E58">
        <w:rPr>
          <w:rFonts w:cs="Times New Roman"/>
          <w:szCs w:val="24"/>
        </w:rPr>
        <w:t xml:space="preserve">recent </w:t>
      </w:r>
      <w:r w:rsidR="00CF26C6" w:rsidRPr="00513E58">
        <w:rPr>
          <w:rFonts w:cs="Times New Roman"/>
          <w:szCs w:val="24"/>
        </w:rPr>
        <w:t xml:space="preserve">model </w:t>
      </w:r>
      <w:r w:rsidR="00513E58" w:rsidRPr="00513E58">
        <w:rPr>
          <w:rFonts w:cs="Times New Roman"/>
          <w:szCs w:val="24"/>
        </w:rPr>
        <w:t xml:space="preserve">proposed that </w:t>
      </w:r>
      <w:r w:rsidR="0050343F" w:rsidRPr="00513E58">
        <w:rPr>
          <w:rFonts w:cs="Times New Roman"/>
          <w:szCs w:val="24"/>
        </w:rPr>
        <w:t xml:space="preserve">endosymbiosis resulted </w:t>
      </w:r>
      <w:r w:rsidR="00513E58" w:rsidRPr="00513E58">
        <w:rPr>
          <w:rFonts w:cs="Times New Roman"/>
          <w:szCs w:val="24"/>
        </w:rPr>
        <w:t xml:space="preserve">from the interaction </w:t>
      </w:r>
      <w:r w:rsidR="003B37CA">
        <w:rPr>
          <w:rFonts w:cs="Times New Roman"/>
          <w:szCs w:val="24"/>
        </w:rPr>
        <w:t xml:space="preserve">between </w:t>
      </w:r>
      <w:r w:rsidR="00513E58" w:rsidRPr="00513E58">
        <w:rPr>
          <w:rFonts w:cs="Times New Roman"/>
          <w:szCs w:val="24"/>
        </w:rPr>
        <w:t>an</w:t>
      </w:r>
      <w:r w:rsidR="001A5A01" w:rsidRPr="00513E58">
        <w:rPr>
          <w:rFonts w:cs="Times New Roman"/>
          <w:szCs w:val="24"/>
        </w:rPr>
        <w:t xml:space="preserve"> archaeon that produced hydrogen</w:t>
      </w:r>
      <w:r w:rsidR="0050343F" w:rsidRPr="00513E58">
        <w:rPr>
          <w:rFonts w:cs="Times New Roman"/>
          <w:szCs w:val="24"/>
        </w:rPr>
        <w:t xml:space="preserve">, </w:t>
      </w:r>
      <w:r w:rsidR="001A5A01" w:rsidRPr="00513E58">
        <w:rPr>
          <w:rFonts w:cs="Times New Roman"/>
          <w:szCs w:val="24"/>
        </w:rPr>
        <w:t>a deltaproteobacterium with a sulfur reduction metabolism</w:t>
      </w:r>
      <w:r w:rsidR="0050343F" w:rsidRPr="00513E58">
        <w:rPr>
          <w:rFonts w:cs="Times New Roman"/>
          <w:szCs w:val="24"/>
        </w:rPr>
        <w:t xml:space="preserve">, and a versatile </w:t>
      </w:r>
      <w:proofErr w:type="spellStart"/>
      <w:r w:rsidR="0050343F" w:rsidRPr="00513E58">
        <w:rPr>
          <w:rFonts w:cs="Times New Roman"/>
          <w:szCs w:val="24"/>
        </w:rPr>
        <w:t>alphaproteobacterium</w:t>
      </w:r>
      <w:proofErr w:type="spellEnd"/>
      <w:r w:rsidR="00513E58" w:rsidRPr="00513E58">
        <w:rPr>
          <w:rFonts w:cs="Times New Roman"/>
          <w:szCs w:val="24"/>
        </w:rPr>
        <w:t xml:space="preserve">.  These organisms would become the </w:t>
      </w:r>
      <w:r w:rsidR="0050343F" w:rsidRPr="00513E58">
        <w:rPr>
          <w:rFonts w:cs="Times New Roman"/>
          <w:szCs w:val="24"/>
        </w:rPr>
        <w:t>nucleus, cytoplasm, and mitochondria</w:t>
      </w:r>
      <w:r w:rsidR="00513E58" w:rsidRPr="00513E58">
        <w:rPr>
          <w:rFonts w:cs="Times New Roman"/>
          <w:szCs w:val="24"/>
        </w:rPr>
        <w:t xml:space="preserve">, respectively, of the earliest eukaryotic cells </w:t>
      </w:r>
      <w:r w:rsidR="00CF26C6" w:rsidRPr="00513E58">
        <w:rPr>
          <w:rFonts w:cs="Times New Roman"/>
          <w:szCs w:val="24"/>
        </w:rPr>
        <w:fldChar w:fldCharType="begin"/>
      </w:r>
      <w:r w:rsidR="00CF26C6" w:rsidRPr="00513E58">
        <w:rPr>
          <w:rFonts w:cs="Times New Roman"/>
          <w:szCs w:val="24"/>
        </w:rPr>
        <w:instrText xml:space="preserve"> ADDIN ZOTERO_ITEM CSL_CITATION {"citationID":"N6keRyjR","properties":{"formattedCitation":"(L\\uc0\\u243{}pez-Garc\\uc0\\u237{}a and Moreira, 2020)","plainCitation":"(López-García and Moreira, 2020)","noteIndex":0},"citationItems":[{"id":9312,"uris":["http://zotero.org/users/764524/items/FI8AY9GV"],"itemData":{"id":9312,"type":"article-journal","abstract":"The discovery of Asgard archaea, phylogenetically closer to eukaryotes than other archaea, together with improved knowledge of microbial ecology, impose new constraints on emerging models for the origin of the eukaryotic cell (eukaryogenesis). Long-held views are metamorphosing in favour of symbiogenetic models based on metabolic interactions between archaea and bacteria. These include the classical Searcy’s and Hydrogen hypothesis, and the more recent Reverse Flow and Entangle–Engulf–Endogenize models. Two decades ago, we put forward the Syntrophy hypothesis for the origin of eukaryotes based on a tripartite metabolic symbiosis involving a methanogenic archaeon (future nucleus), a fermentative myxobacterial-like deltaproteobacterium (future eukaryotic cytoplasm) and a metabolically versatile methanotrophic alphaproteobacterium (future mitochondrion). A refined version later proposed the evolution of the endomembrane and nuclear membrane system by invagination of the deltaproteobacterial membrane. Here, we adapt the Syntrophy hypothesis to contemporary knowledge, shifting from the original hydrogen and methane-transfer-based symbiosis (HM Syntrophy) to a tripartite hydrogen and sulfur-transfer-based model (HS Syntrophy). We propose a sensible ecological scenario for eukaryogenesis in which eukaryotes originated in early Proterozoic microbial mats from the endosymbiosis of a hydrogen-producing Asgard archaeon within a complex sulfate-reducing deltaproteobacterium. Mitochondria evolved from versatile, facultatively aerobic, sulfide-oxidizing and, potentially, anoxygenic photosynthesizing alphaproteobacterial endosymbionts that recycled sulfur in the consortium. The HS Syntrophy hypothesis accounts for (endo)membrane, nucleus and metabolic evolution in a realistic ecological context. We compare and contrast the HS Syntrophy hypothesis to other models of eukaryogenesis, notably in terms of the mode and tempo of eukaryotic trait evolution, and discuss several model predictions and how these can be tested.","container-title":"Nature Microbiology","DOI":"10.1038/s41564-020-0710-4","ISSN":"2058-5276","issue":"5","journalAbbreviation":"Nat. Microbiol.","language":"en","license":"2020 Springer Nature Limited","note":"publisher: Nature Publishing Group","page":"655-667","source":"www.nature.com","title":"The Syntrophy hypothesis for the origin of eukaryotes revisited","volume":"5","author":[{"family":"López-García","given":"Purificación"},{"family":"Moreira","given":"David"}],"issued":{"date-parts":[["2020",5]]}}}],"schema":"https://github.com/citation-style-language/schema/raw/master/csl-citation.json"} </w:instrText>
      </w:r>
      <w:r w:rsidR="00CF26C6" w:rsidRPr="00513E58">
        <w:rPr>
          <w:rFonts w:cs="Times New Roman"/>
          <w:szCs w:val="24"/>
        </w:rPr>
        <w:fldChar w:fldCharType="separate"/>
      </w:r>
      <w:r w:rsidR="00CF26C6" w:rsidRPr="00513E58">
        <w:rPr>
          <w:rFonts w:cs="Times New Roman"/>
          <w:kern w:val="0"/>
        </w:rPr>
        <w:t>(López-García and Moreira, 2020)</w:t>
      </w:r>
      <w:r w:rsidR="00CF26C6" w:rsidRPr="00513E58">
        <w:rPr>
          <w:rFonts w:cs="Times New Roman"/>
          <w:szCs w:val="24"/>
        </w:rPr>
        <w:fldChar w:fldCharType="end"/>
      </w:r>
      <w:r w:rsidR="00E95FA4">
        <w:rPr>
          <w:rFonts w:cs="Times New Roman"/>
          <w:szCs w:val="24"/>
        </w:rPr>
        <w:t>.</w:t>
      </w:r>
    </w:p>
    <w:p w14:paraId="1B94275F" w14:textId="57C99FCE" w:rsidR="00043508" w:rsidRPr="00833CE8" w:rsidRDefault="00E662EA" w:rsidP="008F67BF">
      <w:pPr>
        <w:snapToGrid w:val="0"/>
        <w:spacing w:line="360" w:lineRule="auto"/>
        <w:ind w:firstLine="284"/>
        <w:jc w:val="both"/>
        <w:rPr>
          <w:rFonts w:cs="Times New Roman"/>
          <w:b/>
          <w:bCs/>
          <w:szCs w:val="24"/>
        </w:rPr>
      </w:pPr>
      <w:r w:rsidRPr="00833CE8">
        <w:rPr>
          <w:rFonts w:cs="Times New Roman"/>
          <w:szCs w:val="24"/>
        </w:rPr>
        <w:t xml:space="preserve">Endosymbiosis can also be divided into primary and secondary </w:t>
      </w:r>
      <w:r w:rsidRPr="00996890">
        <w:rPr>
          <w:rFonts w:cs="Times New Roman"/>
          <w:szCs w:val="24"/>
        </w:rPr>
        <w:t>events</w:t>
      </w:r>
      <w:r w:rsidRPr="00833CE8">
        <w:rPr>
          <w:rFonts w:cs="Times New Roman"/>
          <w:szCs w:val="24"/>
        </w:rPr>
        <w:t>, namely</w:t>
      </w:r>
      <w:r>
        <w:rPr>
          <w:rFonts w:cs="Times New Roman"/>
          <w:szCs w:val="24"/>
        </w:rPr>
        <w:t>:</w:t>
      </w:r>
      <w:r w:rsidRPr="00833CE8">
        <w:rPr>
          <w:rFonts w:cs="Times New Roman"/>
          <w:szCs w:val="24"/>
        </w:rPr>
        <w:t xml:space="preserve"> primary endosymbiosis, in which a eukaryotic cell  engulfed and integrated a prokaryote as an organelle, and secondary</w:t>
      </w:r>
      <w:r>
        <w:rPr>
          <w:rFonts w:cs="Times New Roman"/>
          <w:szCs w:val="24"/>
        </w:rPr>
        <w:t>,</w:t>
      </w:r>
      <w:r w:rsidRPr="00833CE8">
        <w:rPr>
          <w:rFonts w:cs="Times New Roman"/>
          <w:szCs w:val="24"/>
        </w:rPr>
        <w:t xml:space="preserve"> where the endosymbiosis occurred between two eukaryotes, such as an alga endosymbiont within a different algal species </w:t>
      </w:r>
      <w:r w:rsidRPr="00833CE8">
        <w:rPr>
          <w:rFonts w:cs="Times New Roman"/>
          <w:szCs w:val="24"/>
        </w:rPr>
        <w:fldChar w:fldCharType="begin"/>
      </w:r>
      <w:r w:rsidRPr="00833CE8">
        <w:rPr>
          <w:rFonts w:cs="Times New Roman"/>
          <w:szCs w:val="24"/>
        </w:rPr>
        <w:instrText xml:space="preserve"> ADDIN ZOTERO_ITEM CSL_CITATION {"citationID":"LJ8sswHz","properties":{"formattedCitation":"(Keeling, 2010)","plainCitation":"(Keeling, 2010)","noteIndex":0},"citationItems":[{"id":9297,"uris":["http://zotero.org/users/764524/items/ESSY8ATQ"],"itemData":{"id":9297,"type":"article-journal","abstract":"Plastids and mitochondria each arose from a single endosymbiotic event and share many similarities in how they were reduced and integrated with their host. However, the subsequent evolution of the two organelles could hardly be more different: mitochondria are a stable fixture of eukaryotic cells that are neither lost nor shuffled between lineages, whereas plastid evolution has been a complex mix of movement, loss and replacement. Molecular data from the past decade have substantially untangled this complex history, and we now know that plastids are derived from a single endosymbiotic event in the ancestor of glaucophytes, red algae and green algae (including plants). The plastids of both red algae and green algae were subsequently transferred to other lineages by secondary endosymbiosis. Green algal plastids were taken up by euglenids and chlorarachniophytes, as well as one small group of dinoflagellates. Red algae appear to have been taken up only once, giving rise to a diverse group called chromalveolates. Additional layers of complexity come from plastid loss, which has happened at least once and probably many times, and replacement. Plastid loss is difficult to prove, and cryptic, non-photosynthetic plastids are being found in many non-photosynthetic lineages. In other cases, photosynthetic lineages are now understood to have evolved from ancestors with a plastid of different origin, so an ancestral plastid has been replaced with a new one. Such replacement has taken place in several dinoflagellates (by tertiary endosymbiosis with other chromalveolates or serial secondary endosymbiosis with a green alga), and apparently also in two rhizarian lineages: chlorarachniophytes and Paulinella (which appear to have evolved from chromalveolate ancestors). The many twists and turns of plastid evolution each represent major evolutionary transitions, and each offers a glimpse into how genomes evolve and how cells integrate through gene transfers and protein trafficking.","container-title":"Philosophical Transactions of the Royal Society B: Biological Sciences","DOI":"10.1098/rstb.2009.0103","issue":"1541","journalAbbreviation":"Philos. Trans. R. Soc. B, Biol. Sci.","note":"publisher: Royal Society","page":"729-748","source":"royalsocietypublishing.org (Atypon)","title":"The endosymbiotic origin, diversification and fate of plastids","volume":"365","author":[{"family":"Keeling","given":"Patrick J."}],"issued":{"date-parts":[["2010",3,12]]}}}],"schema":"https://github.com/citation-style-language/schema/raw/master/csl-citation.json"} </w:instrText>
      </w:r>
      <w:r w:rsidRPr="00833CE8">
        <w:rPr>
          <w:rFonts w:cs="Times New Roman"/>
          <w:szCs w:val="24"/>
        </w:rPr>
        <w:fldChar w:fldCharType="separate"/>
      </w:r>
      <w:r w:rsidRPr="00833CE8">
        <w:rPr>
          <w:rFonts w:cs="Times New Roman"/>
        </w:rPr>
        <w:t>(Keeling, 2010)</w:t>
      </w:r>
      <w:r w:rsidRPr="00833CE8">
        <w:rPr>
          <w:rFonts w:cs="Times New Roman"/>
          <w:szCs w:val="24"/>
        </w:rPr>
        <w:fldChar w:fldCharType="end"/>
      </w:r>
      <w:r w:rsidRPr="00833CE8">
        <w:rPr>
          <w:rFonts w:cs="Times New Roman"/>
          <w:szCs w:val="24"/>
        </w:rPr>
        <w:t xml:space="preserve">.  </w:t>
      </w:r>
      <w:r w:rsidR="004961ED" w:rsidRPr="00833CE8">
        <w:rPr>
          <w:rFonts w:cs="Times New Roman"/>
          <w:szCs w:val="24"/>
        </w:rPr>
        <w:t>Around 1558 million years ago (mya),</w:t>
      </w:r>
      <w:r w:rsidR="0050343F" w:rsidRPr="00833CE8">
        <w:rPr>
          <w:rFonts w:cs="Times New Roman"/>
          <w:szCs w:val="24"/>
        </w:rPr>
        <w:t xml:space="preserve"> a</w:t>
      </w:r>
      <w:r w:rsidR="004961ED" w:rsidRPr="00833CE8">
        <w:rPr>
          <w:rFonts w:cs="Times New Roman"/>
          <w:szCs w:val="24"/>
        </w:rPr>
        <w:t xml:space="preserve"> p</w:t>
      </w:r>
      <w:r w:rsidR="002B1D91" w:rsidRPr="00833CE8">
        <w:rPr>
          <w:rFonts w:cs="Times New Roman"/>
          <w:szCs w:val="24"/>
        </w:rPr>
        <w:t>rimary e</w:t>
      </w:r>
      <w:r w:rsidR="00F03581" w:rsidRPr="00833CE8">
        <w:rPr>
          <w:rFonts w:cs="Times New Roman"/>
          <w:szCs w:val="24"/>
        </w:rPr>
        <w:t>ndosymbio</w:t>
      </w:r>
      <w:r w:rsidR="0050343F" w:rsidRPr="00833CE8">
        <w:rPr>
          <w:rFonts w:cs="Times New Roman"/>
          <w:szCs w:val="24"/>
        </w:rPr>
        <w:t>tic event</w:t>
      </w:r>
      <w:r w:rsidR="00400BBB" w:rsidRPr="00833CE8">
        <w:rPr>
          <w:rFonts w:cs="Times New Roman"/>
          <w:szCs w:val="24"/>
        </w:rPr>
        <w:t xml:space="preserve"> occurred </w:t>
      </w:r>
      <w:r w:rsidR="0050343F" w:rsidRPr="00833CE8">
        <w:rPr>
          <w:rFonts w:cs="Times New Roman"/>
          <w:szCs w:val="24"/>
        </w:rPr>
        <w:t xml:space="preserve">in which </w:t>
      </w:r>
      <w:r w:rsidR="00400BBB" w:rsidRPr="00833CE8">
        <w:rPr>
          <w:rFonts w:cs="Times New Roman"/>
          <w:szCs w:val="24"/>
        </w:rPr>
        <w:t xml:space="preserve">a </w:t>
      </w:r>
      <w:r w:rsidR="00812339" w:rsidRPr="00833CE8">
        <w:rPr>
          <w:rFonts w:cs="Times New Roman"/>
          <w:szCs w:val="24"/>
        </w:rPr>
        <w:t>cyanobacteri</w:t>
      </w:r>
      <w:r w:rsidR="002F6116">
        <w:rPr>
          <w:rFonts w:cs="Times New Roman"/>
          <w:szCs w:val="24"/>
        </w:rPr>
        <w:t>um</w:t>
      </w:r>
      <w:r w:rsidR="00812339" w:rsidRPr="00833CE8">
        <w:rPr>
          <w:rFonts w:cs="Times New Roman"/>
          <w:szCs w:val="24"/>
        </w:rPr>
        <w:t xml:space="preserve"> </w:t>
      </w:r>
      <w:r w:rsidR="00400BBB" w:rsidRPr="00833CE8">
        <w:rPr>
          <w:rFonts w:cs="Times New Roman"/>
          <w:szCs w:val="24"/>
        </w:rPr>
        <w:t xml:space="preserve">was engulfed by a heterotrophic eukaryotic </w:t>
      </w:r>
      <w:r w:rsidR="002B1D91" w:rsidRPr="00833CE8">
        <w:rPr>
          <w:rFonts w:cs="Times New Roman"/>
          <w:szCs w:val="24"/>
        </w:rPr>
        <w:t>ancestor</w:t>
      </w:r>
      <w:r w:rsidR="00400BBB" w:rsidRPr="00833CE8">
        <w:rPr>
          <w:rFonts w:cs="Times New Roman"/>
          <w:szCs w:val="24"/>
        </w:rPr>
        <w:t xml:space="preserve"> and</w:t>
      </w:r>
      <w:r w:rsidR="0050343F" w:rsidRPr="00833CE8">
        <w:rPr>
          <w:rFonts w:cs="Times New Roman"/>
          <w:szCs w:val="24"/>
        </w:rPr>
        <w:t xml:space="preserve"> was</w:t>
      </w:r>
      <w:r w:rsidR="00400BBB" w:rsidRPr="00833CE8">
        <w:rPr>
          <w:rFonts w:cs="Times New Roman"/>
          <w:szCs w:val="24"/>
        </w:rPr>
        <w:t xml:space="preserve"> retained as a plasmid</w:t>
      </w:r>
      <w:r w:rsidR="0050343F" w:rsidRPr="00833CE8">
        <w:rPr>
          <w:rFonts w:cs="Times New Roman"/>
          <w:szCs w:val="24"/>
        </w:rPr>
        <w:t xml:space="preserve">.  The resulting photosynthetic eukaryotic organism became </w:t>
      </w:r>
      <w:r w:rsidR="00400BBB" w:rsidRPr="00833CE8">
        <w:rPr>
          <w:rFonts w:cs="Times New Roman"/>
          <w:szCs w:val="24"/>
        </w:rPr>
        <w:t>the first alga</w:t>
      </w:r>
      <w:r w:rsidR="0050343F" w:rsidRPr="00833CE8">
        <w:rPr>
          <w:rFonts w:cs="Times New Roman"/>
          <w:szCs w:val="24"/>
        </w:rPr>
        <w:t xml:space="preserve"> </w:t>
      </w:r>
      <w:r w:rsidR="00691012" w:rsidRPr="00833CE8">
        <w:rPr>
          <w:rFonts w:cs="Times New Roman"/>
          <w:szCs w:val="24"/>
        </w:rPr>
        <w:fldChar w:fldCharType="begin"/>
      </w:r>
      <w:r w:rsidR="00691012" w:rsidRPr="00833CE8">
        <w:rPr>
          <w:rFonts w:cs="Times New Roman"/>
          <w:szCs w:val="24"/>
        </w:rPr>
        <w:instrText xml:space="preserve"> ADDIN ZOTERO_ITEM CSL_CITATION {"citationID":"Hr3MB4EV","properties":{"formattedCitation":"(Ramanan et al., 2016)","plainCitation":"(Ramanan et al., 2016)","noteIndex":0},"citationItems":[{"id":4341,"uris":["http://zotero.org/users/764524/items/ERRNH89J"],"itemData":{"id":4341,"type":"article-journal","abstract":"Algae and bacteria have coexisted ever since the early stages of evolution. This coevolution has revolutionized life on earth in many aspects. Algae and bacteria together influence ecosystems as varied as deep seas to lichens and represent all conceivable modes of interactions — from mutualism to parasitism. Several studies have shown that algae and bacteria synergistically affect each other's physiology and metabolism, a classic case being algae–roseobacter interaction. These interactions are ubiquitous and define the primary productivity in most ecosystems. In recent years, algae have received much attention for industrial exploitation but their interaction with bacteria is often considered a contamination during commercialization. A few recent studies have shown that bacteria not only enhance algal growth but also help in flocculation, both essential processes in algal biotechnology. Hence, there is a need to understand these interactions from an evolutionary and ecological standpoint, and integrate this understanding for industrial use. Here we reflect on the diversity of such relationships and their associated mechanisms, as well as the habitats that they mutually influence. This review also outlines the role of these interactions in key evolutionary events such as endosymbiosis, besides their ecological role in biogeochemical cycles. Finally, we focus on extending such studies on algal–bacterial interactions to various environmental and bio-technological applications.","container-title":"Biotechnology Advances","DOI":"10.1016/j.biotechadv.2015.12.003","ISSN":"0734-9750","issue":"1","journalAbbreviation":"Biotechnol. Adv.","page":"14-29","source":"ScienceDirect","title":"Algae–bacteria interactions: Evolution, ecology and emerging applications","title-short":"Algae–bacteria interactions","volume":"34","author":[{"family":"Ramanan","given":"Rishiram"},{"family":"Kim","given":"Byung-Hyuk"},{"family":"Cho","given":"Dae-Hyun"},{"family":"Oh","given":"Hee-Mock"},{"family":"Kim","given":"Hee-Sik"}],"issued":{"date-parts":[["2016",1,1]]}}}],"schema":"https://github.com/citation-style-language/schema/raw/master/csl-citation.json"} </w:instrText>
      </w:r>
      <w:r w:rsidR="00691012" w:rsidRPr="00833CE8">
        <w:rPr>
          <w:rFonts w:cs="Times New Roman"/>
          <w:szCs w:val="24"/>
        </w:rPr>
        <w:fldChar w:fldCharType="separate"/>
      </w:r>
      <w:r w:rsidR="00691012" w:rsidRPr="00833CE8">
        <w:rPr>
          <w:rFonts w:cs="Times New Roman"/>
        </w:rPr>
        <w:t>(Ramanan et al., 2016)</w:t>
      </w:r>
      <w:r w:rsidR="00691012" w:rsidRPr="00833CE8">
        <w:rPr>
          <w:rFonts w:cs="Times New Roman"/>
          <w:szCs w:val="24"/>
        </w:rPr>
        <w:fldChar w:fldCharType="end"/>
      </w:r>
      <w:r w:rsidR="00400BBB" w:rsidRPr="00833CE8">
        <w:rPr>
          <w:rFonts w:cs="Times New Roman"/>
          <w:szCs w:val="24"/>
        </w:rPr>
        <w:t>.</w:t>
      </w:r>
      <w:r w:rsidR="002B1D91" w:rsidRPr="00833CE8">
        <w:rPr>
          <w:rFonts w:cs="Times New Roman"/>
          <w:szCs w:val="24"/>
        </w:rPr>
        <w:t xml:space="preserve">  </w:t>
      </w:r>
      <w:r w:rsidR="00400BBB" w:rsidRPr="00833CE8">
        <w:rPr>
          <w:rFonts w:cs="Times New Roman"/>
          <w:szCs w:val="24"/>
        </w:rPr>
        <w:t>Over time,</w:t>
      </w:r>
      <w:r w:rsidR="00CF26C6" w:rsidRPr="00833CE8">
        <w:rPr>
          <w:rFonts w:cs="Times New Roman"/>
          <w:szCs w:val="24"/>
        </w:rPr>
        <w:t xml:space="preserve"> algae diverged into two different lineages, namely</w:t>
      </w:r>
      <w:r w:rsidR="00400BBB" w:rsidRPr="00833CE8">
        <w:rPr>
          <w:rFonts w:cs="Times New Roman"/>
          <w:szCs w:val="24"/>
        </w:rPr>
        <w:t xml:space="preserve"> </w:t>
      </w:r>
      <w:r w:rsidR="00812339" w:rsidRPr="00833CE8">
        <w:rPr>
          <w:rFonts w:cs="Times New Roman"/>
          <w:szCs w:val="24"/>
        </w:rPr>
        <w:t>green</w:t>
      </w:r>
      <w:r w:rsidR="00400BBB" w:rsidRPr="00833CE8">
        <w:rPr>
          <w:rFonts w:cs="Times New Roman"/>
          <w:szCs w:val="24"/>
        </w:rPr>
        <w:t xml:space="preserve"> and </w:t>
      </w:r>
      <w:r w:rsidR="00812339" w:rsidRPr="00833CE8">
        <w:rPr>
          <w:rFonts w:cs="Times New Roman"/>
          <w:szCs w:val="24"/>
        </w:rPr>
        <w:t>red algae</w:t>
      </w:r>
      <w:r w:rsidR="00CF26C6" w:rsidRPr="007928FD">
        <w:rPr>
          <w:rFonts w:cs="Times New Roman"/>
          <w:color w:val="FF0000"/>
          <w:szCs w:val="24"/>
        </w:rPr>
        <w:t>,</w:t>
      </w:r>
      <w:r w:rsidR="007928FD" w:rsidRPr="007928FD">
        <w:rPr>
          <w:rFonts w:cs="Times New Roman"/>
          <w:color w:val="FF0000"/>
          <w:szCs w:val="24"/>
        </w:rPr>
        <w:t xml:space="preserve"> with</w:t>
      </w:r>
      <w:r w:rsidR="00CF26C6" w:rsidRPr="007928FD">
        <w:rPr>
          <w:rFonts w:cs="Times New Roman"/>
          <w:color w:val="FF0000"/>
          <w:szCs w:val="24"/>
        </w:rPr>
        <w:t xml:space="preserve"> some </w:t>
      </w:r>
      <w:r w:rsidR="007928FD">
        <w:rPr>
          <w:rFonts w:cs="Times New Roman"/>
          <w:color w:val="FF0000"/>
          <w:szCs w:val="24"/>
        </w:rPr>
        <w:t xml:space="preserve">red </w:t>
      </w:r>
      <w:r w:rsidR="007928FD" w:rsidRPr="001E0D39">
        <w:rPr>
          <w:rFonts w:cs="Times New Roman"/>
          <w:color w:val="FF0000"/>
          <w:szCs w:val="24"/>
        </w:rPr>
        <w:t xml:space="preserve">algae </w:t>
      </w:r>
      <w:r w:rsidR="00121408" w:rsidRPr="001E0D39">
        <w:rPr>
          <w:rFonts w:cs="Times New Roman"/>
          <w:color w:val="FF0000"/>
          <w:szCs w:val="24"/>
        </w:rPr>
        <w:t xml:space="preserve">(Rhodophyta) </w:t>
      </w:r>
      <w:r w:rsidR="007928FD" w:rsidRPr="001E0D39">
        <w:rPr>
          <w:rFonts w:cs="Times New Roman"/>
          <w:color w:val="FF0000"/>
          <w:szCs w:val="24"/>
        </w:rPr>
        <w:t>undergoing</w:t>
      </w:r>
      <w:r w:rsidR="00CF26C6" w:rsidRPr="001E0D39">
        <w:rPr>
          <w:rFonts w:cs="Times New Roman"/>
          <w:color w:val="FF0000"/>
          <w:szCs w:val="24"/>
        </w:rPr>
        <w:t xml:space="preserve"> secondary </w:t>
      </w:r>
      <w:r w:rsidR="00121408" w:rsidRPr="001E0D39">
        <w:rPr>
          <w:rFonts w:cs="Times New Roman"/>
          <w:color w:val="FF0000"/>
          <w:szCs w:val="24"/>
        </w:rPr>
        <w:t>endosymbiosis by being engulfed by a heterotrophic eukaryote</w:t>
      </w:r>
      <w:r w:rsidR="004961ED" w:rsidRPr="001E0D39">
        <w:rPr>
          <w:rFonts w:cs="Times New Roman"/>
          <w:color w:val="FF0000"/>
          <w:szCs w:val="24"/>
        </w:rPr>
        <w:t xml:space="preserve">.  </w:t>
      </w:r>
      <w:r w:rsidRPr="007169F1">
        <w:rPr>
          <w:rFonts w:cs="Times New Roman"/>
          <w:color w:val="FF0000"/>
          <w:szCs w:val="24"/>
        </w:rPr>
        <w:t xml:space="preserve">The third major algal lineage, </w:t>
      </w:r>
      <w:proofErr w:type="spellStart"/>
      <w:r w:rsidR="004961ED" w:rsidRPr="007169F1">
        <w:rPr>
          <w:rFonts w:cs="Times New Roman"/>
          <w:color w:val="FF0000"/>
          <w:szCs w:val="24"/>
        </w:rPr>
        <w:t>Glaucophyta</w:t>
      </w:r>
      <w:proofErr w:type="spellEnd"/>
      <w:r w:rsidR="004961ED" w:rsidRPr="007169F1">
        <w:rPr>
          <w:rFonts w:cs="Times New Roman"/>
          <w:color w:val="FF0000"/>
          <w:szCs w:val="24"/>
        </w:rPr>
        <w:t xml:space="preserve">, </w:t>
      </w:r>
      <w:r w:rsidRPr="007169F1">
        <w:rPr>
          <w:rFonts w:cs="Times New Roman"/>
          <w:color w:val="FF0000"/>
          <w:szCs w:val="24"/>
        </w:rPr>
        <w:t xml:space="preserve">diverged from the other lineages </w:t>
      </w:r>
      <w:r w:rsidR="00CF26C6" w:rsidRPr="007169F1">
        <w:rPr>
          <w:rFonts w:cs="Times New Roman"/>
          <w:color w:val="FF0000"/>
          <w:szCs w:val="24"/>
        </w:rPr>
        <w:t xml:space="preserve">earlier and </w:t>
      </w:r>
      <w:r w:rsidR="004961ED" w:rsidRPr="007169F1">
        <w:rPr>
          <w:rFonts w:cs="Times New Roman"/>
          <w:color w:val="FF0000"/>
          <w:szCs w:val="24"/>
        </w:rPr>
        <w:t>did not undergo a second</w:t>
      </w:r>
      <w:r w:rsidR="000D2418">
        <w:rPr>
          <w:rFonts w:cs="Times New Roman"/>
          <w:color w:val="FF0000"/>
          <w:szCs w:val="24"/>
        </w:rPr>
        <w:t>ary</w:t>
      </w:r>
      <w:r w:rsidR="004961ED" w:rsidRPr="007169F1">
        <w:rPr>
          <w:rFonts w:cs="Times New Roman"/>
          <w:color w:val="FF0000"/>
          <w:szCs w:val="24"/>
        </w:rPr>
        <w:t xml:space="preserve"> endosymbiotic event</w:t>
      </w:r>
      <w:r w:rsidR="00400BBB" w:rsidRPr="007169F1">
        <w:rPr>
          <w:rFonts w:cs="Times New Roman"/>
          <w:color w:val="FF0000"/>
          <w:szCs w:val="24"/>
        </w:rPr>
        <w:t>.</w:t>
      </w:r>
      <w:r w:rsidR="00812339" w:rsidRPr="007169F1">
        <w:rPr>
          <w:rFonts w:cs="Times New Roman"/>
          <w:b/>
          <w:bCs/>
          <w:color w:val="FF0000"/>
          <w:szCs w:val="24"/>
        </w:rPr>
        <w:t xml:space="preserve"> </w:t>
      </w:r>
      <w:r w:rsidR="002C3DCD" w:rsidRPr="007169F1">
        <w:rPr>
          <w:rFonts w:cs="Times New Roman"/>
          <w:b/>
          <w:bCs/>
          <w:color w:val="FF0000"/>
          <w:szCs w:val="24"/>
        </w:rPr>
        <w:t xml:space="preserve"> </w:t>
      </w:r>
      <w:r w:rsidR="00D30020" w:rsidRPr="00833CE8">
        <w:rPr>
          <w:rFonts w:cs="Times New Roman"/>
          <w:szCs w:val="24"/>
        </w:rPr>
        <w:t>S</w:t>
      </w:r>
      <w:r w:rsidR="004961ED" w:rsidRPr="00833CE8">
        <w:rPr>
          <w:rFonts w:cs="Times New Roman"/>
          <w:szCs w:val="24"/>
        </w:rPr>
        <w:t xml:space="preserve">ome species of </w:t>
      </w:r>
      <w:r w:rsidR="00400BBB" w:rsidRPr="00833CE8">
        <w:rPr>
          <w:rFonts w:cs="Times New Roman"/>
          <w:szCs w:val="24"/>
        </w:rPr>
        <w:t xml:space="preserve">green algae </w:t>
      </w:r>
      <w:r w:rsidR="0089197B" w:rsidRPr="00833CE8">
        <w:rPr>
          <w:rFonts w:cs="Times New Roman"/>
          <w:szCs w:val="24"/>
        </w:rPr>
        <w:t xml:space="preserve">within the clade </w:t>
      </w:r>
      <w:proofErr w:type="spellStart"/>
      <w:r w:rsidR="0089197B" w:rsidRPr="00833CE8">
        <w:rPr>
          <w:rFonts w:cs="Times New Roman"/>
          <w:szCs w:val="24"/>
        </w:rPr>
        <w:t>Streptophyta</w:t>
      </w:r>
      <w:proofErr w:type="spellEnd"/>
      <w:r w:rsidR="0089197B" w:rsidRPr="00833CE8">
        <w:rPr>
          <w:rFonts w:cs="Times New Roman"/>
          <w:szCs w:val="24"/>
        </w:rPr>
        <w:t xml:space="preserve"> </w:t>
      </w:r>
      <w:r w:rsidR="00400BBB" w:rsidRPr="00833CE8">
        <w:rPr>
          <w:rFonts w:cs="Times New Roman"/>
          <w:szCs w:val="24"/>
        </w:rPr>
        <w:t>began</w:t>
      </w:r>
      <w:r w:rsidR="006B7D13" w:rsidRPr="00833CE8">
        <w:rPr>
          <w:rFonts w:cs="Times New Roman"/>
          <w:szCs w:val="24"/>
        </w:rPr>
        <w:t xml:space="preserve"> to </w:t>
      </w:r>
      <w:r w:rsidR="00400BBB" w:rsidRPr="00833CE8">
        <w:rPr>
          <w:rFonts w:cs="Times New Roman"/>
          <w:szCs w:val="24"/>
        </w:rPr>
        <w:t>develop into multicellular organisms</w:t>
      </w:r>
      <w:r w:rsidR="006B7D13" w:rsidRPr="00833CE8">
        <w:rPr>
          <w:rFonts w:cs="Times New Roman"/>
          <w:szCs w:val="24"/>
        </w:rPr>
        <w:t xml:space="preserve"> that would become vascular</w:t>
      </w:r>
      <w:r w:rsidR="00812339" w:rsidRPr="00833CE8">
        <w:rPr>
          <w:rFonts w:cs="Times New Roman"/>
          <w:szCs w:val="24"/>
        </w:rPr>
        <w:t xml:space="preserve"> plants</w:t>
      </w:r>
      <w:r w:rsidR="0089197B" w:rsidRPr="00833CE8">
        <w:rPr>
          <w:rFonts w:cs="Times New Roman"/>
          <w:szCs w:val="24"/>
        </w:rPr>
        <w:t xml:space="preserve"> (</w:t>
      </w:r>
      <w:proofErr w:type="spellStart"/>
      <w:r w:rsidR="0089197B" w:rsidRPr="00833CE8">
        <w:rPr>
          <w:rFonts w:cs="Times New Roman"/>
          <w:szCs w:val="24"/>
        </w:rPr>
        <w:t>Embrophyta</w:t>
      </w:r>
      <w:proofErr w:type="spellEnd"/>
      <w:r w:rsidR="0089197B" w:rsidRPr="00833CE8">
        <w:rPr>
          <w:rFonts w:cs="Times New Roman"/>
          <w:szCs w:val="24"/>
        </w:rPr>
        <w:t>)</w:t>
      </w:r>
      <w:r w:rsidR="00812339" w:rsidRPr="00833CE8">
        <w:rPr>
          <w:rFonts w:cs="Times New Roman"/>
          <w:szCs w:val="24"/>
        </w:rPr>
        <w:t xml:space="preserve"> </w:t>
      </w:r>
      <w:r w:rsidR="004961ED" w:rsidRPr="00833CE8">
        <w:rPr>
          <w:rFonts w:cs="Times New Roman"/>
          <w:szCs w:val="24"/>
        </w:rPr>
        <w:t>around 450-470 mya</w:t>
      </w:r>
      <w:r w:rsidR="0089197B" w:rsidRPr="00833CE8">
        <w:rPr>
          <w:rFonts w:cs="Times New Roman"/>
          <w:szCs w:val="24"/>
        </w:rPr>
        <w:t xml:space="preserve"> </w:t>
      </w:r>
      <w:r w:rsidR="0089197B" w:rsidRPr="00833CE8">
        <w:rPr>
          <w:rFonts w:cs="Times New Roman"/>
          <w:b/>
          <w:bCs/>
          <w:szCs w:val="24"/>
        </w:rPr>
        <w:fldChar w:fldCharType="begin"/>
      </w:r>
      <w:r w:rsidR="00476618">
        <w:rPr>
          <w:rFonts w:cs="Times New Roman"/>
          <w:b/>
          <w:bCs/>
          <w:szCs w:val="24"/>
        </w:rPr>
        <w:instrText xml:space="preserve"> ADDIN ZOTERO_ITEM CSL_CITATION {"citationID":"Rgnzd7Cf","properties":{"formattedCitation":"(de Vries and Archibald, 2018)","plainCitation":"(de Vries and Archibald, 2018)","noteIndex":0},"citationItems":[{"id":9320,"uris":["http://zotero.org/users/764524/items/PMT98X2D"],"itemData":{"id":9320,"type":"article-journal","abstract":"Contents Summary 1428 I. The singularity of plant terrestrialization 1428 II. Adaptation vs exaptation – what shaped the land plant toolkit? 1430 III. Trait mosaicism in (higher-branching) streptophyte algae 1431 IV. Conclusions: a streptophyte algal perspective on land plant trait evolution 1432 Acknowledgements 1432 ORCID 1433 References 1433 Summary Photosynthetic eukaryotes thrive anywhere there is sunlight and water. But while such organisms are exceptionally diverse in form and function, only one phototrophic lineage succeeded in rising above its substrate: the land plants (embryophytes). Molecular phylogenetic data show that land plants evolved from streptophyte algae most closely related to extant Zygnematophyceae, and one of the principal aims of plant evolutionary biology is to uncover the key features of such algae that enabled this important transition. At the present time, however, mosaic and reductive evolution blur our picture of the closest algal ancestors of plants. Here we discuss recent progress and problems in inferring the biology of the algal progenitor of the terrestrial photosynthetic macrobiome.","container-title":"New Phytologist","DOI":"10.1111/nph.14975","ISSN":"1469-8137","issue":"4","journalAbbreviation":"New Phytol.","language":"en","note":"_eprint: https://onlinelibrary.wiley.com/doi/pdf/10.1111/nph.14975","page":"1428-1434","source":"Wiley Online Library","title":"Plant evolution: landmarks on the path to terrestrial life","title-short":"Plant evolution","volume":"217","author":[{"family":"Vries","given":"Jan","non-dropping-particle":"de"},{"family":"Archibald","given":"John M."}],"issued":{"date-parts":[["2018"]]}}}],"schema":"https://github.com/citation-style-language/schema/raw/master/csl-citation.json"} </w:instrText>
      </w:r>
      <w:r w:rsidR="0089197B" w:rsidRPr="00833CE8">
        <w:rPr>
          <w:rFonts w:cs="Times New Roman"/>
          <w:b/>
          <w:bCs/>
          <w:szCs w:val="24"/>
        </w:rPr>
        <w:fldChar w:fldCharType="separate"/>
      </w:r>
      <w:r w:rsidR="0089197B" w:rsidRPr="00833CE8">
        <w:rPr>
          <w:rFonts w:cs="Times New Roman"/>
        </w:rPr>
        <w:t>(de Vries and Archibald, 2018)</w:t>
      </w:r>
      <w:r w:rsidR="0089197B" w:rsidRPr="00833CE8">
        <w:rPr>
          <w:rFonts w:cs="Times New Roman"/>
          <w:b/>
          <w:bCs/>
          <w:szCs w:val="24"/>
        </w:rPr>
        <w:fldChar w:fldCharType="end"/>
      </w:r>
      <w:r w:rsidR="00812339" w:rsidRPr="00833CE8">
        <w:rPr>
          <w:rFonts w:cs="Times New Roman"/>
          <w:szCs w:val="24"/>
        </w:rPr>
        <w:t>.</w:t>
      </w:r>
      <w:r w:rsidR="00012473" w:rsidRPr="00833CE8">
        <w:rPr>
          <w:rFonts w:cs="Times New Roman"/>
          <w:szCs w:val="24"/>
        </w:rPr>
        <w:t xml:space="preserve">  </w:t>
      </w:r>
      <w:r w:rsidR="006B7D13" w:rsidRPr="00833CE8">
        <w:rPr>
          <w:rFonts w:cs="Times New Roman"/>
          <w:szCs w:val="24"/>
        </w:rPr>
        <w:t xml:space="preserve">An outline of </w:t>
      </w:r>
      <w:r>
        <w:rPr>
          <w:rFonts w:cs="Times New Roman"/>
          <w:szCs w:val="24"/>
        </w:rPr>
        <w:t xml:space="preserve">the </w:t>
      </w:r>
      <w:r w:rsidR="006B7D13" w:rsidRPr="00833CE8">
        <w:rPr>
          <w:rFonts w:cs="Times New Roman"/>
          <w:szCs w:val="24"/>
        </w:rPr>
        <w:t xml:space="preserve">evolutionary process highlighting </w:t>
      </w:r>
      <w:r w:rsidR="004961ED" w:rsidRPr="00833CE8">
        <w:rPr>
          <w:rFonts w:cs="Times New Roman"/>
          <w:szCs w:val="24"/>
        </w:rPr>
        <w:t>endosymbiosis</w:t>
      </w:r>
      <w:r w:rsidR="006B7D13" w:rsidRPr="00833CE8">
        <w:rPr>
          <w:rFonts w:cs="Times New Roman"/>
          <w:szCs w:val="24"/>
        </w:rPr>
        <w:t xml:space="preserve"> events is shown in </w:t>
      </w:r>
      <w:r w:rsidR="00012473" w:rsidRPr="00833CE8">
        <w:rPr>
          <w:rFonts w:cs="Times New Roman"/>
          <w:szCs w:val="24"/>
        </w:rPr>
        <w:t>Figure 1.</w:t>
      </w:r>
      <w:r w:rsidR="00812339" w:rsidRPr="00833CE8">
        <w:rPr>
          <w:rFonts w:cs="Times New Roman"/>
          <w:szCs w:val="24"/>
        </w:rPr>
        <w:t xml:space="preserve"> </w:t>
      </w:r>
      <w:r w:rsidR="00812339" w:rsidRPr="00833CE8">
        <w:rPr>
          <w:rFonts w:cs="Times New Roman"/>
          <w:b/>
          <w:bCs/>
          <w:szCs w:val="24"/>
        </w:rPr>
        <w:t xml:space="preserve">   </w:t>
      </w:r>
    </w:p>
    <w:p w14:paraId="348F08EA" w14:textId="77777777" w:rsidR="00E60ED7" w:rsidRPr="00833CE8" w:rsidRDefault="00E60ED7" w:rsidP="00C31A9C">
      <w:pPr>
        <w:snapToGrid w:val="0"/>
        <w:spacing w:line="360" w:lineRule="auto"/>
        <w:ind w:firstLine="360"/>
        <w:jc w:val="both"/>
        <w:rPr>
          <w:rFonts w:cs="Times New Roman"/>
          <w:b/>
          <w:bCs/>
          <w:szCs w:val="24"/>
        </w:rPr>
      </w:pPr>
    </w:p>
    <w:p w14:paraId="149A7882" w14:textId="7142EE15" w:rsidR="00012473" w:rsidRDefault="00D01150" w:rsidP="00B97997">
      <w:pPr>
        <w:snapToGrid w:val="0"/>
        <w:spacing w:line="360" w:lineRule="auto"/>
        <w:jc w:val="center"/>
        <w:rPr>
          <w:rFonts w:cs="Times New Roman"/>
          <w:szCs w:val="24"/>
        </w:rPr>
      </w:pPr>
      <w:r>
        <w:rPr>
          <w:noProof/>
        </w:rPr>
        <w:lastRenderedPageBreak/>
        <w:drawing>
          <wp:inline distT="0" distB="0" distL="0" distR="0" wp14:anchorId="2FB4910B" wp14:editId="4FFE4152">
            <wp:extent cx="5829300" cy="6830742"/>
            <wp:effectExtent l="0" t="0" r="0" b="8255"/>
            <wp:docPr id="16734817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481728" name=""/>
                    <pic:cNvPicPr/>
                  </pic:nvPicPr>
                  <pic:blipFill>
                    <a:blip r:embed="rId8"/>
                    <a:stretch>
                      <a:fillRect/>
                    </a:stretch>
                  </pic:blipFill>
                  <pic:spPr>
                    <a:xfrm>
                      <a:off x="0" y="0"/>
                      <a:ext cx="5871028" cy="6879638"/>
                    </a:xfrm>
                    <a:prstGeom prst="rect">
                      <a:avLst/>
                    </a:prstGeom>
                  </pic:spPr>
                </pic:pic>
              </a:graphicData>
            </a:graphic>
          </wp:inline>
        </w:drawing>
      </w:r>
    </w:p>
    <w:p w14:paraId="5E36C5C0" w14:textId="77777777" w:rsidR="00D01150" w:rsidRPr="00833CE8" w:rsidRDefault="00D01150" w:rsidP="00B97997">
      <w:pPr>
        <w:snapToGrid w:val="0"/>
        <w:spacing w:line="360" w:lineRule="auto"/>
        <w:jc w:val="center"/>
        <w:rPr>
          <w:rFonts w:cs="Times New Roman"/>
          <w:szCs w:val="24"/>
        </w:rPr>
      </w:pPr>
    </w:p>
    <w:p w14:paraId="29CDD62C" w14:textId="061E5957" w:rsidR="00C2674C" w:rsidRDefault="00012473" w:rsidP="003E3559">
      <w:pPr>
        <w:tabs>
          <w:tab w:val="center" w:pos="4822"/>
        </w:tabs>
        <w:snapToGrid w:val="0"/>
        <w:spacing w:line="276" w:lineRule="auto"/>
        <w:rPr>
          <w:rFonts w:cs="Times New Roman"/>
          <w:szCs w:val="24"/>
        </w:rPr>
      </w:pPr>
      <w:r w:rsidRPr="00833CE8">
        <w:rPr>
          <w:rFonts w:cs="Times New Roman"/>
          <w:b/>
          <w:bCs/>
          <w:szCs w:val="24"/>
        </w:rPr>
        <w:t>Figure 1.</w:t>
      </w:r>
      <w:r w:rsidRPr="00833CE8">
        <w:rPr>
          <w:rFonts w:cs="Times New Roman"/>
          <w:szCs w:val="24"/>
        </w:rPr>
        <w:t xml:space="preserve">  </w:t>
      </w:r>
      <w:r w:rsidR="00CB0C04" w:rsidRPr="00833CE8">
        <w:rPr>
          <w:rFonts w:cs="Times New Roman"/>
          <w:szCs w:val="24"/>
        </w:rPr>
        <w:t>Algae evolution including primary and secondary endosymbiosis events</w:t>
      </w:r>
      <w:r w:rsidR="00C2674C" w:rsidRPr="00833CE8">
        <w:rPr>
          <w:rFonts w:cs="Times New Roman"/>
          <w:szCs w:val="24"/>
        </w:rPr>
        <w:t xml:space="preserve">.  </w:t>
      </w:r>
      <w:r w:rsidR="008506ED">
        <w:rPr>
          <w:rFonts w:cs="Times New Roman"/>
          <w:szCs w:val="24"/>
        </w:rPr>
        <w:t>G</w:t>
      </w:r>
      <w:r w:rsidR="00C2674C" w:rsidRPr="00833CE8">
        <w:rPr>
          <w:rFonts w:cs="Times New Roman"/>
          <w:szCs w:val="24"/>
        </w:rPr>
        <w:t>reen lines represent the green algae lineage, while red lines represent the red algae lineage</w:t>
      </w:r>
      <w:r w:rsidR="005E7F41">
        <w:rPr>
          <w:rFonts w:cs="Times New Roman"/>
          <w:szCs w:val="24"/>
        </w:rPr>
        <w:t xml:space="preserve">. </w:t>
      </w:r>
      <w:r w:rsidR="00C2674C" w:rsidRPr="00833CE8">
        <w:rPr>
          <w:rFonts w:cs="Times New Roman"/>
          <w:szCs w:val="24"/>
        </w:rPr>
        <w:t xml:space="preserve"> </w:t>
      </w:r>
    </w:p>
    <w:p w14:paraId="7BAF6304" w14:textId="589E13E0" w:rsidR="00012473" w:rsidRPr="00944B90" w:rsidRDefault="00012473" w:rsidP="00012473">
      <w:pPr>
        <w:snapToGrid w:val="0"/>
        <w:spacing w:line="360" w:lineRule="auto"/>
        <w:jc w:val="both"/>
        <w:rPr>
          <w:rFonts w:cs="Times New Roman"/>
          <w:szCs w:val="24"/>
        </w:rPr>
      </w:pPr>
    </w:p>
    <w:p w14:paraId="280FC964" w14:textId="6FAF1FCB" w:rsidR="004271DF" w:rsidRPr="00833CE8" w:rsidRDefault="008F67BF" w:rsidP="00052B01">
      <w:pPr>
        <w:snapToGrid w:val="0"/>
        <w:spacing w:line="360" w:lineRule="auto"/>
        <w:ind w:firstLine="284"/>
        <w:jc w:val="both"/>
        <w:rPr>
          <w:rFonts w:cs="Times New Roman"/>
          <w:b/>
          <w:bCs/>
          <w:szCs w:val="24"/>
        </w:rPr>
      </w:pPr>
      <w:r w:rsidRPr="00E662EA">
        <w:rPr>
          <w:rFonts w:cs="Times New Roman"/>
          <w:color w:val="FF0000"/>
          <w:szCs w:val="24"/>
        </w:rPr>
        <w:lastRenderedPageBreak/>
        <w:t>It should be noted</w:t>
      </w:r>
      <w:r w:rsidR="00E662EA" w:rsidRPr="00E662EA">
        <w:rPr>
          <w:rFonts w:cs="Times New Roman"/>
          <w:color w:val="FF0000"/>
          <w:szCs w:val="24"/>
        </w:rPr>
        <w:t xml:space="preserve"> </w:t>
      </w:r>
      <w:r w:rsidR="002F6116" w:rsidRPr="00E662EA">
        <w:rPr>
          <w:rFonts w:cs="Times New Roman"/>
          <w:color w:val="FF0000"/>
          <w:szCs w:val="24"/>
        </w:rPr>
        <w:t>that</w:t>
      </w:r>
      <w:r w:rsidR="00A30D22">
        <w:rPr>
          <w:rFonts w:cs="Times New Roman"/>
          <w:color w:val="FF0000"/>
          <w:szCs w:val="24"/>
        </w:rPr>
        <w:t>,</w:t>
      </w:r>
      <w:r w:rsidR="002F6116" w:rsidRPr="00E662EA">
        <w:rPr>
          <w:rFonts w:cs="Times New Roman"/>
          <w:color w:val="FF0000"/>
          <w:szCs w:val="24"/>
        </w:rPr>
        <w:t xml:space="preserve"> </w:t>
      </w:r>
      <w:r w:rsidR="00E662EA" w:rsidRPr="00E662EA">
        <w:rPr>
          <w:rFonts w:cs="Times New Roman"/>
          <w:color w:val="FF0000"/>
          <w:szCs w:val="24"/>
        </w:rPr>
        <w:t xml:space="preserve">despite the development of endosymbiosis from </w:t>
      </w:r>
      <w:proofErr w:type="spellStart"/>
      <w:r w:rsidR="00E662EA" w:rsidRPr="00E662EA">
        <w:rPr>
          <w:rFonts w:cs="Times New Roman"/>
          <w:color w:val="FF0000"/>
          <w:szCs w:val="24"/>
        </w:rPr>
        <w:t>exosymbiotic</w:t>
      </w:r>
      <w:proofErr w:type="spellEnd"/>
      <w:r w:rsidR="00E662EA" w:rsidRPr="00E662EA">
        <w:rPr>
          <w:rFonts w:cs="Times New Roman"/>
          <w:color w:val="FF0000"/>
          <w:szCs w:val="24"/>
        </w:rPr>
        <w:t xml:space="preserve"> relationships, </w:t>
      </w:r>
      <w:proofErr w:type="spellStart"/>
      <w:r w:rsidRPr="00E662EA">
        <w:rPr>
          <w:rFonts w:cs="Times New Roman"/>
          <w:color w:val="FF0000"/>
          <w:szCs w:val="24"/>
        </w:rPr>
        <w:t>exosymbiosis</w:t>
      </w:r>
      <w:proofErr w:type="spellEnd"/>
      <w:r w:rsidRPr="00E662EA">
        <w:rPr>
          <w:rFonts w:cs="Times New Roman"/>
          <w:color w:val="FF0000"/>
          <w:szCs w:val="24"/>
        </w:rPr>
        <w:t xml:space="preserve"> </w:t>
      </w:r>
      <w:r w:rsidR="00944B90" w:rsidRPr="00E662EA">
        <w:rPr>
          <w:rFonts w:cs="Times New Roman"/>
          <w:color w:val="FF0000"/>
          <w:szCs w:val="24"/>
        </w:rPr>
        <w:t xml:space="preserve">remains </w:t>
      </w:r>
      <w:r w:rsidRPr="00E662EA">
        <w:rPr>
          <w:rFonts w:cs="Times New Roman"/>
          <w:color w:val="FF0000"/>
          <w:szCs w:val="24"/>
        </w:rPr>
        <w:t>ongoing between eukaryot</w:t>
      </w:r>
      <w:r w:rsidR="00944B90" w:rsidRPr="00E662EA">
        <w:rPr>
          <w:rFonts w:cs="Times New Roman"/>
          <w:color w:val="FF0000"/>
          <w:szCs w:val="24"/>
        </w:rPr>
        <w:t>es</w:t>
      </w:r>
      <w:r w:rsidRPr="00E662EA">
        <w:rPr>
          <w:rFonts w:cs="Times New Roman"/>
          <w:color w:val="FF0000"/>
          <w:szCs w:val="24"/>
        </w:rPr>
        <w:t xml:space="preserve"> and </w:t>
      </w:r>
      <w:r w:rsidR="00944B90" w:rsidRPr="00E662EA">
        <w:rPr>
          <w:rFonts w:cs="Times New Roman"/>
          <w:color w:val="FF0000"/>
          <w:szCs w:val="24"/>
        </w:rPr>
        <w:t>prokaryotes</w:t>
      </w:r>
      <w:r w:rsidRPr="00944B90">
        <w:rPr>
          <w:rFonts w:cs="Times New Roman"/>
          <w:szCs w:val="24"/>
        </w:rPr>
        <w:t xml:space="preserve">.  While the history of coevolution of these organisms has not been well explored, </w:t>
      </w:r>
      <w:r w:rsidR="00944B90" w:rsidRPr="00944B90">
        <w:rPr>
          <w:rFonts w:cs="Times New Roman"/>
          <w:szCs w:val="24"/>
        </w:rPr>
        <w:t>primarily</w:t>
      </w:r>
      <w:r w:rsidRPr="00944B90">
        <w:rPr>
          <w:rFonts w:cs="Times New Roman"/>
          <w:szCs w:val="24"/>
        </w:rPr>
        <w:t xml:space="preserve"> due to the</w:t>
      </w:r>
      <w:r w:rsidR="00E662EA">
        <w:rPr>
          <w:rFonts w:cs="Times New Roman"/>
          <w:szCs w:val="24"/>
        </w:rPr>
        <w:t xml:space="preserve"> </w:t>
      </w:r>
      <w:r w:rsidR="00E662EA" w:rsidRPr="00E662EA">
        <w:rPr>
          <w:rFonts w:cs="Times New Roman"/>
          <w:color w:val="FF0000"/>
          <w:szCs w:val="24"/>
        </w:rPr>
        <w:t>high</w:t>
      </w:r>
      <w:r w:rsidRPr="00944B90">
        <w:rPr>
          <w:rFonts w:cs="Times New Roman"/>
          <w:szCs w:val="24"/>
        </w:rPr>
        <w:t xml:space="preserve"> speed of evolution in prokaryotes, it is still important to consider as a driving force behind the development of mutualistic microbial relationships.  </w:t>
      </w:r>
      <w:r w:rsidR="007545E8" w:rsidRPr="00944B90">
        <w:rPr>
          <w:rFonts w:cs="Times New Roman"/>
          <w:szCs w:val="24"/>
        </w:rPr>
        <w:t xml:space="preserve">The coevolution of bacteria and microalgae </w:t>
      </w:r>
      <w:r w:rsidR="007545E8" w:rsidRPr="00833CE8">
        <w:rPr>
          <w:rFonts w:cs="Times New Roman"/>
          <w:szCs w:val="24"/>
        </w:rPr>
        <w:t xml:space="preserve">has led to diverse interactions between different species, which are specific to their unique environments.  Therefore, most research tends to focus on specific symbiotic relations based on environmental factors, which will be the focus of this review. </w:t>
      </w:r>
      <w:r w:rsidR="00576FFB" w:rsidRPr="00833CE8">
        <w:rPr>
          <w:rFonts w:cs="Times New Roman"/>
          <w:szCs w:val="24"/>
        </w:rPr>
        <w:t xml:space="preserve"> </w:t>
      </w:r>
      <w:r w:rsidR="00B63EAE" w:rsidRPr="00833CE8">
        <w:rPr>
          <w:rFonts w:cs="Times New Roman"/>
          <w:szCs w:val="24"/>
        </w:rPr>
        <w:t xml:space="preserve">The bacteria associated with green algae and plants are referred to as </w:t>
      </w:r>
      <w:r w:rsidR="0072715B" w:rsidRPr="00833CE8">
        <w:rPr>
          <w:rFonts w:cs="Times New Roman"/>
          <w:szCs w:val="24"/>
        </w:rPr>
        <w:t xml:space="preserve">Plant Growth </w:t>
      </w:r>
      <w:r w:rsidR="002C6834" w:rsidRPr="00833CE8">
        <w:rPr>
          <w:rFonts w:cs="Times New Roman"/>
          <w:szCs w:val="24"/>
        </w:rPr>
        <w:t>P</w:t>
      </w:r>
      <w:r w:rsidR="0072715B" w:rsidRPr="00833CE8">
        <w:rPr>
          <w:rFonts w:cs="Times New Roman"/>
          <w:szCs w:val="24"/>
        </w:rPr>
        <w:t xml:space="preserve">romoting </w:t>
      </w:r>
      <w:r w:rsidR="002C6834" w:rsidRPr="00833CE8">
        <w:rPr>
          <w:rFonts w:cs="Times New Roman"/>
          <w:szCs w:val="24"/>
        </w:rPr>
        <w:t>B</w:t>
      </w:r>
      <w:r w:rsidR="0072715B" w:rsidRPr="00833CE8">
        <w:rPr>
          <w:rFonts w:cs="Times New Roman"/>
          <w:szCs w:val="24"/>
        </w:rPr>
        <w:t>acteria</w:t>
      </w:r>
      <w:r w:rsidR="00E02D2E" w:rsidRPr="00833CE8">
        <w:rPr>
          <w:rFonts w:cs="Times New Roman"/>
          <w:szCs w:val="24"/>
        </w:rPr>
        <w:t xml:space="preserve"> </w:t>
      </w:r>
      <w:r w:rsidR="00B555AD" w:rsidRPr="00833CE8">
        <w:rPr>
          <w:rFonts w:cs="Times New Roman"/>
          <w:szCs w:val="24"/>
        </w:rPr>
        <w:t xml:space="preserve">(PGPB) </w:t>
      </w:r>
      <w:r w:rsidR="00E02D2E" w:rsidRPr="00833CE8">
        <w:rPr>
          <w:rFonts w:cs="Times New Roman"/>
          <w:szCs w:val="24"/>
        </w:rPr>
        <w:fldChar w:fldCharType="begin"/>
      </w:r>
      <w:r w:rsidR="009F150C" w:rsidRPr="00833CE8">
        <w:rPr>
          <w:rFonts w:cs="Times New Roman"/>
          <w:szCs w:val="24"/>
        </w:rPr>
        <w:instrText xml:space="preserve"> ADDIN ZOTERO_ITEM CSL_CITATION {"citationID":"9eirK5lJ","properties":{"formattedCitation":"(Timofeeva et al., 2023)","plainCitation":"(Timofeeva et al., 2023)","noteIndex":0},"citationItems":[{"id":9295,"uris":["http://zotero.org/users/764524/items/ECGPCHSI"],"itemData":{"id":9295,"type":"article-journal","abstract":"This review covers the literature data on plant growth-promoting bacteria in soil, which can fix atmospheric nitrogen, solubilize phosphates, produce and secrete siderophores, and may exhibit several different behaviors simultaneously. We discuss perspectives for creating bacterial consortia and introducing them into the soil to increase crop productivity in agrosystems. The application of rhizosphere bacteria—which are capable of fixing nitrogen, solubilizing organic and inorganic phosphates, and secreting siderophores, as well as their consortia—has been demonstrated to meet the objectives of sustainable agriculture, such as increasing soil fertility and crop yields. The combining of plant growth-promoting bacteria with mineral fertilizers is a crucial trend that allows for a reduction in fertilizer use and is beneficial for crop production.","container-title":"Plants","DOI":"10.3390/plants12244074","ISSN":"2223-7747","issue":"24","language":"en","license":"http://creativecommons.org/licenses/by/3.0/","note":"number: 24\npublisher: Multidisciplinary Digital Publishing Institute","page":"4074","source":"www.mdpi.com","title":"Plant Growth-Promoting Soil Bacteria: Nitrogen Fixation, Phosphate Solubilization, Siderophore Production, and Other Biological Activities","title-short":"Plant Growth-Promoting Soil Bacteria","volume":"12","author":[{"family":"Timofeeva","given":"Anna M."},{"family":"Galyamova","given":"Maria R."},{"family":"Sedykh","given":"Sergey E."}],"issued":{"date-parts":[["2023",1]]}}}],"schema":"https://github.com/citation-style-language/schema/raw/master/csl-citation.json"} </w:instrText>
      </w:r>
      <w:r w:rsidR="00E02D2E" w:rsidRPr="00833CE8">
        <w:rPr>
          <w:rFonts w:cs="Times New Roman"/>
          <w:szCs w:val="24"/>
        </w:rPr>
        <w:fldChar w:fldCharType="separate"/>
      </w:r>
      <w:r w:rsidR="009F150C" w:rsidRPr="00833CE8">
        <w:rPr>
          <w:rFonts w:cs="Times New Roman"/>
        </w:rPr>
        <w:t>(Timofeeva et al., 2023)</w:t>
      </w:r>
      <w:r w:rsidR="00E02D2E" w:rsidRPr="00833CE8">
        <w:rPr>
          <w:rFonts w:cs="Times New Roman"/>
          <w:szCs w:val="24"/>
        </w:rPr>
        <w:fldChar w:fldCharType="end"/>
      </w:r>
      <w:r w:rsidR="00052B01" w:rsidRPr="00833CE8">
        <w:rPr>
          <w:rFonts w:cs="Times New Roman"/>
          <w:szCs w:val="24"/>
        </w:rPr>
        <w:t>.</w:t>
      </w:r>
      <w:r w:rsidR="0072715B" w:rsidRPr="00833CE8">
        <w:rPr>
          <w:rFonts w:cs="Times New Roman"/>
          <w:szCs w:val="24"/>
        </w:rPr>
        <w:t xml:space="preserve"> </w:t>
      </w:r>
      <w:r w:rsidR="00E02D2E" w:rsidRPr="00833CE8">
        <w:rPr>
          <w:rFonts w:cs="Times New Roman"/>
          <w:szCs w:val="24"/>
        </w:rPr>
        <w:t xml:space="preserve"> </w:t>
      </w:r>
      <w:r w:rsidR="00B63EAE" w:rsidRPr="00833CE8">
        <w:rPr>
          <w:rFonts w:cs="Times New Roman"/>
          <w:szCs w:val="24"/>
        </w:rPr>
        <w:t>Specifically, the</w:t>
      </w:r>
      <w:r w:rsidR="002C6834" w:rsidRPr="00833CE8">
        <w:rPr>
          <w:rFonts w:cs="Times New Roman"/>
          <w:szCs w:val="24"/>
        </w:rPr>
        <w:t xml:space="preserve"> phylogenetic study by </w:t>
      </w:r>
      <w:r w:rsidR="006622BF" w:rsidRPr="00833CE8">
        <w:rPr>
          <w:rFonts w:cs="Times New Roman"/>
          <w:szCs w:val="24"/>
        </w:rPr>
        <w:t xml:space="preserve">Ramanan </w:t>
      </w:r>
      <w:r w:rsidR="006622BF" w:rsidRPr="00833CE8">
        <w:rPr>
          <w:rFonts w:cs="Times New Roman"/>
          <w:i/>
          <w:iCs/>
          <w:szCs w:val="24"/>
        </w:rPr>
        <w:t>et al.</w:t>
      </w:r>
      <w:r w:rsidR="002C6834" w:rsidRPr="00833CE8">
        <w:rPr>
          <w:rFonts w:cs="Times New Roman"/>
          <w:szCs w:val="24"/>
        </w:rPr>
        <w:t xml:space="preserve"> </w:t>
      </w:r>
      <w:r w:rsidR="006622BF" w:rsidRPr="00833CE8">
        <w:rPr>
          <w:rFonts w:cs="Times New Roman"/>
          <w:szCs w:val="24"/>
        </w:rPr>
        <w:t xml:space="preserve">has </w:t>
      </w:r>
      <w:r w:rsidR="002C6834" w:rsidRPr="00833CE8">
        <w:rPr>
          <w:rFonts w:cs="Times New Roman"/>
          <w:szCs w:val="24"/>
        </w:rPr>
        <w:t xml:space="preserve">shown </w:t>
      </w:r>
      <w:r w:rsidR="00052B01" w:rsidRPr="00833CE8">
        <w:rPr>
          <w:rFonts w:cs="Times New Roman"/>
          <w:szCs w:val="24"/>
        </w:rPr>
        <w:t>that b</w:t>
      </w:r>
      <w:r w:rsidR="004271DF" w:rsidRPr="00833CE8">
        <w:rPr>
          <w:rFonts w:cs="Times New Roman"/>
          <w:szCs w:val="24"/>
        </w:rPr>
        <w:t>acteria associated with green alga</w:t>
      </w:r>
      <w:r w:rsidR="00F45EE6" w:rsidRPr="00833CE8">
        <w:rPr>
          <w:rFonts w:cs="Times New Roman"/>
          <w:szCs w:val="24"/>
        </w:rPr>
        <w:t>e</w:t>
      </w:r>
      <w:r w:rsidR="004271DF" w:rsidRPr="00833CE8">
        <w:rPr>
          <w:rFonts w:cs="Times New Roman"/>
          <w:szCs w:val="24"/>
        </w:rPr>
        <w:t xml:space="preserve"> inclu</w:t>
      </w:r>
      <w:r w:rsidR="002C6834" w:rsidRPr="00833CE8">
        <w:rPr>
          <w:rFonts w:cs="Times New Roman"/>
          <w:szCs w:val="24"/>
        </w:rPr>
        <w:t>de</w:t>
      </w:r>
      <w:r w:rsidR="004271DF" w:rsidRPr="00833CE8">
        <w:rPr>
          <w:rFonts w:cs="Times New Roman"/>
          <w:szCs w:val="24"/>
        </w:rPr>
        <w:t xml:space="preserve"> Proteobacteria and Bacteroidetes</w:t>
      </w:r>
      <w:r w:rsidR="00BF6832" w:rsidRPr="00833CE8">
        <w:rPr>
          <w:rFonts w:cs="Times New Roman"/>
          <w:szCs w:val="24"/>
        </w:rPr>
        <w:t xml:space="preserve"> </w:t>
      </w:r>
      <w:r w:rsidR="00BF6832" w:rsidRPr="00833CE8">
        <w:rPr>
          <w:rFonts w:cs="Times New Roman"/>
          <w:szCs w:val="24"/>
        </w:rPr>
        <w:fldChar w:fldCharType="begin"/>
      </w:r>
      <w:r w:rsidR="009F150C" w:rsidRPr="00833CE8">
        <w:rPr>
          <w:rFonts w:cs="Times New Roman"/>
          <w:szCs w:val="24"/>
        </w:rPr>
        <w:instrText xml:space="preserve"> ADDIN ZOTERO_ITEM CSL_CITATION {"citationID":"wogMsKfo","properties":{"formattedCitation":"(Ramanan et al., 2015)","plainCitation":"(Ramanan et al., 2015)","noteIndex":0},"citationItems":[{"id":9293,"uris":["http://zotero.org/users/764524/items/HKWJRDLG"],"itemData":{"id":9293,"type":"article-journal","abstract":"Phytoplankton and bacteria play the foremost role in primary production and often act in unison in biogeochemical cycling. Studies conducted so far are inconclusive on species specificity of phycosphere bacteria as the overarching function of specific clades of algae-associated bacteria, for instance Roseobacter in sulfur cycling, is widely held. In this study, we attempt to demonstrate the diversity of phycosphere bacteria in phylogenetically divergent unialgal green algae from vastly different environmental samples like soil, freshwater, marine, and wastewater with diatom and cyanobacteria as an outgroup. Diversity analyses using Differential Gel Gradient Electrophoresis (DGGE) revealed the predominant presence of bacteria belonging to Bacteroidetes phylum (46% of all strains). 454 pyrosequencing of selected strains from different habitats not only confirmed the presence of Bacteroidetes (33.1% of total reads) but also revealed the presence of bacteria belonging to α-Proteobacteria (52.6%), all in close association with their host. Majority of those symbiotic bacteria have been classified as Plant Growth Promoting Bacteria (PGPB) including prominent Sphingomonads and Rhizobacter. Results suggest that although host algae might encourage species specific interactions, specific functional traits are prerequisite for proximal adhesion in nutrient-rich phycosphere. While Bacteroidetes is known to have significant role in nutrient cycling through degradation of plant and algal macromolecules and for its attached growth, PGPB have proven symbiosis with plants and the overwhelming presence of these bacteria in green algae points to possible co-evolution.","container-title":"Algal Research","DOI":"10.1016/j.algal.2015.02.003","ISSN":"2211-9264","journalAbbreviation":"Algal Res.","page":"140-144","source":"ScienceDirect","title":"Phycosphere bacterial diversity in green algae reveals an apparent similarity across habitats","volume":"8","author":[{"family":"Ramanan","given":"Rishiram"},{"family":"Kang","given":"Zion"},{"family":"Kim","given":"Byung-Hyuk"},{"family":"Cho","given":"Dae-Hyun"},{"family":"Jin","given":"Long"},{"family":"Oh","given":"Hee-Mock"},{"family":"Kim","given":"Hee-Sik"}],"issued":{"date-parts":[["2015",3,1]]}}}],"schema":"https://github.com/citation-style-language/schema/raw/master/csl-citation.json"} </w:instrText>
      </w:r>
      <w:r w:rsidR="00BF6832" w:rsidRPr="00833CE8">
        <w:rPr>
          <w:rFonts w:cs="Times New Roman"/>
          <w:szCs w:val="24"/>
        </w:rPr>
        <w:fldChar w:fldCharType="separate"/>
      </w:r>
      <w:r w:rsidR="009F150C" w:rsidRPr="00833CE8">
        <w:rPr>
          <w:rFonts w:cs="Times New Roman"/>
        </w:rPr>
        <w:t>(Ramanan et al., 2015)</w:t>
      </w:r>
      <w:r w:rsidR="00BF6832" w:rsidRPr="00833CE8">
        <w:rPr>
          <w:rFonts w:cs="Times New Roman"/>
          <w:szCs w:val="24"/>
        </w:rPr>
        <w:fldChar w:fldCharType="end"/>
      </w:r>
      <w:r w:rsidR="00E536D8">
        <w:rPr>
          <w:rFonts w:cs="Times New Roman"/>
          <w:i/>
          <w:iCs/>
          <w:szCs w:val="24"/>
        </w:rPr>
        <w:t xml:space="preserve"> </w:t>
      </w:r>
      <w:r w:rsidR="00E536D8" w:rsidRPr="00E536D8">
        <w:rPr>
          <w:rFonts w:cs="Times New Roman"/>
          <w:szCs w:val="24"/>
        </w:rPr>
        <w:t>as well as with diatoms specifically</w:t>
      </w:r>
      <w:r w:rsidR="00E536D8">
        <w:rPr>
          <w:rFonts w:cs="Times New Roman"/>
          <w:i/>
          <w:iCs/>
          <w:szCs w:val="24"/>
        </w:rPr>
        <w:t xml:space="preserve"> </w:t>
      </w:r>
      <w:r w:rsidR="00E536D8" w:rsidRPr="00833CE8">
        <w:rPr>
          <w:rFonts w:cs="Times New Roman"/>
          <w:szCs w:val="24"/>
        </w:rPr>
        <w:fldChar w:fldCharType="begin"/>
      </w:r>
      <w:r w:rsidR="00E536D8" w:rsidRPr="00833CE8">
        <w:rPr>
          <w:rFonts w:cs="Times New Roman"/>
          <w:szCs w:val="24"/>
        </w:rPr>
        <w:instrText xml:space="preserve"> ADDIN ZOTERO_ITEM CSL_CITATION {"citationID":"WCfyUkdU","properties":{"formattedCitation":"(Kouzuma and Watanabe, 2015; X. Wang et al., 2024)","plainCitation":"(Kouzuma and Watanabe, 2015; X. Wang et al., 2024)","noteIndex":0},"citationItems":[{"id":4350,"uris":["http://zotero.org/users/764524/items/Z7BM5XUY"],"itemData":{"id":4350,"type":"article-journal","abstract":"Algae are primary producers in aquatic ecosystems, where heterotrophic bacteria grow on organics produced by algae and recycle nutrients. Ecological studies have identified the co-occurrence of particular species of algae and bacteria, suggesting the presence of their specific interactions. Algae/bacteria interactions are categorized into nutrient exchange, signal transduction and gene transfer. Studies have examined how these interactions shape aquatic communities and influence geochemical cycles in the natural environment. In parallel, efforts have been made to exploit algae for biotechnology processes, such as water treatment and bioenergy production, where bacteria influence algal activities in various ways. We suggest that better understanding of mechanisms underlying algae/bacteria interactions will facilitate the development of more efficient and/or as-yet-unexploited biotechnology processes.","collection-title":"Environmental biotechnology • Energy biotechnology","container-title":"Current Opinion in Biotechnology","DOI":"10.1016/j.copbio.2015.02.007","ISSN":"0958-1669","journalAbbreviation":"Curr. Opin. Biotechnol.","page":"125-129","source":"ScienceDirect","title":"Exploring the potential of algae/bacteria interactions","volume":"33","author":[{"family":"Kouzuma","given":"Atsushi"},{"family":"Watanabe","given":"Kazuya"}],"issued":{"date-parts":[["2015",6,1]]}}},{"id":4382,"uris":["http://zotero.org/users/764524/items/83L4U9HB"],"itemData":{"id":4382,"type":"article-journal","abstract":"Complex relationships exist between diatoms, bacterial communities and dissolved organic matter in aquatic ecosystems. Clarifying their relationships is essential to reveal biogeochemical cycles. In this study, the diatom Cyclostephanos invisitatus was cultured in standard silicon (SS), no silicon (NS), and excessive silicon (ES). Integrated 16S rDNA high-throughput sequencing and excitation-emission matrix parallel factor analysis (EEM-PARAFAC) were used to investigate diatom growth, bacterial community and dissolved organic matter (DOM) characteristics. It was found that the abundance of diatoms decreased in no silicon and excessive silicon conditions. Further, the composition and function of the associated bacterial communities were affected. The Proteobacteria and Cyanobacteria were more highly represented in the attached bacteria, whereas the Proteobacteria and Bacteroidetes were more highly represented in the free-living bacteria. Alpha diversity showed different trends with incubation time in all treatments. Moreover, genes (K01995 to K01998) involved in environmental information processing were more abundant in diatoms during the stationary phase in attached bacterial community. Stochastic processes play a key role in the formation of bacterial communities, both for attached and free-living bacteria. In addition, the differences in fluorescence components (protein and humic-like) and spectral indices (fluorescence index, biological index, freshness index, and humification index) revealed intricate relationship between microalgae and bacteria. Overall, this work confirmed the importance of silicon concentration in regulating diatom-associated bacterial communities and DOM characteristics.","container-title":"Algal Research","DOI":"10.1016/j.algal.2024.103460","ISSN":"2211-9264","journalAbbreviation":"Algal Res.","page":"103460","source":"ScienceDirect","title":"The complex relationships between diatoms, bacterial communities, and dissolved organic matter: Effects of silicon concentration","title-short":"The complex relationships between diatoms, bacterial communities, and dissolved organic matter","volume":"79","author":[{"family":"Wang","given":"Xiding"},{"family":"Liu","given":"Yang"},{"family":"Zhang","given":"Yi"},{"family":"Wu","given":"Peng"},{"family":"Liu","given":"Xudong"},{"family":"Nan","given":"Fangru"},{"family":"Liu","given":"Qi"},{"family":"Lv","given":"Junping"},{"family":"Feng","given":"Jia"},{"family":"Xie","given":"Shulian"}],"issued":{"date-parts":[["2024",4,1]]}}}],"schema":"https://github.com/citation-style-language/schema/raw/master/csl-citation.json"} </w:instrText>
      </w:r>
      <w:r w:rsidR="00E536D8" w:rsidRPr="00833CE8">
        <w:rPr>
          <w:rFonts w:cs="Times New Roman"/>
          <w:szCs w:val="24"/>
        </w:rPr>
        <w:fldChar w:fldCharType="separate"/>
      </w:r>
      <w:r w:rsidR="00E536D8" w:rsidRPr="00833CE8">
        <w:rPr>
          <w:rFonts w:cs="Times New Roman"/>
        </w:rPr>
        <w:t>(Kouzuma and Watanabe, 2015; X. Wang et al., 2024)</w:t>
      </w:r>
      <w:r w:rsidR="00E536D8" w:rsidRPr="00833CE8">
        <w:rPr>
          <w:rFonts w:cs="Times New Roman"/>
          <w:szCs w:val="24"/>
        </w:rPr>
        <w:fldChar w:fldCharType="end"/>
      </w:r>
      <w:r w:rsidR="00E536D8" w:rsidRPr="00833CE8">
        <w:rPr>
          <w:rFonts w:cs="Times New Roman"/>
          <w:szCs w:val="24"/>
          <w:lang w:eastAsia="zh-CN"/>
        </w:rPr>
        <w:t>.</w:t>
      </w:r>
      <w:r w:rsidR="00E536D8" w:rsidRPr="00833CE8">
        <w:rPr>
          <w:rFonts w:cs="Times New Roman"/>
          <w:szCs w:val="24"/>
        </w:rPr>
        <w:t xml:space="preserve"> </w:t>
      </w:r>
      <w:r w:rsidR="004271DF" w:rsidRPr="00833CE8">
        <w:rPr>
          <w:rFonts w:cs="Times New Roman"/>
          <w:szCs w:val="24"/>
        </w:rPr>
        <w:t>Some algae-associated bacteria are similar to plant-</w:t>
      </w:r>
      <w:r w:rsidR="002C6834" w:rsidRPr="00833CE8">
        <w:rPr>
          <w:rFonts w:cs="Times New Roman"/>
          <w:szCs w:val="24"/>
        </w:rPr>
        <w:t xml:space="preserve">associated </w:t>
      </w:r>
      <w:r w:rsidR="004271DF" w:rsidRPr="00833CE8">
        <w:rPr>
          <w:rFonts w:cs="Times New Roman"/>
          <w:szCs w:val="24"/>
        </w:rPr>
        <w:t>bacteria, especially nitrogen-fixing rhizobia bacteria.</w:t>
      </w:r>
      <w:r w:rsidR="00052B01" w:rsidRPr="00833CE8">
        <w:rPr>
          <w:rFonts w:cs="Times New Roman"/>
          <w:szCs w:val="24"/>
        </w:rPr>
        <w:t xml:space="preserve">  </w:t>
      </w:r>
    </w:p>
    <w:p w14:paraId="38401923" w14:textId="3F548F78" w:rsidR="00F657B3" w:rsidRDefault="00E536D8" w:rsidP="00E536D8">
      <w:pPr>
        <w:snapToGrid w:val="0"/>
        <w:spacing w:line="360" w:lineRule="auto"/>
        <w:ind w:firstLine="284"/>
        <w:jc w:val="both"/>
        <w:rPr>
          <w:rFonts w:cs="Times New Roman"/>
          <w:szCs w:val="24"/>
        </w:rPr>
      </w:pPr>
      <w:bookmarkStart w:id="4" w:name="_Hlk191631499"/>
      <w:r w:rsidRPr="00C20EFD">
        <w:rPr>
          <w:rFonts w:cs="Times New Roman"/>
          <w:color w:val="FF0000"/>
          <w:szCs w:val="24"/>
        </w:rPr>
        <w:t xml:space="preserve">For use in industrial consortia, a common pairing is microalgae with </w:t>
      </w:r>
      <w:r w:rsidR="004E6A34" w:rsidRPr="00C20EFD">
        <w:rPr>
          <w:rFonts w:cs="Times New Roman"/>
          <w:color w:val="FF0000"/>
          <w:szCs w:val="24"/>
        </w:rPr>
        <w:t xml:space="preserve">growth-promoting </w:t>
      </w:r>
      <w:r w:rsidRPr="00C20EFD">
        <w:rPr>
          <w:rFonts w:cs="Times New Roman"/>
          <w:color w:val="FF0000"/>
          <w:szCs w:val="24"/>
        </w:rPr>
        <w:t>rhizobia bacteria</w:t>
      </w:r>
      <w:r w:rsidR="004E6A34" w:rsidRPr="00C20EFD">
        <w:rPr>
          <w:rFonts w:cs="Times New Roman"/>
          <w:color w:val="FF0000"/>
          <w:szCs w:val="24"/>
        </w:rPr>
        <w:t xml:space="preserve"> </w:t>
      </w:r>
      <w:r w:rsidR="004E6A34" w:rsidRPr="00833CE8">
        <w:rPr>
          <w:rFonts w:cs="Times New Roman"/>
          <w:b/>
          <w:bCs/>
          <w:szCs w:val="24"/>
        </w:rPr>
        <w:fldChar w:fldCharType="begin"/>
      </w:r>
      <w:r w:rsidR="004E6A34">
        <w:rPr>
          <w:rFonts w:cs="Times New Roman"/>
          <w:b/>
          <w:bCs/>
          <w:szCs w:val="24"/>
        </w:rPr>
        <w:instrText xml:space="preserve"> ADDIN ZOTERO_ITEM CSL_CITATION {"citationID":"v7i6qECl","properties":{"formattedCitation":"(Ridley et al., 2018)","plainCitation":"(Ridley et al., 2018)","noteIndex":0},"citationItems":[{"id":4525,"uris":["http://zotero.org/users/764524/items/TJNGVSTC"],"itemData":{"id":4525,"type":"article-journal","abstract":"Algal-bacterial co-cultures, rather than cultures of algae alone, are regarded as having the potential to enhance productivity and stability in industrial algal cultivation. As with other inocula in biotechnology, to avoid loss of production strains, it is important to develop preservation methods for the long-term storage of these cultures, and one of the most commonly used approaches is cryopreservation. However, whilst there are many reports of cryopreserved xenic algal cultures, little work has been reported on the intentional preservation of both algae and beneficial bacteria in xenic cultures. Instead, studies have focused on the development of methods to conserve the algal strain(s) present, or to avoid overgrowth of bacteria in xenic isolates during the post-thaw recovery phase. Here, we have established a co-cryopreservation method for the long-term storage of both partners in a unialgal-bacterial co-culture. This is an artificial model mutualism between the alga Lobomonas rostrata and the bacterium Mesorhizobium loti, which provides vitamin B12 (cobalamin) to the alga in return for photosynthate. Using a Planer Kryo 360 controlled-rate cooler, post-thaw viability (PTV) values of 72% were obtained for the co-culture, compared to 91% for the axenic alga. The cultures were successfully revived after 6 months storage in liquid nitrogen, and continued to exhibit mutualism. Furthermore, the alga could be cryopreserved with non-symbiotic bacteria, without bacterial overgrowth occurring. It was also possible to use less controllable passive freezer chambers to cryopreserve the co-cultures, although the PTV was lower. Finally, we demonstrated that an optimised cryopreservation method may be used to prevent the overgrowth potential of non-symbiotic, adventitious bacteria in both axenic and co-cultures of L. rostrata after thawing.","container-title":"Journal of Applied Phycology","DOI":"10.1007/s10811-017-1270-8","ISSN":"1573-5176","issue":"2","journalAbbreviation":"J. Appl. Phycol.","language":"en","page":"995-1003","source":"Springer Link","title":"Cryopreservation studies of an artificial co-culture between the cobalamin-requiring green alga Lobomonas rostrata and the bacterium &lt;i&gt;Mesorhizobium loti &lt;/i&gt;","volume":"30","author":[{"family":"Ridley","given":"Christian J. A."},{"family":"Day","given":"John G."},{"family":"Smith","given":"Alison G."}],"issued":{"date-parts":[["2018",4,1]]}}}],"schema":"https://github.com/citation-style-language/schema/raw/master/csl-citation.json"} </w:instrText>
      </w:r>
      <w:r w:rsidR="004E6A34" w:rsidRPr="00833CE8">
        <w:rPr>
          <w:rFonts w:cs="Times New Roman"/>
          <w:b/>
          <w:bCs/>
          <w:szCs w:val="24"/>
        </w:rPr>
        <w:fldChar w:fldCharType="separate"/>
      </w:r>
      <w:r w:rsidR="004E6A34" w:rsidRPr="00833CE8">
        <w:rPr>
          <w:rFonts w:cs="Times New Roman"/>
        </w:rPr>
        <w:t>(Ridley et al., 2018)</w:t>
      </w:r>
      <w:r w:rsidR="004E6A34" w:rsidRPr="00833CE8">
        <w:rPr>
          <w:rFonts w:cs="Times New Roman"/>
          <w:b/>
          <w:bCs/>
          <w:szCs w:val="24"/>
        </w:rPr>
        <w:fldChar w:fldCharType="end"/>
      </w:r>
      <w:r w:rsidR="004E6A34" w:rsidRPr="00833CE8">
        <w:rPr>
          <w:rFonts w:cs="Times New Roman"/>
          <w:szCs w:val="24"/>
        </w:rPr>
        <w:t>.</w:t>
      </w:r>
      <w:r w:rsidR="004E6A34">
        <w:rPr>
          <w:rFonts w:cs="Times New Roman"/>
          <w:szCs w:val="24"/>
        </w:rPr>
        <w:t xml:space="preserve">  </w:t>
      </w:r>
      <w:r w:rsidR="004E6A34" w:rsidRPr="004E6A34">
        <w:rPr>
          <w:rFonts w:cs="Times New Roman"/>
          <w:color w:val="FF0000"/>
          <w:szCs w:val="24"/>
        </w:rPr>
        <w:t>Nitrogen-fixing bacteria can provide inorganic</w:t>
      </w:r>
      <w:r w:rsidRPr="004E6A34">
        <w:rPr>
          <w:color w:val="FF0000"/>
        </w:rPr>
        <w:t xml:space="preserve"> nitrogen (</w:t>
      </w:r>
      <w:r w:rsidR="0063337A">
        <w:rPr>
          <w:color w:val="FF0000"/>
        </w:rPr>
        <w:t xml:space="preserve">ammonium, </w:t>
      </w:r>
      <w:r w:rsidRPr="004E6A34">
        <w:rPr>
          <w:color w:val="FF0000"/>
        </w:rPr>
        <w:t>nitrates, nitrites, etc.) fixed by the bacteri</w:t>
      </w:r>
      <w:r w:rsidR="004E6A34" w:rsidRPr="004E6A34">
        <w:rPr>
          <w:color w:val="FF0000"/>
        </w:rPr>
        <w:t>a</w:t>
      </w:r>
      <w:r w:rsidR="00CC5AD5">
        <w:rPr>
          <w:color w:val="FF0000"/>
        </w:rPr>
        <w:t>,</w:t>
      </w:r>
      <w:r w:rsidR="004E6A34">
        <w:rPr>
          <w:color w:val="FF0000"/>
        </w:rPr>
        <w:t xml:space="preserve"> as well as other nutrients</w:t>
      </w:r>
      <w:r w:rsidR="00CC5AD5">
        <w:rPr>
          <w:color w:val="FF0000"/>
        </w:rPr>
        <w:t>,</w:t>
      </w:r>
      <w:r w:rsidR="004E6A34">
        <w:rPr>
          <w:color w:val="FF0000"/>
        </w:rPr>
        <w:t xml:space="preserve"> in exchange for </w:t>
      </w:r>
      <w:r w:rsidR="00CC5AD5">
        <w:rPr>
          <w:color w:val="FF0000"/>
        </w:rPr>
        <w:t xml:space="preserve">organic </w:t>
      </w:r>
      <w:r w:rsidR="004E6A34">
        <w:rPr>
          <w:color w:val="FF0000"/>
        </w:rPr>
        <w:t xml:space="preserve">carbon </w:t>
      </w:r>
      <w:r w:rsidR="00CC5AD5">
        <w:rPr>
          <w:color w:val="FF0000"/>
        </w:rPr>
        <w:t xml:space="preserve">fixed by the </w:t>
      </w:r>
      <w:r w:rsidR="004E6A34">
        <w:rPr>
          <w:color w:val="FF0000"/>
        </w:rPr>
        <w:t xml:space="preserve">algae </w:t>
      </w:r>
      <w:r w:rsidR="004E6A34">
        <w:rPr>
          <w:color w:val="FF0000"/>
        </w:rPr>
        <w:fldChar w:fldCharType="begin"/>
      </w:r>
      <w:r w:rsidR="00CC5AD5">
        <w:rPr>
          <w:color w:val="FF0000"/>
        </w:rPr>
        <w:instrText xml:space="preserve"> ADDIN ZOTERO_ITEM CSL_CITATION {"citationID":"wN2Jw3pD","properties":{"formattedCitation":"(Kim et al., 2014; Villa et al., 2014)","plainCitation":"(Kim et al., 2014; Villa et al., 2014)","noteIndex":0},"citationItems":[{"id":9716,"uris":["http://zotero.org/users/764524/items/AYLBVFI5"],"itemData":{"id":9716,"type":"article-journal","abstract":"Rhizobium plays the pivotal role in mutualistic interactions with plants and this study extends this mutualism to several species of green algae. Denaturing gradient gel electrophoresis (DGGE) and 16S rRNA gene clone library experiments of Chlamydomonas reinhardtii, Chlorella vulgaris, Scenedesmus sp., and Botryococcus braunii revealed that the dominant phycosphere bacteria hosted by these green algae were Rhizobium, Mesorhizobium, and Shinella within Rhizobiales, Flavobacterium within Flavobacteriales, and Pseudomonas within Pseudomonadales. When Rhizobium sp., most prevalent and dominant bacterium isolated from C. vulgaris, was co-cultured with green algae, it promoted algal cell count by </w:instrText>
      </w:r>
      <w:r w:rsidR="00CC5AD5">
        <w:rPr>
          <w:rFonts w:ascii="Cambria Math" w:hAnsi="Cambria Math" w:cs="Cambria Math"/>
          <w:color w:val="FF0000"/>
        </w:rPr>
        <w:instrText>∼</w:instrText>
      </w:r>
      <w:r w:rsidR="00CC5AD5">
        <w:rPr>
          <w:color w:val="FF0000"/>
        </w:rPr>
        <w:instrText xml:space="preserve">72%. The qPCR analysis of 16S rRNA, Rhizobium specific rirA and rhtA genes, performed to understand the effect of green algae on growth of Rhizobium sp., showed a significant increase in copy numbers indicating sustained growth of Rhizobium upon co-culture with green algae. Likewise, growth rates of algae and Rhizobium increased by an average of </w:instrText>
      </w:r>
      <w:r w:rsidR="00CC5AD5">
        <w:rPr>
          <w:rFonts w:ascii="Cambria Math" w:hAnsi="Cambria Math" w:cs="Cambria Math"/>
          <w:color w:val="FF0000"/>
        </w:rPr>
        <w:instrText>∼</w:instrText>
      </w:r>
      <w:r w:rsidR="00CC5AD5">
        <w:rPr>
          <w:color w:val="FF0000"/>
        </w:rPr>
        <w:instrText xml:space="preserve">11% and </w:instrText>
      </w:r>
      <w:r w:rsidR="00CC5AD5">
        <w:rPr>
          <w:rFonts w:ascii="Cambria Math" w:hAnsi="Cambria Math" w:cs="Cambria Math"/>
          <w:color w:val="FF0000"/>
        </w:rPr>
        <w:instrText>∼</w:instrText>
      </w:r>
      <w:r w:rsidR="00CC5AD5">
        <w:rPr>
          <w:color w:val="FF0000"/>
        </w:rPr>
        <w:instrText xml:space="preserve">110%, respectively, confirming mutualistic interaction. Considering the presence of Rhizobium sp. in a variety of green algae, this must be a major mutualistic relationship among green algae and this ubiquitous association might serve as a model for elucidating the mutualistic mechanism between green algae and rhizobacter. This interaction could be also utilized in enhancing microalgal biomass, especially slow growing organisms like B. braunii, to augment their bioenergy productivity.","container-title":"Biomass and Bioenergy","DOI":"10.1016/j.biombioe.2014.07.015","ISSN":"0961-9534","journalAbbreviation":"BIomass Bioenergy","page":"95-105","source":"ScienceDirect","title":"Role of &lt;i&gt;Rhizobium&lt;/i&gt;, a plant growth promoting bacterium, in enhancing algal biomass through mutualistic interaction","volume":"69","author":[{"family":"Kim","given":"Byung-Hyuk"},{"family":"Ramanan","given":"Rishiram"},{"family":"Cho","given":"Dae-Hyun"},{"family":"Oh","given":"Hee-Mock"},{"family":"Kim","given":"Hee-Sik"}],"issued":{"date-parts":[["2014",10,1]]}}},{"id":9468,"uris":["http://zotero.org/users/764524/items/8FNXETMH"],"itemData":{"id":9468,"type":"article-journal","abstract":"Microalgae are viewed as a potential future agricultural and biofuel feedstock and also provide an ideal biological means of carbon sequestration based on rapid growth rates and high biomass yields. Any potential improvement using high-yield microalgae to fix carbon will require additional fertilizer inputs to provide the necessary nitrogen required for protein and nucleotide biosynthesis. The free-living diazotroph Azotobacter vinelandii can fix nitrogen under aerobic conditions in the presence of reduced carbon sources such as sucrose or glycerol and is also known to produce a variety of siderophores to scavenge different metals from the environment. In this study, we identified two strains of green algae, Neochloris oleoabundans and Scenedesmus sp. BA032, that are able to utilize the A. vinelandii siderophore azotobactin as a source of nitrogen to support growth. When grown in a co-culture, S. sp. BA032 and N. oleoabundans obtained the nitrogen required for growth through the association with A. vinelandii. These results, indicating a commensalistic relationship, provide a proof of concept for developing a mutualistic or symbiotic relationship between these two species using siderophores as a nitrogen shuttle and might further indicate an additional fate of siderophores in the environment.","container-title":"FEMS Microbiology Letters","DOI":"10.1111/1574-6968.12347","ISSN":"0378-1097","issue":"1","journalAbbreviation":"FEMS Microbiology Lett.","page":"70-77","source":"Silverchair","title":"&lt;i&gt;Azotobacter vinelandii&lt;/i&gt; siderophore can provide nitrogen to support the culture of the green algae &lt;i&gt;Neochloris oleoabundans&lt;/i&gt; and &lt;i&gt;Scenedesmus&lt;/i&gt; sp. BA032","volume":"351","author":[{"family":"Villa","given":"Juan A."},{"family":"Ray","given":"Erin E."},{"family":"Barney","given":"Brett M."}],"issued":{"date-parts":[["2014",2,1]]}}}],"schema":"https://github.com/citation-style-language/schema/raw/master/csl-citation.json"} </w:instrText>
      </w:r>
      <w:r w:rsidR="004E6A34">
        <w:rPr>
          <w:color w:val="FF0000"/>
        </w:rPr>
        <w:fldChar w:fldCharType="separate"/>
      </w:r>
      <w:r w:rsidR="004E6A34" w:rsidRPr="004E6A34">
        <w:rPr>
          <w:rFonts w:cs="Times New Roman"/>
        </w:rPr>
        <w:t>(Kim et al., 2014; Villa et al., 2014)</w:t>
      </w:r>
      <w:r w:rsidR="004E6A34">
        <w:rPr>
          <w:color w:val="FF0000"/>
        </w:rPr>
        <w:fldChar w:fldCharType="end"/>
      </w:r>
      <w:r w:rsidR="004E6A34">
        <w:rPr>
          <w:color w:val="FF0000"/>
        </w:rPr>
        <w:t>.</w:t>
      </w:r>
      <w:r w:rsidR="00F221E4">
        <w:rPr>
          <w:rFonts w:cs="Times New Roman"/>
          <w:szCs w:val="24"/>
        </w:rPr>
        <w:t xml:space="preserve">  </w:t>
      </w:r>
      <w:r w:rsidRPr="00C20EFD">
        <w:rPr>
          <w:rFonts w:cs="Times New Roman"/>
          <w:color w:val="FF0000"/>
          <w:szCs w:val="24"/>
        </w:rPr>
        <w:t xml:space="preserve">This is based on marine microalgae </w:t>
      </w:r>
      <w:r w:rsidR="007C7A93" w:rsidRPr="007C7A93">
        <w:rPr>
          <w:rFonts w:cs="Times New Roman"/>
          <w:b/>
          <w:bCs/>
          <w:color w:val="FF0000"/>
          <w:szCs w:val="24"/>
        </w:rPr>
        <w:t>that</w:t>
      </w:r>
      <w:r w:rsidR="00DC0E5A" w:rsidRPr="00C20EFD">
        <w:rPr>
          <w:rFonts w:cs="Times New Roman"/>
          <w:color w:val="FF0000"/>
          <w:szCs w:val="24"/>
        </w:rPr>
        <w:t xml:space="preserve"> </w:t>
      </w:r>
      <w:r w:rsidR="005B6FAD" w:rsidRPr="007C7A93">
        <w:rPr>
          <w:rFonts w:cs="Times New Roman"/>
          <w:b/>
          <w:bCs/>
          <w:color w:val="FF0000"/>
          <w:szCs w:val="24"/>
        </w:rPr>
        <w:t>take up</w:t>
      </w:r>
      <w:r w:rsidRPr="007C7A93">
        <w:rPr>
          <w:rFonts w:cs="Times New Roman"/>
          <w:color w:val="FF0000"/>
          <w:szCs w:val="24"/>
        </w:rPr>
        <w:t xml:space="preserve"> </w:t>
      </w:r>
      <w:r w:rsidRPr="00C20EFD">
        <w:rPr>
          <w:rFonts w:cs="Times New Roman"/>
          <w:color w:val="FF0000"/>
          <w:szCs w:val="24"/>
        </w:rPr>
        <w:t>dissolved organic nitrogen</w:t>
      </w:r>
      <w:r w:rsidR="00DC0E5A" w:rsidRPr="00C20EFD">
        <w:rPr>
          <w:rFonts w:cs="Times New Roman"/>
          <w:color w:val="FF0000"/>
          <w:szCs w:val="24"/>
        </w:rPr>
        <w:t xml:space="preserve"> released by cyanobacteria</w:t>
      </w:r>
      <w:r w:rsidRPr="00C20EFD">
        <w:rPr>
          <w:rFonts w:cs="Times New Roman"/>
          <w:color w:val="FF0000"/>
          <w:szCs w:val="24"/>
        </w:rPr>
        <w:t xml:space="preserve">, which would be desirable for industrial consortia to reduce addition of </w:t>
      </w:r>
      <w:r w:rsidR="00CC5AD5" w:rsidRPr="00C20EFD">
        <w:rPr>
          <w:rFonts w:cs="Times New Roman"/>
          <w:color w:val="FF0000"/>
          <w:szCs w:val="24"/>
        </w:rPr>
        <w:t xml:space="preserve">exogenous </w:t>
      </w:r>
      <w:r w:rsidRPr="00C20EFD">
        <w:rPr>
          <w:rFonts w:cs="Times New Roman"/>
          <w:color w:val="FF0000"/>
          <w:szCs w:val="24"/>
        </w:rPr>
        <w:t>nitrogen compounds to the media</w:t>
      </w:r>
      <w:r w:rsidR="00C20EFD" w:rsidRPr="00C20EFD">
        <w:rPr>
          <w:rFonts w:cs="Times New Roman"/>
          <w:color w:val="FF0000"/>
          <w:szCs w:val="24"/>
        </w:rPr>
        <w:t>, thereby also reducing the cost</w:t>
      </w:r>
      <w:r w:rsidRPr="00C20EFD">
        <w:rPr>
          <w:rFonts w:cs="Times New Roman"/>
          <w:color w:val="FF0000"/>
          <w:szCs w:val="24"/>
        </w:rPr>
        <w:t xml:space="preserve"> </w:t>
      </w:r>
      <w:r>
        <w:rPr>
          <w:rFonts w:cs="Times New Roman"/>
          <w:szCs w:val="24"/>
        </w:rPr>
        <w:fldChar w:fldCharType="begin"/>
      </w:r>
      <w:r>
        <w:rPr>
          <w:rFonts w:cs="Times New Roman"/>
          <w:szCs w:val="24"/>
        </w:rPr>
        <w:instrText xml:space="preserve"> ADDIN ZOTERO_ITEM CSL_CITATION {"citationID":"sEfa8xA2","properties":{"formattedCitation":"(Sobolewska et al., 2023)","plainCitation":"(Sobolewska et al., 2023)","noteIndex":0},"citationItems":[{"id":9445,"uris":["http://zotero.org/users/764524/items/RGB9ZI7D"],"itemData":{"id":9445,"type":"article-journal","abstract":"This research examines the biological treatment of undiluted vegetable waste digestate conducted in a bubble column photobioreactor. Initially, the bioreactor containing 3N-BBM medium was inoculated with Microglena sp., Tetradesmus obliquus, and Desmodesmus subspicatus mixture with a density of 1.0 × 104 cells/mL and the consortium was cultivated for 30 days. Then, the bioreactor was semi-continuously fed with liquid digestate with hydraulic retention time (HRT) of 30 days, and the treatment process was continued for the next 15 weeks. The change in the microalgal and cyanobacterial species domination was measured in regular intervals using cell counting with droplet method on a microscope slide. At the end of the experiment, Desmonostoc sp. cyanobacteria (identified with 16S ribosomal RNA genetical analysis) as well as Tetradesmus obliquus green algae along with Rhodanobacteraceae and Planococcaceae bacteria (determined with V3–V4 16sRNA metagenomic studies) dominated the microbial community in the photobioreactor. The experiment demonstrated high treatment efficiency, since nitrogen and soluble COD were removed by 89.3 ± 0.5% and 91.2 ± 1.6%, respectively, whereas for phosphates, 72.8 ± 2.1% removal rate was achieved.","container-title":"Scientific Reports","DOI":"10.1038/s41598-023-50173-6","ISSN":"2045-2322","issue":"1","journalAbbreviation":"Sci. Rep.","language":"en","license":"2023 The Author(s)","note":"publisher: Nature Publishing Group","page":"22651","source":"www.nature.com","title":"Growth of microalgae and cyanobacteria consortium in a photobioreactor treating liquid anaerobic digestate from vegetable waste","volume":"13","author":[{"family":"Sobolewska","given":"Ewelina"},{"family":"Borowski","given":"Sebastian"},{"family":"Nowicka-Krawczyk","given":"Paulina"},{"family":"Jurczak","given":"Tomasz"}],"issued":{"date-parts":[["2023",12,19]]}}}],"schema":"https://github.com/citation-style-language/schema/raw/master/csl-citation.json"} </w:instrText>
      </w:r>
      <w:r>
        <w:rPr>
          <w:rFonts w:cs="Times New Roman"/>
          <w:szCs w:val="24"/>
        </w:rPr>
        <w:fldChar w:fldCharType="separate"/>
      </w:r>
      <w:r w:rsidRPr="00901C40">
        <w:rPr>
          <w:rFonts w:cs="Times New Roman"/>
        </w:rPr>
        <w:t>(Sobolewska et al., 2023)</w:t>
      </w:r>
      <w:r>
        <w:rPr>
          <w:rFonts w:cs="Times New Roman"/>
          <w:szCs w:val="24"/>
        </w:rPr>
        <w:fldChar w:fldCharType="end"/>
      </w:r>
      <w:r w:rsidRPr="00833CE8">
        <w:rPr>
          <w:rFonts w:cs="Times New Roman"/>
          <w:szCs w:val="24"/>
        </w:rPr>
        <w:t>.</w:t>
      </w:r>
      <w:bookmarkEnd w:id="4"/>
      <w:r w:rsidR="0063337A">
        <w:rPr>
          <w:rFonts w:cs="Times New Roman"/>
          <w:szCs w:val="24"/>
        </w:rPr>
        <w:t xml:space="preserve">  </w:t>
      </w:r>
      <w:r w:rsidRPr="00853522">
        <w:rPr>
          <w:rFonts w:cs="Times New Roman"/>
          <w:color w:val="FF0000"/>
          <w:szCs w:val="24"/>
          <w:lang w:eastAsia="zh-CN"/>
        </w:rPr>
        <w:t xml:space="preserve">Other advantages include increased productivity of biomolecules </w:t>
      </w:r>
      <w:r w:rsidR="00853522" w:rsidRPr="00853522">
        <w:rPr>
          <w:rFonts w:cs="Times New Roman"/>
          <w:b/>
          <w:bCs/>
          <w:color w:val="FF0000"/>
          <w:szCs w:val="24"/>
          <w:lang w:eastAsia="zh-CN"/>
        </w:rPr>
        <w:t>like</w:t>
      </w:r>
      <w:r w:rsidRPr="00853522">
        <w:rPr>
          <w:rFonts w:cs="Times New Roman"/>
          <w:color w:val="FF0000"/>
          <w:szCs w:val="24"/>
          <w:lang w:eastAsia="zh-CN"/>
        </w:rPr>
        <w:t xml:space="preserve"> proteins and lipids </w:t>
      </w:r>
      <w:r w:rsidRPr="00833CE8">
        <w:rPr>
          <w:rFonts w:cs="Times New Roman"/>
          <w:szCs w:val="24"/>
        </w:rPr>
        <w:fldChar w:fldCharType="begin"/>
      </w:r>
      <w:r w:rsidRPr="00833CE8">
        <w:rPr>
          <w:rFonts w:cs="Times New Roman"/>
          <w:szCs w:val="24"/>
        </w:rPr>
        <w:instrText xml:space="preserve"> ADDIN ZOTERO_ITEM CSL_CITATION {"citationID":"7OuU4ta0","properties":{"formattedCitation":"(Fang et al., 2024)","plainCitation":"(Fang et al., 2024)","noteIndex":0},"citationItems":[{"id":4225,"uris":["http://zotero.org/users/764524/items/C9MXG7LR"],"itemData":{"id":4225,"type":"article-journal","abstract":"The commercial exploitation of Phaeodactylum tricornutum and Chrysotila roscoffensis is hampered by their low biomass productivity. Microalgae-bacteria co-cultivation (MBC), as an emerging approach designed to boost microalgal growth, has recently gained considerable attention. Nevertheless, studies focusing on MBC with these two microalgae remain scarce. In this study, six bacterial strains were isolated from xenic microalgal cultures. Subsequent co-cultivation trials revealed two strains of Bacillus spp. and one of Agrobacterium sp. were found to promote the growth of axenic C. roscoffensis and P. tricornutum. Biochemical analysis, encompassing macromolecules, pigments, and fatty acids, indicated that the addition of these beneficial bacteria did not weaken the quality of microalgal biomass, but substantially increased the productivity of bioactive substances. To assess the feasibility of employing these bacteria in large-scale microalgal cultivation, further MBC trials using xenic microalgal cultures were conducted. The results confirmed that the beneficial bacteria were also effective in a non-axenic MBC context.","container-title":"Algal Research","DOI":"10.1016/j.algal.2024.103535","ISSN":"2211-9264","journalAbbreviation":"Algal Res.","page":"103535","source":"ScienceDirect","title":"Algae-bacteria consortia promotes the cell growth of marine microalgae &lt;i&gt;Phaeodactylum tricornutum&lt;/i&gt; and &lt;i&gt;Chrysotila roscoffensis&lt;/i&gt;","volume":"80","author":[{"family":"Fang","given":"Jiaqi"},{"family":"Sun","given":"Yan"},{"family":"Zhu","given":"Zhujun"},{"family":"Li","given":"Jian"},{"family":"Cheng","given":"Pengfei"},{"family":"Agathos","given":"Spiros N."},{"family":"Fu","given":"Yuanyuan"},{"family":"Zhang","given":"Lin"},{"family":"Zhou","given":"Chengxu"},{"family":"Han","given":"Jichang"}],"issued":{"date-parts":[["2024",6,1]]}}}],"schema":"https://github.com/citation-style-language/schema/raw/master/csl-citation.json"} </w:instrText>
      </w:r>
      <w:r w:rsidRPr="00833CE8">
        <w:rPr>
          <w:rFonts w:cs="Times New Roman"/>
          <w:szCs w:val="24"/>
        </w:rPr>
        <w:fldChar w:fldCharType="separate"/>
      </w:r>
      <w:r w:rsidRPr="00833CE8">
        <w:rPr>
          <w:rFonts w:cs="Times New Roman"/>
        </w:rPr>
        <w:t>(Fang et al., 2024)</w:t>
      </w:r>
      <w:r w:rsidRPr="00833CE8">
        <w:rPr>
          <w:rFonts w:cs="Times New Roman"/>
          <w:szCs w:val="24"/>
        </w:rPr>
        <w:fldChar w:fldCharType="end"/>
      </w:r>
      <w:r w:rsidRPr="00833CE8">
        <w:rPr>
          <w:rFonts w:cs="Times New Roman"/>
          <w:szCs w:val="24"/>
        </w:rPr>
        <w:t xml:space="preserve">.  </w:t>
      </w:r>
    </w:p>
    <w:p w14:paraId="612C3572" w14:textId="5587BCBC" w:rsidR="003C30BB" w:rsidRPr="00845CD4" w:rsidRDefault="00845CD4" w:rsidP="00BD73E7">
      <w:pPr>
        <w:snapToGrid w:val="0"/>
        <w:spacing w:line="360" w:lineRule="auto"/>
        <w:ind w:firstLine="284"/>
        <w:jc w:val="both"/>
        <w:rPr>
          <w:rFonts w:cs="Times New Roman"/>
          <w:color w:val="FF0000"/>
          <w:szCs w:val="24"/>
        </w:rPr>
      </w:pPr>
      <w:r w:rsidRPr="00845CD4">
        <w:rPr>
          <w:rFonts w:cs="Times New Roman"/>
          <w:color w:val="FF0000"/>
          <w:szCs w:val="24"/>
        </w:rPr>
        <w:t xml:space="preserve">The molecular interactions controlling microalgae-bacteria symbioses are primarily the exchange </w:t>
      </w:r>
      <w:r w:rsidR="006E44B9" w:rsidRPr="00845CD4">
        <w:rPr>
          <w:rFonts w:cs="Times New Roman"/>
          <w:color w:val="FF0000"/>
          <w:szCs w:val="24"/>
        </w:rPr>
        <w:t>of small molecules.</w:t>
      </w:r>
      <w:r>
        <w:rPr>
          <w:rFonts w:cs="Times New Roman"/>
          <w:b/>
          <w:bCs/>
          <w:color w:val="FF0000"/>
          <w:szCs w:val="24"/>
        </w:rPr>
        <w:t xml:space="preserve"> </w:t>
      </w:r>
      <w:r w:rsidR="006E44B9">
        <w:rPr>
          <w:rFonts w:cs="Times New Roman"/>
          <w:b/>
          <w:bCs/>
          <w:color w:val="FF0000"/>
          <w:szCs w:val="24"/>
        </w:rPr>
        <w:t xml:space="preserve"> </w:t>
      </w:r>
      <w:r w:rsidR="006E44B9" w:rsidRPr="00833CE8">
        <w:rPr>
          <w:rFonts w:cs="Times New Roman"/>
          <w:szCs w:val="24"/>
        </w:rPr>
        <w:t>One early focus of microalgae-bacteria interactions was the class of B vitamins, especially vitamin B</w:t>
      </w:r>
      <w:r w:rsidR="006E44B9" w:rsidRPr="00833CE8">
        <w:rPr>
          <w:rFonts w:cs="Times New Roman"/>
          <w:szCs w:val="24"/>
          <w:vertAlign w:val="subscript"/>
        </w:rPr>
        <w:t>12</w:t>
      </w:r>
      <w:r w:rsidR="006E44B9" w:rsidRPr="00833CE8">
        <w:rPr>
          <w:rFonts w:cs="Times New Roman"/>
          <w:szCs w:val="24"/>
        </w:rPr>
        <w:t xml:space="preserve"> (cobalamin), which was studied by the group of Dr. Alison Smith at the University of Cambridge </w:t>
      </w:r>
      <w:r w:rsidR="006E44B9" w:rsidRPr="00833CE8">
        <w:rPr>
          <w:rFonts w:cs="Times New Roman"/>
          <w:szCs w:val="24"/>
        </w:rPr>
        <w:fldChar w:fldCharType="begin"/>
      </w:r>
      <w:r w:rsidR="006E44B9" w:rsidRPr="00833CE8">
        <w:rPr>
          <w:rFonts w:cs="Times New Roman"/>
          <w:szCs w:val="24"/>
        </w:rPr>
        <w:instrText xml:space="preserve"> ADDIN ZOTERO_ITEM CSL_CITATION {"citationID":"pxdOxTP7","properties":{"formattedCitation":"(Croft et al., 2005)","plainCitation":"(Croft et al., 2005)","noteIndex":0},"citationItems":[{"id":9277,"uris":["http://zotero.org/users/764524/items/DZP5UU29"],"itemData":{"id":9277,"type":"article-journal","abstract":"Vitamin B12 (cobalamin) is one of nature's most complex metabolites. It is an essential human nutrient, and because it is not found in plants, strict vegetarians may suffer from deficiencies. Algae, including many seaweeds, are often rich in this vitamin and thus offer a good dietary source. However, until now the role of this cofactor in algal metabolism was unknown, as was the source of the vitamin for these organisms. A survey of the vitamin B12 requirements of more than 300 microalgal species has produced a startling result. Just under half of the algae have no requirement for the vitamin, and so are just like plants. But the rest of these supposedly autotrophic organisms require an external supply of the vitamin: they cannot make it themselves, rather it comes from tightly associated symbiotic bacteria.","container-title":"Nature","DOI":"10.1038/nature04056","ISSN":"1476-4687","issue":"7064","language":"en","license":"2005 Springer Nature Limited","note":"publisher: Nature Publishing Group","page":"90-93","source":"www.nature.com","title":"Algae acquire vitamin B12 through a symbiotic relationship with bacteria","volume":"438","author":[{"family":"Croft","given":"Martin T."},{"family":"Lawrence","given":"Andrew D."},{"family":"Raux-Deery","given":"Evelyne"},{"family":"Warren","given":"Martin J."},{"family":"Smith","given":"Alison G."}],"issued":{"date-parts":[["2005",11]]}}}],"schema":"https://github.com/citation-style-language/schema/raw/master/csl-citation.json"} </w:instrText>
      </w:r>
      <w:r w:rsidR="006E44B9" w:rsidRPr="00833CE8">
        <w:rPr>
          <w:rFonts w:cs="Times New Roman"/>
          <w:szCs w:val="24"/>
        </w:rPr>
        <w:fldChar w:fldCharType="separate"/>
      </w:r>
      <w:r w:rsidR="006E44B9" w:rsidRPr="00833CE8">
        <w:rPr>
          <w:rFonts w:cs="Times New Roman"/>
        </w:rPr>
        <w:t>(Croft et al., 2005)</w:t>
      </w:r>
      <w:r w:rsidR="006E44B9" w:rsidRPr="00833CE8">
        <w:rPr>
          <w:rFonts w:cs="Times New Roman"/>
          <w:szCs w:val="24"/>
        </w:rPr>
        <w:fldChar w:fldCharType="end"/>
      </w:r>
      <w:r w:rsidR="006E44B9" w:rsidRPr="00833CE8">
        <w:rPr>
          <w:rFonts w:cs="Times New Roman"/>
          <w:szCs w:val="24"/>
        </w:rPr>
        <w:t>.  Nutrient exchange, especially nitrogen and carbon fixing as part of a direct exchange between a cyanobacterium (</w:t>
      </w:r>
      <w:r w:rsidR="006E44B9" w:rsidRPr="00833CE8">
        <w:rPr>
          <w:rFonts w:cs="Times New Roman"/>
          <w:i/>
          <w:iCs/>
          <w:szCs w:val="24"/>
        </w:rPr>
        <w:t xml:space="preserve">Candidatus </w:t>
      </w:r>
      <w:proofErr w:type="spellStart"/>
      <w:r w:rsidR="006E44B9" w:rsidRPr="00833CE8">
        <w:rPr>
          <w:rFonts w:cs="Times New Roman"/>
          <w:i/>
          <w:iCs/>
          <w:szCs w:val="24"/>
        </w:rPr>
        <w:t>Atelocyanobacterium</w:t>
      </w:r>
      <w:proofErr w:type="spellEnd"/>
      <w:r w:rsidR="006E44B9" w:rsidRPr="00833CE8">
        <w:rPr>
          <w:rFonts w:cs="Times New Roman"/>
          <w:i/>
          <w:iCs/>
          <w:szCs w:val="24"/>
        </w:rPr>
        <w:t xml:space="preserve"> </w:t>
      </w:r>
      <w:proofErr w:type="spellStart"/>
      <w:r w:rsidR="006E44B9" w:rsidRPr="00833CE8">
        <w:rPr>
          <w:rFonts w:cs="Times New Roman"/>
          <w:i/>
          <w:iCs/>
          <w:szCs w:val="24"/>
        </w:rPr>
        <w:t>thalassa</w:t>
      </w:r>
      <w:proofErr w:type="spellEnd"/>
      <w:r w:rsidR="006E44B9" w:rsidRPr="00833CE8">
        <w:rPr>
          <w:rFonts w:cs="Times New Roman"/>
          <w:szCs w:val="24"/>
        </w:rPr>
        <w:t xml:space="preserve">) and a single-celled </w:t>
      </w:r>
      <w:proofErr w:type="spellStart"/>
      <w:r w:rsidR="006E44B9" w:rsidRPr="00833CE8">
        <w:rPr>
          <w:rFonts w:cs="Times New Roman"/>
          <w:szCs w:val="24"/>
        </w:rPr>
        <w:t>prymnesiophyte</w:t>
      </w:r>
      <w:proofErr w:type="spellEnd"/>
      <w:r w:rsidR="006E44B9" w:rsidRPr="00833CE8">
        <w:rPr>
          <w:rFonts w:cs="Times New Roman"/>
          <w:szCs w:val="24"/>
        </w:rPr>
        <w:t xml:space="preserve"> alga was first described in 2012 </w:t>
      </w:r>
      <w:r w:rsidR="006E44B9" w:rsidRPr="00833CE8">
        <w:rPr>
          <w:rFonts w:cs="Times New Roman"/>
          <w:szCs w:val="24"/>
        </w:rPr>
        <w:fldChar w:fldCharType="begin"/>
      </w:r>
      <w:r w:rsidR="006E44B9" w:rsidRPr="00833CE8">
        <w:rPr>
          <w:rFonts w:cs="Times New Roman"/>
          <w:szCs w:val="24"/>
        </w:rPr>
        <w:instrText xml:space="preserve"> ADDIN ZOTERO_ITEM CSL_CITATION {"citationID":"xaty7ZRn","properties":{"formattedCitation":"(Thompson et al., 2012)","plainCitation":"(Thompson et al., 2012)","noteIndex":0},"citationItems":[{"id":9288,"uris":["http://zotero.org/users/764524/items/HB3L4QWP"],"itemData":{"id":9288,"type":"article-journal","abstract":"Symbioses between nitrogen (N)2–fixing prokaryotes and photosynthetic eukaryotes are important for nitrogen acquisition in N-limited environments. Recently, a widely distributed planktonic uncultured nitrogen-fixing cyanobacterium (UCYN-A) was found to have unprecedented genome reduction, including the lack of oxygen-evolving photosystem II and the tricarboxylic acid cycle, which suggested partnership in a symbiosis. We showed that UCYN-A has a symbiotic association with a unicellular prymnesiophyte, closely related to calcifying taxa present in the fossil record. The partnership is mutualistic, because the prymnesiophyte receives fixed N in exchange for transferring fixed carbon to UCYN-A. This unusual partnership between a cyanobacterium and a unicellular alga is a model for symbiosis and is analogous to plastid and organismal evolution, and if calcifying, may have important implications for past and present oceanic N2 fixation.","container-title":"Science","DOI":"10.1126/science.1222700","issue":"6101","note":"publisher: American Association for the Advancement of Science","page":"1546-1550","source":"science.org (Atypon)","title":"Unicellular Cyanobacterium Symbiotic with a Single-Celled Eukaryotic Alga","volume":"337","author":[{"family":"Thompson","given":"Anne W."},{"family":"Foster","given":"Rachel A."},{"family":"Krupke","given":"Andreas"},{"family":"Carter","given":"Brandon J."},{"family":"Musat","given":"Niculina"},{"family":"Vaulot","given":"Daniel"},{"family":"Kuypers","given":"Marcel M. M."},{"family":"Zehr","given":"Jonathan P."}],"issued":{"date-parts":[["2012",9,21]]}}}],"schema":"https://github.com/citation-style-language/schema/raw/master/csl-citation.json"} </w:instrText>
      </w:r>
      <w:r w:rsidR="006E44B9" w:rsidRPr="00833CE8">
        <w:rPr>
          <w:rFonts w:cs="Times New Roman"/>
          <w:szCs w:val="24"/>
        </w:rPr>
        <w:fldChar w:fldCharType="separate"/>
      </w:r>
      <w:r w:rsidR="006E44B9" w:rsidRPr="00833CE8">
        <w:rPr>
          <w:rFonts w:cs="Times New Roman"/>
        </w:rPr>
        <w:t>(Thompson et al., 2012)</w:t>
      </w:r>
      <w:r w:rsidR="006E44B9" w:rsidRPr="00833CE8">
        <w:rPr>
          <w:rFonts w:cs="Times New Roman"/>
          <w:szCs w:val="24"/>
        </w:rPr>
        <w:fldChar w:fldCharType="end"/>
      </w:r>
      <w:r w:rsidR="006E44B9" w:rsidRPr="00833CE8">
        <w:rPr>
          <w:rFonts w:cs="Times New Roman"/>
          <w:szCs w:val="24"/>
        </w:rPr>
        <w:t xml:space="preserve">.  </w:t>
      </w:r>
    </w:p>
    <w:p w14:paraId="53D61A11" w14:textId="1C6944D3" w:rsidR="00845CD4" w:rsidRDefault="00845CD4" w:rsidP="00CF193D">
      <w:pPr>
        <w:snapToGrid w:val="0"/>
        <w:spacing w:line="360" w:lineRule="auto"/>
        <w:ind w:firstLine="284"/>
        <w:jc w:val="both"/>
        <w:rPr>
          <w:rFonts w:cs="Times New Roman"/>
          <w:szCs w:val="24"/>
          <w:lang w:eastAsia="zh-CN"/>
        </w:rPr>
      </w:pPr>
      <w:r w:rsidRPr="00833CE8">
        <w:rPr>
          <w:rFonts w:cs="Times New Roman"/>
          <w:szCs w:val="24"/>
          <w:lang w:eastAsia="zh-CN"/>
        </w:rPr>
        <w:t xml:space="preserve">The aim of this review is to provide an overview of the known interactions between marine microalgae and their bacterial symbionts.  These interactions will be considered both from an evolutionary point of view as well as for their use in biotechnology.  Finally, the theory of synthetic </w:t>
      </w:r>
      <w:r w:rsidRPr="00833CE8">
        <w:rPr>
          <w:rFonts w:cs="Times New Roman"/>
          <w:szCs w:val="24"/>
          <w:lang w:eastAsia="zh-CN"/>
        </w:rPr>
        <w:lastRenderedPageBreak/>
        <w:t>ecology will be described for consortia of bacteria and microalgae that could generate new interactions between organisms or prevent unwanted interactions.  This approach also has the potential to expand the fundamental understanding of bacteria-microalgae relationships.</w:t>
      </w:r>
    </w:p>
    <w:p w14:paraId="7D6A0B6A" w14:textId="77777777" w:rsidR="00D01150" w:rsidRPr="004C26E3" w:rsidRDefault="00D01150" w:rsidP="00CF193D">
      <w:pPr>
        <w:snapToGrid w:val="0"/>
        <w:spacing w:line="360" w:lineRule="auto"/>
        <w:ind w:firstLine="284"/>
        <w:jc w:val="both"/>
        <w:rPr>
          <w:rFonts w:cs="Times New Roman"/>
          <w:szCs w:val="24"/>
          <w:lang w:eastAsia="zh-CN"/>
        </w:rPr>
      </w:pPr>
    </w:p>
    <w:p w14:paraId="6EE38229" w14:textId="06EB1323" w:rsidR="006C54B3" w:rsidRPr="004C26E3" w:rsidRDefault="00D73312" w:rsidP="00D73312">
      <w:pPr>
        <w:pStyle w:val="ListParagraph"/>
        <w:numPr>
          <w:ilvl w:val="0"/>
          <w:numId w:val="9"/>
        </w:numPr>
        <w:snapToGrid w:val="0"/>
        <w:spacing w:line="360" w:lineRule="auto"/>
        <w:jc w:val="both"/>
        <w:rPr>
          <w:rFonts w:cs="Times New Roman"/>
          <w:b/>
          <w:bCs/>
          <w:szCs w:val="24"/>
          <w:lang w:eastAsia="zh-CN"/>
        </w:rPr>
      </w:pPr>
      <w:r w:rsidRPr="004C26E3">
        <w:rPr>
          <w:rFonts w:cs="Times New Roman"/>
          <w:b/>
          <w:bCs/>
          <w:szCs w:val="24"/>
          <w:lang w:eastAsia="zh-CN"/>
        </w:rPr>
        <w:t xml:space="preserve">Microalgae-bacteria </w:t>
      </w:r>
      <w:r w:rsidR="006C54B3" w:rsidRPr="004C26E3">
        <w:rPr>
          <w:rFonts w:cs="Times New Roman"/>
          <w:b/>
          <w:bCs/>
          <w:szCs w:val="24"/>
          <w:lang w:eastAsia="zh-CN"/>
        </w:rPr>
        <w:t>Interactions</w:t>
      </w:r>
    </w:p>
    <w:p w14:paraId="398E8E48" w14:textId="76EADD39" w:rsidR="006515A0" w:rsidRPr="00833CE8" w:rsidRDefault="006C3A1E" w:rsidP="00F0247D">
      <w:pPr>
        <w:snapToGrid w:val="0"/>
        <w:spacing w:line="360" w:lineRule="auto"/>
        <w:ind w:firstLine="284"/>
        <w:jc w:val="both"/>
        <w:rPr>
          <w:rFonts w:cs="Times New Roman"/>
          <w:b/>
          <w:bCs/>
          <w:szCs w:val="24"/>
        </w:rPr>
      </w:pPr>
      <w:r w:rsidRPr="00833CE8">
        <w:rPr>
          <w:rFonts w:cs="Times New Roman"/>
          <w:szCs w:val="24"/>
          <w:lang w:eastAsia="zh-CN"/>
        </w:rPr>
        <w:t xml:space="preserve">Relationships between microbes </w:t>
      </w:r>
      <w:r w:rsidRPr="00996890">
        <w:rPr>
          <w:rFonts w:cs="Times New Roman"/>
          <w:szCs w:val="24"/>
          <w:lang w:eastAsia="zh-CN"/>
        </w:rPr>
        <w:t xml:space="preserve">are defined by ecological interactions, which </w:t>
      </w:r>
      <w:r w:rsidR="00EF6F35" w:rsidRPr="00996890">
        <w:rPr>
          <w:rFonts w:cs="Times New Roman"/>
          <w:szCs w:val="24"/>
          <w:lang w:eastAsia="zh-CN"/>
        </w:rPr>
        <w:t>can be</w:t>
      </w:r>
      <w:r w:rsidRPr="00996890">
        <w:rPr>
          <w:rFonts w:cs="Times New Roman"/>
          <w:szCs w:val="24"/>
          <w:lang w:eastAsia="zh-CN"/>
        </w:rPr>
        <w:t xml:space="preserve"> chemical </w:t>
      </w:r>
      <w:r w:rsidR="00EF6F35" w:rsidRPr="00996890">
        <w:rPr>
          <w:rFonts w:cs="Times New Roman"/>
          <w:szCs w:val="24"/>
          <w:lang w:eastAsia="zh-CN"/>
        </w:rPr>
        <w:t>or</w:t>
      </w:r>
      <w:r w:rsidRPr="00996890">
        <w:rPr>
          <w:rFonts w:cs="Times New Roman"/>
          <w:szCs w:val="24"/>
          <w:lang w:eastAsia="zh-CN"/>
        </w:rPr>
        <w:t xml:space="preserve"> physical </w:t>
      </w:r>
      <w:r w:rsidRPr="00996890">
        <w:rPr>
          <w:rFonts w:cs="Times New Roman"/>
          <w:szCs w:val="24"/>
          <w:lang w:eastAsia="zh-CN"/>
        </w:rPr>
        <w:fldChar w:fldCharType="begin"/>
      </w:r>
      <w:r w:rsidR="009F150C" w:rsidRPr="00996890">
        <w:rPr>
          <w:rFonts w:cs="Times New Roman"/>
          <w:szCs w:val="24"/>
          <w:lang w:eastAsia="zh-CN"/>
        </w:rPr>
        <w:instrText xml:space="preserve"> ADDIN ZOTERO_ITEM CSL_CITATION {"citationID":"GOXSIUAP","properties":{"formattedCitation":"(Meroz et al., 2024)","plainCitation":"(Meroz et al., 2024)","noteIndex":0},"citationItems":[{"id":4668,"uris":["http://zotero.org/users/764524/items/I99IQ3EG"],"itemData":{"id":4668,"type":"article-journal","abstract":"Microbial communities are fundamental to every ecosystem on Earth and hold great potential for biotechnological applications. However, their complex nature hampers our ability to study and understand them. A common strategy to tackle this complexity is to abstract the community into a network of interactions between its members — a phenomenological description that captures the overall effects of various chemical and physical mechanisms that underpin these relationships. This approach has proven useful for numerous applications in microbial ecology, including predicting community dynamics and stability and understanding community assembly and evolution. However, care is required in quantifying and interpreting interactions. Here, we clarify the concept of an interaction and discuss when interaction measurements are useful despite their context-dependent nature. Furthermore, we categorize different approaches for quantifying interactions, highlighting the research objectives each approach is best suited for.","container-title":"Current Opinion in Microbiology","DOI":"10.1016/j.mib.2024.102511","ISSN":"1369-5274","journalAbbreviation":"Curr. Opin. Microbiol.","page":"102511","source":"ScienceDirect","title":"Quantifying microbial interactions: concepts, caveats, and applications","title-short":"Quantifying microbial interactions","volume":"80","author":[{"family":"Meroz","given":"Nittay"},{"family":"Livny","given":"Tal"},{"family":"Friedman","given":"Jonathan"}],"issued":{"date-parts":[["2024",8,1]]}}}],"schema":"https://github.com/citation-style-language/schema/raw/master/csl-citation.json"} </w:instrText>
      </w:r>
      <w:r w:rsidRPr="00996890">
        <w:rPr>
          <w:rFonts w:cs="Times New Roman"/>
          <w:szCs w:val="24"/>
          <w:lang w:eastAsia="zh-CN"/>
        </w:rPr>
        <w:fldChar w:fldCharType="separate"/>
      </w:r>
      <w:r w:rsidR="009F150C" w:rsidRPr="00996890">
        <w:rPr>
          <w:rFonts w:cs="Times New Roman"/>
        </w:rPr>
        <w:t>(Meroz et al., 2024)</w:t>
      </w:r>
      <w:r w:rsidRPr="00996890">
        <w:rPr>
          <w:rFonts w:cs="Times New Roman"/>
          <w:szCs w:val="24"/>
          <w:lang w:eastAsia="zh-CN"/>
        </w:rPr>
        <w:fldChar w:fldCharType="end"/>
      </w:r>
      <w:r w:rsidRPr="00833CE8">
        <w:rPr>
          <w:rFonts w:cs="Times New Roman"/>
          <w:szCs w:val="24"/>
          <w:lang w:eastAsia="zh-CN"/>
        </w:rPr>
        <w:t xml:space="preserve">. </w:t>
      </w:r>
      <w:r w:rsidR="00C165E4">
        <w:rPr>
          <w:rFonts w:cs="Times New Roman"/>
          <w:szCs w:val="24"/>
          <w:lang w:eastAsia="zh-CN"/>
        </w:rPr>
        <w:t xml:space="preserve"> </w:t>
      </w:r>
      <w:proofErr w:type="spellStart"/>
      <w:r w:rsidR="00216876" w:rsidRPr="002F5421">
        <w:rPr>
          <w:rFonts w:cs="Times New Roman"/>
          <w:szCs w:val="24"/>
          <w:lang w:eastAsia="zh-CN"/>
        </w:rPr>
        <w:t>Exosymbiosis</w:t>
      </w:r>
      <w:proofErr w:type="spellEnd"/>
      <w:r w:rsidR="00216876" w:rsidRPr="002F5421">
        <w:rPr>
          <w:rFonts w:cs="Times New Roman"/>
          <w:szCs w:val="24"/>
          <w:lang w:eastAsia="zh-CN"/>
        </w:rPr>
        <w:t xml:space="preserve"> provides improved growth, leading to conserved relationships </w:t>
      </w:r>
      <w:r w:rsidR="00D622D8" w:rsidRPr="00833CE8">
        <w:rPr>
          <w:rFonts w:cs="Times New Roman"/>
          <w:b/>
          <w:bCs/>
          <w:szCs w:val="24"/>
          <w:lang w:eastAsia="zh-CN"/>
        </w:rPr>
        <w:fldChar w:fldCharType="begin"/>
      </w:r>
      <w:r w:rsidR="00D622D8" w:rsidRPr="00833CE8">
        <w:rPr>
          <w:rFonts w:cs="Times New Roman"/>
          <w:b/>
          <w:bCs/>
          <w:szCs w:val="24"/>
          <w:lang w:eastAsia="zh-CN"/>
        </w:rPr>
        <w:instrText xml:space="preserve"> ADDIN ZOTERO_ITEM CSL_CITATION {"citationID":"ycKw1lnX","properties":{"formattedCitation":"(Raina et al., 2018)","plainCitation":"(Raina et al., 2018)","noteIndex":0},"citationItems":[{"id":9351,"uris":["http://zotero.org/users/764524/items/FIAB8ENQ"],"itemData":{"id":9351,"type":"article-journal","abstract":"The concept of symbiosis – defined in 1879 by de Bary as ‘the living together of unlike organisms’ – has a rich and convoluted history in biology. In part, because it questioned the concept of the individual, symbiosis fell largely outside mainstream science and has traditionally received less attention than other research disciplines. This is gradually changing. In nature organisms do not live in isolation but rather interact with, and are impacted by, diverse beings throughout their life histories. Symbiosis is now recognized as a central driver of evolution across the entire tree of life, including, for example, bacterial endosymbionts that provide insects with vital nutrients and the mitochondria that power our own cells. Symbioses between microbes and their multicellular hosts also underpin the ecological success of some of the most productive ecosystems on the planet, including hydrothermal vents and coral reefs. In November 2017, scientists working in fields spanning the life sciences came together at a Company of Biologists’ workshop to discuss the origin, maintenance, and long-term implications of symbiosis from the complementary perspectives of cell biology, ecology, evolution and genomics, taking into account both model and non-model organisms. Here, we provide a brief synthesis of the fruitful discussions that transpired., Summary: At a recent Company of Biologists workshop, evolutionary biologists discussed the major outstanding questions in symbiosis research.","container-title":"Biology Open","DOI":"10.1242/bio.032524","ISSN":"2046-6390","issue":"2","journalAbbreviation":"Biol. Open","note":"PMID: 29472284\nPMCID: PMC5861367","page":"bio032524","source":"PubMed Central","title":"Symbiosis in the microbial world: from ecology to genome evolution","title-short":"Symbiosis in the microbial world","volume":"7","author":[{"family":"Raina","given":"Jean-Baptiste"},{"family":"Eme","given":"Laura"},{"family":"Pollock","given":"F. Joseph"},{"family":"Spang","given":"Anja"},{"family":"Archibald","given":"John M."},{"family":"Williams","given":"Tom A."}],"issued":{"date-parts":[["2018",2,15]]}}}],"schema":"https://github.com/citation-style-language/schema/raw/master/csl-citation.json"} </w:instrText>
      </w:r>
      <w:r w:rsidR="00D622D8" w:rsidRPr="00833CE8">
        <w:rPr>
          <w:rFonts w:cs="Times New Roman"/>
          <w:b/>
          <w:bCs/>
          <w:szCs w:val="24"/>
          <w:lang w:eastAsia="zh-CN"/>
        </w:rPr>
        <w:fldChar w:fldCharType="separate"/>
      </w:r>
      <w:r w:rsidR="00D622D8" w:rsidRPr="00833CE8">
        <w:rPr>
          <w:rFonts w:cs="Times New Roman"/>
        </w:rPr>
        <w:t>(Raina et al., 2018)</w:t>
      </w:r>
      <w:r w:rsidR="00D622D8" w:rsidRPr="00833CE8">
        <w:rPr>
          <w:rFonts w:cs="Times New Roman"/>
          <w:b/>
          <w:bCs/>
          <w:szCs w:val="24"/>
          <w:lang w:eastAsia="zh-CN"/>
        </w:rPr>
        <w:fldChar w:fldCharType="end"/>
      </w:r>
      <w:r w:rsidR="00216876" w:rsidRPr="00055665">
        <w:rPr>
          <w:rFonts w:cs="Times New Roman"/>
          <w:szCs w:val="24"/>
          <w:lang w:eastAsia="zh-CN"/>
        </w:rPr>
        <w:t>.</w:t>
      </w:r>
      <w:r w:rsidR="00055665">
        <w:rPr>
          <w:rFonts w:cs="Times New Roman"/>
          <w:szCs w:val="24"/>
          <w:lang w:eastAsia="zh-CN"/>
        </w:rPr>
        <w:t xml:space="preserve"> </w:t>
      </w:r>
      <w:r w:rsidR="00D622D8" w:rsidRPr="00055665">
        <w:rPr>
          <w:rFonts w:cs="Times New Roman"/>
          <w:szCs w:val="24"/>
          <w:lang w:eastAsia="zh-CN"/>
        </w:rPr>
        <w:t xml:space="preserve"> </w:t>
      </w:r>
      <w:r w:rsidR="00A9790E" w:rsidRPr="00833CE8">
        <w:rPr>
          <w:rFonts w:cs="Times New Roman"/>
          <w:szCs w:val="24"/>
        </w:rPr>
        <w:t xml:space="preserve">In marine environments, the bacterial </w:t>
      </w:r>
      <w:r w:rsidR="00EA37E0" w:rsidRPr="00833CE8">
        <w:rPr>
          <w:rFonts w:cs="Times New Roman"/>
          <w:szCs w:val="24"/>
        </w:rPr>
        <w:t>m</w:t>
      </w:r>
      <w:r w:rsidR="008A4632" w:rsidRPr="00833CE8">
        <w:rPr>
          <w:rFonts w:cs="Times New Roman"/>
          <w:szCs w:val="24"/>
        </w:rPr>
        <w:t>icrobiome</w:t>
      </w:r>
      <w:r w:rsidR="00EA37E0" w:rsidRPr="00833CE8">
        <w:rPr>
          <w:rFonts w:cs="Times New Roman"/>
          <w:szCs w:val="24"/>
        </w:rPr>
        <w:t xml:space="preserve"> regulates algal growth and changes to the microbiome are observed during algal blooms</w:t>
      </w:r>
      <w:r w:rsidR="007A7A9F" w:rsidRPr="00833CE8">
        <w:rPr>
          <w:rFonts w:cs="Times New Roman"/>
          <w:szCs w:val="24"/>
        </w:rPr>
        <w:t xml:space="preserve"> </w:t>
      </w:r>
      <w:r w:rsidR="008A4632" w:rsidRPr="00833CE8">
        <w:rPr>
          <w:rFonts w:cs="Times New Roman"/>
          <w:szCs w:val="24"/>
        </w:rPr>
        <w:fldChar w:fldCharType="begin"/>
      </w:r>
      <w:r w:rsidR="009F150C" w:rsidRPr="00833CE8">
        <w:rPr>
          <w:rFonts w:cs="Times New Roman"/>
          <w:szCs w:val="24"/>
        </w:rPr>
        <w:instrText xml:space="preserve"> ADDIN ZOTERO_ITEM CSL_CITATION {"citationID":"2rW9Anuk","properties":{"formattedCitation":"(Deng et al., 2022)","plainCitation":"(Deng et al., 2022)","noteIndex":0},"citationItems":[{"id":4449,"uris":["http://zotero.org/users/764524/items/L74G5PF8"],"itemData":{"id":4449,"type":"article-journal","abstract":"The annual patterns of plankton succession in the ocean determine ecological and biogeochemical cycles. The temporally fluctuating interplay between photosynthetic eukaryotes and the associated microbiota balances the composition of aquatic planktonic ecosystems. In addition to nutrients and abiotic factors, chemical signaling determines the outcome of interactions between phytoplankton and their associated microbiomes. Chemical mediators control essential processes, such as the development of key morphological, physiological, behavioral, and life-history traits during algal growth. These molecules thus impact species succession and community composition across time and space in processes that are highlighted in this review. We focus on spatial, seasonal, and physiological dynamics that occur during the early association of algae with bacteria, the exponential growth of a bloom, and its decline and recycling. We also discuss how patterns from field data and global surveys might be linked to the actions of metabolic markers in natural phytoplankton assemblages.","container-title":"Annual Review of Marine Science","DOI":"10.1146/annurev-marine-042021-012353","ISSN":"1941-1405, 1941-0611","issue":"Volume 14, 2022","journalAbbreviation":"Annu. Rev. Mar. Sci.","language":"en","note":"publisher: Annual Reviews","page":"239-260","source":"www.annualreviews.org","title":"Temporal and Spatial Signaling Mediating the Balance of the Plankton Microbiome","volume":"14","author":[{"family":"Deng","given":"Yun"},{"family":"Vallet","given":"Marine"},{"family":"Pohnert","given":"Georg"}],"issued":{"date-parts":[["2022",1,3]]}}}],"schema":"https://github.com/citation-style-language/schema/raw/master/csl-citation.json"} </w:instrText>
      </w:r>
      <w:r w:rsidR="008A4632" w:rsidRPr="00833CE8">
        <w:rPr>
          <w:rFonts w:cs="Times New Roman"/>
          <w:szCs w:val="24"/>
        </w:rPr>
        <w:fldChar w:fldCharType="separate"/>
      </w:r>
      <w:r w:rsidR="009F150C" w:rsidRPr="00833CE8">
        <w:rPr>
          <w:rFonts w:cs="Times New Roman"/>
        </w:rPr>
        <w:t>(Deng et al., 2022)</w:t>
      </w:r>
      <w:r w:rsidR="008A4632" w:rsidRPr="00833CE8">
        <w:rPr>
          <w:rFonts w:cs="Times New Roman"/>
          <w:szCs w:val="24"/>
        </w:rPr>
        <w:fldChar w:fldCharType="end"/>
      </w:r>
      <w:r w:rsidR="00EA37E0" w:rsidRPr="00833CE8">
        <w:rPr>
          <w:rFonts w:cs="Times New Roman"/>
          <w:szCs w:val="24"/>
        </w:rPr>
        <w:t>.</w:t>
      </w:r>
      <w:r w:rsidR="008A4632" w:rsidRPr="00833CE8">
        <w:rPr>
          <w:rFonts w:cs="Times New Roman"/>
          <w:szCs w:val="24"/>
        </w:rPr>
        <w:t xml:space="preserve">  </w:t>
      </w:r>
      <w:r w:rsidR="00EA37E0" w:rsidRPr="00833CE8">
        <w:rPr>
          <w:rFonts w:cs="Times New Roman"/>
          <w:szCs w:val="24"/>
        </w:rPr>
        <w:t xml:space="preserve">In an aquatic environment, these interactions are not constant, even between the same species of bacteria and microalgae, but </w:t>
      </w:r>
      <w:r w:rsidR="00EA37E0" w:rsidRPr="00996890">
        <w:rPr>
          <w:rFonts w:cs="Times New Roman"/>
          <w:szCs w:val="24"/>
        </w:rPr>
        <w:t xml:space="preserve">dynamic.  For example, pollutants not only affect the individual species, but can also disrupt exchange of key molecules between algae and bacteria </w:t>
      </w:r>
      <w:r w:rsidR="00EA37E0" w:rsidRPr="00996890">
        <w:rPr>
          <w:rFonts w:cs="Times New Roman"/>
          <w:szCs w:val="24"/>
        </w:rPr>
        <w:fldChar w:fldCharType="begin"/>
      </w:r>
      <w:r w:rsidR="005522CA" w:rsidRPr="00996890">
        <w:rPr>
          <w:rFonts w:cs="Times New Roman"/>
          <w:szCs w:val="24"/>
        </w:rPr>
        <w:instrText xml:space="preserve"> ADDIN ZOTERO_ITEM CSL_CITATION {"citationID":"kgN9GQIj","properties":{"formattedCitation":"(You et al., 2021)","plainCitation":"(You et al., 2021)","noteIndex":0},"citationItems":[{"id":4354,"uris":["http://zotero.org/users/764524/items/TX3BQFAT"],"itemData":{"id":4354,"type":"article-journal","abstract":"With increasing concerns on the ecological risks of pollutants, many efforts have been devoted to revealing the toxic effects of pollutants on algae or bacteria in their monocultures. However, how pollutants affect algae and bacteria in their cocultures is still elusive but crucial due to its more environmental relevance. The present review outlines the interactions between algae and bacteria, reveals the influential mechanisms of pollutants (including pesticides, metals, engineered nanomaterials, pharmaceutical and personal care products, and aromatic pollutants) to algae and bacteria in their coexisted systems, and puts forward prospects for further advancing toxic studies in algal-bacterial systems. Pollutants affect the physiological and ecological functions of bacteria and algae by interfering with their relationships. Cell-to-cell adhesion, substrate exchange and biodegradation of organic pollutants, enhancement of signal transduction, and horizontal transfer of tolerance genes are important defense strategies in algal-bacterial systems to cope with pollution stress. Developing suitable algal-bacterial models, identifying cross-kingdom signaling molecules, and deciphering the horizontal transfer of pollutant resistant genes between algae and bacteria under pollution stress are the way forward to fully exploit the risks of pollutants in natural aquatic environments.","container-title":"Environmental Pollution","DOI":"10.1016/j.envpol.2021.116723","ISSN":"0269-7491","journalAbbreviation":"Environ. Pollut.","page":"116723","source":"ScienceDirect","title":"Pollutants affect algae-bacteria interactions: A critical review","title-short":"Pollutants affect algae-bacteria interactions","volume":"276","author":[{"family":"You","given":"Xiuqi"},{"family":"Xu","given":"Nan"},{"family":"Yang","given":"Xi"},{"family":"Sun","given":"Weiling"}],"issued":{"date-parts":[["2021",5,1]]}}}],"schema":"https://github.com/citation-style-language/schema/raw/master/csl-citation.json"} </w:instrText>
      </w:r>
      <w:r w:rsidR="00EA37E0" w:rsidRPr="00996890">
        <w:rPr>
          <w:rFonts w:cs="Times New Roman"/>
          <w:szCs w:val="24"/>
        </w:rPr>
        <w:fldChar w:fldCharType="separate"/>
      </w:r>
      <w:r w:rsidR="009F150C" w:rsidRPr="00996890">
        <w:rPr>
          <w:rFonts w:cs="Times New Roman"/>
        </w:rPr>
        <w:t>(You et al., 2021)</w:t>
      </w:r>
      <w:r w:rsidR="00EA37E0" w:rsidRPr="00996890">
        <w:rPr>
          <w:rFonts w:cs="Times New Roman"/>
          <w:szCs w:val="24"/>
        </w:rPr>
        <w:fldChar w:fldCharType="end"/>
      </w:r>
      <w:r w:rsidR="00EA37E0" w:rsidRPr="00996890">
        <w:rPr>
          <w:rFonts w:cs="Times New Roman"/>
          <w:szCs w:val="24"/>
        </w:rPr>
        <w:t xml:space="preserve">.  One of these mechanisms is that bacteria </w:t>
      </w:r>
      <w:r w:rsidR="000C6B33" w:rsidRPr="00996890">
        <w:rPr>
          <w:rFonts w:cs="Times New Roman"/>
          <w:szCs w:val="24"/>
        </w:rPr>
        <w:t>provide nutrients for</w:t>
      </w:r>
      <w:r w:rsidR="00EA37E0" w:rsidRPr="00996890">
        <w:rPr>
          <w:rFonts w:cs="Times New Roman"/>
          <w:szCs w:val="24"/>
        </w:rPr>
        <w:t xml:space="preserve"> microalgae</w:t>
      </w:r>
      <w:r w:rsidR="001A2808" w:rsidRPr="00996890">
        <w:rPr>
          <w:rFonts w:cs="Times New Roman"/>
          <w:szCs w:val="24"/>
        </w:rPr>
        <w:t xml:space="preserve">.  </w:t>
      </w:r>
      <w:r w:rsidR="000C6B33" w:rsidRPr="00996890">
        <w:rPr>
          <w:rFonts w:cs="Times New Roman"/>
          <w:szCs w:val="24"/>
        </w:rPr>
        <w:t xml:space="preserve">These bacteria secrete a variety of molecules, including signalling </w:t>
      </w:r>
      <w:r w:rsidR="00425C5C" w:rsidRPr="00996890">
        <w:rPr>
          <w:rFonts w:cs="Times New Roman"/>
          <w:szCs w:val="24"/>
        </w:rPr>
        <w:t>compounds</w:t>
      </w:r>
      <w:r w:rsidR="000C6B33" w:rsidRPr="00996890">
        <w:rPr>
          <w:rFonts w:cs="Times New Roman"/>
          <w:szCs w:val="24"/>
        </w:rPr>
        <w:t xml:space="preserve"> and nutrients into the environment, resulting in a </w:t>
      </w:r>
      <w:r w:rsidR="008A4632" w:rsidRPr="00996890">
        <w:rPr>
          <w:rFonts w:cs="Times New Roman"/>
          <w:szCs w:val="24"/>
        </w:rPr>
        <w:t xml:space="preserve">microenvironment </w:t>
      </w:r>
      <w:r w:rsidR="000C6B33" w:rsidRPr="00996890">
        <w:rPr>
          <w:rFonts w:cs="Times New Roman"/>
          <w:szCs w:val="24"/>
        </w:rPr>
        <w:t xml:space="preserve">known as the </w:t>
      </w:r>
      <w:r w:rsidR="008A4632" w:rsidRPr="00996890">
        <w:rPr>
          <w:rFonts w:cs="Times New Roman"/>
          <w:szCs w:val="24"/>
        </w:rPr>
        <w:t>“</w:t>
      </w:r>
      <w:proofErr w:type="spellStart"/>
      <w:r w:rsidR="008A4632" w:rsidRPr="00996890">
        <w:rPr>
          <w:rFonts w:cs="Times New Roman"/>
          <w:szCs w:val="24"/>
        </w:rPr>
        <w:t>phycosphere</w:t>
      </w:r>
      <w:proofErr w:type="spellEnd"/>
      <w:r w:rsidR="008A4632" w:rsidRPr="00996890">
        <w:rPr>
          <w:rFonts w:cs="Times New Roman"/>
          <w:szCs w:val="24"/>
        </w:rPr>
        <w:t>”</w:t>
      </w:r>
      <w:r w:rsidR="000C6B33" w:rsidRPr="00996890">
        <w:rPr>
          <w:rFonts w:cs="Times New Roman"/>
          <w:szCs w:val="24"/>
        </w:rPr>
        <w:t xml:space="preserve">, which </w:t>
      </w:r>
      <w:r w:rsidR="008A4632" w:rsidRPr="00996890">
        <w:rPr>
          <w:rFonts w:cs="Times New Roman"/>
          <w:szCs w:val="24"/>
        </w:rPr>
        <w:t xml:space="preserve">has been studied for both aquatic </w:t>
      </w:r>
      <w:r w:rsidR="00AA050E" w:rsidRPr="00996890">
        <w:rPr>
          <w:rFonts w:cs="Times New Roman"/>
          <w:szCs w:val="24"/>
        </w:rPr>
        <w:t>ecosystems</w:t>
      </w:r>
      <w:r w:rsidR="008A4632" w:rsidRPr="00996890">
        <w:rPr>
          <w:rFonts w:cs="Times New Roman"/>
          <w:szCs w:val="24"/>
        </w:rPr>
        <w:t xml:space="preserve"> as well</w:t>
      </w:r>
      <w:r w:rsidR="008A4632" w:rsidRPr="00833CE8">
        <w:rPr>
          <w:rFonts w:cs="Times New Roman"/>
          <w:szCs w:val="24"/>
        </w:rPr>
        <w:t xml:space="preserve"> as in photobioreactors</w:t>
      </w:r>
      <w:r w:rsidR="000C6B33" w:rsidRPr="00833CE8">
        <w:rPr>
          <w:rFonts w:cs="Times New Roman"/>
          <w:szCs w:val="24"/>
        </w:rPr>
        <w:t xml:space="preserve"> </w:t>
      </w:r>
      <w:r w:rsidR="008A4632" w:rsidRPr="00833CE8">
        <w:rPr>
          <w:rFonts w:cs="Times New Roman"/>
          <w:szCs w:val="24"/>
        </w:rPr>
        <w:fldChar w:fldCharType="begin"/>
      </w:r>
      <w:r w:rsidR="009F150C" w:rsidRPr="00833CE8">
        <w:rPr>
          <w:rFonts w:cs="Times New Roman"/>
          <w:szCs w:val="24"/>
        </w:rPr>
        <w:instrText xml:space="preserve"> ADDIN ZOTERO_ITEM CSL_CITATION {"citationID":"Rj8xsXOs","properties":{"formattedCitation":"(Mugnai et al., 2023)","plainCitation":"(Mugnai et al., 2023)","noteIndex":0},"citationItems":[{"id":4451,"uris":["http://zotero.org/users/764524/items/CXCZBHWY"],"itemData":{"id":4451,"type":"article-journal","abstract":"Microalgae in the wild often form consortia with other species promoting their own health and resource foraging opportunities. The recent application of microalgae cultivation and deployment in commercial photobioreactors (PBR) so far has focussed on single species of algae, resulting in multi-species consortia being largely unexplored. Reviewing the current status of PBR ecological habitat, this article argues in favor of further investigation into algal communication with conspecifics and interspecifics, including other strains of microalgae and bacteria. These mutualistic species form the ‘phycosphere’: the microenvironment surrounding microalgal cells, potentiating the production of certain metabolites through biochemical interaction with cohabitating microorganisms. A better understanding of the phycosphere could lead to novel PBR configurations, capable of incorporating algal-microbial consortia, potentially proving more effective than single-species algal systems.","container-title":"Plant Signaling &amp; Behavior","DOI":"10.1080/15592324.2022.2148371","ISSN":"null","issue":"1","journalAbbreviation":"Plant Signal. Behav.","note":"publisher: Taylor &amp; Francis\n_eprint: https://doi.org/10.1080/15592324.2022.2148371\nPMID: 36934349","page":"2148371","source":"Taylor and Francis+NEJM","title":"Algae communication, conspecific and interspecific: the concepts of phycosphere and algal-bacteria consortia in a photobioreactor (PBR)","title-short":"Algae communication, conspecific and interspecific","volume":"18","author":[{"family":"Mugnai","given":"Sergio"},{"family":"Derossi","given":"Natalia"},{"family":"Hendlin","given":"Yogi"}],"issued":{"date-parts":[["2023",12,31]]}}}],"schema":"https://github.com/citation-style-language/schema/raw/master/csl-citation.json"} </w:instrText>
      </w:r>
      <w:r w:rsidR="008A4632" w:rsidRPr="00833CE8">
        <w:rPr>
          <w:rFonts w:cs="Times New Roman"/>
          <w:szCs w:val="24"/>
        </w:rPr>
        <w:fldChar w:fldCharType="separate"/>
      </w:r>
      <w:r w:rsidR="009F150C" w:rsidRPr="00833CE8">
        <w:rPr>
          <w:rFonts w:cs="Times New Roman"/>
        </w:rPr>
        <w:t>(Mugnai et al., 2023)</w:t>
      </w:r>
      <w:r w:rsidR="008A4632" w:rsidRPr="00833CE8">
        <w:rPr>
          <w:rFonts w:cs="Times New Roman"/>
          <w:szCs w:val="24"/>
        </w:rPr>
        <w:fldChar w:fldCharType="end"/>
      </w:r>
      <w:r w:rsidR="000C6B33" w:rsidRPr="00833CE8">
        <w:rPr>
          <w:rFonts w:cs="Times New Roman"/>
          <w:szCs w:val="24"/>
        </w:rPr>
        <w:t xml:space="preserve">.  </w:t>
      </w:r>
    </w:p>
    <w:p w14:paraId="3EEA2D2B" w14:textId="5CD5A9CA" w:rsidR="001F2EA4" w:rsidRPr="0023734A" w:rsidRDefault="00E92654" w:rsidP="0023734A">
      <w:pPr>
        <w:snapToGrid w:val="0"/>
        <w:spacing w:line="360" w:lineRule="auto"/>
        <w:ind w:firstLine="284"/>
        <w:jc w:val="both"/>
        <w:rPr>
          <w:rFonts w:cs="Times New Roman"/>
          <w:b/>
          <w:bCs/>
          <w:szCs w:val="24"/>
        </w:rPr>
      </w:pPr>
      <w:r w:rsidRPr="00833CE8">
        <w:rPr>
          <w:rFonts w:cs="Times New Roman"/>
          <w:szCs w:val="24"/>
        </w:rPr>
        <w:t xml:space="preserve">The </w:t>
      </w:r>
      <w:proofErr w:type="spellStart"/>
      <w:r w:rsidRPr="00833CE8">
        <w:rPr>
          <w:rFonts w:cs="Times New Roman"/>
          <w:szCs w:val="24"/>
        </w:rPr>
        <w:t>phycosphere</w:t>
      </w:r>
      <w:proofErr w:type="spellEnd"/>
      <w:r w:rsidRPr="00833CE8">
        <w:rPr>
          <w:rFonts w:cs="Times New Roman"/>
          <w:szCs w:val="24"/>
        </w:rPr>
        <w:t xml:space="preserve"> provides numerous a</w:t>
      </w:r>
      <w:r w:rsidR="001F2EA4" w:rsidRPr="00833CE8">
        <w:rPr>
          <w:rFonts w:cs="Times New Roman"/>
          <w:szCs w:val="24"/>
        </w:rPr>
        <w:t xml:space="preserve">dvantages </w:t>
      </w:r>
      <w:r w:rsidRPr="00833CE8">
        <w:rPr>
          <w:rFonts w:cs="Times New Roman"/>
          <w:szCs w:val="24"/>
        </w:rPr>
        <w:t>for microalgae.</w:t>
      </w:r>
      <w:r w:rsidR="0066208E" w:rsidRPr="00833CE8">
        <w:rPr>
          <w:rFonts w:cs="Times New Roman"/>
          <w:szCs w:val="24"/>
        </w:rPr>
        <w:t xml:space="preserve"> </w:t>
      </w:r>
      <w:r w:rsidR="001F2EA4" w:rsidRPr="00833CE8">
        <w:rPr>
          <w:rFonts w:cs="Times New Roman"/>
          <w:szCs w:val="24"/>
        </w:rPr>
        <w:t xml:space="preserve"> </w:t>
      </w:r>
      <w:bookmarkStart w:id="5" w:name="_Hlk191372347"/>
      <w:r w:rsidR="001F2EA4" w:rsidRPr="00CF193D">
        <w:rPr>
          <w:rFonts w:cs="Times New Roman"/>
          <w:color w:val="FF0000"/>
          <w:szCs w:val="24"/>
        </w:rPr>
        <w:t>Mutualistic relationships offer protection from predators</w:t>
      </w:r>
      <w:r w:rsidR="00C97FA5" w:rsidRPr="00CF193D">
        <w:rPr>
          <w:rFonts w:cs="Times New Roman"/>
          <w:color w:val="FF0000"/>
          <w:szCs w:val="24"/>
        </w:rPr>
        <w:t xml:space="preserve"> or</w:t>
      </w:r>
      <w:r w:rsidR="00845CD4" w:rsidRPr="00CF193D">
        <w:rPr>
          <w:rFonts w:cs="Times New Roman"/>
          <w:color w:val="FF0000"/>
          <w:szCs w:val="24"/>
        </w:rPr>
        <w:t xml:space="preserve"> </w:t>
      </w:r>
      <w:r w:rsidR="00CA23D8" w:rsidRPr="00CF193D">
        <w:rPr>
          <w:rFonts w:cs="Times New Roman"/>
          <w:color w:val="FF0000"/>
          <w:szCs w:val="24"/>
        </w:rPr>
        <w:t>invasion by competitors a</w:t>
      </w:r>
      <w:r w:rsidR="00C97FA5" w:rsidRPr="00CF193D">
        <w:rPr>
          <w:rFonts w:cs="Times New Roman"/>
          <w:color w:val="FF0000"/>
          <w:szCs w:val="24"/>
        </w:rPr>
        <w:t xml:space="preserve">s well as </w:t>
      </w:r>
      <w:r w:rsidR="001F2EA4" w:rsidRPr="00CF193D">
        <w:rPr>
          <w:rFonts w:cs="Times New Roman"/>
          <w:color w:val="FF0000"/>
          <w:szCs w:val="24"/>
        </w:rPr>
        <w:t>enhanced growth rates</w:t>
      </w:r>
      <w:r w:rsidR="0023734A" w:rsidRPr="00CF193D">
        <w:rPr>
          <w:rFonts w:cs="Times New Roman"/>
          <w:color w:val="FF0000"/>
          <w:szCs w:val="24"/>
        </w:rPr>
        <w:t xml:space="preserve"> </w:t>
      </w:r>
      <w:r w:rsidR="006F5C61" w:rsidRPr="00833CE8">
        <w:rPr>
          <w:rFonts w:cs="Times New Roman"/>
          <w:szCs w:val="24"/>
        </w:rPr>
        <w:fldChar w:fldCharType="begin"/>
      </w:r>
      <w:r w:rsidR="00742839">
        <w:rPr>
          <w:rFonts w:cs="Times New Roman"/>
          <w:szCs w:val="24"/>
        </w:rPr>
        <w:instrText xml:space="preserve"> ADDIN ZOTERO_ITEM CSL_CITATION {"citationID":"BZWMRItM","properties":{"formattedCitation":"(Hoeger et al., 2022)","plainCitation":"(Hoeger et al., 2022)","noteIndex":0},"citationItems":[{"id":4555,"uris":["http://zotero.org/users/764524/items/SWUEVMXJ"],"itemData":{"id":4555,"type":"article-journal","abstract":"The interactions of microalgae and their associated microbiomes have come to the fore of applied phycological research in recent years. However, the functional mechanisms of microalgal interactions remain largely unknown. Here, we examine functional protein patterns of the microalgae Scenedesmus vacuolatus and its associated bacterial community during algal infection by the endoparasite Amoeboaphelidium protococcarum. We performed metaproteomics analyses of non-infected (NI) and aphelid-infected (AI) S. vacuolatus cultures to investigate underlying functional and physiological changes under infectious conditions. We observed an increase in bacterial protein abundance as well as a severe shift of bacterial functional patterns throughout aphelid-infection in comparison to NI treatment. Most of the bacterial proteins (about 55%) upregulated in AI were linked to metabolism and transport of amino acids, lipids, coenzymes, nucleotides and carbohydrates and to energy production. Several proteins associated with pathogenic bacterial-plant interactions showed higher protein abundance levels in AI treatment. These functional shifts indicate that associated bacteria involved in commensalistic or mutualistic interactions in NI switch to opportunistic lifestyles and facilitate pathogenic or saprotrophic traits in AI treatment. In summary, the native bacterial microbiome adapted its metabolism to algal host die off and is able to metabolize nutrients from injured cells or decompose dead cellular material.","container-title":"Scientific Reports","DOI":"10.1038/s41598-022-17114-1","ISSN":"2045-2322","issue":"1","journalAbbreviation":"Sci. Rep.","language":"en","license":"2022 The Author(s)","note":"publisher: Nature Publishing Group","page":"13187","source":"www.nature.com","title":"Associated bacterial microbiome responds opportunistic once algal host &lt;i&gt;Scenedesmus vacuolatus&lt;/i&gt; is attacked by endoparasite &lt;i&gt;Amoeboaphelidium protococcarum&lt;/i&gt;","volume":"12","author":[{"family":"Hoeger","given":"Anna-Lena"},{"family":"Jehmlich","given":"Nico"},{"family":"Kipping","given":"Lydia"},{"family":"Griehl","given":"Carola"},{"family":"Noll","given":"Matthias"}],"issued":{"date-parts":[["2022",8,1]]}}}],"schema":"https://github.com/citation-style-language/schema/raw/master/csl-citation.json"} </w:instrText>
      </w:r>
      <w:r w:rsidR="006F5C61" w:rsidRPr="00833CE8">
        <w:rPr>
          <w:rFonts w:cs="Times New Roman"/>
          <w:szCs w:val="24"/>
        </w:rPr>
        <w:fldChar w:fldCharType="separate"/>
      </w:r>
      <w:r w:rsidR="006F5C61" w:rsidRPr="00833CE8">
        <w:rPr>
          <w:rFonts w:cs="Times New Roman"/>
        </w:rPr>
        <w:t>(Hoeger et al., 2022)</w:t>
      </w:r>
      <w:r w:rsidR="006F5C61" w:rsidRPr="00833CE8">
        <w:rPr>
          <w:rFonts w:cs="Times New Roman"/>
          <w:szCs w:val="24"/>
        </w:rPr>
        <w:fldChar w:fldCharType="end"/>
      </w:r>
      <w:r w:rsidR="001F2EA4" w:rsidRPr="00EE1F27">
        <w:rPr>
          <w:rFonts w:cs="Times New Roman"/>
          <w:color w:val="FF0000"/>
          <w:szCs w:val="24"/>
        </w:rPr>
        <w:t>.</w:t>
      </w:r>
      <w:r w:rsidR="00EE1F27" w:rsidRPr="00EE1F27">
        <w:rPr>
          <w:rFonts w:cs="Times New Roman"/>
          <w:color w:val="FF0000"/>
          <w:szCs w:val="24"/>
        </w:rPr>
        <w:t xml:space="preserve">  </w:t>
      </w:r>
      <w:r w:rsidR="00EE1F27">
        <w:rPr>
          <w:rFonts w:cs="Times New Roman"/>
          <w:color w:val="FF0000"/>
          <w:szCs w:val="24"/>
        </w:rPr>
        <w:t xml:space="preserve">For example, antibacterial compounds such </w:t>
      </w:r>
      <w:r w:rsidR="00EE1F27" w:rsidRPr="00103B83">
        <w:rPr>
          <w:rFonts w:cs="Times New Roman"/>
          <w:color w:val="FF0000"/>
          <w:szCs w:val="24"/>
        </w:rPr>
        <w:t xml:space="preserve">as </w:t>
      </w:r>
      <w:proofErr w:type="spellStart"/>
      <w:r w:rsidR="00103B83" w:rsidRPr="00103B83">
        <w:rPr>
          <w:rFonts w:cs="Times New Roman"/>
          <w:color w:val="FF0000"/>
          <w:szCs w:val="24"/>
        </w:rPr>
        <w:t>tropodithietic</w:t>
      </w:r>
      <w:proofErr w:type="spellEnd"/>
      <w:r w:rsidR="00103B83" w:rsidRPr="00103B83">
        <w:rPr>
          <w:rFonts w:cs="Times New Roman"/>
          <w:color w:val="FF0000"/>
          <w:szCs w:val="24"/>
        </w:rPr>
        <w:t xml:space="preserve"> acid (TDA) </w:t>
      </w:r>
      <w:r w:rsidR="00CA23D8">
        <w:rPr>
          <w:rFonts w:cs="Times New Roman"/>
          <w:color w:val="FF0000"/>
          <w:szCs w:val="24"/>
        </w:rPr>
        <w:t>can protect against predators</w:t>
      </w:r>
      <w:bookmarkStart w:id="6" w:name="_Hlk191369212"/>
      <w:r w:rsidR="002F6887">
        <w:rPr>
          <w:rFonts w:cs="Times New Roman"/>
          <w:color w:val="FF0000"/>
          <w:szCs w:val="24"/>
        </w:rPr>
        <w:t xml:space="preserve"> </w:t>
      </w:r>
      <w:r w:rsidR="002F6887">
        <w:rPr>
          <w:rFonts w:cs="Times New Roman"/>
          <w:color w:val="FF0000"/>
          <w:szCs w:val="24"/>
        </w:rPr>
        <w:fldChar w:fldCharType="begin"/>
      </w:r>
      <w:r w:rsidR="002F6887">
        <w:rPr>
          <w:rFonts w:cs="Times New Roman"/>
          <w:color w:val="FF0000"/>
          <w:szCs w:val="24"/>
        </w:rPr>
        <w:instrText xml:space="preserve"> ADDIN ZOTERO_ITEM CSL_CITATION {"citationID":"cdLHJPSg","properties":{"formattedCitation":"(Lian et al., 2018)","plainCitation":"(Lian et al., 2018)","noteIndex":0},"citationItems":[{"id":9668,"uris":["http://zotero.org/users/764524/items/BAM3LVK9"],"itemData":{"id":9668,"type":"article-journal","abstract":"Microbes are ubiquitously distributed, and they are also present in algae production systems. The algal microbiome is a pivotal part of the alga holobiont and has a key role in modulating algal populations in nature. However, there is a lack of knowledge on the role of bacteria in artificial systems ranging from laboratory flasks to industrial ponds. Coexisting microorganisms, and predominantly bacteria, are often regarded as contaminants in algal research, but recent studies manifested that many algal symbionts not only promote algal growth but also offer advantages in downstream processing. Because of the high expectations for microalgae in a bio-based economy, better understanding of benefits and risks of algal–microbial associations is important for the algae industry. Reducing production cost may be through applying specific bacteria to enhance algae growth at large scale as well as through preventing the growth of a broad spectrum of algal pathogens. In this review, we highlight the latest studies of algae–microbial interactions and their underlying mechanisms, discuss advantages of large-scale algal–bacterial cocultivation and extend such knowledge to a broad range of biotechnological applications.","container-title":"Microbial Biotechnology","DOI":"10.1111/1751-7915.13296","ISSN":"1751-7915","issue":"5","language":"en","license":"© 2018 The Authors. Microbial Biotechnology published by John Wiley &amp; Sons Ltd and Society for Applied Microbiology.","note":"_eprint: https://onlinelibrary.wiley.com/doi/pdf/10.1111/1751-7915.13296","page":"806-818","source":"Wiley Online Library","title":"The effect of the algal microbiome on industrial production of microalgae","volume":"11","author":[{"family":"Lian","given":"Jie"},{"family":"Wijffels","given":"Rene H."},{"family":"Smidt","given":"Hauke"},{"family":"Sipkema","given":"Detmer"}],"issued":{"date-parts":[["2018"]]}}}],"schema":"https://github.com/citation-style-language/schema/raw/master/csl-citation.json"} </w:instrText>
      </w:r>
      <w:r w:rsidR="002F6887">
        <w:rPr>
          <w:rFonts w:cs="Times New Roman"/>
          <w:color w:val="FF0000"/>
          <w:szCs w:val="24"/>
        </w:rPr>
        <w:fldChar w:fldCharType="separate"/>
      </w:r>
      <w:r w:rsidR="002F6887" w:rsidRPr="002F6887">
        <w:rPr>
          <w:rFonts w:cs="Times New Roman"/>
        </w:rPr>
        <w:t>(Lian et al., 2018)</w:t>
      </w:r>
      <w:r w:rsidR="002F6887">
        <w:rPr>
          <w:rFonts w:cs="Times New Roman"/>
          <w:color w:val="FF0000"/>
          <w:szCs w:val="24"/>
        </w:rPr>
        <w:fldChar w:fldCharType="end"/>
      </w:r>
      <w:r w:rsidR="00CA23D8">
        <w:rPr>
          <w:rFonts w:cs="Times New Roman"/>
          <w:color w:val="FF0000"/>
          <w:szCs w:val="24"/>
        </w:rPr>
        <w:t>, while</w:t>
      </w:r>
      <w:r w:rsidR="00CA23D8" w:rsidRPr="00CA23D8">
        <w:rPr>
          <w:rFonts w:cs="Times New Roman"/>
          <w:color w:val="FF0000"/>
          <w:szCs w:val="24"/>
        </w:rPr>
        <w:t xml:space="preserve"> heterotrophic bacteria in the </w:t>
      </w:r>
      <w:proofErr w:type="spellStart"/>
      <w:r w:rsidR="00CA23D8" w:rsidRPr="00CA23D8">
        <w:rPr>
          <w:rFonts w:cs="Times New Roman"/>
          <w:color w:val="FF0000"/>
          <w:szCs w:val="24"/>
        </w:rPr>
        <w:t>phycosphere</w:t>
      </w:r>
      <w:proofErr w:type="spellEnd"/>
      <w:r w:rsidR="00CA23D8" w:rsidRPr="00CA23D8">
        <w:rPr>
          <w:rFonts w:cs="Times New Roman"/>
          <w:color w:val="FF0000"/>
          <w:szCs w:val="24"/>
        </w:rPr>
        <w:t xml:space="preserve"> of </w:t>
      </w:r>
      <w:r w:rsidR="00CA23D8">
        <w:rPr>
          <w:rFonts w:cs="Times New Roman"/>
          <w:i/>
          <w:iCs/>
          <w:color w:val="FF0000"/>
          <w:szCs w:val="24"/>
        </w:rPr>
        <w:t>Chlorella</w:t>
      </w:r>
      <w:r w:rsidR="00CA23D8" w:rsidRPr="00CA23D8">
        <w:rPr>
          <w:i/>
          <w:iCs/>
        </w:rPr>
        <w:t xml:space="preserve"> </w:t>
      </w:r>
      <w:proofErr w:type="spellStart"/>
      <w:r w:rsidR="00CA23D8" w:rsidRPr="00CA23D8">
        <w:rPr>
          <w:rFonts w:cs="Times New Roman"/>
          <w:i/>
          <w:iCs/>
          <w:color w:val="FF0000"/>
          <w:szCs w:val="24"/>
        </w:rPr>
        <w:t>sorokiniana</w:t>
      </w:r>
      <w:proofErr w:type="spellEnd"/>
      <w:r w:rsidR="00CA23D8" w:rsidRPr="00CA23D8">
        <w:rPr>
          <w:rFonts w:cs="Times New Roman"/>
          <w:i/>
          <w:iCs/>
          <w:color w:val="FF0000"/>
          <w:szCs w:val="24"/>
        </w:rPr>
        <w:t xml:space="preserve"> </w:t>
      </w:r>
      <w:r w:rsidR="00CA23D8" w:rsidRPr="00CA23D8">
        <w:rPr>
          <w:rFonts w:cs="Times New Roman"/>
          <w:color w:val="FF0000"/>
          <w:szCs w:val="24"/>
        </w:rPr>
        <w:t>have been shown</w:t>
      </w:r>
      <w:r w:rsidR="00CA23D8" w:rsidRPr="00CA23D8">
        <w:rPr>
          <w:rFonts w:cs="Times New Roman"/>
          <w:i/>
          <w:iCs/>
          <w:color w:val="FF0000"/>
          <w:szCs w:val="24"/>
        </w:rPr>
        <w:t xml:space="preserve"> </w:t>
      </w:r>
      <w:r w:rsidR="00CA23D8" w:rsidRPr="00CA23D8">
        <w:rPr>
          <w:rFonts w:cs="Times New Roman"/>
          <w:color w:val="FF0000"/>
          <w:szCs w:val="24"/>
        </w:rPr>
        <w:t xml:space="preserve">to increase its resistance </w:t>
      </w:r>
      <w:r w:rsidR="00CA23D8">
        <w:rPr>
          <w:rFonts w:cs="Times New Roman"/>
          <w:color w:val="FF0000"/>
          <w:szCs w:val="24"/>
        </w:rPr>
        <w:t xml:space="preserve">to invasion by </w:t>
      </w:r>
      <w:r w:rsidR="00077DB3">
        <w:rPr>
          <w:rFonts w:cs="Times New Roman"/>
          <w:color w:val="FF0000"/>
          <w:szCs w:val="24"/>
        </w:rPr>
        <w:t>the cyanobacteria</w:t>
      </w:r>
      <w:r w:rsidR="001F2EA4" w:rsidRPr="00CA23D8">
        <w:rPr>
          <w:rFonts w:cs="Times New Roman"/>
          <w:color w:val="FF0000"/>
          <w:szCs w:val="24"/>
        </w:rPr>
        <w:t xml:space="preserve"> </w:t>
      </w:r>
      <w:bookmarkStart w:id="7" w:name="_Hlk191369117"/>
      <w:r w:rsidR="00077DB3" w:rsidRPr="00077DB3">
        <w:rPr>
          <w:rFonts w:cs="Times New Roman"/>
          <w:i/>
          <w:iCs/>
          <w:color w:val="FF0000"/>
          <w:szCs w:val="24"/>
        </w:rPr>
        <w:t xml:space="preserve">Microcystis aeruginosa </w:t>
      </w:r>
      <w:r w:rsidR="00CA23D8">
        <w:rPr>
          <w:rFonts w:cs="Times New Roman"/>
          <w:color w:val="FF0000"/>
          <w:szCs w:val="24"/>
        </w:rPr>
        <w:fldChar w:fldCharType="begin"/>
      </w:r>
      <w:r w:rsidR="00CA23D8">
        <w:rPr>
          <w:rFonts w:cs="Times New Roman"/>
          <w:color w:val="FF0000"/>
          <w:szCs w:val="24"/>
        </w:rPr>
        <w:instrText xml:space="preserve"> ADDIN ZOTERO_ITEM CSL_CITATION {"citationID":"jJtyOnoz","properties":{"formattedCitation":"(Schmidt et al., 2020)","plainCitation":"(Schmidt et al., 2020)","noteIndex":0},"citationItems":[{"id":9666,"uris":["http://zotero.org/users/764524/items/HFW9GNJB"],"itemData":{"id":9666,"type":"article-journal","abstract":"Cyanobacterial harmful algal blooms (cyanoHABs) continue to increase in frequency and magnitude, threatening global freshwater ecosystems and services. In north-temperate lakes cyanobacteria appear in early summer, succeeding green algae as the dominant phytoplankton group, a pattern thought to be mediated by changes in temperature and bioavailable nutrients. To understand additional drivers of this successional pattern our study used reciprocal invasion experiments to examine the competitive interaction between Microcystis aeruginosa, a dominant contributor to cyanoHABs, and the green alga Chlorella sorokiniana. We considered two factors that may impact these interactions: (1) strain variation, with a specific emphasis on the presence or absence of the gene for the hepatotoxin microcystin, and (2) host-associated bacteria. We used toxic M. aeruginosa PCC 7806 (microcystin producing strain), a non-toxic mutant of PCC 7806, non-toxic M. aeruginosa PCC 9701 (non-microcystin producing strain), and C. sorokiniana. Each organism was available free of all bacteria (i.e., axenic) and with a re-introduced defined bacterial community to generate their xenic counterparts. Competitive interactions were assessed with reciprocal invasion experiments between paired xenic and paired axenic populations of C. sorokiniana and one of the two Microcystis strains, each assessed separately. Flow cytometry and random forest models were used to rapidly discriminate and quantify phytoplankton population densities with 99% accuracy. We found that M. aeruginosa PCC 7806, but not strain PCC 9701, could proliferate from low abundance in a steady-state population of C. sorokiniana. Further, the presence of bacteria allowed M. aeruginosa PCC 7806 to grow to a higher population density into an established C. sorokiniana population than when grown axenic. Conversely, when M. aeruginosa was dominant, C. sorokiniana was only able to proliferate from low density into the PCC 9701 strain, and only when axenic. The mutant of PCC 7806 lacking the ability to produce microcystin behaved similarly to the toxic wild-type, implying microcystin is not responsible for the difference in competitive abilities observed between the two wild-type strains. Quantification of microcystins (MCs) when PCC 7806 M. aeruginosa was introduced into the C. sorokiniana culture showed two-fold more MCs per cell when host-associated bacteria were absent compared to present in both species cultures. Our results show that the ability of M. aeruginosa to compete with C. sorokiniana is determined by genomic differences beyond genes involved in microcystin toxin generation and indicate an important role of host-associated bacteria in mediating phytoplankton interspecies interactions. These results expand our understanding of the key drivers of phytoplankton succession and the establishment and persistence of freshwater harmful cyanobacterial blooms.","container-title":"Harmful Algae","DOI":"10.1016/j.hal.2020.101939","ISSN":"1568-9883","journalAbbreviation":"Harmful Algae","page":"101939","source":"ScienceDirect","title":"Genotype and host microbiome alter competitive interactions between &lt;i&gt;Microcystis aeruginosa&lt;/i&gt; and &lt;i&gt;Chlorella sorokiniana&lt;/i&gt;","volume":"99","author":[{"family":"Schmidt","given":"Kathryn C."},{"family":"Jackrel","given":"Sara L."},{"family":"Smith","given":"Derek J."},{"family":"Dick","given":"Gregory J."},{"family":"Denef","given":"Vincent J."}],"issued":{"date-parts":[["2020",11,1]]}}}],"schema":"https://github.com/citation-style-language/schema/raw/master/csl-citation.json"} </w:instrText>
      </w:r>
      <w:r w:rsidR="00CA23D8">
        <w:rPr>
          <w:rFonts w:cs="Times New Roman"/>
          <w:color w:val="FF0000"/>
          <w:szCs w:val="24"/>
        </w:rPr>
        <w:fldChar w:fldCharType="separate"/>
      </w:r>
      <w:r w:rsidR="00CA23D8" w:rsidRPr="00CA23D8">
        <w:rPr>
          <w:rFonts w:cs="Times New Roman"/>
        </w:rPr>
        <w:t>(Schmidt et al., 2020)</w:t>
      </w:r>
      <w:r w:rsidR="00CA23D8">
        <w:rPr>
          <w:rFonts w:cs="Times New Roman"/>
          <w:color w:val="FF0000"/>
          <w:szCs w:val="24"/>
        </w:rPr>
        <w:fldChar w:fldCharType="end"/>
      </w:r>
      <w:r w:rsidR="00CA23D8">
        <w:rPr>
          <w:rFonts w:cs="Times New Roman"/>
          <w:color w:val="FF0000"/>
          <w:szCs w:val="24"/>
        </w:rPr>
        <w:t xml:space="preserve">. </w:t>
      </w:r>
      <w:bookmarkEnd w:id="5"/>
      <w:bookmarkEnd w:id="6"/>
      <w:bookmarkEnd w:id="7"/>
      <w:r w:rsidRPr="00833CE8">
        <w:rPr>
          <w:rFonts w:cs="Times New Roman"/>
          <w:szCs w:val="24"/>
        </w:rPr>
        <w:t>Bacteria also can provide p</w:t>
      </w:r>
      <w:r w:rsidR="001F2EA4" w:rsidRPr="00833CE8">
        <w:rPr>
          <w:rFonts w:cs="Times New Roman"/>
          <w:szCs w:val="24"/>
        </w:rPr>
        <w:t xml:space="preserve">rotection from toxins such as heavy metals </w:t>
      </w:r>
      <w:r w:rsidR="001F2EA4" w:rsidRPr="00833CE8">
        <w:rPr>
          <w:rFonts w:cs="Times New Roman"/>
          <w:szCs w:val="24"/>
        </w:rPr>
        <w:fldChar w:fldCharType="begin"/>
      </w:r>
      <w:r w:rsidR="003609FA">
        <w:rPr>
          <w:rFonts w:cs="Times New Roman"/>
          <w:szCs w:val="24"/>
        </w:rPr>
        <w:instrText xml:space="preserve"> ADDIN ZOTERO_ITEM CSL_CITATION {"citationID":"EUYeC25W","properties":{"formattedCitation":"(Kaszecki et al., 2024)","plainCitation":"(Kaszecki et al., 2024)","noteIndex":0},"citationItems":[{"id":"ICWxQiKF/L2hop8Pe","uris":["http://zotero.org/users/764524/items/735J4M8A"],"itemData":{"id":4537,"type":"article-journal","abstract":"Synthetic algal–fungal and algal–bacterial cultures have been investigated as a means to enhance the technological applications of the algae. This inclusion of other microbes has enhanced growth and improved stress tolerance of the algal culture. The goal of the current study was to investigate natural microbial consortia to gain an understanding of the occurrence and benefits of these associations in nature. The photosynthetic protist Euglena mutabilis is often found in association with other microbes in acidic environments with high heavy metal (HM) concentrations. This may suggest that microbial interactions are essential for the protist’s ability to tolerate these extreme environments. Our study assessed the Cd tolerance of a natural fungal–algal–bacterial (FAB) association whereby the algae is E. mutabilis.","container-title":"International Microbiology","DOI":"10.1007/s10123-023-00474-7","ISSN":"1618-1905","journalAbbreviation":"Int. Microbiol.","language":"en","source":"Springer Link","title":"Euglena mutabilis exists in a FAB consortium with microbes that enhance cadmium tolerance","URL":"https://doi.org/10.1007/s10123-023-00474-7","author":[{"family":"Kaszecki","given":"Emma"},{"family":"Palberg","given":"Daniel"},{"family":"Grant","given":"Mikaella"},{"family":"Griffin","given":"Sarah"},{"family":"Dhanjal","given":"Chetan"},{"family":"Capperauld","given":"Michael"},{"family":"Emery","given":"R. J. Neil"},{"family":"Saville","given":"Barry J."}],"accessed":{"date-parts":[["2024",6,17]]},"issued":{"date-parts":[["2024",1,3]]}}}],"schema":"https://github.com/citation-style-language/schema/raw/master/csl-citation.json"} </w:instrText>
      </w:r>
      <w:r w:rsidR="001F2EA4" w:rsidRPr="00833CE8">
        <w:rPr>
          <w:rFonts w:cs="Times New Roman"/>
          <w:szCs w:val="24"/>
        </w:rPr>
        <w:fldChar w:fldCharType="separate"/>
      </w:r>
      <w:r w:rsidR="009F150C" w:rsidRPr="00833CE8">
        <w:rPr>
          <w:rFonts w:cs="Times New Roman"/>
        </w:rPr>
        <w:t>(Kaszecki et al., 2024)</w:t>
      </w:r>
      <w:r w:rsidR="001F2EA4" w:rsidRPr="00833CE8">
        <w:rPr>
          <w:rFonts w:cs="Times New Roman"/>
          <w:szCs w:val="24"/>
        </w:rPr>
        <w:fldChar w:fldCharType="end"/>
      </w:r>
      <w:r w:rsidRPr="00833CE8">
        <w:rPr>
          <w:rFonts w:cs="Times New Roman"/>
          <w:szCs w:val="24"/>
        </w:rPr>
        <w:t xml:space="preserve"> and</w:t>
      </w:r>
      <w:r w:rsidR="001F2EA4" w:rsidRPr="00833CE8">
        <w:rPr>
          <w:rFonts w:cs="Times New Roman"/>
          <w:szCs w:val="24"/>
        </w:rPr>
        <w:t xml:space="preserve"> from </w:t>
      </w:r>
      <w:r w:rsidRPr="00833CE8">
        <w:rPr>
          <w:rFonts w:cs="Times New Roman"/>
          <w:szCs w:val="24"/>
        </w:rPr>
        <w:t xml:space="preserve">high </w:t>
      </w:r>
      <w:r w:rsidR="001F2EA4" w:rsidRPr="00833CE8">
        <w:rPr>
          <w:rFonts w:cs="Times New Roman"/>
          <w:szCs w:val="24"/>
        </w:rPr>
        <w:t xml:space="preserve">salinity </w:t>
      </w:r>
      <w:r w:rsidR="00443790" w:rsidRPr="00D746B5">
        <w:rPr>
          <w:rFonts w:cs="Times New Roman"/>
          <w:szCs w:val="24"/>
        </w:rPr>
        <w:fldChar w:fldCharType="begin"/>
      </w:r>
      <w:r w:rsidR="00CC5AD5">
        <w:rPr>
          <w:rFonts w:cs="Times New Roman"/>
          <w:szCs w:val="24"/>
        </w:rPr>
        <w:instrText xml:space="preserve"> ADDIN ZOTERO_ITEM CSL_CITATION {"citationID":"yDdeL1JJ","properties":{"formattedCitation":"(T. Wang et al., 2024)","plainCitation":"(T. Wang et al., 2024)","noteIndex":0},"citationItems":[{"id":4545,"uris":["http://zotero.org/users/764524/items/QY8TQJG3"],"itemData":{"id":4545,"type":"article-journal","abstract":"Salinity stress in estuarine environments poses a significant challenge for microalgal survival and proliferation. The interaction between microalgae and bacteria shows promise in alleviating the detrimental impacts of salinity stress on microalgae. Our study investigates this interaction by co-cultivating Chlorella sorokiniana, a freshwater microalga, with a marine growth-promoting bacterium Pseudomonas gessardii, both of which were isolated from estuary. In this study, bacteria were encapsulated using sodium alginate microspheres to establish an isolated co-culture system, preventing direct exposure between microalgae and bacteria. We evaluated microalgal responses to different salinities (5 PSU, 15 PSU) and interaction modes (free-living, gel-encapsulated), focusing on growth, photosynthesis, cellular metabolism, and extracellular polymeric substances (EPS) properties. High salinity inhibited microalgal proliferation, while gel-fixed interaction boosted Chlorella growth rate by 50.7 %. Both attached and free-living bacteria restored Chlorella's NPQ to normal levels under salt stress. Microalgae in the free-living interaction group exhibited a significantly lower respiratory rate compared to the pure algae group (−17.2 %). Increased salinity led to enhanced EPS polysaccharide secretion by microalgae, particularly in interaction groups (19.7 %). Both salt stress and interaction increased the proportion of aromatic proteins in microalgae's EPS, enhancing its stability by modulating EPS glycosidic bond C-O-C and protein vibrations. This alteration caused microalgal cells to aggregate, free-living bacteria co-culture group, and fixed co-culture group increasing by 427.5 %, 567.1 %, and 704.1 %, respectively. In gel-fixed bacteria groups, reduced neutral lipids don't accumulate starch instead, carbon redirects to cellular growth, aiding salt stress mitigation. These synergistic activities between salinity and bacterial interactions are vital in mitigating salinity stress, improving the resilience and growth of microalgae in saline conditions. Our research sheds light on the mechanisms of microalgal-bacterial interactions in coping with salt stress, offering insights into the response of estuarine microorganisms to global environmental changes and their ecological stability.","container-title":"Science of The Total Environment","DOI":"10.1016/j.scitotenv.2024.171909","ISSN":"0048-9697","journalAbbreviation":"Sci. Total Environ.","page":"171909","source":"ScienceDirect","title":"Mitigating salinity stress through interactions between microalgae and different forms (free-living &amp; alginate gel-encapsulated) of bacteria isolated from estuarine environments","volume":"926","author":[{"family":"Wang","given":"Tong"},{"family":"Li","given":"Dan"},{"family":"Tian","given":"Xin"},{"family":"Huang","given":"Guolin"},{"family":"He","given":"Meilin"},{"family":"Wang","given":"Changhai"},{"family":"Kumbhar","given":"Ali Nawaz"},{"family":"Woldemicael","given":"Abeselom Ghirmai"}],"issued":{"date-parts":[["2024",5,20]]}}}],"schema":"https://github.com/citation-style-language/schema/raw/master/csl-citation.json"} </w:instrText>
      </w:r>
      <w:r w:rsidR="00443790" w:rsidRPr="00D746B5">
        <w:rPr>
          <w:rFonts w:cs="Times New Roman"/>
          <w:szCs w:val="24"/>
        </w:rPr>
        <w:fldChar w:fldCharType="separate"/>
      </w:r>
      <w:r w:rsidR="009F150C" w:rsidRPr="00D746B5">
        <w:rPr>
          <w:rFonts w:cs="Times New Roman"/>
        </w:rPr>
        <w:t>(T. Wang et al., 2024)</w:t>
      </w:r>
      <w:r w:rsidR="00443790" w:rsidRPr="00D746B5">
        <w:rPr>
          <w:rFonts w:cs="Times New Roman"/>
          <w:szCs w:val="24"/>
        </w:rPr>
        <w:fldChar w:fldCharType="end"/>
      </w:r>
      <w:r w:rsidR="001F2EA4" w:rsidRPr="00D746B5">
        <w:rPr>
          <w:rFonts w:cs="Times New Roman"/>
          <w:szCs w:val="24"/>
        </w:rPr>
        <w:t>.</w:t>
      </w:r>
      <w:r w:rsidRPr="00D746B5">
        <w:rPr>
          <w:rFonts w:cs="Times New Roman"/>
          <w:szCs w:val="24"/>
        </w:rPr>
        <w:t xml:space="preserve"> In the context of industrial consortia, these </w:t>
      </w:r>
      <w:r w:rsidR="00C1577A" w:rsidRPr="00D746B5">
        <w:rPr>
          <w:rFonts w:cs="Times New Roman"/>
          <w:szCs w:val="24"/>
        </w:rPr>
        <w:t>communities</w:t>
      </w:r>
      <w:r w:rsidRPr="00D746B5">
        <w:rPr>
          <w:rFonts w:cs="Times New Roman"/>
          <w:szCs w:val="24"/>
        </w:rPr>
        <w:t xml:space="preserve"> can overcome space constraints </w:t>
      </w:r>
      <w:r w:rsidRPr="00D746B5">
        <w:rPr>
          <w:rFonts w:cs="Times New Roman"/>
          <w:szCs w:val="24"/>
        </w:rPr>
        <w:fldChar w:fldCharType="begin"/>
      </w:r>
      <w:r w:rsidR="009F150C" w:rsidRPr="00D746B5">
        <w:rPr>
          <w:rFonts w:cs="Times New Roman"/>
          <w:szCs w:val="24"/>
        </w:rPr>
        <w:instrText xml:space="preserve"> ADDIN ZOTERO_ITEM CSL_CITATION {"citationID":"mcmFwWdm","properties":{"formattedCitation":"(Martin et al., 2021)","plainCitation":"(Martin et al., 2021)","noteIndex":0},"citationItems":[{"id":4514,"uris":["http://zotero.org/users/764524/items/8QWYF9IB"],"itemData":{"id":4514,"type":"article-journal","abstract":"Photosynthetic microalgae are an attractive source of food, fuel, or nutraceuticals, but commercial production of microalgae is limited by low spatial efficiency. In the present study we developed a simple photosynthetic hydrogel system that cultivates the green microalga, Marinichlorella kaistiae KAS603, together with a novel strain of the bacteria, Erythrobacter sp. We tested the performance of the co-culture in the hydrogel using a combination of chlorophyll-a fluorimetry, microsensing, and bio-optical measurements. Our results showed that growth rates in algal–bacterial hydrogels were about threefold enhanced compared to hydrogels with algae alone. Chlorophyll-a fluorimetry–based light curves found that electron transport rates were enhanced about 20% for algal–bacterial hydrogels compared to algal hydrogels for intermediate irradiance levels. We also show that the living hydrogel is stable under different environmental conditions and when exposed to natural seawater. Our study provides a potential bio-inspired solution for problems that limit the space-efficient cultivation of microalgae for biotechnological applications.","container-title":"Journal of Applied Phycology","DOI":"10.1007/s10811-021-02528-7","ISSN":"1573-5176","issue":"5","journalAbbreviation":"J. Appl. Phycol.","language":"en","page":"2805-2815","source":"Springer Link","title":"Synthetic algal-bacteria consortia for space-efficient microalgal growth in a simple hydrogel system","volume":"33","author":[{"family":"Martin","given":"Noah"},{"family":"Bernat","given":"Tatum"},{"family":"Dinasquet","given":"Julie"},{"family":"Stofko","given":"Andrea"},{"family":"Damon","given":"April"},{"family":"Deheyn","given":"Dimitri D."},{"family":"Azam","given":"Farooq"},{"family":"Smith","given":"Jennifer E."},{"family":"Davey","given":"Matthew P."},{"family":"Smith","given":"Alison G."},{"family":"Vignolini","given":"Silvia"},{"family":"Wangpraseurt","given":"Daniel"}],"issued":{"date-parts":[["2021",10,1]]}}}],"schema":"https://github.com/citation-style-language/schema/raw/master/csl-citation.json"} </w:instrText>
      </w:r>
      <w:r w:rsidRPr="00D746B5">
        <w:rPr>
          <w:rFonts w:cs="Times New Roman"/>
          <w:szCs w:val="24"/>
        </w:rPr>
        <w:fldChar w:fldCharType="separate"/>
      </w:r>
      <w:r w:rsidR="009F150C" w:rsidRPr="00D746B5">
        <w:rPr>
          <w:rFonts w:cs="Times New Roman"/>
        </w:rPr>
        <w:t>(Martin et al., 2021)</w:t>
      </w:r>
      <w:r w:rsidRPr="00D746B5">
        <w:rPr>
          <w:rFonts w:cs="Times New Roman"/>
          <w:szCs w:val="24"/>
        </w:rPr>
        <w:fldChar w:fldCharType="end"/>
      </w:r>
      <w:r w:rsidRPr="00D746B5">
        <w:rPr>
          <w:rFonts w:cs="Times New Roman"/>
          <w:szCs w:val="24"/>
        </w:rPr>
        <w:t xml:space="preserve"> and enhance production of bioproducts in comparison to cultures containing algae alone </w:t>
      </w:r>
      <w:r w:rsidRPr="00D746B5">
        <w:rPr>
          <w:rFonts w:cs="Times New Roman"/>
          <w:szCs w:val="24"/>
        </w:rPr>
        <w:fldChar w:fldCharType="begin"/>
      </w:r>
      <w:r w:rsidR="009F150C" w:rsidRPr="00D746B5">
        <w:rPr>
          <w:rFonts w:cs="Times New Roman"/>
          <w:szCs w:val="24"/>
        </w:rPr>
        <w:instrText xml:space="preserve"> ADDIN ZOTERO_ITEM CSL_CITATION {"citationID":"u5NoBflz","properties":{"formattedCitation":"(Yarbro et al., 2024)","plainCitation":"(Yarbro et al., 2024)","noteIndex":0},"citationItems":[{"id":4549,"uris":["http://zotero.org/users/764524/items/KBSGWGEG"],"itemData":{"id":4549,"type":"article-journal","abstract":"Oleaginous microalgae have become a focus for large-scale biofuel production due to their ability to accumulate large quantities of lipids [1]. However, production is currently limited by cost and predation [2]. At present, algal biofuel cultivation is optimized through starvation, supplementing media with nutrients, or genetic engineering; these methods can often be costly with little to no increase in lipid production or the culture's defense. Investigating the phycosphere of algal-bacterial interactions may overcome these current barriers to large-scale production. The phycosphere of algalbacterial interactions have formed over millions of years through mutualistic and symbiotic relationships and can provide a more direct source of nutrients compared to adding the nutrients in bulk [3]. The most promising of these interactions include the production of phytohormones and quorum signaling compounds that alter the behaviors of the consortia. Phytohormones can improve algal growth rates, lipid production, and stress resistance. Quorum signaling could create consortia capable of warding off invaders-such as rotifers-while self-regulating and altering behavior based on population density [4]. Mechanisms within the algal phycosphere present many opportunities for the development of novel engineering strategies to further improve algal lipid production and operational costs. This review outlines previous preliminary phycosphere research as well as posing possible opportunities to be pursued in future biofuel production.","container-title":"Frontiers in Climate","DOI":"10.3389/fclim.2024.1277475","ISSN":"2624-9553","journalAbbreviation":"Front. Clim.","language":"English","note":"publisher: Frontiers","page":"1277475","source":"Frontiers","title":"The phycosphere and its role in algal biofuel production","volume":"6","author":[{"family":"Yarbro","given":"Jake"},{"family":"Khorunzhy","given":"Emma"},{"family":"Boyle","given":"Nanette"}],"issued":{"date-parts":[["2024",4,26]]}}}],"schema":"https://github.com/citation-style-language/schema/raw/master/csl-citation.json"} </w:instrText>
      </w:r>
      <w:r w:rsidRPr="00D746B5">
        <w:rPr>
          <w:rFonts w:cs="Times New Roman"/>
          <w:szCs w:val="24"/>
        </w:rPr>
        <w:fldChar w:fldCharType="separate"/>
      </w:r>
      <w:r w:rsidR="009F150C" w:rsidRPr="00D746B5">
        <w:rPr>
          <w:rFonts w:cs="Times New Roman"/>
        </w:rPr>
        <w:t>(Yarbro et al., 2024)</w:t>
      </w:r>
      <w:r w:rsidRPr="00D746B5">
        <w:rPr>
          <w:rFonts w:cs="Times New Roman"/>
          <w:szCs w:val="24"/>
        </w:rPr>
        <w:fldChar w:fldCharType="end"/>
      </w:r>
      <w:r w:rsidR="00FB769F" w:rsidRPr="00D746B5">
        <w:rPr>
          <w:rFonts w:cs="Times New Roman"/>
          <w:szCs w:val="24"/>
        </w:rPr>
        <w:t>.</w:t>
      </w:r>
      <w:r w:rsidR="00F06266" w:rsidRPr="00D746B5">
        <w:rPr>
          <w:rFonts w:cs="Times New Roman"/>
          <w:szCs w:val="24"/>
        </w:rPr>
        <w:t xml:space="preserve">  In general, microbial consortia are also more robust than monocultures of microalgae, as they can more easily prevent biocontamination in open systems </w:t>
      </w:r>
      <w:r w:rsidR="00F06266" w:rsidRPr="00D746B5">
        <w:rPr>
          <w:rFonts w:cs="Times New Roman"/>
          <w:szCs w:val="24"/>
        </w:rPr>
        <w:fldChar w:fldCharType="begin"/>
      </w:r>
      <w:r w:rsidR="00F06266" w:rsidRPr="00D746B5">
        <w:rPr>
          <w:rFonts w:cs="Times New Roman"/>
          <w:szCs w:val="24"/>
        </w:rPr>
        <w:instrText xml:space="preserve"> ADDIN ZOTERO_ITEM CSL_CITATION {"citationID":"WsrbIGZC","properties":{"formattedCitation":"(Fisher et al., 2023)","plainCitation":"(Fisher et al., 2023)","noteIndex":0},"citationItems":[{"id":9449,"uris":["http://zotero.org/users/764524/items/XKXHEQYE"],"itemData":{"id":9449,"type":"article-journal","abstract":"Loss of algal production from the crashes of algal mass cultivation systems represents a significant barrier to the economic production of microalgal-based biofuels. Current strategies for crash prevention can be too costly to apply broadly as prophylaxis. Bacteria are ubiquitous in microalgal mass production cultures, however few studies investigate their role and possible significance in this particular environment. Previously, we demonstrated the success of selected protective bacterial communities to save Microchloropsis salina cultures from grazing by the rotifer Brachionus plicatilis. In the current study, these protective bacterial communities were further characterized by fractionation into rotifer-associated, algal-associated, and free-floating bacterial fractions. Small subunit ribosomal RNA amplicon sequencing was used to identify the bacterial genera present in each of the fractions. Here, we show that Marinobacter, Ruegeria, and Boseongicola in algae and rotifer fractions from rotifer-infected cultures likely play key roles in protecting algae from rotifers. Several other identified taxa likely play lesser roles in protective capability. The identification of bacterial community members demonstrating protective qualities will allow for the rational design of microbial communities grown in stable co-cultures with algal production strains in mass cultivation systems. Such a system would reduce the frequency of culture crashes and represent an essentially zero-cost form of algal crop protection.","container-title":"Microorganisms","DOI":"10.3390/microorganisms11030786","ISSN":"2076-2607","issue":"3","language":"en","license":"http://creativecommons.org/licenses/by/3.0/","note":"number: 3\npublisher: Multidisciplinary Digital Publishing Institute","page":"786","source":"www.mdpi.com","title":"Storage and Algal Association of Bacteria That Protect Microchloropsis salina from Grazing by Brachionus plicatilis","volume":"11","author":[{"family":"Fisher","given":"Carolyn L."},{"family":"Fong","given":"Michelle V."},{"family":"Lane","given":"Pamela D."},{"family":"Carlson","given":"Skylar"},{"family":"Lane","given":"Todd W."}],"issued":{"date-parts":[["2023",3]]}}}],"schema":"https://github.com/citation-style-language/schema/raw/master/csl-citation.json"} </w:instrText>
      </w:r>
      <w:r w:rsidR="00F06266" w:rsidRPr="00D746B5">
        <w:rPr>
          <w:rFonts w:cs="Times New Roman"/>
          <w:szCs w:val="24"/>
        </w:rPr>
        <w:fldChar w:fldCharType="separate"/>
      </w:r>
      <w:r w:rsidR="00F06266" w:rsidRPr="00D746B5">
        <w:rPr>
          <w:rFonts w:cs="Times New Roman"/>
        </w:rPr>
        <w:t>(Fisher et al., 2023)</w:t>
      </w:r>
      <w:r w:rsidR="00F06266" w:rsidRPr="00D746B5">
        <w:rPr>
          <w:rFonts w:cs="Times New Roman"/>
          <w:szCs w:val="24"/>
        </w:rPr>
        <w:fldChar w:fldCharType="end"/>
      </w:r>
      <w:r w:rsidR="00F06266" w:rsidRPr="00D746B5">
        <w:rPr>
          <w:rFonts w:cs="Times New Roman"/>
          <w:szCs w:val="24"/>
        </w:rPr>
        <w:t>.</w:t>
      </w:r>
    </w:p>
    <w:p w14:paraId="71532D31" w14:textId="203C783D" w:rsidR="005E602F" w:rsidRPr="00833CE8" w:rsidRDefault="003A275B" w:rsidP="005E602F">
      <w:pPr>
        <w:snapToGrid w:val="0"/>
        <w:spacing w:line="360" w:lineRule="auto"/>
        <w:ind w:firstLine="284"/>
        <w:jc w:val="both"/>
        <w:rPr>
          <w:rFonts w:cs="Times New Roman"/>
          <w:szCs w:val="24"/>
        </w:rPr>
      </w:pPr>
      <w:r w:rsidRPr="00833CE8">
        <w:rPr>
          <w:rFonts w:cs="Times New Roman"/>
          <w:szCs w:val="24"/>
        </w:rPr>
        <w:t>T</w:t>
      </w:r>
      <w:r w:rsidR="00D9578E" w:rsidRPr="00833CE8">
        <w:rPr>
          <w:rFonts w:cs="Times New Roman"/>
          <w:szCs w:val="24"/>
        </w:rPr>
        <w:t>he two main types of mutualistic interactions that have been observed between microalgae and their bacteria are exchange of nutrients</w:t>
      </w:r>
      <w:r w:rsidR="00297A5C">
        <w:rPr>
          <w:rFonts w:cs="Times New Roman"/>
          <w:szCs w:val="24"/>
        </w:rPr>
        <w:t xml:space="preserve"> or </w:t>
      </w:r>
      <w:r w:rsidR="00D9578E" w:rsidRPr="00833CE8">
        <w:rPr>
          <w:rFonts w:cs="Times New Roman"/>
          <w:szCs w:val="24"/>
        </w:rPr>
        <w:t>m</w:t>
      </w:r>
      <w:r w:rsidR="0057788E" w:rsidRPr="00833CE8">
        <w:rPr>
          <w:rFonts w:cs="Times New Roman"/>
          <w:szCs w:val="24"/>
        </w:rPr>
        <w:t>etabolites</w:t>
      </w:r>
      <w:r w:rsidR="00D9578E" w:rsidRPr="00833CE8">
        <w:rPr>
          <w:rFonts w:cs="Times New Roman"/>
          <w:szCs w:val="24"/>
        </w:rPr>
        <w:t xml:space="preserve"> and q</w:t>
      </w:r>
      <w:r w:rsidR="0057788E" w:rsidRPr="00833CE8">
        <w:rPr>
          <w:rFonts w:cs="Times New Roman"/>
          <w:szCs w:val="24"/>
        </w:rPr>
        <w:t>uorum sensing</w:t>
      </w:r>
      <w:r w:rsidR="006F201B" w:rsidRPr="00833CE8">
        <w:rPr>
          <w:rFonts w:cs="Times New Roman"/>
          <w:szCs w:val="24"/>
        </w:rPr>
        <w:t xml:space="preserve"> </w:t>
      </w:r>
      <w:r w:rsidR="00D9578E" w:rsidRPr="00833CE8">
        <w:rPr>
          <w:rFonts w:cs="Times New Roman"/>
          <w:szCs w:val="24"/>
        </w:rPr>
        <w:fldChar w:fldCharType="begin"/>
      </w:r>
      <w:r w:rsidR="009F150C" w:rsidRPr="00833CE8">
        <w:rPr>
          <w:rFonts w:cs="Times New Roman"/>
          <w:szCs w:val="24"/>
        </w:rPr>
        <w:instrText xml:space="preserve"> ADDIN ZOTERO_ITEM CSL_CITATION {"citationID":"xkAtFncI","properties":{"formattedCitation":"(Sial et al., 2021)","plainCitation":"(Sial et al., 2021)","noteIndex":0},"citationItems":[{"id":4465,"uris":["http://zotero.org/users/764524/items/AD9MAUF5"],"itemData":{"id":4465,"type":"article-journal","abstract":"Microalgae, as the most promising raw material for biodiesel, can absorb and transform N, P, and organic matter in wastewater into cell components such as oil, carbohydrate, and protein. The cultivation of microalgae in wastewater provides the possibility to realize harmless treatment and resource utilization of wastewater and reduce the cost of microalgal culture. Whether in a single microalgal culture process or wastewater system, there always be a large number of bacteria interacting with microalgae, forming a complex microecological system. Although microalgal–bacterial coculture system is feasible features for the higher biomass production and better nutrient adaptability from wastewater, the precise understanding of interaction and coexistence in water bodies is still unclear. Some major challenges are to develop sustainability in the microalgal–bacterial coculture system due to the incomplete knowledge about the mechanism of communication, algal growth promotion, and effect of microalgae on the indigenous bacteria in wastewater. In the present review, nutritional interaction and signal transduction, two main interaction models of algae and bacteria, and the effect of synergism of these two models on microalgal system are summarized. Moreover, the impact of algal–bacterial coculture on algal growth and removal of pollutants in wastewater treatment process was expounded systematically to develop highly efficient consortium systems by covering the sustainability limitations. This work would provide guidance for the establishment of efficient algal–bacterial symbiosis system in the wastewater with complex microecology and nutrient environment to improve the accumulation of microalgal biomass and reduce the cost of microalgal culture.","container-title":"BioEnergy Research","DOI":"10.1007/s12155-020-10213-9","ISSN":"1939-1242","issue":"3","journalAbbreviation":"Bioenerg. Res.","language":"en","page":"723-738","source":"Springer Link","title":"Microalgal–Bacterial Synergistic Interactions and Their Potential Influence in Wastewater Treatment: a Review","title-short":"Microalgal–Bacterial Synergistic Interactions and Their Potential Influence in Wastewater Treatment","volume":"14","author":[{"family":"Sial","given":"Atif"},{"family":"Zhang","given":"Bo"},{"family":"Zhang","given":"Anlong"},{"family":"Liu","given":"KeYi"},{"family":"Imtiaz","given":"Syed Asad"},{"family":"Yashir","given":"Noman"}],"issued":{"date-parts":[["2021",9,1]]}}}],"schema":"https://github.com/citation-style-language/schema/raw/master/csl-citation.json"} </w:instrText>
      </w:r>
      <w:r w:rsidR="00D9578E" w:rsidRPr="00833CE8">
        <w:rPr>
          <w:rFonts w:cs="Times New Roman"/>
          <w:szCs w:val="24"/>
        </w:rPr>
        <w:fldChar w:fldCharType="separate"/>
      </w:r>
      <w:r w:rsidR="00F22D89" w:rsidRPr="00F22D89">
        <w:rPr>
          <w:rFonts w:cs="Times New Roman"/>
        </w:rPr>
        <w:t>(Sial et al., 2021)</w:t>
      </w:r>
      <w:r w:rsidR="00D9578E" w:rsidRPr="00833CE8">
        <w:rPr>
          <w:rFonts w:cs="Times New Roman"/>
          <w:szCs w:val="24"/>
        </w:rPr>
        <w:fldChar w:fldCharType="end"/>
      </w:r>
      <w:r w:rsidR="006F201B" w:rsidRPr="00833CE8">
        <w:rPr>
          <w:rFonts w:cs="Times New Roman"/>
          <w:szCs w:val="24"/>
        </w:rPr>
        <w:t>.</w:t>
      </w:r>
      <w:r w:rsidR="005E602F" w:rsidRPr="00833CE8">
        <w:rPr>
          <w:rFonts w:cs="Times New Roman"/>
          <w:szCs w:val="24"/>
        </w:rPr>
        <w:t xml:space="preserve">  </w:t>
      </w:r>
      <w:r w:rsidR="00741E01">
        <w:rPr>
          <w:rFonts w:cs="Times New Roman"/>
          <w:szCs w:val="24"/>
        </w:rPr>
        <w:t xml:space="preserve">An illustrated summary of these interactions </w:t>
      </w:r>
      <w:r w:rsidR="002A5048">
        <w:rPr>
          <w:rFonts w:cs="Times New Roman"/>
          <w:szCs w:val="24"/>
        </w:rPr>
        <w:t>is</w:t>
      </w:r>
      <w:r w:rsidR="00741E01">
        <w:rPr>
          <w:rFonts w:cs="Times New Roman"/>
          <w:szCs w:val="24"/>
        </w:rPr>
        <w:t xml:space="preserve"> shown in </w:t>
      </w:r>
      <w:r w:rsidR="00F01315" w:rsidRPr="00F01315">
        <w:rPr>
          <w:rFonts w:cs="Times New Roman"/>
          <w:szCs w:val="24"/>
        </w:rPr>
        <w:t>Figure 2</w:t>
      </w:r>
      <w:r w:rsidR="00B12815" w:rsidRPr="00833CE8">
        <w:rPr>
          <w:rFonts w:cs="Times New Roman"/>
          <w:b/>
          <w:bCs/>
          <w:szCs w:val="24"/>
        </w:rPr>
        <w:t>.</w:t>
      </w:r>
      <w:r w:rsidR="0057788E" w:rsidRPr="00833CE8">
        <w:rPr>
          <w:rFonts w:cs="Times New Roman"/>
          <w:szCs w:val="24"/>
        </w:rPr>
        <w:t xml:space="preserve">  </w:t>
      </w:r>
      <w:r w:rsidR="00DB4509" w:rsidRPr="00833CE8">
        <w:rPr>
          <w:rFonts w:cs="Times New Roman"/>
          <w:szCs w:val="24"/>
          <w:lang w:eastAsia="zh-CN"/>
        </w:rPr>
        <w:t>N</w:t>
      </w:r>
      <w:r w:rsidR="009346F0" w:rsidRPr="00833CE8">
        <w:rPr>
          <w:rFonts w:cs="Times New Roman"/>
          <w:szCs w:val="24"/>
          <w:lang w:eastAsia="zh-CN"/>
        </w:rPr>
        <w:t>utrient exchange includ</w:t>
      </w:r>
      <w:r w:rsidR="00426BE0">
        <w:rPr>
          <w:rFonts w:cs="Times New Roman"/>
          <w:szCs w:val="24"/>
          <w:lang w:eastAsia="zh-CN"/>
        </w:rPr>
        <w:t>es</w:t>
      </w:r>
      <w:r w:rsidR="009346F0" w:rsidRPr="00833CE8">
        <w:rPr>
          <w:rFonts w:cs="Times New Roman"/>
          <w:szCs w:val="24"/>
          <w:lang w:eastAsia="zh-CN"/>
        </w:rPr>
        <w:t xml:space="preserve"> macronutrients that provide carbon and nitrogen, as well as </w:t>
      </w:r>
      <w:r w:rsidR="009346F0" w:rsidRPr="00D746B5">
        <w:rPr>
          <w:rFonts w:cs="Times New Roman"/>
          <w:szCs w:val="24"/>
          <w:lang w:eastAsia="zh-CN"/>
        </w:rPr>
        <w:t>micronutrients such as vitamins</w:t>
      </w:r>
      <w:r w:rsidR="003804FD" w:rsidRPr="00D746B5">
        <w:rPr>
          <w:rFonts w:cs="Times New Roman"/>
          <w:b/>
          <w:bCs/>
          <w:szCs w:val="24"/>
          <w:lang w:eastAsia="zh-CN"/>
        </w:rPr>
        <w:t xml:space="preserve"> </w:t>
      </w:r>
      <w:r w:rsidR="000C6B33" w:rsidRPr="00D746B5">
        <w:rPr>
          <w:rFonts w:cs="Times New Roman"/>
          <w:szCs w:val="24"/>
          <w:lang w:eastAsia="zh-CN"/>
        </w:rPr>
        <w:t xml:space="preserve">that </w:t>
      </w:r>
      <w:r w:rsidR="000C6B33" w:rsidRPr="00D746B5">
        <w:rPr>
          <w:rFonts w:cs="Times New Roman"/>
          <w:szCs w:val="24"/>
          <w:lang w:eastAsia="zh-CN"/>
        </w:rPr>
        <w:lastRenderedPageBreak/>
        <w:t>can be vital for microalgae lack</w:t>
      </w:r>
      <w:r w:rsidR="00426BE0" w:rsidRPr="00D746B5">
        <w:rPr>
          <w:rFonts w:cs="Times New Roman"/>
          <w:szCs w:val="24"/>
          <w:lang w:eastAsia="zh-CN"/>
        </w:rPr>
        <w:t>ing</w:t>
      </w:r>
      <w:r w:rsidR="000C6B33" w:rsidRPr="00D746B5">
        <w:rPr>
          <w:rFonts w:cs="Times New Roman"/>
          <w:szCs w:val="24"/>
          <w:lang w:eastAsia="zh-CN"/>
        </w:rPr>
        <w:t xml:space="preserve"> the ability to synthesize </w:t>
      </w:r>
      <w:r w:rsidR="00C63DA0" w:rsidRPr="00D746B5">
        <w:rPr>
          <w:rFonts w:cs="Times New Roman"/>
          <w:szCs w:val="24"/>
          <w:lang w:eastAsia="zh-CN"/>
        </w:rPr>
        <w:t>them</w:t>
      </w:r>
      <w:r w:rsidR="006F5C61" w:rsidRPr="00D746B5">
        <w:rPr>
          <w:rFonts w:cs="Times New Roman"/>
          <w:szCs w:val="24"/>
          <w:lang w:eastAsia="zh-CN"/>
        </w:rPr>
        <w:t xml:space="preserve">, referred to as </w:t>
      </w:r>
      <w:proofErr w:type="spellStart"/>
      <w:r w:rsidR="006F5C61" w:rsidRPr="00D746B5">
        <w:rPr>
          <w:rFonts w:cs="Times New Roman"/>
          <w:szCs w:val="24"/>
          <w:lang w:eastAsia="zh-CN"/>
        </w:rPr>
        <w:t>auxotrophs</w:t>
      </w:r>
      <w:proofErr w:type="spellEnd"/>
      <w:r w:rsidR="006F201B" w:rsidRPr="00D746B5">
        <w:rPr>
          <w:rFonts w:cs="Times New Roman"/>
          <w:szCs w:val="24"/>
          <w:lang w:eastAsia="zh-CN"/>
        </w:rPr>
        <w:t xml:space="preserve"> </w:t>
      </w:r>
      <w:r w:rsidR="003804FD" w:rsidRPr="00D746B5">
        <w:rPr>
          <w:rFonts w:cs="Times New Roman"/>
          <w:b/>
          <w:bCs/>
          <w:szCs w:val="24"/>
          <w:lang w:eastAsia="zh-CN"/>
        </w:rPr>
        <w:fldChar w:fldCharType="begin"/>
      </w:r>
      <w:r w:rsidR="005522CA" w:rsidRPr="00D746B5">
        <w:rPr>
          <w:rFonts w:cs="Times New Roman"/>
          <w:b/>
          <w:bCs/>
          <w:szCs w:val="24"/>
          <w:lang w:eastAsia="zh-CN"/>
        </w:rPr>
        <w:instrText xml:space="preserve"> ADDIN ZOTERO_ITEM CSL_CITATION {"citationID":"pbf5yVnJ","properties":{"formattedCitation":"(Fuentes et al., 2016)","plainCitation":"(Fuentes et al., 2016)","noteIndex":0},"citationItems":[{"id":4483,"uris":["http://zotero.org/users/764524/items/VXMSSY6X"],"itemData":{"id":4483,"type":"article-journal","abstract":"A greater insight on the control of the interactions between microalgae and other microorganisms, particularly bacteria, should be useful for enhancing the efficiency of microalgal biomass production and associated valuable compounds. Little attention has been paid to the controlled utilization of microalgae-bacteria consortia. However, the studies of microalgal-bacterial interactions have revealed a significant impact of the mutualistic or parasitic relationships on algal growth. The algal growth, for instance, has been shown to be enhanced by growth promoting factors produced by bacteria, such as indole-3-acetic acid. Vitamin B12 produced by bacteria in algal cultures and bacterial siderophores are also known to be involved in promoting faster microalgal growth. More interestingly, enhancement in the intracellular levels of carbohydrates, lipids and pigments of microalgae coupled with algal growth stimulation has also been reported. In this sense, massive algal production might occur in the presence of bacteria, and microalgae-bacteria interactions can be beneficial to the massive production of microalgae and algal products. This manuscript reviews the recent knowledge on the impact of the microalgae-bacteria interactions on the production of microalgae and accumulation of valuable compounds, with an emphasis on algal species having application in aquaculture.","container-title":"Marine Drugs","DOI":"10.3390/md14050100","ISSN":"1660-3397","issue":"5","journalAbbreviation":"Mar. Drugs","note":"PMID: 27213407\nPMCID: PMC4882574","page":"100","source":"PubMed Central","title":"Impact of Microalgae-Bacteria Interactions on the Production of Algal Biomass and Associated Compounds","volume":"14","author":[{"family":"Fuentes","given":"Juan Luis"},{"family":"Garbayo","given":"Inés"},{"family":"Cuaresma","given":"María"},{"family":"Montero","given":"Zaida"},{"family":"González-del-Valle","given":"Manuel"},{"family":"Vílchez","given":"Carlos"}],"issued":{"date-parts":[["2016",5,19]]}}}],"schema":"https://github.com/citation-style-language/schema/raw/master/csl-citation.json"} </w:instrText>
      </w:r>
      <w:r w:rsidR="003804FD" w:rsidRPr="00D746B5">
        <w:rPr>
          <w:rFonts w:cs="Times New Roman"/>
          <w:b/>
          <w:bCs/>
          <w:szCs w:val="24"/>
          <w:lang w:eastAsia="zh-CN"/>
        </w:rPr>
        <w:fldChar w:fldCharType="separate"/>
      </w:r>
      <w:r w:rsidR="009F150C" w:rsidRPr="00D746B5">
        <w:rPr>
          <w:rFonts w:cs="Times New Roman"/>
        </w:rPr>
        <w:t>(Fuentes et al., 2016)</w:t>
      </w:r>
      <w:r w:rsidR="003804FD" w:rsidRPr="00D746B5">
        <w:rPr>
          <w:rFonts w:cs="Times New Roman"/>
          <w:b/>
          <w:bCs/>
          <w:szCs w:val="24"/>
          <w:lang w:eastAsia="zh-CN"/>
        </w:rPr>
        <w:fldChar w:fldCharType="end"/>
      </w:r>
      <w:r w:rsidR="000C6B33" w:rsidRPr="00D746B5">
        <w:rPr>
          <w:rFonts w:cs="Times New Roman"/>
          <w:szCs w:val="24"/>
          <w:lang w:eastAsia="zh-CN"/>
        </w:rPr>
        <w:t xml:space="preserve">. </w:t>
      </w:r>
      <w:r w:rsidR="003804FD" w:rsidRPr="00D746B5">
        <w:rPr>
          <w:rFonts w:cs="Times New Roman"/>
          <w:szCs w:val="24"/>
          <w:lang w:eastAsia="zh-CN"/>
        </w:rPr>
        <w:t xml:space="preserve"> </w:t>
      </w:r>
      <w:r w:rsidR="00DB4509" w:rsidRPr="00D746B5">
        <w:rPr>
          <w:rFonts w:cs="Times New Roman"/>
          <w:szCs w:val="24"/>
          <w:lang w:eastAsia="zh-CN"/>
        </w:rPr>
        <w:t>Although quorum sensing has been a focus of research</w:t>
      </w:r>
      <w:r w:rsidR="00DB4509" w:rsidRPr="00833CE8">
        <w:rPr>
          <w:rFonts w:cs="Times New Roman"/>
          <w:szCs w:val="24"/>
          <w:lang w:eastAsia="zh-CN"/>
        </w:rPr>
        <w:t xml:space="preserve">, this can be more broadly defined as </w:t>
      </w:r>
      <w:r w:rsidR="002A156A">
        <w:rPr>
          <w:rFonts w:cs="Times New Roman"/>
          <w:szCs w:val="24"/>
          <w:lang w:eastAsia="zh-CN"/>
        </w:rPr>
        <w:t xml:space="preserve">the transmission and reception of </w:t>
      </w:r>
      <w:r w:rsidR="00DB4509" w:rsidRPr="00833CE8">
        <w:rPr>
          <w:rFonts w:cs="Times New Roman"/>
          <w:szCs w:val="24"/>
          <w:lang w:eastAsia="zh-CN"/>
        </w:rPr>
        <w:t>signalling molecules, as phytohormones released by algae may also be important to consider for their impacts on bacteria.</w:t>
      </w:r>
      <w:r w:rsidR="006E491F" w:rsidRPr="00833CE8">
        <w:rPr>
          <w:rFonts w:cs="Times New Roman"/>
          <w:szCs w:val="24"/>
          <w:lang w:eastAsia="zh-CN"/>
        </w:rPr>
        <w:t xml:space="preserve">  </w:t>
      </w:r>
      <w:r w:rsidR="00682691" w:rsidRPr="00833CE8">
        <w:rPr>
          <w:rFonts w:cs="Times New Roman"/>
          <w:szCs w:val="24"/>
        </w:rPr>
        <w:t xml:space="preserve">Table 1 shows a summary of different </w:t>
      </w:r>
      <w:r w:rsidR="00343F14">
        <w:rPr>
          <w:rFonts w:cs="Times New Roman"/>
          <w:szCs w:val="24"/>
        </w:rPr>
        <w:t xml:space="preserve">classes of </w:t>
      </w:r>
      <w:r w:rsidR="00682691" w:rsidRPr="00833CE8">
        <w:rPr>
          <w:rFonts w:cs="Times New Roman"/>
          <w:szCs w:val="24"/>
        </w:rPr>
        <w:t>molecules involved in these relationships</w:t>
      </w:r>
      <w:r w:rsidR="00343F14">
        <w:rPr>
          <w:rFonts w:cs="Times New Roman"/>
          <w:szCs w:val="24"/>
        </w:rPr>
        <w:t xml:space="preserve">, including </w:t>
      </w:r>
      <w:r w:rsidR="004C26E3">
        <w:rPr>
          <w:rFonts w:cs="Times New Roman"/>
          <w:szCs w:val="24"/>
        </w:rPr>
        <w:t xml:space="preserve">one or two </w:t>
      </w:r>
      <w:r w:rsidR="00343F14">
        <w:rPr>
          <w:rFonts w:cs="Times New Roman"/>
          <w:szCs w:val="24"/>
        </w:rPr>
        <w:t>examples of each class</w:t>
      </w:r>
      <w:r w:rsidR="00682691" w:rsidRPr="00833CE8">
        <w:rPr>
          <w:rFonts w:cs="Times New Roman"/>
          <w:szCs w:val="24"/>
        </w:rPr>
        <w:t xml:space="preserve"> </w:t>
      </w:r>
      <w:r w:rsidR="00374EB0" w:rsidRPr="00833CE8">
        <w:rPr>
          <w:rFonts w:cs="Times New Roman"/>
          <w:szCs w:val="24"/>
        </w:rPr>
        <w:fldChar w:fldCharType="begin"/>
      </w:r>
      <w:r w:rsidR="005522CA" w:rsidRPr="00833CE8">
        <w:rPr>
          <w:rFonts w:cs="Times New Roman"/>
          <w:szCs w:val="24"/>
        </w:rPr>
        <w:instrText xml:space="preserve"> ADDIN ZOTERO_ITEM CSL_CITATION {"citationID":"3JPJAfyF","properties":{"formattedCitation":"(Cirri and Pohnert, 2019)","plainCitation":"(Cirri and Pohnert, 2019)","noteIndex":0},"citationItems":[{"id":4348,"uris":["http://zotero.org/users/764524/items/Z6K3GVD2"],"itemData":{"id":4348,"type":"article-journal","abstract":"&lt;em&gt;New Phytologist&lt;/em&gt; is an international journal owned by the New Phytologist Foundation publishing original research in plant science and its applications.","container-title":"New Phytologist","DOI":"10.1111/nph.15765","ISSN":"1469-8137","issue":"1","journalAbbreviation":"New Phytol.","language":"en","note":"publisher: John Wiley &amp; Sons, Ltd","page":"100-106","source":"nph.onlinelibrary.wiley.com","title":"Algae−bacteria interactions that balance the planktonic microbiome","volume":"223","author":[{"family":"Cirri","given":"Emilio"},{"family":"Pohnert","given":"Georg"}],"issued":{"date-parts":[["2019",7,1]]}}}],"schema":"https://github.com/citation-style-language/schema/raw/master/csl-citation.json"} </w:instrText>
      </w:r>
      <w:r w:rsidR="00374EB0" w:rsidRPr="00833CE8">
        <w:rPr>
          <w:rFonts w:cs="Times New Roman"/>
          <w:szCs w:val="24"/>
        </w:rPr>
        <w:fldChar w:fldCharType="separate"/>
      </w:r>
      <w:r w:rsidR="009F150C" w:rsidRPr="00833CE8">
        <w:rPr>
          <w:rFonts w:cs="Times New Roman"/>
        </w:rPr>
        <w:t>(Cirri and Pohnert, 2019)</w:t>
      </w:r>
      <w:r w:rsidR="00374EB0" w:rsidRPr="00833CE8">
        <w:rPr>
          <w:rFonts w:cs="Times New Roman"/>
          <w:szCs w:val="24"/>
        </w:rPr>
        <w:fldChar w:fldCharType="end"/>
      </w:r>
      <w:r w:rsidR="006E491F" w:rsidRPr="00833CE8">
        <w:rPr>
          <w:rFonts w:cs="Times New Roman"/>
          <w:szCs w:val="24"/>
        </w:rPr>
        <w:t>.</w:t>
      </w:r>
    </w:p>
    <w:p w14:paraId="694524EC" w14:textId="77777777" w:rsidR="005E602F" w:rsidRPr="00833CE8" w:rsidRDefault="005E602F" w:rsidP="00BD061A">
      <w:pPr>
        <w:snapToGrid w:val="0"/>
        <w:spacing w:line="360" w:lineRule="auto"/>
        <w:rPr>
          <w:rFonts w:cs="Times New Roman"/>
          <w:szCs w:val="24"/>
        </w:rPr>
      </w:pPr>
    </w:p>
    <w:p w14:paraId="25232559" w14:textId="15F93919" w:rsidR="009F2DFE" w:rsidRDefault="00EC5342" w:rsidP="009F2DFE">
      <w:pPr>
        <w:snapToGrid w:val="0"/>
        <w:spacing w:line="276" w:lineRule="auto"/>
        <w:jc w:val="center"/>
        <w:rPr>
          <w:rFonts w:cs="Times New Roman"/>
          <w:b/>
          <w:bCs/>
          <w:szCs w:val="24"/>
        </w:rPr>
      </w:pPr>
      <w:r w:rsidRPr="00B653CD">
        <w:rPr>
          <w:noProof/>
          <w:lang w:val="en-US"/>
        </w:rPr>
        <w:drawing>
          <wp:inline distT="0" distB="0" distL="0" distR="0" wp14:anchorId="15103858" wp14:editId="107A5106">
            <wp:extent cx="5989923" cy="4762500"/>
            <wp:effectExtent l="0" t="0" r="0" b="0"/>
            <wp:docPr id="8676961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696100" name=""/>
                    <pic:cNvPicPr/>
                  </pic:nvPicPr>
                  <pic:blipFill>
                    <a:blip r:embed="rId9"/>
                    <a:stretch>
                      <a:fillRect/>
                    </a:stretch>
                  </pic:blipFill>
                  <pic:spPr>
                    <a:xfrm>
                      <a:off x="0" y="0"/>
                      <a:ext cx="5995773" cy="4767151"/>
                    </a:xfrm>
                    <a:prstGeom prst="rect">
                      <a:avLst/>
                    </a:prstGeom>
                  </pic:spPr>
                </pic:pic>
              </a:graphicData>
            </a:graphic>
          </wp:inline>
        </w:drawing>
      </w:r>
    </w:p>
    <w:p w14:paraId="63EA887B" w14:textId="77777777" w:rsidR="00EC5342" w:rsidRDefault="00EC5342" w:rsidP="009F2DFE">
      <w:pPr>
        <w:snapToGrid w:val="0"/>
        <w:spacing w:line="276" w:lineRule="auto"/>
        <w:jc w:val="center"/>
        <w:rPr>
          <w:rFonts w:cs="Times New Roman"/>
          <w:b/>
          <w:bCs/>
          <w:szCs w:val="24"/>
        </w:rPr>
      </w:pPr>
    </w:p>
    <w:p w14:paraId="5678155F" w14:textId="59FC2BAB" w:rsidR="00EC5342" w:rsidRPr="00D01150" w:rsidRDefault="005E602F" w:rsidP="00D01150">
      <w:pPr>
        <w:snapToGrid w:val="0"/>
        <w:spacing w:line="276" w:lineRule="auto"/>
        <w:jc w:val="both"/>
        <w:rPr>
          <w:rFonts w:cs="Times New Roman"/>
          <w:szCs w:val="24"/>
        </w:rPr>
      </w:pPr>
      <w:r w:rsidRPr="00833CE8">
        <w:rPr>
          <w:rFonts w:cs="Times New Roman"/>
          <w:b/>
          <w:bCs/>
          <w:szCs w:val="24"/>
        </w:rPr>
        <w:t>F</w:t>
      </w:r>
      <w:r w:rsidR="00B12815" w:rsidRPr="00833CE8">
        <w:rPr>
          <w:rFonts w:cs="Times New Roman"/>
          <w:b/>
          <w:bCs/>
          <w:szCs w:val="24"/>
        </w:rPr>
        <w:t>igure 2</w:t>
      </w:r>
      <w:r w:rsidRPr="00833CE8">
        <w:rPr>
          <w:rFonts w:cs="Times New Roman"/>
          <w:b/>
          <w:bCs/>
          <w:szCs w:val="24"/>
        </w:rPr>
        <w:t xml:space="preserve">: </w:t>
      </w:r>
      <w:r w:rsidR="00B12815" w:rsidRPr="00833CE8">
        <w:rPr>
          <w:rFonts w:cs="Times New Roman"/>
          <w:szCs w:val="24"/>
        </w:rPr>
        <w:t>Two major c</w:t>
      </w:r>
      <w:r w:rsidRPr="00833CE8">
        <w:rPr>
          <w:rFonts w:cs="Times New Roman"/>
          <w:szCs w:val="24"/>
        </w:rPr>
        <w:t>lasses of microalgae-bacteria interactions</w:t>
      </w:r>
      <w:r w:rsidR="00B12815" w:rsidRPr="00833CE8">
        <w:rPr>
          <w:rFonts w:cs="Times New Roman"/>
          <w:szCs w:val="24"/>
        </w:rPr>
        <w:t>: nutrient exchange and signalling molecules.</w:t>
      </w:r>
      <w:r w:rsidR="009704A6">
        <w:rPr>
          <w:rFonts w:cs="Times New Roman"/>
          <w:szCs w:val="24"/>
        </w:rPr>
        <w:t xml:space="preserve">  </w:t>
      </w:r>
      <w:r w:rsidR="00EC5342">
        <w:rPr>
          <w:rFonts w:cs="Times New Roman"/>
          <w:b/>
          <w:bCs/>
          <w:szCs w:val="24"/>
        </w:rPr>
        <w:br w:type="page"/>
      </w:r>
    </w:p>
    <w:p w14:paraId="59E7EB4B" w14:textId="525E5562" w:rsidR="00C332BF" w:rsidRDefault="00CE08C8" w:rsidP="0013427D">
      <w:pPr>
        <w:snapToGrid w:val="0"/>
        <w:spacing w:line="360" w:lineRule="auto"/>
        <w:jc w:val="both"/>
        <w:rPr>
          <w:rFonts w:cs="Times New Roman"/>
          <w:b/>
          <w:bCs/>
          <w:color w:val="FF0000"/>
          <w:szCs w:val="24"/>
        </w:rPr>
      </w:pPr>
      <w:r w:rsidRPr="00833CE8">
        <w:rPr>
          <w:rFonts w:cs="Times New Roman"/>
          <w:b/>
          <w:bCs/>
          <w:szCs w:val="24"/>
        </w:rPr>
        <w:lastRenderedPageBreak/>
        <w:t>Table 1.</w:t>
      </w:r>
      <w:r w:rsidR="00B112F2" w:rsidRPr="00833CE8">
        <w:rPr>
          <w:rFonts w:cs="Times New Roman"/>
          <w:b/>
          <w:bCs/>
          <w:szCs w:val="24"/>
        </w:rPr>
        <w:t xml:space="preserve">  </w:t>
      </w:r>
      <w:r w:rsidR="0080718C" w:rsidRPr="00833CE8">
        <w:rPr>
          <w:rFonts w:cs="Times New Roman"/>
          <w:szCs w:val="24"/>
        </w:rPr>
        <w:t>Molecules involved in microalgae-bacteria interactions</w:t>
      </w:r>
      <w:r w:rsidR="00555A6A">
        <w:rPr>
          <w:rFonts w:cs="Times New Roman"/>
          <w:szCs w:val="24"/>
        </w:rPr>
        <w:t xml:space="preserve"> </w:t>
      </w:r>
    </w:p>
    <w:p w14:paraId="67AE5A38" w14:textId="77777777" w:rsidR="00EC5342" w:rsidRPr="00555A6A" w:rsidRDefault="00EC5342" w:rsidP="0013427D">
      <w:pPr>
        <w:snapToGrid w:val="0"/>
        <w:spacing w:line="360" w:lineRule="auto"/>
        <w:jc w:val="both"/>
        <w:rPr>
          <w:rFonts w:cs="Times New Roman"/>
          <w:color w:val="FF0000"/>
          <w:szCs w:val="24"/>
        </w:rPr>
      </w:pPr>
    </w:p>
    <w:tbl>
      <w:tblPr>
        <w:tblStyle w:val="GridTable5Dark-Accent1"/>
        <w:tblW w:w="9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ECFF"/>
        <w:tblLayout w:type="fixed"/>
        <w:tblLook w:val="04A0" w:firstRow="1" w:lastRow="0" w:firstColumn="1" w:lastColumn="0" w:noHBand="0" w:noVBand="1"/>
      </w:tblPr>
      <w:tblGrid>
        <w:gridCol w:w="846"/>
        <w:gridCol w:w="1701"/>
        <w:gridCol w:w="2693"/>
        <w:gridCol w:w="2126"/>
        <w:gridCol w:w="2041"/>
      </w:tblGrid>
      <w:tr w:rsidR="00EC5342" w:rsidRPr="00EC5342" w14:paraId="47C34B70" w14:textId="77777777" w:rsidTr="008D020D">
        <w:trPr>
          <w:cnfStyle w:val="100000000000" w:firstRow="1" w:lastRow="0" w:firstColumn="0" w:lastColumn="0" w:oddVBand="0" w:evenVBand="0" w:oddHBand="0" w:evenHBand="0" w:firstRowFirstColumn="0" w:firstRowLastColumn="0" w:lastRowFirstColumn="0" w:lastRowLastColumn="0"/>
          <w:trHeight w:val="731"/>
        </w:trPr>
        <w:tc>
          <w:tcPr>
            <w:cnfStyle w:val="001000000000" w:firstRow="0" w:lastRow="0" w:firstColumn="1" w:lastColumn="0" w:oddVBand="0" w:evenVBand="0" w:oddHBand="0" w:evenHBand="0" w:firstRowFirstColumn="0" w:firstRowLastColumn="0" w:lastRowFirstColumn="0" w:lastRowLastColumn="0"/>
            <w:tcW w:w="846" w:type="dxa"/>
            <w:vMerge w:val="restart"/>
            <w:tcBorders>
              <w:top w:val="single" w:sz="4" w:space="0" w:color="0000FF"/>
              <w:left w:val="single" w:sz="12" w:space="0" w:color="auto"/>
              <w:right w:val="single" w:sz="12" w:space="0" w:color="auto"/>
            </w:tcBorders>
            <w:shd w:val="clear" w:color="auto" w:fill="77206D" w:themeFill="accent5" w:themeFillShade="BF"/>
            <w:textDirection w:val="btLr"/>
            <w:vAlign w:val="center"/>
          </w:tcPr>
          <w:p w14:paraId="14664263" w14:textId="63069814" w:rsidR="00EC5342" w:rsidRPr="00EC5342" w:rsidRDefault="00EC5342" w:rsidP="00EC5342">
            <w:pPr>
              <w:snapToGrid w:val="0"/>
              <w:ind w:left="113" w:right="113"/>
              <w:jc w:val="center"/>
              <w:rPr>
                <w:rFonts w:cs="Times New Roman"/>
                <w:sz w:val="32"/>
                <w:szCs w:val="32"/>
              </w:rPr>
            </w:pPr>
            <w:r w:rsidRPr="00EC5342">
              <w:rPr>
                <w:rFonts w:cs="Times New Roman"/>
                <w:noProof/>
                <w:sz w:val="32"/>
                <w:szCs w:val="32"/>
              </w:rPr>
              <w:t>Nutrient exchange</w:t>
            </w:r>
          </w:p>
        </w:tc>
        <w:tc>
          <w:tcPr>
            <w:tcW w:w="1701" w:type="dxa"/>
            <w:tcBorders>
              <w:top w:val="single" w:sz="4" w:space="0" w:color="0000FF"/>
              <w:left w:val="single" w:sz="12" w:space="0" w:color="auto"/>
              <w:bottom w:val="single" w:sz="4" w:space="0" w:color="auto"/>
              <w:right w:val="single" w:sz="12" w:space="0" w:color="FFFFFF" w:themeColor="background1"/>
            </w:tcBorders>
            <w:shd w:val="clear" w:color="auto" w:fill="0432FF"/>
            <w:vAlign w:val="center"/>
          </w:tcPr>
          <w:p w14:paraId="313A71F7" w14:textId="3F03EB4A" w:rsidR="00EC5342" w:rsidRPr="00EC5342" w:rsidRDefault="00EC5342" w:rsidP="00E36106">
            <w:pPr>
              <w:snapToGrid w:val="0"/>
              <w:jc w:val="center"/>
              <w:cnfStyle w:val="100000000000" w:firstRow="1" w:lastRow="0" w:firstColumn="0" w:lastColumn="0" w:oddVBand="0" w:evenVBand="0" w:oddHBand="0" w:evenHBand="0" w:firstRowFirstColumn="0" w:firstRowLastColumn="0" w:lastRowFirstColumn="0" w:lastRowLastColumn="0"/>
              <w:rPr>
                <w:rFonts w:cs="Times New Roman"/>
                <w:sz w:val="28"/>
                <w:szCs w:val="28"/>
                <w:lang w:val="en-CA"/>
              </w:rPr>
            </w:pPr>
            <w:r w:rsidRPr="00EC5342">
              <w:rPr>
                <w:rFonts w:cs="Times New Roman"/>
                <w:sz w:val="28"/>
                <w:szCs w:val="28"/>
                <w:lang w:val="en-CA"/>
              </w:rPr>
              <w:t>Class</w:t>
            </w:r>
          </w:p>
        </w:tc>
        <w:tc>
          <w:tcPr>
            <w:tcW w:w="2693" w:type="dxa"/>
            <w:tcBorders>
              <w:top w:val="single" w:sz="4" w:space="0" w:color="0000FF"/>
              <w:left w:val="single" w:sz="12" w:space="0" w:color="FFFFFF" w:themeColor="background1"/>
              <w:bottom w:val="single" w:sz="4" w:space="0" w:color="auto"/>
              <w:right w:val="single" w:sz="12" w:space="0" w:color="FFFFFF" w:themeColor="background1"/>
            </w:tcBorders>
            <w:shd w:val="clear" w:color="auto" w:fill="0432FF"/>
            <w:vAlign w:val="center"/>
          </w:tcPr>
          <w:p w14:paraId="2A32E2C7" w14:textId="77777777" w:rsidR="00EC5342" w:rsidRPr="00EC5342" w:rsidRDefault="00EC5342" w:rsidP="00E36106">
            <w:pPr>
              <w:snapToGrid w:val="0"/>
              <w:jc w:val="center"/>
              <w:cnfStyle w:val="100000000000" w:firstRow="1" w:lastRow="0" w:firstColumn="0" w:lastColumn="0" w:oddVBand="0" w:evenVBand="0" w:oddHBand="0" w:evenHBand="0" w:firstRowFirstColumn="0" w:firstRowLastColumn="0" w:lastRowFirstColumn="0" w:lastRowLastColumn="0"/>
              <w:rPr>
                <w:rFonts w:cs="Times New Roman"/>
                <w:sz w:val="28"/>
                <w:szCs w:val="28"/>
                <w:lang w:val="en-CA"/>
              </w:rPr>
            </w:pPr>
            <w:r w:rsidRPr="00EC5342">
              <w:rPr>
                <w:rFonts w:cs="Times New Roman"/>
                <w:sz w:val="28"/>
                <w:szCs w:val="28"/>
                <w:lang w:val="en-CA"/>
              </w:rPr>
              <w:t>Name and Structure</w:t>
            </w:r>
          </w:p>
        </w:tc>
        <w:tc>
          <w:tcPr>
            <w:tcW w:w="2126" w:type="dxa"/>
            <w:tcBorders>
              <w:top w:val="single" w:sz="4" w:space="0" w:color="0000FF"/>
              <w:left w:val="single" w:sz="12" w:space="0" w:color="FFFFFF" w:themeColor="background1"/>
              <w:bottom w:val="single" w:sz="4" w:space="0" w:color="auto"/>
              <w:right w:val="single" w:sz="12" w:space="0" w:color="FFFFFF" w:themeColor="background1"/>
            </w:tcBorders>
            <w:shd w:val="clear" w:color="auto" w:fill="0432FF"/>
            <w:vAlign w:val="center"/>
          </w:tcPr>
          <w:p w14:paraId="7D32C228" w14:textId="77777777" w:rsidR="00EC5342" w:rsidRPr="00EC5342" w:rsidRDefault="00EC5342" w:rsidP="008E4AAF">
            <w:pPr>
              <w:snapToGrid w:val="0"/>
              <w:jc w:val="center"/>
              <w:cnfStyle w:val="100000000000" w:firstRow="1" w:lastRow="0" w:firstColumn="0" w:lastColumn="0" w:oddVBand="0" w:evenVBand="0" w:oddHBand="0" w:evenHBand="0" w:firstRowFirstColumn="0" w:firstRowLastColumn="0" w:lastRowFirstColumn="0" w:lastRowLastColumn="0"/>
              <w:rPr>
                <w:rFonts w:cs="Times New Roman"/>
                <w:sz w:val="28"/>
                <w:szCs w:val="28"/>
                <w:lang w:val="en-CA"/>
              </w:rPr>
            </w:pPr>
            <w:r w:rsidRPr="00EC5342">
              <w:rPr>
                <w:rFonts w:cs="Times New Roman"/>
                <w:sz w:val="28"/>
                <w:szCs w:val="28"/>
                <w:lang w:val="en-CA"/>
              </w:rPr>
              <w:t>Function</w:t>
            </w:r>
          </w:p>
        </w:tc>
        <w:tc>
          <w:tcPr>
            <w:tcW w:w="2041" w:type="dxa"/>
            <w:tcBorders>
              <w:top w:val="single" w:sz="4" w:space="0" w:color="0000FF"/>
              <w:left w:val="single" w:sz="12" w:space="0" w:color="FFFFFF" w:themeColor="background1"/>
              <w:bottom w:val="single" w:sz="4" w:space="0" w:color="auto"/>
              <w:right w:val="single" w:sz="4" w:space="0" w:color="0000FF"/>
            </w:tcBorders>
            <w:shd w:val="clear" w:color="auto" w:fill="0432FF"/>
            <w:vAlign w:val="center"/>
          </w:tcPr>
          <w:p w14:paraId="1F4F7EE1" w14:textId="77777777" w:rsidR="00EC5342" w:rsidRPr="00EC5342" w:rsidRDefault="00EC5342" w:rsidP="008E4AAF">
            <w:pPr>
              <w:snapToGrid w:val="0"/>
              <w:jc w:val="center"/>
              <w:cnfStyle w:val="100000000000" w:firstRow="1" w:lastRow="0" w:firstColumn="0" w:lastColumn="0" w:oddVBand="0" w:evenVBand="0" w:oddHBand="0" w:evenHBand="0" w:firstRowFirstColumn="0" w:firstRowLastColumn="0" w:lastRowFirstColumn="0" w:lastRowLastColumn="0"/>
              <w:rPr>
                <w:rFonts w:cs="Times New Roman"/>
                <w:sz w:val="28"/>
                <w:szCs w:val="28"/>
                <w:lang w:val="en-CA"/>
              </w:rPr>
            </w:pPr>
            <w:r w:rsidRPr="00EC5342">
              <w:rPr>
                <w:rFonts w:cs="Times New Roman"/>
                <w:sz w:val="28"/>
                <w:szCs w:val="28"/>
                <w:lang w:val="en-CA"/>
              </w:rPr>
              <w:t>References</w:t>
            </w:r>
          </w:p>
        </w:tc>
      </w:tr>
      <w:tr w:rsidR="00EC5342" w:rsidRPr="0038794A" w14:paraId="55744D67" w14:textId="77777777" w:rsidTr="008D020D">
        <w:trPr>
          <w:cnfStyle w:val="000000100000" w:firstRow="0" w:lastRow="0" w:firstColumn="0" w:lastColumn="0" w:oddVBand="0" w:evenVBand="0" w:oddHBand="1" w:evenHBand="0" w:firstRowFirstColumn="0" w:firstRowLastColumn="0" w:lastRowFirstColumn="0" w:lastRowLastColumn="0"/>
          <w:trHeight w:val="1194"/>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auto"/>
              <w:right w:val="single" w:sz="12" w:space="0" w:color="auto"/>
            </w:tcBorders>
            <w:shd w:val="clear" w:color="auto" w:fill="77206D" w:themeFill="accent5" w:themeFillShade="BF"/>
            <w:textDirection w:val="btLr"/>
            <w:vAlign w:val="center"/>
          </w:tcPr>
          <w:p w14:paraId="01B9140E" w14:textId="48A7A8E1" w:rsidR="00EC5342" w:rsidRPr="0038794A" w:rsidRDefault="00EC5342" w:rsidP="00EC5342">
            <w:pPr>
              <w:snapToGrid w:val="0"/>
              <w:ind w:left="113" w:right="113"/>
              <w:jc w:val="center"/>
              <w:rPr>
                <w:rFonts w:cs="Times New Roman"/>
                <w:noProof/>
                <w:color w:val="000000" w:themeColor="text1"/>
                <w:sz w:val="22"/>
              </w:rPr>
            </w:pPr>
          </w:p>
        </w:tc>
        <w:tc>
          <w:tcPr>
            <w:tcW w:w="1701" w:type="dxa"/>
            <w:tcBorders>
              <w:top w:val="single" w:sz="12" w:space="0" w:color="000000" w:themeColor="text1"/>
              <w:left w:val="single" w:sz="12" w:space="0" w:color="auto"/>
              <w:bottom w:val="single" w:sz="12" w:space="0" w:color="000000" w:themeColor="text1"/>
              <w:right w:val="single" w:sz="12" w:space="0" w:color="000000" w:themeColor="text1"/>
            </w:tcBorders>
            <w:shd w:val="clear" w:color="auto" w:fill="DAE9F7" w:themeFill="text2" w:themeFillTint="1A"/>
            <w:vAlign w:val="center"/>
          </w:tcPr>
          <w:p w14:paraId="621AD0A4" w14:textId="40E08E1F" w:rsidR="00EC5342" w:rsidRPr="0038794A" w:rsidRDefault="00EC5342" w:rsidP="008E4AAF">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noProof/>
                <w:color w:val="000000" w:themeColor="text1"/>
                <w:sz w:val="22"/>
                <w:szCs w:val="22"/>
                <w:lang w:val="en-CA"/>
              </w:rPr>
              <w:t>Amino acids</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39C310C0"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 xml:space="preserve">Tryptophan </w:t>
            </w:r>
            <w:r w:rsidRPr="0038794A">
              <w:rPr>
                <w:rFonts w:cs="Times New Roman"/>
                <w:color w:val="000000" w:themeColor="text1"/>
                <w:sz w:val="22"/>
                <w:szCs w:val="22"/>
                <w:lang w:val="en-CA"/>
              </w:rPr>
              <w:tab/>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0B66622E"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Protein synthesis</w:t>
            </w:r>
          </w:p>
          <w:p w14:paraId="71D13CAD"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Indole-3-acetic acid (IAA) synthesis</w:t>
            </w:r>
          </w:p>
        </w:tc>
        <w:tc>
          <w:tcPr>
            <w:tcW w:w="204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03119B02" w14:textId="7A738B0F"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rPr>
              <w:fldChar w:fldCharType="begin"/>
            </w:r>
            <w:r w:rsidRPr="0038794A">
              <w:rPr>
                <w:rFonts w:cs="Times New Roman"/>
                <w:color w:val="000000" w:themeColor="text1"/>
                <w:sz w:val="22"/>
                <w:szCs w:val="22"/>
                <w:lang w:val="en-CA"/>
              </w:rPr>
              <w:instrText xml:space="preserve"> ADDIN ZOTERO_ITEM CSL_CITATION {"citationID":"Hxnzbu1u","properties":{"formattedCitation":"(Amin et al., 2015; Segev et al., 2016)","plainCitation":"(Amin et al., 2015; Segev et al., 2016)","noteIndex":0},"citationItems":[{"id":4529,"uris":["http://zotero.org/users/764524/items/8WMS58CS"],"itemData":{"id":4529,"type":"article-journal","abstract":"Molecular characterization of interactions between a globally distributed marine diatom and its bacterial consortium.","container-title":"Nature","DOI":"10.1038/nature14488","ISSN":"1476-4687","issue":"7554","language":"en","license":"2015 Springer Nature Limited","note":"publisher: Nature Publishing Group","page":"98-101","source":"www.nature.com","title":"Interaction and signalling between a cosmopolitan phytoplankton and associated bacteria","volume":"522","author":[{"family":"Amin","given":"S. A."},{"family":"Hmelo","given":"L. R."},{"family":"Tol","given":"H. M.","non-dropping-particle":"van"},{"family":"Durham","given":"B. P."},{"family":"Carlson","given":"L. T."},{"family":"Heal","given":"K. R."},{"family":"Morales","given":"R. L."},{"family":"Berthiaume","given":"C. T."},{"family":"Parker","given":"M. S."},{"family":"Djunaedi","given":"B."},{"family":"Ingalls","given":"A. E."},{"family":"Parsek","given":"M. R."},{"family":"Moran","given":"M. A."},{"family":"Armbrust","given":"E. V."}],"issued":{"date-parts":[["2015",6]]}}},{"id":4531,"uris":["http://zotero.org/users/764524/items/PFFHYZTQ"],"itemData":{"id":4531,"type":"article-journal","abstract":"Emiliania huxleyi is a model coccolithophore micro-alga that generates vast blooms in the ocean. Bacteria are not considered among the major factors influencing coccolithophore physiology. Here we show through a laboratory model system that the bacterium Phaeobacter inhibens, a well-studied member of the Roseobacter group, intimately interacts with E. huxleyi. While attached to the algal cell, bacteria initially promote algal growth but ultimately kill their algal host. Both algal growth enhancement and algal death are driven by the bacterially-produced phytohormone indole-3-acetic acid. Bacterial production of indole-3-acetic acid and attachment to algae are significantly increased by tryptophan, which is exuded from the algal cell. Algal death triggered by bacteria involves activation of pathways unique to oxidative stress response and programmed cell death. Our observations suggest that bacteria greatly influence the physiology and metabolism of E. huxleyi. Coccolithophore-bacteria interactions should be further studied in the environment to determine whether they impact micro-algal population dynamics on a global scale.","container-title":"eLife","DOI":"10.7554/eLife.17473","ISSN":"2050-084X","note":"publisher: eLife Sciences Publications, Ltd","page":"e17473","source":"eLife","title":"Dynamic metabolic exchange governs a marine algal-bacterial interaction","volume":"5","author":[{"family":"Segev","given":"Einat"},{"family":"Wyche","given":"Thomas P"},{"family":"Kim","given":"Ki Hyun"},{"family":"Petersen","given":"Jörn"},{"family":"Ellebrandt","given":"Claire"},{"family":"Vlamakis","given":"Hera"},{"family":"Barteneva","given":"Natasha"},{"family":"Paulson","given":"Joseph N"},{"family":"Chai","given":"Liraz"},{"family":"Clardy","given":"Jon"},{"family":"Kolter","given":"Roberto"}],"editor":[{"family":"Falkowski","given":"Paul G"}],"issued":{"date-parts":[["2016",11,18]]}}}],"schema":"https://github.com/citation-style-language/schema/raw/master/csl-citation.json"} </w:instrText>
            </w:r>
            <w:r w:rsidRPr="0038794A">
              <w:rPr>
                <w:rFonts w:cs="Times New Roman"/>
                <w:color w:val="000000" w:themeColor="text1"/>
                <w:sz w:val="22"/>
              </w:rPr>
              <w:fldChar w:fldCharType="separate"/>
            </w:r>
            <w:r w:rsidRPr="0038794A">
              <w:rPr>
                <w:rFonts w:cs="Times New Roman"/>
                <w:sz w:val="22"/>
                <w:szCs w:val="22"/>
              </w:rPr>
              <w:t>(Amin et al., 2015; Segev et al., 2016)</w:t>
            </w:r>
            <w:r w:rsidRPr="0038794A">
              <w:rPr>
                <w:rFonts w:cs="Times New Roman"/>
                <w:color w:val="000000" w:themeColor="text1"/>
                <w:sz w:val="22"/>
              </w:rPr>
              <w:fldChar w:fldCharType="end"/>
            </w:r>
          </w:p>
        </w:tc>
      </w:tr>
      <w:tr w:rsidR="00EC5342" w:rsidRPr="0038794A" w14:paraId="7815BECB" w14:textId="77777777" w:rsidTr="008D020D">
        <w:trPr>
          <w:trHeight w:val="326"/>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auto"/>
              <w:right w:val="single" w:sz="12" w:space="0" w:color="auto"/>
            </w:tcBorders>
            <w:shd w:val="clear" w:color="auto" w:fill="77206D" w:themeFill="accent5" w:themeFillShade="BF"/>
          </w:tcPr>
          <w:p w14:paraId="0D4685D3" w14:textId="77777777" w:rsidR="00EC5342" w:rsidRPr="0038794A" w:rsidRDefault="00EC5342" w:rsidP="008E4AAF">
            <w:pPr>
              <w:snapToGrid w:val="0"/>
              <w:rPr>
                <w:rFonts w:cs="Times New Roman"/>
                <w:noProof/>
                <w:color w:val="000000" w:themeColor="text1"/>
                <w:sz w:val="22"/>
              </w:rPr>
            </w:pPr>
          </w:p>
        </w:tc>
        <w:tc>
          <w:tcPr>
            <w:tcW w:w="1701" w:type="dxa"/>
            <w:vMerge w:val="restart"/>
            <w:tcBorders>
              <w:top w:val="single" w:sz="12" w:space="0" w:color="000000" w:themeColor="text1"/>
              <w:left w:val="single" w:sz="12" w:space="0" w:color="auto"/>
              <w:right w:val="single" w:sz="12" w:space="0" w:color="000000" w:themeColor="text1"/>
            </w:tcBorders>
            <w:shd w:val="clear" w:color="auto" w:fill="DAE9F7" w:themeFill="text2" w:themeFillTint="1A"/>
            <w:vAlign w:val="center"/>
          </w:tcPr>
          <w:p w14:paraId="69CA52AB" w14:textId="344319EE" w:rsidR="00EC5342" w:rsidRPr="0038794A" w:rsidRDefault="00EC5342" w:rsidP="008E4AAF">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B vitamins</w:t>
            </w:r>
          </w:p>
        </w:tc>
        <w:tc>
          <w:tcPr>
            <w:tcW w:w="2693" w:type="dxa"/>
            <w:tcBorders>
              <w:top w:val="single" w:sz="12" w:space="0" w:color="000000" w:themeColor="text1"/>
              <w:left w:val="single" w:sz="12" w:space="0" w:color="000000" w:themeColor="text1"/>
              <w:bottom w:val="single" w:sz="2" w:space="0" w:color="DAE9F7"/>
              <w:right w:val="single" w:sz="12" w:space="0" w:color="000000" w:themeColor="text1"/>
            </w:tcBorders>
            <w:shd w:val="clear" w:color="auto" w:fill="DAE9F7" w:themeFill="text2" w:themeFillTint="1A"/>
            <w:vAlign w:val="center"/>
          </w:tcPr>
          <w:p w14:paraId="4B7A5B0C" w14:textId="1270EAE9"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Thiamine (vitamin B</w:t>
            </w:r>
            <w:r w:rsidRPr="00CC5AD5">
              <w:rPr>
                <w:rFonts w:cs="Times New Roman"/>
                <w:color w:val="000000" w:themeColor="text1"/>
                <w:sz w:val="22"/>
                <w:szCs w:val="22"/>
                <w:vertAlign w:val="subscript"/>
                <w:lang w:val="en-CA"/>
              </w:rPr>
              <w:t>1</w:t>
            </w:r>
            <w:r w:rsidRPr="0038794A">
              <w:rPr>
                <w:rFonts w:cs="Times New Roman"/>
                <w:color w:val="000000" w:themeColor="text1"/>
                <w:sz w:val="22"/>
                <w:szCs w:val="22"/>
                <w:lang w:val="en-CA"/>
              </w:rPr>
              <w:t>)</w:t>
            </w:r>
          </w:p>
        </w:tc>
        <w:tc>
          <w:tcPr>
            <w:tcW w:w="2126" w:type="dxa"/>
            <w:tcBorders>
              <w:top w:val="single" w:sz="12" w:space="0" w:color="000000" w:themeColor="text1"/>
              <w:left w:val="single" w:sz="12" w:space="0" w:color="000000" w:themeColor="text1"/>
              <w:bottom w:val="single" w:sz="2" w:space="0" w:color="DAE9F7"/>
              <w:right w:val="single" w:sz="12" w:space="0" w:color="000000" w:themeColor="text1"/>
            </w:tcBorders>
            <w:shd w:val="clear" w:color="auto" w:fill="DAE9F7" w:themeFill="text2" w:themeFillTint="1A"/>
            <w:vAlign w:val="center"/>
          </w:tcPr>
          <w:p w14:paraId="187960A5" w14:textId="5BFBD2A8" w:rsidR="00EC5342" w:rsidRPr="0038794A"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 xml:space="preserve">Cofactor for pyruvate decarboxylase, transketolase, pyruvate dehydrogenase enzymes </w:t>
            </w:r>
          </w:p>
        </w:tc>
        <w:tc>
          <w:tcPr>
            <w:tcW w:w="2041" w:type="dxa"/>
            <w:vMerge w:val="restart"/>
            <w:tcBorders>
              <w:top w:val="single" w:sz="12" w:space="0" w:color="000000" w:themeColor="text1"/>
              <w:left w:val="single" w:sz="12" w:space="0" w:color="000000" w:themeColor="text1"/>
              <w:right w:val="single" w:sz="12" w:space="0" w:color="000000" w:themeColor="text1"/>
            </w:tcBorders>
            <w:shd w:val="clear" w:color="auto" w:fill="DAE9F7" w:themeFill="text2" w:themeFillTint="1A"/>
            <w:vAlign w:val="center"/>
          </w:tcPr>
          <w:p w14:paraId="037D46E7" w14:textId="2E36079E"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FF0000"/>
                <w:sz w:val="22"/>
                <w:szCs w:val="22"/>
                <w:lang w:val="en-CA"/>
              </w:rPr>
            </w:pPr>
            <w:r w:rsidRPr="0038794A">
              <w:rPr>
                <w:rFonts w:cs="Times New Roman"/>
                <w:sz w:val="22"/>
              </w:rPr>
              <w:fldChar w:fldCharType="begin"/>
            </w:r>
            <w:r w:rsidRPr="0038794A">
              <w:rPr>
                <w:rFonts w:cs="Times New Roman"/>
                <w:sz w:val="22"/>
                <w:szCs w:val="22"/>
              </w:rPr>
              <w:instrText xml:space="preserve"> ADDIN ZOTERO_ITEM CSL_CITATION {"citationID":"5BSWVAVV","properties":{"unsorted":true,"formattedCitation":"(Croft et al., 2005; Kazamia et al., 2012a, 2012b; Wienhausen et al., 2017; Hanson et al., 2018; Del Mondo et al., 2020)","plainCitation":"(Croft et al., 2005; Kazamia et al., 2012a, 2012b; Wienhausen et al., 2017; Hanson et al., 2018; Del Mondo et al., 2020)","noteIndex":0},"citationItems":[{"id":9277,"uris":["http://zotero.org/users/764524/items/DZP5UU29"],"itemData":{"id":9277,"type":"article-journal","abstract":"Vitamin B12 (cobalamin) is one of nature's most complex metabolites. It is an essential human nutrient, and because it is not found in plants, strict vegetarians may suffer from deficiencies. Algae, including many seaweeds, are often rich in this vitamin and thus offer a good dietary source. However, until now the role of this cofactor in algal metabolism was unknown, as was the source of the vitamin for these organisms. A survey of the vitamin B12 requirements of more than 300 microalgal species has produced a startling result. Just under half of the algae have no requirement for the vitamin, and so are just like plants. But the rest of these supposedly autotrophic organisms require an external supply of the vitamin: they cannot make it themselves, rather it comes from tightly associated symbiotic bacteria.","container-title":"Nature","DOI":"10.1038/nature04056","ISSN":"1476-4687","issue":"7064","language":"en","license":"2005 Springer Nature Limited","note":"publisher: Nature Publishing Group","page":"90-93","source":"www.nature.com","title":"Algae acquire vitamin B12 through a symbiotic relationship with bacteria","volume":"438","author":[{"family":"Croft","given":"Martin T."},{"family":"Lawrence","given":"Andrew D."},{"family":"Raux-Deery","given":"Evelyne"},{"family":"Warren","given":"Martin J."},{"family":"Smith","given":"Alison G."}],"issued":{"date-parts":[["2005",11]]}}},{"id":4553,"uris":["http://zotero.org/users/764524/items/4BAYSV5A"],"itemData":{"id":4553,"type":"article-journal","abstract":"Algal biofuel production offers great potential as a sustainable source of bioenergy without competing for arable land with food crops. However, many challenges must be overcome to enable this to be done commercially at the scale required to produce biofuels. Here we explain how an understanding of algal ecology could lead to more reliable raceway-based microalgal cultivation, drawing from established principles of community ecology to highlight practices that could be applied to protect algal cultures from unwanted contaminants. Using theoretical concepts, we show how an understanding of local community dynamics at the species level might be used to enhance productivity by encouraging certain community structures over others.","collection-title":"Photosynthetic microorganisms for bio-fuel production from sun light","container-title":"Journal of Biotechnology","DOI":"10.1016/j.jbiotec.2012.03.022","ISSN":"0168-1656","issue":"1","journalAbbreviation":"J. Biotechnol.","page":"163-169","source":"ScienceDirect","title":"Synthetic ecology – A way forward for sustainable algal biofuel production?","volume":"162","author":[{"family":"Kazamia","given":"Elena"},{"family":"Aldridge","given":"David C."},{"family":"Smith","given":"Alison G."}],"issued":{"date-parts":[["2012",11,30]]}}},{"id":9502,"uris":["http://zotero.org/users/764524/items/EMJJ6UA3"],"itemData":{"id":9502,"type":"article-journal","abstract":"Many algae are auxotrophs for vitamin B12 (cobalamin), which they need as a cofactor for B12-dependent methionine synthase (METH). Because only prokaryotes can synthesize the cobalamin, they must be the ultimate source of the vitamin. In the laboratory, a direct interaction between algae and heterotrophic bacteria has been shown, with bacteria supplying cobalamin in exchange for fixed carbon. Here we establish a system to study this interaction at the molecular level. In a culture of a B12-dependent green alga Chlamydomonas nivalis, we found a contaminating bacterium, identified by 16S rRNA analysis as Mesorhizobium sp. Using the sequenced strain of M. loti (MAFF303099), we found that it was able to support the growth of B12-dependent Lobomonas rostrata, another green alga, in return for fixed carbon. The two organisms form a stable equilibrium in terms of population numbers, which is maintained over many generations in semi-continuous culture, indicating a degree of regulation. However, addition of either vitamin B12 or a carbon source for the bacteria perturbs the equilibrium, demonstrating that the symbiosis is mutualistic and facultative. Chlamydomonas reinhardtii does not require B12 for growth because it encodes a B12-independent methionine synthase, METE, the gene for which is suppressed by addition of exogenous B12. Co-culturing C. reinhardtii with M. loti also results in reduction of METE expression, demonstrating that the bacterium can deliver the vitamin to this B12-independent alga. We discuss the implications of this for the widespread distribution of cobalamin auxotrophy in the algal kingdom.","container-title":"Environmental Microbiology","DOI":"10.1111/j.1462-2920.2012.02733.x","ISSN":"1462-2920","issue":"6","journalAbbreviation":"Environ. Microbiol.","language":"en","license":"© 2012 Society for Applied Microbiology and Blackwell Publishing Ltd","note":"_eprint: https://onlinelibrary.wiley.com/doi/pdf/10.1111/j.1462-2920.2012.02733.x","page":"1466-1476","source":"Wiley Online Library","title":"Mutualistic interactions between vitamin B12-dependent algae and heterotrophic bacteria exhibit regulation","volume":"14","author":[{"family":"Kazamia","given":"Elena"},{"family":"Czesnick","given":"Hjördis"},{"family":"Nguyen","given":"Thi Thanh Van"},{"family":"Croft","given":"Martin Tom"},{"family":"Sherwood","given":"Emma"},{"family":"Sasso","given":"Severin"},{"family":"Hodson","given":"Sarah James"},{"family":"Warren","given":"Martin James"},{"family":"Smith","given":"Alison Gail"}],"issued":{"date-parts":[["2012"]]}}},{"id":4495,"uris":["http://zotero.org/users/764524/items/MXUTFMW2"],"itemData":{"id":4495,"type":"article-journal","abstract":"Recent studies applying Fourier transform ion cyclotron resonance mass spectrometry (FT-ICR-MS) showed that the exometabolome of marine bacteria is composed of a surprisingly high molecular diversity. To shed more light on how this diversity is generated we examined the exometabolome of two model strains of the Roseobacter group, Phaeobacter inhibens and Dinoroseobacter shibae, grown on glutamate, glucose, acetate or succinate by FT-ICR-MS. We detected 2,767 and 3,354 molecular formulas in the exometabolome of each strain and 67 and 84 matched genome-predicted metabolites of P. inhibens and D. shibae, respectively. The annotated compounds include late precursors of biosynthetic pathways of vitamins B1, B2, B5, B6, B7, B12, amino acids, quorum sensing-related compounds, indole acetic acid and methyl-(indole-3-yl) acetic acid. Several formulas were also found in phytoplankton blooms. To shed more light on the effects of some of the precursors we supplemented two B1 prototrophic diatoms with the detected precursor of vitamin B1 HET (4-methyl-5-(β-hydroxyethyl)thiazole) and HMP (4-amino-5-hydroxymethyl-2-methylpyrimidine) and found that their growth was stimulated. Our findings indicate that both strains and other bacteria excreting a similar wealth of metabolites may function as important helpers to auxotrophic and prototrophic marine microbes by supplying growth factors and biosynthetic precursors.","container-title":"Frontiers in Microbiology","DOI":"10.3389/fmicb.2017.01985","ISSN":"1664-302X","journalAbbreviation":"Front. Microbiol.","language":"eng","note":"PMID: 29075248\nPMCID: PMC5643483","page":"1985","source":"PubMed","title":"The Exometabolome of Two Model Strains of the Roseobacter Group: A Marketplace of Microbial Metabolites","title-short":"The Exometabolome of Two Model Strains of the Roseobacter Group","volume":"8","author":[{"family":"Wienhausen","given":"Gerrit"},{"family":"Noriega-Ortega","given":"Beatriz E."},{"family":"Niggemann","given":"Jutta"},{"family":"Dittmar","given":"Thorsten"},{"family":"Simon","given":"Meinhard"}],"issued":{"date-parts":[["2017"]]}}},{"id":9671,"uris":["http://zotero.org/users/764524/items/XC44S7QL"],"itemData":{"id":9671,"type":"article-journal","abstract":"Thiamin is essential for plant growth but is short-lived in vivo and energetically very costly to produce – a combination that makes thiamin biosynthesis a prime target for improvement by redesign. Thiamin consists of thiazole and pyrimidine moieties. Its high biosynthetic cost stems from use of the suicide enzyme THI4 to form the thiazole and the near-suicide enzyme THIC to form the pyrimidine. These energetic costs lower biomass yield potential and are likely compounded by environmental stresses that destroy thiamin and hence increase the rate at which it must be made. The energy costs could be slashed by refactoring the thiamin biosynthesis pathway to eliminate the suicidal THI4 and THIC reactions. To substantiate this design concept, we first document the energetic costs of the THI4 and THIC steps in the pathway and explain how cutting these costs could substantially increase crop biomass and grain yields. We then show that a refactored pathway must produce thiamin itself rather than a stripped-down analog because the thiamin molecule cannot be simplified without losing biological activity. Lastly, we consider possible energy-efficient alternatives to the inefficient natural THI4- and THIC-mediated steps.","collection-title":"Synthetic Biology Meets Plant Metabolism","container-title":"Plant Science","DOI":"10.1016/j.plantsci.2018.01.019","ISSN":"0168-9452","journalAbbreviation":"Plant Sci.","page":"92-99","source":"ScienceDirect","title":"Redesigning thiamin synthesis: Prospects and potential payoffs","title-short":"Redesigning thiamin synthesis","volume":"273","author":[{"family":"Hanson","given":"Andrew D."},{"family":"Amthor","given":"Jeffrey S."},{"family":"Sun","given":"Jiayi"},{"family":"Niehaus","given":"Thomas D."},{"family":"Gregory","given":"Jesse F."},{"family":"Bruner","given":"Steven D."},{"family":"Ding","given":"Yousong"}],"issued":{"date-parts":[["2018",8,1]]}}},{"id":9673,"uris":["http://zotero.org/users/764524/items/XFHUIG79"],"itemData":{"id":9673,"type":"article-journal","abstract":"Vitamins’ deficiency in humans is an important threat worldwide and requires solutions. In the concept of natural biofactory for bioactive compounds production, microalgae represent one of the most promising targets filling many biotechnological applications, and allowing the development of an eco-sustainable production of natural bioactive metabolites. Vitamins are probably one of the cutting edges of microalgal diversity compounds.","container-title":"Microbial Cell Factories","DOI":"10.1186/s12934-020-01459-1","ISSN":"1475-2859","issue":"1","journalAbbreviation":"Microbial Cell Factories","page":"201","source":"BioMed Central","title":"Challenging microalgal vitamins for human health","volume":"19","author":[{"family":"Del Mondo","given":"Angelo"},{"family":"Smerilli","given":"Arianna"},{"family":"Sané","given":"Elisabet"},{"family":"Sansone","given":"Clementina"},{"family":"Brunet","given":"Christophe"}],"issued":{"date-parts":[["2020",11,2]]}}}],"schema":"https://github.com/citation-style-language/schema/raw/master/csl-citation.json"} </w:instrText>
            </w:r>
            <w:r w:rsidRPr="0038794A">
              <w:rPr>
                <w:rFonts w:cs="Times New Roman"/>
                <w:sz w:val="22"/>
              </w:rPr>
              <w:fldChar w:fldCharType="separate"/>
            </w:r>
            <w:r w:rsidRPr="0038794A">
              <w:rPr>
                <w:rFonts w:cs="Times New Roman"/>
                <w:sz w:val="22"/>
                <w:szCs w:val="22"/>
              </w:rPr>
              <w:t>(Croft et al., 2005; Kazamia et al., 2012a, 2012b; Wienhausen et al., 2017; Hanson et al., 2018; Del Mondo et al., 2020)</w:t>
            </w:r>
            <w:r w:rsidRPr="0038794A">
              <w:rPr>
                <w:rFonts w:cs="Times New Roman"/>
                <w:sz w:val="22"/>
              </w:rPr>
              <w:fldChar w:fldCharType="end"/>
            </w:r>
          </w:p>
        </w:tc>
      </w:tr>
      <w:tr w:rsidR="00EC5342" w:rsidRPr="0038794A" w14:paraId="21778A11" w14:textId="77777777" w:rsidTr="008D020D">
        <w:trPr>
          <w:cnfStyle w:val="000000100000" w:firstRow="0" w:lastRow="0" w:firstColumn="0" w:lastColumn="0" w:oddVBand="0" w:evenVBand="0" w:oddHBand="1" w:evenHBand="0" w:firstRowFirstColumn="0" w:firstRowLastColumn="0" w:lastRowFirstColumn="0" w:lastRowLastColumn="0"/>
          <w:trHeight w:val="1086"/>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auto"/>
              <w:right w:val="single" w:sz="12" w:space="0" w:color="auto"/>
            </w:tcBorders>
            <w:shd w:val="clear" w:color="auto" w:fill="77206D" w:themeFill="accent5" w:themeFillShade="BF"/>
          </w:tcPr>
          <w:p w14:paraId="46D2B00E" w14:textId="77777777" w:rsidR="00EC5342" w:rsidRPr="0038794A" w:rsidRDefault="00EC5342" w:rsidP="008E4AAF">
            <w:pPr>
              <w:snapToGrid w:val="0"/>
              <w:rPr>
                <w:rFonts w:cs="Times New Roman"/>
                <w:noProof/>
                <w:color w:val="000000" w:themeColor="text1"/>
                <w:sz w:val="22"/>
              </w:rPr>
            </w:pPr>
          </w:p>
        </w:tc>
        <w:tc>
          <w:tcPr>
            <w:tcW w:w="1701" w:type="dxa"/>
            <w:vMerge/>
            <w:tcBorders>
              <w:left w:val="single" w:sz="12" w:space="0" w:color="auto"/>
              <w:right w:val="single" w:sz="12" w:space="0" w:color="000000" w:themeColor="text1"/>
            </w:tcBorders>
            <w:shd w:val="clear" w:color="auto" w:fill="DAE9F7" w:themeFill="text2" w:themeFillTint="1A"/>
            <w:vAlign w:val="center"/>
          </w:tcPr>
          <w:p w14:paraId="75455865" w14:textId="6588A945" w:rsidR="00EC5342" w:rsidRPr="0038794A" w:rsidRDefault="00EC5342" w:rsidP="008E4AAF">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rPr>
            </w:pPr>
          </w:p>
        </w:tc>
        <w:tc>
          <w:tcPr>
            <w:tcW w:w="2693" w:type="dxa"/>
            <w:tcBorders>
              <w:top w:val="single" w:sz="2" w:space="0" w:color="DAE9F7"/>
              <w:left w:val="single" w:sz="12" w:space="0" w:color="000000" w:themeColor="text1"/>
              <w:bottom w:val="single" w:sz="2" w:space="0" w:color="DAE9F7"/>
              <w:right w:val="single" w:sz="12" w:space="0" w:color="000000" w:themeColor="text1"/>
            </w:tcBorders>
            <w:shd w:val="clear" w:color="auto" w:fill="CCD0EA"/>
            <w:vAlign w:val="center"/>
          </w:tcPr>
          <w:p w14:paraId="0E031EC5" w14:textId="13B0125D"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Niacin (</w:t>
            </w:r>
            <w:r>
              <w:rPr>
                <w:rFonts w:cs="Times New Roman"/>
                <w:color w:val="000000" w:themeColor="text1"/>
                <w:sz w:val="22"/>
                <w:szCs w:val="22"/>
                <w:lang w:val="en-CA"/>
              </w:rPr>
              <w:t>v</w:t>
            </w:r>
            <w:r w:rsidRPr="0038794A">
              <w:rPr>
                <w:rFonts w:cs="Times New Roman"/>
                <w:color w:val="000000" w:themeColor="text1"/>
                <w:sz w:val="22"/>
                <w:szCs w:val="22"/>
                <w:lang w:val="en-CA"/>
              </w:rPr>
              <w:t>itamin B</w:t>
            </w:r>
            <w:r w:rsidRPr="00CC5AD5">
              <w:rPr>
                <w:rFonts w:cs="Times New Roman"/>
                <w:color w:val="000000" w:themeColor="text1"/>
                <w:sz w:val="22"/>
                <w:szCs w:val="22"/>
                <w:vertAlign w:val="subscript"/>
                <w:lang w:val="en-CA"/>
              </w:rPr>
              <w:t>3</w:t>
            </w:r>
            <w:r w:rsidRPr="0038794A">
              <w:rPr>
                <w:rFonts w:cs="Times New Roman"/>
                <w:color w:val="000000" w:themeColor="text1"/>
                <w:sz w:val="22"/>
                <w:szCs w:val="22"/>
                <w:lang w:val="en-CA"/>
              </w:rPr>
              <w:t>)</w:t>
            </w:r>
          </w:p>
        </w:tc>
        <w:tc>
          <w:tcPr>
            <w:tcW w:w="2126" w:type="dxa"/>
            <w:tcBorders>
              <w:top w:val="single" w:sz="2" w:space="0" w:color="DAE9F7"/>
              <w:left w:val="single" w:sz="12" w:space="0" w:color="000000" w:themeColor="text1"/>
              <w:bottom w:val="single" w:sz="2" w:space="0" w:color="DAE9F7"/>
              <w:right w:val="single" w:sz="12" w:space="0" w:color="000000" w:themeColor="text1"/>
            </w:tcBorders>
            <w:shd w:val="clear" w:color="auto" w:fill="CCD0EA"/>
            <w:vAlign w:val="center"/>
          </w:tcPr>
          <w:p w14:paraId="28C02BDC"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38794A">
              <w:rPr>
                <w:rFonts w:cs="Times New Roman"/>
                <w:color w:val="000000" w:themeColor="text1"/>
                <w:sz w:val="22"/>
                <w:szCs w:val="22"/>
              </w:rPr>
              <w:t>Precursor of NADH and NADPH</w:t>
            </w:r>
          </w:p>
          <w:p w14:paraId="6F5F52EB"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38794A">
              <w:rPr>
                <w:rFonts w:cs="Times New Roman"/>
                <w:color w:val="000000" w:themeColor="text1"/>
                <w:sz w:val="22"/>
                <w:szCs w:val="22"/>
              </w:rPr>
              <w:t>Cofactor for nitrate reductase in photoautotrophs</w:t>
            </w:r>
          </w:p>
        </w:tc>
        <w:tc>
          <w:tcPr>
            <w:tcW w:w="2041" w:type="dxa"/>
            <w:vMerge/>
            <w:tcBorders>
              <w:left w:val="single" w:sz="12" w:space="0" w:color="000000" w:themeColor="text1"/>
              <w:right w:val="single" w:sz="12" w:space="0" w:color="000000" w:themeColor="text1"/>
            </w:tcBorders>
            <w:shd w:val="clear" w:color="auto" w:fill="DAE9F7" w:themeFill="text2" w:themeFillTint="1A"/>
            <w:vAlign w:val="center"/>
          </w:tcPr>
          <w:p w14:paraId="36FCF609"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sz w:val="22"/>
                <w:szCs w:val="22"/>
              </w:rPr>
            </w:pPr>
          </w:p>
        </w:tc>
      </w:tr>
      <w:tr w:rsidR="00EC5342" w:rsidRPr="0038794A" w14:paraId="56C561F8" w14:textId="77777777" w:rsidTr="008D020D">
        <w:trPr>
          <w:trHeight w:val="326"/>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auto"/>
              <w:right w:val="single" w:sz="12" w:space="0" w:color="auto"/>
            </w:tcBorders>
            <w:shd w:val="clear" w:color="auto" w:fill="77206D" w:themeFill="accent5" w:themeFillShade="BF"/>
          </w:tcPr>
          <w:p w14:paraId="1FEEE3E0" w14:textId="77777777" w:rsidR="00EC5342" w:rsidRPr="0038794A" w:rsidRDefault="00EC5342" w:rsidP="008E4AAF">
            <w:pPr>
              <w:snapToGrid w:val="0"/>
              <w:rPr>
                <w:rFonts w:cs="Times New Roman"/>
                <w:noProof/>
                <w:color w:val="000000" w:themeColor="text1"/>
                <w:sz w:val="22"/>
              </w:rPr>
            </w:pPr>
          </w:p>
        </w:tc>
        <w:tc>
          <w:tcPr>
            <w:tcW w:w="1701" w:type="dxa"/>
            <w:vMerge/>
            <w:tcBorders>
              <w:left w:val="single" w:sz="12" w:space="0" w:color="auto"/>
              <w:right w:val="single" w:sz="12" w:space="0" w:color="000000" w:themeColor="text1"/>
            </w:tcBorders>
            <w:shd w:val="clear" w:color="auto" w:fill="DAE9F7" w:themeFill="text2" w:themeFillTint="1A"/>
            <w:vAlign w:val="center"/>
          </w:tcPr>
          <w:p w14:paraId="01F87D01" w14:textId="1BB8E9D2" w:rsidR="00EC5342" w:rsidRPr="0038794A" w:rsidRDefault="00EC5342" w:rsidP="008E4AAF">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rPr>
            </w:pPr>
          </w:p>
        </w:tc>
        <w:tc>
          <w:tcPr>
            <w:tcW w:w="2693" w:type="dxa"/>
            <w:tcBorders>
              <w:top w:val="single" w:sz="2" w:space="0" w:color="DAE9F7"/>
              <w:left w:val="single" w:sz="12" w:space="0" w:color="000000" w:themeColor="text1"/>
              <w:bottom w:val="nil"/>
              <w:right w:val="single" w:sz="12" w:space="0" w:color="000000" w:themeColor="text1"/>
            </w:tcBorders>
            <w:shd w:val="clear" w:color="auto" w:fill="DAE9F7" w:themeFill="text2" w:themeFillTint="1A"/>
            <w:vAlign w:val="center"/>
          </w:tcPr>
          <w:p w14:paraId="1AEF7E18" w14:textId="483EF7DB"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Biotin (</w:t>
            </w:r>
            <w:r>
              <w:rPr>
                <w:rFonts w:cs="Times New Roman"/>
                <w:color w:val="000000" w:themeColor="text1"/>
                <w:sz w:val="22"/>
                <w:szCs w:val="22"/>
                <w:lang w:val="en-CA"/>
              </w:rPr>
              <w:t>v</w:t>
            </w:r>
            <w:r w:rsidRPr="0038794A">
              <w:rPr>
                <w:rFonts w:cs="Times New Roman"/>
                <w:color w:val="000000" w:themeColor="text1"/>
                <w:sz w:val="22"/>
                <w:szCs w:val="22"/>
                <w:lang w:val="en-CA"/>
              </w:rPr>
              <w:t>itamin B</w:t>
            </w:r>
            <w:r w:rsidRPr="00CC5AD5">
              <w:rPr>
                <w:rFonts w:cs="Times New Roman"/>
                <w:color w:val="000000" w:themeColor="text1"/>
                <w:sz w:val="22"/>
                <w:szCs w:val="22"/>
                <w:vertAlign w:val="subscript"/>
                <w:lang w:val="en-CA"/>
              </w:rPr>
              <w:t>7</w:t>
            </w:r>
            <w:r w:rsidRPr="0038794A">
              <w:rPr>
                <w:rFonts w:cs="Times New Roman"/>
                <w:color w:val="000000" w:themeColor="text1"/>
                <w:sz w:val="22"/>
                <w:szCs w:val="22"/>
                <w:lang w:val="en-CA"/>
              </w:rPr>
              <w:t>)</w:t>
            </w:r>
          </w:p>
        </w:tc>
        <w:tc>
          <w:tcPr>
            <w:tcW w:w="2126" w:type="dxa"/>
            <w:tcBorders>
              <w:top w:val="single" w:sz="2" w:space="0" w:color="DAE9F7"/>
              <w:left w:val="single" w:sz="12" w:space="0" w:color="000000" w:themeColor="text1"/>
              <w:bottom w:val="nil"/>
              <w:right w:val="single" w:sz="12" w:space="0" w:color="000000" w:themeColor="text1"/>
            </w:tcBorders>
            <w:shd w:val="clear" w:color="auto" w:fill="DAE9F7" w:themeFill="text2" w:themeFillTint="1A"/>
            <w:vAlign w:val="center"/>
          </w:tcPr>
          <w:p w14:paraId="70C50CDF" w14:textId="77777777" w:rsidR="00EC5342" w:rsidRPr="0038794A"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r w:rsidRPr="0038794A">
              <w:rPr>
                <w:rFonts w:cs="Times New Roman"/>
                <w:color w:val="000000" w:themeColor="text1"/>
                <w:sz w:val="22"/>
                <w:szCs w:val="22"/>
              </w:rPr>
              <w:t>Cofactor for carboxylase and decarboxylase enzymes in carbohydrate and fatty acid metabolism</w:t>
            </w:r>
          </w:p>
        </w:tc>
        <w:tc>
          <w:tcPr>
            <w:tcW w:w="2041" w:type="dxa"/>
            <w:vMerge/>
            <w:tcBorders>
              <w:left w:val="single" w:sz="12" w:space="0" w:color="000000" w:themeColor="text1"/>
              <w:right w:val="single" w:sz="12" w:space="0" w:color="000000" w:themeColor="text1"/>
            </w:tcBorders>
            <w:shd w:val="clear" w:color="auto" w:fill="DAE9F7" w:themeFill="text2" w:themeFillTint="1A"/>
            <w:vAlign w:val="center"/>
          </w:tcPr>
          <w:p w14:paraId="528BC304"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sz w:val="22"/>
                <w:szCs w:val="22"/>
              </w:rPr>
            </w:pPr>
          </w:p>
        </w:tc>
      </w:tr>
      <w:tr w:rsidR="00EC5342" w:rsidRPr="0038794A" w14:paraId="3F54BAA8" w14:textId="77777777" w:rsidTr="008D020D">
        <w:trPr>
          <w:cnfStyle w:val="000000100000" w:firstRow="0" w:lastRow="0" w:firstColumn="0" w:lastColumn="0" w:oddVBand="0" w:evenVBand="0" w:oddHBand="1" w:evenHBand="0" w:firstRowFirstColumn="0" w:firstRowLastColumn="0" w:lastRowFirstColumn="0" w:lastRowLastColumn="0"/>
          <w:trHeight w:val="1266"/>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auto"/>
              <w:right w:val="single" w:sz="12" w:space="0" w:color="auto"/>
            </w:tcBorders>
            <w:shd w:val="clear" w:color="auto" w:fill="77206D" w:themeFill="accent5" w:themeFillShade="BF"/>
          </w:tcPr>
          <w:p w14:paraId="26D6A4E3" w14:textId="77777777" w:rsidR="00EC5342" w:rsidRPr="0038794A" w:rsidRDefault="00EC5342" w:rsidP="008E4AAF">
            <w:pPr>
              <w:snapToGrid w:val="0"/>
              <w:rPr>
                <w:rFonts w:cs="Times New Roman"/>
                <w:noProof/>
                <w:color w:val="000000" w:themeColor="text1"/>
                <w:sz w:val="22"/>
              </w:rPr>
            </w:pPr>
          </w:p>
        </w:tc>
        <w:tc>
          <w:tcPr>
            <w:tcW w:w="1701" w:type="dxa"/>
            <w:vMerge/>
            <w:tcBorders>
              <w:left w:val="single" w:sz="12" w:space="0" w:color="auto"/>
              <w:right w:val="single" w:sz="12" w:space="0" w:color="000000" w:themeColor="text1"/>
            </w:tcBorders>
            <w:shd w:val="clear" w:color="auto" w:fill="DAE9F7" w:themeFill="text2" w:themeFillTint="1A"/>
            <w:vAlign w:val="center"/>
          </w:tcPr>
          <w:p w14:paraId="6D4C480C" w14:textId="2AA8BFE6" w:rsidR="00EC5342" w:rsidRPr="0038794A" w:rsidRDefault="00EC5342" w:rsidP="008E4AAF">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rPr>
            </w:pPr>
          </w:p>
        </w:tc>
        <w:tc>
          <w:tcPr>
            <w:tcW w:w="2693" w:type="dxa"/>
            <w:tcBorders>
              <w:top w:val="nil"/>
              <w:left w:val="single" w:sz="12" w:space="0" w:color="000000" w:themeColor="text1"/>
              <w:bottom w:val="single" w:sz="2" w:space="0" w:color="DAE9F7"/>
              <w:right w:val="single" w:sz="12" w:space="0" w:color="000000" w:themeColor="text1"/>
            </w:tcBorders>
            <w:shd w:val="clear" w:color="auto" w:fill="CCD0EA"/>
            <w:vAlign w:val="center"/>
          </w:tcPr>
          <w:p w14:paraId="7C164736" w14:textId="3505775F"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i/>
                <w:iCs/>
                <w:color w:val="000000" w:themeColor="text1"/>
                <w:sz w:val="22"/>
                <w:szCs w:val="22"/>
                <w:lang w:val="en-CA"/>
              </w:rPr>
              <w:t>p</w:t>
            </w:r>
            <w:r w:rsidRPr="0038794A">
              <w:rPr>
                <w:rFonts w:cs="Times New Roman"/>
                <w:color w:val="000000" w:themeColor="text1"/>
                <w:sz w:val="22"/>
                <w:szCs w:val="22"/>
                <w:lang w:val="en-CA"/>
              </w:rPr>
              <w:t>-Aminobenzoic acid (</w:t>
            </w:r>
            <w:r>
              <w:rPr>
                <w:rFonts w:cs="Times New Roman"/>
                <w:color w:val="000000" w:themeColor="text1"/>
                <w:sz w:val="22"/>
                <w:szCs w:val="22"/>
                <w:lang w:val="en-CA"/>
              </w:rPr>
              <w:t>v</w:t>
            </w:r>
            <w:r w:rsidRPr="0038794A">
              <w:rPr>
                <w:rFonts w:cs="Times New Roman"/>
                <w:color w:val="000000" w:themeColor="text1"/>
                <w:sz w:val="22"/>
                <w:szCs w:val="22"/>
                <w:lang w:val="en-CA"/>
              </w:rPr>
              <w:t>itamin B</w:t>
            </w:r>
            <w:r w:rsidRPr="00CC5AD5">
              <w:rPr>
                <w:rFonts w:cs="Times New Roman"/>
                <w:color w:val="000000" w:themeColor="text1"/>
                <w:sz w:val="22"/>
                <w:szCs w:val="22"/>
                <w:vertAlign w:val="subscript"/>
                <w:lang w:val="en-CA"/>
              </w:rPr>
              <w:t>9</w:t>
            </w:r>
            <w:r w:rsidRPr="0038794A">
              <w:rPr>
                <w:rFonts w:cs="Times New Roman"/>
                <w:color w:val="000000" w:themeColor="text1"/>
                <w:sz w:val="22"/>
                <w:szCs w:val="22"/>
                <w:lang w:val="en-CA"/>
              </w:rPr>
              <w:t xml:space="preserve"> precursor)</w:t>
            </w:r>
          </w:p>
        </w:tc>
        <w:tc>
          <w:tcPr>
            <w:tcW w:w="2126" w:type="dxa"/>
            <w:tcBorders>
              <w:top w:val="nil"/>
              <w:left w:val="single" w:sz="12" w:space="0" w:color="000000" w:themeColor="text1"/>
              <w:bottom w:val="single" w:sz="2" w:space="0" w:color="DAE9F7"/>
              <w:right w:val="single" w:sz="12" w:space="0" w:color="000000" w:themeColor="text1"/>
            </w:tcBorders>
            <w:shd w:val="clear" w:color="auto" w:fill="CCD0EA"/>
            <w:vAlign w:val="center"/>
          </w:tcPr>
          <w:p w14:paraId="7DB6DB66"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rPr>
            </w:pPr>
            <w:r w:rsidRPr="0038794A">
              <w:rPr>
                <w:rFonts w:cs="Times New Roman"/>
                <w:color w:val="000000" w:themeColor="text1"/>
                <w:sz w:val="22"/>
                <w:szCs w:val="22"/>
              </w:rPr>
              <w:t>Precursor of folate (vitamin B</w:t>
            </w:r>
            <w:r w:rsidRPr="00CC5AD5">
              <w:rPr>
                <w:rFonts w:cs="Times New Roman"/>
                <w:color w:val="000000" w:themeColor="text1"/>
                <w:sz w:val="22"/>
                <w:szCs w:val="22"/>
                <w:vertAlign w:val="subscript"/>
              </w:rPr>
              <w:t>9</w:t>
            </w:r>
            <w:r w:rsidRPr="0038794A">
              <w:rPr>
                <w:rFonts w:cs="Times New Roman"/>
                <w:color w:val="000000" w:themeColor="text1"/>
                <w:sz w:val="22"/>
                <w:szCs w:val="22"/>
              </w:rPr>
              <w:t xml:space="preserve">), which is involved in the synthesis of purines and one carbon metabolism </w:t>
            </w:r>
          </w:p>
        </w:tc>
        <w:tc>
          <w:tcPr>
            <w:tcW w:w="2041" w:type="dxa"/>
            <w:vMerge/>
            <w:tcBorders>
              <w:left w:val="single" w:sz="12" w:space="0" w:color="000000" w:themeColor="text1"/>
              <w:right w:val="single" w:sz="12" w:space="0" w:color="000000" w:themeColor="text1"/>
            </w:tcBorders>
            <w:shd w:val="clear" w:color="auto" w:fill="DAE9F7" w:themeFill="text2" w:themeFillTint="1A"/>
            <w:vAlign w:val="center"/>
          </w:tcPr>
          <w:p w14:paraId="6B0BD0C3"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sz w:val="22"/>
                <w:szCs w:val="22"/>
              </w:rPr>
            </w:pPr>
          </w:p>
        </w:tc>
      </w:tr>
      <w:tr w:rsidR="00EC5342" w:rsidRPr="0038794A" w14:paraId="6E00BF91" w14:textId="77777777" w:rsidTr="008D020D">
        <w:trPr>
          <w:trHeight w:val="1057"/>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auto"/>
              <w:right w:val="single" w:sz="12" w:space="0" w:color="auto"/>
            </w:tcBorders>
            <w:shd w:val="clear" w:color="auto" w:fill="77206D" w:themeFill="accent5" w:themeFillShade="BF"/>
          </w:tcPr>
          <w:p w14:paraId="3D0221CF" w14:textId="77777777" w:rsidR="00EC5342" w:rsidRPr="0038794A" w:rsidRDefault="00EC5342" w:rsidP="008E4AAF">
            <w:pPr>
              <w:snapToGrid w:val="0"/>
              <w:rPr>
                <w:rFonts w:cs="Times New Roman"/>
                <w:noProof/>
                <w:color w:val="000000" w:themeColor="text1"/>
                <w:sz w:val="22"/>
              </w:rPr>
            </w:pPr>
          </w:p>
        </w:tc>
        <w:tc>
          <w:tcPr>
            <w:tcW w:w="1701" w:type="dxa"/>
            <w:vMerge/>
            <w:tcBorders>
              <w:left w:val="single" w:sz="12" w:space="0" w:color="auto"/>
              <w:bottom w:val="single" w:sz="12" w:space="0" w:color="000000" w:themeColor="text1"/>
              <w:right w:val="single" w:sz="12" w:space="0" w:color="000000" w:themeColor="text1"/>
            </w:tcBorders>
            <w:shd w:val="clear" w:color="auto" w:fill="DAE9F7" w:themeFill="text2" w:themeFillTint="1A"/>
            <w:vAlign w:val="center"/>
          </w:tcPr>
          <w:p w14:paraId="30899593" w14:textId="13805323" w:rsidR="00EC5342" w:rsidRPr="0038794A" w:rsidRDefault="00EC5342" w:rsidP="008E4AAF">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rPr>
            </w:pPr>
          </w:p>
        </w:tc>
        <w:tc>
          <w:tcPr>
            <w:tcW w:w="2693" w:type="dxa"/>
            <w:tcBorders>
              <w:top w:val="single" w:sz="2" w:space="0" w:color="DAE9F7"/>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293BFA60"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b/>
                <w:bCs/>
                <w:color w:val="000000" w:themeColor="text1"/>
                <w:sz w:val="22"/>
                <w:szCs w:val="22"/>
              </w:rPr>
            </w:pPr>
            <w:r w:rsidRPr="0038794A">
              <w:rPr>
                <w:rFonts w:cs="Times New Roman"/>
                <w:color w:val="000000" w:themeColor="text1"/>
                <w:sz w:val="22"/>
                <w:szCs w:val="22"/>
                <w:lang w:val="en-CA"/>
              </w:rPr>
              <w:t>Cobalamin (vitamin B</w:t>
            </w:r>
            <w:r w:rsidRPr="00CC5AD5">
              <w:rPr>
                <w:rFonts w:cs="Times New Roman"/>
                <w:color w:val="000000" w:themeColor="text1"/>
                <w:sz w:val="22"/>
                <w:szCs w:val="22"/>
                <w:vertAlign w:val="subscript"/>
                <w:lang w:val="en-CA"/>
              </w:rPr>
              <w:t>12</w:t>
            </w:r>
            <w:r w:rsidRPr="0038794A">
              <w:rPr>
                <w:rFonts w:cs="Times New Roman"/>
                <w:color w:val="000000" w:themeColor="text1"/>
                <w:sz w:val="22"/>
                <w:szCs w:val="22"/>
                <w:lang w:val="en-CA"/>
              </w:rPr>
              <w:t>)</w:t>
            </w:r>
          </w:p>
        </w:tc>
        <w:tc>
          <w:tcPr>
            <w:tcW w:w="2126" w:type="dxa"/>
            <w:tcBorders>
              <w:top w:val="single" w:sz="2" w:space="0" w:color="DAE9F7"/>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7D0103C5" w14:textId="5E7693AA" w:rsidR="00EC5342" w:rsidRPr="0038794A"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r w:rsidRPr="0038794A">
              <w:rPr>
                <w:rFonts w:cs="Times New Roman"/>
                <w:color w:val="000000" w:themeColor="text1"/>
                <w:sz w:val="22"/>
                <w:szCs w:val="22"/>
              </w:rPr>
              <w:t>Cofactor of methionine synthase and methyl</w:t>
            </w:r>
            <w:r w:rsidR="00795BC0">
              <w:rPr>
                <w:rFonts w:cs="Times New Roman"/>
                <w:color w:val="000000" w:themeColor="text1"/>
                <w:sz w:val="22"/>
                <w:szCs w:val="22"/>
              </w:rPr>
              <w:t xml:space="preserve"> </w:t>
            </w:r>
            <w:r w:rsidRPr="0038794A">
              <w:rPr>
                <w:rFonts w:cs="Times New Roman"/>
                <w:color w:val="000000" w:themeColor="text1"/>
                <w:sz w:val="22"/>
                <w:szCs w:val="22"/>
              </w:rPr>
              <w:t>malonyl CoA mutase</w:t>
            </w:r>
          </w:p>
          <w:p w14:paraId="2AFAA709" w14:textId="77777777" w:rsidR="00EC5342" w:rsidRPr="0038794A"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rPr>
            </w:pPr>
            <w:r w:rsidRPr="0038794A">
              <w:rPr>
                <w:rFonts w:cs="Times New Roman"/>
                <w:color w:val="000000" w:themeColor="text1"/>
                <w:sz w:val="22"/>
                <w:szCs w:val="22"/>
              </w:rPr>
              <w:t>Protective against heat stress</w:t>
            </w:r>
          </w:p>
        </w:tc>
        <w:tc>
          <w:tcPr>
            <w:tcW w:w="2041" w:type="dxa"/>
            <w:vMerge/>
            <w:tcBorders>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6CE6D185"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sz w:val="22"/>
                <w:szCs w:val="22"/>
              </w:rPr>
            </w:pPr>
          </w:p>
        </w:tc>
      </w:tr>
      <w:tr w:rsidR="00EC5342" w:rsidRPr="0038794A" w14:paraId="2C14DFB9" w14:textId="77777777" w:rsidTr="008D020D">
        <w:trPr>
          <w:cnfStyle w:val="000000100000" w:firstRow="0" w:lastRow="0" w:firstColumn="0" w:lastColumn="0" w:oddVBand="0" w:evenVBand="0" w:oddHBand="1" w:evenHBand="0" w:firstRowFirstColumn="0" w:firstRowLastColumn="0" w:lastRowFirstColumn="0" w:lastRowLastColumn="0"/>
          <w:trHeight w:val="1746"/>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auto"/>
              <w:right w:val="single" w:sz="12" w:space="0" w:color="auto"/>
            </w:tcBorders>
            <w:shd w:val="clear" w:color="auto" w:fill="77206D" w:themeFill="accent5" w:themeFillShade="BF"/>
          </w:tcPr>
          <w:p w14:paraId="134412C7" w14:textId="77777777" w:rsidR="00EC5342" w:rsidRPr="0038794A" w:rsidRDefault="00EC5342" w:rsidP="008E4AAF">
            <w:pPr>
              <w:snapToGrid w:val="0"/>
              <w:rPr>
                <w:rFonts w:cs="Times New Roman"/>
                <w:noProof/>
                <w:color w:val="000000" w:themeColor="text1"/>
                <w:sz w:val="22"/>
              </w:rPr>
            </w:pPr>
          </w:p>
        </w:tc>
        <w:tc>
          <w:tcPr>
            <w:tcW w:w="1701" w:type="dxa"/>
            <w:tcBorders>
              <w:top w:val="single" w:sz="12" w:space="0" w:color="000000" w:themeColor="text1"/>
              <w:left w:val="single" w:sz="12" w:space="0" w:color="auto"/>
              <w:right w:val="single" w:sz="12" w:space="0" w:color="000000" w:themeColor="text1"/>
            </w:tcBorders>
            <w:shd w:val="clear" w:color="auto" w:fill="DAE9F7" w:themeFill="text2" w:themeFillTint="1A"/>
            <w:vAlign w:val="center"/>
          </w:tcPr>
          <w:p w14:paraId="2DC21F61" w14:textId="15D7CF9A" w:rsidR="00EC5342" w:rsidRPr="0038794A" w:rsidRDefault="00EC5342" w:rsidP="008E4AAF">
            <w:pPr>
              <w:snapToGrid w:val="0"/>
              <w:cnfStyle w:val="000000100000" w:firstRow="0" w:lastRow="0" w:firstColumn="0" w:lastColumn="0" w:oddVBand="0" w:evenVBand="0" w:oddHBand="1" w:evenHBand="0" w:firstRowFirstColumn="0" w:firstRowLastColumn="0" w:lastRowFirstColumn="0" w:lastRowLastColumn="0"/>
              <w:rPr>
                <w:rFonts w:cs="Times New Roman"/>
                <w:b/>
                <w:bCs/>
                <w:noProof/>
                <w:color w:val="000000" w:themeColor="text1"/>
                <w:sz w:val="22"/>
                <w:szCs w:val="22"/>
                <w:lang w:val="en-CA"/>
              </w:rPr>
            </w:pPr>
            <w:r w:rsidRPr="0038794A">
              <w:rPr>
                <w:rFonts w:cs="Times New Roman"/>
                <w:noProof/>
                <w:color w:val="000000" w:themeColor="text1"/>
                <w:sz w:val="22"/>
                <w:szCs w:val="22"/>
                <w:lang w:val="en-CA"/>
              </w:rPr>
              <w:t xml:space="preserve">Sulfur-containing osmolytes </w:t>
            </w:r>
          </w:p>
        </w:tc>
        <w:tc>
          <w:tcPr>
            <w:tcW w:w="2693" w:type="dxa"/>
            <w:tcBorders>
              <w:top w:val="single" w:sz="12" w:space="0" w:color="000000" w:themeColor="text1"/>
              <w:left w:val="single" w:sz="12" w:space="0" w:color="000000" w:themeColor="text1"/>
              <w:right w:val="single" w:sz="12" w:space="0" w:color="000000" w:themeColor="text1"/>
            </w:tcBorders>
            <w:shd w:val="clear" w:color="auto" w:fill="DAE9F7" w:themeFill="text2" w:themeFillTint="1A"/>
            <w:vAlign w:val="center"/>
          </w:tcPr>
          <w:p w14:paraId="0B3A8FE7"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proofErr w:type="spellStart"/>
            <w:r w:rsidRPr="0038794A">
              <w:rPr>
                <w:rFonts w:cs="Times New Roman"/>
                <w:color w:val="000000" w:themeColor="text1"/>
                <w:sz w:val="22"/>
                <w:szCs w:val="22"/>
              </w:rPr>
              <w:t>Dimethylsulfonio</w:t>
            </w:r>
            <w:proofErr w:type="spellEnd"/>
            <w:r w:rsidRPr="0038794A">
              <w:rPr>
                <w:rFonts w:cs="Times New Roman"/>
                <w:color w:val="000000" w:themeColor="text1"/>
                <w:sz w:val="22"/>
                <w:szCs w:val="22"/>
              </w:rPr>
              <w:t>-propionate</w:t>
            </w:r>
            <w:r w:rsidRPr="0038794A">
              <w:rPr>
                <w:rFonts w:cs="Times New Roman"/>
                <w:noProof/>
                <w:color w:val="000000" w:themeColor="text1"/>
                <w:sz w:val="22"/>
                <w:szCs w:val="22"/>
                <w:lang w:val="en-CA"/>
              </w:rPr>
              <w:t xml:space="preserve"> (DMSP) </w:t>
            </w:r>
          </w:p>
          <w:p w14:paraId="60AF4537"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p>
          <w:p w14:paraId="3EFF46F1"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FF0000"/>
                <w:sz w:val="22"/>
                <w:szCs w:val="22"/>
                <w:lang w:val="en-CA"/>
              </w:rPr>
            </w:pPr>
            <w:r w:rsidRPr="0038794A">
              <w:rPr>
                <w:rFonts w:cs="Times New Roman"/>
                <w:noProof/>
                <w:color w:val="000000" w:themeColor="text1"/>
                <w:sz w:val="22"/>
                <w:szCs w:val="22"/>
                <w:lang w:val="en-CA"/>
              </w:rPr>
              <w:t>Dimethylsulfoxonium propionate (DMSOP)</w:t>
            </w:r>
          </w:p>
        </w:tc>
        <w:tc>
          <w:tcPr>
            <w:tcW w:w="2126" w:type="dxa"/>
            <w:tcBorders>
              <w:top w:val="single" w:sz="12" w:space="0" w:color="000000" w:themeColor="text1"/>
              <w:left w:val="single" w:sz="12" w:space="0" w:color="000000" w:themeColor="text1"/>
              <w:right w:val="single" w:sz="12" w:space="0" w:color="000000" w:themeColor="text1"/>
            </w:tcBorders>
            <w:shd w:val="clear" w:color="auto" w:fill="DAE9F7" w:themeFill="text2" w:themeFillTint="1A"/>
            <w:vAlign w:val="center"/>
          </w:tcPr>
          <w:p w14:paraId="668EEBCD"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Sulfur source for bacteria</w:t>
            </w:r>
          </w:p>
          <w:p w14:paraId="13F90938"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Protection from oxidative stress in algae</w:t>
            </w:r>
          </w:p>
          <w:p w14:paraId="52E007CF" w14:textId="1EC5737E" w:rsidR="00EC5342" w:rsidRPr="00E36106"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 xml:space="preserve">Downregulation of </w:t>
            </w:r>
            <w:r w:rsidRPr="0038794A">
              <w:rPr>
                <w:rFonts w:cs="Times New Roman"/>
                <w:noProof/>
                <w:color w:val="000000" w:themeColor="text1"/>
                <w:sz w:val="22"/>
                <w:szCs w:val="22"/>
                <w:lang w:val="en-CA"/>
              </w:rPr>
              <w:t>N-acyl-homoserine lactone synthesis</w:t>
            </w:r>
          </w:p>
        </w:tc>
        <w:tc>
          <w:tcPr>
            <w:tcW w:w="2041" w:type="dxa"/>
            <w:tcBorders>
              <w:top w:val="single" w:sz="12" w:space="0" w:color="000000" w:themeColor="text1"/>
              <w:left w:val="single" w:sz="12" w:space="0" w:color="000000" w:themeColor="text1"/>
              <w:right w:val="single" w:sz="12" w:space="0" w:color="000000" w:themeColor="text1"/>
            </w:tcBorders>
            <w:shd w:val="clear" w:color="auto" w:fill="DAE9F7" w:themeFill="text2" w:themeFillTint="1A"/>
            <w:vAlign w:val="center"/>
          </w:tcPr>
          <w:p w14:paraId="779862D8" w14:textId="15CE9C68"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rPr>
              <w:fldChar w:fldCharType="begin"/>
            </w:r>
            <w:r w:rsidRPr="0038794A">
              <w:rPr>
                <w:rFonts w:cs="Times New Roman"/>
                <w:color w:val="000000" w:themeColor="text1"/>
                <w:sz w:val="22"/>
                <w:szCs w:val="22"/>
                <w:lang w:val="en-CA"/>
              </w:rPr>
              <w:instrText xml:space="preserve"> ADDIN ZOTERO_ITEM CSL_CITATION {"citationID":"4Yi8t25w","properties":{"unsorted":true,"formattedCitation":"(Amin et al., 2015; Landa et al., 2017; Raina et al., 2017; Kim et al., 2024)","plainCitation":"(Amin et al., 2015; Landa et al., 2017; Raina et al., 2017; Kim et al., 2024)","noteIndex":0},"citationItems":[{"id":4529,"uris":["http://zotero.org/users/764524/items/8WMS58CS"],"itemData":{"id":4529,"type":"article-journal","abstract":"Molecular characterization of interactions between a globally distributed marine diatom and its bacterial consortium.","container-title":"Nature","DOI":"10.1038/nature14488","ISSN":"1476-4687","issue":"7554","language":"en","license":"2015 Springer Nature Limited","note":"publisher: Nature Publishing Group","page":"98-101","source":"www.nature.com","title":"Interaction and signalling between a cosmopolitan phytoplankton and associated bacteria","volume":"522","author":[{"family":"Amin","given":"S. A."},{"family":"Hmelo","given":"L. R."},{"family":"Tol","given":"H. M.","non-dropping-particle":"van"},{"family":"Durham","given":"B. P."},{"family":"Carlson","given":"L. T."},{"family":"Heal","given":"K. R."},{"family":"Morales","given":"R. L."},{"family":"Berthiaume","given":"C. T."},{"family":"Parker","given":"M. S."},{"family":"Djunaedi","given":"B."},{"family":"Ingalls","given":"A. E."},{"family":"Parsek","given":"M. R."},{"family":"Moran","given":"M. A."},{"family":"Armbrust","given":"E. V."}],"issued":{"date-parts":[["2015",6]]}}},{"id":4469,"uris":["http://zotero.org/users/764524/items/9SG9XGHA"],"itemData":{"id":4469,"type":"article-journal","abstract":"In their role as primary producers, marine phytoplankton modulate heterotrophic bacterial activities through differences in the types and amounts of organic matter they release. This study investigates the transcriptional response of bacterium Ruegeria pomeroyi, a member of the Roseobacter clade known to affiliate with diverse phytoplankton groups in the ocean, during a shift in phytoplankton taxonomy. The bacterium was initially introduced into a culture of the dinoflagellate Alexandrium tamarense, and then experienced a change in phytoplankton community composition as the diatom Thalassiosira pseudonana gradually outcompeted the dinoflagellate. Samples were taken throughout the 30-day experiment to track shifts in bacterial gene expression informative of metabolic and ecological interactions. Transcriptome data indicate fundamental differences in the exometabolites released by the two phytoplankton. During growth with the dinoflagellate, gene expression patterns indicated that the main sources of carbon and energy for R. pomeroyi were dimethysulfoniopropionate (DMSP), taurine, methylated amines, and polyamines. During growth with the diatom, dihydroxypropanesulfonate (DHPS), xylose, ectoine, and glycolate instead appeared to fuel the bulk of bacterial metabolism. Expression patterns of genes for quorum sensing, gene transfer agent, and motility suggest that bacterial processes related to cell communication and signaling differed depending on which phytoplankton species dominated the co-culture. A remodeling of the R. pomeroyi transcriptome implicating more than a quarter of the genome occurred through the change in phytoplankton regime.","container-title":"The ISME Journal","DOI":"10.1038/ismej.2017.117","ISSN":"1751-7362","issue":"12","journalAbbreviation":"ISME J.","page":"2677-2690","source":"Silverchair","title":"Bacterial transcriptome remodeling during sequential co-culture with a marine dinoflagellate and diatom","volume":"11","author":[{"family":"Landa","given":"Marine"},{"family":"Burns","given":"Andrew S"},{"family":"Roth","given":"Selena J"},{"family":"Moran","given":"Mary Ann"}],"issued":{"date-parts":[["2017",12,1]]}}},{"id":9329,"uris":["http://zotero.org/users/764524/items/INFLVFMX"],"itemData":{"id":9329,"type":"article-journal","abstract":"Phytoplankton-bacteria interactions drive the surface ocean sulfur cycle and local climatic processes through the production and exchange of a key compound: dimethylsulfoniopropionate (DMSP). Despite their large-scale implications, these interactions remain unquantified at the cellular-scale. Here we use secondary-ion mass spectrometry to provide the first visualization of DMSP at sub-cellular levels, tracking the fate of a stable sulfur isotope (34S) from its incorporation by microalgae as inorganic sulfate to its biosynthesis and exudation as DMSP, and finally its uptake and degradation by bacteria. Our results identify for the first time the storage locations of DMSP in microalgae, with high enrichments present in vacuoles, cytoplasm and chloroplasts. In addition, we quantify DMSP incorporation at the single-cell level, with DMSP-degrading bacteria containing seven times more 34S than the control strain. This study provides an unprecedented methodology to label, retain, and image small diffusible molecules, which can be transposable to other symbiotic systems.","container-title":"eLife","DOI":"10.7554/eLife.23008","ISSN":"2050-084X","note":"publisher: eLife Sciences Publications, Ltd","page":"e23008","source":"eLife","title":"Subcellular tracking reveals the location of dimethylsulfoniopropionate in microalgae and visualises its uptake by marine bacteria","volume":"6","author":[{"family":"Raina","given":"Jean-Baptiste"},{"family":"Clode","given":"Peta L"},{"family":"Cheong","given":"Soshan"},{"family":"Bougoure","given":"Jeremy"},{"family":"Kilburn","given":"Matt R"},{"family":"Reeder","given":"Anthony"},{"family":"Forêt","given":"Sylvain"},{"family":"Stat","given":"Michael"},{"family":"Beltran","given":"Victor"},{"family":"Thomas-Hall","given":"Peter"},{"family":"Tapiolas","given":"Dianne"},{"family":"Motti","given":"Cherie M"},{"family":"Gong","given":"Bill"},{"family":"Pernice","given":"Mathieu"},{"family":"Marjo","given":"Christopher E"},{"family":"Seymour","given":"Justin R"},{"family":"Willis","given":"Bette L"},{"family":"Bourne","given":"David G"}],"editor":[{"family":"Falkowski","given":"Paul G"}],"issued":{"date-parts":[["2017",4,4]]}}},{"id":4533,"uris":["http://zotero.org/users/764524/items/YVRFJFUS"],"itemData":{"id":4533,"type":"article-journal","abstract":"Mutualistic interactions between marine phototrophs and associated bacteria are an important strategy for their successful survival in the ocean, but little is known about their metabolic relationships. Here, bacterial communities in the algal sphere (AS) and bulk solution (BS) of nine marine red algal cultures were analyzed, and Roseibium and Phycisphaera were identified significantly more abundantly in AS than in BS. The metabolic features of Roseibium RMAR6-6 (isolated and genome-sequenced), Phycisphaera MAG 12 (obtained by metagenomic sequencing), and a marine red alga, Porphyridium purpureum CCMP1328 (from GenBank), were analyzed bioinformatically. RMAR6-6 has the genetic capability to fix nitrogen and produce B vitamins (B1, B2, B5, B6, B9, and B12), bacterioferritin, dimethylsulfoniopropionate (DMSP), and phenylacetate that may enhance algal growth, whereas MAG 12 may have a limited metabolic capability, not producing vitamins B9 and B12, DMSP, phenylacetate, and siderophores, but with the ability to produce bacitracin, possibly modulating algal microbiome. P. purpureum CCMP1328 lacks the genetic capability to fix nitrogen and produce vitamin B12, DMSP, phenylacetate, and siderophore. It was shown that the nitrogen-fixing ability of RMAR6-6 promoted the growth of P. purpureum, and DMSP reduced the oxidative stress of P. purpureum. The metabolic interactions between strain RMAR6-6 and P. purpureum CCMP1328 were also investigated by the transcriptomic analyses of their monoculture and co-culture. Taken together, potential metabolic relationships between Roseibium and P. purpureum were proposed. This study provides a better understanding of the metabolic relationships between marine algae and algae-associated bacteria for successful growth.","container-title":"Marine Life Science &amp; Technology","DOI":"10.1007/s42995-024-00227-z","ISSN":"2662-1746","issue":"2","journalAbbreviation":"Mar. Life Sci. Technol.","language":"en","page":"298-314","source":"Springer Link","title":"Metabolic relationships between marine red algae and algae-associated bacteria","volume":"6","author":[{"family":"Kim","given":"Kyung Hyun"},{"family":"Kim","given":"Jeong Min"},{"family":"Baek","given":"Ju Hye"},{"family":"Jeong","given":"Sang Eun"},{"family":"Kim","given":"Hocheol"},{"family":"Yoon","given":"Hwan Su"},{"family":"Jeon","given":"Che Ok"}],"issued":{"date-parts":[["2024",5,1]]}}}],"schema":"https://github.com/citation-style-language/schema/raw/master/csl-citation.json"} </w:instrText>
            </w:r>
            <w:r w:rsidRPr="0038794A">
              <w:rPr>
                <w:rFonts w:cs="Times New Roman"/>
                <w:color w:val="000000" w:themeColor="text1"/>
                <w:sz w:val="22"/>
              </w:rPr>
              <w:fldChar w:fldCharType="separate"/>
            </w:r>
            <w:r w:rsidRPr="0038794A">
              <w:rPr>
                <w:rFonts w:cs="Times New Roman"/>
                <w:sz w:val="22"/>
                <w:szCs w:val="22"/>
              </w:rPr>
              <w:t>(Amin et al., 2015; Landa et al., 2017; Raina et al., 2017; Kim et al., 2024)</w:t>
            </w:r>
            <w:r w:rsidRPr="0038794A">
              <w:rPr>
                <w:rFonts w:cs="Times New Roman"/>
                <w:color w:val="000000" w:themeColor="text1"/>
                <w:sz w:val="22"/>
              </w:rPr>
              <w:fldChar w:fldCharType="end"/>
            </w:r>
          </w:p>
        </w:tc>
      </w:tr>
      <w:tr w:rsidR="00EC5342" w:rsidRPr="0038794A" w14:paraId="65061CF3" w14:textId="77777777" w:rsidTr="008D020D">
        <w:trPr>
          <w:trHeight w:val="912"/>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auto"/>
              <w:bottom w:val="single" w:sz="12" w:space="0" w:color="000000" w:themeColor="text1"/>
              <w:right w:val="single" w:sz="12" w:space="0" w:color="auto"/>
            </w:tcBorders>
            <w:shd w:val="clear" w:color="auto" w:fill="77206D" w:themeFill="accent5" w:themeFillShade="BF"/>
          </w:tcPr>
          <w:p w14:paraId="180E5624" w14:textId="77777777" w:rsidR="00EC5342" w:rsidRPr="0038794A" w:rsidRDefault="00EC5342" w:rsidP="008E4AAF">
            <w:pPr>
              <w:snapToGrid w:val="0"/>
              <w:rPr>
                <w:rFonts w:cs="Times New Roman"/>
                <w:noProof/>
                <w:color w:val="000000" w:themeColor="text1"/>
                <w:sz w:val="22"/>
              </w:rPr>
            </w:pPr>
          </w:p>
        </w:tc>
        <w:tc>
          <w:tcPr>
            <w:tcW w:w="1701" w:type="dxa"/>
            <w:tcBorders>
              <w:top w:val="single" w:sz="12" w:space="0" w:color="000000" w:themeColor="text1"/>
              <w:left w:val="single" w:sz="12" w:space="0" w:color="auto"/>
              <w:bottom w:val="single" w:sz="12" w:space="0" w:color="000000" w:themeColor="text1"/>
              <w:right w:val="single" w:sz="12" w:space="0" w:color="000000" w:themeColor="text1"/>
            </w:tcBorders>
            <w:shd w:val="clear" w:color="auto" w:fill="DAE9F7" w:themeFill="text2" w:themeFillTint="1A"/>
            <w:vAlign w:val="center"/>
          </w:tcPr>
          <w:p w14:paraId="37D77B5F" w14:textId="359108E0" w:rsidR="00EC5342" w:rsidRPr="0038794A" w:rsidRDefault="00EC5342" w:rsidP="008E4AAF">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Iron Siderophore</w:t>
            </w:r>
          </w:p>
        </w:tc>
        <w:tc>
          <w:tcPr>
            <w:tcW w:w="2693" w:type="dxa"/>
            <w:tcBorders>
              <w:top w:val="single" w:sz="12" w:space="0" w:color="000000" w:themeColor="text1"/>
              <w:left w:val="single" w:sz="12" w:space="0" w:color="000000" w:themeColor="text1"/>
              <w:bottom w:val="single" w:sz="24" w:space="0" w:color="156082" w:themeColor="accent1"/>
              <w:right w:val="single" w:sz="12" w:space="0" w:color="000000" w:themeColor="text1"/>
            </w:tcBorders>
            <w:shd w:val="clear" w:color="auto" w:fill="DAE9F7" w:themeFill="text2" w:themeFillTint="1A"/>
            <w:vAlign w:val="center"/>
          </w:tcPr>
          <w:p w14:paraId="60A4CA12"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Cupriachelin</w:t>
            </w:r>
          </w:p>
          <w:p w14:paraId="2CE8F739"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rPr>
            </w:pPr>
          </w:p>
          <w:p w14:paraId="006101A7"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Bacterioferritin</w:t>
            </w:r>
          </w:p>
        </w:tc>
        <w:tc>
          <w:tcPr>
            <w:tcW w:w="2126" w:type="dxa"/>
            <w:tcBorders>
              <w:top w:val="single" w:sz="12" w:space="0" w:color="000000" w:themeColor="text1"/>
              <w:left w:val="single" w:sz="12" w:space="0" w:color="000000" w:themeColor="text1"/>
              <w:bottom w:val="single" w:sz="24" w:space="0" w:color="156082" w:themeColor="accent1"/>
              <w:right w:val="single" w:sz="12" w:space="0" w:color="000000" w:themeColor="text1"/>
            </w:tcBorders>
            <w:shd w:val="clear" w:color="auto" w:fill="DAE9F7" w:themeFill="text2" w:themeFillTint="1A"/>
            <w:vAlign w:val="center"/>
          </w:tcPr>
          <w:p w14:paraId="252B46D2" w14:textId="1733BA53" w:rsidR="00EC5342" w:rsidRPr="00E36106"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Chelation of iron for transport across cellular membranes</w:t>
            </w:r>
          </w:p>
        </w:tc>
        <w:tc>
          <w:tcPr>
            <w:tcW w:w="2041" w:type="dxa"/>
            <w:tcBorders>
              <w:top w:val="single" w:sz="12" w:space="0" w:color="000000" w:themeColor="text1"/>
              <w:left w:val="single" w:sz="12" w:space="0" w:color="000000" w:themeColor="text1"/>
              <w:bottom w:val="single" w:sz="24" w:space="0" w:color="156082" w:themeColor="accent1"/>
              <w:right w:val="single" w:sz="12" w:space="0" w:color="000000" w:themeColor="text1"/>
            </w:tcBorders>
            <w:shd w:val="clear" w:color="auto" w:fill="DAE9F7" w:themeFill="text2" w:themeFillTint="1A"/>
            <w:vAlign w:val="center"/>
          </w:tcPr>
          <w:p w14:paraId="08489EF0" w14:textId="26FD2550"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rPr>
              <w:fldChar w:fldCharType="begin"/>
            </w:r>
            <w:r w:rsidRPr="0038794A">
              <w:rPr>
                <w:rFonts w:cs="Times New Roman"/>
                <w:color w:val="000000" w:themeColor="text1"/>
                <w:sz w:val="22"/>
                <w:szCs w:val="22"/>
                <w:lang w:val="en-CA"/>
              </w:rPr>
              <w:instrText xml:space="preserve"> ADDIN ZOTERO_ITEM CSL_CITATION {"citationID":"2QYOsGoq","properties":{"unsorted":true,"formattedCitation":"(Kurth et al., 2019; Kim et al., 2024)","plainCitation":"(Kurth et al., 2019; Kim et al., 2024)","noteIndex":0},"citationItems":[{"id":4478,"uris":["http://zotero.org/users/764524/items/M2GU2X3D"],"itemData":{"id":4478,"type":"article-journal","abstract":"Cupriachelin is a photoreactive lipopeptide siderophore produced by the freshwater bacterium Cupriavidus necator H16. In the presence of sunlight, the iron-loaded siderophore undergoes photolytic cleavage, thereby releasing solubilized iron into the environment. This iron is not only available to the siderophore producer, but also to the surrounding microbial community. In this study, the cupriachelin-based interaction between C. necator H16 and the freshwater diatom Navicula pelliculosa was investigated. A reporter strain of the bacterium was constructed to study differential expression levels of the cupriachelin biosynthesis gene cucJ in response to varying environmental conditions. Not only iron starvation, but also culture supernatants of N. pelliculosa were found to induce cupriachelin biosynthesis. The transcription factors involved in this differential gene expression were identified using DNA–protein pulldown assays. Besides the well-characterized ferric uptake regulator, a two-component system was found to tune the expression of cupriachelin biosynthesis genes in the presence of diatom supernatants.","container-title":"BioMetals","DOI":"10.1007/s10534-018-0159-6","ISSN":"1572-8773","issue":"1","journalAbbreviation":"Biometals","language":"en","page":"77-88","source":"Springer Link","title":"Algae induce siderophore biosynthesis in the freshwater bacterium Cupriavidus necator H16","volume":"32","author":[{"family":"Kurth","given":"Colette"},{"family":"Wasmuth","given":"Ina"},{"family":"Wichard","given":"Thomas"},{"family":"Pohnert","given":"Georg"},{"family":"Nett","given":"Markus"}],"issued":{"date-parts":[["2019",2,1]]}}},{"id":4533,"uris":["http://zotero.org/users/764524/items/YVRFJFUS"],"itemData":{"id":4533,"type":"article-journal","abstract":"Mutualistic interactions between marine phototrophs and associated bacteria are an important strategy for their successful survival in the ocean, but little is known about their metabolic relationships. Here, bacterial communities in the algal sphere (AS) and bulk solution (BS) of nine marine red algal cultures were analyzed, and Roseibium and Phycisphaera were identified significantly more abundantly in AS than in BS. The metabolic features of Roseibium RMAR6-6 (isolated and genome-sequenced), Phycisphaera MAG 12 (obtained by metagenomic sequencing), and a marine red alga, Porphyridium purpureum CCMP1328 (from GenBank), were analyzed bioinformatically. RMAR6-6 has the genetic capability to fix nitrogen and produce B vitamins (B1, B2, B5, B6, B9, and B12), bacterioferritin, dimethylsulfoniopropionate (DMSP), and phenylacetate that may enhance algal growth, whereas MAG 12 may have a limited metabolic capability, not producing vitamins B9 and B12, DMSP, phenylacetate, and siderophores, but with the ability to produce bacitracin, possibly modulating algal microbiome. P. purpureum CCMP1328 lacks the genetic capability to fix nitrogen and produce vitamin B12, DMSP, phenylacetate, and siderophore. It was shown that the nitrogen-fixing ability of RMAR6-6 promoted the growth of P. purpureum, and DMSP reduced the oxidative stress of P. purpureum. The metabolic interactions between strain RMAR6-6 and P. purpureum CCMP1328 were also investigated by the transcriptomic analyses of their monoculture and co-culture. Taken together, potential metabolic relationships between Roseibium and P. purpureum were proposed. This study provides a better understanding of the metabolic relationships between marine algae and algae-associated bacteria for successful growth.","container-title":"Marine Life Science &amp; Technology","DOI":"10.1007/s42995-024-00227-z","ISSN":"2662-1746","issue":"2","journalAbbreviation":"Mar. Life Sci. Technol.","language":"en","page":"298-314","source":"Springer Link","title":"Metabolic relationships between marine red algae and algae-associated bacteria","volume":"6","author":[{"family":"Kim","given":"Kyung Hyun"},{"family":"Kim","given":"Jeong Min"},{"family":"Baek","given":"Ju Hye"},{"family":"Jeong","given":"Sang Eun"},{"family":"Kim","given":"Hocheol"},{"family":"Yoon","given":"Hwan Su"},{"family":"Jeon","given":"Che Ok"}],"issued":{"date-parts":[["2024",5,1]]}}}],"schema":"https://github.com/citation-style-language/schema/raw/master/csl-citation.json"} </w:instrText>
            </w:r>
            <w:r w:rsidRPr="0038794A">
              <w:rPr>
                <w:rFonts w:cs="Times New Roman"/>
                <w:color w:val="000000" w:themeColor="text1"/>
                <w:sz w:val="22"/>
              </w:rPr>
              <w:fldChar w:fldCharType="separate"/>
            </w:r>
            <w:r w:rsidRPr="0038794A">
              <w:rPr>
                <w:rFonts w:cs="Times New Roman"/>
                <w:sz w:val="22"/>
                <w:szCs w:val="22"/>
              </w:rPr>
              <w:t>(Kurth et al., 2019; Kim et al., 2024)</w:t>
            </w:r>
            <w:r w:rsidRPr="0038794A">
              <w:rPr>
                <w:rFonts w:cs="Times New Roman"/>
                <w:color w:val="000000" w:themeColor="text1"/>
                <w:sz w:val="22"/>
              </w:rPr>
              <w:fldChar w:fldCharType="end"/>
            </w:r>
          </w:p>
        </w:tc>
      </w:tr>
      <w:tr w:rsidR="00EC5342" w:rsidRPr="0038794A" w14:paraId="056F5D81" w14:textId="77777777" w:rsidTr="008D020D">
        <w:trPr>
          <w:cnfStyle w:val="000000100000" w:firstRow="0" w:lastRow="0" w:firstColumn="0" w:lastColumn="0" w:oddVBand="0" w:evenVBand="0" w:oddHBand="1" w:evenHBand="0" w:firstRowFirstColumn="0" w:firstRowLastColumn="0" w:lastRowFirstColumn="0" w:lastRowLastColumn="0"/>
          <w:trHeight w:val="2729"/>
        </w:trPr>
        <w:tc>
          <w:tcPr>
            <w:cnfStyle w:val="001000000000" w:firstRow="0" w:lastRow="0" w:firstColumn="1" w:lastColumn="0" w:oddVBand="0" w:evenVBand="0" w:oddHBand="0" w:evenHBand="0" w:firstRowFirstColumn="0" w:firstRowLastColumn="0" w:lastRowFirstColumn="0" w:lastRowLastColumn="0"/>
            <w:tcW w:w="846" w:type="dxa"/>
            <w:vMerge w:val="restart"/>
            <w:tcBorders>
              <w:top w:val="single" w:sz="24" w:space="0" w:color="156082" w:themeColor="accent1"/>
              <w:left w:val="single" w:sz="12" w:space="0" w:color="000000" w:themeColor="text1"/>
              <w:right w:val="single" w:sz="12" w:space="0" w:color="000000" w:themeColor="text1"/>
            </w:tcBorders>
            <w:textDirection w:val="btLr"/>
            <w:vAlign w:val="center"/>
          </w:tcPr>
          <w:p w14:paraId="34622EFE" w14:textId="2F3E0CA1" w:rsidR="00EC5342" w:rsidRPr="00EC5342" w:rsidRDefault="00EC5342" w:rsidP="00EC5342">
            <w:pPr>
              <w:snapToGrid w:val="0"/>
              <w:ind w:left="113" w:right="113"/>
              <w:jc w:val="center"/>
              <w:rPr>
                <w:rFonts w:cs="Times New Roman"/>
                <w:noProof/>
                <w:sz w:val="32"/>
                <w:szCs w:val="36"/>
              </w:rPr>
            </w:pPr>
            <w:r w:rsidRPr="00EC5342">
              <w:rPr>
                <w:rFonts w:cs="Times New Roman"/>
                <w:noProof/>
                <w:sz w:val="32"/>
                <w:szCs w:val="36"/>
              </w:rPr>
              <w:t>Signalling molecules</w:t>
            </w:r>
          </w:p>
        </w:tc>
        <w:tc>
          <w:tcPr>
            <w:tcW w:w="1701" w:type="dxa"/>
            <w:tcBorders>
              <w:top w:val="single" w:sz="24" w:space="0" w:color="156082" w:themeColor="accen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5D51C02C" w14:textId="2A6D0B95"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N-acyl-homoserine lactones (AHLs)</w:t>
            </w:r>
          </w:p>
        </w:tc>
        <w:tc>
          <w:tcPr>
            <w:tcW w:w="2693" w:type="dxa"/>
            <w:tcBorders>
              <w:top w:val="single" w:sz="24" w:space="0" w:color="156082" w:themeColor="accen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24464801"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N-(3-oxodododecanoyl)-L-homoserine lactone (OXO12)</w:t>
            </w:r>
          </w:p>
          <w:p w14:paraId="3745170B"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p>
          <w:p w14:paraId="7091E22D"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 xml:space="preserve">N-(3-hydroxyoctanoyl)-L-homoserine lactone </w:t>
            </w:r>
          </w:p>
          <w:p w14:paraId="279EC8BE"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(OH-C</w:t>
            </w:r>
            <w:r w:rsidRPr="0038794A">
              <w:rPr>
                <w:rFonts w:cs="Times New Roman"/>
                <w:noProof/>
                <w:color w:val="000000" w:themeColor="text1"/>
                <w:sz w:val="22"/>
                <w:szCs w:val="22"/>
                <w:vertAlign w:val="subscript"/>
                <w:lang w:val="en-CA"/>
              </w:rPr>
              <w:t>8</w:t>
            </w:r>
            <w:r w:rsidRPr="0038794A">
              <w:rPr>
                <w:rFonts w:cs="Times New Roman"/>
                <w:noProof/>
                <w:color w:val="000000" w:themeColor="text1"/>
                <w:sz w:val="22"/>
                <w:szCs w:val="22"/>
                <w:lang w:val="en-CA"/>
              </w:rPr>
              <w:t>-HL)</w:t>
            </w:r>
          </w:p>
        </w:tc>
        <w:tc>
          <w:tcPr>
            <w:tcW w:w="2126" w:type="dxa"/>
            <w:tcBorders>
              <w:top w:val="single" w:sz="24" w:space="0" w:color="156082" w:themeColor="accen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187E62F"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Quorum sensing molecule</w:t>
            </w:r>
          </w:p>
          <w:p w14:paraId="259665A7"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 xml:space="preserve">Increase production of saturated and monounsaturated fatty acids </w:t>
            </w:r>
          </w:p>
          <w:p w14:paraId="15C68393"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Increase production of lipids on cell surfaces for removal of heavy metal pollutants</w:t>
            </w:r>
          </w:p>
          <w:p w14:paraId="7BB251F3"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 xml:space="preserve">Can undergo rearrangement to </w:t>
            </w:r>
            <w:proofErr w:type="spellStart"/>
            <w:r w:rsidRPr="0038794A">
              <w:rPr>
                <w:rFonts w:cs="Times New Roman"/>
                <w:color w:val="000000" w:themeColor="text1"/>
                <w:sz w:val="22"/>
                <w:szCs w:val="22"/>
              </w:rPr>
              <w:t>tetramic</w:t>
            </w:r>
            <w:proofErr w:type="spellEnd"/>
            <w:r w:rsidRPr="0038794A">
              <w:rPr>
                <w:rFonts w:cs="Times New Roman"/>
                <w:color w:val="000000" w:themeColor="text1"/>
                <w:sz w:val="22"/>
                <w:szCs w:val="22"/>
              </w:rPr>
              <w:t xml:space="preserve"> acids</w:t>
            </w:r>
          </w:p>
        </w:tc>
        <w:tc>
          <w:tcPr>
            <w:tcW w:w="2041" w:type="dxa"/>
            <w:tcBorders>
              <w:top w:val="single" w:sz="24" w:space="0" w:color="156082" w:themeColor="accen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02FED649" w14:textId="06B93AAC"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eastAsia="zh-CN"/>
              </w:rPr>
            </w:pPr>
            <w:r w:rsidRPr="0038794A">
              <w:rPr>
                <w:sz w:val="22"/>
              </w:rPr>
              <w:fldChar w:fldCharType="begin"/>
            </w:r>
            <w:r w:rsidRPr="0038794A">
              <w:rPr>
                <w:sz w:val="22"/>
                <w:szCs w:val="22"/>
                <w:lang w:val="en-CA"/>
              </w:rPr>
              <w:instrText xml:space="preserve"> ADDIN ZOTERO_ITEM CSL_CITATION {"citationID":"4lJHSBDV","properties":{"unsorted":true,"formattedCitation":"(Stock et al., 2020; Parveen and Patidar, 2023; Yu et al., 2024)","plainCitation":"(Stock et al., 2020; Parveen and Patidar, 2023; Yu et al., 2024)","noteIndex":0},"citationItems":[{"id":4380,"uris":["http://zotero.org/users/764524/items/F4KDPG46"],"itemData":{"id":4380,"type":"article-journal","abstract":"&lt;p&gt;In aquatic habitats, diatoms are frequently found in association with Proteobacteria, many members of which employ cell-to-cell communication via &lt;italic&gt;N&lt;/italic&gt;-acyl homoserine lactones (AHLs). It has been suggested that diatoms could distinguish between beneficial and algicidal bacteria in their surroundings by sensing AHLs. Although some microalgae can interfere with AHL signaling, e.g., by releasing AHL mimics or degrading them, molecular responses to AHLs in microalgae are still unclear. Therefore, we tested the effects of short-chained AHLs, i.e., &lt;italic&gt;N&lt;/italic&gt;-hexanoyl homoserine lactone (C6-HSL), &lt;italic&gt;N&lt;/italic&gt;-3-hydroxyhexanoyl homoserine lactone (OH-C6-HSL), and &lt;italic&gt;N&lt;/italic&gt;-3-oxohexanoyl homoserine lactone (oxo-C6-HSL) and long-chained AHLs, i.e., &lt;italic&gt;N&lt;/italic&gt;-tetradecanoyl homoserine lactone (C14-HSL), &lt;italic&gt;N&lt;/italic&gt;-3-hydroxytetradecanoyl homoserine lactone (OH-C14-HSL), and &lt;italic&gt;N&lt;/italic&gt;-3-oxotetradecanoyl homoserine lactone (oxo-C14-HSL), on growth of the benthic diatom &lt;italic&gt;Seminavis robusta&lt;/italic&gt;. All tested short-chained AHLs did not affect diatom growth, while long-chained AHLs promoted (C14-HSL) or inhibited (OH-C14-HSL and oxo-C14-HSL) growth. To investigate the physiological effects of these long-chained AHLs in more detail, an RNA-seq experiment was performed during which &lt;italic&gt;S. robusta&lt;/italic&gt; was treated with the growth-promoting C14-HSL and the growth-inhibiting oxo-C14-HSL. One tetramic acid was also tested (TA14), a structural rearrangement product of oxo-C14-HSL, which also induced growth inhibition in &lt;italic&gt;S. robusta&lt;/italic&gt;. After 3 days of treatment, analysis revealed that 3,410 genes were differentially expressed in response to at least one of the compounds. In the treatment with the growth-promoting C14-HSL many genes involved in intracellular signaling were upregulated. On the other hand, exposure to growth-inhibiting oxo-C14-HSL and TA14 triggered a switch in lipid metabolism towards increased fatty acid degradation. In addition, oxo-C14-HSL led to downregulation of cell cycle genes, which is in agreement with the stagnation of cell growth in this treatment. Combined, our results indicate that bacterial signaling molecules with high structural similarity induce contrasting physiological responses in &lt;italic&gt;S. robusta&lt;/italic&gt;.&lt;/p&gt;","container-title":"Frontiers in Microbiology","DOI":"10.3389/fmicb.2020.01240","ISSN":"1664-302X","journalAbbreviation":"Front. Microbiol.","language":"English","note":"publisher: Frontiers","page":"01240","source":"Frontiers","title":"Distinctive Growth and Transcriptional Changes of the Diatom &lt;i&gt;Seminavis robusta&lt;/i&gt; in Response to Quorum Sensing Related Compounds","volume":"11","author":[{"family":"Stock","given":"Frederike"},{"family":"Bilcke","given":"Gust"},{"family":"De Decker","given":"Sam"},{"family":"Osuna-Cruz","given":"Cristina Maria"},{"family":"Van den Berge","given":"Koen"},{"family":"Vancaester","given":"Emmelien"},{"family":"De Veylder","given":"Lieven"},{"family":"Vandepoele","given":"Klaas"},{"family":"Mangelinckx","given":"Sven"},{"family":"Vyverman","given":"Wim"}],"issued":{"date-parts":[["2020",6,9]]}}},{"id":4571,"uris":["http://zotero.org/users/764524/items/WH4Z4X7F"],"itemData":{"id":4571,"type":"article-journal","abstract":"Quorum sensing precursors of bacteria interact with microalgae in cultures and indirectly affect the algal physiology but their profound effect on the lipid and biomass in relation to improving the biofuel competence is one of the potential unexplored areas. The knowledge on the effect of phycospheric bacterial quorum sensing (QS) precursors on the lipid metabolism of microalgae under axenic and xenic conditions is highly restricted. This study endeavored to investigate an independent effect of QS precursors on the selected potential alga Chlorella sp. and unraveled the hidden prospect of QS for improvement of the lipids and identified the differences between the xenic and axenic conditions in the presence and absence of the QS precursors. Results revealed that N-(3-Oxododecanoyl)-L-homoserine lactone and N-(3-Hydroxyoctanoyl)-DL-homoserine lactone changed lipid composition, increased lipid productivity (2–4.5- folds) and biomass productivity (1.96–4.2- folds) under both xenic and axenic conditions of Chlorella sp. Further, selected QS precursors ameliorated fatty acid composition of the biomass that affected the resultant biodiesel properties at the end. N-(3-Hydroxyoctanoyl)-DL-homoserine promoted synthesis of PUFA and phospholipids with higher C18:2n6 compare to control. In contrast, N-(3-Oxododecanoyl)-L-homoserine lactone promoted SFA and neutral lipids with higher C18:00. Upon investigation of the stress physiology of Chlorella sp., it was revealed that the above QS precursors mediate the antioxidant levels and accumulate lipids, while also encourage biomass amelioration.","container-title":"Chemical Engineering Journal","DOI":"10.1016/j.cej.2023.144757","ISSN":"1385-8947","journalAbbreviation":"Chem. Eng. J.","page":"144757","source":"ScienceDirect","title":"Bacterial quorum sensing precursors N-(3-Oxododecanoyl)-L-homoserine lactone &amp; N-(3-Hydroxyoctanoyl)-DL-homoserine lactone ameliorate algal biomass, lipids and fatty acids","volume":"471","author":[{"family":"Parveen","given":"Sana"},{"family":"Patidar","given":"Shailesh Kumar"}],"issued":{"date-parts":[["2023",9,1]]}}},{"id":4612,"uris":["http://zotero.org/users/764524/items/ZYNDJ6AV"],"itemData":{"id":4612,"type":"article-journal","abstract":"Indigenous microalgae-bacteria consortium (IMBC) offers significant advantages for swine wastewater (SW) treatment including enhanced adaptability and resource recovery. In this review, the approaches for enriching IMBC both in situ and ex situ were comprehensively described, followed by symbiotic mechanisms for IMBC which involve metabolic cross-feeding and signal transmission. Strategies for enhancing treatment efficiencies of SW-originated IMBC were then introduced, including improving SW quality, optimizing system operating conditions, and adjusting microbial activities. Recommendations for maximizing treatment efficiencies were particularly proposed using a decision tree approach. Moreover, removal/recovery mechanisms for typical pollutants in SW using IMBC were critically discussed. Ultimately, a technical route termed SW-IMBC-Crop-Pig was proposed, to achieve a closed-loop economy for pig farms by integrating SW treatment with crop cultivation. This review provides a deeper understanding of the mechanism and strategies for IMBC’s resource recovery from SW.","container-title":"Bioresource Technology","DOI":"10.1016/j.biortech.2024.131055","ISSN":"0960-8524","journalAbbreviation":"Bioresour. Technol.","page":"131055","source":"ScienceDirect","title":"Principles, Challenges, and optimization of Indigenous Microalgae-Bacteria consortium for sustainable swine wastewater treatment","author":[{"family":"Yu","given":"Sheng"},{"family":"Chen","given":"Zhipeng"},{"family":"Li","given":"Mengting"},{"family":"Qiu","given":"Shuang"},{"family":"Lv","given":"Zhe"},{"family":"Ge","given":"Shijian"}],"issued":{"date-parts":[["2024",6,27]]}}}],"schema":"https://github.com/citation-style-language/schema/raw/master/csl-citation.json"} </w:instrText>
            </w:r>
            <w:r w:rsidRPr="0038794A">
              <w:rPr>
                <w:sz w:val="22"/>
              </w:rPr>
              <w:fldChar w:fldCharType="separate"/>
            </w:r>
            <w:r w:rsidRPr="0038794A">
              <w:rPr>
                <w:rFonts w:cs="Times New Roman"/>
                <w:sz w:val="22"/>
                <w:szCs w:val="22"/>
              </w:rPr>
              <w:t>(Stock et al., 2020; Parveen and Patidar, 2023; Yu et al., 2024)</w:t>
            </w:r>
            <w:r w:rsidRPr="0038794A">
              <w:rPr>
                <w:sz w:val="22"/>
              </w:rPr>
              <w:fldChar w:fldCharType="end"/>
            </w:r>
          </w:p>
        </w:tc>
      </w:tr>
      <w:tr w:rsidR="00EC5342" w:rsidRPr="0038794A" w14:paraId="19F78E9D" w14:textId="77777777" w:rsidTr="008D020D">
        <w:trPr>
          <w:trHeight w:val="1535"/>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right w:val="single" w:sz="12" w:space="0" w:color="000000" w:themeColor="text1"/>
            </w:tcBorders>
          </w:tcPr>
          <w:p w14:paraId="78921EA3" w14:textId="77777777" w:rsidR="00EC5342" w:rsidRPr="0038794A" w:rsidRDefault="00EC5342" w:rsidP="00E36106">
            <w:pPr>
              <w:snapToGrid w:val="0"/>
              <w:rPr>
                <w:rFonts w:cs="Times New Roman"/>
                <w:noProof/>
                <w:color w:val="000000" w:themeColor="text1"/>
                <w:sz w:val="22"/>
                <w:lang w:eastAsia="zh-CN"/>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C62CD13" w14:textId="35B19446"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eastAsia="zh-CN"/>
              </w:rPr>
            </w:pPr>
            <w:r w:rsidRPr="0038794A">
              <w:rPr>
                <w:rFonts w:cs="Times New Roman"/>
                <w:noProof/>
                <w:color w:val="000000" w:themeColor="text1"/>
                <w:sz w:val="22"/>
                <w:szCs w:val="22"/>
                <w:lang w:val="en-CA" w:eastAsia="zh-CN"/>
              </w:rPr>
              <w:t>Tetramic acids</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56206A5"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eastAsia="zh-CN"/>
              </w:rPr>
            </w:pPr>
            <w:r w:rsidRPr="0038794A">
              <w:rPr>
                <w:rFonts w:cs="Times New Roman"/>
                <w:noProof/>
                <w:color w:val="000000" w:themeColor="text1"/>
                <w:sz w:val="22"/>
                <w:szCs w:val="22"/>
                <w:lang w:val="en-CA" w:eastAsia="zh-CN"/>
              </w:rPr>
              <w:t xml:space="preserve">3-(1-hydroxydecylidene)-5-(2-hydroxyethyl)-pyrrolidine-2,4-dione </w:t>
            </w:r>
          </w:p>
          <w:p w14:paraId="6CA5ADBC"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eastAsia="zh-CN"/>
              </w:rPr>
            </w:pPr>
            <w:r w:rsidRPr="0038794A">
              <w:rPr>
                <w:rFonts w:cs="Times New Roman"/>
                <w:noProof/>
                <w:color w:val="000000" w:themeColor="text1"/>
                <w:sz w:val="22"/>
                <w:szCs w:val="22"/>
                <w:lang w:val="en-CA" w:eastAsia="zh-CN"/>
              </w:rPr>
              <w:t>(TA12)</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45AEB544" w14:textId="0C3C03EB" w:rsidR="00EC5342" w:rsidRPr="00E36106"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Inhibit microalgal growth by decreasing efficiency of photosynthesis</w:t>
            </w:r>
          </w:p>
        </w:tc>
        <w:tc>
          <w:tcPr>
            <w:tcW w:w="204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5A6CC612" w14:textId="3D5A7586"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rPr>
              <w:fldChar w:fldCharType="begin"/>
            </w:r>
            <w:r w:rsidRPr="0038794A">
              <w:rPr>
                <w:rFonts w:cs="Times New Roman"/>
                <w:color w:val="000000" w:themeColor="text1"/>
                <w:sz w:val="22"/>
                <w:szCs w:val="22"/>
                <w:lang w:val="en-CA"/>
              </w:rPr>
              <w:instrText xml:space="preserve"> ADDIN ZOTERO_ITEM CSL_CITATION {"citationID":"g8o3x1E2","properties":{"formattedCitation":"(Stock et al., 2019)","plainCitation":"(Stock et al., 2019)","noteIndex":0},"citationItems":[{"id":4477,"uris":["http://zotero.org/users/764524/items/MUSSUGSL"],"itemData":{"id":4477,"type":"article-journal","abstract":"Marine bacteria contribute substantially to nutrient cycling in the oceans and can engage in close interactions with microalgae. Many microalgae harbor characteristic satellite bacteria, many of which participate in N-acyl homoserine lactone (AHL) mediated quorum sensing. In the diffusion-controlled phycosphere, AHLs can reach high local concentrations, with some of them transforming into tetramic acids, compounds with a broad bioactivity. We tested a representative AHL, N-(3-oxododecanoyl) homoserine lactone, and its tetramic acid rearrangement product on the diatom Phaeodactylum tricornutum. While cell growth and photosynthetic efficiency of photosystem II were barely affected by the AHL, exposure to its tetramic acid rearrangement product had a negative effect on photosynthetic efficiency and led to growth inhibition and cell death in the long term, with a minimum inhibitory concentration between 20 and 50 μΜ. These results strengthen the view that AHLs may play an important role in shaping the outcome of microalgae–bacteria interactions.","container-title":"ACS Chemical Biology","DOI":"10.1021/acschembio.8b01101","ISSN":"1554-8929","issue":"2","journalAbbreviation":"ACS Chem. Biol.","note":"publisher: American Chemical Society","page":"198-203","source":"ACS Publications","title":"N-Acyl Homoserine Lactone Derived Tetramic Acids Impair Photosynthesis in &lt;i&gt;Phaeodactylum tricornutum&lt;/i&gt;","volume":"14","author":[{"family":"Stock","given":"Frederike"},{"family":"Syrpas","given":"Michail"},{"family":"Graff van Creveld","given":"Shiri"},{"family":"Backx","given":"Simon"},{"family":"Blommaert","given":"Lander"},{"family":"Dow","given":"Lachlan"},{"family":"Stock","given":"Willem"},{"family":"Ruysbergh","given":"Ewout"},{"family":"Lepetit","given":"Bernard"},{"family":"Bailleul","given":"Benjamin"},{"family":"Sabbe","given":"Koen"},{"family":"De Kimpe","given":"Norbert"},{"family":"Willems","given":"Anne"},{"family":"Kroth","given":"Peter G."},{"family":"Vardi","given":"Assaf"},{"family":"Vyverman","given":"Wim"},{"family":"Mangelinckx","given":"Sven"}],"issued":{"date-parts":[["2019",2,15]]}}}],"schema":"https://github.com/citation-style-language/schema/raw/master/csl-citation.json"} </w:instrText>
            </w:r>
            <w:r w:rsidRPr="0038794A">
              <w:rPr>
                <w:rFonts w:cs="Times New Roman"/>
                <w:color w:val="000000" w:themeColor="text1"/>
                <w:sz w:val="22"/>
              </w:rPr>
              <w:fldChar w:fldCharType="separate"/>
            </w:r>
            <w:r w:rsidRPr="0038794A">
              <w:rPr>
                <w:rFonts w:cs="Times New Roman"/>
                <w:sz w:val="22"/>
                <w:szCs w:val="22"/>
              </w:rPr>
              <w:t>(Stock et al., 2019)</w:t>
            </w:r>
            <w:r w:rsidRPr="0038794A">
              <w:rPr>
                <w:rFonts w:cs="Times New Roman"/>
                <w:color w:val="000000" w:themeColor="text1"/>
                <w:sz w:val="22"/>
              </w:rPr>
              <w:fldChar w:fldCharType="end"/>
            </w:r>
          </w:p>
        </w:tc>
      </w:tr>
      <w:tr w:rsidR="00EC5342" w:rsidRPr="0038794A" w14:paraId="4D506044" w14:textId="77777777" w:rsidTr="008D020D">
        <w:trPr>
          <w:cnfStyle w:val="000000100000" w:firstRow="0" w:lastRow="0" w:firstColumn="0" w:lastColumn="0" w:oddVBand="0" w:evenVBand="0" w:oddHBand="1" w:evenHBand="0" w:firstRowFirstColumn="0" w:firstRowLastColumn="0" w:lastRowFirstColumn="0" w:lastRowLastColumn="0"/>
          <w:trHeight w:val="679"/>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right w:val="single" w:sz="12" w:space="0" w:color="000000" w:themeColor="text1"/>
            </w:tcBorders>
          </w:tcPr>
          <w:p w14:paraId="72898434" w14:textId="77777777" w:rsidR="00EC5342" w:rsidRPr="0038794A" w:rsidRDefault="00EC5342" w:rsidP="00E36106">
            <w:pPr>
              <w:snapToGrid w:val="0"/>
              <w:rPr>
                <w:rFonts w:cs="Times New Roman"/>
                <w:noProof/>
                <w:color w:val="000000" w:themeColor="text1"/>
                <w:sz w:val="22"/>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48799E54" w14:textId="18AE51EC"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2-Alkyl-4-quinolones</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7CBBC9B0"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2-Heptyl-4-quinolone</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4B356896"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 xml:space="preserve">Inhibition of algal growth </w:t>
            </w:r>
          </w:p>
          <w:p w14:paraId="5AFA21E0"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 xml:space="preserve">Inhibition of cytochrome </w:t>
            </w:r>
            <w:r w:rsidRPr="00A23CD7">
              <w:rPr>
                <w:rFonts w:cs="Times New Roman"/>
                <w:i/>
                <w:iCs/>
                <w:color w:val="000000" w:themeColor="text1"/>
                <w:sz w:val="22"/>
                <w:szCs w:val="22"/>
                <w:lang w:val="en-CA"/>
              </w:rPr>
              <w:t>b</w:t>
            </w:r>
            <w:r w:rsidRPr="0038794A">
              <w:rPr>
                <w:rFonts w:cs="Times New Roman"/>
                <w:color w:val="000000" w:themeColor="text1"/>
                <w:sz w:val="22"/>
                <w:szCs w:val="22"/>
                <w:vertAlign w:val="subscript"/>
                <w:lang w:val="en-CA"/>
              </w:rPr>
              <w:t>6</w:t>
            </w:r>
            <w:r w:rsidRPr="00A23CD7">
              <w:rPr>
                <w:rFonts w:cs="Times New Roman"/>
                <w:i/>
                <w:iCs/>
                <w:color w:val="000000" w:themeColor="text1"/>
                <w:sz w:val="22"/>
                <w:szCs w:val="22"/>
                <w:lang w:val="en-CA"/>
              </w:rPr>
              <w:t>f</w:t>
            </w:r>
            <w:r w:rsidRPr="0038794A">
              <w:rPr>
                <w:rFonts w:cs="Times New Roman"/>
                <w:color w:val="000000" w:themeColor="text1"/>
                <w:sz w:val="22"/>
                <w:szCs w:val="22"/>
                <w:lang w:val="en-CA"/>
              </w:rPr>
              <w:t xml:space="preserve"> complex in the presence of light</w:t>
            </w:r>
          </w:p>
          <w:p w14:paraId="48F270FB"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Inhibition of cellular respiration in the absence of light</w:t>
            </w:r>
          </w:p>
        </w:tc>
        <w:tc>
          <w:tcPr>
            <w:tcW w:w="204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7E52886" w14:textId="3D5086CD"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sz w:val="22"/>
              </w:rPr>
              <w:fldChar w:fldCharType="begin"/>
            </w:r>
            <w:r w:rsidRPr="0038794A">
              <w:rPr>
                <w:sz w:val="22"/>
                <w:szCs w:val="22"/>
                <w:lang w:val="en-CA"/>
              </w:rPr>
              <w:instrText xml:space="preserve"> ADDIN ZOTERO_ITEM CSL_CITATION {"citationID":"OisvDyw0","properties":{"formattedCitation":"(Dow et al., 2020; Garrett and Whalen, 2023; Meyer et al., 2017)","plainCitation":"(Dow et al., 2020; Garrett and Whalen, 2023; Meyer et al., 2017)","noteIndex":0},"citationItems":[{"id":4474,"uris":["http://zotero.org/users/764524/items/PKIDRHD7"],"itemData":{"id":4474,"type":"article-journal","abstract":"The mechanisms underlying interactions between diatoms and bacteria are crucial to understand diatom behaviour and proliferation, and can result in far-reaching ecological consequences. Recently, 2-alkyl-4-quinolones have been isolated from marine bacteria, both of which (the bacterium and isolated chemical) inhibited growth of microalgae, suggesting these compounds could mediate diatom–bacteria interactions. The effects of several quinolones on three diatom species have been investigated. The growth of all three was inhibited, with half-maximal inhibitory concentrations reaching the sub-micromolar range. By using multiple techniques, dual inhibition mechanisms were uncovered for 2-heptyl-4-quinolone (HHQ) in Phaeodactylum tricornutum. Firstly, photosynthetic electron transport was obstructed, primarily through inhibition of the cytochrome b6f complex. Secondly, respiration was inhibited, leading to repression of ATP supply to plastids from mitochondria through organelle energy coupling. These data clearly show how HHQ could modulate diatom proliferation in marine environments.","container-title":"ChemBioChem","DOI":"10.1002/cbic.201900612","ISSN":"1439-7633","issue":"8","language":"en","note":"_eprint: https://onlinelibrary.wiley.com/doi/pdf/10.1002/cbic.201900612","page":"1206-1216","source":"Wiley Online Library","title":"The Multifaceted Inhibitory Effects of an Alkylquinolone on the Diatom Phaeodactylum tricornutum","volume":"21","author":[{"family":"Dow","given":"Lachlan"},{"family":"Stock","given":"Frederike"},{"family":"Peltekis","given":"Alexandra"},{"family":"Szamosvári","given":"Dávid"},{"family":"Prothiwa","given":"Michaela"},{"family":"Lapointe","given":"Adrien"},{"family":"Böttcher","given":"Thomas"},{"family":"Bailleul","given":"Benjamin"},{"family":"Vyverman","given":"Wim"},{"family":"Kroth","given":"Peter G."},{"family":"Lepetit","given":"Bernard"}],"issued":{"date-parts":[["2020"]]}}},{"id":4573,"uris":["http://zotero.org/users/764524/items/5RMFPK7U"],"itemData":{"id":4573,"type":"article-journal","abstract":"&lt;p&gt;Interactions between marine phytoplankton, viruses, and bacteria drive biogeochemical cycling, shape marine trophic structures, and impact global climate. Microbially produced compounds have emerged as key players in influencing eukaryotic organismal physiology, and in turn, remodel microbial community structure. This work aimed to reveal the molecular mechanism by which the bacterial quorum sensing molecule 2-heptyl-4-quinolone (HHQ), produced by the marine gammaproteobacterium &lt;italic&gt;Pseudoalteromonas&lt;/italic&gt; spp., arrests cell division and confers protection from virus-induced mortality in the bloom-forming coccolithophore &lt;italic&gt;Emiliania huxleyi&lt;/italic&gt;. Previous work has established alkylquinolones as inhibitors of dihydroorotate dehydrogenase (DHODH), a fundamental enzyme catalyzing the fourth step in pyrimidine biosynthesis and a potential antiviral drug target. An N-terminally truncated version of &lt;italic&gt;E. huxleyi&lt;/italic&gt; DHODH was heterologously expressed in &lt;italic&gt;E. coli&lt;/italic&gt;, purified, and kinetically characterized. Here, we show HHQ is a potent inhibitor (K&lt;sub&gt;i&lt;/sub&gt; of 2.3 nM) of &lt;italic&gt;E. huxleyi&lt;/italic&gt; DHODH. &lt;italic&gt;E. huxleyi&lt;/italic&gt; cells exposed to brequinar, the canonical human DHODH inhibitor, experienced immediate, yet reversible cellular arrest, an effect which mirrors HHQ-induced cellular stasis previously observed. However, brequinar treatment lacked other notable effects observed in HHQ-exposed &lt;italic&gt;E. huxleyi&lt;/italic&gt; including significant changes in cell size, chlorophyll fluorescence, and protection from virus-induced lysis, indicating HHQ has additional as yet undiscovered physiological targets. Together, these results suggest a novel and intricate role of bacterial quorum sensing molecules in tripartite interdomain interactions in marine ecosystems, opening new avenues for exploring the role of microbial chemical signaling in algal bloom regulation and host-pathogen dynamics.&lt;/p&gt;","container-title":"Frontiers in Microbiology","DOI":"10.3389/fmicb.2023.1266972","ISSN":"1664-302X","journalAbbreviation":"Front. Microbiol.","language":"English","note":"publisher: Frontiers","page":"1266972","source":"Frontiers","title":"A bacterial quorum sensing signal is a potent inhibitor of de novo pyrimidine biosynthesis in the globally abundant Emiliania huxleyi","volume":"14","author":[{"family":"Garrett","given":"Oscar"},{"family":"Whalen","given":"Kristen E."}],"issued":{"date-parts":[["2023",10,6]]}}},{"id":9513,"uris":["http://zotero.org/users/764524/items/4EZ93DH8"],"itemData":{"id":9513,"type":"article-journal","abstract":"In both freshwater and marine ecosystems, phytoplankton are the most dominant primary producers, contributing substantially to aquatic food webs. Algicidal bacteria that can associate to microalgae from the phytoplankton have the capability to control the proliferation and even to lyse them. These bacteria thus play an important role in shaping species composition in pelagic environments. In this review, we discuss and categorise strategies used by algicidal bacteria for the attack on microalgae. We highlight the complex regulation of algicidal activity and defence responses that govern alga–bacteria interactions. We also discuss how algicidal bacteria impact algal physiology and metabolism and survey the existing algicidal metabolites and enzymes. The review illustrates that the ecological role of algicidal bacteria is not yet fully understood and critically discusses the challenges in obtaining ecologically relevant data.","container-title":"FEMS Microbiology Reviews","DOI":"10.1093/femsre/fux029","ISSN":"0168-6445","issue":"6","journalAbbreviation":"FEMS Microbiol. Rev.","page":"880-899","source":"Silverchair","title":"Strategies and ecological roles of algicidal bacteria","volume":"41","author":[{"family":"Meyer","given":"Nils"},{"family":"Bigalke","given":"Arite"},{"family":"Kaulfuß","given":"Anett"},{"family":"Pohnert","given":"Georg"}],"issued":{"date-parts":[["2017",11,1]]}}}],"schema":"https://github.com/citation-style-language/schema/raw/master/csl-citation.json"} </w:instrText>
            </w:r>
            <w:r w:rsidRPr="0038794A">
              <w:rPr>
                <w:sz w:val="22"/>
              </w:rPr>
              <w:fldChar w:fldCharType="separate"/>
            </w:r>
            <w:r w:rsidRPr="0038794A">
              <w:rPr>
                <w:rFonts w:cs="Times New Roman"/>
                <w:sz w:val="22"/>
                <w:szCs w:val="22"/>
              </w:rPr>
              <w:t>(Dow et al., 2020; Garrett and Whalen, 2023; Meyer et al., 2017)</w:t>
            </w:r>
            <w:r w:rsidRPr="0038794A">
              <w:rPr>
                <w:sz w:val="22"/>
              </w:rPr>
              <w:fldChar w:fldCharType="end"/>
            </w:r>
          </w:p>
        </w:tc>
      </w:tr>
      <w:tr w:rsidR="00EC5342" w:rsidRPr="0038794A" w14:paraId="4DF92CE8" w14:textId="77777777" w:rsidTr="008D020D">
        <w:trPr>
          <w:trHeight w:val="1953"/>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right w:val="single" w:sz="12" w:space="0" w:color="000000" w:themeColor="text1"/>
            </w:tcBorders>
          </w:tcPr>
          <w:p w14:paraId="74419AAC" w14:textId="77777777" w:rsidR="00EC5342" w:rsidRPr="0038794A" w:rsidRDefault="00EC5342" w:rsidP="00974735">
            <w:pPr>
              <w:snapToGrid w:val="0"/>
              <w:rPr>
                <w:rFonts w:cs="Times New Roman"/>
                <w:noProof/>
                <w:color w:val="000000" w:themeColor="text1"/>
                <w:sz w:val="22"/>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37353C68" w14:textId="20A1A4F2" w:rsidR="00EC5342" w:rsidRPr="0038794A" w:rsidRDefault="00EC5342" w:rsidP="00974735">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Auxins</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05B364E" w14:textId="77777777" w:rsidR="00EC5342" w:rsidRPr="0038794A" w:rsidRDefault="00EC5342" w:rsidP="00974735">
            <w:pPr>
              <w:snapToGrid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sz w:val="22"/>
                <w:szCs w:val="22"/>
                <w:lang w:val="en-CA"/>
              </w:rPr>
            </w:pPr>
            <w:r w:rsidRPr="0038794A">
              <w:rPr>
                <w:rFonts w:cs="Times New Roman"/>
                <w:bCs/>
                <w:color w:val="000000" w:themeColor="text1"/>
                <w:sz w:val="22"/>
                <w:szCs w:val="22"/>
                <w:lang w:val="en-CA"/>
              </w:rPr>
              <w:t xml:space="preserve">Indole-3-acetic acid (IAA) </w:t>
            </w:r>
          </w:p>
          <w:p w14:paraId="163EFD9E" w14:textId="77777777" w:rsidR="00EC5342" w:rsidRPr="0038794A" w:rsidRDefault="00EC5342" w:rsidP="00974735">
            <w:pPr>
              <w:snapToGrid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sz w:val="22"/>
                <w:szCs w:val="22"/>
                <w:lang w:val="en-CA"/>
              </w:rPr>
            </w:pPr>
          </w:p>
          <w:p w14:paraId="0994617B" w14:textId="77777777" w:rsidR="00EC5342" w:rsidRPr="0038794A" w:rsidRDefault="00EC5342" w:rsidP="00974735">
            <w:pPr>
              <w:snapToGrid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sz w:val="22"/>
                <w:szCs w:val="22"/>
                <w:lang w:val="en-CA"/>
              </w:rPr>
            </w:pPr>
            <w:r w:rsidRPr="0038794A">
              <w:rPr>
                <w:rFonts w:cs="Times New Roman"/>
                <w:bCs/>
                <w:color w:val="000000" w:themeColor="text1"/>
                <w:sz w:val="22"/>
                <w:szCs w:val="22"/>
                <w:lang w:val="en-CA"/>
              </w:rPr>
              <w:t>Phenylacetic acid (PAA)</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C6C5F50" w14:textId="77777777" w:rsidR="00EC5342" w:rsidRPr="0038794A" w:rsidRDefault="00EC5342" w:rsidP="00974735">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rPr>
              <w:t>Enhance algal growth at low concentrations</w:t>
            </w:r>
          </w:p>
          <w:p w14:paraId="04913950" w14:textId="77777777" w:rsidR="00EC5342" w:rsidRPr="0038794A" w:rsidRDefault="00EC5342" w:rsidP="00974735">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 xml:space="preserve">Inhibit algal growth at high concentrations </w:t>
            </w:r>
          </w:p>
          <w:p w14:paraId="52505CD9" w14:textId="77777777" w:rsidR="00EC5342" w:rsidRPr="0038794A" w:rsidRDefault="00EC5342" w:rsidP="00974735">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Protection from environmental stress in bacteria</w:t>
            </w:r>
          </w:p>
        </w:tc>
        <w:tc>
          <w:tcPr>
            <w:tcW w:w="204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7006BFCE" w14:textId="77777777" w:rsidR="00EC5342" w:rsidRPr="0038794A" w:rsidRDefault="00EC5342" w:rsidP="00974735">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rPr>
              <w:fldChar w:fldCharType="begin"/>
            </w:r>
            <w:r>
              <w:rPr>
                <w:rFonts w:cs="Times New Roman"/>
                <w:color w:val="000000" w:themeColor="text1"/>
                <w:sz w:val="22"/>
                <w:szCs w:val="22"/>
                <w:lang w:val="en-CA"/>
              </w:rPr>
              <w:instrText xml:space="preserve"> ADDIN ZOTERO_ITEM CSL_CITATION {"citationID":"njtMxhJK","properties":{"unsorted":true,"formattedCitation":"(Amin et al., 2015; Segev et al., 2016; Cheng et al., 2023; Wu et al., 2024)","plainCitation":"(Amin et al., 2015; Segev et al., 2016; Cheng et al., 2023; Wu et al., 2024)","noteIndex":0},"citationItems":[{"id":4529,"uris":["http://zotero.org/users/764524/items/8WMS58CS"],"itemData":{"id":4529,"type":"article-journal","abstract":"Molecular characterization of interactions between a globally distributed marine diatom and its bacterial consortium.","container-title":"Nature","DOI":"10.1038/nature14488","ISSN":"1476-4687","issue":"7554","language":"en","license":"2015 Springer Nature Limited","note":"publisher: Nature Publishing Group","page":"98-101","source":"www.nature.com","title":"Interaction and signalling between a cosmopolitan phytoplankton and associated bacteria","volume":"522","author":[{"family":"Amin","given":"S. A."},{"family":"Hmelo","given":"L. R."},{"family":"Tol","given":"H. M.","non-dropping-particle":"van"},{"family":"Durham","given":"B. P."},{"family":"Carlson","given":"L. T."},{"family":"Heal","given":"K. R."},{"family":"Morales","given":"R. L."},{"family":"Berthiaume","given":"C. T."},{"family":"Parker","given":"M. S."},{"family":"Djunaedi","given":"B."},{"family":"Ingalls","given":"A. E."},{"family":"Parsek","given":"M. R."},{"family":"Moran","given":"M. A."},{"family":"Armbrust","given":"E. V."}],"issued":{"date-parts":[["2015",6]]}}},{"id":4531,"uris":["http://zotero.org/users/764524/items/PFFHYZTQ"],"itemData":{"id":4531,"type":"article-journal","abstract":"Emiliania huxleyi is a model coccolithophore micro-alga that generates vast blooms in the ocean. Bacteria are not considered among the major factors influencing coccolithophore physiology. Here we show through a laboratory model system that the bacterium Phaeobacter inhibens, a well-studied member of the Roseobacter group, intimately interacts with E. huxleyi. While attached to the algal cell, bacteria initially promote algal growth but ultimately kill their algal host. Both algal growth enhancement and algal death are driven by the bacterially-produced phytohormone indole-3-acetic acid. Bacterial production of indole-3-acetic acid and attachment to algae are significantly increased by tryptophan, which is exuded from the algal cell. Algal death triggered by bacteria involves activation of pathways unique to oxidative stress response and programmed cell death. Our observations suggest that bacteria greatly influence the physiology and metabolism of E. huxleyi. Coccolithophore-bacteria interactions should be further studied in the environment to determine whether they impact micro-algal population dynamics on a global scale.","container-title":"eLife","DOI":"10.7554/eLife.17473","ISSN":"2050-084X","note":"publisher: eLife Sciences Publications, Ltd","page":"e17473","source":"eLife","title":"Dynamic metabolic exchange governs a marine algal-bacterial interaction","volume":"5","author":[{"family":"Segev","given":"Einat"},{"family":"Wyche","given":"Thomas P"},{"family":"Kim","given":"Ki Hyun"},{"family":"Petersen","given":"Jörn"},{"family":"Ellebrandt","given":"Claire"},{"family":"Vlamakis","given":"Hera"},{"family":"Barteneva","given":"Natasha"},{"family":"Paulson","given":"Joseph N"},{"family":"Chai","given":"Liraz"},{"family":"Clardy","given":"Jon"},{"family":"Kolter","given":"Roberto"}],"editor":[{"family":"Falkowski","given":"Paul G"}],"issued":{"date-parts":[["2016",11,18]]}}},{"id":4664,"uris":["http://zotero.org/users/764524/items/U4T4HZ2X"],"itemData":{"id":4664,"type":"article-journal","abstract":"&lt;p&gt;Most signaling molecules are involved in inter-or intra-species communication, and signaling involving cross-kingdom cell-to-cell communication is limited. Howerver, algae and bacteria exchange nutrients and information in a range of interactions in marine environments. Multiple signaling molecules exist between algae and bacteria, including quorum-sensing molecules, nitric oxide, and volatile organic compounds. Recently, indole-3-acetic acid (IAA), an auxin hormone that is a well-studied signaling molecule in terrestrial ecosystems, was found to act as a cue in cross-kingdom communication between algae and bacteria in aquatic environments. To increase understanding of the roles of IAA in the phycosphere, the latest evidence regarding the ecological functions of IAA in cross-kingdom communication between algae and bacteria has been compiled in this review. The pathways of IAA biosynthesis, effects of IAA on algal growth &amp;amp; reproduction, and potential mechanisms at phenotypic and molecular levels are summarized. It is proposed that IAA is an important molecule regulating algal–bacterial interactions and acts as an invisible driving force in the formation of algal blooms.&lt;/p&gt;","container-title":"Frontiers in Microbiology","DOI":"10.3389/fmicb.2023.1236925","ISSN":"1664-302X","journalAbbreviation":"Front. Microbiol.","language":"English","note":"publisher: Frontiers","page":"1236925","source":"Frontiers","title":"Indole-3-acetic acid as a cross-talking molecule in algal-bacterial interactions and a potential driving force in algal bloom formation","volume":"14","author":[{"family":"Cheng","given":"Xueyu"},{"family":"Li","given":"Xinyang"},{"family":"Tong","given":"Mengmeng"},{"family":"Wu","given":"Jiajun"},{"family":"Chan","given":"Leo Lai"},{"family":"Cai","given":"Zhonghua"},{"family":"Zhou","given":"Jin"}],"issued":{"date-parts":[["2023",10,20]]}}},{"id":9676,"uris":["http://zotero.org/users/764524/items/F64DK22N"],"itemData":{"id":9676,"type":"article-journal","abstract":"Recently, photogranules composed of bacteria and microalgae for carbon-negative nitrogen removal receive extensive attention worldwide, yet which type of bacteria is helpful for rapid formation of photogranules and whether they depend on signaling communication remain elusive. Varied signaling communication was analyzed using metagenomic method among bacteria and microalgae in via of two types of experimentally verified signaling molecule from bacteria to microalgae, which include indole-3-acetic acid (IAA) and N-acyl homoserine lactones (AHLs) during the operation of photo-bioreactors. Signaling communication is helpful for the adaptability of bacteria to survive with algae. Compared with non-signaling bacteria, signaling bacteria more easily adapt to the varied conditions, evidenced by the increased abundance in the operated reactors. Signaling bacteria are easier to enter the phycosphere, and they dominate the interactions between bacteria and algae rather than non-signaling bacteria. The co-abundance groups (CAGs) with signaling bacteria possess higher abundance than that without signaling bacteria (22.27 % and 6.67 %). Importantly, signaling bacteria accessibly interact with microalgae, which possess higher degree centralities and 32.50 % of them are keystone nodes in the network, in contrast to only 18.66 % of non-signaling bacteria. Thauera carrying both IAA and AHLs synthase genes are highly enriched and positively correlated with nitrogen removal rate. Our work not only highlights the essential roles of signaling communication between microalgae and bacteria in the development of photogranules, but also enriches our understanding of microbial sociobiology.","container-title":"Science of The Total Environment","DOI":"10.1016/j.scitotenv.2024.169975","ISSN":"0048-9697","journalAbbreviation":"Sci. Total Environ.","page":"169975","source":"ScienceDirect","title":"Communication mediated interaction between bacteria and microalgae advances photogranulation","volume":"914","author":[{"family":"Wu","given":"Xiaogang"},{"family":"Kong","given":"Lingrui"},{"family":"Feng","given":"Yiming"},{"family":"Zheng","given":"Ru"},{"family":"Zhou","given":"Jianhang"},{"family":"Sun","given":"Jingqi"},{"family":"Liu","given":"Sitong"}],"issued":{"date-parts":[["2024",3,1]]}}}],"schema":"https://github.com/citation-style-language/schema/raw/master/csl-citation.json"} </w:instrText>
            </w:r>
            <w:r w:rsidRPr="0038794A">
              <w:rPr>
                <w:rFonts w:cs="Times New Roman"/>
                <w:color w:val="000000" w:themeColor="text1"/>
                <w:sz w:val="22"/>
              </w:rPr>
              <w:fldChar w:fldCharType="separate"/>
            </w:r>
            <w:r w:rsidRPr="0038794A">
              <w:rPr>
                <w:rFonts w:cs="Times New Roman"/>
                <w:sz w:val="22"/>
                <w:szCs w:val="22"/>
              </w:rPr>
              <w:t>(Amin et al., 2015; Segev et al., 2016; Cheng et al., 2023; Wu et al., 2024)</w:t>
            </w:r>
            <w:r w:rsidRPr="0038794A">
              <w:rPr>
                <w:rFonts w:cs="Times New Roman"/>
                <w:color w:val="000000" w:themeColor="text1"/>
                <w:sz w:val="22"/>
              </w:rPr>
              <w:fldChar w:fldCharType="end"/>
            </w:r>
          </w:p>
        </w:tc>
      </w:tr>
      <w:tr w:rsidR="00EC5342" w:rsidRPr="0038794A" w14:paraId="6B625601" w14:textId="77777777" w:rsidTr="008D020D">
        <w:trPr>
          <w:cnfStyle w:val="000000100000" w:firstRow="0" w:lastRow="0" w:firstColumn="0" w:lastColumn="0" w:oddVBand="0" w:evenVBand="0" w:oddHBand="1" w:evenHBand="0" w:firstRowFirstColumn="0" w:firstRowLastColumn="0" w:lastRowFirstColumn="0" w:lastRowLastColumn="0"/>
          <w:trHeight w:val="1384"/>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right w:val="single" w:sz="12" w:space="0" w:color="000000" w:themeColor="text1"/>
            </w:tcBorders>
          </w:tcPr>
          <w:p w14:paraId="54EC343C" w14:textId="77777777" w:rsidR="00EC5342" w:rsidRPr="0038794A" w:rsidRDefault="00EC5342" w:rsidP="00E36106">
            <w:pPr>
              <w:snapToGrid w:val="0"/>
              <w:rPr>
                <w:rFonts w:cs="Times New Roman"/>
                <w:noProof/>
                <w:color w:val="000000" w:themeColor="text1"/>
                <w:sz w:val="22"/>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F89E466" w14:textId="13D7B29F"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Polyamines</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080BF2C7"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Putrescine</w:t>
            </w:r>
          </w:p>
          <w:p w14:paraId="4D6D67FA"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p>
          <w:p w14:paraId="793AB7AF"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Spermidine</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5CA5BAEB"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Improve photosynthesis and cell proliferation</w:t>
            </w:r>
          </w:p>
          <w:p w14:paraId="5D00BD6F"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 xml:space="preserve">Precursor of long-chain polyamines as components of diatom cell wall </w:t>
            </w:r>
          </w:p>
        </w:tc>
        <w:tc>
          <w:tcPr>
            <w:tcW w:w="204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00703307" w14:textId="3BE44035"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FF0000"/>
                <w:sz w:val="22"/>
                <w:szCs w:val="22"/>
                <w:lang w:val="en-CA"/>
              </w:rPr>
            </w:pPr>
            <w:r w:rsidRPr="0038794A">
              <w:rPr>
                <w:rFonts w:cs="Times New Roman"/>
                <w:sz w:val="22"/>
              </w:rPr>
              <w:fldChar w:fldCharType="begin"/>
            </w:r>
            <w:r w:rsidRPr="0038794A">
              <w:rPr>
                <w:rFonts w:cs="Times New Roman"/>
                <w:sz w:val="22"/>
                <w:szCs w:val="22"/>
                <w:lang w:val="en-CA"/>
              </w:rPr>
              <w:instrText xml:space="preserve"> ADDIN ZOTERO_ITEM CSL_CITATION {"citationID":"ki4EcxWb","properties":{"formattedCitation":"(Kim et al., 2024; Nieves-Mori\\uc0\\u243{}n et al., 2023)","plainCitation":"(Kim et al., 2024; Nieves-Morión et al., 2023)","noteIndex":0},"citationItems":[{"id":4533,"uris":["http://zotero.org/users/764524/items/YVRFJFUS"],"itemData":{"id":4533,"type":"article-journal","abstract":"Mutualistic interactions between marine phototrophs and associated bacteria are an important strategy for their successful survival in the ocean, but little is known about their metabolic relationships. Here, bacterial communities in the algal sphere (AS) and bulk solution (BS) of nine marine red algal cultures were analyzed, and Roseibium and Phycisphaera were identified significantly more abundantly in AS than in BS. The metabolic features of Roseibium RMAR6-6 (isolated and genome-sequenced), Phycisphaera MAG 12 (obtained by metagenomic sequencing), and a marine red alga, Porphyridium purpureum CCMP1328 (from GenBank), were analyzed bioinformatically. RMAR6-6 has the genetic capability to fix nitrogen and produce B vitamins (B1, B2, B5, B6, B9, and B12), bacterioferritin, dimethylsulfoniopropionate (DMSP), and phenylacetate that may enhance algal growth, whereas MAG 12 may have a limited metabolic capability, not producing vitamins B9 and B12, DMSP, phenylacetate, and siderophores, but with the ability to produce bacitracin, possibly modulating algal microbiome. P. purpureum CCMP1328 lacks the genetic capability to fix nitrogen and produce vitamin B12, DMSP, phenylacetate, and siderophore. It was shown that the nitrogen-fixing ability of RMAR6-6 promoted the growth of P. purpureum, and DMSP reduced the oxidative stress of P. purpureum. The metabolic interactions between strain RMAR6-6 and P. purpureum CCMP1328 were also investigated by the transcriptomic analyses of their monoculture and co-culture. Taken together, potential metabolic relationships between Roseibium and P. purpureum were proposed. This study provides a better understanding of the metabolic relationships between marine algae and algae-associated bacteria for successful growth.","container-title":"Marine Life Science &amp; Technology","DOI":"10.1007/s42995-024-00227-z","ISSN":"2662-1746","issue":"2","journalAbbreviation":"Mar. Life Sci. Technol.","language":"en","page":"298-314","source":"Springer Link","title":"Metabolic relationships between marine red algae and algae-associated bacteria","volume":"6","author":[{"family":"Kim","given":"Kyung Hyun"},{"family":"Kim","given":"Jeong Min"},{"family":"Baek","given":"Ju Hye"},{"family":"Jeong","given":"Sang Eun"},{"family":"Kim","given":"Hocheol"},{"family":"Yoon","given":"Hwan Su"},{"family":"Jeon","given":"Che Ok"}],"issued":{"date-parts":[["2024",5,1]]}}},{"id":9678,"uris":["http://zotero.org/users/764524/items/FDV8FTVH"],"itemData":{"id":9678,"type":"article-journal","abstract":"A few genera of diatoms are widespread and thrive in low-nutrient waters of the open ocean due to their close association with N2-fixing, filamentous heterocyst-forming cyanobacteria. In one of these symbioses, the symbiont, Richelia euintracellularis, has penetrated the cell envelope of the host, Hemiaulus hauckii, and lives inside the host cytoplasm. How the partners interact, including how the symbiont sustains high rates of N2 fixation, is unstudied. Since R. euintracellularis has evaded isolation, heterologous expression of genes in model laboratory organisms was performed to identify the function of proteins from the endosymbiont. Gene complementation of a cyanobacterial invertase mutant and expression of the protein in Escherichia coli showed that R. euintracellularis HH01 possesses a neutral invertase that splits sucrose producing glucose and fructose. Several solute-binding proteins (SBPs) of ABC transporters encoded in the genome of R. euintracellularis HH01 were expressed in E. coli, and their substrates were characterized. The selected SBPs directly linked the host as the source of several substrates, e.g. sugars (sucrose and galactose), amino acids (glutamate and phenylalanine), and a polyamine (spermidine), to support the cyanobacterial symbiont. Finally, transcripts of genes encoding the invertase and SBPs were consistently detected in wild populations of H. hauckii collected from multiple stations and depths in the western tropical North Atlantic. Our results support the idea that the diatom host provides the endosymbiotic cyanobacterium with organic carbon to fuel N2 fixation. This knowledge is key to understanding the physiology of the globally significant H. hauckii–R. euintracellularis symbiosis.","container-title":"PNAS Nexus","DOI":"10.1093/pnasnexus/pgad194","ISSN":"2752-6542","issue":"6","journalAbbreviation":"PNAS Nexus","page":"pgad194","source":"Silverchair","title":"Heterologous expression of genes from a cyanobacterial endosymbiont highlights substrate exchanges with its diatom host","volume":"2","author":[{"family":"Nieves-Morión","given":"Mercedes"},{"family":"Camargo","given":"Sergio"},{"family":"Bardi","given":"Sepehr"},{"family":"Ruiz","given":"María Teresa"},{"family":"Flores","given":"Enrique"},{"family":"Foster","given":"Rachel A"}],"issued":{"date-parts":[["2023",6,1]]}}}],"schema":"https://github.com/citation-style-language/schema/raw/master/csl-citation.json"} </w:instrText>
            </w:r>
            <w:r w:rsidRPr="0038794A">
              <w:rPr>
                <w:rFonts w:cs="Times New Roman"/>
                <w:sz w:val="22"/>
              </w:rPr>
              <w:fldChar w:fldCharType="separate"/>
            </w:r>
            <w:r w:rsidRPr="0038794A">
              <w:rPr>
                <w:rFonts w:cs="Times New Roman"/>
                <w:sz w:val="22"/>
                <w:szCs w:val="22"/>
              </w:rPr>
              <w:t>(Kim et al., 2024; Nieves-Morión et al., 2023)</w:t>
            </w:r>
            <w:r w:rsidRPr="0038794A">
              <w:rPr>
                <w:rFonts w:cs="Times New Roman"/>
                <w:sz w:val="22"/>
              </w:rPr>
              <w:fldChar w:fldCharType="end"/>
            </w:r>
          </w:p>
        </w:tc>
      </w:tr>
      <w:tr w:rsidR="00EC5342" w:rsidRPr="0038794A" w14:paraId="40700896" w14:textId="77777777" w:rsidTr="008D020D">
        <w:trPr>
          <w:trHeight w:val="2008"/>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right w:val="single" w:sz="12" w:space="0" w:color="000000" w:themeColor="text1"/>
            </w:tcBorders>
          </w:tcPr>
          <w:p w14:paraId="0C24CA66" w14:textId="77777777" w:rsidR="00EC5342" w:rsidRPr="0038794A" w:rsidRDefault="00EC5342" w:rsidP="00E36106">
            <w:pPr>
              <w:snapToGrid w:val="0"/>
              <w:rPr>
                <w:rFonts w:cs="Times New Roman"/>
                <w:noProof/>
                <w:color w:val="000000" w:themeColor="text1"/>
                <w:sz w:val="22"/>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368A42A0" w14:textId="049CBDAA"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b/>
                <w:bCs/>
                <w:noProof/>
                <w:color w:val="000000" w:themeColor="text1"/>
                <w:sz w:val="22"/>
                <w:szCs w:val="22"/>
                <w:lang w:val="en-CA"/>
              </w:rPr>
            </w:pPr>
            <w:r w:rsidRPr="0038794A">
              <w:rPr>
                <w:rFonts w:cs="Times New Roman"/>
                <w:noProof/>
                <w:color w:val="000000" w:themeColor="text1"/>
                <w:sz w:val="22"/>
                <w:szCs w:val="22"/>
                <w:lang w:val="en-CA"/>
              </w:rPr>
              <w:t>Algicides</w:t>
            </w:r>
          </w:p>
          <w:p w14:paraId="712AC678"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rPr>
            </w:pP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10CDB57"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proofErr w:type="spellStart"/>
            <w:r w:rsidRPr="0038794A">
              <w:rPr>
                <w:rFonts w:cs="Times New Roman"/>
                <w:color w:val="000000" w:themeColor="text1"/>
                <w:sz w:val="22"/>
                <w:szCs w:val="22"/>
                <w:lang w:val="en-CA"/>
              </w:rPr>
              <w:t>Roseobacticide</w:t>
            </w:r>
            <w:proofErr w:type="spellEnd"/>
            <w:r w:rsidRPr="0038794A">
              <w:rPr>
                <w:rFonts w:cs="Times New Roman"/>
                <w:color w:val="000000" w:themeColor="text1"/>
                <w:sz w:val="22"/>
                <w:szCs w:val="22"/>
                <w:lang w:val="en-CA"/>
              </w:rPr>
              <w:t xml:space="preserve"> B</w:t>
            </w:r>
          </w:p>
          <w:p w14:paraId="354741E4"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b/>
                <w:bCs/>
                <w:color w:val="000000" w:themeColor="text1"/>
                <w:sz w:val="22"/>
                <w:szCs w:val="22"/>
                <w:lang w:val="en-CA"/>
              </w:rPr>
            </w:pPr>
          </w:p>
          <w:p w14:paraId="09B7A4E5"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N-9-hexadecenoylalanine methyl ester</w:t>
            </w:r>
          </w:p>
          <w:p w14:paraId="653D893B"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p>
          <w:p w14:paraId="04C68470"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proofErr w:type="spellStart"/>
            <w:r w:rsidRPr="0038794A">
              <w:rPr>
                <w:rFonts w:cs="Times New Roman"/>
                <w:color w:val="000000" w:themeColor="text1"/>
                <w:sz w:val="22"/>
                <w:szCs w:val="22"/>
                <w:lang w:val="en-CA"/>
              </w:rPr>
              <w:t>Orfamide</w:t>
            </w:r>
            <w:proofErr w:type="spellEnd"/>
            <w:r w:rsidRPr="0038794A">
              <w:rPr>
                <w:rFonts w:cs="Times New Roman"/>
                <w:color w:val="000000" w:themeColor="text1"/>
                <w:sz w:val="22"/>
                <w:szCs w:val="22"/>
                <w:lang w:val="en-CA"/>
              </w:rPr>
              <w:t xml:space="preserve"> A</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4ED374A9" w14:textId="77777777" w:rsidR="00EC5342" w:rsidRPr="0038794A"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Algicidal activity</w:t>
            </w:r>
          </w:p>
          <w:p w14:paraId="212F452C" w14:textId="77777777" w:rsidR="00EC5342" w:rsidRPr="0038794A"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May be induced from mutualistic bacteria in response to senescence signals</w:t>
            </w:r>
          </w:p>
        </w:tc>
        <w:tc>
          <w:tcPr>
            <w:tcW w:w="2041" w:type="dxa"/>
            <w:tcBorders>
              <w:top w:val="single" w:sz="12" w:space="0" w:color="000000" w:themeColor="text1"/>
              <w:left w:val="single" w:sz="12" w:space="0" w:color="000000" w:themeColor="text1"/>
              <w:bottom w:val="single" w:sz="12" w:space="0" w:color="000000" w:themeColor="text1"/>
            </w:tcBorders>
            <w:shd w:val="clear" w:color="auto" w:fill="DAE9F7" w:themeFill="text2" w:themeFillTint="1A"/>
            <w:vAlign w:val="center"/>
          </w:tcPr>
          <w:p w14:paraId="2D7D714B" w14:textId="677E3CD0"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sz w:val="22"/>
                <w:szCs w:val="22"/>
                <w:lang w:val="en-CA"/>
              </w:rPr>
            </w:pPr>
            <w:r w:rsidRPr="0038794A">
              <w:rPr>
                <w:rFonts w:cs="Times New Roman"/>
                <w:sz w:val="22"/>
              </w:rPr>
              <w:fldChar w:fldCharType="begin"/>
            </w:r>
            <w:r w:rsidRPr="0038794A">
              <w:rPr>
                <w:rFonts w:cs="Times New Roman"/>
                <w:sz w:val="22"/>
                <w:szCs w:val="22"/>
              </w:rPr>
              <w:instrText xml:space="preserve"> ADDIN ZOTERO_ITEM CSL_CITATION {"citationID":"7xU1BYZF","properties":{"formattedCitation":"(Meyer et al., 2017; R. Wang et al., 2022)","plainCitation":"(Meyer et al., 2017; R. Wang et al., 2022)","noteIndex":0},"citationItems":[{"id":9513,"uris":["http://zotero.org/users/764524/items/4EZ93DH8"],"itemData":{"id":9513,"type":"article-journal","abstract":"In both freshwater and marine ecosystems, phytoplankton are the most dominant primary producers, contributing substantially to aquatic food webs. Algicidal bacteria that can associate to microalgae from the phytoplankton have the capability to control the proliferation and even to lyse them. These bacteria thus play an important role in shaping species composition in pelagic environments. In this review, we discuss and categorise strategies used by algicidal bacteria for the attack on microalgae. We highlight the complex regulation of algicidal activity and defence responses that govern alga–bacteria interactions. We also discuss how algicidal bacteria impact algal physiology and metabolism and survey the existing algicidal metabolites and enzymes. The review illustrates that the ecological role of algicidal bacteria is not yet fully understood and critically discusses the challenges in obtaining ecologically relevant data.","container-title":"FEMS Microbiology Reviews","DOI":"10.1093/femsre/fux029","ISSN":"0168-6445","issue":"6","journalAbbreviation":"FEMS Microbiol. Rev.","page":"880-899","source":"Silverchair","title":"Strategies and ecological roles of algicidal bacteria","volume":"41","author":[{"family":"Meyer","given":"Nils"},{"family":"Bigalke","given":"Arite"},{"family":"Kaulfuß","given":"Anett"},{"family":"Pohnert","given":"Georg"}],"issued":{"date-parts":[["2017",11,1]]}}},{"id":4620,"uris":["http://zotero.org/users/764524/items/J96DNR7A"],"itemData":{"id":4620,"type":"article-journal","abstract":"The marine alpha-proteobacterium Phaeobacter inhibens engages in intermittent symbioses with microalgae. The symbiosis is biphasic and concludes in a parasitic phase, during which the bacteria release algaecidal metabolites in response to algal p-coumaric acid (pCA). The cell-wide effects of pCA on P. inhibens remain unknown. Herein, we report a microarray-based transcriptomic study and find that genes related to the oxidative stress response and secondary metabolism are upregulated most, while those associated with energy production and motility are downregulated in the presence of pCA. Among genes upregulated is a previously unannotated biosynthetic gene cluster and, using a combination of gene deletions and metabolic profiling, we show that it gives rise to an unreported siderophore, roseobactin. The simultaneous production of algaecides and roseobactin in the parasitic phase allows the bacteria to take up any iron that is released from dying algal cells, thereby securing a limited micronutrient.","container-title":"Cell Chemical Biology","DOI":"10.1016/j.chembiol.2021.08.002","ISSN":"2451-9456","issue":"4","journalAbbreviation":"Cell Chem. Biol.","page":"670-679.e5","source":"ScienceDirect","title":"Algal &lt;i&gt;p&lt;/i&gt;-coumaric acid induces oxidative stress and siderophore biosynthesis in the bacterial symbiont &lt;i&gt;Phaeobacter inhibens&lt;/i&gt;","volume":"29","author":[{"family":"Wang","given":"Rurun"},{"family":"Gallant","given":"Étienne"},{"family":"Wilson","given":"Maxwell Z."},{"family":"Wu","given":"Yihan"},{"family":"Li","given":"Anran"},{"family":"Gitai","given":"Zemer"},{"family":"Seyedsayamdost","given":"Mohammad R."}],"issued":{"date-parts":[["2022",4,21]]}}}],"schema":"https://github.com/citation-style-language/schema/raw/master/csl-citation.json"} </w:instrText>
            </w:r>
            <w:r w:rsidRPr="0038794A">
              <w:rPr>
                <w:rFonts w:cs="Times New Roman"/>
                <w:sz w:val="22"/>
              </w:rPr>
              <w:fldChar w:fldCharType="separate"/>
            </w:r>
            <w:r w:rsidRPr="0038794A">
              <w:rPr>
                <w:rFonts w:cs="Times New Roman"/>
                <w:sz w:val="22"/>
                <w:szCs w:val="22"/>
              </w:rPr>
              <w:t>(Meyer et al., 2017; R. Wang et al., 2022)</w:t>
            </w:r>
            <w:r w:rsidRPr="0038794A">
              <w:rPr>
                <w:rFonts w:cs="Times New Roman"/>
                <w:sz w:val="22"/>
              </w:rPr>
              <w:fldChar w:fldCharType="end"/>
            </w:r>
          </w:p>
        </w:tc>
      </w:tr>
      <w:tr w:rsidR="00EC5342" w:rsidRPr="0038794A" w14:paraId="371956A3" w14:textId="77777777" w:rsidTr="008D020D">
        <w:trPr>
          <w:cnfStyle w:val="000000100000" w:firstRow="0" w:lastRow="0" w:firstColumn="0" w:lastColumn="0" w:oddVBand="0" w:evenVBand="0" w:oddHBand="1" w:evenHBand="0" w:firstRowFirstColumn="0" w:firstRowLastColumn="0" w:lastRowFirstColumn="0" w:lastRowLastColumn="0"/>
          <w:trHeight w:val="1191"/>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right w:val="single" w:sz="12" w:space="0" w:color="000000" w:themeColor="text1"/>
            </w:tcBorders>
          </w:tcPr>
          <w:p w14:paraId="0439B343" w14:textId="77777777" w:rsidR="00EC5342" w:rsidRPr="0038794A" w:rsidRDefault="00EC5342" w:rsidP="00E36106">
            <w:pPr>
              <w:snapToGrid w:val="0"/>
              <w:rPr>
                <w:rFonts w:cs="Times New Roman"/>
                <w:noProof/>
                <w:color w:val="000000" w:themeColor="text1"/>
                <w:sz w:val="22"/>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25064121" w14:textId="7A7561E6"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 xml:space="preserve">Senescence signals </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7BFD5245"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i/>
                <w:iCs/>
                <w:noProof/>
                <w:color w:val="000000" w:themeColor="text1"/>
                <w:sz w:val="22"/>
                <w:szCs w:val="22"/>
                <w:lang w:val="en-CA"/>
              </w:rPr>
              <w:t>p</w:t>
            </w:r>
            <w:r w:rsidRPr="0038794A">
              <w:rPr>
                <w:rFonts w:cs="Times New Roman"/>
                <w:noProof/>
                <w:color w:val="000000" w:themeColor="text1"/>
                <w:sz w:val="22"/>
                <w:szCs w:val="22"/>
                <w:lang w:val="en-CA"/>
              </w:rPr>
              <w:t>-Coumaric acid</w:t>
            </w:r>
          </w:p>
          <w:p w14:paraId="404A259D"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p>
          <w:p w14:paraId="7791DE4F"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noProof/>
                <w:color w:val="000000" w:themeColor="text1"/>
                <w:sz w:val="22"/>
                <w:szCs w:val="22"/>
                <w:lang w:val="en-CA"/>
              </w:rPr>
              <w:t>Sinapic acid</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320A7A94"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Mediates algicidal activity in bacteria</w:t>
            </w:r>
          </w:p>
        </w:tc>
        <w:tc>
          <w:tcPr>
            <w:tcW w:w="2041" w:type="dxa"/>
            <w:tcBorders>
              <w:top w:val="single" w:sz="12" w:space="0" w:color="000000" w:themeColor="text1"/>
              <w:left w:val="single" w:sz="12" w:space="0" w:color="000000" w:themeColor="text1"/>
              <w:bottom w:val="single" w:sz="12" w:space="0" w:color="000000" w:themeColor="text1"/>
            </w:tcBorders>
            <w:shd w:val="clear" w:color="auto" w:fill="DAE9F7" w:themeFill="text2" w:themeFillTint="1A"/>
            <w:vAlign w:val="center"/>
          </w:tcPr>
          <w:p w14:paraId="570D5F99" w14:textId="76361FF8"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sz w:val="22"/>
              </w:rPr>
              <w:fldChar w:fldCharType="begin"/>
            </w:r>
            <w:r>
              <w:rPr>
                <w:rFonts w:cs="Times New Roman"/>
                <w:sz w:val="22"/>
                <w:szCs w:val="22"/>
              </w:rPr>
              <w:instrText xml:space="preserve"> ADDIN ZOTERO_ITEM CSL_CITATION {"citationID":"GuFwTaPE","properties":{"formattedCitation":"(Park et al., 2022; R. Wang et al., 2022)","plainCitation":"(Park et al., 2022; R. Wang et al., 2022)","noteIndex":0},"citationItems":[{"id":9683,"uris":["http://zotero.org/users/764524/items/HCQMB5VZ"],"itemData":{"id":9683,"type":"article-journal","abstract":"Microbial secondary metabolite discovery is often conducted in pure monocultures. In a natural setting, however, where metabolites are constantly exchanged, biosynthetic precursors are likely provided by symbionts or hosts. In the current work, we report eight novel and architecturally unusual secondary metabolites synthesized by the bacterial symbiont Phaeobacter inhibens from precursors that, in a native context, would be provided by their algal hosts. Three of these were produced at low titres and their structures were determined de novo using the emerging microcrystal electron diffraction method. Some of the new metabolites exhibited potent algaecidal activity suggesting that the bacterial symbiont can convert algal precursors, tryptophan and sinapic acid, into complex cytotoxins. Our results have important implications for the parasitic phase of algal-bacterial symbiotic interactions.","container-title":"Angewandte Chemie International Edition","DOI":"10.1002/anie.202114022","ISSN":"1521-3773","issue":"4","journalAbbreviation":"Angew. Chem. Int. Ed.","language":"en","license":"© 2021 Wiley-VCH GmbH","note":"_eprint: https://onlinelibrary.wiley.com/doi/pdf/10.1002/anie.202114022","page":"e202114022","source":"Wiley Online Library","title":"Structural Elucidation of Cryptic Algaecides in Marine Algal-Bacterial Symbioses by NMR Spectroscopy and MicroED","volume":"61","author":[{"family":"Park","given":"Jong-Duk"},{"family":"Li","given":"Yuchen"},{"family":"Moon","given":"Kyuho"},{"family":"Han","given":"Esther J."},{"family":"Lee","given":"Seoung Rak"},{"family":"Seyedsayamdost","given":"Mohammad R."}],"issued":{"date-parts":[["2022"]]}}},{"id":4620,"uris":["http://zotero.org/users/764524/items/J96DNR7A"],"itemData":{"id":4620,"type":"article-journal","abstract":"The marine alpha-proteobacterium Phaeobacter inhibens engages in intermittent symbioses with microalgae. The symbiosis is biphasic and concludes in a parasitic phase, during which the bacteria release algaecidal metabolites in response to algal p-coumaric acid (pCA). The cell-wide effects of pCA on P. inhibens remain unknown. Herein, we report a microarray-based transcriptomic study and find that genes related to the oxidative stress response and secondary metabolism are upregulated most, while those associated with energy production and motility are downregulated in the presence of pCA. Among genes upregulated is a previously unannotated biosynthetic gene cluster and, using a combination of gene deletions and metabolic profiling, we show that it gives rise to an unreported siderophore, roseobactin. The simultaneous production of algaecides and roseobactin in the parasitic phase allows the bacteria to take up any iron that is released from dying algal cells, thereby securing a limited micronutrient.","container-title":"Cell Chemical Biology","DOI":"10.1016/j.chembiol.2021.08.002","ISSN":"2451-9456","issue":"4","journalAbbreviation":"Cell Chem. Biol.","page":"670-679.e5","source":"ScienceDirect","title":"Algal &lt;i&gt;p&lt;/i&gt;-coumaric acid induces oxidative stress and siderophore biosynthesis in the bacterial symbiont &lt;i&gt;Phaeobacter inhibens&lt;/i&gt;","volume":"29","author":[{"family":"Wang","given":"Rurun"},{"family":"Gallant","given":"Étienne"},{"family":"Wilson","given":"Maxwell Z."},{"family":"Wu","given":"Yihan"},{"family":"Li","given":"Anran"},{"family":"Gitai","given":"Zemer"},{"family":"Seyedsayamdost","given":"Mohammad R."}],"issued":{"date-parts":[["2022",4,21]]}}}],"schema":"https://github.com/citation-style-language/schema/raw/master/csl-citation.json"} </w:instrText>
            </w:r>
            <w:r w:rsidRPr="0038794A">
              <w:rPr>
                <w:rFonts w:cs="Times New Roman"/>
                <w:sz w:val="22"/>
              </w:rPr>
              <w:fldChar w:fldCharType="separate"/>
            </w:r>
            <w:r w:rsidRPr="0038794A">
              <w:rPr>
                <w:rFonts w:cs="Times New Roman"/>
                <w:sz w:val="22"/>
                <w:szCs w:val="22"/>
              </w:rPr>
              <w:t>(Park et al., 2022; R. Wang et al., 2022)</w:t>
            </w:r>
            <w:r w:rsidRPr="0038794A">
              <w:rPr>
                <w:rFonts w:cs="Times New Roman"/>
                <w:sz w:val="22"/>
              </w:rPr>
              <w:fldChar w:fldCharType="end"/>
            </w:r>
          </w:p>
        </w:tc>
      </w:tr>
      <w:tr w:rsidR="00EC5342" w:rsidRPr="0038794A" w14:paraId="321565F8" w14:textId="77777777" w:rsidTr="008D020D">
        <w:trPr>
          <w:trHeight w:val="1676"/>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right w:val="single" w:sz="12" w:space="0" w:color="000000" w:themeColor="text1"/>
            </w:tcBorders>
          </w:tcPr>
          <w:p w14:paraId="4AD74D40" w14:textId="77777777" w:rsidR="00EC5342" w:rsidRPr="0038794A" w:rsidRDefault="00EC5342" w:rsidP="00E36106">
            <w:pPr>
              <w:snapToGrid w:val="0"/>
              <w:rPr>
                <w:rFonts w:cs="Times New Roman"/>
                <w:noProof/>
                <w:color w:val="000000" w:themeColor="text1"/>
                <w:sz w:val="22"/>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621D6DD3" w14:textId="349ECAD0"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b/>
                <w:bCs/>
                <w:noProof/>
                <w:color w:val="000000" w:themeColor="text1"/>
                <w:sz w:val="22"/>
                <w:szCs w:val="22"/>
                <w:lang w:val="en-CA"/>
              </w:rPr>
            </w:pPr>
            <w:r w:rsidRPr="0038794A">
              <w:rPr>
                <w:rFonts w:cs="Times New Roman"/>
                <w:noProof/>
                <w:color w:val="000000" w:themeColor="text1"/>
                <w:sz w:val="22"/>
                <w:szCs w:val="22"/>
                <w:lang w:val="en-CA"/>
              </w:rPr>
              <w:t xml:space="preserve">S-adenosyl-methionine </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E0B23DA" w14:textId="77777777" w:rsidR="00EC5342" w:rsidRPr="0038794A" w:rsidRDefault="00EC5342" w:rsidP="00E36106">
            <w:pPr>
              <w:tabs>
                <w:tab w:val="left" w:pos="1212"/>
              </w:tabs>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lang w:val="en-CA"/>
              </w:rPr>
            </w:pPr>
            <w:r w:rsidRPr="0038794A">
              <w:rPr>
                <w:rFonts w:cs="Times New Roman"/>
                <w:sz w:val="22"/>
                <w:szCs w:val="22"/>
                <w:lang w:val="en-CA"/>
              </w:rPr>
              <w:t>4,5-dihydroxy-2,3-pentanedione</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2C6B20C3" w14:textId="77777777" w:rsidR="00EC5342" w:rsidRPr="0038794A"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Biosynthetic pathway of quorum sensing molecules autoinducer-2 (AI-2) and AHLs</w:t>
            </w:r>
          </w:p>
          <w:p w14:paraId="24D4A605" w14:textId="77777777" w:rsidR="00EC5342" w:rsidRPr="0038794A"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Biosynthetic pathway of ethylene which enhances microalgal growth</w:t>
            </w:r>
          </w:p>
        </w:tc>
        <w:tc>
          <w:tcPr>
            <w:tcW w:w="2041" w:type="dxa"/>
            <w:tcBorders>
              <w:top w:val="single" w:sz="12" w:space="0" w:color="000000" w:themeColor="text1"/>
              <w:left w:val="single" w:sz="12" w:space="0" w:color="000000" w:themeColor="text1"/>
              <w:bottom w:val="single" w:sz="12" w:space="0" w:color="000000" w:themeColor="text1"/>
            </w:tcBorders>
            <w:shd w:val="clear" w:color="auto" w:fill="DAE9F7" w:themeFill="text2" w:themeFillTint="1A"/>
            <w:vAlign w:val="center"/>
          </w:tcPr>
          <w:p w14:paraId="0CF1C4BE" w14:textId="6AC917E6"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rPr>
              <w:fldChar w:fldCharType="begin"/>
            </w:r>
            <w:r w:rsidRPr="0038794A">
              <w:rPr>
                <w:rFonts w:cs="Times New Roman"/>
                <w:color w:val="000000" w:themeColor="text1"/>
                <w:sz w:val="22"/>
                <w:szCs w:val="22"/>
                <w:lang w:val="en-CA"/>
              </w:rPr>
              <w:instrText xml:space="preserve"> ADDIN ZOTERO_ITEM CSL_CITATION {"citationID":"pzd8Yilr","properties":{"unsorted":true,"formattedCitation":"(Chegukrishnamurthi et al., 2022; Qiao et al., 2022; Orozco-Mosqueda et al., 2023)","plainCitation":"(Chegukrishnamurthi et al., 2022; Qiao et al., 2022; Orozco-Mosqueda et al., 2023)","noteIndex":0},"citationItems":[{"id":9245,"uris":["http://zotero.org/users/764524/items/RDLNGRXR"],"itemData":{"id":9245,"type":"article-journal","abstract":"In the present study, bacterial mixture (Rhizobium and Agrobacterium) and axenic Chlorella were cultivated individually, in a mixed (co-cultured) form, and through headspace connections to study volatile organic compounds (VOCs) profile and their effect on growth. Results indicated that VOCs produced by the axenic microalgae and microalgae co-cultured with bacteria were significantly different. Axenic Chlorella predominantly produced a flavouring organic compound 2-pentadecanone (69.54%), bacterial mixed culture produced 1-decanone, 1,2,3-butanetriol, and quinoline (15–20%), and direct co-culturing of Chlorella with bacteria predominantly produced 2-pentadecanone (32.4 %). When they were allowed to communicate distantly through headspace connection, highly diversified VOCs in large numbers but low quantities were noted, predominantly 1,2-propanediol (28.82 %). In addition, growth of the co-cultured Chlorella was 1.5 times higher, while Chlorella in headspace connection with bacterial mixture exhibited </w:instrText>
            </w:r>
            <w:r w:rsidRPr="0038794A">
              <w:rPr>
                <w:rFonts w:ascii="Cambria Math" w:hAnsi="Cambria Math" w:cs="Cambria Math"/>
                <w:color w:val="000000" w:themeColor="text1"/>
                <w:sz w:val="22"/>
                <w:szCs w:val="22"/>
                <w:lang w:val="en-CA"/>
              </w:rPr>
              <w:instrText>∼</w:instrText>
            </w:r>
            <w:r w:rsidRPr="0038794A">
              <w:rPr>
                <w:rFonts w:cs="Times New Roman"/>
                <w:color w:val="000000" w:themeColor="text1"/>
                <w:sz w:val="22"/>
                <w:szCs w:val="22"/>
                <w:lang w:val="en-CA"/>
              </w:rPr>
              <w:instrText xml:space="preserve"> 3.2 times increase in growth compared to the axenic Chlorella, indicating the essential role of VOCs in growth and communication.","container-title":"Bioresource Technology","DOI":"10.1016/j.biortech.2022.126775","ISSN":"0960-8524","journalAbbreviation":"Bioresour. Technol.","page":"126775","source":"ScienceDirect","title":"Volatile organic compounds involved in the communication of microalgae-bacterial association extracted through Headspace-Solid phase microextraction and confirmed using gas chromatography-mass spectrophotometry","volume":"348","author":[{"family":"Chegukrishnamurthi","given":"Madhubalaji"},{"family":"Shekh","given":"Ajam"},{"family":"Ravi","given":"Sarada"},{"family":"Narayana Mudliar","given":"Sandeep"}],"issued":{"date-parts":[["2022",3,1]]}}},{"id":4575,"uris":["http://zotero.org/users/764524/items/U7ADKS7S"],"itemData":{"id":4575,"type":"article-journal","abstract":"Quorum sensing in the phycosphere refers to a sensor system in which bacteria secrete bioactive compounds to coordinate group behavior relying on cell density. It is an important way for algae and bacteria to communicate with each other and achieve interactions. It has been determined that quorum sensing is widely presented in the marine phycosphere, which involves a variety of bioactive compounds. Focused on these compounds in marine phycosphere, this review summarizes the types and structures of the compounds, describes the methods in detection and functional evaluation, discusses the ecological functions regulated by the compounds, such as modulating microbial colonization, achieving algae–bacteria mutualism or competition and contributing to marine biogeochemical cycles. Meanwhile, the application prospects of the compounds are also proposed, including controlling harmful algal blooms and producing biofuel. Future research should focus on improving detection techniques, developing more model systems and investigating the effects of climate change on the quorum-sensing pathway to further understand the mechanism and application potential of quorum sensing compounds. This review aims to present an overview of current research carried out in order to provide the reader with perspective on bioactive compounds involved in quorum sensing.","container-title":"Journal of Marine Science and Engineering","DOI":"10.3390/jmse10050699","ISSN":"2077-1312","issue":"5","journalAbbreviation":"J. Mar. Sci. Eng.","language":"en","license":"http://creativecommons.org/licenses/by/3.0/","note":"number: 5\npublisher: Multidisciplinary Digital Publishing Institute","page":"699","source":"www.mdpi.com","title":"Bioactive Compounds for Quorum Sensing Signal-Response Systems in Marine Phycosphere","volume":"10","author":[{"family":"Qiao","given":"Zhen"},{"family":"Li","given":"Jialin"},{"family":"Qin","given":"Song"}],"issued":{"date-parts":[["2022",5]]}}},{"id":9268,"uris":["http://zotero.org/users/764524/items/UAPEP5WZ"],"itemData":{"id":9268,"type":"article-journal","abstract":"Phytohormones are regulators of plant growth and development, which under different types of stress can play a fundamental role in a plant’s adaptation and survival. Some of these phytohormones such as cytokinin, gibberellin, salicylic acid, auxin, and ethylene are also produced by plant growth-promoting bacteria (PGPB). In addition, numerous volatile organic compounds are released by PGPB and, like bacterial phytohormones, modulate plant physiology and genetics. In the present work we review the basic functions of these bacterial phytohormones during their interaction with different plant species. Moreover, we discuss the most recent advances of the beneficial effects on plant growth of the phytohormones produced by PGPB. Finally, we review some aspects of the cross-link between phytohormone production and other plant growth promotion (PGP) mechanisms. This work highlights the most recent advances in the essential functions performed by bacterial phytohormones and their potential application in agricultural production.","container-title":"Plants","DOI":"10.3390/plants12030606","ISSN":"2223-7747","issue":"3","language":"en","license":"http://creativecommons.org/licenses/by/3.0/","note":"number: 3\npublisher: Multidisciplinary Digital Publishing Institute","page":"606","source":"www.mdpi.com","title":"Recent Advances in the Bacterial Phytohormone Modulation of Plant Growth","volume":"12","author":[{"family":"Orozco-Mosqueda","given":"Ma del Carmen"},{"family":"Santoyo","given":"Gustavo"},{"family":"Glick","given":"Bernard R."}],"issued":{"date-parts":[["2023",1]]}}}],"schema":"https://github.com/citation-style-language/schema/raw/master/csl-citation.json"} </w:instrText>
            </w:r>
            <w:r w:rsidRPr="0038794A">
              <w:rPr>
                <w:rFonts w:cs="Times New Roman"/>
                <w:color w:val="000000" w:themeColor="text1"/>
                <w:sz w:val="22"/>
              </w:rPr>
              <w:fldChar w:fldCharType="separate"/>
            </w:r>
            <w:r w:rsidRPr="0038794A">
              <w:rPr>
                <w:rFonts w:cs="Times New Roman"/>
                <w:sz w:val="22"/>
                <w:szCs w:val="22"/>
              </w:rPr>
              <w:t>(Chegukrishnamurthi et al., 2022; Qiao et al., 2022; Orozco-Mosqueda et al., 2023)</w:t>
            </w:r>
            <w:r w:rsidRPr="0038794A">
              <w:rPr>
                <w:rFonts w:cs="Times New Roman"/>
                <w:color w:val="000000" w:themeColor="text1"/>
                <w:sz w:val="22"/>
              </w:rPr>
              <w:fldChar w:fldCharType="end"/>
            </w:r>
          </w:p>
        </w:tc>
      </w:tr>
      <w:tr w:rsidR="00EC5342" w:rsidRPr="005B6FAD" w14:paraId="305AA02B" w14:textId="77777777" w:rsidTr="008D020D">
        <w:trPr>
          <w:cnfStyle w:val="000000100000" w:firstRow="0" w:lastRow="0" w:firstColumn="0" w:lastColumn="0" w:oddVBand="0" w:evenVBand="0" w:oddHBand="1" w:evenHBand="0" w:firstRowFirstColumn="0" w:firstRowLastColumn="0" w:lastRowFirstColumn="0" w:lastRowLastColumn="0"/>
          <w:trHeight w:val="1247"/>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right w:val="single" w:sz="12" w:space="0" w:color="000000" w:themeColor="text1"/>
            </w:tcBorders>
          </w:tcPr>
          <w:p w14:paraId="73266BE7" w14:textId="77777777" w:rsidR="00EC5342" w:rsidRPr="0038794A" w:rsidRDefault="00EC5342" w:rsidP="00E36106">
            <w:pPr>
              <w:snapToGrid w:val="0"/>
              <w:rPr>
                <w:rFonts w:cs="Times New Roman"/>
                <w:noProof/>
                <w:color w:val="000000" w:themeColor="text1"/>
                <w:sz w:val="22"/>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79F5B6BA" w14:textId="40BB793A"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lang w:val="en-CA"/>
              </w:rPr>
            </w:pPr>
            <w:r w:rsidRPr="0038794A">
              <w:rPr>
                <w:rFonts w:cs="Times New Roman"/>
                <w:noProof/>
                <w:color w:val="000000" w:themeColor="text1"/>
                <w:sz w:val="22"/>
                <w:szCs w:val="22"/>
                <w:lang w:val="en-CA"/>
              </w:rPr>
              <w:t>Bacterial Antibiotics</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62700364" w14:textId="77777777"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b/>
                <w:bCs/>
                <w:noProof/>
                <w:color w:val="000000" w:themeColor="text1"/>
                <w:sz w:val="22"/>
                <w:szCs w:val="22"/>
                <w:lang w:val="en-CA"/>
              </w:rPr>
            </w:pPr>
            <w:r w:rsidRPr="0038794A">
              <w:rPr>
                <w:rFonts w:cs="Times New Roman"/>
                <w:noProof/>
                <w:color w:val="000000" w:themeColor="text1"/>
                <w:sz w:val="22"/>
                <w:szCs w:val="22"/>
                <w:lang w:val="en-CA"/>
              </w:rPr>
              <w:t>Tropodithietic acid (TDA)</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7E3EFD0C"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Changes to bacterial motility and biofilm formation</w:t>
            </w:r>
          </w:p>
          <w:p w14:paraId="517EC0E0"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 xml:space="preserve">Quorum sensing signalling </w:t>
            </w:r>
          </w:p>
        </w:tc>
        <w:tc>
          <w:tcPr>
            <w:tcW w:w="2041" w:type="dxa"/>
            <w:tcBorders>
              <w:top w:val="single" w:sz="12" w:space="0" w:color="000000" w:themeColor="text1"/>
              <w:left w:val="single" w:sz="12" w:space="0" w:color="000000" w:themeColor="text1"/>
              <w:bottom w:val="single" w:sz="12" w:space="0" w:color="000000" w:themeColor="text1"/>
            </w:tcBorders>
            <w:shd w:val="clear" w:color="auto" w:fill="DAE9F7" w:themeFill="text2" w:themeFillTint="1A"/>
            <w:vAlign w:val="center"/>
          </w:tcPr>
          <w:p w14:paraId="06BA339C" w14:textId="63C1A3FD" w:rsidR="00EC5342" w:rsidRPr="005B6FAD"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fr-BE"/>
              </w:rPr>
            </w:pPr>
            <w:r w:rsidRPr="0038794A">
              <w:rPr>
                <w:rFonts w:cs="Times New Roman"/>
                <w:color w:val="000000" w:themeColor="text1"/>
                <w:sz w:val="22"/>
              </w:rPr>
              <w:fldChar w:fldCharType="begin"/>
            </w:r>
            <w:r w:rsidRPr="005B6FAD">
              <w:rPr>
                <w:rFonts w:cs="Times New Roman"/>
                <w:color w:val="000000" w:themeColor="text1"/>
                <w:sz w:val="22"/>
                <w:szCs w:val="22"/>
                <w:lang w:val="fr-BE"/>
              </w:rPr>
              <w:instrText xml:space="preserve"> ADDIN ZOTERO_ITEM CSL_CITATION {"citationID":"aMiZZzjC","properties":{"formattedCitation":"(Dittmann et al., 2019; Seyedsayamdost et al., 2011b)","plainCitation":"(Dittmann et al., 2019; Seyedsayamdost et al., 2011b)","noteIndex":0},"citationItems":[{"id":9240,"uris":["http://zotero.org/users/764524/items/FSS6NGI5"],"itemData":{"id":9240,"type":"article-journal","abstract":"Bacteria–host interactions are universal in nature and have significant effects on host functionality. Bacterial secondary metabolites are believed to play key roles in such interactions as well as i...","container-title":"Environmental Microbiology Reports","DOI":"10.1111/1758-2229.12698","ISSN":"1758-2229","journalAbbreviation":"Environ. Microbiol. Rep.","language":"en","note":"publisher: John Wiley &amp; Sons, Ltd","page":"401-413","source":"enviromicro-journals.onlinelibrary.wiley.com","title":"Impact of &lt;i&gt;Phaeobacter inhibens&lt;/i&gt; on marine eukaryote-associated microbial communities","volume":"11","author":[{"family":"Dittmann","given":"Karen K."},{"family":"Sonnenschein","given":"Eva C."},{"family":"Egan","given":"Suhelen"},{"family":"Gram","given":"Lone"},{"family":"Bentzon-Tilia","given":"Mikkel"}],"issued":{"date-parts":[["2019",6,1]]}}},{"id":9681,"uris":["http://zotero.org/users/764524/items/XC3QSM4N"],"itemData":{"id":9681,"type":"article-journal","abstract":"Emiliania huxleyi, an environmentally important marine microalga, has a bloom-and-bust lifestyle in which massive algal blooms appear and fade. Phaeobacter gallaeciensis belongs to the roseobacter clade of </w:instrText>
            </w:r>
            <w:r>
              <w:rPr>
                <w:rFonts w:cs="Times New Roman"/>
                <w:color w:val="000000" w:themeColor="text1"/>
                <w:sz w:val="22"/>
                <w:szCs w:val="22"/>
                <w:lang w:val="en-CA"/>
              </w:rPr>
              <w:instrText>α</w:instrText>
            </w:r>
            <w:r w:rsidRPr="005B6FAD">
              <w:rPr>
                <w:rFonts w:cs="Times New Roman"/>
                <w:color w:val="000000" w:themeColor="text1"/>
                <w:sz w:val="22"/>
                <w:szCs w:val="22"/>
                <w:lang w:val="fr-BE"/>
              </w:rPr>
              <w:instrText xml:space="preserve">-Proteobacteria, the populations of which wax and wane with that of E. huxleyi. Roseobacter are thought to promote algal growth by biosynthesizing and secreting antibiotics and growth stimulants (auxins). Here we show that P. gallaeciensis switches its secreted small molecule metabolism to the production of potent and selective algaecides, the roseobacticides, in response to p-coumaric acid, an algal lignin breakdown product that is symptomatic of aging algae. This switch converts P. gallaeciensis into an opportunistic pathogen of its algal host.","container-title":"Nature Chemistry","DOI":"10.1038/nchem.1002","ISSN":"1755-4349","issue":"4","journalAbbreviation":"Nat. Chem.","language":"en","license":"2011 Springer Nature Limited","note":"publisher: Nature Publishing Group","page":"331-335","source":"www.nature.com","title":"The Jekyll-and-Hyde chemistry of Phaeobacter gallaeciensis","volume":"3","author":[{"family":"Seyedsayamdost","given":"Mohammad R."},{"family":"Case","given":"Rebecca J."},{"family":"Kolter","given":"Roberto"},{"family":"Clardy","given":"Jon"}],"issued":{"date-parts":[["2011",4]]}}}],"schema":"https://github.com/citation-style-language/schema/raw/master/csl-citation.json"} </w:instrText>
            </w:r>
            <w:r w:rsidRPr="0038794A">
              <w:rPr>
                <w:rFonts w:cs="Times New Roman"/>
                <w:color w:val="000000" w:themeColor="text1"/>
                <w:sz w:val="22"/>
              </w:rPr>
              <w:fldChar w:fldCharType="separate"/>
            </w:r>
            <w:r w:rsidRPr="005B6FAD">
              <w:rPr>
                <w:rFonts w:cs="Times New Roman"/>
                <w:sz w:val="22"/>
                <w:szCs w:val="22"/>
                <w:lang w:val="fr-BE"/>
              </w:rPr>
              <w:t>(</w:t>
            </w:r>
            <w:proofErr w:type="spellStart"/>
            <w:r w:rsidRPr="005B6FAD">
              <w:rPr>
                <w:rFonts w:cs="Times New Roman"/>
                <w:sz w:val="22"/>
                <w:szCs w:val="22"/>
                <w:lang w:val="fr-BE"/>
              </w:rPr>
              <w:t>Dittmann</w:t>
            </w:r>
            <w:proofErr w:type="spellEnd"/>
            <w:r w:rsidRPr="005B6FAD">
              <w:rPr>
                <w:rFonts w:cs="Times New Roman"/>
                <w:sz w:val="22"/>
                <w:szCs w:val="22"/>
                <w:lang w:val="fr-BE"/>
              </w:rPr>
              <w:t xml:space="preserve"> et al., 2019; </w:t>
            </w:r>
            <w:proofErr w:type="spellStart"/>
            <w:r w:rsidRPr="005B6FAD">
              <w:rPr>
                <w:rFonts w:cs="Times New Roman"/>
                <w:sz w:val="22"/>
                <w:szCs w:val="22"/>
                <w:lang w:val="fr-BE"/>
              </w:rPr>
              <w:t>Seyedsayamdost</w:t>
            </w:r>
            <w:proofErr w:type="spellEnd"/>
            <w:r w:rsidRPr="005B6FAD">
              <w:rPr>
                <w:rFonts w:cs="Times New Roman"/>
                <w:sz w:val="22"/>
                <w:szCs w:val="22"/>
                <w:lang w:val="fr-BE"/>
              </w:rPr>
              <w:t xml:space="preserve"> et al., 2011b)</w:t>
            </w:r>
            <w:r w:rsidRPr="0038794A">
              <w:rPr>
                <w:rFonts w:cs="Times New Roman"/>
                <w:color w:val="000000" w:themeColor="text1"/>
                <w:sz w:val="22"/>
              </w:rPr>
              <w:fldChar w:fldCharType="end"/>
            </w:r>
          </w:p>
        </w:tc>
      </w:tr>
      <w:tr w:rsidR="00EC5342" w:rsidRPr="0038794A" w14:paraId="76232A14" w14:textId="77777777" w:rsidTr="008D020D">
        <w:trPr>
          <w:trHeight w:val="2655"/>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right w:val="single" w:sz="12" w:space="0" w:color="000000" w:themeColor="text1"/>
            </w:tcBorders>
          </w:tcPr>
          <w:p w14:paraId="23E48F16" w14:textId="77777777" w:rsidR="00EC5342" w:rsidRPr="005B6FAD" w:rsidRDefault="00EC5342" w:rsidP="00E36106">
            <w:pPr>
              <w:snapToGrid w:val="0"/>
              <w:rPr>
                <w:rFonts w:cs="Times New Roman"/>
                <w:noProof/>
                <w:color w:val="000000" w:themeColor="text1"/>
                <w:sz w:val="22"/>
                <w:lang w:val="fr-BE"/>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FBF69D0" w14:textId="240661D9"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color w:val="000000" w:themeColor="text1"/>
                <w:sz w:val="22"/>
                <w:szCs w:val="22"/>
              </w:rPr>
            </w:pPr>
            <w:r w:rsidRPr="0038794A">
              <w:rPr>
                <w:rFonts w:cs="Times New Roman"/>
                <w:noProof/>
                <w:color w:val="000000" w:themeColor="text1"/>
                <w:sz w:val="22"/>
                <w:szCs w:val="22"/>
              </w:rPr>
              <w:t>Diketo-piperazines (DKPs)</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0D4B2263" w14:textId="7663867F"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sz w:val="22"/>
                <w:szCs w:val="22"/>
              </w:rPr>
            </w:pPr>
            <w:r w:rsidRPr="0038794A">
              <w:rPr>
                <w:rFonts w:cs="Times New Roman"/>
                <w:noProof/>
                <w:sz w:val="22"/>
                <w:szCs w:val="22"/>
              </w:rPr>
              <w:t>Cyclic-</w:t>
            </w:r>
            <w:r w:rsidRPr="008979CC">
              <w:rPr>
                <w:rFonts w:cs="Times New Roman"/>
                <w:noProof/>
                <w:sz w:val="22"/>
                <w:szCs w:val="22"/>
              </w:rPr>
              <w:t>L</w:t>
            </w:r>
            <w:r w:rsidRPr="0038794A">
              <w:rPr>
                <w:rFonts w:cs="Times New Roman"/>
                <w:noProof/>
                <w:sz w:val="22"/>
                <w:szCs w:val="22"/>
              </w:rPr>
              <w:t>-Pro-</w:t>
            </w:r>
            <w:r w:rsidRPr="008979CC">
              <w:rPr>
                <w:rFonts w:cs="Times New Roman"/>
                <w:noProof/>
                <w:sz w:val="22"/>
                <w:szCs w:val="22"/>
              </w:rPr>
              <w:t>L</w:t>
            </w:r>
            <w:r w:rsidRPr="0038794A">
              <w:rPr>
                <w:rFonts w:cs="Times New Roman"/>
                <w:noProof/>
                <w:sz w:val="22"/>
                <w:szCs w:val="22"/>
              </w:rPr>
              <w:t xml:space="preserve">-OMet  </w:t>
            </w:r>
          </w:p>
          <w:p w14:paraId="1672F0EE"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sz w:val="20"/>
                <w:szCs w:val="20"/>
              </w:rPr>
            </w:pPr>
            <w:r w:rsidRPr="0038794A">
              <w:rPr>
                <w:rFonts w:cs="Times New Roman"/>
                <w:noProof/>
                <w:sz w:val="20"/>
                <w:szCs w:val="20"/>
              </w:rPr>
              <w:t xml:space="preserve">((3S,8aS)-3-propan-2-yl-2,3,6,7,8,8a-hexahydropyrrolo[1,2-a]pyrazine-1,4-dione) </w:t>
            </w:r>
          </w:p>
          <w:p w14:paraId="5291A071"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sz w:val="22"/>
                <w:szCs w:val="22"/>
              </w:rPr>
            </w:pPr>
          </w:p>
          <w:p w14:paraId="37C501EB" w14:textId="52B13231"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sz w:val="22"/>
                <w:szCs w:val="22"/>
              </w:rPr>
            </w:pPr>
            <w:r w:rsidRPr="0038794A">
              <w:rPr>
                <w:rFonts w:cs="Times New Roman"/>
                <w:noProof/>
                <w:sz w:val="22"/>
                <w:szCs w:val="22"/>
              </w:rPr>
              <w:t>Cyclic-</w:t>
            </w:r>
            <w:r>
              <w:rPr>
                <w:rFonts w:cs="Times New Roman"/>
                <w:noProof/>
                <w:sz w:val="22"/>
                <w:szCs w:val="22"/>
              </w:rPr>
              <w:t>L</w:t>
            </w:r>
            <w:r w:rsidRPr="0038794A">
              <w:rPr>
                <w:rFonts w:cs="Times New Roman"/>
                <w:noProof/>
                <w:sz w:val="22"/>
                <w:szCs w:val="22"/>
              </w:rPr>
              <w:t xml:space="preserve">-Val-ΔAla </w:t>
            </w:r>
          </w:p>
          <w:p w14:paraId="1BE7594F" w14:textId="77777777"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noProof/>
                <w:sz w:val="22"/>
                <w:szCs w:val="22"/>
              </w:rPr>
            </w:pPr>
            <w:r w:rsidRPr="0038794A">
              <w:rPr>
                <w:rFonts w:cs="Times New Roman"/>
                <w:noProof/>
                <w:sz w:val="20"/>
                <w:szCs w:val="20"/>
              </w:rPr>
              <w:t>(3-methylene-6S-(1-methylethyl)-2,5-piperazinedione)</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559E360" w14:textId="77777777" w:rsidR="00EC5342" w:rsidRPr="0038794A" w:rsidRDefault="00EC5342" w:rsidP="00E36106">
            <w:pPr>
              <w:pStyle w:val="ListParagraph"/>
              <w:numPr>
                <w:ilvl w:val="0"/>
                <w:numId w:val="12"/>
              </w:numPr>
              <w:snapToGrid w:val="0"/>
              <w:spacing w:line="278" w:lineRule="auto"/>
              <w:ind w:left="180" w:hanging="180"/>
              <w:cnfStyle w:val="000000000000" w:firstRow="0" w:lastRow="0" w:firstColumn="0" w:lastColumn="0" w:oddVBand="0" w:evenVBand="0" w:oddHBand="0"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Enhancing algal growth</w:t>
            </w:r>
          </w:p>
        </w:tc>
        <w:tc>
          <w:tcPr>
            <w:tcW w:w="2041" w:type="dxa"/>
            <w:tcBorders>
              <w:top w:val="single" w:sz="12" w:space="0" w:color="000000" w:themeColor="text1"/>
              <w:left w:val="single" w:sz="12" w:space="0" w:color="000000" w:themeColor="text1"/>
              <w:bottom w:val="single" w:sz="12" w:space="0" w:color="000000" w:themeColor="text1"/>
            </w:tcBorders>
            <w:shd w:val="clear" w:color="auto" w:fill="DAE9F7" w:themeFill="text2" w:themeFillTint="1A"/>
            <w:vAlign w:val="center"/>
          </w:tcPr>
          <w:p w14:paraId="34748BC7" w14:textId="22DB4633" w:rsidR="00EC5342" w:rsidRPr="0038794A" w:rsidRDefault="00EC5342" w:rsidP="00E36106">
            <w:pPr>
              <w:snapToGrid w:val="0"/>
              <w:cnfStyle w:val="000000000000" w:firstRow="0" w:lastRow="0" w:firstColumn="0" w:lastColumn="0" w:oddVBand="0" w:evenVBand="0" w:oddHBand="0" w:evenHBand="0" w:firstRowFirstColumn="0" w:firstRowLastColumn="0" w:lastRowFirstColumn="0" w:lastRowLastColumn="0"/>
              <w:rPr>
                <w:rFonts w:cs="Times New Roman"/>
                <w:sz w:val="22"/>
                <w:szCs w:val="22"/>
              </w:rPr>
            </w:pPr>
            <w:r w:rsidRPr="0038794A">
              <w:rPr>
                <w:rFonts w:cs="Times New Roman"/>
                <w:sz w:val="22"/>
              </w:rPr>
              <w:fldChar w:fldCharType="begin"/>
            </w:r>
            <w:r w:rsidRPr="0038794A">
              <w:rPr>
                <w:rFonts w:cs="Times New Roman"/>
                <w:sz w:val="22"/>
                <w:szCs w:val="22"/>
              </w:rPr>
              <w:instrText xml:space="preserve"> ADDIN ZOTERO_ITEM CSL_CITATION {"citationID":"ti7PHEgN","properties":{"formattedCitation":"(Sittmann et al., 2021)","plainCitation":"(Sittmann et al., 2021)","noteIndex":0},"citationItems":[{"id":9396,"uris":["http://zotero.org/users/764524/items/4F64DXWJ"],"itemData":{"id":9396,"type":"article-journal","abstract":"Diatoms are photosynthetic microalgae that fix a significant fraction of the world’s carbon. Because of their photosynthetic efficiency and high-lipid content, diatoms are priority candidates for biofuel production. Here, we report that sporulating Bacillus thuringiensis and other members of the Bacillus cereus group, when in co-culture with the marine diatom Phaeodactylum tricornutum, significantly increase diatom cell count. Bioassay-guided purification of the mother cell lysate of B. thuringiensis led to the identification of two diketopiperazines (DKPs) that stimulate both P. tricornutum growth and increase its lipid content. These findings may be exploited to enhance P. tricornutum growth and microalgae-based biofuel production. As increasing numbers of DKPs are isolated from marine microbes, the work gives potential clues to bacterial-produced growth factors for marine microalgae.","container-title":"Plant Physiology","DOI":"10.1093/plphys/kiab080","ISSN":"0032-0889","issue":"2","journalAbbreviation":"Plant Physiol.","page":"1159-1170","source":"Silverchair","title":"Bacterial diketopiperazines stimulate diatom growth and lipid accumulation","volume":"186","author":[{"family":"Sittmann","given":"John"},{"family":"Bae","given":"Munhyung"},{"family":"Mevers","given":"Emily"},{"family":"Li","given":"Muzi"},{"family":"Quinn","given":"Andrew"},{"family":"Sriram","given":"Ganesh"},{"family":"Clardy","given":"Jon"},{"family":"Liu","given":"Zhongchi"}],"issued":{"date-parts":[["2021",6,1]]}}}],"schema":"https://github.com/citation-style-language/schema/raw/master/csl-citation.json"} </w:instrText>
            </w:r>
            <w:r w:rsidRPr="0038794A">
              <w:rPr>
                <w:rFonts w:cs="Times New Roman"/>
                <w:sz w:val="22"/>
              </w:rPr>
              <w:fldChar w:fldCharType="separate"/>
            </w:r>
            <w:r w:rsidRPr="0038794A">
              <w:rPr>
                <w:rFonts w:cs="Times New Roman"/>
                <w:sz w:val="22"/>
                <w:szCs w:val="22"/>
              </w:rPr>
              <w:t>(Sittmann et al., 2021)</w:t>
            </w:r>
            <w:r w:rsidRPr="0038794A">
              <w:rPr>
                <w:rFonts w:cs="Times New Roman"/>
                <w:sz w:val="22"/>
              </w:rPr>
              <w:fldChar w:fldCharType="end"/>
            </w:r>
          </w:p>
        </w:tc>
      </w:tr>
      <w:tr w:rsidR="00EC5342" w:rsidRPr="0038794A" w14:paraId="0DD55C69" w14:textId="77777777" w:rsidTr="008D020D">
        <w:trPr>
          <w:cnfStyle w:val="000000100000" w:firstRow="0" w:lastRow="0" w:firstColumn="0" w:lastColumn="0" w:oddVBand="0" w:evenVBand="0" w:oddHBand="1" w:evenHBand="0" w:firstRowFirstColumn="0" w:firstRowLastColumn="0" w:lastRowFirstColumn="0" w:lastRowLastColumn="0"/>
          <w:trHeight w:val="1105"/>
        </w:trPr>
        <w:tc>
          <w:tcPr>
            <w:cnfStyle w:val="001000000000" w:firstRow="0" w:lastRow="0" w:firstColumn="1" w:lastColumn="0" w:oddVBand="0" w:evenVBand="0" w:oddHBand="0" w:evenHBand="0" w:firstRowFirstColumn="0" w:firstRowLastColumn="0" w:lastRowFirstColumn="0" w:lastRowLastColumn="0"/>
            <w:tcW w:w="846" w:type="dxa"/>
            <w:vMerge/>
            <w:tcBorders>
              <w:left w:val="single" w:sz="12" w:space="0" w:color="000000" w:themeColor="text1"/>
              <w:bottom w:val="single" w:sz="12" w:space="0" w:color="000000" w:themeColor="text1"/>
              <w:right w:val="single" w:sz="12" w:space="0" w:color="000000" w:themeColor="text1"/>
            </w:tcBorders>
          </w:tcPr>
          <w:p w14:paraId="6E5F4549" w14:textId="77777777" w:rsidR="00EC5342" w:rsidRPr="0038794A" w:rsidRDefault="00EC5342" w:rsidP="00E36106">
            <w:pPr>
              <w:snapToGrid w:val="0"/>
              <w:rPr>
                <w:rFonts w:cs="Times New Roman"/>
                <w:noProof/>
                <w:color w:val="000000" w:themeColor="text1"/>
                <w:sz w:val="22"/>
              </w:rPr>
            </w:pPr>
          </w:p>
        </w:tc>
        <w:tc>
          <w:tcPr>
            <w:tcW w:w="170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3E124AD6" w14:textId="1251FCE3"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sz w:val="22"/>
                <w:szCs w:val="22"/>
              </w:rPr>
            </w:pPr>
            <w:r w:rsidRPr="0038794A">
              <w:rPr>
                <w:rFonts w:cs="Times New Roman"/>
                <w:noProof/>
                <w:color w:val="000000" w:themeColor="text1"/>
                <w:sz w:val="22"/>
                <w:szCs w:val="22"/>
              </w:rPr>
              <w:t>Cyclic diguanosine monophosphate</w:t>
            </w:r>
          </w:p>
        </w:tc>
        <w:tc>
          <w:tcPr>
            <w:tcW w:w="2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5ECDBA19" w14:textId="17D3759E"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noProof/>
                <w:sz w:val="22"/>
                <w:szCs w:val="22"/>
              </w:rPr>
            </w:pPr>
            <w:r>
              <w:rPr>
                <w:rFonts w:cs="Times New Roman"/>
                <w:noProof/>
                <w:color w:val="000000" w:themeColor="text1"/>
                <w:sz w:val="22"/>
                <w:szCs w:val="22"/>
                <w:lang w:val="en-CA"/>
              </w:rPr>
              <w:t>B</w:t>
            </w:r>
            <w:r w:rsidRPr="0038794A">
              <w:rPr>
                <w:rFonts w:cs="Times New Roman"/>
                <w:noProof/>
                <w:color w:val="000000" w:themeColor="text1"/>
                <w:sz w:val="22"/>
                <w:szCs w:val="22"/>
                <w:lang w:val="en-CA"/>
              </w:rPr>
              <w:t>is-(3′-5′)</w:t>
            </w:r>
            <w:r>
              <w:rPr>
                <w:rFonts w:cs="Times New Roman"/>
                <w:noProof/>
                <w:color w:val="000000" w:themeColor="text1"/>
                <w:sz w:val="22"/>
                <w:szCs w:val="22"/>
                <w:lang w:val="en-CA"/>
              </w:rPr>
              <w:t>-d</w:t>
            </w:r>
            <w:r w:rsidRPr="0038794A">
              <w:rPr>
                <w:rFonts w:cs="Times New Roman"/>
                <w:noProof/>
                <w:color w:val="000000" w:themeColor="text1"/>
                <w:sz w:val="22"/>
                <w:szCs w:val="22"/>
                <w:lang w:val="en-CA"/>
              </w:rPr>
              <w:t xml:space="preserve">iguanylic acid </w:t>
            </w:r>
            <w:r w:rsidRPr="0038794A">
              <w:rPr>
                <w:rFonts w:cs="Times New Roman"/>
                <w:noProof/>
                <w:color w:val="000000" w:themeColor="text1"/>
                <w:sz w:val="22"/>
                <w:szCs w:val="22"/>
              </w:rPr>
              <w:t>(c-di-GMP)</w:t>
            </w:r>
          </w:p>
        </w:tc>
        <w:tc>
          <w:tcPr>
            <w:tcW w:w="212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DAE9F7" w:themeFill="text2" w:themeFillTint="1A"/>
            <w:vAlign w:val="center"/>
          </w:tcPr>
          <w:p w14:paraId="1569406E"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Improves bacterial adhesion to algae surface</w:t>
            </w:r>
          </w:p>
          <w:p w14:paraId="01D96C4B" w14:textId="77777777" w:rsidR="00EC5342" w:rsidRPr="0038794A" w:rsidRDefault="00EC5342" w:rsidP="00E36106">
            <w:pPr>
              <w:pStyle w:val="ListParagraph"/>
              <w:numPr>
                <w:ilvl w:val="0"/>
                <w:numId w:val="12"/>
              </w:numPr>
              <w:snapToGrid w:val="0"/>
              <w:spacing w:line="278" w:lineRule="auto"/>
              <w:ind w:left="180" w:hanging="180"/>
              <w:cnfStyle w:val="000000100000" w:firstRow="0" w:lastRow="0" w:firstColumn="0" w:lastColumn="0" w:oddVBand="0" w:evenVBand="0" w:oddHBand="1" w:evenHBand="0" w:firstRowFirstColumn="0" w:firstRowLastColumn="0" w:lastRowFirstColumn="0" w:lastRowLastColumn="0"/>
              <w:rPr>
                <w:rFonts w:cs="Times New Roman"/>
                <w:color w:val="000000" w:themeColor="text1"/>
                <w:sz w:val="22"/>
                <w:szCs w:val="22"/>
                <w:lang w:val="en-CA"/>
              </w:rPr>
            </w:pPr>
            <w:r w:rsidRPr="0038794A">
              <w:rPr>
                <w:rFonts w:cs="Times New Roman"/>
                <w:color w:val="000000" w:themeColor="text1"/>
                <w:sz w:val="22"/>
                <w:szCs w:val="22"/>
                <w:lang w:val="en-CA"/>
              </w:rPr>
              <w:t xml:space="preserve">Increase polysaccharide exchange </w:t>
            </w:r>
          </w:p>
        </w:tc>
        <w:tc>
          <w:tcPr>
            <w:tcW w:w="2041" w:type="dxa"/>
            <w:tcBorders>
              <w:top w:val="single" w:sz="12" w:space="0" w:color="000000" w:themeColor="text1"/>
              <w:left w:val="single" w:sz="12" w:space="0" w:color="000000" w:themeColor="text1"/>
              <w:bottom w:val="single" w:sz="12" w:space="0" w:color="000000" w:themeColor="text1"/>
            </w:tcBorders>
            <w:shd w:val="clear" w:color="auto" w:fill="DAE9F7" w:themeFill="text2" w:themeFillTint="1A"/>
            <w:vAlign w:val="center"/>
          </w:tcPr>
          <w:p w14:paraId="0D1C32CB" w14:textId="71C4C972" w:rsidR="00EC5342" w:rsidRPr="0038794A" w:rsidRDefault="00EC5342" w:rsidP="00E36106">
            <w:pPr>
              <w:snapToGrid w:val="0"/>
              <w:cnfStyle w:val="000000100000" w:firstRow="0" w:lastRow="0" w:firstColumn="0" w:lastColumn="0" w:oddVBand="0" w:evenVBand="0" w:oddHBand="1" w:evenHBand="0" w:firstRowFirstColumn="0" w:firstRowLastColumn="0" w:lastRowFirstColumn="0" w:lastRowLastColumn="0"/>
              <w:rPr>
                <w:rFonts w:cs="Times New Roman"/>
                <w:sz w:val="22"/>
                <w:szCs w:val="22"/>
              </w:rPr>
            </w:pPr>
            <w:r w:rsidRPr="0038794A">
              <w:rPr>
                <w:rFonts w:cs="Times New Roman"/>
                <w:sz w:val="22"/>
              </w:rPr>
              <w:fldChar w:fldCharType="begin"/>
            </w:r>
            <w:r w:rsidRPr="0038794A">
              <w:rPr>
                <w:rFonts w:cs="Times New Roman"/>
                <w:sz w:val="22"/>
                <w:szCs w:val="22"/>
              </w:rPr>
              <w:instrText xml:space="preserve"> ADDIN ZOTERO_ITEM CSL_CITATION {"citationID":"X3N5ULjP","properties":{"formattedCitation":"(Ji et al., 2018)","plainCitation":"(Ji et al., 2018)","noteIndex":0},"citationItems":[{"id":9379,"uris":["http://zotero.org/users/764524/items/LE7M3ARV"],"itemData":{"id":9379,"type":"article-journal","abstract":"The ability of Chlorella vulgaris-Bacillus licheniformis and Microcystis aeruginosa-Bacillus licheniformis consortiums to eliminate total dissolved nitrogen (TDN), total dissolved phosphorus (TDP), and soluble chemical oxygen demand (sCOD) from synthetic wastewater was studied. The highest values of dry cell weight, chlorophyll-a, and chlorophyll metabolism related genes/bacterial rRNA gene copies were obtained in the Chlorella vulgaris-Bacillus licheniformis system at Chlorella vulgaris and Bacillus licheniformis ratio of 1:3. On the 10th day, the Chlorella vulgaris-Bacillus licheniformis system at this ratio removed 86.55%, 80.28% and 88.95% of sCOD, TDP and TDN, respectively. But, the Microcystis aeruginosa-Bacillus licheniformis system at this ratio only removed 65.62%, 70.82%, and 21.56% of sCOD, TDP and TDN, respectively. Chlorella vulgaris and Bacillus licheniformis could coexist as an algae-bacteria consortia and quorum sensing substances (autoind</w:instrText>
            </w:r>
            <w:r w:rsidRPr="0038794A">
              <w:rPr>
                <w:rFonts w:cs="Times New Roman" w:hint="eastAsia"/>
                <w:sz w:val="22"/>
                <w:szCs w:val="22"/>
              </w:rPr>
              <w:instrText>ucing peptides and bis (3</w:instrText>
            </w:r>
            <w:r w:rsidRPr="0038794A">
              <w:rPr>
                <w:rFonts w:cs="Times New Roman" w:hint="eastAsia"/>
                <w:sz w:val="22"/>
                <w:szCs w:val="22"/>
              </w:rPr>
              <w:instrText>′</w:instrText>
            </w:r>
            <w:r w:rsidRPr="0038794A">
              <w:rPr>
                <w:rFonts w:cs="Times New Roman" w:hint="eastAsia"/>
                <w:sz w:val="22"/>
                <w:szCs w:val="22"/>
              </w:rPr>
              <w:instrText>-5</w:instrText>
            </w:r>
            <w:r w:rsidRPr="0038794A">
              <w:rPr>
                <w:rFonts w:cs="Times New Roman" w:hint="eastAsia"/>
                <w:sz w:val="22"/>
                <w:szCs w:val="22"/>
              </w:rPr>
              <w:instrText>′</w:instrText>
            </w:r>
            <w:r w:rsidRPr="0038794A">
              <w:rPr>
                <w:rFonts w:cs="Times New Roman" w:hint="eastAsia"/>
                <w:sz w:val="22"/>
                <w:szCs w:val="22"/>
              </w:rPr>
              <w:instrText>) diguanylic acid) concentrations were measured. Finally, the interactions and communication patterns between Chlorella vulgaris and Bacillus licheniformis were depicted.","container-title":"Bioresource Technology","DOI":"10.1</w:instrText>
            </w:r>
            <w:r w:rsidRPr="0038794A">
              <w:rPr>
                <w:rFonts w:cs="Times New Roman"/>
                <w:sz w:val="22"/>
                <w:szCs w:val="22"/>
              </w:rPr>
              <w:instrText xml:space="preserve">016/j.biortech.2017.09.074","ISSN":"0960-8524","journalAbbreviation":"Bioresour. Technol.","page":"44-50","source":"ScienceDirect","title":"The interactions of algae-bacteria symbiotic system and its effects on nutrients removal from synthetic wastewater","volume":"247","author":[{"family":"Ji","given":"Xiyan"},{"family":"Jiang","given":"Mengqi"},{"family":"Zhang","given":"Jibiao"},{"family":"Jiang","given":"Xuyao"},{"family":"Zheng","given":"Zheng"}],"issued":{"date-parts":[["2018",1,1]]}}}],"schema":"https://github.com/citation-style-language/schema/raw/master/csl-citation.json"} </w:instrText>
            </w:r>
            <w:r w:rsidRPr="0038794A">
              <w:rPr>
                <w:rFonts w:cs="Times New Roman"/>
                <w:sz w:val="22"/>
              </w:rPr>
              <w:fldChar w:fldCharType="separate"/>
            </w:r>
            <w:r w:rsidRPr="0038794A">
              <w:rPr>
                <w:rFonts w:cs="Times New Roman"/>
                <w:sz w:val="22"/>
                <w:szCs w:val="22"/>
              </w:rPr>
              <w:t>(Ji et al., 2018)</w:t>
            </w:r>
            <w:r w:rsidRPr="0038794A">
              <w:rPr>
                <w:rFonts w:cs="Times New Roman"/>
                <w:sz w:val="22"/>
              </w:rPr>
              <w:fldChar w:fldCharType="end"/>
            </w:r>
          </w:p>
        </w:tc>
      </w:tr>
    </w:tbl>
    <w:p w14:paraId="3A3D2D83" w14:textId="77777777" w:rsidR="008B64FA" w:rsidRPr="00833CE8" w:rsidRDefault="008B64FA" w:rsidP="00C31A9C">
      <w:pPr>
        <w:snapToGrid w:val="0"/>
        <w:spacing w:line="360" w:lineRule="auto"/>
        <w:jc w:val="both"/>
        <w:rPr>
          <w:rFonts w:cs="Times New Roman"/>
          <w:szCs w:val="24"/>
          <w:lang w:eastAsia="zh-CN"/>
        </w:rPr>
      </w:pPr>
    </w:p>
    <w:p w14:paraId="7005737B" w14:textId="63808BF6" w:rsidR="008F67BF" w:rsidRDefault="008F67BF" w:rsidP="00830FA3">
      <w:pPr>
        <w:snapToGrid w:val="0"/>
        <w:spacing w:line="360" w:lineRule="auto"/>
        <w:ind w:firstLine="284"/>
        <w:jc w:val="both"/>
        <w:rPr>
          <w:rFonts w:cs="Times New Roman"/>
          <w:b/>
          <w:bCs/>
          <w:szCs w:val="24"/>
          <w:lang w:eastAsia="zh-CN"/>
        </w:rPr>
      </w:pPr>
      <w:r w:rsidRPr="00996890">
        <w:rPr>
          <w:rFonts w:cs="Times New Roman"/>
          <w:szCs w:val="24"/>
        </w:rPr>
        <w:t>Techniques for studying these interactions include</w:t>
      </w:r>
      <w:r w:rsidRPr="00996890">
        <w:rPr>
          <w:rFonts w:cs="Times New Roman"/>
          <w:szCs w:val="24"/>
          <w:lang w:eastAsia="zh-CN"/>
        </w:rPr>
        <w:t xml:space="preserve"> metabolomics </w:t>
      </w:r>
      <w:r w:rsidR="00A02479" w:rsidRPr="00996890">
        <w:rPr>
          <w:rFonts w:cs="Times New Roman"/>
          <w:szCs w:val="24"/>
          <w:lang w:eastAsia="zh-CN"/>
        </w:rPr>
        <w:t>approaches</w:t>
      </w:r>
      <w:r w:rsidRPr="00996890">
        <w:rPr>
          <w:rFonts w:cs="Times New Roman"/>
          <w:szCs w:val="24"/>
          <w:lang w:eastAsia="zh-CN"/>
        </w:rPr>
        <w:t xml:space="preserve"> </w:t>
      </w:r>
      <w:r w:rsidRPr="00996890">
        <w:rPr>
          <w:rFonts w:cs="Times New Roman"/>
          <w:szCs w:val="24"/>
          <w:lang w:eastAsia="zh-CN"/>
        </w:rPr>
        <w:fldChar w:fldCharType="begin"/>
      </w:r>
      <w:r w:rsidRPr="00996890">
        <w:rPr>
          <w:rFonts w:cs="Times New Roman"/>
          <w:szCs w:val="24"/>
          <w:lang w:eastAsia="zh-CN"/>
        </w:rPr>
        <w:instrText xml:space="preserve"> ADDIN ZOTERO_ITEM CSL_CITATION {"citationID":"AjHaDFzA","properties":{"formattedCitation":"(Daly et al., 2022)","plainCitation":"(Daly et al., 2022)","noteIndex":0},"citationItems":[{"id":4446,"uris":["http://zotero.org/users/764524/items/PSL9QDVE"],"itemData":{"id":4446,"type":"article-journal","abstract":"Interactions amongst marine microalgae and heterotrophic bacteria drive processes underlying major biogeochemical cycles and are important for many artificial systems. These dynamic and complex interactions span the range from cooperative to competitive, and it is the diverse and intricate networks of metabolites and chemical mediators that are predicted to principally dictate the nature of the relationship at any point in time. Recent advances in technologies to identify, analyze, and quantify metabolites have allowed for a comprehensive view of the molecules available for exchange and/or reflective of organismal interactions, setting the stage for development of mechanistic understanding of these systems. Here, we (i) review the current knowledge landscape of microalgal–bacterial interactions by focusing on metabolomic studies of selected, simplified model systems; (ii) describe the state of the field of metabolomics, with specific focus on techniques and approaches developed for microalga–bacterial interaction studies; and (iii) outline the main approaches for development of mathematical models of these interacting systems, which collectively have the power to enhance interpretation of experimental data and generate novel testable hypotheses. We share the viewpoint that a comprehensive and integrated series of -omics approaches that include theoretical formulations are necessary to develop predictive and mechanistic understanding of these biological entities.","container-title":"FEMS Microbiology Reviews","DOI":"10.1093/femsre/fuac020","ISSN":"0168-6445","issue":"5","journalAbbreviation":"FEMS Microbiol. Rev.","page":"fuac020","source":"Silverchair","title":"Towards a mechanistic understanding of microalgae–bacteria interactions: integration of metabolomic analysis and computational models","title-short":"Towards a mechanistic understanding of microalgae–bacteria interactions","volume":"46","author":[{"family":"Daly","given":"Giulia"},{"family":"Ghini","given":"Veronica"},{"family":"Adessi","given":"Alessandra"},{"family":"Fondi","given":"Marco"},{"family":"Buchan","given":"Alison"},{"family":"Viti","given":"Carlo"}],"issued":{"date-parts":[["2022",9,1]]}}}],"schema":"https://github.com/citation-style-language/schema/raw/master/csl-citation.json"} </w:instrText>
      </w:r>
      <w:r w:rsidRPr="00996890">
        <w:rPr>
          <w:rFonts w:cs="Times New Roman"/>
          <w:szCs w:val="24"/>
          <w:lang w:eastAsia="zh-CN"/>
        </w:rPr>
        <w:fldChar w:fldCharType="separate"/>
      </w:r>
      <w:r w:rsidRPr="00996890">
        <w:rPr>
          <w:rFonts w:cs="Times New Roman"/>
        </w:rPr>
        <w:t>(Daly et al., 2022)</w:t>
      </w:r>
      <w:r w:rsidRPr="00996890">
        <w:rPr>
          <w:rFonts w:cs="Times New Roman"/>
          <w:szCs w:val="24"/>
          <w:lang w:eastAsia="zh-CN"/>
        </w:rPr>
        <w:fldChar w:fldCharType="end"/>
      </w:r>
      <w:r w:rsidRPr="00996890">
        <w:rPr>
          <w:rFonts w:cs="Times New Roman"/>
          <w:szCs w:val="24"/>
          <w:lang w:eastAsia="zh-CN"/>
        </w:rPr>
        <w:t xml:space="preserve"> </w:t>
      </w:r>
      <w:r w:rsidRPr="00996890">
        <w:rPr>
          <w:rFonts w:cs="Times New Roman"/>
          <w:szCs w:val="24"/>
        </w:rPr>
        <w:t xml:space="preserve">  </w:t>
      </w:r>
      <w:r w:rsidR="00A02479" w:rsidRPr="00996890">
        <w:rPr>
          <w:rFonts w:cs="Times New Roman"/>
          <w:szCs w:val="24"/>
        </w:rPr>
        <w:t xml:space="preserve">with </w:t>
      </w:r>
      <w:r w:rsidRPr="00996890">
        <w:rPr>
          <w:rFonts w:cs="Times New Roman"/>
          <w:szCs w:val="24"/>
        </w:rPr>
        <w:t xml:space="preserve">the use of mass spectrometry as well as proteomics </w:t>
      </w:r>
      <w:r w:rsidRPr="00996890">
        <w:rPr>
          <w:rFonts w:cs="Times New Roman"/>
          <w:szCs w:val="24"/>
        </w:rPr>
        <w:fldChar w:fldCharType="begin"/>
      </w:r>
      <w:r w:rsidRPr="00996890">
        <w:rPr>
          <w:rFonts w:cs="Times New Roman"/>
          <w:szCs w:val="24"/>
        </w:rPr>
        <w:instrText xml:space="preserve"> ADDIN ZOTERO_ITEM CSL_CITATION {"citationID":"EZgTwug7","properties":{"formattedCitation":"(Schlogelhofer et al., 2021)","plainCitation":"(Schlogelhofer et al., 2021)","noteIndex":0},"citationItems":[{"id":4516,"uris":["http://zotero.org/users/764524/items/VPF442D9"],"itemData":{"id":4516,"type":"article-journal","abstract":"Microbial communities are of considerable significance for biogeochemical processes, for the health of both animals and plants, and for biotechnological purposes. A key feature of microbial interactions is the exchange of nutrients between cells. Isotope labelling followed by analysis with secondary ion mass spectrometry (SIMS) can identify nutrient fluxes and heterogeneity of substrate utilisation on a single cell level. Here we present a novel approach that combines SIMS experiments with mechanistic modelling to reveal otherwise inaccessible nutrient kinetics. The method is applied to study the onset of a synthetic mutualistic partnership between a vitamin B12-dependent mutant of the alga Chlamydomonas reinhardtii and the B12-producing, heterotrophic bacterium Mesorhizobium japonicum, which is supported by algal photosynthesis. Results suggest that an initial pool of fixed carbon delays the onset of mutualistic cross-feeding; significantly, our approach allows the first quantification of this expected delay. Our method is widely applicable to other microbial systems, and will contribute to furthering a mechanistic understanding of microbial interactions.","container-title":"PLOS ONE","DOI":"10.1371/journal.pone.0251643","ISSN":"1932-6203","issue":"5","journalAbbreviation":"PLOS ONE","language":"en","note":"publisher: Public Library of Science","page":"e0251643","source":"PLoS Journals","title":"Combining SIMS and mechanistic modelling to reveal nutrient kinetics in an algal-bacterial mutualism","volume":"16","author":[{"family":"Schlogelhofer","given":"Hannah Laeverenz"},{"family":"Peaudecerf","given":"François J."},{"family":"Bunbury","given":"Freddy"},{"family":"Whitehouse","given":"Martin J."},{"family":"Foster","given":"Rachel A."},{"family":"Smith","given":"Alison G."},{"family":"Croze","given":"Ottavio A."}],"issued":{"date-parts":[["2021",5,20]]}}}],"schema":"https://github.com/citation-style-language/schema/raw/master/csl-citation.json"} </w:instrText>
      </w:r>
      <w:r w:rsidRPr="00996890">
        <w:rPr>
          <w:rFonts w:cs="Times New Roman"/>
          <w:szCs w:val="24"/>
        </w:rPr>
        <w:fldChar w:fldCharType="separate"/>
      </w:r>
      <w:r w:rsidRPr="00996890">
        <w:rPr>
          <w:rFonts w:cs="Times New Roman"/>
        </w:rPr>
        <w:t>(Schlogelhofer et al., 2021)</w:t>
      </w:r>
      <w:r w:rsidRPr="00996890">
        <w:rPr>
          <w:rFonts w:cs="Times New Roman"/>
          <w:szCs w:val="24"/>
        </w:rPr>
        <w:fldChar w:fldCharType="end"/>
      </w:r>
      <w:r w:rsidRPr="00996890">
        <w:rPr>
          <w:rFonts w:cs="Times New Roman"/>
          <w:szCs w:val="24"/>
        </w:rPr>
        <w:t xml:space="preserve">.  More recent approaches </w:t>
      </w:r>
      <w:r w:rsidR="00C74E4E" w:rsidRPr="00996890">
        <w:rPr>
          <w:rFonts w:cs="Times New Roman"/>
          <w:szCs w:val="24"/>
        </w:rPr>
        <w:t>encompass</w:t>
      </w:r>
      <w:r w:rsidRPr="00996890">
        <w:rPr>
          <w:rFonts w:cs="Times New Roman"/>
          <w:szCs w:val="24"/>
        </w:rPr>
        <w:t xml:space="preserve"> 16S rRNA sequencing, which may provide insight into patterns of associations that cannot be explained by simpler</w:t>
      </w:r>
      <w:r w:rsidRPr="00833CE8">
        <w:rPr>
          <w:rFonts w:cs="Times New Roman"/>
          <w:szCs w:val="24"/>
        </w:rPr>
        <w:t xml:space="preserve"> methods of taxonomic profiling </w:t>
      </w:r>
      <w:r w:rsidRPr="00833CE8">
        <w:rPr>
          <w:rFonts w:cs="Times New Roman"/>
          <w:szCs w:val="24"/>
        </w:rPr>
        <w:fldChar w:fldCharType="begin"/>
      </w:r>
      <w:r w:rsidRPr="00833CE8">
        <w:rPr>
          <w:rFonts w:cs="Times New Roman"/>
          <w:szCs w:val="24"/>
        </w:rPr>
        <w:instrText xml:space="preserve"> ADDIN ZOTERO_ITEM CSL_CITATION {"citationID":"tYR4llyu","properties":{"formattedCitation":"(Pushpakumara et al., 2023)","plainCitation":"(Pushpakumara et al., 2023)","noteIndex":0},"citationItems":[{"id":4472,"uris":["http://zotero.org/users/764524/items/LBYJI4YP"],"itemData":{"id":4472,"type":"article-journal","abstract":"Interactions between microalgae and bacteria can directly influence the global biogeochemical cycles but the majority of such interactions remain unknown. 16S rRNA gene-based co-occurrence networks have potential to help identify microalgal-bacterial interactions. Here, we used data from 10 Earth microbiome projects to identify potential microalgal-bacterial associations in aquatic ecosystems. A high degree of clustering was observed in microalgal-bacterial modules, indicating densely connected neighbourhoods. Proteobacteria and Bacteroidetes predominantly co-occurred with microalgae and represented hubs of most modules. Our results also indicated that species-specificity may be a global characteristic of microalgal associated microbiomes. Several previously known associations were recovered from our network modules, validating that biologically meaningful results can be inferred using this approach. A range of previously unknown associations were recognised such as co-occurrences of Bacillariophyta with uncultured Planctomycetes OM190 and Deltaproteobacteria order NB1-j. Planctomycetes and Verrucomicrobia were identified as key associates of microalgae due to their frequent co-occurrences with several microalgal taxa. Despite no clear taxonomic pattern, bacterial associates appeared functionally similar across different environments. To summarise, we demonstrated the potential of 16S rRNA gene-based co-occurrence networks as a hypothesis-generating framework to guide more focused research on microalgal-bacterial associations.","container-title":"Scientific Reports","DOI":"10.1038/s41598-023-27816-9","ISSN":"2045-2322","issue":"1","journalAbbreviation":"Sci. Rep.","language":"en","license":"2023 The Author(s)","note":"publisher: Nature Publishing Group","page":"2743","source":"www.nature.com","title":"Unravelling microalgal-bacterial interactions in aquatic ecosystems through 16S rRNA gene-based co-occurrence networks","volume":"13","author":[{"family":"Pushpakumara","given":"B. L. D. Uthpala"},{"family":"Tandon","given":"Kshitij"},{"family":"Willis","given":"Anusuya"},{"family":"Verbruggen","given":"Heroen"}],"issued":{"date-parts":[["2023",2,16]]}}}],"schema":"https://github.com/citation-style-language/schema/raw/master/csl-citation.json"} </w:instrText>
      </w:r>
      <w:r w:rsidRPr="00833CE8">
        <w:rPr>
          <w:rFonts w:cs="Times New Roman"/>
          <w:szCs w:val="24"/>
        </w:rPr>
        <w:fldChar w:fldCharType="separate"/>
      </w:r>
      <w:r w:rsidRPr="00833CE8">
        <w:rPr>
          <w:rFonts w:cs="Times New Roman"/>
        </w:rPr>
        <w:t>(Pushpakumara et al., 2023)</w:t>
      </w:r>
      <w:r w:rsidRPr="00833CE8">
        <w:rPr>
          <w:rFonts w:cs="Times New Roman"/>
          <w:szCs w:val="24"/>
        </w:rPr>
        <w:fldChar w:fldCharType="end"/>
      </w:r>
      <w:r w:rsidRPr="00833CE8">
        <w:rPr>
          <w:rFonts w:cs="Times New Roman"/>
          <w:szCs w:val="24"/>
        </w:rPr>
        <w:t xml:space="preserve">.  </w:t>
      </w:r>
      <w:r w:rsidRPr="00833CE8">
        <w:rPr>
          <w:rFonts w:cs="Times New Roman"/>
          <w:b/>
          <w:bCs/>
          <w:szCs w:val="24"/>
          <w:lang w:eastAsia="zh-CN"/>
        </w:rPr>
        <w:t xml:space="preserve"> </w:t>
      </w:r>
    </w:p>
    <w:p w14:paraId="5253159B" w14:textId="3B819551" w:rsidR="00830FA3" w:rsidRPr="00996890" w:rsidRDefault="003804FD" w:rsidP="00830FA3">
      <w:pPr>
        <w:snapToGrid w:val="0"/>
        <w:spacing w:line="360" w:lineRule="auto"/>
        <w:ind w:firstLine="284"/>
        <w:jc w:val="both"/>
        <w:rPr>
          <w:rFonts w:cs="Times New Roman"/>
          <w:szCs w:val="24"/>
          <w:lang w:eastAsia="zh-CN"/>
        </w:rPr>
      </w:pPr>
      <w:r w:rsidRPr="00833CE8">
        <w:rPr>
          <w:rFonts w:cs="Times New Roman"/>
          <w:szCs w:val="24"/>
          <w:lang w:eastAsia="zh-CN"/>
        </w:rPr>
        <w:t>Although there is clear evidence of the mutualistic relationships between microalgae and bacteria, there is still limited info</w:t>
      </w:r>
      <w:r w:rsidR="00104490">
        <w:rPr>
          <w:rFonts w:cs="Times New Roman"/>
          <w:szCs w:val="24"/>
          <w:lang w:eastAsia="zh-CN"/>
        </w:rPr>
        <w:t>rmation</w:t>
      </w:r>
      <w:r w:rsidRPr="00833CE8">
        <w:rPr>
          <w:rFonts w:cs="Times New Roman"/>
          <w:szCs w:val="24"/>
          <w:lang w:eastAsia="zh-CN"/>
        </w:rPr>
        <w:t xml:space="preserve"> on the </w:t>
      </w:r>
      <w:r w:rsidRPr="00996890">
        <w:rPr>
          <w:rFonts w:cs="Times New Roman"/>
          <w:szCs w:val="24"/>
          <w:lang w:eastAsia="zh-CN"/>
        </w:rPr>
        <w:t xml:space="preserve">mechanisms </w:t>
      </w:r>
      <w:r w:rsidR="008F67BF" w:rsidRPr="00996890">
        <w:rPr>
          <w:rFonts w:cs="Times New Roman"/>
          <w:szCs w:val="24"/>
          <w:lang w:eastAsia="zh-CN"/>
        </w:rPr>
        <w:t xml:space="preserve">controlling </w:t>
      </w:r>
      <w:r w:rsidRPr="00996890">
        <w:rPr>
          <w:rFonts w:cs="Times New Roman"/>
          <w:szCs w:val="24"/>
          <w:lang w:eastAsia="zh-CN"/>
        </w:rPr>
        <w:t>these relationships</w:t>
      </w:r>
      <w:r w:rsidR="00E54508" w:rsidRPr="00996890">
        <w:rPr>
          <w:rFonts w:cs="Times New Roman"/>
          <w:szCs w:val="24"/>
          <w:lang w:eastAsia="zh-CN"/>
        </w:rPr>
        <w:t xml:space="preserve"> </w:t>
      </w:r>
      <w:r w:rsidRPr="00996890">
        <w:rPr>
          <w:rFonts w:cs="Times New Roman"/>
          <w:szCs w:val="24"/>
          <w:lang w:eastAsia="zh-CN"/>
        </w:rPr>
        <w:fldChar w:fldCharType="begin"/>
      </w:r>
      <w:r w:rsidR="00CC5AD5">
        <w:rPr>
          <w:rFonts w:cs="Times New Roman"/>
          <w:szCs w:val="24"/>
          <w:lang w:eastAsia="zh-CN"/>
        </w:rPr>
        <w:instrText xml:space="preserve"> ADDIN ZOTERO_ITEM CSL_CITATION {"citationID":"WRUhc8U3","properties":{"formattedCitation":"(Aditya et al., 2022)","plainCitation":"(Aditya et al., 2022)","noteIndex":0},"citationItems":[{"id":4342,"uris":["http://zotero.org/users/764524/items/3L274UY4"],"itemData":{"id":4342,"type":"article-journal","abstract":"The diversity of microalgae and bacteria allows them to form a complementary consortium for efficient wastewater treatment and nutrient recovery. This review highlights the potential of wastewater-derived microalgal biomass as a renewable feedstock for producing animal feed, biofertilisers, biofuel, and many valuable biochemicals. Data corroborated from this review shows that microalgae and bacteria can thrive in many environments. Microalgae are especially effective at utilising nutrients from the water as they grow. This review also consolidates the current understanding of microalgae characteristics and their interactions with bacteria in a consortium system. Recent studies on the performance of only microalgae and microalgae-bacteria wastewater treatment are compared and discussed to establish a research roadmap for practical implementation of the consortium systems for various wastewaters (domestic, industrial, agro-industrial, and landfill leachate wastewater). In comparison to the pure microalgae system, the consortium system has a higher removal efficiency of up to 15% and shorter treatment time. Additionally, this review addresses a variety of possibilities for biomass application after wastewater treatment.","container-title":"Science of The Total Environment","DOI":"10.1016/j.scitotenv.2022.155871","ISSN":"0048-9697","journalAbbreviation":"Sci. Total Environ.","page":"155871","source":"ScienceDirect","title":"Microalgae-bacteria consortium for wastewater treatment and biomass production","volume":"838","author":[{"family":"Aditya","given":"Lisa"},{"family":"Mahlia","given":"T. M. Indra"},{"family":"Nguyen","given":"Luong N."},{"family":"Vu","given":"Hang P."},{"family":"Nghiem","given":"Long D."}],"issued":{"date-parts":[["2022",9,10]]}}}],"schema":"https://github.com/citation-style-language/schema/raw/master/csl-citation.json"} </w:instrText>
      </w:r>
      <w:r w:rsidRPr="00996890">
        <w:rPr>
          <w:rFonts w:cs="Times New Roman"/>
          <w:szCs w:val="24"/>
          <w:lang w:eastAsia="zh-CN"/>
        </w:rPr>
        <w:fldChar w:fldCharType="separate"/>
      </w:r>
      <w:r w:rsidR="009F150C" w:rsidRPr="00996890">
        <w:rPr>
          <w:rFonts w:cs="Times New Roman"/>
        </w:rPr>
        <w:t>(Aditya et al., 2022)</w:t>
      </w:r>
      <w:r w:rsidRPr="00996890">
        <w:rPr>
          <w:rFonts w:cs="Times New Roman"/>
          <w:szCs w:val="24"/>
          <w:lang w:eastAsia="zh-CN"/>
        </w:rPr>
        <w:fldChar w:fldCharType="end"/>
      </w:r>
      <w:r w:rsidR="00E54508" w:rsidRPr="00996890">
        <w:rPr>
          <w:rFonts w:cs="Times New Roman"/>
          <w:szCs w:val="24"/>
          <w:lang w:eastAsia="zh-CN"/>
        </w:rPr>
        <w:t>.</w:t>
      </w:r>
      <w:r w:rsidRPr="00996890">
        <w:rPr>
          <w:rFonts w:cs="Times New Roman"/>
          <w:szCs w:val="24"/>
          <w:lang w:eastAsia="zh-CN"/>
        </w:rPr>
        <w:t xml:space="preserve">  For example, while levels of metabolites and signaling molecules have been correlated with growth of microalgae and bacteria, the processes by which these interactions lead to long-term effects on the system are unknown.  Further, the effects on bacterial growth and algal growth both need to be studied, as the growth of both organisms will be affected by their symbiotic relationship</w:t>
      </w:r>
      <w:r w:rsidR="00104490" w:rsidRPr="00996890">
        <w:rPr>
          <w:rFonts w:cs="Times New Roman"/>
          <w:szCs w:val="24"/>
          <w:lang w:eastAsia="zh-CN"/>
        </w:rPr>
        <w:t>s</w:t>
      </w:r>
      <w:r w:rsidRPr="00996890">
        <w:rPr>
          <w:rFonts w:cs="Times New Roman"/>
          <w:szCs w:val="24"/>
          <w:lang w:eastAsia="zh-CN"/>
        </w:rPr>
        <w:t>.</w:t>
      </w:r>
      <w:r w:rsidR="00297A5C" w:rsidRPr="00996890">
        <w:rPr>
          <w:rFonts w:cs="Times New Roman"/>
          <w:szCs w:val="24"/>
          <w:lang w:eastAsia="zh-CN"/>
        </w:rPr>
        <w:t xml:space="preserve">  These </w:t>
      </w:r>
      <w:r w:rsidR="00104490" w:rsidRPr="00996890">
        <w:rPr>
          <w:rFonts w:cs="Times New Roman"/>
          <w:szCs w:val="24"/>
          <w:lang w:eastAsia="zh-CN"/>
        </w:rPr>
        <w:t>associations</w:t>
      </w:r>
      <w:r w:rsidR="007E7CD9" w:rsidRPr="00996890">
        <w:rPr>
          <w:rFonts w:cs="Times New Roman"/>
          <w:szCs w:val="24"/>
          <w:lang w:eastAsia="zh-CN"/>
        </w:rPr>
        <w:t xml:space="preserve"> </w:t>
      </w:r>
      <w:r w:rsidR="00104490" w:rsidRPr="00996890">
        <w:rPr>
          <w:rFonts w:cs="Times New Roman"/>
          <w:szCs w:val="24"/>
          <w:lang w:eastAsia="zh-CN"/>
        </w:rPr>
        <w:t>are</w:t>
      </w:r>
      <w:r w:rsidR="007E7CD9" w:rsidRPr="00996890">
        <w:rPr>
          <w:rFonts w:cs="Times New Roman"/>
          <w:szCs w:val="24"/>
          <w:lang w:eastAsia="zh-CN"/>
        </w:rPr>
        <w:t xml:space="preserve"> </w:t>
      </w:r>
      <w:r w:rsidR="00297A5C" w:rsidRPr="00996890">
        <w:rPr>
          <w:rFonts w:cs="Times New Roman"/>
          <w:szCs w:val="24"/>
          <w:lang w:eastAsia="zh-CN"/>
        </w:rPr>
        <w:t xml:space="preserve">a </w:t>
      </w:r>
      <w:r w:rsidR="007E7CD9" w:rsidRPr="00996890">
        <w:rPr>
          <w:rFonts w:cs="Times New Roman"/>
          <w:szCs w:val="24"/>
          <w:lang w:eastAsia="zh-CN"/>
        </w:rPr>
        <w:t>result of evolutionary pressure</w:t>
      </w:r>
      <w:r w:rsidR="00297A5C" w:rsidRPr="00996890">
        <w:rPr>
          <w:rFonts w:cs="Times New Roman"/>
          <w:szCs w:val="24"/>
          <w:lang w:eastAsia="zh-CN"/>
        </w:rPr>
        <w:t>, which led to beneficial effects for both organism</w:t>
      </w:r>
      <w:r w:rsidR="008F67BF" w:rsidRPr="00996890">
        <w:rPr>
          <w:rFonts w:cs="Times New Roman"/>
          <w:szCs w:val="24"/>
          <w:lang w:eastAsia="zh-CN"/>
        </w:rPr>
        <w:t>s</w:t>
      </w:r>
      <w:r w:rsidR="00297A5C" w:rsidRPr="00996890">
        <w:rPr>
          <w:rFonts w:cs="Times New Roman"/>
          <w:szCs w:val="24"/>
          <w:lang w:eastAsia="zh-CN"/>
        </w:rPr>
        <w:t xml:space="preserve">. </w:t>
      </w:r>
    </w:p>
    <w:p w14:paraId="0B3D165F" w14:textId="68E7C50F" w:rsidR="007E7CD9" w:rsidRPr="00297A5C" w:rsidRDefault="00297A5C" w:rsidP="00830FA3">
      <w:pPr>
        <w:snapToGrid w:val="0"/>
        <w:spacing w:line="360" w:lineRule="auto"/>
        <w:ind w:firstLine="284"/>
        <w:jc w:val="both"/>
        <w:rPr>
          <w:rFonts w:cs="Times New Roman"/>
          <w:szCs w:val="24"/>
        </w:rPr>
      </w:pPr>
      <w:r w:rsidRPr="00996890">
        <w:rPr>
          <w:rFonts w:cs="Times New Roman"/>
          <w:szCs w:val="24"/>
        </w:rPr>
        <w:t>This review will examine these interactions by dividing them into the</w:t>
      </w:r>
      <w:r w:rsidRPr="00297A5C">
        <w:rPr>
          <w:rFonts w:cs="Times New Roman"/>
          <w:szCs w:val="24"/>
        </w:rPr>
        <w:t xml:space="preserve"> broad categories of nutrient exchange and cell signalling.</w:t>
      </w:r>
    </w:p>
    <w:p w14:paraId="40A0E3CC" w14:textId="77777777" w:rsidR="008B64FA" w:rsidRPr="00833CE8" w:rsidRDefault="008B64FA" w:rsidP="00C31A9C">
      <w:pPr>
        <w:snapToGrid w:val="0"/>
        <w:spacing w:line="360" w:lineRule="auto"/>
        <w:rPr>
          <w:rFonts w:cs="Times New Roman"/>
          <w:szCs w:val="24"/>
        </w:rPr>
      </w:pPr>
    </w:p>
    <w:p w14:paraId="583579F0" w14:textId="12ECE94C" w:rsidR="00D010D7" w:rsidRPr="00833CE8" w:rsidRDefault="007345D2" w:rsidP="00D73312">
      <w:pPr>
        <w:pStyle w:val="ListParagraph"/>
        <w:numPr>
          <w:ilvl w:val="1"/>
          <w:numId w:val="9"/>
        </w:numPr>
        <w:snapToGrid w:val="0"/>
        <w:spacing w:line="360" w:lineRule="auto"/>
        <w:rPr>
          <w:rFonts w:cs="Times New Roman"/>
          <w:b/>
          <w:bCs/>
          <w:szCs w:val="24"/>
        </w:rPr>
      </w:pPr>
      <w:r w:rsidRPr="00833CE8">
        <w:rPr>
          <w:rFonts w:cs="Times New Roman"/>
          <w:b/>
          <w:bCs/>
          <w:szCs w:val="24"/>
        </w:rPr>
        <w:t xml:space="preserve">Nutrient </w:t>
      </w:r>
      <w:r w:rsidR="006C37A6">
        <w:rPr>
          <w:rFonts w:cs="Times New Roman"/>
          <w:b/>
          <w:bCs/>
          <w:szCs w:val="24"/>
        </w:rPr>
        <w:t>E</w:t>
      </w:r>
      <w:r w:rsidRPr="00833CE8">
        <w:rPr>
          <w:rFonts w:cs="Times New Roman"/>
          <w:b/>
          <w:bCs/>
          <w:szCs w:val="24"/>
        </w:rPr>
        <w:t>xchange</w:t>
      </w:r>
    </w:p>
    <w:p w14:paraId="4F9E7111" w14:textId="0AF7A0C4" w:rsidR="005F1CF0" w:rsidRPr="00833CE8" w:rsidRDefault="00302D78" w:rsidP="00C31A9C">
      <w:pPr>
        <w:snapToGrid w:val="0"/>
        <w:spacing w:line="360" w:lineRule="auto"/>
        <w:ind w:firstLine="284"/>
        <w:jc w:val="both"/>
        <w:rPr>
          <w:rFonts w:cs="Times New Roman"/>
          <w:szCs w:val="24"/>
        </w:rPr>
      </w:pPr>
      <w:r w:rsidRPr="00833CE8">
        <w:rPr>
          <w:rFonts w:cs="Times New Roman"/>
          <w:szCs w:val="24"/>
        </w:rPr>
        <w:t xml:space="preserve">One of the key types of interactions between microalgae and bacteria is nutrient exchange, namely, exchange of nutrients that one organism can provide </w:t>
      </w:r>
      <w:r w:rsidR="007A7A9F" w:rsidRPr="00833CE8">
        <w:rPr>
          <w:rFonts w:cs="Times New Roman"/>
          <w:szCs w:val="24"/>
        </w:rPr>
        <w:t>to</w:t>
      </w:r>
      <w:r w:rsidRPr="00833CE8">
        <w:rPr>
          <w:rFonts w:cs="Times New Roman"/>
          <w:szCs w:val="24"/>
        </w:rPr>
        <w:t xml:space="preserve"> the other </w:t>
      </w:r>
      <w:r w:rsidR="00D010D7" w:rsidRPr="00833CE8">
        <w:rPr>
          <w:rFonts w:cs="Times New Roman"/>
          <w:szCs w:val="24"/>
        </w:rPr>
        <w:fldChar w:fldCharType="begin"/>
      </w:r>
      <w:r w:rsidR="009F150C" w:rsidRPr="00833CE8">
        <w:rPr>
          <w:rFonts w:cs="Times New Roman"/>
          <w:szCs w:val="24"/>
        </w:rPr>
        <w:instrText xml:space="preserve"> ADDIN ZOTERO_ITEM CSL_CITATION {"citationID":"UXaL65EQ","properties":{"formattedCitation":"(Tong et al., 2023)","plainCitation":"(Tong et al., 2023)","noteIndex":0},"citationItems":[{"id":4321,"uris":["http://zotero.org/users/764524/items/V5XE95MD"],"itemData":{"id":4321,"type":"article-journal","abstract":"Mass microalgal-bacterial co-cultures have come to the fore of applied physiological research, in particularly for the optimization of high-value metabolite from microalgae. These co-cultures rely on the existence of a phycosphere which harbors unique cross-kingdom associations that are a prerequisite for the cooperative interactions. However, detailed mechanisms underpinning the beneficial bacterial effects onto microalgal growth and metabolic production are rather limited at the moment. Hence, the main purpose of this review is to shed light on how bacteria fuels microalgal metabolism or vice versa during mutualistic interactions, building upon the phycosphere which is a hotspot for chemical exchange. Nutrients exchange and signal transduction between two not only increase the algal productivity, but also facilitate in the degradation of bio-products and elevate the host defense ability. Main chemical mediators such as photosynthetic oxygen, N-acyl-homoserine lactone, siderophore and vitamin B12 were identified to elucidate beneficial cascading effects from the bacteria towards microalgal metabolites. In terms of applications, the enhancement of soluble microalgal metabolites is often associated with bacteria-mediated cell autolysis while bacterial bio-flocculants can aid in microalgal biomass harvesting. In addition, this review goes in depth into the discussion on enzyme-based communication via metabolic engineering such as gene modification, cellular metabolic pathway fine-tuning, over expression of target enzymes, and diversion of flux toward key metabolites. Furthermore, possible challenges and recommendations aimed at stimulating microalgal metabolite production are outlined. As more evidence emerges regarding the multifaceted role of beneficial bacteria, it will be crucial to incorporate these findings into the development of algal biotechnology.","container-title":"Environmental Research","DOI":"10.1016/j.envres.2023.115872","ISSN":"0013-9351","journalAbbreviation":"Environ. Res.","page":"115872","source":"ScienceDirect","title":"A review on microalgal-bacterial co-culture: The multifaceted role of beneficial bacteria towards enhancement of microalgal metabolite production","title-short":"A review on microalgal-bacterial co-culture","volume":"228","author":[{"family":"Tong","given":"C. Y."},{"family":"Honda","given":"Kohsuke"},{"family":"Derek","given":"C. J. C."}],"issued":{"date-parts":[["2023",7,1]]}}}],"schema":"https://github.com/citation-style-language/schema/raw/master/csl-citation.json"} </w:instrText>
      </w:r>
      <w:r w:rsidR="00D010D7" w:rsidRPr="00833CE8">
        <w:rPr>
          <w:rFonts w:cs="Times New Roman"/>
          <w:szCs w:val="24"/>
        </w:rPr>
        <w:fldChar w:fldCharType="separate"/>
      </w:r>
      <w:r w:rsidR="009F150C" w:rsidRPr="00833CE8">
        <w:rPr>
          <w:rFonts w:cs="Times New Roman"/>
        </w:rPr>
        <w:t>(Tong et al., 2023)</w:t>
      </w:r>
      <w:r w:rsidR="00D010D7" w:rsidRPr="00833CE8">
        <w:rPr>
          <w:rFonts w:cs="Times New Roman"/>
          <w:szCs w:val="24"/>
        </w:rPr>
        <w:fldChar w:fldCharType="end"/>
      </w:r>
      <w:r w:rsidR="00D010D7" w:rsidRPr="00833CE8">
        <w:rPr>
          <w:rFonts w:cs="Times New Roman"/>
          <w:szCs w:val="24"/>
        </w:rPr>
        <w:t xml:space="preserve">.  </w:t>
      </w:r>
      <w:r w:rsidR="00A73090" w:rsidRPr="00833CE8">
        <w:rPr>
          <w:rFonts w:cs="Times New Roman"/>
          <w:szCs w:val="24"/>
        </w:rPr>
        <w:lastRenderedPageBreak/>
        <w:t>Evolutionarily, t</w:t>
      </w:r>
      <w:r w:rsidR="00A66B94" w:rsidRPr="00833CE8">
        <w:rPr>
          <w:rFonts w:cs="Times New Roman"/>
          <w:szCs w:val="24"/>
        </w:rPr>
        <w:t xml:space="preserve">he earliest </w:t>
      </w:r>
      <w:r w:rsidR="00B73888" w:rsidRPr="00833CE8">
        <w:rPr>
          <w:rFonts w:cs="Times New Roman"/>
          <w:szCs w:val="24"/>
        </w:rPr>
        <w:t xml:space="preserve">nutrient exchange </w:t>
      </w:r>
      <w:r w:rsidR="00A66B94" w:rsidRPr="00833CE8">
        <w:rPr>
          <w:rFonts w:cs="Times New Roman"/>
          <w:szCs w:val="24"/>
        </w:rPr>
        <w:t>relationship</w:t>
      </w:r>
      <w:r w:rsidR="00A73090" w:rsidRPr="00833CE8">
        <w:rPr>
          <w:rFonts w:cs="Times New Roman"/>
          <w:szCs w:val="24"/>
        </w:rPr>
        <w:t xml:space="preserve">s between </w:t>
      </w:r>
      <w:r w:rsidR="005F1CF0" w:rsidRPr="00833CE8">
        <w:rPr>
          <w:rFonts w:cs="Times New Roman"/>
          <w:szCs w:val="24"/>
        </w:rPr>
        <w:t>algae and bacteria</w:t>
      </w:r>
      <w:r w:rsidR="00A73090" w:rsidRPr="00833CE8">
        <w:rPr>
          <w:rFonts w:cs="Times New Roman"/>
          <w:szCs w:val="24"/>
        </w:rPr>
        <w:t xml:space="preserve"> to develop </w:t>
      </w:r>
      <w:r w:rsidR="005F1CF0" w:rsidRPr="00833CE8">
        <w:rPr>
          <w:rFonts w:cs="Times New Roman"/>
          <w:szCs w:val="24"/>
        </w:rPr>
        <w:t>were</w:t>
      </w:r>
      <w:r w:rsidR="00A66B94" w:rsidRPr="00833CE8">
        <w:rPr>
          <w:rFonts w:cs="Times New Roman"/>
          <w:szCs w:val="24"/>
        </w:rPr>
        <w:t xml:space="preserve"> nitrogen and carbon</w:t>
      </w:r>
      <w:r w:rsidR="00A73090" w:rsidRPr="00833CE8">
        <w:rPr>
          <w:rFonts w:cs="Times New Roman"/>
          <w:szCs w:val="24"/>
        </w:rPr>
        <w:t xml:space="preserve"> fixing</w:t>
      </w:r>
      <w:r w:rsidR="00B73888" w:rsidRPr="00833CE8">
        <w:rPr>
          <w:rFonts w:cs="Times New Roman"/>
          <w:szCs w:val="24"/>
        </w:rPr>
        <w:t xml:space="preserve"> </w:t>
      </w:r>
      <w:r w:rsidR="00A73090" w:rsidRPr="00833CE8">
        <w:rPr>
          <w:rFonts w:cs="Times New Roman"/>
          <w:b/>
          <w:bCs/>
          <w:szCs w:val="24"/>
        </w:rPr>
        <w:fldChar w:fldCharType="begin"/>
      </w:r>
      <w:r w:rsidR="005522CA" w:rsidRPr="00833CE8">
        <w:rPr>
          <w:rFonts w:cs="Times New Roman"/>
          <w:b/>
          <w:bCs/>
          <w:szCs w:val="24"/>
        </w:rPr>
        <w:instrText xml:space="preserve"> ADDIN ZOTERO_ITEM CSL_CITATION {"citationID":"ClvRLYV4","properties":{"formattedCitation":"(Ramanan et al., 2016)","plainCitation":"(Ramanan et al., 2016)","noteIndex":0},"citationItems":[{"id":4341,"uris":["http://zotero.org/users/764524/items/ERRNH89J"],"itemData":{"id":4341,"type":"article-journal","abstract":"Algae and bacteria have coexisted ever since the early stages of evolution. This coevolution has revolutionized life on earth in many aspects. Algae and bacteria together influence ecosystems as varied as deep seas to lichens and represent all conceivable modes of interactions — from mutualism to parasitism. Several studies have shown that algae and bacteria synergistically affect each other's physiology and metabolism, a classic case being algae–roseobacter interaction. These interactions are ubiquitous and define the primary productivity in most ecosystems. In recent years, algae have received much attention for industrial exploitation but their interaction with bacteria is often considered a contamination during commercialization. A few recent studies have shown that bacteria not only enhance algal growth but also help in flocculation, both essential processes in algal biotechnology. Hence, there is a need to understand these interactions from an evolutionary and ecological standpoint, and integrate this understanding for industrial use. Here we reflect on the diversity of such relationships and their associated mechanisms, as well as the habitats that they mutually influence. This review also outlines the role of these interactions in key evolutionary events such as endosymbiosis, besides their ecological role in biogeochemical cycles. Finally, we focus on extending such studies on algal–bacterial interactions to various environmental and bio-technological applications.","container-title":"Biotechnology Advances","DOI":"10.1016/j.biotechadv.2015.12.003","ISSN":"0734-9750","issue":"1","journalAbbreviation":"Biotechnol. Adv.","page":"14-29","source":"ScienceDirect","title":"Algae–bacteria interactions: Evolution, ecology and emerging applications","title-short":"Algae–bacteria interactions","volume":"34","author":[{"family":"Ramanan","given":"Rishiram"},{"family":"Kim","given":"Byung-Hyuk"},{"family":"Cho","given":"Dae-Hyun"},{"family":"Oh","given":"Hee-Mock"},{"family":"Kim","given":"Hee-Sik"}],"issued":{"date-parts":[["2016",1,1]]}}}],"schema":"https://github.com/citation-style-language/schema/raw/master/csl-citation.json"} </w:instrText>
      </w:r>
      <w:r w:rsidR="00A73090" w:rsidRPr="00833CE8">
        <w:rPr>
          <w:rFonts w:cs="Times New Roman"/>
          <w:b/>
          <w:bCs/>
          <w:szCs w:val="24"/>
        </w:rPr>
        <w:fldChar w:fldCharType="separate"/>
      </w:r>
      <w:r w:rsidR="009F150C" w:rsidRPr="00833CE8">
        <w:rPr>
          <w:rFonts w:cs="Times New Roman"/>
        </w:rPr>
        <w:t>(Ramanan et al., 2016)</w:t>
      </w:r>
      <w:r w:rsidR="00A73090" w:rsidRPr="00833CE8">
        <w:rPr>
          <w:rFonts w:cs="Times New Roman"/>
          <w:b/>
          <w:bCs/>
          <w:szCs w:val="24"/>
        </w:rPr>
        <w:fldChar w:fldCharType="end"/>
      </w:r>
      <w:r w:rsidR="00A73090" w:rsidRPr="00833CE8">
        <w:rPr>
          <w:rFonts w:cs="Times New Roman"/>
          <w:szCs w:val="24"/>
        </w:rPr>
        <w:t>.</w:t>
      </w:r>
      <w:r w:rsidR="00B73888" w:rsidRPr="00833CE8">
        <w:rPr>
          <w:rFonts w:cs="Times New Roman"/>
          <w:szCs w:val="24"/>
        </w:rPr>
        <w:t xml:space="preserve"> </w:t>
      </w:r>
    </w:p>
    <w:p w14:paraId="1BBE0658" w14:textId="1F2B6214" w:rsidR="00AE53B1" w:rsidRPr="00833CE8" w:rsidRDefault="00187838" w:rsidP="003C30BB">
      <w:pPr>
        <w:snapToGrid w:val="0"/>
        <w:spacing w:line="360" w:lineRule="auto"/>
        <w:ind w:firstLine="284"/>
        <w:jc w:val="both"/>
        <w:rPr>
          <w:rFonts w:cs="Times New Roman"/>
          <w:b/>
          <w:bCs/>
          <w:i/>
          <w:iCs/>
          <w:szCs w:val="24"/>
        </w:rPr>
      </w:pPr>
      <w:bookmarkStart w:id="8" w:name="_Hlk191288308"/>
      <w:r w:rsidRPr="003C611C">
        <w:rPr>
          <w:rFonts w:cs="Times New Roman"/>
          <w:color w:val="FF0000"/>
          <w:szCs w:val="24"/>
        </w:rPr>
        <w:t>N</w:t>
      </w:r>
      <w:r w:rsidR="002D73AC" w:rsidRPr="003C611C">
        <w:rPr>
          <w:rFonts w:cs="Times New Roman"/>
          <w:color w:val="FF0000"/>
          <w:szCs w:val="24"/>
        </w:rPr>
        <w:t xml:space="preserve">itrogen </w:t>
      </w:r>
      <w:r w:rsidRPr="003C611C">
        <w:rPr>
          <w:rFonts w:cs="Times New Roman"/>
          <w:color w:val="FF0000"/>
          <w:szCs w:val="24"/>
        </w:rPr>
        <w:t xml:space="preserve">is </w:t>
      </w:r>
      <w:r w:rsidR="002D73AC" w:rsidRPr="003C611C">
        <w:rPr>
          <w:rFonts w:cs="Times New Roman"/>
          <w:color w:val="FF0000"/>
          <w:szCs w:val="24"/>
        </w:rPr>
        <w:t>necessary</w:t>
      </w:r>
      <w:r w:rsidR="00F34EF2" w:rsidRPr="003C611C">
        <w:rPr>
          <w:rFonts w:cs="Times New Roman"/>
          <w:color w:val="FF0000"/>
          <w:szCs w:val="24"/>
        </w:rPr>
        <w:t xml:space="preserve"> for </w:t>
      </w:r>
      <w:bookmarkStart w:id="9" w:name="_Hlk191288301"/>
      <w:r w:rsidR="008D7CBC" w:rsidRPr="003C611C">
        <w:rPr>
          <w:rFonts w:cs="Times New Roman"/>
          <w:color w:val="FF0000"/>
          <w:szCs w:val="24"/>
        </w:rPr>
        <w:t xml:space="preserve">many cellular processes in microalgae, including </w:t>
      </w:r>
      <w:r w:rsidR="005F1CF0" w:rsidRPr="003C611C">
        <w:rPr>
          <w:rFonts w:cs="Times New Roman"/>
          <w:color w:val="FF0000"/>
          <w:szCs w:val="24"/>
        </w:rPr>
        <w:t>photosynthesis</w:t>
      </w:r>
      <w:r w:rsidR="008D7CBC" w:rsidRPr="003C611C">
        <w:rPr>
          <w:rFonts w:cs="Times New Roman"/>
          <w:color w:val="FF0000"/>
          <w:szCs w:val="24"/>
        </w:rPr>
        <w:t xml:space="preserve"> and protein synthesis</w:t>
      </w:r>
      <w:r w:rsidR="005F1CF0" w:rsidRPr="003C611C">
        <w:rPr>
          <w:rFonts w:cs="Times New Roman"/>
          <w:color w:val="FF0000"/>
          <w:szCs w:val="24"/>
        </w:rPr>
        <w:t>,</w:t>
      </w:r>
      <w:r w:rsidR="00BA4338" w:rsidRPr="003C611C">
        <w:rPr>
          <w:rFonts w:cs="Times New Roman"/>
          <w:color w:val="FF0000"/>
          <w:szCs w:val="24"/>
        </w:rPr>
        <w:t xml:space="preserve"> </w:t>
      </w:r>
      <w:bookmarkEnd w:id="8"/>
      <w:bookmarkEnd w:id="9"/>
      <w:r w:rsidR="00BA4338" w:rsidRPr="003C611C">
        <w:rPr>
          <w:rFonts w:cs="Times New Roman"/>
          <w:color w:val="FF0000"/>
          <w:szCs w:val="24"/>
        </w:rPr>
        <w:t xml:space="preserve">but many species of microalgae cannot themselves fix </w:t>
      </w:r>
      <w:r w:rsidR="009C0A8D" w:rsidRPr="003C611C">
        <w:rPr>
          <w:rFonts w:cs="Times New Roman"/>
          <w:color w:val="FF0000"/>
          <w:szCs w:val="24"/>
        </w:rPr>
        <w:t>atmospheric N</w:t>
      </w:r>
      <w:r w:rsidR="009C0A8D" w:rsidRPr="003C611C">
        <w:rPr>
          <w:rFonts w:cs="Times New Roman"/>
          <w:color w:val="FF0000"/>
          <w:szCs w:val="24"/>
          <w:vertAlign w:val="subscript"/>
        </w:rPr>
        <w:t>2</w:t>
      </w:r>
      <w:r w:rsidR="008A0698" w:rsidRPr="008A0698">
        <w:rPr>
          <w:rFonts w:cs="Times New Roman"/>
          <w:color w:val="FF0000"/>
          <w:szCs w:val="24"/>
        </w:rPr>
        <w:t xml:space="preserve"> </w:t>
      </w:r>
      <w:r w:rsidR="008A0698" w:rsidRPr="003C611C">
        <w:rPr>
          <w:rFonts w:cs="Times New Roman"/>
          <w:color w:val="FF0000"/>
          <w:szCs w:val="24"/>
        </w:rPr>
        <w:t>into a usable form</w:t>
      </w:r>
      <w:r w:rsidR="00BA4338" w:rsidRPr="003C611C">
        <w:rPr>
          <w:rFonts w:cs="Times New Roman"/>
          <w:color w:val="FF0000"/>
          <w:szCs w:val="24"/>
        </w:rPr>
        <w:t xml:space="preserve">, relying </w:t>
      </w:r>
      <w:r w:rsidR="007C7A93" w:rsidRPr="007C7A93">
        <w:rPr>
          <w:rFonts w:cs="Times New Roman"/>
          <w:b/>
          <w:bCs/>
          <w:color w:val="FF0000"/>
          <w:szCs w:val="24"/>
        </w:rPr>
        <w:t>instead</w:t>
      </w:r>
      <w:r w:rsidR="007C7A93">
        <w:rPr>
          <w:rFonts w:cs="Times New Roman"/>
          <w:color w:val="FF0000"/>
          <w:szCs w:val="24"/>
        </w:rPr>
        <w:t xml:space="preserve"> </w:t>
      </w:r>
      <w:r w:rsidR="00BA4338" w:rsidRPr="003C611C">
        <w:rPr>
          <w:rFonts w:cs="Times New Roman"/>
          <w:color w:val="FF0000"/>
          <w:szCs w:val="24"/>
        </w:rPr>
        <w:t xml:space="preserve">on nitrogen-fixing organisms in the environment such as </w:t>
      </w:r>
      <w:r w:rsidR="00BA4338" w:rsidRPr="007C7A93">
        <w:rPr>
          <w:rFonts w:cs="Times New Roman"/>
          <w:b/>
          <w:bCs/>
          <w:color w:val="FF0000"/>
          <w:szCs w:val="24"/>
        </w:rPr>
        <w:t>rhizobia</w:t>
      </w:r>
      <w:r w:rsidR="00BA4338" w:rsidRPr="003C611C">
        <w:rPr>
          <w:rFonts w:cs="Times New Roman"/>
          <w:color w:val="FF0000"/>
          <w:szCs w:val="24"/>
        </w:rPr>
        <w:t xml:space="preserve"> bacteria.</w:t>
      </w:r>
      <w:r w:rsidR="00BA4338" w:rsidRPr="00833CE8">
        <w:rPr>
          <w:rFonts w:cs="Times New Roman"/>
          <w:szCs w:val="24"/>
        </w:rPr>
        <w:t xml:space="preserve">  </w:t>
      </w:r>
      <w:r w:rsidR="00922827" w:rsidRPr="00833CE8">
        <w:rPr>
          <w:rFonts w:cs="Times New Roman"/>
          <w:szCs w:val="24"/>
        </w:rPr>
        <w:t xml:space="preserve">In </w:t>
      </w:r>
      <w:r w:rsidR="00F34EF2" w:rsidRPr="00833CE8">
        <w:rPr>
          <w:rFonts w:cs="Times New Roman"/>
          <w:szCs w:val="24"/>
        </w:rPr>
        <w:t>marine environments</w:t>
      </w:r>
      <w:r w:rsidR="00922827" w:rsidRPr="00833CE8">
        <w:rPr>
          <w:rFonts w:cs="Times New Roman"/>
          <w:szCs w:val="24"/>
        </w:rPr>
        <w:t xml:space="preserve">, </w:t>
      </w:r>
      <w:r w:rsidR="000540DA" w:rsidRPr="00833CE8">
        <w:rPr>
          <w:rFonts w:cs="Times New Roman"/>
          <w:szCs w:val="24"/>
        </w:rPr>
        <w:t>c</w:t>
      </w:r>
      <w:r w:rsidR="00922827" w:rsidRPr="00833CE8">
        <w:rPr>
          <w:rFonts w:cs="Times New Roman"/>
          <w:szCs w:val="24"/>
        </w:rPr>
        <w:t xml:space="preserve">yanobacteria are often responsible for </w:t>
      </w:r>
      <w:r w:rsidR="00F34EF2" w:rsidRPr="00833CE8">
        <w:rPr>
          <w:rFonts w:cs="Times New Roman"/>
          <w:szCs w:val="24"/>
        </w:rPr>
        <w:t>nitrogen fixin</w:t>
      </w:r>
      <w:r w:rsidR="000540DA" w:rsidRPr="00833CE8">
        <w:rPr>
          <w:rFonts w:cs="Times New Roman"/>
          <w:szCs w:val="24"/>
        </w:rPr>
        <w:t xml:space="preserve">g </w:t>
      </w:r>
      <w:r w:rsidR="000540DA" w:rsidRPr="00833CE8">
        <w:rPr>
          <w:rFonts w:cs="Times New Roman"/>
          <w:szCs w:val="24"/>
        </w:rPr>
        <w:fldChar w:fldCharType="begin"/>
      </w:r>
      <w:r w:rsidR="009F150C" w:rsidRPr="00833CE8">
        <w:rPr>
          <w:rFonts w:cs="Times New Roman"/>
          <w:szCs w:val="24"/>
        </w:rPr>
        <w:instrText xml:space="preserve"> ADDIN ZOTERO_ITEM CSL_CITATION {"citationID":"YUfqbvKt","properties":{"formattedCitation":"(Zehr, 2011)","plainCitation":"(Zehr, 2011)","noteIndex":0},"citationItems":[{"id":4616,"uris":["http://zotero.org/users/764524/items/3QHU2H3Q"],"itemData":{"id":4616,"type":"article-journal","abstract":"Discrepancies between estimates of oceanic N2 fixation and nitrogen (N) losses through denitrification have focused research on identifying N2-fixing cyanobacteria and quantifying cyanobacterial N2 fixation. Previously unrecognized cultivated and uncultivated unicellular cyanobacteria have been discovered that are widely distributed, and some have very unusual properties. Uncultivated unicellular N2-fixing cyanobacteria (UCYN-A) lack major metabolic pathways including the tricarboxylic acid cycle and oxygen-evolving photosystem II. Genomes of the oceanic N2-fixing cyanobacteria are highly conserved at the DNA level, and genetic diversity is maintained by genome rearrangements. The major cyanobacterial groups have different physiological and ecological constraints that result in highly variable geographic distributions, with implications for the marine N-cycle budget.","container-title":"Trends in Microbiology","DOI":"10.1016/j.tim.2010.12.004","ISSN":"0966-842X","issue":"4","journalAbbreviation":"Trends Microbiol.","page":"162-173","source":"ScienceDirect","title":"Nitrogen fixation by marine cyanobacteria","volume":"19","author":[{"family":"Zehr","given":"Jonathan P."}],"issued":{"date-parts":[["2011",4,1]]}}}],"schema":"https://github.com/citation-style-language/schema/raw/master/csl-citation.json"} </w:instrText>
      </w:r>
      <w:r w:rsidR="000540DA" w:rsidRPr="00833CE8">
        <w:rPr>
          <w:rFonts w:cs="Times New Roman"/>
          <w:szCs w:val="24"/>
        </w:rPr>
        <w:fldChar w:fldCharType="separate"/>
      </w:r>
      <w:r w:rsidR="009F150C" w:rsidRPr="00833CE8">
        <w:rPr>
          <w:rFonts w:cs="Times New Roman"/>
        </w:rPr>
        <w:t>(Zehr, 2011)</w:t>
      </w:r>
      <w:r w:rsidR="000540DA" w:rsidRPr="00833CE8">
        <w:rPr>
          <w:rFonts w:cs="Times New Roman"/>
          <w:szCs w:val="24"/>
        </w:rPr>
        <w:fldChar w:fldCharType="end"/>
      </w:r>
      <w:r w:rsidR="001D50CA" w:rsidRPr="00833CE8">
        <w:rPr>
          <w:rFonts w:cs="Times New Roman"/>
          <w:szCs w:val="24"/>
        </w:rPr>
        <w:t>.  However,</w:t>
      </w:r>
      <w:r w:rsidR="00922827" w:rsidRPr="00833CE8">
        <w:rPr>
          <w:rFonts w:cs="Times New Roman"/>
          <w:szCs w:val="24"/>
        </w:rPr>
        <w:t xml:space="preserve"> a recent study has found </w:t>
      </w:r>
      <w:r w:rsidR="00210149" w:rsidRPr="00833CE8">
        <w:rPr>
          <w:rFonts w:cs="Times New Roman"/>
          <w:szCs w:val="24"/>
        </w:rPr>
        <w:t>that</w:t>
      </w:r>
      <w:r w:rsidR="001D50CA" w:rsidRPr="00833CE8">
        <w:rPr>
          <w:rFonts w:cs="Times New Roman"/>
          <w:szCs w:val="24"/>
        </w:rPr>
        <w:t xml:space="preserve"> </w:t>
      </w:r>
      <w:r w:rsidR="002576A6" w:rsidRPr="00833CE8">
        <w:rPr>
          <w:rFonts w:cs="Times New Roman"/>
          <w:szCs w:val="24"/>
        </w:rPr>
        <w:t xml:space="preserve">the </w:t>
      </w:r>
      <w:r w:rsidR="00922827" w:rsidRPr="00833CE8">
        <w:rPr>
          <w:rFonts w:cs="Times New Roman"/>
          <w:szCs w:val="24"/>
        </w:rPr>
        <w:t>rhizobia</w:t>
      </w:r>
      <w:r w:rsidR="001D50CA" w:rsidRPr="00833CE8">
        <w:rPr>
          <w:rFonts w:cs="Times New Roman"/>
          <w:szCs w:val="24"/>
        </w:rPr>
        <w:t xml:space="preserve"> </w:t>
      </w:r>
      <w:r w:rsidR="002576A6" w:rsidRPr="00833CE8">
        <w:rPr>
          <w:rFonts w:cs="Times New Roman"/>
          <w:szCs w:val="24"/>
        </w:rPr>
        <w:t xml:space="preserve">bacterium </w:t>
      </w:r>
      <w:r w:rsidR="002576A6" w:rsidRPr="00833CE8">
        <w:rPr>
          <w:rFonts w:cs="Times New Roman"/>
          <w:i/>
          <w:iCs/>
          <w:szCs w:val="24"/>
        </w:rPr>
        <w:t xml:space="preserve">Candidatus </w:t>
      </w:r>
      <w:proofErr w:type="spellStart"/>
      <w:r w:rsidR="002576A6" w:rsidRPr="00833CE8">
        <w:rPr>
          <w:rFonts w:cs="Times New Roman"/>
          <w:i/>
          <w:iCs/>
          <w:szCs w:val="24"/>
        </w:rPr>
        <w:t>tectiglobus</w:t>
      </w:r>
      <w:proofErr w:type="spellEnd"/>
      <w:r w:rsidR="002576A6" w:rsidRPr="00833CE8">
        <w:rPr>
          <w:rFonts w:cs="Times New Roman"/>
          <w:i/>
          <w:iCs/>
          <w:szCs w:val="24"/>
        </w:rPr>
        <w:t xml:space="preserve"> </w:t>
      </w:r>
      <w:proofErr w:type="spellStart"/>
      <w:r w:rsidR="002576A6" w:rsidRPr="00833CE8">
        <w:rPr>
          <w:rFonts w:cs="Times New Roman"/>
          <w:i/>
          <w:iCs/>
          <w:szCs w:val="24"/>
        </w:rPr>
        <w:t>diatomicola</w:t>
      </w:r>
      <w:proofErr w:type="spellEnd"/>
      <w:r w:rsidR="002576A6" w:rsidRPr="00833CE8">
        <w:rPr>
          <w:rFonts w:cs="Times New Roman"/>
          <w:szCs w:val="24"/>
        </w:rPr>
        <w:t xml:space="preserve"> can </w:t>
      </w:r>
      <w:r w:rsidR="00922827" w:rsidRPr="00833CE8">
        <w:rPr>
          <w:rFonts w:cs="Times New Roman"/>
          <w:szCs w:val="24"/>
        </w:rPr>
        <w:t>fix N</w:t>
      </w:r>
      <w:r w:rsidR="00922827" w:rsidRPr="00833CE8">
        <w:rPr>
          <w:rFonts w:cs="Times New Roman"/>
          <w:szCs w:val="24"/>
          <w:vertAlign w:val="subscript"/>
        </w:rPr>
        <w:t>2</w:t>
      </w:r>
      <w:r w:rsidR="00922827" w:rsidRPr="00833CE8">
        <w:rPr>
          <w:rFonts w:cs="Times New Roman"/>
          <w:szCs w:val="24"/>
        </w:rPr>
        <w:t xml:space="preserve"> for diatoms </w:t>
      </w:r>
      <w:r w:rsidR="00AE53B1">
        <w:rPr>
          <w:rFonts w:cs="Times New Roman"/>
          <w:szCs w:val="24"/>
        </w:rPr>
        <w:t xml:space="preserve">such as </w:t>
      </w:r>
      <w:proofErr w:type="spellStart"/>
      <w:r w:rsidR="00AE53B1" w:rsidRPr="00AE53B1">
        <w:rPr>
          <w:rFonts w:cs="Times New Roman"/>
          <w:i/>
          <w:iCs/>
          <w:szCs w:val="24"/>
        </w:rPr>
        <w:t>Haslea</w:t>
      </w:r>
      <w:proofErr w:type="spellEnd"/>
      <w:r w:rsidR="00AE53B1">
        <w:rPr>
          <w:rFonts w:cs="Times New Roman"/>
          <w:szCs w:val="24"/>
        </w:rPr>
        <w:t xml:space="preserve"> </w:t>
      </w:r>
      <w:r w:rsidR="00922827" w:rsidRPr="00833CE8">
        <w:rPr>
          <w:rFonts w:cs="Times New Roman"/>
          <w:szCs w:val="24"/>
        </w:rPr>
        <w:t>in marine water</w:t>
      </w:r>
      <w:r w:rsidR="001D50CA" w:rsidRPr="00833CE8">
        <w:rPr>
          <w:rFonts w:cs="Times New Roman"/>
          <w:szCs w:val="24"/>
        </w:rPr>
        <w:t xml:space="preserve"> </w:t>
      </w:r>
      <w:r w:rsidR="00AE53B1">
        <w:rPr>
          <w:rFonts w:cs="Times New Roman"/>
          <w:szCs w:val="24"/>
        </w:rPr>
        <w:t xml:space="preserve">while </w:t>
      </w:r>
      <w:r w:rsidR="00996890">
        <w:rPr>
          <w:rFonts w:cs="Times New Roman"/>
          <w:szCs w:val="24"/>
        </w:rPr>
        <w:t xml:space="preserve">benefiting from the organic carbon produced by </w:t>
      </w:r>
      <w:r w:rsidR="001D50CA" w:rsidRPr="00833CE8">
        <w:rPr>
          <w:rFonts w:cs="Times New Roman"/>
          <w:szCs w:val="24"/>
        </w:rPr>
        <w:t xml:space="preserve">diatoms </w:t>
      </w:r>
      <w:r w:rsidR="00922827" w:rsidRPr="00833CE8">
        <w:rPr>
          <w:rFonts w:cs="Times New Roman"/>
          <w:szCs w:val="24"/>
        </w:rPr>
        <w:fldChar w:fldCharType="begin"/>
      </w:r>
      <w:r w:rsidR="009F150C" w:rsidRPr="00833CE8">
        <w:rPr>
          <w:rFonts w:cs="Times New Roman"/>
          <w:szCs w:val="24"/>
        </w:rPr>
        <w:instrText xml:space="preserve"> ADDIN ZOTERO_ITEM CSL_CITATION {"citationID":"EUBq6cne","properties":{"formattedCitation":"(Tschitschko et al., 2024)","plainCitation":"(Tschitschko et al., 2024)","noteIndex":0},"citationItems":[{"id":4224,"uris":["http://zotero.org/users/764524/items/RJSM2ZMW"],"itemData":{"id":4224,"type":"article-journal","abstract":"Nitrogen (N2) fixation in oligotrophic surface waters is the main source of new nitrogen (N) to the ocean1 and plays a key role in fueling the biological carbon pump2. Oceanic N2 fixation is almost exclusively attributed to cyanobacteria, even though genes encoding nitrogenase, the enzyme fixing N2 into ammonia, are widespread among marine bacteria and archaea3-5. Little is known about these non-cyanobacterial N2-fixers and direct proof that they can fix N in the ocean is missing. Here we report the discovery of a non-cyanobacterial N2-fixing symbiont, Candidatus Tectiglobus diatomicola, which provides its diatom host with fixed-N in return for photosynthetic carbon. The N2-fixing symbiont belongs to the order Rhizobiales and its association with a unicellular diatom expands the known hosts for this order beyond the well-known N2-fixing rhizobia-legume symbioses on land6. Our results show that the rhizobia-diatom symbiosis can contribute as much fixed-N as cyanobacterial N2-fixers in the tropical North Atlantic, and that they may be responsible for N2 fixation in the vast regions of the ocean where cyanobacteria are too rare to account for the measured rates.","container-title":"Nature","DOI":"10.1038/s41586-024-07495-w","ISSN":"1476-4687","language":"en","license":"2024 The Author(s), under exclusive licence to Springer Nature Limited","note":"publisher: Nature Publishing Group","page":"1-3","source":"www.nature.com","title":"Rhizobia–diatom symbiosis fixes missing nitrogen in the ocean","author":[{"family":"Tschitschko","given":"Bernhard"},{"family":"Esti","given":"Mertcan"},{"family":"Philippi","given":"Miriam"},{"family":"Kidane","given":"Abiel T."},{"family":"Littmann","given":"Sten"},{"family":"Kitzinger","given":"Katharina"},{"family":"Speth","given":"Daan R."},{"family":"Li","given":"Shengjie"},{"family":"Kraberg","given":"Alexandra"},{"family":"Tienken","given":"Daniela"},{"family":"Marchant","given":"Hannah K."},{"family":"Kartal","given":"Boran"},{"family":"Milucka","given":"Jana"},{"family":"Mohr","given":"Wiebke"},{"family":"Kuypers","given":"Marcel M. M."}],"issued":{"date-parts":[["2024",5,9]]}}}],"schema":"https://github.com/citation-style-language/schema/raw/master/csl-citation.json"} </w:instrText>
      </w:r>
      <w:r w:rsidR="00922827" w:rsidRPr="00833CE8">
        <w:rPr>
          <w:rFonts w:cs="Times New Roman"/>
          <w:szCs w:val="24"/>
        </w:rPr>
        <w:fldChar w:fldCharType="separate"/>
      </w:r>
      <w:r w:rsidR="009F150C" w:rsidRPr="00833CE8">
        <w:rPr>
          <w:rFonts w:cs="Times New Roman"/>
        </w:rPr>
        <w:t>(Tschitschko et al., 2024)</w:t>
      </w:r>
      <w:r w:rsidR="00922827" w:rsidRPr="00833CE8">
        <w:rPr>
          <w:rFonts w:cs="Times New Roman"/>
          <w:szCs w:val="24"/>
        </w:rPr>
        <w:fldChar w:fldCharType="end"/>
      </w:r>
      <w:r w:rsidR="0072715B" w:rsidRPr="00833CE8">
        <w:rPr>
          <w:rFonts w:cs="Times New Roman"/>
          <w:szCs w:val="24"/>
        </w:rPr>
        <w:t>.</w:t>
      </w:r>
      <w:r w:rsidR="00AE53B1">
        <w:rPr>
          <w:rFonts w:cs="Times New Roman"/>
          <w:szCs w:val="24"/>
        </w:rPr>
        <w:t xml:space="preserve">  </w:t>
      </w:r>
      <w:bookmarkStart w:id="10" w:name="_Hlk191288489"/>
      <w:bookmarkStart w:id="11" w:name="_Hlk191458614"/>
      <w:r w:rsidR="00C71005" w:rsidRPr="00C71005">
        <w:rPr>
          <w:rFonts w:cs="Times New Roman"/>
          <w:color w:val="FF0000"/>
          <w:szCs w:val="24"/>
        </w:rPr>
        <w:t>T</w:t>
      </w:r>
      <w:r w:rsidR="00AE53B1" w:rsidRPr="00C71005">
        <w:rPr>
          <w:rFonts w:cs="Times New Roman"/>
          <w:color w:val="FF0000"/>
          <w:szCs w:val="24"/>
        </w:rPr>
        <w:t>he</w:t>
      </w:r>
      <w:r w:rsidR="008D7CBC" w:rsidRPr="00C71005">
        <w:rPr>
          <w:rFonts w:cs="Times New Roman"/>
          <w:color w:val="FF0000"/>
          <w:szCs w:val="24"/>
        </w:rPr>
        <w:t xml:space="preserve"> </w:t>
      </w:r>
      <w:r w:rsidR="00AE53B1" w:rsidRPr="00C71005">
        <w:rPr>
          <w:rFonts w:cs="Times New Roman"/>
          <w:color w:val="FF0000"/>
          <w:szCs w:val="24"/>
        </w:rPr>
        <w:t xml:space="preserve">nitrogen </w:t>
      </w:r>
      <w:r w:rsidR="00C71005" w:rsidRPr="00C71005">
        <w:rPr>
          <w:rFonts w:cs="Times New Roman"/>
          <w:color w:val="FF0000"/>
          <w:szCs w:val="24"/>
        </w:rPr>
        <w:t xml:space="preserve">fixed </w:t>
      </w:r>
      <w:r w:rsidR="00AE53B1" w:rsidRPr="00C71005">
        <w:rPr>
          <w:rFonts w:cs="Times New Roman"/>
          <w:color w:val="FF0000"/>
          <w:szCs w:val="24"/>
        </w:rPr>
        <w:t>by the bacteria was confirmed to be transferred to the diatoms</w:t>
      </w:r>
      <w:r w:rsidR="008D7CBC" w:rsidRPr="00C71005">
        <w:rPr>
          <w:rFonts w:cs="Times New Roman"/>
          <w:color w:val="FF0000"/>
          <w:szCs w:val="24"/>
        </w:rPr>
        <w:t xml:space="preserve">, while the carbon </w:t>
      </w:r>
      <w:r w:rsidR="00C71005" w:rsidRPr="00C71005">
        <w:rPr>
          <w:rFonts w:cs="Times New Roman"/>
          <w:color w:val="FF0000"/>
          <w:szCs w:val="24"/>
        </w:rPr>
        <w:t xml:space="preserve">fixed by the diatoms </w:t>
      </w:r>
      <w:r w:rsidR="008D7CBC" w:rsidRPr="00C71005">
        <w:rPr>
          <w:rFonts w:cs="Times New Roman"/>
          <w:color w:val="FF0000"/>
          <w:szCs w:val="24"/>
        </w:rPr>
        <w:t>was transferred to the bacteria,</w:t>
      </w:r>
      <w:r w:rsidR="00AE53B1" w:rsidRPr="00C71005">
        <w:rPr>
          <w:rFonts w:cs="Times New Roman"/>
          <w:color w:val="FF0000"/>
          <w:szCs w:val="24"/>
        </w:rPr>
        <w:t xml:space="preserve"> as shown by </w:t>
      </w:r>
      <w:r w:rsidR="00E87E81" w:rsidRPr="00C71005">
        <w:rPr>
          <w:rFonts w:cs="Times New Roman"/>
          <w:color w:val="FF0000"/>
          <w:szCs w:val="24"/>
        </w:rPr>
        <w:t>nanoscale secondary ion mass spectrometry (</w:t>
      </w:r>
      <w:proofErr w:type="spellStart"/>
      <w:r w:rsidR="00E87E81" w:rsidRPr="00C71005">
        <w:rPr>
          <w:rFonts w:cs="Times New Roman"/>
          <w:color w:val="FF0000"/>
          <w:szCs w:val="24"/>
        </w:rPr>
        <w:t>nanoSIMS</w:t>
      </w:r>
      <w:proofErr w:type="spellEnd"/>
      <w:r w:rsidR="00E87E81" w:rsidRPr="00C71005">
        <w:rPr>
          <w:rFonts w:cs="Times New Roman"/>
          <w:color w:val="FF0000"/>
          <w:szCs w:val="24"/>
        </w:rPr>
        <w:t>)</w:t>
      </w:r>
      <w:r w:rsidR="00C71005" w:rsidRPr="00C71005">
        <w:rPr>
          <w:rFonts w:cs="Times New Roman"/>
          <w:color w:val="FF0000"/>
          <w:szCs w:val="24"/>
        </w:rPr>
        <w:t xml:space="preserve"> using </w:t>
      </w:r>
      <w:r w:rsidR="00C71005" w:rsidRPr="00C71005">
        <w:rPr>
          <w:rFonts w:cs="Times New Roman"/>
          <w:color w:val="FF0000"/>
          <w:szCs w:val="24"/>
          <w:vertAlign w:val="superscript"/>
        </w:rPr>
        <w:t>15</w:t>
      </w:r>
      <w:r w:rsidR="00C71005" w:rsidRPr="00C71005">
        <w:rPr>
          <w:rFonts w:cs="Times New Roman"/>
          <w:color w:val="FF0000"/>
          <w:szCs w:val="24"/>
        </w:rPr>
        <w:t xml:space="preserve">N and </w:t>
      </w:r>
      <w:r w:rsidR="00C71005" w:rsidRPr="00C71005">
        <w:rPr>
          <w:rFonts w:cs="Times New Roman"/>
          <w:color w:val="FF0000"/>
          <w:szCs w:val="24"/>
          <w:vertAlign w:val="superscript"/>
        </w:rPr>
        <w:t>13</w:t>
      </w:r>
      <w:r w:rsidR="00C71005" w:rsidRPr="00C71005">
        <w:rPr>
          <w:rFonts w:cs="Times New Roman"/>
          <w:color w:val="FF0000"/>
          <w:szCs w:val="24"/>
        </w:rPr>
        <w:t>C enrichment.</w:t>
      </w:r>
      <w:bookmarkEnd w:id="10"/>
      <w:bookmarkEnd w:id="11"/>
      <w:r w:rsidR="00AE53B1" w:rsidRPr="002A7B3C">
        <w:rPr>
          <w:rFonts w:cs="Times New Roman"/>
          <w:szCs w:val="24"/>
        </w:rPr>
        <w:t xml:space="preserve">  </w:t>
      </w:r>
      <w:r w:rsidR="001D50CA" w:rsidRPr="002A7B3C">
        <w:rPr>
          <w:rFonts w:cs="Times New Roman"/>
          <w:szCs w:val="24"/>
        </w:rPr>
        <w:t>Intriguingly</w:t>
      </w:r>
      <w:r w:rsidR="001D50CA" w:rsidRPr="00833CE8">
        <w:rPr>
          <w:rFonts w:cs="Times New Roman"/>
          <w:szCs w:val="24"/>
        </w:rPr>
        <w:t xml:space="preserve">, this may account for the presence of nitrogen fixation in marine waters with low levels of cyanobacteria, although further research would be required to </w:t>
      </w:r>
      <w:r w:rsidR="001D50CA" w:rsidRPr="00E36106">
        <w:rPr>
          <w:rFonts w:cs="Times New Roman"/>
          <w:szCs w:val="24"/>
        </w:rPr>
        <w:t>confirm</w:t>
      </w:r>
      <w:r w:rsidR="001D50CA" w:rsidRPr="00833CE8">
        <w:rPr>
          <w:rFonts w:cs="Times New Roman"/>
          <w:szCs w:val="24"/>
        </w:rPr>
        <w:t xml:space="preserve"> this.</w:t>
      </w:r>
      <w:r w:rsidR="00A73090" w:rsidRPr="00833CE8">
        <w:rPr>
          <w:rFonts w:cs="Times New Roman"/>
          <w:szCs w:val="24"/>
        </w:rPr>
        <w:t xml:space="preserve">  </w:t>
      </w:r>
      <w:r w:rsidR="0026697E" w:rsidRPr="00833CE8">
        <w:rPr>
          <w:rFonts w:cs="Times New Roman"/>
          <w:szCs w:val="24"/>
        </w:rPr>
        <w:t>A</w:t>
      </w:r>
      <w:r w:rsidR="00C3556C" w:rsidRPr="00833CE8">
        <w:rPr>
          <w:rFonts w:cs="Times New Roman"/>
          <w:szCs w:val="24"/>
        </w:rPr>
        <w:t xml:space="preserve">mmonium released from methylamine degraded by bacteria can </w:t>
      </w:r>
      <w:r w:rsidR="0026697E" w:rsidRPr="00833CE8">
        <w:rPr>
          <w:rFonts w:cs="Times New Roman"/>
          <w:szCs w:val="24"/>
        </w:rPr>
        <w:t xml:space="preserve">also </w:t>
      </w:r>
      <w:r w:rsidR="00C3556C" w:rsidRPr="00833CE8">
        <w:rPr>
          <w:rFonts w:cs="Times New Roman"/>
          <w:szCs w:val="24"/>
        </w:rPr>
        <w:t>be used as a nitrogen source for diatoms</w:t>
      </w:r>
      <w:r w:rsidR="0072715B" w:rsidRPr="00833CE8">
        <w:rPr>
          <w:rFonts w:cs="Times New Roman"/>
          <w:szCs w:val="24"/>
        </w:rPr>
        <w:t xml:space="preserve"> </w:t>
      </w:r>
      <w:r w:rsidR="00C3556C" w:rsidRPr="00833CE8">
        <w:rPr>
          <w:rFonts w:cs="Times New Roman"/>
          <w:szCs w:val="24"/>
        </w:rPr>
        <w:fldChar w:fldCharType="begin"/>
      </w:r>
      <w:r w:rsidR="00742839">
        <w:rPr>
          <w:rFonts w:cs="Times New Roman"/>
          <w:szCs w:val="24"/>
        </w:rPr>
        <w:instrText xml:space="preserve"> ADDIN ZOTERO_ITEM CSL_CITATION {"citationID":"eVFT5VOg","properties":{"formattedCitation":"(Suleiman et al., 2016)","plainCitation":"(Suleiman et al., 2016)","noteIndex":0},"citationItems":[{"id":4500,"uris":["http://zotero.org/users/764524/items/BISK3TMR"],"itemData":{"id":4500,"type":"article-journal","abstract":"Methylamines occur ubiquitously in the oceans and can serve as carbon, nitrogen, and energy sources for heterotrophic bacteria from different phylogenetic groups within the marine bacterioplankton. Diatoms, which constitute a large part of the marine phytoplankton, are believed to be incapable of using methylamines as a nitrogen source. As diatoms are typically associated with heterotrophic bacteria, the hypothesis came up that methylotrophic bacteria may provide ammonium to diatoms by degradation of methylamines. This hypothesis was investigated with the diatom Phaeodactylum tricornutum and monomethylamine (MMA) as the substrate. Bacteria supporting photoautotrophic growth of P. tricornutum with MMA as the sole nitrogen source could readily be isolated from seawater. Two strains, Donghicola sp. strain KarMa, which harbored genes for both monomethylamine dehydrogenase and the N methylglutamate pathway, and Methylophaga sp. strain M1, which catalyzed MMA oxidation by MMA dehydrogenase, were selected for further characterization. While strain M1 grew with MMA as the sole substrate, strain KarMa could utilize MMA as a nitrogen source only when, e.g., glucose was provided as a carbon source. With both strains, release of ammonium was detected during MMA utilization. In coculture with P. tricornutum, strain KarMa supported photoautotrophic growth with 2 mM MMA to the same extent as with the equimolar amount of NH4Cl. In coculture with strain M1, photoautotrophic growth of P. tricornutum was also supported, but to a much lower degree than by strain KarMa. This proof-of-principle study with a synthetic microbial community suggests that interkingdom cross-feeding of ammonium from methylamine-degrading bacteria is a contribution to phytoplankton growth which has been overlooked so far.\nIMPORTANCE: Interactions between diatoms and heterotrophic bacteria are important for marine carbon cycling. In this study, a novel interaction is described. Bacteria able to degrade monomethylamine, which is a ubiquitous organic nitrogen compound in marine environments, can provide ammonium to diatoms. This interkingdom metabolite transfer enables growth under photoautotrophic conditions in coculture, which would not be possible in the respective monocultures. This proof-of-principle study calls attention to a so far overlooked contribution to phytoplankton growth.","container-title":"Applied and Environmental Microbiology","DOI":"10.1128/AEM.01642-16","ISSN":"1098-5336","issue":"24","journalAbbreviation":"Appl. Environ. Microbiol.","language":"eng","note":"PMID: 27694241\nPMCID: PMC5118922","page":"7113-7122","source":"PubMed","title":"Interkingdom Cross-Feeding of Ammonium from Marine Methylamine-Degrading Bacteria to the Diatom &lt;i&gt;Phaeodactylum tricornutum&lt;/i&gt;","volume":"82","author":[{"family":"Suleiman","given":"Marcel"},{"family":"Zecher","given":"Karsten"},{"family":"Yücel","given":"Onur"},{"family":"Jagmann","given":"Nina"},{"family":"Philipp","given":"Bodo"}],"issued":{"date-parts":[["2016",12,15]]}}}],"schema":"https://github.com/citation-style-language/schema/raw/master/csl-citation.json"} </w:instrText>
      </w:r>
      <w:r w:rsidR="00C3556C" w:rsidRPr="00833CE8">
        <w:rPr>
          <w:rFonts w:cs="Times New Roman"/>
          <w:szCs w:val="24"/>
        </w:rPr>
        <w:fldChar w:fldCharType="separate"/>
      </w:r>
      <w:r w:rsidR="009F150C" w:rsidRPr="00833CE8">
        <w:rPr>
          <w:rFonts w:cs="Times New Roman"/>
        </w:rPr>
        <w:t>(Suleiman et al., 2016)</w:t>
      </w:r>
      <w:r w:rsidR="00C3556C" w:rsidRPr="00833CE8">
        <w:rPr>
          <w:rFonts w:cs="Times New Roman"/>
          <w:szCs w:val="24"/>
        </w:rPr>
        <w:fldChar w:fldCharType="end"/>
      </w:r>
      <w:r w:rsidR="006A037E" w:rsidRPr="00833CE8">
        <w:rPr>
          <w:rFonts w:cs="Times New Roman"/>
          <w:szCs w:val="24"/>
        </w:rPr>
        <w:t>.</w:t>
      </w:r>
      <w:r w:rsidR="00C3556C" w:rsidRPr="00833CE8">
        <w:rPr>
          <w:rFonts w:cs="Times New Roman"/>
          <w:i/>
          <w:iCs/>
          <w:szCs w:val="24"/>
        </w:rPr>
        <w:t xml:space="preserve"> </w:t>
      </w:r>
      <w:r w:rsidR="002863D7" w:rsidRPr="00833CE8">
        <w:rPr>
          <w:rFonts w:cs="Times New Roman"/>
          <w:szCs w:val="24"/>
        </w:rPr>
        <w:t>Methylamine is common in seawater from the breakdown of organic compounds such as proteins, and bacteria have been shown to use it as a carbon or nitrogen source.  Although microalgae cannot directly use methylamine, the catabolic product ammonium (NH</w:t>
      </w:r>
      <w:r w:rsidR="002863D7" w:rsidRPr="00833CE8">
        <w:rPr>
          <w:rFonts w:cs="Times New Roman"/>
          <w:szCs w:val="24"/>
          <w:vertAlign w:val="subscript"/>
        </w:rPr>
        <w:t>4</w:t>
      </w:r>
      <w:r w:rsidR="002863D7" w:rsidRPr="00833CE8">
        <w:rPr>
          <w:rFonts w:cs="Times New Roman"/>
          <w:szCs w:val="24"/>
          <w:vertAlign w:val="superscript"/>
        </w:rPr>
        <w:t>+</w:t>
      </w:r>
      <w:r w:rsidR="002863D7" w:rsidRPr="00833CE8">
        <w:rPr>
          <w:rFonts w:cs="Times New Roman"/>
          <w:szCs w:val="24"/>
        </w:rPr>
        <w:t xml:space="preserve">) can be released </w:t>
      </w:r>
      <w:r w:rsidR="00A024DE" w:rsidRPr="00833CE8">
        <w:rPr>
          <w:rFonts w:cs="Times New Roman"/>
          <w:szCs w:val="24"/>
        </w:rPr>
        <w:t xml:space="preserve">by bacteria, such as those in the </w:t>
      </w:r>
      <w:proofErr w:type="spellStart"/>
      <w:r w:rsidR="00A024DE" w:rsidRPr="00833CE8">
        <w:rPr>
          <w:rFonts w:cs="Times New Roman"/>
          <w:i/>
          <w:iCs/>
          <w:szCs w:val="24"/>
        </w:rPr>
        <w:t>Rhodobacteraceae</w:t>
      </w:r>
      <w:proofErr w:type="spellEnd"/>
      <w:r w:rsidR="00A024DE" w:rsidRPr="00833CE8">
        <w:rPr>
          <w:rFonts w:cs="Times New Roman"/>
          <w:szCs w:val="24"/>
        </w:rPr>
        <w:t xml:space="preserve"> family, </w:t>
      </w:r>
      <w:r w:rsidR="002863D7" w:rsidRPr="00833CE8">
        <w:rPr>
          <w:rFonts w:cs="Times New Roman"/>
          <w:szCs w:val="24"/>
        </w:rPr>
        <w:t xml:space="preserve">and used by </w:t>
      </w:r>
      <w:r w:rsidR="0006178A" w:rsidRPr="00833CE8">
        <w:rPr>
          <w:rFonts w:cs="Times New Roman"/>
          <w:szCs w:val="24"/>
        </w:rPr>
        <w:t xml:space="preserve">marine diatoms such as </w:t>
      </w:r>
      <w:proofErr w:type="spellStart"/>
      <w:r w:rsidR="0006178A" w:rsidRPr="00833CE8">
        <w:rPr>
          <w:rFonts w:cs="Times New Roman"/>
          <w:i/>
          <w:iCs/>
        </w:rPr>
        <w:t>Phaeodactylum</w:t>
      </w:r>
      <w:proofErr w:type="spellEnd"/>
      <w:r w:rsidR="0006178A" w:rsidRPr="00833CE8">
        <w:rPr>
          <w:rFonts w:cs="Times New Roman"/>
          <w:i/>
          <w:iCs/>
        </w:rPr>
        <w:t xml:space="preserve"> </w:t>
      </w:r>
      <w:proofErr w:type="spellStart"/>
      <w:r w:rsidR="0006178A" w:rsidRPr="00833CE8">
        <w:rPr>
          <w:rFonts w:cs="Times New Roman"/>
          <w:i/>
          <w:iCs/>
        </w:rPr>
        <w:t>tricornutum</w:t>
      </w:r>
      <w:proofErr w:type="spellEnd"/>
      <w:r w:rsidR="0006178A" w:rsidRPr="00833CE8">
        <w:rPr>
          <w:rFonts w:cs="Times New Roman"/>
          <w:i/>
          <w:iCs/>
        </w:rPr>
        <w:t xml:space="preserve">, Amphora </w:t>
      </w:r>
      <w:proofErr w:type="spellStart"/>
      <w:r w:rsidR="0006178A" w:rsidRPr="00833CE8">
        <w:rPr>
          <w:rFonts w:cs="Times New Roman"/>
          <w:i/>
          <w:iCs/>
        </w:rPr>
        <w:t>coffeaeformis</w:t>
      </w:r>
      <w:proofErr w:type="spellEnd"/>
      <w:r w:rsidR="0006178A" w:rsidRPr="00833CE8">
        <w:rPr>
          <w:rFonts w:cs="Times New Roman"/>
          <w:i/>
          <w:iCs/>
        </w:rPr>
        <w:t xml:space="preserve">, and </w:t>
      </w:r>
      <w:proofErr w:type="spellStart"/>
      <w:r w:rsidR="0006178A" w:rsidRPr="00833CE8">
        <w:rPr>
          <w:rFonts w:cs="Times New Roman"/>
          <w:i/>
          <w:iCs/>
        </w:rPr>
        <w:t>Thalassiosira</w:t>
      </w:r>
      <w:proofErr w:type="spellEnd"/>
      <w:r w:rsidR="0006178A" w:rsidRPr="00833CE8">
        <w:rPr>
          <w:rFonts w:cs="Times New Roman"/>
          <w:i/>
          <w:iCs/>
        </w:rPr>
        <w:t xml:space="preserve"> </w:t>
      </w:r>
      <w:proofErr w:type="spellStart"/>
      <w:r w:rsidR="0006178A" w:rsidRPr="00833CE8">
        <w:rPr>
          <w:rFonts w:cs="Times New Roman"/>
          <w:i/>
          <w:iCs/>
        </w:rPr>
        <w:t>pseudonana</w:t>
      </w:r>
      <w:proofErr w:type="spellEnd"/>
      <w:r w:rsidR="00A024DE" w:rsidRPr="00833CE8">
        <w:rPr>
          <w:rFonts w:cs="Times New Roman"/>
          <w:szCs w:val="24"/>
        </w:rPr>
        <w:t xml:space="preserve"> </w:t>
      </w:r>
      <w:r w:rsidR="004228A9" w:rsidRPr="00833CE8">
        <w:rPr>
          <w:rFonts w:cs="Times New Roman"/>
          <w:szCs w:val="24"/>
        </w:rPr>
        <w:fldChar w:fldCharType="begin"/>
      </w:r>
      <w:r w:rsidR="003609FA">
        <w:rPr>
          <w:rFonts w:cs="Times New Roman"/>
          <w:szCs w:val="24"/>
        </w:rPr>
        <w:instrText xml:space="preserve"> ADDIN ZOTERO_ITEM CSL_CITATION {"citationID":"Z7xFsaD8","properties":{"formattedCitation":"(Zecher et al., 2020)","plainCitation":"(Zecher et al., 2020)","noteIndex":0},"citationItems":[{"id":"ICWxQiKF/UUL1ZFgS","uris":["http://zotero.org/users/764524/items/BX2YK4QQ"],"itemData":{"id":4649,"type":"article-journal","abstract":"&lt;p&gt;Dissolved organic nitrogen (DON) compounds such as methylamines (MAs) and glycine betaine (GBT) occur at detectable concentrations in marine habitats and are also produced and released by microalgae. For many marine bacteria, these DON compounds can serve as carbon, energy, and nitrogen sources, but microalgae usually cannot metabolize them. Interestingly though, it was previously shown that &lt;italic&gt;Donghicola&lt;/italic&gt; sp. strain KarMa—a member of the marine &lt;italic&gt;Rhodobacteraceae&lt;/italic&gt;—can cross-feed ammonium such that the ammonium it produces upon degrading monomethylamine (MMA) then serves as nitrogen source for the diatom &lt;italic&gt;Phaeodactylum tricornutum&lt;/italic&gt;; thus, these organisms form a mutual metabolic interaction under photoautotrophic conditions. In the present study, we investigated whether this interaction plays a broader role in bacteria–diatom interactions in general. Results showed that cross-feeding between strain KarMa and &lt;italic&gt;P. tricornutum&lt;/italic&gt; was also possible with di- and trimethylamine as well as with GBT. Further, cross-feeding of strain KarMa was also observed in cocultures with the diatoms &lt;italic&gt;Amphora coffeaeformis&lt;/italic&gt; and &lt;italic&gt;Thalassiosira pseudonana&lt;/italic&gt; with MMA as the sole nitrogen source. Regarding cross-feeding involving other &lt;italic&gt;Rhodobacteraceae&lt;/italic&gt; strains, the &lt;italic&gt;in silico&lt;/italic&gt; analysis of MA and GBT degradation pathways indicated that algae-associated &lt;italic&gt;Rhodobacteraceae&lt;/italic&gt;-type strains likely interact with &lt;italic&gt;P. tricornutum&lt;/italic&gt; in a similar manner as the strain KarMa does. For these types of strains (such as &lt;italic&gt;Celeribacter halophilus&lt;/italic&gt;, &lt;italic&gt;Roseobacter denitrificans&lt;/italic&gt;, &lt;italic&gt;Roseovarius indicus&lt;/italic&gt;, &lt;italic&gt;Ruegeria pomeroyi&lt;/italic&gt;, and &lt;italic&gt;Sulfitobacter noctilucicola&lt;/italic&gt;), ammonium cross-feeding after methylamine degradation showed species-specific patterns, whereas bacterial GBT degradation always led to diatom growth. Overall, the degradation of DON compounds by the &lt;italic&gt;Rhodobacteraceae&lt;/italic&gt; family and the subsequent cross-feeding of ammonium may represent a widespread, organism-specific, and regulated metabolic interaction for establishing and stabilizing associations with photoautotrophic diatoms in the oceans.&lt;/p&gt;","container-title":"Frontiers in Microbiology","DOI":"10.3389/fmicb.2020.533894","ISSN":"1664-302X","journalAbbreviation":"Front. Microbiol.","language":"English","note":"publisher: Frontiers","page":"533894","source":"Frontiers","title":"Evidence of Interdomain Ammonium Cross-Feeding From Methylamine- and Glycine Betaine-Degrading Rhodobacteraceae to Diatoms as a Widespread Interaction in the Marine Phycosphere","volume":"11","author":[{"family":"Zecher","given":"Karsten"},{"family":"Hayes","given":"Kristiane Rebecca"},{"family":"Philipp","given":"Bodo"}],"issued":{"date-parts":[["2020",10,6]]}}}],"schema":"https://github.com/citation-style-language/schema/raw/master/csl-citation.json"} </w:instrText>
      </w:r>
      <w:r w:rsidR="004228A9" w:rsidRPr="00833CE8">
        <w:rPr>
          <w:rFonts w:cs="Times New Roman"/>
          <w:szCs w:val="24"/>
        </w:rPr>
        <w:fldChar w:fldCharType="separate"/>
      </w:r>
      <w:r w:rsidR="009F150C" w:rsidRPr="00833CE8">
        <w:rPr>
          <w:rFonts w:cs="Times New Roman"/>
        </w:rPr>
        <w:t>(Zecher et al., 2020)</w:t>
      </w:r>
      <w:r w:rsidR="004228A9" w:rsidRPr="00833CE8">
        <w:rPr>
          <w:rFonts w:cs="Times New Roman"/>
          <w:szCs w:val="24"/>
        </w:rPr>
        <w:fldChar w:fldCharType="end"/>
      </w:r>
      <w:r w:rsidR="002863D7" w:rsidRPr="00833CE8">
        <w:rPr>
          <w:rFonts w:cs="Times New Roman"/>
          <w:szCs w:val="24"/>
        </w:rPr>
        <w:t>.</w:t>
      </w:r>
      <w:r w:rsidR="002863D7" w:rsidRPr="00833CE8">
        <w:rPr>
          <w:rFonts w:cs="Times New Roman"/>
          <w:b/>
          <w:bCs/>
          <w:i/>
          <w:iCs/>
          <w:szCs w:val="24"/>
        </w:rPr>
        <w:t xml:space="preserve">   </w:t>
      </w:r>
      <w:r w:rsidR="00BA4338" w:rsidRPr="00833CE8">
        <w:rPr>
          <w:rFonts w:cs="Times New Roman"/>
          <w:szCs w:val="24"/>
        </w:rPr>
        <w:t xml:space="preserve">As part of biotechnological consortia, nitrogen fixing bacteria such as </w:t>
      </w:r>
      <w:r w:rsidR="00BA4338" w:rsidRPr="00833CE8">
        <w:rPr>
          <w:rFonts w:cs="Times New Roman"/>
          <w:i/>
          <w:iCs/>
          <w:szCs w:val="24"/>
        </w:rPr>
        <w:t>Azotobacter spp</w:t>
      </w:r>
      <w:r w:rsidR="00BA4338" w:rsidRPr="00833CE8">
        <w:rPr>
          <w:rFonts w:cs="Times New Roman"/>
          <w:szCs w:val="24"/>
        </w:rPr>
        <w:t>. and</w:t>
      </w:r>
      <w:r w:rsidR="00BA4338" w:rsidRPr="00833CE8">
        <w:rPr>
          <w:rFonts w:cs="Times New Roman"/>
          <w:i/>
          <w:iCs/>
          <w:szCs w:val="24"/>
        </w:rPr>
        <w:t xml:space="preserve"> </w:t>
      </w:r>
      <w:proofErr w:type="spellStart"/>
      <w:r w:rsidR="00BA4338" w:rsidRPr="00833CE8">
        <w:rPr>
          <w:rFonts w:cs="Times New Roman"/>
          <w:i/>
          <w:iCs/>
          <w:szCs w:val="24"/>
        </w:rPr>
        <w:t>Azospirillum</w:t>
      </w:r>
      <w:proofErr w:type="spellEnd"/>
      <w:r w:rsidR="00BA4338" w:rsidRPr="00833CE8">
        <w:rPr>
          <w:rFonts w:cs="Times New Roman"/>
          <w:i/>
          <w:iCs/>
          <w:szCs w:val="24"/>
        </w:rPr>
        <w:t xml:space="preserve"> </w:t>
      </w:r>
      <w:proofErr w:type="spellStart"/>
      <w:r w:rsidR="00BA4338" w:rsidRPr="00833CE8">
        <w:rPr>
          <w:rFonts w:cs="Times New Roman"/>
          <w:i/>
          <w:iCs/>
          <w:szCs w:val="24"/>
        </w:rPr>
        <w:t>spp</w:t>
      </w:r>
      <w:proofErr w:type="spellEnd"/>
      <w:r w:rsidR="00BA4338" w:rsidRPr="00833CE8">
        <w:rPr>
          <w:rFonts w:cs="Times New Roman"/>
          <w:i/>
          <w:iCs/>
          <w:szCs w:val="24"/>
        </w:rPr>
        <w:t xml:space="preserve"> </w:t>
      </w:r>
      <w:r w:rsidR="00BA4338" w:rsidRPr="00833CE8">
        <w:rPr>
          <w:rFonts w:cs="Times New Roman"/>
          <w:szCs w:val="24"/>
        </w:rPr>
        <w:t xml:space="preserve">have also been studied for their ability to reduce the costs of added nitrogen in the </w:t>
      </w:r>
      <w:r w:rsidR="008C5495">
        <w:rPr>
          <w:rFonts w:cs="Times New Roman"/>
          <w:szCs w:val="24"/>
        </w:rPr>
        <w:t xml:space="preserve">microalgae </w:t>
      </w:r>
      <w:r w:rsidR="00BA4338" w:rsidRPr="00833CE8">
        <w:rPr>
          <w:rFonts w:cs="Times New Roman"/>
          <w:szCs w:val="24"/>
        </w:rPr>
        <w:t>growth media</w:t>
      </w:r>
      <w:r w:rsidR="009B6400" w:rsidRPr="00833CE8">
        <w:rPr>
          <w:rFonts w:cs="Times New Roman"/>
          <w:szCs w:val="24"/>
        </w:rPr>
        <w:t xml:space="preserve"> </w:t>
      </w:r>
      <w:r w:rsidR="00BA4338" w:rsidRPr="00833CE8">
        <w:rPr>
          <w:rFonts w:cs="Times New Roman"/>
          <w:szCs w:val="24"/>
        </w:rPr>
        <w:fldChar w:fldCharType="begin"/>
      </w:r>
      <w:r w:rsidR="009F150C" w:rsidRPr="00833CE8">
        <w:rPr>
          <w:rFonts w:cs="Times New Roman"/>
          <w:szCs w:val="24"/>
        </w:rPr>
        <w:instrText xml:space="preserve"> ADDIN ZOTERO_ITEM CSL_CITATION {"citationID":"ELSNBbNL","properties":{"formattedCitation":"(Llamas et al., 2023)","plainCitation":"(Llamas et al., 2023)","noteIndex":0},"citationItems":[{"id":4326,"uris":["http://zotero.org/users/764524/items/G57GTBU2"],"itemData":{"id":4326,"type":"article-journal","abstract":"Microalgae are used in various biotechnological processes, such as biofuel production due to their high biomass yields, agriculture as biofertilizers, production of high-value-added products, decontamination of wastewater, or as biological models for carbon sequestration. The number of these biotechnological applications is increasing, and as such, any advances that contribute to reducing costs and increasing economic profitability can have a significant impact. Nitrogen fixing organisms, often called diazotroph, also have great biotechnological potential, mainly in agriculture as an alternative to chemical fertilizers. Microbial consortia typically perform more complex tasks than monocultures and can execute functions that are challenging or even impossible for individual strains or species. Interestingly, microalgae and diazotrophic organisms are capable to embrace different types of symbiotic associations. Certain corals and lichens exhibit this symbiotic relationship in nature, which enhances their fitness. However, this relationship can also be artificially created in laboratory conditions with the objective of enhancing some of the biotechnological processes that each organism carries out independently. As a result, the utilization of microalgae and diazotrophic organisms in consortia is garnering significant interest as a potential alternative for reducing production costs and increasing yields of microalgae biomass, as well as for producing derived products and serving biotechnological purposes. This review makes an effort to examine the associations of microalgae and diazotrophic organisms, with the aim of highlighting the potential of these associations in improving various biotechnological processes.","container-title":"Plants","DOI":"10.3390/plants12132476","ISSN":"2223-7747","issue":"13","language":"en","license":"http://creativecommons.org/licenses/by/3.0/","note":"number: 13\npublisher: Multidisciplinary Digital Publishing Institute","page":"2476","source":"www.mdpi.com","title":"Microalgal and Nitrogen-Fixing Bacterial Consortia: From Interaction to Biotechnological Potential","title-short":"Microalgal and Nitrogen-Fixing Bacterial Consortia","volume":"12","author":[{"family":"Llamas","given":"Angel"},{"family":"Leon-Miranda","given":"Esperanza"},{"family":"Tejada-Jimenez","given":"Manuel"}],"issued":{"date-parts":[["2023",1]]}}}],"schema":"https://github.com/citation-style-language/schema/raw/master/csl-citation.json"} </w:instrText>
      </w:r>
      <w:r w:rsidR="00BA4338" w:rsidRPr="00833CE8">
        <w:rPr>
          <w:rFonts w:cs="Times New Roman"/>
          <w:szCs w:val="24"/>
        </w:rPr>
        <w:fldChar w:fldCharType="separate"/>
      </w:r>
      <w:r w:rsidR="009F150C" w:rsidRPr="00833CE8">
        <w:rPr>
          <w:rFonts w:cs="Times New Roman"/>
        </w:rPr>
        <w:t>(Llamas et al., 2023)</w:t>
      </w:r>
      <w:r w:rsidR="00BA4338" w:rsidRPr="00833CE8">
        <w:rPr>
          <w:rFonts w:cs="Times New Roman"/>
          <w:szCs w:val="24"/>
        </w:rPr>
        <w:fldChar w:fldCharType="end"/>
      </w:r>
      <w:r w:rsidR="009B6400" w:rsidRPr="00833CE8">
        <w:rPr>
          <w:rFonts w:cs="Times New Roman"/>
          <w:szCs w:val="24"/>
        </w:rPr>
        <w:t>.</w:t>
      </w:r>
      <w:r w:rsidR="00841ACF" w:rsidRPr="00833CE8">
        <w:rPr>
          <w:rFonts w:cs="Times New Roman"/>
          <w:szCs w:val="24"/>
        </w:rPr>
        <w:t xml:space="preserve"> </w:t>
      </w:r>
      <w:r w:rsidR="00733F02" w:rsidRPr="00833CE8">
        <w:rPr>
          <w:rFonts w:cs="Times New Roman"/>
          <w:szCs w:val="24"/>
        </w:rPr>
        <w:t xml:space="preserve"> </w:t>
      </w:r>
    </w:p>
    <w:p w14:paraId="232A1B88" w14:textId="7FDE24F0" w:rsidR="001E62BB" w:rsidRPr="00F01315" w:rsidRDefault="00F34EF2" w:rsidP="00F01315">
      <w:pPr>
        <w:tabs>
          <w:tab w:val="center" w:pos="4822"/>
        </w:tabs>
        <w:snapToGrid w:val="0"/>
        <w:spacing w:line="360" w:lineRule="auto"/>
        <w:ind w:firstLine="284"/>
        <w:jc w:val="both"/>
        <w:rPr>
          <w:rFonts w:cs="Times New Roman"/>
          <w:szCs w:val="24"/>
        </w:rPr>
      </w:pPr>
      <w:r w:rsidRPr="00833CE8">
        <w:rPr>
          <w:rFonts w:cs="Times New Roman"/>
          <w:szCs w:val="24"/>
        </w:rPr>
        <w:t xml:space="preserve">Similarly, </w:t>
      </w:r>
      <w:r w:rsidR="00DA572D" w:rsidRPr="00833CE8">
        <w:rPr>
          <w:rFonts w:cs="Times New Roman"/>
          <w:szCs w:val="24"/>
        </w:rPr>
        <w:t xml:space="preserve">bacteria </w:t>
      </w:r>
      <w:r w:rsidRPr="00833CE8">
        <w:rPr>
          <w:rFonts w:cs="Times New Roman"/>
          <w:szCs w:val="24"/>
        </w:rPr>
        <w:t>can use organic carbon obtained from</w:t>
      </w:r>
      <w:r w:rsidR="00DA572D" w:rsidRPr="00833CE8">
        <w:rPr>
          <w:rFonts w:cs="Times New Roman"/>
          <w:szCs w:val="24"/>
        </w:rPr>
        <w:t xml:space="preserve"> microalgal</w:t>
      </w:r>
      <w:r w:rsidR="00EE0F44" w:rsidRPr="00833CE8">
        <w:rPr>
          <w:rFonts w:cs="Times New Roman"/>
          <w:szCs w:val="24"/>
        </w:rPr>
        <w:t xml:space="preserve"> carbon fixing from CO</w:t>
      </w:r>
      <w:r w:rsidR="00EE0F44" w:rsidRPr="00833CE8">
        <w:rPr>
          <w:rFonts w:cs="Times New Roman"/>
          <w:szCs w:val="24"/>
          <w:vertAlign w:val="subscript"/>
        </w:rPr>
        <w:t>2</w:t>
      </w:r>
      <w:r w:rsidR="00DA572D" w:rsidRPr="00833CE8">
        <w:rPr>
          <w:rFonts w:cs="Times New Roman"/>
          <w:szCs w:val="24"/>
        </w:rPr>
        <w:t>, as has been shown for consortia</w:t>
      </w:r>
      <w:r w:rsidR="00DA572D" w:rsidRPr="00833CE8">
        <w:rPr>
          <w:rFonts w:cs="Times New Roman"/>
          <w:b/>
          <w:bCs/>
          <w:szCs w:val="24"/>
        </w:rPr>
        <w:t xml:space="preserve"> </w:t>
      </w:r>
      <w:r w:rsidR="00DA572D" w:rsidRPr="00833CE8">
        <w:rPr>
          <w:rFonts w:cs="Times New Roman"/>
          <w:szCs w:val="24"/>
        </w:rPr>
        <w:t xml:space="preserve">containing </w:t>
      </w:r>
      <w:r w:rsidR="00EE0F44" w:rsidRPr="00833CE8">
        <w:rPr>
          <w:rFonts w:cs="Times New Roman"/>
          <w:i/>
          <w:iCs/>
          <w:szCs w:val="24"/>
        </w:rPr>
        <w:t xml:space="preserve">Chlorella sp., Scenedesmus sp., Pediastrum sp., </w:t>
      </w:r>
      <w:r w:rsidR="00EE0F44" w:rsidRPr="00833CE8">
        <w:rPr>
          <w:rFonts w:cs="Times New Roman"/>
          <w:szCs w:val="24"/>
        </w:rPr>
        <w:t>and</w:t>
      </w:r>
      <w:r w:rsidR="00EE0F44" w:rsidRPr="00833CE8">
        <w:rPr>
          <w:rFonts w:cs="Times New Roman"/>
          <w:i/>
          <w:iCs/>
          <w:szCs w:val="24"/>
        </w:rPr>
        <w:t xml:space="preserve"> </w:t>
      </w:r>
      <w:proofErr w:type="spellStart"/>
      <w:r w:rsidR="00EE0F44" w:rsidRPr="00833CE8">
        <w:rPr>
          <w:rFonts w:cs="Times New Roman"/>
          <w:i/>
          <w:iCs/>
          <w:szCs w:val="24"/>
        </w:rPr>
        <w:t>Phormidium</w:t>
      </w:r>
      <w:proofErr w:type="spellEnd"/>
      <w:r w:rsidR="00EE0F44" w:rsidRPr="00833CE8">
        <w:rPr>
          <w:rFonts w:cs="Times New Roman"/>
          <w:i/>
          <w:iCs/>
          <w:szCs w:val="24"/>
        </w:rPr>
        <w:t xml:space="preserve"> sp</w:t>
      </w:r>
      <w:r w:rsidR="00EE0F44" w:rsidRPr="00833CE8">
        <w:rPr>
          <w:rFonts w:cs="Times New Roman"/>
          <w:szCs w:val="24"/>
        </w:rPr>
        <w:t xml:space="preserve">. </w:t>
      </w:r>
      <w:r w:rsidR="00EE0F44" w:rsidRPr="00833CE8">
        <w:rPr>
          <w:rFonts w:cs="Times New Roman"/>
          <w:szCs w:val="24"/>
        </w:rPr>
        <w:fldChar w:fldCharType="begin"/>
      </w:r>
      <w:r w:rsidR="005522CA" w:rsidRPr="00833CE8">
        <w:rPr>
          <w:rFonts w:cs="Times New Roman"/>
          <w:szCs w:val="24"/>
        </w:rPr>
        <w:instrText xml:space="preserve"> ADDIN ZOTERO_ITEM CSL_CITATION {"citationID":"D8hUaxiF","properties":{"formattedCitation":"(Kong et al., 2024)","plainCitation":"(Kong et al., 2024)","noteIndex":0},"citationItems":[{"id":4345,"uris":["http://zotero.org/users/764524/items/4EYUDNRK"],"itemData":{"id":4345,"type":"article-journal","abstract":"The cultivation of microalgae and microalgae–bacteria consortia provide a potential efficient strategy to fix CO2 from waste gas, treat wastewater and produce value-added products subsequently. This paper reviews recent developments in CO2 fixation and wastewater treatment by single microalgae, mixed microalgae and microalgae–bacteria consortia, as well as compares and summarizes the differences in utilizing different microorganisms from different aspects. Compared to monoculture of microalgae, a mixed microalgae and microalgae–bacteria consortium may mitigate environmental risk, obtain high biomass, and improve the efficiency of nutrient removal. The applied microalgae include Chlorella sp., Scenedesmus sp., Pediastrum sp., and Phormidium sp. among others, and most strains belong to Chlorophyta and Cyanophyta. The bacteria in microalgae–bacteria consortia are mainly from activated sludge and specific sewage sources. Bioengineer in CBB cycle in microalgae cells provide effective strategy to achieve improvement of CO2 fixation or a high yield of high-value products. The mechanisms of CO2 fixation and nutrient removal by different microbial systems are also explored and concluded, the importance of microalgae in the technology is proven. After cultivation, microalgae biomass can be harvested through physical, chemical, biological and magnetic separation methods and used to produce high-value by-products, such as biofuel, feed, food, biochar, fertilizer, and pharmaceutical bio-compounds. Although this technology has brought many benefits, some challenging obstacles and limitation remain for industrialization and commercializing.","container-title":"Biotechnology for Biofuels and Bioproducts","DOI":"10.1186/s13068-023-02409-w","ISSN":"2731-3654","issue":"1","journalAbbreviation":"Biotechnol. Biofuels Bioprod.","page":"26","source":"BioMed Central","title":"Cultivation of microalgae–bacteria consortium by waste gas–waste water to achieve CO2 fixation, wastewater purification and bioproducts production","volume":"17","author":[{"family":"Kong","given":"Wenwen"},{"family":"Kong","given":"Jia"},{"family":"Feng","given":"Shuo"},{"family":"Yang","given":"TianTian"},{"family":"Xu","given":"Lianfei"},{"family":"Shen","given":"Boxiong"},{"family":"Bi","given":"Yonghong"},{"family":"Lyu","given":"Honghong"}],"issued":{"date-parts":[["2024",2,15]]}}}],"schema":"https://github.com/citation-style-language/schema/raw/master/csl-citation.json"} </w:instrText>
      </w:r>
      <w:r w:rsidR="00EE0F44" w:rsidRPr="00833CE8">
        <w:rPr>
          <w:rFonts w:cs="Times New Roman"/>
          <w:szCs w:val="24"/>
        </w:rPr>
        <w:fldChar w:fldCharType="separate"/>
      </w:r>
      <w:r w:rsidR="009F150C" w:rsidRPr="00833CE8">
        <w:rPr>
          <w:rFonts w:cs="Times New Roman"/>
        </w:rPr>
        <w:t>(Kong et al., 2024)</w:t>
      </w:r>
      <w:r w:rsidR="00EE0F44" w:rsidRPr="00833CE8">
        <w:rPr>
          <w:rFonts w:cs="Times New Roman"/>
          <w:szCs w:val="24"/>
        </w:rPr>
        <w:fldChar w:fldCharType="end"/>
      </w:r>
      <w:r w:rsidR="003B7E74" w:rsidRPr="00833CE8">
        <w:rPr>
          <w:rFonts w:cs="Times New Roman"/>
          <w:szCs w:val="24"/>
        </w:rPr>
        <w:t>.</w:t>
      </w:r>
      <w:r w:rsidR="00BA31B0" w:rsidRPr="00833CE8">
        <w:rPr>
          <w:rFonts w:cs="Times New Roman"/>
          <w:szCs w:val="24"/>
        </w:rPr>
        <w:t xml:space="preserve"> </w:t>
      </w:r>
      <w:r w:rsidR="00733F02" w:rsidRPr="00833CE8">
        <w:rPr>
          <w:rFonts w:cs="Times New Roman"/>
          <w:szCs w:val="24"/>
        </w:rPr>
        <w:t xml:space="preserve"> In mutualistic interactions, this organic carbon as well as organic nitrogen are exchanged for </w:t>
      </w:r>
      <w:proofErr w:type="spellStart"/>
      <w:r w:rsidR="00733F02" w:rsidRPr="00833CE8">
        <w:rPr>
          <w:rFonts w:cs="Times New Roman"/>
          <w:szCs w:val="24"/>
        </w:rPr>
        <w:t>remineralized</w:t>
      </w:r>
      <w:proofErr w:type="spellEnd"/>
      <w:r w:rsidR="00733F02" w:rsidRPr="00833CE8">
        <w:rPr>
          <w:rFonts w:cs="Times New Roman"/>
          <w:szCs w:val="24"/>
        </w:rPr>
        <w:t xml:space="preserve"> carbon and nitrogen that the algae can utilize </w:t>
      </w:r>
      <w:r w:rsidR="00733F02" w:rsidRPr="00833CE8">
        <w:rPr>
          <w:rFonts w:cs="Times New Roman"/>
          <w:b/>
          <w:bCs/>
          <w:szCs w:val="24"/>
        </w:rPr>
        <w:fldChar w:fldCharType="begin"/>
      </w:r>
      <w:r w:rsidR="00742839">
        <w:rPr>
          <w:rFonts w:cs="Times New Roman"/>
          <w:b/>
          <w:bCs/>
          <w:szCs w:val="24"/>
        </w:rPr>
        <w:instrText xml:space="preserve"> ADDIN ZOTERO_ITEM CSL_CITATION {"citationID":"VPVQOJ08","properties":{"formattedCitation":"(Mayali et al., 2023)","plainCitation":"(Mayali et al., 2023)","noteIndex":0},"citationItems":[{"id":4654,"uris":["http://zotero.org/users/764524/items/FDZQ9N6W"],"itemData":{"id":4654,"type":"article-journal","abstract":"Bacterial remineralization of algal organic matter fuels algal growth but is rarely quantified. Consequently, we cannot currently predict whether some bacterial taxa may provide more remineralized nutrients to algae than others. Here, we quantified bacterial incorporation of algal-derived complex dissolved organic carbon and nitrogen and algal incorporation of remineralized carbon and nitrogen in fifteen bacterial co-cultures growing with the diatom Phaeodactylum tricornutum at the single-cell level using isotope tracing and nanoSIMS. We found unexpected strain-to-strain and cell-to-cell variability in net carbon and nitrogen incorporation, including non-ubiquitous complex organic nitrogen utilization and remineralization. We used these data to identify three distinct functional guilds of metabolic interactions, which we termed macromolecule remineralizers, macromolecule users, and small-molecule users, the latter exhibiting efficient growth under low carbon availability. The functional guilds were not linked to phylogeny and could not be elucidated strictly from metabolic capacity as predicted by comparative genomics, highlighting the need for direct activity-based measurements in ecological studies of microbial metabolic interactions.","container-title":"Nature Communications","DOI":"10.1038/s41467-023-41179-9","ISSN":"2041-1723","issue":"1","journalAbbreviation":"Nat. Commun.","language":"en","license":"2023 The Author(s)","note":"publisher: Nature Publishing Group","page":"5642","source":"www.nature.com","title":"Single-cell isotope tracing reveals functional guilds of bacteria associated with the diatom &lt;i&gt;Phaeodactylum tricornutum&lt;/i&gt;","volume":"14","author":[{"family":"Mayali","given":"Xavier"},{"family":"Samo","given":"Ty J."},{"family":"Kimbrel","given":"Jeff A."},{"family":"Morris","given":"Megan M."},{"family":"Rolison","given":"Kristina"},{"family":"Swink","given":"Courtney"},{"family":"Ramon","given":"Christina"},{"family":"Kim","given":"Young-Mo"},{"family":"Munoz-Munoz","given":"Nathalie"},{"family":"Nicora","given":"Carrie"},{"family":"Purvine","given":"Sam"},{"family":"Lipton","given":"Mary"},{"family":"Stuart","given":"Rhona K."},{"family":"Weber","given":"Peter K."}],"issued":{"date-parts":[["2023",9,13]]}}}],"schema":"https://github.com/citation-style-language/schema/raw/master/csl-citation.json"} </w:instrText>
      </w:r>
      <w:r w:rsidR="00733F02" w:rsidRPr="00833CE8">
        <w:rPr>
          <w:rFonts w:cs="Times New Roman"/>
          <w:b/>
          <w:bCs/>
          <w:szCs w:val="24"/>
        </w:rPr>
        <w:fldChar w:fldCharType="separate"/>
      </w:r>
      <w:r w:rsidR="00733F02" w:rsidRPr="00833CE8">
        <w:rPr>
          <w:rFonts w:cs="Times New Roman"/>
        </w:rPr>
        <w:t>(Mayali et al., 2023)</w:t>
      </w:r>
      <w:r w:rsidR="00733F02" w:rsidRPr="00833CE8">
        <w:rPr>
          <w:rFonts w:cs="Times New Roman"/>
          <w:b/>
          <w:bCs/>
          <w:szCs w:val="24"/>
        </w:rPr>
        <w:fldChar w:fldCharType="end"/>
      </w:r>
      <w:r w:rsidR="00733F02" w:rsidRPr="00833CE8">
        <w:rPr>
          <w:rFonts w:cs="Times New Roman"/>
          <w:b/>
          <w:bCs/>
          <w:szCs w:val="24"/>
        </w:rPr>
        <w:t xml:space="preserve">. </w:t>
      </w:r>
      <w:r w:rsidR="00BA31B0" w:rsidRPr="00833CE8">
        <w:rPr>
          <w:rFonts w:cs="Times New Roman"/>
          <w:szCs w:val="24"/>
        </w:rPr>
        <w:t xml:space="preserve"> Further, bacterial consortia have also been shown to e</w:t>
      </w:r>
      <w:r w:rsidR="00937907" w:rsidRPr="00833CE8">
        <w:rPr>
          <w:rFonts w:cs="Times New Roman"/>
          <w:szCs w:val="24"/>
        </w:rPr>
        <w:t>nhance</w:t>
      </w:r>
      <w:r w:rsidR="00BA31B0" w:rsidRPr="00833CE8">
        <w:rPr>
          <w:rFonts w:cs="Times New Roman"/>
          <w:szCs w:val="24"/>
        </w:rPr>
        <w:t xml:space="preserve"> the carbon fixing effects, which is advantageous for bacteri</w:t>
      </w:r>
      <w:r w:rsidR="00F76EDA" w:rsidRPr="00833CE8">
        <w:rPr>
          <w:rFonts w:cs="Times New Roman"/>
          <w:szCs w:val="24"/>
        </w:rPr>
        <w:t>al growth</w:t>
      </w:r>
      <w:r w:rsidR="00BA31B0" w:rsidRPr="00833CE8">
        <w:rPr>
          <w:rFonts w:cs="Times New Roman"/>
          <w:szCs w:val="24"/>
        </w:rPr>
        <w:t xml:space="preserve">, </w:t>
      </w:r>
      <w:r w:rsidR="00D6676E" w:rsidRPr="00833CE8">
        <w:rPr>
          <w:rFonts w:cs="Times New Roman"/>
          <w:szCs w:val="24"/>
        </w:rPr>
        <w:t xml:space="preserve">while simultaneously </w:t>
      </w:r>
      <w:r w:rsidR="00BA31B0" w:rsidRPr="00833CE8">
        <w:rPr>
          <w:rFonts w:cs="Times New Roman"/>
          <w:szCs w:val="24"/>
        </w:rPr>
        <w:t>improv</w:t>
      </w:r>
      <w:r w:rsidR="00D6676E" w:rsidRPr="00833CE8">
        <w:rPr>
          <w:rFonts w:cs="Times New Roman"/>
          <w:szCs w:val="24"/>
        </w:rPr>
        <w:t>ing</w:t>
      </w:r>
      <w:r w:rsidR="00BA31B0" w:rsidRPr="00833CE8">
        <w:rPr>
          <w:rFonts w:cs="Times New Roman"/>
          <w:szCs w:val="24"/>
        </w:rPr>
        <w:t xml:space="preserve"> the synthesis of microalgal metabolites for bioproducts</w:t>
      </w:r>
      <w:r w:rsidR="00C505D2" w:rsidRPr="00833CE8">
        <w:rPr>
          <w:rFonts w:cs="Times New Roman"/>
          <w:szCs w:val="24"/>
        </w:rPr>
        <w:t xml:space="preserve"> </w:t>
      </w:r>
      <w:r w:rsidR="001E6C94" w:rsidRPr="00833CE8">
        <w:rPr>
          <w:rFonts w:cs="Times New Roman"/>
          <w:szCs w:val="24"/>
        </w:rPr>
        <w:fldChar w:fldCharType="begin"/>
      </w:r>
      <w:r w:rsidR="009F150C" w:rsidRPr="00833CE8">
        <w:rPr>
          <w:rFonts w:cs="Times New Roman"/>
          <w:szCs w:val="24"/>
        </w:rPr>
        <w:instrText xml:space="preserve"> ADDIN ZOTERO_ITEM CSL_CITATION {"citationID":"nnGXSLSa","properties":{"formattedCitation":"(Gonz\\uc0\\u225{}lez-Gonz\\uc0\\u225{}lez and de-Bashan, 2021)","plainCitation":"(González-González and de-Bashan, 2021)","noteIndex":0},"citationItems":[{"id":4490,"uris":["http://zotero.org/users/764524/items/MB8RGAVD"],"itemData":{"id":4490,"type":"article-journal","abstract":"Simple Summary\nMicroalgae are photosynthetic microorganisms with high biotechnological potential. However, the sustainable production of high-value products such as lipids, proteins, carbohydrates, and pigments undergoes important economic challenges. In this review, we describe the mutualistic association between microalgae and bacteria and the positive effects of artificial consortia on microalgal metabolites’ production. We highlighted the potential role of growth-promoting bacteria in optimizing microalgal biorefineries for the integrated production of these valuable products. Besides making a significant enhancement to microalgal metabolite production, the bacterium partner might assist in the biorefinery process’s key stages, such as biomass harvesting and CO2 fixation.\n\nAbstract\nEngineered mutualistic consortia of microalgae and bacteria may be a means of assembling a novel combination of metabolic capabilities with potential biotechnological advantages. Microalgae are promising organisms for the sustainable production of metabolites of commercial interest, such as lipids, carbohydrates, pigments, and proteins. Several studies reveal that microalgae growth and cellular storage of these metabolites can be enhanced significantly by co-cultivation with growth-promoting bacteria. This review summarizes the state of the art of microalgae–bacteria consortia for the production of microalgal metabolites. We discuss the current knowledge on microalgae–bacteria mutualism and the mechanisms of bacteria to enhance microalgae metabolism. Furthermore, the potential routes for a microalgae–bacteria biorefinery are outlined in an attempt to overcome the economic failures and negative energy balances of the existing production processes.","container-title":"Biology","DOI":"10.3390/biology10040282","ISSN":"2079-7737","issue":"4","journalAbbreviation":"Biology (Basel)","note":"PMID: 33915681\nPMCID: PMC8065533","page":"282","source":"PubMed Central","title":"Toward the Enhancement of Microalgal Metabolite Production through Microalgae–Bacteria Consortia","volume":"10","author":[{"family":"González-González","given":"Lina Maria"},{"family":"Bashan","given":"Luz E.","non-dropping-particle":"de-"}],"issued":{"date-parts":[["2021",4,1]]}}}],"schema":"https://github.com/citation-style-language/schema/raw/master/csl-citation.json"} </w:instrText>
      </w:r>
      <w:r w:rsidR="001E6C94" w:rsidRPr="00833CE8">
        <w:rPr>
          <w:rFonts w:cs="Times New Roman"/>
          <w:szCs w:val="24"/>
        </w:rPr>
        <w:fldChar w:fldCharType="separate"/>
      </w:r>
      <w:r w:rsidR="009F150C" w:rsidRPr="00833CE8">
        <w:rPr>
          <w:rFonts w:cs="Times New Roman"/>
          <w:kern w:val="0"/>
        </w:rPr>
        <w:t>(González-González and de-Bashan, 2021)</w:t>
      </w:r>
      <w:r w:rsidR="001E6C94" w:rsidRPr="00833CE8">
        <w:rPr>
          <w:rFonts w:cs="Times New Roman"/>
          <w:szCs w:val="24"/>
        </w:rPr>
        <w:fldChar w:fldCharType="end"/>
      </w:r>
      <w:r w:rsidR="00603015" w:rsidRPr="00833CE8">
        <w:rPr>
          <w:rFonts w:cs="Times New Roman"/>
          <w:szCs w:val="24"/>
        </w:rPr>
        <w:t xml:space="preserve">. </w:t>
      </w:r>
      <w:r w:rsidR="005957B0" w:rsidRPr="00833CE8">
        <w:rPr>
          <w:rFonts w:cs="Times New Roman"/>
          <w:b/>
          <w:bCs/>
          <w:szCs w:val="24"/>
        </w:rPr>
        <w:t xml:space="preserve"> </w:t>
      </w:r>
      <w:r w:rsidR="00C83A1A" w:rsidRPr="00833CE8">
        <w:rPr>
          <w:rFonts w:cs="Times New Roman"/>
          <w:szCs w:val="24"/>
        </w:rPr>
        <w:t xml:space="preserve">As an example of this process in a </w:t>
      </w:r>
      <w:r w:rsidR="00EE0F44" w:rsidRPr="00833CE8">
        <w:rPr>
          <w:rFonts w:cs="Times New Roman"/>
          <w:szCs w:val="24"/>
        </w:rPr>
        <w:t>co-culture</w:t>
      </w:r>
      <w:r w:rsidRPr="00833CE8">
        <w:rPr>
          <w:rFonts w:cs="Times New Roman"/>
          <w:szCs w:val="24"/>
        </w:rPr>
        <w:t>,</w:t>
      </w:r>
      <w:r w:rsidR="00EE0F44" w:rsidRPr="00833CE8">
        <w:rPr>
          <w:rFonts w:cs="Times New Roman"/>
          <w:szCs w:val="24"/>
        </w:rPr>
        <w:t xml:space="preserve"> methanotrophic bacteria </w:t>
      </w:r>
      <w:r w:rsidR="00D6676E" w:rsidRPr="00833CE8">
        <w:rPr>
          <w:rFonts w:cs="Times New Roman"/>
          <w:szCs w:val="24"/>
        </w:rPr>
        <w:t>utilize</w:t>
      </w:r>
      <w:r w:rsidR="00074A1D">
        <w:rPr>
          <w:rFonts w:cs="Times New Roman"/>
          <w:szCs w:val="24"/>
        </w:rPr>
        <w:t>d</w:t>
      </w:r>
      <w:r w:rsidR="00D6676E" w:rsidRPr="00833CE8">
        <w:rPr>
          <w:rFonts w:cs="Times New Roman"/>
          <w:szCs w:val="24"/>
        </w:rPr>
        <w:t xml:space="preserve"> fixed</w:t>
      </w:r>
      <w:r w:rsidR="00C83A1A" w:rsidRPr="00833CE8">
        <w:rPr>
          <w:rFonts w:cs="Times New Roman"/>
          <w:szCs w:val="24"/>
        </w:rPr>
        <w:t xml:space="preserve"> CO</w:t>
      </w:r>
      <w:r w:rsidR="00C83A1A" w:rsidRPr="00833CE8">
        <w:rPr>
          <w:rFonts w:cs="Times New Roman"/>
          <w:szCs w:val="24"/>
          <w:vertAlign w:val="subscript"/>
        </w:rPr>
        <w:t>2</w:t>
      </w:r>
      <w:r w:rsidR="00C83A1A" w:rsidRPr="00833CE8">
        <w:rPr>
          <w:rFonts w:cs="Times New Roman"/>
          <w:szCs w:val="24"/>
        </w:rPr>
        <w:t xml:space="preserve"> </w:t>
      </w:r>
      <w:r w:rsidR="00D6676E" w:rsidRPr="00833CE8">
        <w:rPr>
          <w:rFonts w:cs="Times New Roman"/>
          <w:szCs w:val="24"/>
        </w:rPr>
        <w:t xml:space="preserve">as well </w:t>
      </w:r>
      <w:r w:rsidR="00D6676E" w:rsidRPr="00833CE8">
        <w:rPr>
          <w:rFonts w:cs="Times New Roman"/>
          <w:szCs w:val="24"/>
        </w:rPr>
        <w:lastRenderedPageBreak/>
        <w:t>as methane (CH</w:t>
      </w:r>
      <w:r w:rsidR="00D6676E" w:rsidRPr="00833CE8">
        <w:rPr>
          <w:rFonts w:cs="Times New Roman"/>
          <w:szCs w:val="24"/>
          <w:vertAlign w:val="subscript"/>
        </w:rPr>
        <w:t>4</w:t>
      </w:r>
      <w:r w:rsidR="00D6676E" w:rsidRPr="00833CE8">
        <w:rPr>
          <w:rFonts w:cs="Times New Roman"/>
          <w:szCs w:val="24"/>
        </w:rPr>
        <w:t xml:space="preserve">) </w:t>
      </w:r>
      <w:r w:rsidR="00EE0F44" w:rsidRPr="00833CE8">
        <w:rPr>
          <w:rFonts w:cs="Times New Roman"/>
          <w:szCs w:val="24"/>
        </w:rPr>
        <w:fldChar w:fldCharType="begin"/>
      </w:r>
      <w:r w:rsidR="009F150C" w:rsidRPr="00833CE8">
        <w:rPr>
          <w:rFonts w:cs="Times New Roman"/>
          <w:szCs w:val="24"/>
        </w:rPr>
        <w:instrText xml:space="preserve"> ADDIN ZOTERO_ITEM CSL_CITATION {"citationID":"L4F69egQ","properties":{"formattedCitation":"(Ruiz-Ruiz et al., 2024)","plainCitation":"(Ruiz-Ruiz et al., 2024)","noteIndex":0},"citationItems":[{"id":4566,"uris":["http://zotero.org/users/764524/items/ABRF5XHU"],"itemData":{"id":4566,"type":"article-journal","abstract":"A co-culture of an alkaliphilic methanotrophic consortium and the microalga Scenedesmus obtusiusculus was designed to consume CH4 and CO2 from diluted CH4 streams under alkaline conditions to favor CO2 retention. The highest CH4 consumption rate in batch assays was 318 mgCH4 gbiomass−1 d−1 with 8 % initial CH4 and nitrate as the nitrogen source. Subsequently, the co-culture was evaluated in a photobioreactor with batch and fed-batch CH4 feeds. Under continuous illumination, the CH4 consumption rate reached 258 mgCH4 gbiomass−1 d−1, but the pH increased to 9.8. After a photonic pH control implementation, the pH remained at 9.1 ± 0.05 with a consumption rate of 196 mgCH4 gbiomass−1 d−1. The co-culture exhibited continuous activity, synchronized growth, and long-term stability, effectively removing both gases in a single reactor. Moreover, the co-culture's biomass showed an increase in reserve molecules, including carbohydrates and lipids, with protein as the primary product (40–52 % DCW), offering potential as a microbial protein source. The photonic pH control exhibited a rapid response, substituting the traditional acid/alkali addition method, which increases salinity, medium volume, and operational costs. The methanotroph-microalgae co-culture is a successful, robust, and stable alternative for diluted methane mitigation, resulting in nearly zero carbon emissions and valuable biomass production.","container-title":"Biochemical Engineering Journal","DOI":"10.1016/j.bej.2023.109211","ISSN":"1369-703X","journalAbbreviation":"Biochem. Eng. J.","page":"109211","source":"ScienceDirect","title":"Diluted methane mitigation by a co-culture of alkaliphilic methanotrophs and the microalgae &lt;i&gt;Scenedesmus obtusiusculus&lt;/i&gt; towards carbon neutrality","volume":"203","author":[{"family":"Ruiz-Ruiz","given":"Patricia"},{"family":"Gómez-Borraz","given":"Tania L."},{"family":"Saldivar","given":"Alexis"},{"family":"Hernández","given":"Sergio"},{"family":"Morales-Ibarría","given":"Marcia"},{"family":"Revah","given":"Sergio"}],"issued":{"date-parts":[["2024",3,1]]}}}],"schema":"https://github.com/citation-style-language/schema/raw/master/csl-citation.json"} </w:instrText>
      </w:r>
      <w:r w:rsidR="00EE0F44" w:rsidRPr="00833CE8">
        <w:rPr>
          <w:rFonts w:cs="Times New Roman"/>
          <w:szCs w:val="24"/>
        </w:rPr>
        <w:fldChar w:fldCharType="separate"/>
      </w:r>
      <w:r w:rsidR="009F150C" w:rsidRPr="00833CE8">
        <w:rPr>
          <w:rFonts w:cs="Times New Roman"/>
        </w:rPr>
        <w:t>(Ruiz-Ruiz et al., 2024)</w:t>
      </w:r>
      <w:r w:rsidR="00EE0F44" w:rsidRPr="00833CE8">
        <w:rPr>
          <w:rFonts w:cs="Times New Roman"/>
          <w:szCs w:val="24"/>
        </w:rPr>
        <w:fldChar w:fldCharType="end"/>
      </w:r>
      <w:r w:rsidR="00EE0F44" w:rsidRPr="00833CE8">
        <w:rPr>
          <w:rFonts w:cs="Times New Roman"/>
          <w:szCs w:val="24"/>
        </w:rPr>
        <w:t>.</w:t>
      </w:r>
      <w:r w:rsidR="00D6676E" w:rsidRPr="00833CE8">
        <w:rPr>
          <w:rFonts w:cs="Times New Roman"/>
          <w:szCs w:val="24"/>
        </w:rPr>
        <w:t xml:space="preserve">  The aerobic respiration by these bacteria was then promoted by the production of O</w:t>
      </w:r>
      <w:r w:rsidR="00D6676E" w:rsidRPr="00833CE8">
        <w:rPr>
          <w:rFonts w:cs="Times New Roman"/>
          <w:szCs w:val="24"/>
          <w:vertAlign w:val="subscript"/>
        </w:rPr>
        <w:t xml:space="preserve">2 </w:t>
      </w:r>
      <w:r w:rsidR="00D6676E" w:rsidRPr="00833CE8">
        <w:rPr>
          <w:rFonts w:cs="Times New Roman"/>
          <w:szCs w:val="24"/>
        </w:rPr>
        <w:t>by microalgal photosynthesis, while the release of CO</w:t>
      </w:r>
      <w:r w:rsidR="00D6676E" w:rsidRPr="00833CE8">
        <w:rPr>
          <w:rFonts w:cs="Times New Roman"/>
          <w:szCs w:val="24"/>
          <w:vertAlign w:val="subscript"/>
        </w:rPr>
        <w:t xml:space="preserve">2 </w:t>
      </w:r>
      <w:r w:rsidR="00D6676E" w:rsidRPr="00833CE8">
        <w:rPr>
          <w:rFonts w:cs="Times New Roman"/>
          <w:szCs w:val="24"/>
        </w:rPr>
        <w:t xml:space="preserve">c </w:t>
      </w:r>
      <w:r w:rsidR="007D4312">
        <w:rPr>
          <w:rFonts w:cs="Times New Roman"/>
          <w:szCs w:val="24"/>
        </w:rPr>
        <w:t>benefi</w:t>
      </w:r>
      <w:r w:rsidR="00B7693F">
        <w:rPr>
          <w:rFonts w:cs="Times New Roman"/>
          <w:szCs w:val="24"/>
        </w:rPr>
        <w:t>ted</w:t>
      </w:r>
      <w:r w:rsidR="00D6676E" w:rsidRPr="00833CE8">
        <w:rPr>
          <w:rFonts w:cs="Times New Roman"/>
          <w:szCs w:val="24"/>
        </w:rPr>
        <w:t xml:space="preserve"> the autotrophic microalgae.  D</w:t>
      </w:r>
      <w:r w:rsidR="00430D31" w:rsidRPr="00833CE8">
        <w:rPr>
          <w:rFonts w:cs="Times New Roman"/>
          <w:szCs w:val="24"/>
        </w:rPr>
        <w:t xml:space="preserve">ifferent species of </w:t>
      </w:r>
      <w:r w:rsidR="00D6676E" w:rsidRPr="00833CE8">
        <w:rPr>
          <w:rFonts w:cs="Times New Roman"/>
          <w:szCs w:val="24"/>
        </w:rPr>
        <w:t xml:space="preserve">carbon-fixing </w:t>
      </w:r>
      <w:r w:rsidR="00430D31" w:rsidRPr="00833CE8">
        <w:rPr>
          <w:rFonts w:cs="Times New Roman"/>
          <w:szCs w:val="24"/>
        </w:rPr>
        <w:t xml:space="preserve">bacteria </w:t>
      </w:r>
      <w:r w:rsidR="00B7693F">
        <w:rPr>
          <w:rFonts w:cs="Times New Roman"/>
          <w:szCs w:val="24"/>
        </w:rPr>
        <w:t>would</w:t>
      </w:r>
      <w:r w:rsidR="00D6676E" w:rsidRPr="00833CE8">
        <w:rPr>
          <w:rFonts w:cs="Times New Roman"/>
          <w:szCs w:val="24"/>
        </w:rPr>
        <w:t xml:space="preserve"> affect the ability of the microalgae-bacteria community to fix CO</w:t>
      </w:r>
      <w:r w:rsidR="00D6676E" w:rsidRPr="00833CE8">
        <w:rPr>
          <w:rFonts w:cs="Times New Roman"/>
          <w:szCs w:val="24"/>
          <w:vertAlign w:val="subscript"/>
        </w:rPr>
        <w:t>2</w:t>
      </w:r>
      <w:r w:rsidR="00D727AD" w:rsidRPr="00833CE8">
        <w:rPr>
          <w:rFonts w:cs="Times New Roman"/>
          <w:szCs w:val="24"/>
        </w:rPr>
        <w:t>, which show</w:t>
      </w:r>
      <w:r w:rsidR="00B7693F">
        <w:rPr>
          <w:rFonts w:cs="Times New Roman"/>
          <w:szCs w:val="24"/>
        </w:rPr>
        <w:t>ed</w:t>
      </w:r>
      <w:r w:rsidR="00D727AD" w:rsidRPr="00833CE8">
        <w:rPr>
          <w:rFonts w:cs="Times New Roman"/>
          <w:szCs w:val="24"/>
        </w:rPr>
        <w:t xml:space="preserve"> the importance of</w:t>
      </w:r>
      <w:r w:rsidR="004524F7" w:rsidRPr="00833CE8">
        <w:rPr>
          <w:rFonts w:cs="Times New Roman"/>
          <w:szCs w:val="24"/>
        </w:rPr>
        <w:t xml:space="preserve"> </w:t>
      </w:r>
      <w:r w:rsidR="00D727AD" w:rsidRPr="00833CE8">
        <w:rPr>
          <w:rFonts w:cs="Times New Roman"/>
          <w:szCs w:val="24"/>
        </w:rPr>
        <w:t xml:space="preserve">the symbiotic relationship for the carbon fixing process </w:t>
      </w:r>
      <w:r w:rsidR="004524F7" w:rsidRPr="00833CE8">
        <w:rPr>
          <w:rFonts w:cs="Times New Roman"/>
          <w:szCs w:val="24"/>
        </w:rPr>
        <w:fldChar w:fldCharType="begin"/>
      </w:r>
      <w:r w:rsidR="009F150C" w:rsidRPr="00833CE8">
        <w:rPr>
          <w:rFonts w:cs="Times New Roman"/>
          <w:szCs w:val="24"/>
        </w:rPr>
        <w:instrText xml:space="preserve"> ADDIN ZOTERO_ITEM CSL_CITATION {"citationID":"JWz5TMaE","properties":{"formattedCitation":"(Yu et al., 2023)","plainCitation":"(Yu et al., 2023)","noteIndex":0},"citationItems":[{"id":4618,"uris":["http://zotero.org/users/764524/items/95THGYST"],"itemData":{"id":4618,"type":"article-journal","abstract":"Microalgae-bacteria consortia (MBCs) with mutualism have attracted much attention due to their advantages in wastewater treatment, resource recovery and CO2 sequestration. To date, most related studies have focused on the overall functions of MBC in the abovementioned processes. In the MBC reported in the literature, there are mainly three types of bacteria, i.e., 1) bacteria naturally associated with microalgae; 2) bacteria in activated sludge; and 3) bacteria with known identities. However, the effects of different bacterial sources and strains on MBC performance have not been compared. Therefore, this review summarizes the various types of MBC, the relationships between microalgae and bacteria, the effects of different bacteria on growth, pigment and lipid production, pollutant removal, and carbon fixation by MBC. In addition, the remaining research gaps and future perspectives in this field are proposed. This review may act as a guide to the selection of bacteria in establishing more robust MBC and promote their applications in pollution remediation and greenhouse gas reduction.","container-title":"Algal Research","DOI":"10.1016/j.algal.2022.102938","ISSN":"2211-9264","journalAbbreviation":"Algal Res.","page":"102938","source":"ScienceDirect","title":"The roles of bacteria in resource recovery, wastewater treatment and carbon fixation by microalgae-bacteria consortia: A critical review","title-short":"The roles of bacteria in resource recovery, wastewater treatment and carbon fixation by microalgae-bacteria consortia","volume":"69","author":[{"family":"Yu","given":"Qingnan"},{"family":"Pei","given":"Xinyu"},{"family":"Wei","given":"Yanping"},{"family":"Naveed","given":"Sadiq"},{"family":"Wang","given":"Siting"},{"family":"Chang","given":"Mengxuan"},{"family":"Zhang","given":"Chunhua"},{"family":"Ge","given":"Ying"}],"issued":{"date-parts":[["2023",1,1]]}}}],"schema":"https://github.com/citation-style-language/schema/raw/master/csl-citation.json"} </w:instrText>
      </w:r>
      <w:r w:rsidR="004524F7" w:rsidRPr="00833CE8">
        <w:rPr>
          <w:rFonts w:cs="Times New Roman"/>
          <w:szCs w:val="24"/>
        </w:rPr>
        <w:fldChar w:fldCharType="separate"/>
      </w:r>
      <w:r w:rsidR="009F150C" w:rsidRPr="00833CE8">
        <w:rPr>
          <w:rFonts w:cs="Times New Roman"/>
        </w:rPr>
        <w:t>(Yu et al., 2023)</w:t>
      </w:r>
      <w:r w:rsidR="004524F7" w:rsidRPr="00833CE8">
        <w:rPr>
          <w:rFonts w:cs="Times New Roman"/>
          <w:szCs w:val="24"/>
        </w:rPr>
        <w:fldChar w:fldCharType="end"/>
      </w:r>
      <w:r w:rsidR="00D727AD" w:rsidRPr="00833CE8">
        <w:rPr>
          <w:rFonts w:cs="Times New Roman"/>
          <w:szCs w:val="24"/>
        </w:rPr>
        <w:t>.</w:t>
      </w:r>
    </w:p>
    <w:p w14:paraId="45A72AD6" w14:textId="7E84776B" w:rsidR="008D66BC" w:rsidRPr="00E17AAB" w:rsidRDefault="00430D31" w:rsidP="00E17AAB">
      <w:pPr>
        <w:tabs>
          <w:tab w:val="center" w:pos="4822"/>
        </w:tabs>
        <w:snapToGrid w:val="0"/>
        <w:spacing w:line="360" w:lineRule="auto"/>
        <w:ind w:firstLine="284"/>
        <w:jc w:val="both"/>
        <w:rPr>
          <w:rFonts w:cs="Times New Roman"/>
          <w:szCs w:val="24"/>
        </w:rPr>
      </w:pPr>
      <w:r w:rsidRPr="00833CE8">
        <w:rPr>
          <w:rFonts w:cs="Times New Roman"/>
          <w:szCs w:val="24"/>
        </w:rPr>
        <w:t>B</w:t>
      </w:r>
      <w:r w:rsidR="00682691" w:rsidRPr="00833CE8">
        <w:rPr>
          <w:rFonts w:cs="Times New Roman"/>
          <w:szCs w:val="24"/>
        </w:rPr>
        <w:t>acteria that use anaerobic respiration require a sulfur source</w:t>
      </w:r>
      <w:r w:rsidR="00F34EF2" w:rsidRPr="00833CE8">
        <w:rPr>
          <w:rFonts w:cs="Times New Roman"/>
          <w:szCs w:val="24"/>
        </w:rPr>
        <w:t xml:space="preserve"> instead of oxygen, which can be provided by microalgae</w:t>
      </w:r>
      <w:r w:rsidR="00682691" w:rsidRPr="00833CE8">
        <w:rPr>
          <w:rFonts w:cs="Times New Roman"/>
          <w:szCs w:val="24"/>
        </w:rPr>
        <w:t>.  DMSP (</w:t>
      </w:r>
      <w:proofErr w:type="spellStart"/>
      <w:r w:rsidR="00682691" w:rsidRPr="00833CE8">
        <w:rPr>
          <w:rFonts w:cs="Times New Roman"/>
          <w:szCs w:val="24"/>
        </w:rPr>
        <w:t>Dimethylsulfoniopropionate</w:t>
      </w:r>
      <w:proofErr w:type="spellEnd"/>
      <w:r w:rsidR="00682691" w:rsidRPr="00833CE8">
        <w:rPr>
          <w:rFonts w:cs="Times New Roman"/>
          <w:szCs w:val="24"/>
        </w:rPr>
        <w:t xml:space="preserve">) is released from algae </w:t>
      </w:r>
      <w:r w:rsidR="00F34EF2" w:rsidRPr="00833CE8">
        <w:rPr>
          <w:rFonts w:cs="Times New Roman"/>
          <w:szCs w:val="24"/>
        </w:rPr>
        <w:t xml:space="preserve">and used by </w:t>
      </w:r>
      <w:r w:rsidR="00682691" w:rsidRPr="00833CE8">
        <w:rPr>
          <w:rFonts w:cs="Times New Roman"/>
          <w:szCs w:val="24"/>
        </w:rPr>
        <w:t xml:space="preserve">bacteria as a sulfur source </w:t>
      </w:r>
      <w:r w:rsidR="00682691" w:rsidRPr="00833CE8">
        <w:rPr>
          <w:rFonts w:cs="Times New Roman"/>
          <w:szCs w:val="24"/>
        </w:rPr>
        <w:fldChar w:fldCharType="begin"/>
      </w:r>
      <w:r w:rsidR="005522CA" w:rsidRPr="00833CE8">
        <w:rPr>
          <w:rFonts w:cs="Times New Roman"/>
          <w:szCs w:val="24"/>
        </w:rPr>
        <w:instrText xml:space="preserve"> ADDIN ZOTERO_ITEM CSL_CITATION {"citationID":"CG4KW7cs","properties":{"formattedCitation":"(Amin et al., 2015; Kim et al., 2024)","plainCitation":"(Amin et al., 2015; Kim et al., 2024)","noteIndex":0},"citationItems":[{"id":4529,"uris":["http://zotero.org/users/764524/items/8WMS58CS"],"itemData":{"id":4529,"type":"article-journal","abstract":"Molecular characterization of interactions between a globally distributed marine diatom and its bacterial consortium.","container-title":"Nature","DOI":"10.1038/nature14488","ISSN":"1476-4687","issue":"7554","language":"en","license":"2015 Springer Nature Limited","note":"publisher: Nature Publishing Group","page":"98-101","source":"www.nature.com","title":"Interaction and signalling between a cosmopolitan phytoplankton and associated bacteria","volume":"522","author":[{"family":"Amin","given":"S. A."},{"family":"Hmelo","given":"L. R."},{"family":"Tol","given":"H. M.","non-dropping-particle":"van"},{"family":"Durham","given":"B. P."},{"family":"Carlson","given":"L. T."},{"family":"Heal","given":"K. R."},{"family":"Morales","given":"R. L."},{"family":"Berthiaume","given":"C. T."},{"family":"Parker","given":"M. S."},{"family":"Djunaedi","given":"B."},{"family":"Ingalls","given":"A. E."},{"family":"Parsek","given":"M. R."},{"family":"Moran","given":"M. A."},{"family":"Armbrust","given":"E. V."}],"issued":{"date-parts":[["2015",6]]}}},{"id":4533,"uris":["http://zotero.org/users/764524/items/YVRFJFUS"],"itemData":{"id":4533,"type":"article-journal","abstract":"Mutualistic interactions between marine phototrophs and associated bacteria are an important strategy for their successful survival in the ocean, but little is known about their metabolic relationships. Here, bacterial communities in the algal sphere (AS) and bulk solution (BS) of nine marine red algal cultures were analyzed, and Roseibium and Phycisphaera were identified significantly more abundantly in AS than in BS. The metabolic features of Roseibium RMAR6-6 (isolated and genome-sequenced), Phycisphaera MAG 12 (obtained by metagenomic sequencing), and a marine red alga, Porphyridium purpureum CCMP1328 (from GenBank), were analyzed bioinformatically. RMAR6-6 has the genetic capability to fix nitrogen and produce B vitamins (B1, B2, B5, B6, B9, and B12), bacterioferritin, dimethylsulfoniopropionate (DMSP), and phenylacetate that may enhance algal growth, whereas MAG 12 may have a limited metabolic capability, not producing vitamins B9 and B12, DMSP, phenylacetate, and siderophores, but with the ability to produce bacitracin, possibly modulating algal microbiome. P. purpureum CCMP1328 lacks the genetic capability to fix nitrogen and produce vitamin B12, DMSP, phenylacetate, and siderophore. It was shown that the nitrogen-fixing ability of RMAR6-6 promoted the growth of P. purpureum, and DMSP reduced the oxidative stress of P. purpureum. The metabolic interactions between strain RMAR6-6 and P. purpureum CCMP1328 were also investigated by the transcriptomic analyses of their monoculture and co-culture. Taken together, potential metabolic relationships between Roseibium and P. purpureum were proposed. This study provides a better understanding of the metabolic relationships between marine algae and algae-associated bacteria for successful growth.","container-title":"Marine Life Science &amp; Technology","DOI":"10.1007/s42995-024-00227-z","ISSN":"2662-1746","issue":"2","journalAbbreviation":"Mar. Life Sci. Technol.","language":"en","page":"298-314","source":"Springer Link","title":"Metabolic relationships between marine red algae and algae-associated bacteria","volume":"6","author":[{"family":"Kim","given":"Kyung Hyun"},{"family":"Kim","given":"Jeong Min"},{"family":"Baek","given":"Ju Hye"},{"family":"Jeong","given":"Sang Eun"},{"family":"Kim","given":"Hocheol"},{"family":"Yoon","given":"Hwan Su"},{"family":"Jeon","given":"Che Ok"}],"issued":{"date-parts":[["2024",5,1]]}}}],"schema":"https://github.com/citation-style-language/schema/raw/master/csl-citation.json"} </w:instrText>
      </w:r>
      <w:r w:rsidR="00682691" w:rsidRPr="00833CE8">
        <w:rPr>
          <w:rFonts w:cs="Times New Roman"/>
          <w:szCs w:val="24"/>
        </w:rPr>
        <w:fldChar w:fldCharType="separate"/>
      </w:r>
      <w:r w:rsidR="009F150C" w:rsidRPr="00833CE8">
        <w:rPr>
          <w:rFonts w:cs="Times New Roman"/>
        </w:rPr>
        <w:t>(Amin et al., 2015; Kim et al., 2024)</w:t>
      </w:r>
      <w:r w:rsidR="00682691" w:rsidRPr="00833CE8">
        <w:rPr>
          <w:rFonts w:cs="Times New Roman"/>
          <w:szCs w:val="24"/>
        </w:rPr>
        <w:fldChar w:fldCharType="end"/>
      </w:r>
      <w:r w:rsidR="00682691" w:rsidRPr="00833CE8">
        <w:rPr>
          <w:rFonts w:cs="Times New Roman"/>
          <w:szCs w:val="24"/>
        </w:rPr>
        <w:t>.</w:t>
      </w:r>
      <w:r w:rsidR="00A35F37" w:rsidRPr="00833CE8">
        <w:rPr>
          <w:rFonts w:cs="Times New Roman"/>
          <w:szCs w:val="24"/>
        </w:rPr>
        <w:t xml:space="preserve">  </w:t>
      </w:r>
      <w:r w:rsidR="008A7946" w:rsidRPr="00833CE8">
        <w:rPr>
          <w:rFonts w:cs="Times New Roman"/>
          <w:szCs w:val="24"/>
        </w:rPr>
        <w:t>Algae t</w:t>
      </w:r>
      <w:r w:rsidR="00A35F37" w:rsidRPr="00833CE8">
        <w:rPr>
          <w:rFonts w:cs="Times New Roman"/>
          <w:szCs w:val="24"/>
        </w:rPr>
        <w:t>ake up sulfate,</w:t>
      </w:r>
      <w:r w:rsidR="008A7946" w:rsidRPr="00833CE8">
        <w:rPr>
          <w:rFonts w:cs="Times New Roman"/>
          <w:szCs w:val="24"/>
        </w:rPr>
        <w:t xml:space="preserve"> use it for the </w:t>
      </w:r>
      <w:r w:rsidR="00A35F37" w:rsidRPr="00833CE8">
        <w:rPr>
          <w:rFonts w:cs="Times New Roman"/>
          <w:szCs w:val="24"/>
        </w:rPr>
        <w:t>sulfur</w:t>
      </w:r>
      <w:r w:rsidR="008A7946" w:rsidRPr="00833CE8">
        <w:rPr>
          <w:rFonts w:cs="Times New Roman"/>
          <w:szCs w:val="24"/>
        </w:rPr>
        <w:t>-</w:t>
      </w:r>
      <w:r w:rsidR="00A35F37" w:rsidRPr="00833CE8">
        <w:rPr>
          <w:rFonts w:cs="Times New Roman"/>
          <w:szCs w:val="24"/>
        </w:rPr>
        <w:t xml:space="preserve">containing amino acids methionine and cysteine, and release DSMP as a byproduct, </w:t>
      </w:r>
      <w:r w:rsidR="008A7946" w:rsidRPr="00833CE8">
        <w:rPr>
          <w:rFonts w:cs="Times New Roman"/>
          <w:szCs w:val="24"/>
        </w:rPr>
        <w:t xml:space="preserve">which is then </w:t>
      </w:r>
      <w:r w:rsidR="00A35F37" w:rsidRPr="00833CE8">
        <w:rPr>
          <w:rFonts w:cs="Times New Roman"/>
          <w:szCs w:val="24"/>
        </w:rPr>
        <w:t>broken down into DMS (dimethylsulfide) by bacteria.</w:t>
      </w:r>
      <w:r w:rsidR="009447F9" w:rsidRPr="00833CE8">
        <w:rPr>
          <w:rFonts w:cs="Times New Roman"/>
          <w:szCs w:val="24"/>
        </w:rPr>
        <w:t xml:space="preserve">  In algae, DMSP </w:t>
      </w:r>
      <w:r w:rsidR="008A7946" w:rsidRPr="00833CE8">
        <w:rPr>
          <w:rFonts w:cs="Times New Roman"/>
          <w:szCs w:val="24"/>
        </w:rPr>
        <w:t xml:space="preserve">is localized to </w:t>
      </w:r>
      <w:r w:rsidR="009447F9" w:rsidRPr="00833CE8">
        <w:rPr>
          <w:rFonts w:cs="Times New Roman"/>
          <w:szCs w:val="24"/>
        </w:rPr>
        <w:t>the cytoplasm, vacuoles, and chloroplasts</w:t>
      </w:r>
      <w:r w:rsidR="00682691" w:rsidRPr="00833CE8">
        <w:rPr>
          <w:rFonts w:cs="Times New Roman"/>
          <w:szCs w:val="24"/>
        </w:rPr>
        <w:t xml:space="preserve"> </w:t>
      </w:r>
      <w:r w:rsidR="0093071C" w:rsidRPr="00833CE8">
        <w:rPr>
          <w:rFonts w:cs="Times New Roman"/>
          <w:szCs w:val="24"/>
        </w:rPr>
        <w:t xml:space="preserve">and </w:t>
      </w:r>
      <w:r w:rsidR="008A7946" w:rsidRPr="00833CE8">
        <w:rPr>
          <w:rFonts w:cs="Times New Roman"/>
          <w:szCs w:val="24"/>
        </w:rPr>
        <w:t xml:space="preserve">can be </w:t>
      </w:r>
      <w:r w:rsidR="0093071C" w:rsidRPr="00833CE8">
        <w:rPr>
          <w:rFonts w:cs="Times New Roman"/>
          <w:szCs w:val="24"/>
        </w:rPr>
        <w:t xml:space="preserve">used as protection from oxidative stress </w:t>
      </w:r>
      <w:r w:rsidR="008A7946" w:rsidRPr="00833CE8">
        <w:rPr>
          <w:rFonts w:cs="Times New Roman"/>
          <w:szCs w:val="24"/>
        </w:rPr>
        <w:t xml:space="preserve">by scavenging </w:t>
      </w:r>
      <w:r w:rsidR="001E1E11" w:rsidRPr="001E1E11">
        <w:rPr>
          <w:rFonts w:cs="Times New Roman"/>
          <w:color w:val="FF0000"/>
          <w:szCs w:val="24"/>
        </w:rPr>
        <w:t>hydroxyl</w:t>
      </w:r>
      <w:r w:rsidR="0093071C" w:rsidRPr="001E1E11">
        <w:rPr>
          <w:rFonts w:cs="Times New Roman"/>
          <w:color w:val="FF0000"/>
          <w:szCs w:val="24"/>
        </w:rPr>
        <w:t xml:space="preserve"> radicals</w:t>
      </w:r>
      <w:r w:rsidR="001E1E11" w:rsidRPr="001E1E11">
        <w:rPr>
          <w:rFonts w:cs="Times New Roman"/>
          <w:color w:val="FF0000"/>
          <w:szCs w:val="24"/>
        </w:rPr>
        <w:t xml:space="preserve"> (•</w:t>
      </w:r>
      <w:r w:rsidR="001E1E11" w:rsidRPr="006432C8">
        <w:rPr>
          <w:rFonts w:cs="Times New Roman"/>
          <w:color w:val="FF0000"/>
          <w:szCs w:val="24"/>
        </w:rPr>
        <w:t>OH</w:t>
      </w:r>
      <w:r w:rsidR="001E1E11">
        <w:rPr>
          <w:rFonts w:cs="Times New Roman"/>
          <w:color w:val="FF0000"/>
          <w:szCs w:val="24"/>
        </w:rPr>
        <w:t>)</w:t>
      </w:r>
      <w:r w:rsidR="008A7946" w:rsidRPr="00833CE8">
        <w:rPr>
          <w:rFonts w:cs="Times New Roman"/>
          <w:szCs w:val="24"/>
        </w:rPr>
        <w:t>,</w:t>
      </w:r>
      <w:r w:rsidR="0093071C" w:rsidRPr="00833CE8">
        <w:rPr>
          <w:rFonts w:cs="Times New Roman"/>
          <w:szCs w:val="24"/>
        </w:rPr>
        <w:t xml:space="preserve"> and </w:t>
      </w:r>
      <w:r w:rsidR="003E581C">
        <w:rPr>
          <w:rFonts w:cs="Times New Roman"/>
          <w:szCs w:val="24"/>
        </w:rPr>
        <w:t xml:space="preserve">from </w:t>
      </w:r>
      <w:r w:rsidR="0093071C" w:rsidRPr="00833CE8">
        <w:rPr>
          <w:rFonts w:cs="Times New Roman"/>
          <w:szCs w:val="24"/>
        </w:rPr>
        <w:t>osmotic stress</w:t>
      </w:r>
      <w:r w:rsidR="00682691" w:rsidRPr="00833CE8">
        <w:rPr>
          <w:rFonts w:cs="Times New Roman"/>
          <w:szCs w:val="24"/>
        </w:rPr>
        <w:t xml:space="preserve"> </w:t>
      </w:r>
      <w:r w:rsidR="00A35F37" w:rsidRPr="00833CE8">
        <w:rPr>
          <w:rFonts w:cs="Times New Roman"/>
          <w:szCs w:val="24"/>
        </w:rPr>
        <w:fldChar w:fldCharType="begin"/>
      </w:r>
      <w:r w:rsidR="00A35F37" w:rsidRPr="00833CE8">
        <w:rPr>
          <w:rFonts w:cs="Times New Roman"/>
          <w:szCs w:val="24"/>
        </w:rPr>
        <w:instrText xml:space="preserve"> ADDIN ZOTERO_ITEM CSL_CITATION {"citationID":"3du7vZhe","properties":{"formattedCitation":"(Raina et al., 2017)","plainCitation":"(Raina et al., 2017)","noteIndex":0},"citationItems":[{"id":9329,"uris":["http://zotero.org/users/764524/items/INFLVFMX"],"itemData":{"id":9329,"type":"article-journal","abstract":"Phytoplankton-bacteria interactions drive the surface ocean sulfur cycle and local climatic processes through the production and exchange of a key compound: dimethylsulfoniopropionate (DMSP). Despite their large-scale implications, these interactions remain unquantified at the cellular-scale. Here we use secondary-ion mass spectrometry to provide the first visualization of DMSP at sub-cellular levels, tracking the fate of a stable sulfur isotope (34S) from its incorporation by microalgae as inorganic sulfate to its biosynthesis and exudation as DMSP, and finally its uptake and degradation by bacteria. Our results identify for the first time the storage locations of DMSP in microalgae, with high enrichments present in vacuoles, cytoplasm and chloroplasts. In addition, we quantify DMSP incorporation at the single-cell level, with DMSP-degrading bacteria containing seven times more 34S than the control strain. This study provides an unprecedented methodology to label, retain, and image small diffusible molecules, which can be transposable to other symbiotic systems.","container-title":"eLife","DOI":"10.7554/eLife.23008","ISSN":"2050-084X","note":"publisher: eLife Sciences Publications, Ltd","page":"e23008","source":"eLife","title":"Subcellular tracking reveals the location of dimethylsulfoniopropionate in microalgae and visualises its uptake by marine bacteria","volume":"6","author":[{"family":"Raina","given":"Jean-Baptiste"},{"family":"Clode","given":"Peta L"},{"family":"Cheong","given":"Soshan"},{"family":"Bougoure","given":"Jeremy"},{"family":"Kilburn","given":"Matt R"},{"family":"Reeder","given":"Anthony"},{"family":"Forêt","given":"Sylvain"},{"family":"Stat","given":"Michael"},{"family":"Beltran","given":"Victor"},{"family":"Thomas-Hall","given":"Peter"},{"family":"Tapiolas","given":"Dianne"},{"family":"Motti","given":"Cherie M"},{"family":"Gong","given":"Bill"},{"family":"Pernice","given":"Mathieu"},{"family":"Marjo","given":"Christopher E"},{"family":"Seymour","given":"Justin R"},{"family":"Willis","given":"Bette L"},{"family":"Bourne","given":"David G"}],"editor":[{"family":"Falkowski","given":"Paul G"}],"issued":{"date-parts":[["2017",4,4]]}}}],"schema":"https://github.com/citation-style-language/schema/raw/master/csl-citation.json"} </w:instrText>
      </w:r>
      <w:r w:rsidR="00A35F37" w:rsidRPr="00833CE8">
        <w:rPr>
          <w:rFonts w:cs="Times New Roman"/>
          <w:szCs w:val="24"/>
        </w:rPr>
        <w:fldChar w:fldCharType="separate"/>
      </w:r>
      <w:r w:rsidR="00A35F37" w:rsidRPr="00833CE8">
        <w:rPr>
          <w:rFonts w:cs="Times New Roman"/>
        </w:rPr>
        <w:t>(Raina et al., 2017)</w:t>
      </w:r>
      <w:r w:rsidR="00A35F37" w:rsidRPr="00833CE8">
        <w:rPr>
          <w:rFonts w:cs="Times New Roman"/>
          <w:szCs w:val="24"/>
        </w:rPr>
        <w:fldChar w:fldCharType="end"/>
      </w:r>
      <w:r w:rsidR="008A7946" w:rsidRPr="00833CE8">
        <w:rPr>
          <w:rFonts w:cs="Times New Roman"/>
          <w:szCs w:val="24"/>
        </w:rPr>
        <w:t xml:space="preserve">.  </w:t>
      </w:r>
      <w:r w:rsidR="00A35F37" w:rsidRPr="00833CE8">
        <w:t>T</w:t>
      </w:r>
      <w:r w:rsidR="00A84BD3" w:rsidRPr="00833CE8">
        <w:t xml:space="preserve">he marine bacterium </w:t>
      </w:r>
      <w:proofErr w:type="spellStart"/>
      <w:r w:rsidR="00A84BD3" w:rsidRPr="00833CE8">
        <w:rPr>
          <w:i/>
          <w:iCs/>
        </w:rPr>
        <w:t>Roseibium</w:t>
      </w:r>
      <w:proofErr w:type="spellEnd"/>
      <w:r w:rsidR="00A84BD3" w:rsidRPr="00833CE8">
        <w:t xml:space="preserve"> RMAR6-6 </w:t>
      </w:r>
      <w:r w:rsidR="00A84BD3" w:rsidRPr="00833CE8">
        <w:rPr>
          <w:rFonts w:cs="Times New Roman"/>
          <w:szCs w:val="24"/>
        </w:rPr>
        <w:t xml:space="preserve"> can produce DMSP, and has been shown in co-cultures with the </w:t>
      </w:r>
      <w:r w:rsidR="00A84BD3" w:rsidRPr="00833CE8">
        <w:t>microalgae</w:t>
      </w:r>
      <w:r w:rsidR="00A84BD3" w:rsidRPr="00833CE8">
        <w:rPr>
          <w:i/>
          <w:iCs/>
        </w:rPr>
        <w:t xml:space="preserve"> </w:t>
      </w:r>
      <w:proofErr w:type="spellStart"/>
      <w:r w:rsidR="00A84BD3" w:rsidRPr="00833CE8">
        <w:rPr>
          <w:i/>
          <w:iCs/>
        </w:rPr>
        <w:t>Porphyridium</w:t>
      </w:r>
      <w:proofErr w:type="spellEnd"/>
      <w:r w:rsidR="00A84BD3" w:rsidRPr="00833CE8">
        <w:rPr>
          <w:i/>
          <w:iCs/>
        </w:rPr>
        <w:t xml:space="preserve"> purpureum </w:t>
      </w:r>
      <w:r w:rsidR="00A84BD3" w:rsidRPr="00833CE8">
        <w:rPr>
          <w:rFonts w:cs="Times New Roman"/>
          <w:szCs w:val="24"/>
        </w:rPr>
        <w:t xml:space="preserve">to upregulate genes </w:t>
      </w:r>
      <w:r w:rsidR="00A84BD3" w:rsidRPr="00833CE8">
        <w:t>associated with response to oxidative stress</w:t>
      </w:r>
      <w:r w:rsidR="00A84BD3" w:rsidRPr="00833CE8">
        <w:rPr>
          <w:i/>
          <w:iCs/>
        </w:rPr>
        <w:t xml:space="preserve"> </w:t>
      </w:r>
      <w:r w:rsidR="0004358F" w:rsidRPr="00833CE8">
        <w:rPr>
          <w:rFonts w:cs="Times New Roman"/>
          <w:szCs w:val="24"/>
        </w:rPr>
        <w:t xml:space="preserve"> </w:t>
      </w:r>
      <w:r w:rsidR="00A84BD3" w:rsidRPr="00833CE8">
        <w:rPr>
          <w:rFonts w:cs="Times New Roman"/>
          <w:szCs w:val="24"/>
        </w:rPr>
        <w:fldChar w:fldCharType="begin"/>
      </w:r>
      <w:r w:rsidR="00A84BD3" w:rsidRPr="00833CE8">
        <w:rPr>
          <w:rFonts w:cs="Times New Roman"/>
          <w:szCs w:val="24"/>
        </w:rPr>
        <w:instrText xml:space="preserve"> ADDIN ZOTERO_ITEM CSL_CITATION {"citationID":"iEEC6A7E","properties":{"formattedCitation":"(Kim et al., 2024)","plainCitation":"(Kim et al., 2024)","noteIndex":0},"citationItems":[{"id":4533,"uris":["http://zotero.org/users/764524/items/YVRFJFUS"],"itemData":{"id":4533,"type":"article-journal","abstract":"Mutualistic interactions between marine phototrophs and associated bacteria are an important strategy for their successful survival in the ocean, but little is known about their metabolic relationships. Here, bacterial communities in the algal sphere (AS) and bulk solution (BS) of nine marine red algal cultures were analyzed, and Roseibium and Phycisphaera were identified significantly more abundantly in AS than in BS. The metabolic features of Roseibium RMAR6-6 (isolated and genome-sequenced), Phycisphaera MAG 12 (obtained by metagenomic sequencing), and a marine red alga, Porphyridium purpureum CCMP1328 (from GenBank), were analyzed bioinformatically. RMAR6-6 has the genetic capability to fix nitrogen and produce B vitamins (B1, B2, B5, B6, B9, and B12), bacterioferritin, dimethylsulfoniopropionate (DMSP), and phenylacetate that may enhance algal growth, whereas MAG 12 may have a limited metabolic capability, not producing vitamins B9 and B12, DMSP, phenylacetate, and siderophores, but with the ability to produce bacitracin, possibly modulating algal microbiome. P. purpureum CCMP1328 lacks the genetic capability to fix nitrogen and produce vitamin B12, DMSP, phenylacetate, and siderophore. It was shown that the nitrogen-fixing ability of RMAR6-6 promoted the growth of P. purpureum, and DMSP reduced the oxidative stress of P. purpureum. The metabolic interactions between strain RMAR6-6 and P. purpureum CCMP1328 were also investigated by the transcriptomic analyses of their monoculture and co-culture. Taken together, potential metabolic relationships between Roseibium and P. purpureum were proposed. This study provides a better understanding of the metabolic relationships between marine algae and algae-associated bacteria for successful growth.","container-title":"Marine Life Science &amp; Technology","DOI":"10.1007/s42995-024-00227-z","ISSN":"2662-1746","issue":"2","journalAbbreviation":"Mar. Life Sci. Technol.","language":"en","page":"298-314","source":"Springer Link","title":"Metabolic relationships between marine red algae and algae-associated bacteria","volume":"6","author":[{"family":"Kim","given":"Kyung Hyun"},{"family":"Kim","given":"Jeong Min"},{"family":"Baek","given":"Ju Hye"},{"family":"Jeong","given":"Sang Eun"},{"family":"Kim","given":"Hocheol"},{"family":"Yoon","given":"Hwan Su"},{"family":"Jeon","given":"Che Ok"}],"issued":{"date-parts":[["2024",5,1]]}}}],"schema":"https://github.com/citation-style-language/schema/raw/master/csl-citation.json"} </w:instrText>
      </w:r>
      <w:r w:rsidR="00A84BD3" w:rsidRPr="00833CE8">
        <w:rPr>
          <w:rFonts w:cs="Times New Roman"/>
          <w:szCs w:val="24"/>
        </w:rPr>
        <w:fldChar w:fldCharType="separate"/>
      </w:r>
      <w:r w:rsidR="00A84BD3" w:rsidRPr="00833CE8">
        <w:rPr>
          <w:rFonts w:cs="Times New Roman"/>
        </w:rPr>
        <w:t>(Kim et al., 2024)</w:t>
      </w:r>
      <w:r w:rsidR="00A84BD3" w:rsidRPr="00833CE8">
        <w:rPr>
          <w:rFonts w:cs="Times New Roman"/>
          <w:szCs w:val="24"/>
        </w:rPr>
        <w:fldChar w:fldCharType="end"/>
      </w:r>
      <w:r w:rsidR="00A84BD3" w:rsidRPr="00833CE8">
        <w:rPr>
          <w:rFonts w:cs="Times New Roman"/>
          <w:szCs w:val="24"/>
        </w:rPr>
        <w:t xml:space="preserve">.  </w:t>
      </w:r>
      <w:r w:rsidR="00F34EF2" w:rsidRPr="00833CE8">
        <w:rPr>
          <w:rFonts w:cs="Times New Roman"/>
          <w:szCs w:val="24"/>
        </w:rPr>
        <w:t>A pathway that is less described has been shown to use</w:t>
      </w:r>
      <w:r w:rsidR="00F34EF2" w:rsidRPr="00833CE8">
        <w:rPr>
          <w:rFonts w:cs="Times New Roman"/>
          <w:b/>
          <w:bCs/>
          <w:szCs w:val="24"/>
        </w:rPr>
        <w:t xml:space="preserve"> </w:t>
      </w:r>
      <w:proofErr w:type="spellStart"/>
      <w:r w:rsidR="0070392F" w:rsidRPr="00833CE8">
        <w:rPr>
          <w:rFonts w:cs="Times New Roman"/>
          <w:szCs w:val="24"/>
        </w:rPr>
        <w:t>d</w:t>
      </w:r>
      <w:r w:rsidR="00682691" w:rsidRPr="00833CE8">
        <w:rPr>
          <w:rFonts w:cs="Times New Roman"/>
          <w:szCs w:val="24"/>
        </w:rPr>
        <w:t>imethylsulfoxonium</w:t>
      </w:r>
      <w:proofErr w:type="spellEnd"/>
      <w:r w:rsidR="00682691" w:rsidRPr="00833CE8">
        <w:rPr>
          <w:rFonts w:cs="Times New Roman"/>
          <w:szCs w:val="24"/>
        </w:rPr>
        <w:t xml:space="preserve"> propionate</w:t>
      </w:r>
      <w:r w:rsidR="00855BB9" w:rsidRPr="00833CE8">
        <w:rPr>
          <w:rFonts w:cs="Times New Roman"/>
          <w:szCs w:val="24"/>
        </w:rPr>
        <w:t xml:space="preserve"> (DMSOP)</w:t>
      </w:r>
      <w:r w:rsidR="00682691" w:rsidRPr="00833CE8">
        <w:rPr>
          <w:rFonts w:cs="Times New Roman"/>
          <w:szCs w:val="24"/>
        </w:rPr>
        <w:t xml:space="preserve"> </w:t>
      </w:r>
      <w:r w:rsidR="00F34EF2" w:rsidRPr="00833CE8">
        <w:rPr>
          <w:rFonts w:cs="Times New Roman"/>
          <w:szCs w:val="24"/>
        </w:rPr>
        <w:t xml:space="preserve">as a precursor for </w:t>
      </w:r>
      <w:r w:rsidR="00682691" w:rsidRPr="00833CE8">
        <w:rPr>
          <w:rFonts w:cs="Times New Roman"/>
          <w:szCs w:val="24"/>
        </w:rPr>
        <w:t>DMSO</w:t>
      </w:r>
      <w:r w:rsidR="00F34EF2" w:rsidRPr="00833CE8">
        <w:rPr>
          <w:rFonts w:cs="Times New Roman"/>
          <w:szCs w:val="24"/>
        </w:rPr>
        <w:t>.</w:t>
      </w:r>
      <w:r w:rsidR="00682691" w:rsidRPr="00833CE8">
        <w:rPr>
          <w:rFonts w:cs="Times New Roman"/>
          <w:szCs w:val="24"/>
        </w:rPr>
        <w:t xml:space="preserve"> </w:t>
      </w:r>
      <w:r w:rsidR="001E18A7" w:rsidRPr="00833CE8">
        <w:rPr>
          <w:rFonts w:cs="Times New Roman"/>
          <w:szCs w:val="24"/>
        </w:rPr>
        <w:t xml:space="preserve"> This pathway relies on DMSOP </w:t>
      </w:r>
      <w:r w:rsidR="00F34EF2" w:rsidRPr="00833CE8">
        <w:rPr>
          <w:rFonts w:cs="Times New Roman"/>
          <w:szCs w:val="24"/>
        </w:rPr>
        <w:t xml:space="preserve">released from algae, </w:t>
      </w:r>
      <w:r w:rsidR="001E18A7" w:rsidRPr="00833CE8">
        <w:rPr>
          <w:rFonts w:cs="Times New Roman"/>
          <w:szCs w:val="24"/>
        </w:rPr>
        <w:t xml:space="preserve">which is then </w:t>
      </w:r>
      <w:r w:rsidR="00F34EF2" w:rsidRPr="00833CE8">
        <w:rPr>
          <w:rFonts w:cs="Times New Roman"/>
          <w:szCs w:val="24"/>
        </w:rPr>
        <w:t>metabolised by bacteria</w:t>
      </w:r>
      <w:r w:rsidR="001E18A7" w:rsidRPr="00833CE8">
        <w:rPr>
          <w:rFonts w:cs="Times New Roman"/>
          <w:szCs w:val="24"/>
        </w:rPr>
        <w:t xml:space="preserve"> into DMSP</w:t>
      </w:r>
      <w:r w:rsidR="0004358F" w:rsidRPr="00833CE8">
        <w:rPr>
          <w:rFonts w:cs="Times New Roman"/>
          <w:szCs w:val="24"/>
        </w:rPr>
        <w:t xml:space="preserve"> </w:t>
      </w:r>
      <w:r w:rsidR="00A84BD3" w:rsidRPr="00833CE8">
        <w:rPr>
          <w:rFonts w:cs="Times New Roman"/>
          <w:szCs w:val="24"/>
        </w:rPr>
        <w:fldChar w:fldCharType="begin"/>
      </w:r>
      <w:r w:rsidR="00A84BD3" w:rsidRPr="00833CE8">
        <w:rPr>
          <w:rFonts w:cs="Times New Roman"/>
          <w:szCs w:val="24"/>
        </w:rPr>
        <w:instrText xml:space="preserve"> ADDIN ZOTERO_ITEM CSL_CITATION {"citationID":"FnQUhkEX","properties":{"formattedCitation":"(Amin et al., 2015)","plainCitation":"(Amin et al., 2015)","noteIndex":0},"citationItems":[{"id":4529,"uris":["http://zotero.org/users/764524/items/8WMS58CS"],"itemData":{"id":4529,"type":"article-journal","abstract":"Molecular characterization of interactions between a globally distributed marine diatom and its bacterial consortium.","container-title":"Nature","DOI":"10.1038/nature14488","ISSN":"1476-4687","issue":"7554","language":"en","license":"2015 Springer Nature Limited","note":"publisher: Nature Publishing Group","page":"98-101","source":"www.nature.com","title":"Interaction and signalling between a cosmopolitan phytoplankton and associated bacteria","volume":"522","author":[{"family":"Amin","given":"S. A."},{"family":"Hmelo","given":"L. R."},{"family":"Tol","given":"H. M.","non-dropping-particle":"van"},{"family":"Durham","given":"B. P."},{"family":"Carlson","given":"L. T."},{"family":"Heal","given":"K. R."},{"family":"Morales","given":"R. L."},{"family":"Berthiaume","given":"C. T."},{"family":"Parker","given":"M. S."},{"family":"Djunaedi","given":"B."},{"family":"Ingalls","given":"A. E."},{"family":"Parsek","given":"M. R."},{"family":"Moran","given":"M. A."},{"family":"Armbrust","given":"E. V."}],"issued":{"date-parts":[["2015",6]]}}}],"schema":"https://github.com/citation-style-language/schema/raw/master/csl-citation.json"} </w:instrText>
      </w:r>
      <w:r w:rsidR="00A84BD3" w:rsidRPr="00833CE8">
        <w:rPr>
          <w:rFonts w:cs="Times New Roman"/>
          <w:szCs w:val="24"/>
        </w:rPr>
        <w:fldChar w:fldCharType="separate"/>
      </w:r>
      <w:r w:rsidR="00A84BD3" w:rsidRPr="00833CE8">
        <w:rPr>
          <w:rFonts w:cs="Times New Roman"/>
        </w:rPr>
        <w:t>(Amin et al., 2015)</w:t>
      </w:r>
      <w:r w:rsidR="00A84BD3" w:rsidRPr="00833CE8">
        <w:rPr>
          <w:rFonts w:cs="Times New Roman"/>
          <w:szCs w:val="24"/>
        </w:rPr>
        <w:fldChar w:fldCharType="end"/>
      </w:r>
    </w:p>
    <w:p w14:paraId="47DBE69B" w14:textId="654DED91" w:rsidR="00944D28" w:rsidRPr="00833CE8" w:rsidRDefault="0049176A" w:rsidP="00C31A9C">
      <w:pPr>
        <w:snapToGrid w:val="0"/>
        <w:spacing w:line="360" w:lineRule="auto"/>
        <w:ind w:firstLine="284"/>
        <w:jc w:val="both"/>
        <w:rPr>
          <w:rFonts w:cs="Times New Roman"/>
          <w:szCs w:val="24"/>
        </w:rPr>
      </w:pPr>
      <w:r w:rsidRPr="00833CE8">
        <w:rPr>
          <w:rFonts w:cs="Times New Roman"/>
          <w:szCs w:val="24"/>
        </w:rPr>
        <w:t xml:space="preserve">It should be noted that </w:t>
      </w:r>
      <w:r w:rsidR="00FD75FB" w:rsidRPr="00FD75FB">
        <w:rPr>
          <w:rFonts w:cs="Times New Roman"/>
          <w:color w:val="FF0000"/>
          <w:szCs w:val="24"/>
        </w:rPr>
        <w:t xml:space="preserve">nutrient </w:t>
      </w:r>
      <w:r w:rsidR="00FD75FB" w:rsidRPr="008638BE">
        <w:rPr>
          <w:rFonts w:cs="Times New Roman"/>
          <w:color w:val="FF0000"/>
          <w:szCs w:val="24"/>
        </w:rPr>
        <w:t>exchange</w:t>
      </w:r>
      <w:r w:rsidRPr="008638BE">
        <w:rPr>
          <w:rFonts w:cs="Times New Roman"/>
          <w:color w:val="FF0000"/>
          <w:szCs w:val="24"/>
        </w:rPr>
        <w:t xml:space="preserve"> interactions are not static</w:t>
      </w:r>
      <w:r w:rsidR="008638BE" w:rsidRPr="008638BE">
        <w:rPr>
          <w:rFonts w:cs="Times New Roman"/>
          <w:color w:val="FF0000"/>
          <w:szCs w:val="24"/>
        </w:rPr>
        <w:t xml:space="preserve"> but dynamic</w:t>
      </w:r>
      <w:r w:rsidRPr="00833CE8">
        <w:rPr>
          <w:rFonts w:cs="Times New Roman"/>
          <w:szCs w:val="24"/>
        </w:rPr>
        <w:t>, even between individual bacterial and microalgal species, and react to changes based on environmental and developmental factors</w:t>
      </w:r>
      <w:r w:rsidR="001270C6" w:rsidRPr="00833CE8">
        <w:rPr>
          <w:rFonts w:cs="Times New Roman"/>
          <w:szCs w:val="24"/>
        </w:rPr>
        <w:t xml:space="preserve"> </w:t>
      </w:r>
      <w:r w:rsidRPr="00833CE8">
        <w:rPr>
          <w:rFonts w:cs="Times New Roman"/>
          <w:szCs w:val="24"/>
        </w:rPr>
        <w:fldChar w:fldCharType="begin"/>
      </w:r>
      <w:r w:rsidR="009F150C" w:rsidRPr="00833CE8">
        <w:rPr>
          <w:rFonts w:cs="Times New Roman"/>
          <w:szCs w:val="24"/>
        </w:rPr>
        <w:instrText xml:space="preserve"> ADDIN ZOTERO_ITEM CSL_CITATION {"citationID":"bGpw4Mb1","properties":{"formattedCitation":"(Cooper and Smith, 2015)","plainCitation":"(Cooper and Smith, 2015)","noteIndex":0},"citationItems":[{"id":4353,"uris":["http://zotero.org/users/764524/items/5CSC6E49"],"itemData":{"id":4353,"type":"article-journal","abstract":"Microalgae undertake a wide range of mutualistic interactions with bacteria. Here we consider how transcriptomic, metagenomic and metabolomic approaches have been combined with microbiological and biochemical analyses to expand our understanding of algal–bacterial interactions. Identification of the major bacterial species associated with algae indicates that specific bacterial groups, particularly the alpha-Proteobacteria, are found more frequently, suggesting that these may have the means to initiate and maintain symbiotic relationships. Nutrient exchange is frequently the basis of algal–bacterial mutualism, and as the compounds involved are characterised, evidence is accumulating that these are complex and specific molecules, offering opportunities for signalling processes and regulation rather than merely passive diffusion. At the same time, it is clear that the interactions are not static, but can be initiated and broken in response to environmental and developmental cues.","container-title":"Current Opinion in Plant Biology","DOI":"10.1016/j.pbi.2015.07.003","ISSN":"1369-5266","journalAbbreviation":"Curr. Opin. Plant Biol.","page":"147-153","source":"ScienceDirect","title":"Exploring mutualistic interactions between microalgae and bacteria in the omics age","volume":"26","author":[{"family":"Cooper","given":"Matthew B"},{"family":"Smith","given":"Alison G"}],"issued":{"date-parts":[["2015",8,1]]}}}],"schema":"https://github.com/citation-style-language/schema/raw/master/csl-citation.json"} </w:instrText>
      </w:r>
      <w:r w:rsidRPr="00833CE8">
        <w:rPr>
          <w:rFonts w:cs="Times New Roman"/>
          <w:szCs w:val="24"/>
        </w:rPr>
        <w:fldChar w:fldCharType="separate"/>
      </w:r>
      <w:r w:rsidR="009F150C" w:rsidRPr="00833CE8">
        <w:rPr>
          <w:rFonts w:cs="Times New Roman"/>
        </w:rPr>
        <w:t>(Cooper and Smith, 2015)</w:t>
      </w:r>
      <w:r w:rsidRPr="00833CE8">
        <w:rPr>
          <w:rFonts w:cs="Times New Roman"/>
          <w:szCs w:val="24"/>
        </w:rPr>
        <w:fldChar w:fldCharType="end"/>
      </w:r>
      <w:r w:rsidRPr="00833CE8">
        <w:rPr>
          <w:rFonts w:cs="Times New Roman"/>
          <w:szCs w:val="24"/>
        </w:rPr>
        <w:t xml:space="preserve">.  For example, attached bacteria in biofilms </w:t>
      </w:r>
      <w:r w:rsidR="00D12195" w:rsidRPr="00833CE8">
        <w:rPr>
          <w:rFonts w:cs="Times New Roman"/>
          <w:szCs w:val="24"/>
        </w:rPr>
        <w:t xml:space="preserve">were shown to </w:t>
      </w:r>
      <w:r w:rsidRPr="00833CE8">
        <w:rPr>
          <w:rFonts w:cs="Times New Roman"/>
          <w:szCs w:val="24"/>
        </w:rPr>
        <w:t>differ from planktonic bacteria in their response to excess nitrogen</w:t>
      </w:r>
      <w:r w:rsidR="00ED3FDC" w:rsidRPr="00833CE8">
        <w:rPr>
          <w:rFonts w:cs="Times New Roman"/>
          <w:szCs w:val="24"/>
        </w:rPr>
        <w:t xml:space="preserve"> (N)</w:t>
      </w:r>
      <w:r w:rsidRPr="00833CE8">
        <w:rPr>
          <w:rFonts w:cs="Times New Roman"/>
          <w:szCs w:val="24"/>
        </w:rPr>
        <w:t>, phosphorous</w:t>
      </w:r>
      <w:r w:rsidR="00ED3FDC" w:rsidRPr="00833CE8">
        <w:rPr>
          <w:rFonts w:cs="Times New Roman"/>
          <w:szCs w:val="24"/>
        </w:rPr>
        <w:t xml:space="preserve"> (N)</w:t>
      </w:r>
      <w:r w:rsidRPr="00833CE8">
        <w:rPr>
          <w:rFonts w:cs="Times New Roman"/>
          <w:szCs w:val="24"/>
        </w:rPr>
        <w:t xml:space="preserve">, or carbon </w:t>
      </w:r>
      <w:r w:rsidR="004430D3" w:rsidRPr="00833CE8">
        <w:rPr>
          <w:rFonts w:cs="Times New Roman"/>
          <w:szCs w:val="24"/>
        </w:rPr>
        <w:t xml:space="preserve">(C) </w:t>
      </w:r>
      <w:r w:rsidRPr="00833CE8">
        <w:rPr>
          <w:rFonts w:cs="Times New Roman"/>
          <w:szCs w:val="24"/>
        </w:rPr>
        <w:t>content</w:t>
      </w:r>
      <w:r w:rsidR="00A06BD4" w:rsidRPr="00833CE8">
        <w:rPr>
          <w:rFonts w:cs="Times New Roman"/>
          <w:szCs w:val="24"/>
        </w:rPr>
        <w:t xml:space="preserve"> </w:t>
      </w:r>
      <w:r w:rsidRPr="00833CE8">
        <w:rPr>
          <w:rFonts w:cs="Times New Roman"/>
          <w:szCs w:val="24"/>
        </w:rPr>
        <w:fldChar w:fldCharType="begin"/>
      </w:r>
      <w:r w:rsidR="005522CA" w:rsidRPr="00833CE8">
        <w:rPr>
          <w:rFonts w:cs="Times New Roman"/>
          <w:szCs w:val="24"/>
        </w:rPr>
        <w:instrText xml:space="preserve"> ADDIN ZOTERO_ITEM CSL_CITATION {"citationID":"HqTOiSYj","properties":{"formattedCitation":"(Cao et al., 2020)","plainCitation":"(Cao et al., 2020)","noteIndex":0},"citationItems":[{"id":4352,"uris":["http://zotero.org/users/764524/items/Y4DKCFVQ"],"itemData":{"id":4352,"type":"article-journal","abstract":"The shift of mutualistic nutrient relationship among algae, free-living and attached bacteria as well as the effects on algal growth were conducted in experimental mesocosm in which three nutrient ...","archive_location":"world","container-title":"Journal of Freshwater Ecology","ISSN":"0270-5060","journalAbbreviation":"J. Freshw. Ecol.","language":"EN","license":"© 2020 The Author(s). Published by Informa UK Limited, trading as Taylor &amp; Francis Group.","note":"publisher: Taylor &amp; Francis","source":"www.tandfonline.com","title":"The shift of mutualistic relationships among algae, free-living and attached bacteria through different nutrient addition mode: a mesocosm study","title-short":"The shift of mutualistic relationships among algae, free-living and attached bacteria through different nutrient addition mode","URL":"https://www.tandfonline.com/doi/abs/10.1080/02705060.2020.1858984","author":[{"family":"Cao","given":"Xiuyun"},{"family":"Li","given":"Hui"},{"family":"Zhou","given":"Yiyong"},{"family":"Song","given":"Chunlei"}],"accessed":{"date-parts":[["2024",6,3]]},"issued":{"date-parts":[["2020",1,1]]}}}],"schema":"https://github.com/citation-style-language/schema/raw/master/csl-citation.json"} </w:instrText>
      </w:r>
      <w:r w:rsidRPr="00833CE8">
        <w:rPr>
          <w:rFonts w:cs="Times New Roman"/>
          <w:szCs w:val="24"/>
        </w:rPr>
        <w:fldChar w:fldCharType="separate"/>
      </w:r>
      <w:r w:rsidR="009F150C" w:rsidRPr="00833CE8">
        <w:rPr>
          <w:rFonts w:cs="Times New Roman"/>
        </w:rPr>
        <w:t>(Cao et al., 2020)</w:t>
      </w:r>
      <w:r w:rsidRPr="00833CE8">
        <w:rPr>
          <w:rFonts w:cs="Times New Roman"/>
          <w:szCs w:val="24"/>
        </w:rPr>
        <w:fldChar w:fldCharType="end"/>
      </w:r>
      <w:r w:rsidR="00A06BD4" w:rsidRPr="00833CE8">
        <w:rPr>
          <w:rFonts w:cs="Times New Roman"/>
          <w:szCs w:val="24"/>
        </w:rPr>
        <w:t>.</w:t>
      </w:r>
      <w:r w:rsidR="00C3556C" w:rsidRPr="00833CE8">
        <w:rPr>
          <w:rFonts w:cs="Times New Roman"/>
          <w:szCs w:val="24"/>
        </w:rPr>
        <w:t xml:space="preserve">  </w:t>
      </w:r>
      <w:r w:rsidR="00020F49" w:rsidRPr="00833CE8">
        <w:rPr>
          <w:rFonts w:cs="Times New Roman"/>
          <w:szCs w:val="24"/>
        </w:rPr>
        <w:t xml:space="preserve">However, high levels of dissolved </w:t>
      </w:r>
      <w:r w:rsidR="00C3556C" w:rsidRPr="00833CE8">
        <w:rPr>
          <w:rFonts w:cs="Times New Roman"/>
          <w:szCs w:val="24"/>
        </w:rPr>
        <w:t xml:space="preserve">P </w:t>
      </w:r>
      <w:r w:rsidR="00020F49" w:rsidRPr="00833CE8">
        <w:rPr>
          <w:rFonts w:cs="Times New Roman"/>
          <w:szCs w:val="24"/>
        </w:rPr>
        <w:t xml:space="preserve">led to </w:t>
      </w:r>
      <w:r w:rsidR="0070392F" w:rsidRPr="00833CE8">
        <w:rPr>
          <w:rFonts w:cs="Times New Roman"/>
          <w:szCs w:val="24"/>
        </w:rPr>
        <w:t>increase</w:t>
      </w:r>
      <w:r w:rsidR="00231DFD" w:rsidRPr="00833CE8">
        <w:rPr>
          <w:rFonts w:cs="Times New Roman"/>
          <w:szCs w:val="24"/>
        </w:rPr>
        <w:t>d</w:t>
      </w:r>
      <w:r w:rsidR="00020F49" w:rsidRPr="00833CE8">
        <w:rPr>
          <w:rFonts w:cs="Times New Roman"/>
          <w:szCs w:val="24"/>
        </w:rPr>
        <w:t xml:space="preserve"> </w:t>
      </w:r>
      <w:r w:rsidR="00C3556C" w:rsidRPr="00833CE8">
        <w:rPr>
          <w:rFonts w:cs="Times New Roman"/>
          <w:szCs w:val="24"/>
        </w:rPr>
        <w:t xml:space="preserve">DON </w:t>
      </w:r>
      <w:r w:rsidR="00020F49" w:rsidRPr="00833CE8">
        <w:rPr>
          <w:rFonts w:cs="Times New Roman"/>
          <w:szCs w:val="24"/>
        </w:rPr>
        <w:t xml:space="preserve">(dissolved organic nitrogen) </w:t>
      </w:r>
      <w:r w:rsidR="00C3556C" w:rsidRPr="00833CE8">
        <w:rPr>
          <w:rFonts w:cs="Times New Roman"/>
          <w:szCs w:val="24"/>
        </w:rPr>
        <w:t>from algae</w:t>
      </w:r>
      <w:r w:rsidR="002C3DCD" w:rsidRPr="00833CE8">
        <w:rPr>
          <w:rFonts w:cs="Times New Roman"/>
          <w:szCs w:val="24"/>
        </w:rPr>
        <w:t xml:space="preserve">.  </w:t>
      </w:r>
      <w:r w:rsidR="00B04305" w:rsidRPr="00833CE8">
        <w:rPr>
          <w:rFonts w:cs="Times New Roman"/>
          <w:szCs w:val="24"/>
        </w:rPr>
        <w:t>As a result</w:t>
      </w:r>
      <w:r w:rsidR="0093071C" w:rsidRPr="00833CE8">
        <w:rPr>
          <w:rFonts w:cs="Times New Roman"/>
          <w:szCs w:val="24"/>
        </w:rPr>
        <w:t>,</w:t>
      </w:r>
      <w:r w:rsidR="00B04305" w:rsidRPr="00833CE8">
        <w:rPr>
          <w:rFonts w:cs="Times New Roman"/>
          <w:szCs w:val="24"/>
        </w:rPr>
        <w:t xml:space="preserve"> an optimal ratio of dissolved N:P was necessary for a mutualistic relationship between bacteria and algae.</w:t>
      </w:r>
    </w:p>
    <w:p w14:paraId="464BA287" w14:textId="7419AEBB" w:rsidR="00944D28" w:rsidRPr="00833CE8" w:rsidRDefault="00AC4621" w:rsidP="00C31A9C">
      <w:pPr>
        <w:tabs>
          <w:tab w:val="center" w:pos="4822"/>
        </w:tabs>
        <w:snapToGrid w:val="0"/>
        <w:spacing w:line="360" w:lineRule="auto"/>
        <w:ind w:firstLine="284"/>
        <w:jc w:val="both"/>
        <w:rPr>
          <w:rFonts w:cs="Times New Roman"/>
          <w:szCs w:val="24"/>
        </w:rPr>
      </w:pPr>
      <w:r w:rsidRPr="00833CE8">
        <w:rPr>
          <w:rFonts w:cs="Times New Roman"/>
          <w:szCs w:val="24"/>
        </w:rPr>
        <w:t>In addition to macronutrients,</w:t>
      </w:r>
      <w:r w:rsidR="00331BCB" w:rsidRPr="00833CE8">
        <w:rPr>
          <w:rFonts w:cs="Times New Roman"/>
          <w:szCs w:val="24"/>
        </w:rPr>
        <w:t xml:space="preserve"> metabolites </w:t>
      </w:r>
      <w:r w:rsidRPr="00833CE8">
        <w:rPr>
          <w:rFonts w:cs="Times New Roman"/>
          <w:szCs w:val="24"/>
        </w:rPr>
        <w:t xml:space="preserve">also </w:t>
      </w:r>
      <w:r w:rsidR="00331BCB" w:rsidRPr="00833CE8">
        <w:rPr>
          <w:rFonts w:cs="Times New Roman"/>
          <w:szCs w:val="24"/>
        </w:rPr>
        <w:t>include</w:t>
      </w:r>
      <w:r w:rsidR="00001195" w:rsidRPr="00833CE8">
        <w:rPr>
          <w:rFonts w:cs="Times New Roman"/>
          <w:szCs w:val="24"/>
        </w:rPr>
        <w:t xml:space="preserve"> micronutrients such as vitamins</w:t>
      </w:r>
      <w:r w:rsidR="00682691" w:rsidRPr="00833CE8">
        <w:rPr>
          <w:rFonts w:cs="Times New Roman"/>
          <w:szCs w:val="24"/>
        </w:rPr>
        <w:t xml:space="preserve"> and minerals such as iron</w:t>
      </w:r>
      <w:r w:rsidRPr="00833CE8">
        <w:rPr>
          <w:rFonts w:cs="Times New Roman"/>
          <w:szCs w:val="24"/>
        </w:rPr>
        <w:t xml:space="preserve">.  These metabolites can either encourage </w:t>
      </w:r>
      <w:r w:rsidR="003D5757" w:rsidRPr="00833CE8">
        <w:rPr>
          <w:rFonts w:cs="Times New Roman"/>
          <w:szCs w:val="24"/>
        </w:rPr>
        <w:t xml:space="preserve">growth or provide a necessary nutrient for a species that </w:t>
      </w:r>
      <w:r w:rsidR="003C2F89" w:rsidRPr="00833CE8">
        <w:rPr>
          <w:rFonts w:cs="Times New Roman"/>
          <w:szCs w:val="24"/>
        </w:rPr>
        <w:t>has lost the ability to synthesize it</w:t>
      </w:r>
      <w:r w:rsidRPr="00833CE8">
        <w:rPr>
          <w:rFonts w:cs="Times New Roman"/>
          <w:szCs w:val="24"/>
        </w:rPr>
        <w:t xml:space="preserve">. </w:t>
      </w:r>
      <w:r w:rsidR="00001195" w:rsidRPr="00833CE8">
        <w:rPr>
          <w:rFonts w:cs="Times New Roman"/>
          <w:szCs w:val="24"/>
        </w:rPr>
        <w:t xml:space="preserve"> </w:t>
      </w:r>
      <w:r w:rsidR="00020F49" w:rsidRPr="00833CE8">
        <w:rPr>
          <w:rFonts w:cs="Times New Roman"/>
          <w:szCs w:val="24"/>
        </w:rPr>
        <w:t>Some of these metabolites will be described below.</w:t>
      </w:r>
    </w:p>
    <w:p w14:paraId="4256B6AA" w14:textId="19CE2B06" w:rsidR="00CE55DE" w:rsidRPr="00833CE8" w:rsidRDefault="001F3402" w:rsidP="00C31A9C">
      <w:pPr>
        <w:tabs>
          <w:tab w:val="center" w:pos="4822"/>
        </w:tabs>
        <w:snapToGrid w:val="0"/>
        <w:spacing w:line="360" w:lineRule="auto"/>
        <w:ind w:firstLine="284"/>
        <w:jc w:val="both"/>
        <w:rPr>
          <w:rFonts w:cs="Times New Roman"/>
          <w:szCs w:val="24"/>
        </w:rPr>
      </w:pPr>
      <w:r w:rsidRPr="00833CE8">
        <w:rPr>
          <w:rFonts w:cs="Times New Roman"/>
          <w:szCs w:val="24"/>
        </w:rPr>
        <w:t xml:space="preserve">A siderophore is an organic compound used by microbes such as bacteria to chelate iron and allow it to be transferred into cells </w:t>
      </w:r>
      <w:r w:rsidRPr="00833CE8">
        <w:rPr>
          <w:rFonts w:cs="Times New Roman"/>
          <w:b/>
          <w:bCs/>
          <w:szCs w:val="24"/>
        </w:rPr>
        <w:fldChar w:fldCharType="begin"/>
      </w:r>
      <w:r w:rsidR="00476618">
        <w:rPr>
          <w:rFonts w:cs="Times New Roman"/>
          <w:b/>
          <w:bCs/>
          <w:szCs w:val="24"/>
        </w:rPr>
        <w:instrText xml:space="preserve"> ADDIN ZOTERO_ITEM CSL_CITATION {"citationID":"KhSTkRGN","properties":{"formattedCitation":"(Kramer et al., 2020)","plainCitation":"(Kramer et al., 2020)","noteIndex":0},"citationItems":[{"id":9323,"uris":["http://zotero.org/users/764524/items/ZYIBXKUF"],"itemData":{"id":9323,"type":"article-journal","abstract":"Iron is an essential trace element for most organisms. A common way for bacteria to acquire this nutrient is through the secretion of siderophores, which are secondary metabolites that scavenge iron from environmental stocks and deliver it to cells via specific receptors. While there has been tremendous interest in understanding the molecular basis of siderophore synthesis, uptake and regulation, questions about the ecological and evolutionary consequences of siderophore secretion have only recently received increasing attention. In this Review, we outline how eco-evolutionary questions can complement the mechanistic perspective and help to obtain a more integrated view of siderophores. In particular, we explain how secreted diffusible siderophores can affect other community members, leading to cooperative, exploitative and competitive interactions between individuals. These social interactions in turn can spur co-evolutionary arms races between strains and species, lead to ecological dependencies between them and potentially contribute to the formation of stable communities. In brief, this Review shows that siderophores are much more than just iron carriers: they are important mediators of interactions between members of microbial assemblies and the eukaryotic hosts they inhabit.","container-title":"Nature Reviews Microbiology","DOI":"10.1038/s41579-019-0284-4","ISSN":"1740-1534","issue":"3","journalAbbreviation":"Nat. Rev. Microbiol.","language":"en","license":"2019 Springer Nature Limited","note":"publisher: Nature Publishing Group","page":"152-163","source":"www.nature.com","title":"Bacterial siderophores in community and host interactions","volume":"18","author":[{"family":"Kramer","given":"Jos"},{"family":"Özkaya","given":"Özhan"},{"family":"Kümmerli","given":"Rolf"}],"issued":{"date-parts":[["2020",3]]}}}],"schema":"https://github.com/citation-style-language/schema/raw/master/csl-citation.json"} </w:instrText>
      </w:r>
      <w:r w:rsidRPr="00833CE8">
        <w:rPr>
          <w:rFonts w:cs="Times New Roman"/>
          <w:b/>
          <w:bCs/>
          <w:szCs w:val="24"/>
        </w:rPr>
        <w:fldChar w:fldCharType="separate"/>
      </w:r>
      <w:r w:rsidRPr="00833CE8">
        <w:rPr>
          <w:rFonts w:cs="Times New Roman"/>
        </w:rPr>
        <w:t>(Kramer et al., 2020)</w:t>
      </w:r>
      <w:r w:rsidRPr="00833CE8">
        <w:rPr>
          <w:rFonts w:cs="Times New Roman"/>
          <w:b/>
          <w:bCs/>
          <w:szCs w:val="24"/>
        </w:rPr>
        <w:fldChar w:fldCharType="end"/>
      </w:r>
      <w:r w:rsidRPr="00A13C22">
        <w:rPr>
          <w:rFonts w:cs="Times New Roman"/>
          <w:szCs w:val="24"/>
        </w:rPr>
        <w:t>.</w:t>
      </w:r>
      <w:r w:rsidR="00A13C22" w:rsidRPr="00A13C22">
        <w:rPr>
          <w:rFonts w:cs="Times New Roman"/>
          <w:szCs w:val="24"/>
        </w:rPr>
        <w:t xml:space="preserve"> </w:t>
      </w:r>
      <w:r w:rsidRPr="00A13C22">
        <w:rPr>
          <w:rFonts w:cs="Times New Roman"/>
          <w:szCs w:val="24"/>
        </w:rPr>
        <w:t xml:space="preserve"> </w:t>
      </w:r>
      <w:proofErr w:type="spellStart"/>
      <w:r w:rsidR="006150A8" w:rsidRPr="00833CE8">
        <w:rPr>
          <w:rFonts w:cs="Times New Roman"/>
          <w:szCs w:val="24"/>
        </w:rPr>
        <w:t>Cupriachelin</w:t>
      </w:r>
      <w:proofErr w:type="spellEnd"/>
      <w:r w:rsidR="006150A8" w:rsidRPr="00833CE8">
        <w:rPr>
          <w:rFonts w:cs="Times New Roman"/>
          <w:szCs w:val="24"/>
        </w:rPr>
        <w:t xml:space="preserve">, a lipopeptide siderophore produced by the freshwater bacterium </w:t>
      </w:r>
      <w:bookmarkStart w:id="12" w:name="_Hlk178422120"/>
      <w:proofErr w:type="spellStart"/>
      <w:r w:rsidR="006150A8" w:rsidRPr="00833CE8">
        <w:rPr>
          <w:rFonts w:cs="Times New Roman"/>
          <w:i/>
          <w:iCs/>
          <w:szCs w:val="24"/>
        </w:rPr>
        <w:t>Cupriavidus</w:t>
      </w:r>
      <w:proofErr w:type="spellEnd"/>
      <w:r w:rsidR="006150A8" w:rsidRPr="00833CE8">
        <w:rPr>
          <w:rFonts w:cs="Times New Roman"/>
          <w:i/>
          <w:iCs/>
          <w:szCs w:val="24"/>
        </w:rPr>
        <w:t xml:space="preserve"> </w:t>
      </w:r>
      <w:proofErr w:type="spellStart"/>
      <w:r w:rsidR="006150A8" w:rsidRPr="00833CE8">
        <w:rPr>
          <w:rFonts w:cs="Times New Roman"/>
          <w:i/>
          <w:iCs/>
          <w:szCs w:val="24"/>
        </w:rPr>
        <w:t>necator</w:t>
      </w:r>
      <w:bookmarkEnd w:id="12"/>
      <w:proofErr w:type="spellEnd"/>
      <w:r w:rsidR="006150A8" w:rsidRPr="00833CE8">
        <w:rPr>
          <w:rFonts w:cs="Times New Roman"/>
          <w:szCs w:val="24"/>
        </w:rPr>
        <w:t xml:space="preserve">, has been found to provide iron for the </w:t>
      </w:r>
      <w:r w:rsidR="006150A8" w:rsidRPr="00833CE8">
        <w:rPr>
          <w:rFonts w:cs="Times New Roman"/>
          <w:szCs w:val="24"/>
        </w:rPr>
        <w:lastRenderedPageBreak/>
        <w:t>diatom</w:t>
      </w:r>
      <w:r w:rsidR="006150A8" w:rsidRPr="00833CE8">
        <w:rPr>
          <w:rFonts w:cs="Times New Roman"/>
          <w:i/>
          <w:iCs/>
          <w:szCs w:val="24"/>
        </w:rPr>
        <w:t xml:space="preserve"> </w:t>
      </w:r>
      <w:proofErr w:type="spellStart"/>
      <w:r w:rsidR="006150A8" w:rsidRPr="00833CE8">
        <w:rPr>
          <w:rFonts w:cs="Times New Roman"/>
          <w:i/>
          <w:iCs/>
          <w:szCs w:val="24"/>
        </w:rPr>
        <w:t>Navicula</w:t>
      </w:r>
      <w:proofErr w:type="spellEnd"/>
      <w:r w:rsidR="006150A8" w:rsidRPr="00833CE8">
        <w:rPr>
          <w:rFonts w:cs="Times New Roman"/>
          <w:i/>
          <w:iCs/>
          <w:szCs w:val="24"/>
        </w:rPr>
        <w:t xml:space="preserve"> </w:t>
      </w:r>
      <w:proofErr w:type="spellStart"/>
      <w:r w:rsidR="006150A8" w:rsidRPr="00833CE8">
        <w:rPr>
          <w:rFonts w:cs="Times New Roman"/>
          <w:i/>
          <w:iCs/>
          <w:szCs w:val="24"/>
        </w:rPr>
        <w:t>pelliculosa</w:t>
      </w:r>
      <w:proofErr w:type="spellEnd"/>
      <w:r w:rsidR="00B04305" w:rsidRPr="00833CE8">
        <w:rPr>
          <w:rFonts w:cs="Times New Roman"/>
          <w:szCs w:val="24"/>
        </w:rPr>
        <w:t xml:space="preserve">, which is known to provide </w:t>
      </w:r>
      <w:r w:rsidR="00B04305" w:rsidRPr="00833CE8">
        <w:rPr>
          <w:rFonts w:cs="Times New Roman"/>
          <w:i/>
          <w:iCs/>
          <w:szCs w:val="24"/>
        </w:rPr>
        <w:t xml:space="preserve">C. </w:t>
      </w:r>
      <w:proofErr w:type="spellStart"/>
      <w:r w:rsidR="00B04305" w:rsidRPr="00833CE8">
        <w:rPr>
          <w:rFonts w:cs="Times New Roman"/>
          <w:i/>
          <w:iCs/>
          <w:szCs w:val="24"/>
        </w:rPr>
        <w:t>necator</w:t>
      </w:r>
      <w:proofErr w:type="spellEnd"/>
      <w:r w:rsidR="007A7A9F" w:rsidRPr="00833CE8">
        <w:rPr>
          <w:rFonts w:cs="Times New Roman"/>
          <w:szCs w:val="24"/>
        </w:rPr>
        <w:t xml:space="preserve"> </w:t>
      </w:r>
      <w:r w:rsidR="00B04305" w:rsidRPr="00833CE8">
        <w:rPr>
          <w:rFonts w:cs="Times New Roman"/>
          <w:szCs w:val="24"/>
        </w:rPr>
        <w:t xml:space="preserve">with carbon sources </w:t>
      </w:r>
      <w:r w:rsidR="00B62A87" w:rsidRPr="00833CE8">
        <w:rPr>
          <w:rFonts w:cs="Times New Roman"/>
          <w:szCs w:val="24"/>
        </w:rPr>
        <w:fldChar w:fldCharType="begin"/>
      </w:r>
      <w:r w:rsidR="009F150C" w:rsidRPr="00833CE8">
        <w:rPr>
          <w:rFonts w:cs="Times New Roman"/>
          <w:szCs w:val="24"/>
        </w:rPr>
        <w:instrText xml:space="preserve"> ADDIN ZOTERO_ITEM CSL_CITATION {"citationID":"Kut9MOn5","properties":{"formattedCitation":"(Kurth et al., 2019)","plainCitation":"(Kurth et al., 2019)","noteIndex":0},"citationItems":[{"id":4478,"uris":["http://zotero.org/users/764524/items/M2GU2X3D"],"itemData":{"id":4478,"type":"article-journal","abstract":"Cupriachelin is a photoreactive lipopeptide siderophore produced by the freshwater bacterium Cupriavidus necator H16. In the presence of sunlight, the iron-loaded siderophore undergoes photolytic cleavage, thereby releasing solubilized iron into the environment. This iron is not only available to the siderophore producer, but also to the surrounding microbial community. In this study, the cupriachelin-based interaction between C. necator H16 and the freshwater diatom Navicula pelliculosa was investigated. A reporter strain of the bacterium was constructed to study differential expression levels of the cupriachelin biosynthesis gene cucJ in response to varying environmental conditions. Not only iron starvation, but also culture supernatants of N. pelliculosa were found to induce cupriachelin biosynthesis. The transcription factors involved in this differential gene expression were identified using DNA–protein pulldown assays. Besides the well-characterized ferric uptake regulator, a two-component system was found to tune the expression of cupriachelin biosynthesis genes in the presence of diatom supernatants.","container-title":"BioMetals","DOI":"10.1007/s10534-018-0159-6","ISSN":"1572-8773","issue":"1","journalAbbreviation":"Biometals","language":"en","page":"77-88","source":"Springer Link","title":"Algae induce siderophore biosynthesis in the freshwater bacterium Cupriavidus necator H16","volume":"32","author":[{"family":"Kurth","given":"Colette"},{"family":"Wasmuth","given":"Ina"},{"family":"Wichard","given":"Thomas"},{"family":"Pohnert","given":"Georg"},{"family":"Nett","given":"Markus"}],"issued":{"date-parts":[["2019",2,1]]}}}],"schema":"https://github.com/citation-style-language/schema/raw/master/csl-citation.json"} </w:instrText>
      </w:r>
      <w:r w:rsidR="00B62A87" w:rsidRPr="00833CE8">
        <w:rPr>
          <w:rFonts w:cs="Times New Roman"/>
          <w:szCs w:val="24"/>
        </w:rPr>
        <w:fldChar w:fldCharType="separate"/>
      </w:r>
      <w:r w:rsidR="009F150C" w:rsidRPr="00833CE8">
        <w:rPr>
          <w:rFonts w:cs="Times New Roman"/>
        </w:rPr>
        <w:t>(Kurth et al., 2019)</w:t>
      </w:r>
      <w:r w:rsidR="00B62A87" w:rsidRPr="00833CE8">
        <w:rPr>
          <w:rFonts w:cs="Times New Roman"/>
          <w:szCs w:val="24"/>
        </w:rPr>
        <w:fldChar w:fldCharType="end"/>
      </w:r>
      <w:r w:rsidR="000577FC" w:rsidRPr="00833CE8">
        <w:rPr>
          <w:rFonts w:cs="Times New Roman"/>
          <w:szCs w:val="24"/>
        </w:rPr>
        <w:t xml:space="preserve">.  </w:t>
      </w:r>
      <w:r w:rsidR="006150A8" w:rsidRPr="00833CE8">
        <w:rPr>
          <w:rFonts w:cs="Times New Roman"/>
          <w:szCs w:val="24"/>
        </w:rPr>
        <w:t xml:space="preserve">Further, </w:t>
      </w:r>
      <w:proofErr w:type="spellStart"/>
      <w:r w:rsidR="006150A8" w:rsidRPr="00833CE8">
        <w:rPr>
          <w:rFonts w:cs="Times New Roman"/>
          <w:szCs w:val="24"/>
        </w:rPr>
        <w:t>cupriachelin</w:t>
      </w:r>
      <w:proofErr w:type="spellEnd"/>
      <w:r w:rsidR="006150A8" w:rsidRPr="00833CE8">
        <w:rPr>
          <w:rFonts w:cs="Times New Roman"/>
          <w:szCs w:val="24"/>
        </w:rPr>
        <w:t xml:space="preserve"> biosynthesis was upregulated not only when the bacteria were in low-iron environments, but also on addition of supernatants taken from </w:t>
      </w:r>
      <w:r w:rsidR="006150A8" w:rsidRPr="00833CE8">
        <w:rPr>
          <w:rFonts w:cs="Times New Roman"/>
          <w:i/>
          <w:iCs/>
          <w:szCs w:val="24"/>
        </w:rPr>
        <w:t xml:space="preserve">N. </w:t>
      </w:r>
      <w:proofErr w:type="spellStart"/>
      <w:r w:rsidR="006150A8" w:rsidRPr="00833CE8">
        <w:rPr>
          <w:rFonts w:cs="Times New Roman"/>
          <w:i/>
          <w:iCs/>
          <w:szCs w:val="24"/>
        </w:rPr>
        <w:t>pelliculosa</w:t>
      </w:r>
      <w:proofErr w:type="spellEnd"/>
      <w:r w:rsidR="006150A8" w:rsidRPr="00833CE8">
        <w:rPr>
          <w:rFonts w:cs="Times New Roman"/>
          <w:i/>
          <w:iCs/>
          <w:szCs w:val="24"/>
        </w:rPr>
        <w:t xml:space="preserve"> </w:t>
      </w:r>
      <w:r w:rsidR="006150A8" w:rsidRPr="00833CE8">
        <w:rPr>
          <w:rFonts w:cs="Times New Roman"/>
          <w:szCs w:val="24"/>
        </w:rPr>
        <w:t>culture.</w:t>
      </w:r>
      <w:r w:rsidR="003755B7" w:rsidRPr="00833CE8">
        <w:rPr>
          <w:rFonts w:cs="Times New Roman"/>
          <w:szCs w:val="24"/>
        </w:rPr>
        <w:t xml:space="preserve">  </w:t>
      </w:r>
      <w:r w:rsidR="003E581C">
        <w:rPr>
          <w:rFonts w:cs="Times New Roman"/>
          <w:szCs w:val="24"/>
        </w:rPr>
        <w:t>The production of a</w:t>
      </w:r>
      <w:r w:rsidR="00941E40" w:rsidRPr="00833CE8">
        <w:rPr>
          <w:rFonts w:cs="Times New Roman"/>
          <w:szCs w:val="24"/>
        </w:rPr>
        <w:t xml:space="preserve">nother siderophore secreted by </w:t>
      </w:r>
      <w:r w:rsidR="00944D28" w:rsidRPr="00833CE8">
        <w:rPr>
          <w:rFonts w:cs="Times New Roman"/>
          <w:szCs w:val="24"/>
        </w:rPr>
        <w:t>bacteria</w:t>
      </w:r>
      <w:r w:rsidR="00A92DFC" w:rsidRPr="00833CE8">
        <w:rPr>
          <w:rFonts w:cs="Times New Roman"/>
          <w:szCs w:val="24"/>
        </w:rPr>
        <w:t>,</w:t>
      </w:r>
      <w:r w:rsidR="00944D28" w:rsidRPr="00833CE8">
        <w:rPr>
          <w:rFonts w:cs="Times New Roman"/>
          <w:szCs w:val="24"/>
        </w:rPr>
        <w:t xml:space="preserve"> </w:t>
      </w:r>
      <w:r w:rsidR="005F429E" w:rsidRPr="00833CE8">
        <w:rPr>
          <w:rFonts w:cs="Times New Roman"/>
          <w:szCs w:val="24"/>
        </w:rPr>
        <w:t>b</w:t>
      </w:r>
      <w:r w:rsidR="003755B7" w:rsidRPr="00833CE8">
        <w:rPr>
          <w:rFonts w:cs="Times New Roman"/>
          <w:szCs w:val="24"/>
        </w:rPr>
        <w:t>acterioferritin</w:t>
      </w:r>
      <w:r w:rsidR="00A92DFC" w:rsidRPr="00833CE8">
        <w:rPr>
          <w:rFonts w:cs="Times New Roman"/>
          <w:szCs w:val="24"/>
        </w:rPr>
        <w:t xml:space="preserve">, has also been shown to be upregulated in cocultures of </w:t>
      </w:r>
      <w:proofErr w:type="spellStart"/>
      <w:r w:rsidR="00A92DFC" w:rsidRPr="00833CE8">
        <w:rPr>
          <w:rFonts w:cs="Times New Roman"/>
          <w:i/>
          <w:iCs/>
          <w:szCs w:val="24"/>
        </w:rPr>
        <w:t>Roseibium</w:t>
      </w:r>
      <w:proofErr w:type="spellEnd"/>
      <w:r w:rsidR="00A92DFC" w:rsidRPr="00833CE8">
        <w:rPr>
          <w:rFonts w:cs="Times New Roman"/>
          <w:szCs w:val="24"/>
        </w:rPr>
        <w:t xml:space="preserve"> and</w:t>
      </w:r>
      <w:r w:rsidR="003755B7" w:rsidRPr="00833CE8">
        <w:rPr>
          <w:rFonts w:cs="Times New Roman"/>
          <w:szCs w:val="24"/>
        </w:rPr>
        <w:t xml:space="preserve"> </w:t>
      </w:r>
      <w:r w:rsidR="00A92DFC" w:rsidRPr="00833CE8">
        <w:rPr>
          <w:rFonts w:cs="Times New Roman"/>
          <w:i/>
          <w:iCs/>
          <w:szCs w:val="24"/>
        </w:rPr>
        <w:t>P. purpureum</w:t>
      </w:r>
      <w:r w:rsidR="00A92DFC" w:rsidRPr="00833CE8">
        <w:rPr>
          <w:rFonts w:cs="Times New Roman"/>
          <w:szCs w:val="24"/>
        </w:rPr>
        <w:t xml:space="preserve"> </w:t>
      </w:r>
      <w:r w:rsidR="003755B7" w:rsidRPr="00833CE8">
        <w:rPr>
          <w:rFonts w:cs="Times New Roman"/>
          <w:szCs w:val="24"/>
        </w:rPr>
        <w:fldChar w:fldCharType="begin"/>
      </w:r>
      <w:r w:rsidR="005522CA" w:rsidRPr="00833CE8">
        <w:rPr>
          <w:rFonts w:cs="Times New Roman"/>
          <w:szCs w:val="24"/>
        </w:rPr>
        <w:instrText xml:space="preserve"> ADDIN ZOTERO_ITEM CSL_CITATION {"citationID":"HoyHepCV","properties":{"formattedCitation":"(Kim et al., 2024)","plainCitation":"(Kim et al., 2024)","noteIndex":0},"citationItems":[{"id":4533,"uris":["http://zotero.org/users/764524/items/YVRFJFUS"],"itemData":{"id":4533,"type":"article-journal","abstract":"Mutualistic interactions between marine phototrophs and associated bacteria are an important strategy for their successful survival in the ocean, but little is known about their metabolic relationships. Here, bacterial communities in the algal sphere (AS) and bulk solution (BS) of nine marine red algal cultures were analyzed, and Roseibium and Phycisphaera were identified significantly more abundantly in AS than in BS. The metabolic features of Roseibium RMAR6-6 (isolated and genome-sequenced), Phycisphaera MAG 12 (obtained by metagenomic sequencing), and a marine red alga, Porphyridium purpureum CCMP1328 (from GenBank), were analyzed bioinformatically. RMAR6-6 has the genetic capability to fix nitrogen and produce B vitamins (B1, B2, B5, B6, B9, and B12), bacterioferritin, dimethylsulfoniopropionate (DMSP), and phenylacetate that may enhance algal growth, whereas MAG 12 may have a limited metabolic capability, not producing vitamins B9 and B12, DMSP, phenylacetate, and siderophores, but with the ability to produce bacitracin, possibly modulating algal microbiome. P. purpureum CCMP1328 lacks the genetic capability to fix nitrogen and produce vitamin B12, DMSP, phenylacetate, and siderophore. It was shown that the nitrogen-fixing ability of RMAR6-6 promoted the growth of P. purpureum, and DMSP reduced the oxidative stress of P. purpureum. The metabolic interactions between strain RMAR6-6 and P. purpureum CCMP1328 were also investigated by the transcriptomic analyses of their monoculture and co-culture. Taken together, potential metabolic relationships between Roseibium and P. purpureum were proposed. This study provides a better understanding of the metabolic relationships between marine algae and algae-associated bacteria for successful growth.","container-title":"Marine Life Science &amp; Technology","DOI":"10.1007/s42995-024-00227-z","ISSN":"2662-1746","issue":"2","journalAbbreviation":"Mar. Life Sci. Technol.","language":"en","page":"298-314","source":"Springer Link","title":"Metabolic relationships between marine red algae and algae-associated bacteria","volume":"6","author":[{"family":"Kim","given":"Kyung Hyun"},{"family":"Kim","given":"Jeong Min"},{"family":"Baek","given":"Ju Hye"},{"family":"Jeong","given":"Sang Eun"},{"family":"Kim","given":"Hocheol"},{"family":"Yoon","given":"Hwan Su"},{"family":"Jeon","given":"Che Ok"}],"issued":{"date-parts":[["2024",5,1]]}}}],"schema":"https://github.com/citation-style-language/schema/raw/master/csl-citation.json"} </w:instrText>
      </w:r>
      <w:r w:rsidR="003755B7" w:rsidRPr="00833CE8">
        <w:rPr>
          <w:rFonts w:cs="Times New Roman"/>
          <w:szCs w:val="24"/>
        </w:rPr>
        <w:fldChar w:fldCharType="separate"/>
      </w:r>
      <w:r w:rsidR="009F150C" w:rsidRPr="00833CE8">
        <w:rPr>
          <w:rFonts w:cs="Times New Roman"/>
        </w:rPr>
        <w:t>(Kim et al., 2024)</w:t>
      </w:r>
      <w:r w:rsidR="003755B7" w:rsidRPr="00833CE8">
        <w:rPr>
          <w:rFonts w:cs="Times New Roman"/>
          <w:szCs w:val="24"/>
        </w:rPr>
        <w:fldChar w:fldCharType="end"/>
      </w:r>
      <w:r w:rsidR="003755B7" w:rsidRPr="00833CE8">
        <w:rPr>
          <w:rFonts w:cs="Times New Roman"/>
          <w:szCs w:val="24"/>
        </w:rPr>
        <w:t>.</w:t>
      </w:r>
      <w:r w:rsidR="0026110C" w:rsidRPr="00833CE8">
        <w:rPr>
          <w:rFonts w:cs="Times New Roman"/>
          <w:szCs w:val="24"/>
        </w:rPr>
        <w:t xml:space="preserve">  </w:t>
      </w:r>
    </w:p>
    <w:p w14:paraId="5B82CB87" w14:textId="2ED9A7A9" w:rsidR="00CE55DE" w:rsidRPr="002402DF" w:rsidRDefault="00CE55DE" w:rsidP="00C31A9C">
      <w:pPr>
        <w:tabs>
          <w:tab w:val="center" w:pos="4822"/>
        </w:tabs>
        <w:snapToGrid w:val="0"/>
        <w:spacing w:line="360" w:lineRule="auto"/>
        <w:ind w:firstLine="284"/>
        <w:jc w:val="both"/>
        <w:rPr>
          <w:rFonts w:cs="Times New Roman"/>
          <w:szCs w:val="24"/>
        </w:rPr>
      </w:pPr>
      <w:r w:rsidRPr="00833CE8">
        <w:rPr>
          <w:rFonts w:cs="Times New Roman"/>
          <w:szCs w:val="24"/>
        </w:rPr>
        <w:t xml:space="preserve">Some species </w:t>
      </w:r>
      <w:r w:rsidR="005F429E" w:rsidRPr="00833CE8">
        <w:rPr>
          <w:rFonts w:cs="Times New Roman"/>
          <w:szCs w:val="24"/>
        </w:rPr>
        <w:t xml:space="preserve">of </w:t>
      </w:r>
      <w:r w:rsidRPr="00833CE8">
        <w:rPr>
          <w:rFonts w:cs="Times New Roman"/>
          <w:szCs w:val="24"/>
        </w:rPr>
        <w:t>microalgae cannot synthesize</w:t>
      </w:r>
      <w:r w:rsidR="00065B4D" w:rsidRPr="00833CE8">
        <w:rPr>
          <w:rFonts w:cs="Times New Roman"/>
          <w:szCs w:val="24"/>
        </w:rPr>
        <w:t xml:space="preserve"> B</w:t>
      </w:r>
      <w:r w:rsidRPr="00833CE8">
        <w:rPr>
          <w:rFonts w:cs="Times New Roman"/>
          <w:szCs w:val="24"/>
        </w:rPr>
        <w:t xml:space="preserve"> vitamins on their </w:t>
      </w:r>
      <w:r w:rsidR="0020149E" w:rsidRPr="00833CE8">
        <w:rPr>
          <w:rFonts w:cs="Times New Roman"/>
          <w:szCs w:val="24"/>
        </w:rPr>
        <w:t>own and</w:t>
      </w:r>
      <w:r w:rsidRPr="00833CE8">
        <w:rPr>
          <w:rFonts w:cs="Times New Roman"/>
          <w:szCs w:val="24"/>
        </w:rPr>
        <w:t xml:space="preserve"> rely on </w:t>
      </w:r>
      <w:r w:rsidR="00022C5F" w:rsidRPr="00833CE8">
        <w:rPr>
          <w:rFonts w:cs="Times New Roman"/>
          <w:szCs w:val="24"/>
        </w:rPr>
        <w:t xml:space="preserve">external </w:t>
      </w:r>
      <w:r w:rsidRPr="00833CE8">
        <w:rPr>
          <w:rFonts w:cs="Times New Roman"/>
          <w:szCs w:val="24"/>
        </w:rPr>
        <w:t>vitamins or precursor molecules.</w:t>
      </w:r>
      <w:r w:rsidR="0013524E" w:rsidRPr="00833CE8">
        <w:rPr>
          <w:rFonts w:cs="Times New Roman"/>
          <w:szCs w:val="24"/>
        </w:rPr>
        <w:t xml:space="preserve">  For example, 306 species of microalgae</w:t>
      </w:r>
      <w:r w:rsidRPr="00833CE8">
        <w:rPr>
          <w:rFonts w:cs="Times New Roman"/>
          <w:szCs w:val="24"/>
        </w:rPr>
        <w:t xml:space="preserve"> </w:t>
      </w:r>
      <w:r w:rsidR="0013524E" w:rsidRPr="00833CE8">
        <w:rPr>
          <w:rFonts w:cs="Times New Roman"/>
          <w:szCs w:val="24"/>
        </w:rPr>
        <w:t>require</w:t>
      </w:r>
      <w:r w:rsidR="00D45AE1" w:rsidRPr="00833CE8">
        <w:rPr>
          <w:rFonts w:cs="Times New Roman"/>
          <w:szCs w:val="24"/>
        </w:rPr>
        <w:t xml:space="preserve"> the addition</w:t>
      </w:r>
      <w:r w:rsidR="0013524E" w:rsidRPr="00833CE8">
        <w:rPr>
          <w:rFonts w:cs="Times New Roman"/>
          <w:szCs w:val="24"/>
        </w:rPr>
        <w:t xml:space="preserve"> </w:t>
      </w:r>
      <w:r w:rsidR="00D45AE1" w:rsidRPr="00833CE8">
        <w:rPr>
          <w:rFonts w:cs="Times New Roman"/>
          <w:szCs w:val="24"/>
        </w:rPr>
        <w:t xml:space="preserve">of </w:t>
      </w:r>
      <w:r w:rsidR="0013524E" w:rsidRPr="00833CE8">
        <w:rPr>
          <w:rFonts w:cs="Times New Roman"/>
          <w:szCs w:val="24"/>
        </w:rPr>
        <w:t>vitamins B</w:t>
      </w:r>
      <w:r w:rsidR="0013524E" w:rsidRPr="00833CE8">
        <w:rPr>
          <w:rFonts w:cs="Times New Roman"/>
          <w:szCs w:val="24"/>
          <w:vertAlign w:val="subscript"/>
        </w:rPr>
        <w:t>1</w:t>
      </w:r>
      <w:r w:rsidR="0013524E" w:rsidRPr="00833CE8">
        <w:rPr>
          <w:rFonts w:cs="Times New Roman"/>
          <w:szCs w:val="24"/>
        </w:rPr>
        <w:t>, B</w:t>
      </w:r>
      <w:r w:rsidR="0013524E" w:rsidRPr="00833CE8">
        <w:rPr>
          <w:rFonts w:cs="Times New Roman"/>
          <w:szCs w:val="24"/>
          <w:vertAlign w:val="subscript"/>
        </w:rPr>
        <w:t>7</w:t>
      </w:r>
      <w:r w:rsidR="0013524E" w:rsidRPr="00833CE8">
        <w:rPr>
          <w:rFonts w:cs="Times New Roman"/>
          <w:szCs w:val="24"/>
        </w:rPr>
        <w:t>, and B</w:t>
      </w:r>
      <w:r w:rsidR="0013524E" w:rsidRPr="00833CE8">
        <w:rPr>
          <w:rFonts w:cs="Times New Roman"/>
          <w:szCs w:val="24"/>
          <w:vertAlign w:val="subscript"/>
        </w:rPr>
        <w:t>12</w:t>
      </w:r>
      <w:r w:rsidR="0013524E" w:rsidRPr="00833CE8">
        <w:rPr>
          <w:rFonts w:cs="Times New Roman"/>
          <w:szCs w:val="24"/>
        </w:rPr>
        <w:t xml:space="preserve"> to their growth media</w:t>
      </w:r>
      <w:r w:rsidR="00351118" w:rsidRPr="00833CE8">
        <w:rPr>
          <w:rFonts w:cs="Times New Roman"/>
          <w:szCs w:val="24"/>
        </w:rPr>
        <w:t xml:space="preserve"> </w:t>
      </w:r>
      <w:r w:rsidR="00351118" w:rsidRPr="00833CE8">
        <w:rPr>
          <w:rFonts w:cs="Times New Roman"/>
          <w:szCs w:val="24"/>
        </w:rPr>
        <w:fldChar w:fldCharType="begin"/>
      </w:r>
      <w:r w:rsidR="009F150C" w:rsidRPr="00833CE8">
        <w:rPr>
          <w:rFonts w:cs="Times New Roman"/>
          <w:szCs w:val="24"/>
        </w:rPr>
        <w:instrText xml:space="preserve"> ADDIN ZOTERO_ITEM CSL_CITATION {"citationID":"XCJvwPYv","properties":{"formattedCitation":"(Coronado-Reyes and Gonz\\uc0\\u225{}lez-Hern\\uc0\\u225{}ndez, 2023)","plainCitation":"(Coronado-Reyes and González-Hernández, 2023)","noteIndex":0},"citationItems":[{"id":4614,"uris":["http://zotero.org/users/764524/items/P9JQL7UD"],"itemData":{"id":4614,"type":"chapter","abstract":"Microalgae, as autotrophic organisms, need energy from light, specific temperatures, and pH in the growth medium, as well as nutrients (organic and inorganic) to survive. Nutrients are important for the final chemical composition of the microalgae. Among the important nutrients for the growth of microalgae are those that contain nitrogen, phosphorus, silicate, trace metals, and vitamins, the latter being the ones that will be addressed in this chapter. Studies carried out show that at least a total of 306 species of microalgae need three vitamins for their growth under different culture media which are thiamine (B1), biotin (B7), and cobalamin (B12), whose demand requires at least a concentration in the culture medium of 22%, 5%, and 50%, respectively. The percentages vary slightly depending on the taxonomy of the microalgae. Once the microalgae reached a complete development stage, it has been observed that it is capable of synthesizing a wide range of vitamins with biotechnological applications, especially β-carotenes, which are precursors of vitamin A, as well as vitamins B1, B2, B6, B12, C and E. In turn, each species of microalgae varies in its vitamin composition. The production, extraction, and purification of vitamins from microalgae have great application to produce products with antioxidant activity, favor the metabolic processes of carbohydrates, maintain the homeostasis of the body, and even produce functional foods, so its study and application are of the utmost importance.","container-title":"Handbook of Food and Feed from Microalgae","ISBN":"978-0-323-99196-4","note":"DOI: 10.1016/B978-0-323-99196-4.00026-7","page":"111-115","publisher":"Academic Press","source":"ScienceDirect","title":"Chapter 10 - Vitamins from microalgae","URL":"https://www.sciencedirect.com/science/article/pii/B9780323991964000267","author":[{"family":"Coronado-Reyes","given":"Jesús Alberto"},{"family":"González-Hernández","given":"Juan Carlos"}],"editor":[{"family":"Jacob-Lopes","given":"Eduardo"},{"family":"Queiroz","given":"Maria Isabel"},{"family":"Maroneze","given":"Mariana Manzoni"},{"family":"Zepka","given":"Leila Queiroz"}],"accessed":{"date-parts":[["2024",7,1]]},"issued":{"date-parts":[["2023",1,1]]}}}],"schema":"https://github.com/citation-style-language/schema/raw/master/csl-citation.json"} </w:instrText>
      </w:r>
      <w:r w:rsidR="00351118" w:rsidRPr="00833CE8">
        <w:rPr>
          <w:rFonts w:cs="Times New Roman"/>
          <w:szCs w:val="24"/>
        </w:rPr>
        <w:fldChar w:fldCharType="separate"/>
      </w:r>
      <w:r w:rsidR="009F150C" w:rsidRPr="00833CE8">
        <w:rPr>
          <w:rFonts w:cs="Times New Roman"/>
          <w:kern w:val="0"/>
        </w:rPr>
        <w:t>(Coronado-Reyes and González-Hernández, 2023)</w:t>
      </w:r>
      <w:r w:rsidR="00351118" w:rsidRPr="00833CE8">
        <w:rPr>
          <w:rFonts w:cs="Times New Roman"/>
          <w:szCs w:val="24"/>
        </w:rPr>
        <w:fldChar w:fldCharType="end"/>
      </w:r>
      <w:r w:rsidR="0013524E" w:rsidRPr="00833CE8">
        <w:rPr>
          <w:rFonts w:cs="Times New Roman"/>
          <w:szCs w:val="24"/>
        </w:rPr>
        <w:t xml:space="preserve">.  </w:t>
      </w:r>
      <w:r w:rsidR="00B727EF" w:rsidRPr="00833CE8">
        <w:rPr>
          <w:rFonts w:cs="Times New Roman"/>
          <w:szCs w:val="24"/>
        </w:rPr>
        <w:t xml:space="preserve">These vitamins can be </w:t>
      </w:r>
      <w:r w:rsidR="00351118" w:rsidRPr="00833CE8">
        <w:rPr>
          <w:rFonts w:cs="Times New Roman"/>
          <w:szCs w:val="24"/>
        </w:rPr>
        <w:t>synthesized by symbiotic bacteria</w:t>
      </w:r>
      <w:r w:rsidR="008928D9" w:rsidRPr="00833CE8">
        <w:rPr>
          <w:rFonts w:cs="Times New Roman"/>
          <w:szCs w:val="24"/>
        </w:rPr>
        <w:t xml:space="preserve">. </w:t>
      </w:r>
      <w:r w:rsidR="00B727EF" w:rsidRPr="00833CE8">
        <w:rPr>
          <w:rFonts w:cs="Times New Roman"/>
          <w:b/>
          <w:bCs/>
          <w:szCs w:val="24"/>
        </w:rPr>
        <w:t xml:space="preserve"> </w:t>
      </w:r>
      <w:r w:rsidR="008928D9" w:rsidRPr="00833CE8">
        <w:rPr>
          <w:rFonts w:cs="Times New Roman"/>
          <w:szCs w:val="24"/>
        </w:rPr>
        <w:t>F</w:t>
      </w:r>
      <w:r w:rsidR="00B727EF" w:rsidRPr="00833CE8">
        <w:rPr>
          <w:rFonts w:cs="Times New Roman"/>
          <w:szCs w:val="24"/>
        </w:rPr>
        <w:t>or example,</w:t>
      </w:r>
      <w:r w:rsidR="00B727EF" w:rsidRPr="00833CE8">
        <w:rPr>
          <w:rFonts w:cs="Times New Roman"/>
          <w:b/>
          <w:bCs/>
          <w:szCs w:val="24"/>
        </w:rPr>
        <w:t xml:space="preserve"> </w:t>
      </w:r>
      <w:r w:rsidR="00065B4D" w:rsidRPr="00833CE8">
        <w:rPr>
          <w:rFonts w:cs="Times New Roman"/>
          <w:szCs w:val="24"/>
        </w:rPr>
        <w:t>B</w:t>
      </w:r>
      <w:r w:rsidR="00065B4D" w:rsidRPr="00833CE8">
        <w:rPr>
          <w:rFonts w:cs="Times New Roman"/>
          <w:szCs w:val="24"/>
          <w:vertAlign w:val="subscript"/>
        </w:rPr>
        <w:t>12</w:t>
      </w:r>
      <w:r w:rsidR="0013524E" w:rsidRPr="00833CE8">
        <w:rPr>
          <w:rFonts w:cs="Times New Roman"/>
          <w:szCs w:val="24"/>
        </w:rPr>
        <w:t xml:space="preserve"> </w:t>
      </w:r>
      <w:r w:rsidR="00B727EF" w:rsidRPr="00833CE8">
        <w:rPr>
          <w:rFonts w:cs="Times New Roman"/>
          <w:szCs w:val="24"/>
        </w:rPr>
        <w:t>from bacteria</w:t>
      </w:r>
      <w:r w:rsidR="0086283B" w:rsidRPr="00833CE8">
        <w:rPr>
          <w:rFonts w:cs="Times New Roman"/>
          <w:szCs w:val="24"/>
        </w:rPr>
        <w:t xml:space="preserve"> </w:t>
      </w:r>
      <w:r w:rsidR="00B727EF" w:rsidRPr="00833CE8">
        <w:rPr>
          <w:rFonts w:cs="Times New Roman"/>
          <w:szCs w:val="24"/>
        </w:rPr>
        <w:t xml:space="preserve">can be used to supplement growth of microalgae </w:t>
      </w:r>
      <w:r w:rsidR="00065B4D" w:rsidRPr="00833CE8">
        <w:rPr>
          <w:rFonts w:cs="Times New Roman"/>
          <w:szCs w:val="24"/>
        </w:rPr>
        <w:fldChar w:fldCharType="begin"/>
      </w:r>
      <w:r w:rsidR="005522CA" w:rsidRPr="00833CE8">
        <w:rPr>
          <w:rFonts w:cs="Times New Roman"/>
          <w:szCs w:val="24"/>
        </w:rPr>
        <w:instrText xml:space="preserve"> ADDIN ZOTERO_ITEM CSL_CITATION {"citationID":"P81ttRPB","properties":{"formattedCitation":"(Bunbury et al., 2022; Grant et al., 2014; Pereira et al., 2019)","plainCitation":"(Bunbury et al., 2022; Grant et al., 2014; Pereira et al., 2019)","noteIndex":0},"citationItems":[{"id":4512,"uris":["http://zotero.org/users/764524/items/RSDW573D"],"itemData":{"id":4512,"type":"article-journal","abstract":"Cobalamin (vitamin B12) is a cofactor for essential metabolic reactions in multiple eukaryotic taxa, including major primary producers such as algae, and yet only prokaryotes can produce it. Many bac...","container-title":"Environmental Microbiology","DOI":"10.1111/1462-2920.16035","ISSN":"1462-2920","issue":"7","journalAbbreviation":"Environ. Microbiol.","language":"en","note":"publisher: John Wiley &amp; Sons, Ltd","page":"3134-3147","source":"enviromicro-journals.onlinelibrary.wiley.com","title":"Exploring the onset of B12-based mutualisms using a recently evolved Chlamydomonas auxotroph and B12-producing bacteria","volume":"24","author":[{"family":"Bunbury","given":"Freddy"},{"family":"Deery","given":"Evelyne"},{"family":"Sayer","given":"Andrew P."},{"family":"Bhardwaj","given":"Vaibhav"},{"family":"Harrison","given":"Ellen L."},{"family":"Warren","given":"Martin J."},{"family":"Smith","given":"Alison G."}],"issued":{"date-parts":[["2022",7,1]]}}},{"id":4489,"uris":["http://zotero.org/users/764524/items/DB57JDYL"],"itemData":{"id":4489,"type":"article-journal","abstract":"This manuscript provides an in-depth and timely overview on vitamin B12 biosynthesis and the major advances on metabolic engineering for improved vitamin B12 production by probiotic bacteria and othe...","container-title":"Journal of Food Biochemistry","DOI":"10.1111/jfbc.12911","ISSN":"1745-4514","issue":"8","journalAbbreviation":"J. Food Biochem.","language":"en","note":"publisher: John Wiley &amp; Sons, Ltd","page":"e12911","source":"onlinelibrary.wiley.com","title":"Microalgal assimilation of vitamin B12 toward the production of a superfood","volume":"43","author":[{"family":"Pereira","given":"João"},{"family":"Simões","given":"Manuel"},{"family":"Silva","given":"Joana L."}],"issued":{"date-parts":[["2019",8,1]]}}},{"id":4559,"uris":["http://zotero.org/users/764524/items/I5NYRWW8"],"itemData":{"id":4559,"type":"article-journal","abstract":"The growth dynamics of populations of interacting species in the aquatic environment is of great importance, both for understanding natural ecosystems and in efforts to cultivate these organisms for industrial purposes. Here we consider a simple two-species system wherein the bacterium Mesorhizobium loti supplies vitamin B12 (cobalamin) to the freshwater green alga Lobomonas rostrata, which requires this organic micronutrient for growth. In return, the bacterium receives photosynthate from the alga. Mathematical models are developed that describe minimally the interdependence between the two organisms, and that fit the experimental observations of the consortium. These models enable us to distinguish between different mechanisms of nutrient exchange between the organisms, and provide strong evidence that, rather than undergoing simple lysis and release of nutrients into the medium, M. loti regulates the levels of cobalamin it produces, resulting in a true mutualism with L. rostrata. Over half of all microalgae are dependent on an exogenous source of cobalamin for growth, and this vitamin is synthesised only by bacteria; it is very likely that similar symbiotic interactions underpin algal productivity more generally.","container-title":"The ISME Journal","DOI":"10.1038/ismej.2014.9","ISSN":"1751-7362","issue":"7","journalAbbreviation":"ISME J.","page":"1418-1427","source":"Silverchair","title":"Direct exchange of vitamin B12 is demonstrated by modelling the growth dynamics of algal–bacterial cocultures","volume":"8","author":[{"family":"Grant","given":"Matthew A A"},{"family":"Kazamia","given":"Elena"},{"family":"Cicuta","given":"Pietro"},{"family":"Smith","given":"Alison G"}],"issued":{"date-parts":[["2014",7,1]]}}}],"schema":"https://github.com/citation-style-language/schema/raw/master/csl-citation.json"} </w:instrText>
      </w:r>
      <w:r w:rsidR="00065B4D" w:rsidRPr="00833CE8">
        <w:rPr>
          <w:rFonts w:cs="Times New Roman"/>
          <w:szCs w:val="24"/>
        </w:rPr>
        <w:fldChar w:fldCharType="separate"/>
      </w:r>
      <w:r w:rsidR="009F150C" w:rsidRPr="00833CE8">
        <w:rPr>
          <w:rFonts w:cs="Times New Roman"/>
        </w:rPr>
        <w:t>(Bunbury et al., 2022; Grant et al., 2014; Pereira et al., 2019)</w:t>
      </w:r>
      <w:r w:rsidR="00065B4D" w:rsidRPr="00833CE8">
        <w:rPr>
          <w:rFonts w:cs="Times New Roman"/>
          <w:szCs w:val="24"/>
        </w:rPr>
        <w:fldChar w:fldCharType="end"/>
      </w:r>
      <w:r w:rsidR="008928D9" w:rsidRPr="00833CE8">
        <w:rPr>
          <w:rFonts w:cs="Times New Roman"/>
          <w:szCs w:val="24"/>
        </w:rPr>
        <w:t>.</w:t>
      </w:r>
      <w:r w:rsidR="008C4E34" w:rsidRPr="00833CE8">
        <w:rPr>
          <w:rFonts w:cs="Times New Roman"/>
          <w:szCs w:val="24"/>
        </w:rPr>
        <w:t xml:space="preserve"> </w:t>
      </w:r>
      <w:r w:rsidR="00717D84" w:rsidRPr="00833CE8">
        <w:rPr>
          <w:rFonts w:cs="Times New Roman"/>
          <w:szCs w:val="24"/>
        </w:rPr>
        <w:t xml:space="preserve"> </w:t>
      </w:r>
      <w:r w:rsidR="00B727EF" w:rsidRPr="00833CE8">
        <w:rPr>
          <w:rFonts w:cs="Times New Roman"/>
          <w:szCs w:val="24"/>
        </w:rPr>
        <w:t>This can result in m</w:t>
      </w:r>
      <w:r w:rsidR="003D62B0" w:rsidRPr="00833CE8">
        <w:rPr>
          <w:rFonts w:cs="Times New Roman"/>
          <w:szCs w:val="24"/>
        </w:rPr>
        <w:t>utualis</w:t>
      </w:r>
      <w:r w:rsidR="00B727EF" w:rsidRPr="00833CE8">
        <w:rPr>
          <w:rFonts w:cs="Times New Roman"/>
          <w:szCs w:val="24"/>
        </w:rPr>
        <w:t>m</w:t>
      </w:r>
      <w:r w:rsidR="003D62B0" w:rsidRPr="00833CE8">
        <w:rPr>
          <w:rFonts w:cs="Times New Roman"/>
          <w:szCs w:val="24"/>
        </w:rPr>
        <w:t xml:space="preserve"> of algae dependent on B</w:t>
      </w:r>
      <w:r w:rsidR="003D62B0" w:rsidRPr="00833CE8">
        <w:rPr>
          <w:rFonts w:cs="Times New Roman"/>
          <w:szCs w:val="24"/>
          <w:vertAlign w:val="subscript"/>
        </w:rPr>
        <w:t>12</w:t>
      </w:r>
      <w:r w:rsidR="00B727EF" w:rsidRPr="00833CE8">
        <w:rPr>
          <w:rFonts w:cs="Times New Roman"/>
          <w:szCs w:val="24"/>
        </w:rPr>
        <w:t xml:space="preserve"> (cobalamin)</w:t>
      </w:r>
      <w:r w:rsidR="003D62B0" w:rsidRPr="00833CE8">
        <w:rPr>
          <w:rFonts w:cs="Times New Roman"/>
          <w:szCs w:val="24"/>
        </w:rPr>
        <w:t xml:space="preserve"> with </w:t>
      </w:r>
      <w:r w:rsidR="008928D9" w:rsidRPr="00833CE8">
        <w:rPr>
          <w:rFonts w:cs="Times New Roman"/>
          <w:szCs w:val="24"/>
        </w:rPr>
        <w:t>B</w:t>
      </w:r>
      <w:r w:rsidR="008928D9" w:rsidRPr="00833CE8">
        <w:rPr>
          <w:rFonts w:cs="Times New Roman"/>
          <w:szCs w:val="24"/>
          <w:vertAlign w:val="subscript"/>
        </w:rPr>
        <w:t>12</w:t>
      </w:r>
      <w:r w:rsidR="008928D9" w:rsidRPr="00833CE8">
        <w:rPr>
          <w:rFonts w:cs="Times New Roman"/>
          <w:szCs w:val="24"/>
        </w:rPr>
        <w:t xml:space="preserve">-producing </w:t>
      </w:r>
      <w:r w:rsidR="003D62B0" w:rsidRPr="00833CE8">
        <w:rPr>
          <w:rFonts w:cs="Times New Roman"/>
          <w:szCs w:val="24"/>
        </w:rPr>
        <w:t xml:space="preserve">bacteria </w:t>
      </w:r>
      <w:r w:rsidR="002863D7" w:rsidRPr="00833CE8">
        <w:rPr>
          <w:rFonts w:cs="Times New Roman"/>
          <w:szCs w:val="24"/>
        </w:rPr>
        <w:fldChar w:fldCharType="begin"/>
      </w:r>
      <w:r w:rsidR="00741E01">
        <w:rPr>
          <w:rFonts w:cs="Times New Roman"/>
          <w:szCs w:val="24"/>
        </w:rPr>
        <w:instrText xml:space="preserve"> ADDIN ZOTERO_ITEM CSL_CITATION {"citationID":"RhberrB9","properties":{"formattedCitation":"(Bunbury et al., 2022; Costas-Selas et al., 2024)","plainCitation":"(Bunbury et al., 2022; Costas-Selas et al., 2024)","noteIndex":0},"citationItems":[{"id":4512,"uris":["http://zotero.org/users/764524/items/RSDW573D"],"itemData":{"id":4512,"type":"article-journal","abstract":"Cobalamin (vitamin B12) is a cofactor for essential metabolic reactions in multiple eukaryotic taxa, including major primary producers such as algae, and yet only prokaryotes can produce it. Many bac...","container-title":"Environmental Microbiology","DOI":"10.1111/1462-2920.16035","ISSN":"1462-2920","issue":"7","journalAbbreviation":"Environ. Microbiol.","language":"en","note":"publisher: John Wiley &amp; Sons, Ltd","page":"3134-3147","source":"enviromicro-journals.onlinelibrary.wiley.com","title":"Exploring the onset of B12-based mutualisms using a recently evolved Chlamydomonas auxotroph and B12-producing bacteria","volume":"24","author":[{"family":"Bunbury","given":"Freddy"},{"family":"Deery","given":"Evelyne"},{"family":"Sayer","given":"Andrew P."},{"family":"Bhardwaj","given":"Vaibhav"},{"family":"Harrison","given":"Ellen L."},{"family":"Warren","given":"Martin J."},{"family":"Smith","given":"Alison G."}],"issued":{"date-parts":[["2022",7,1]]}}},{"id":9395,"uris":["http://zotero.org/users/764524/items/KHGSZZKS"],"itemData":{"id":9395,"type":"article-journal","abstract":"Abstract Unveiling the interactions among phytoplankton and bacteria at the level of species requires axenic isolates to experimentally demonstrate their mutual effects. In this study, we describe the interactions among the diatoms Pseudo-nitzschia granii and Chaetoceros tenuissimus and their associated bacterial species, isolated from surface water of a coastal upwelling system using coculture experiments. Microalgae growth was assessed in axenic monocultures or in coculture with each of their co-isolated bacteria in the presence or absence of B vitamins. Pseudo-nitzschia granii growth was limited by B-vitamin supply, except when cultured with the bacteria Jannaschia cystaugens, which seemed to provide adequate levels of B vitamins to the diatom. Chaetoceros tenuissimus growth was reduced in the absence of B vitamins. Moreover, the growth of C.?tenuissimus was stimulated by Alteromonas sp. and Celeribacter baekdonensis during the exponential growth. These results show a diversity of specific interactions between the diatoms and co-isolated bacteria, ranging from allelopathy to commensalism. Understanding how interactions between phytoplankton and bacteria modulate the structure and function of marine microbial plankton communities will contribute to a greater knowledge of plankton ecology and improve our ability to predict nutrient fluxes in marine ecosystems or the formation of blooms in a context of global change.","container-title":"Journal of Phycology","DOI":"10.1111/jpy.13515","ISSN":"0022-3646","issue":"n/a","journalAbbreviation":"J. Phycol.","note":"publisher: John Wiley &amp; Sons, Ltd","page":"1-15","title":"Unveiling interactions mediated by B vitamins between diatoms and their associated bacteria from cocultures","volume":"n/a","author":[{"family":"Costas-Selas","given":"Cecilia"},{"family":"Martínez-García","given":"Sandra"},{"family":"Pinhassi","given":"Jarone"},{"family":"Fernández","given":"Emilio"},{"family":"Teira","given":"Eva"}],"issued":{"date-parts":[["2024",10,16]]}}}],"schema":"https://github.com/citation-style-language/schema/raw/master/csl-citation.json"} </w:instrText>
      </w:r>
      <w:r w:rsidR="002863D7" w:rsidRPr="00833CE8">
        <w:rPr>
          <w:rFonts w:cs="Times New Roman"/>
          <w:szCs w:val="24"/>
        </w:rPr>
        <w:fldChar w:fldCharType="separate"/>
      </w:r>
      <w:r w:rsidR="006D1AC8" w:rsidRPr="006D1AC8">
        <w:rPr>
          <w:rFonts w:cs="Times New Roman"/>
        </w:rPr>
        <w:t>(Bunbury et al., 2022; Costas-Selas et al., 2024)</w:t>
      </w:r>
      <w:r w:rsidR="002863D7" w:rsidRPr="00833CE8">
        <w:rPr>
          <w:rFonts w:cs="Times New Roman"/>
          <w:szCs w:val="24"/>
        </w:rPr>
        <w:fldChar w:fldCharType="end"/>
      </w:r>
      <w:r w:rsidR="008C4E34" w:rsidRPr="00833CE8">
        <w:rPr>
          <w:rFonts w:cs="Times New Roman"/>
          <w:szCs w:val="24"/>
        </w:rPr>
        <w:t>.</w:t>
      </w:r>
      <w:r w:rsidR="00065B4D" w:rsidRPr="00833CE8">
        <w:rPr>
          <w:rFonts w:cs="Times New Roman"/>
          <w:szCs w:val="24"/>
        </w:rPr>
        <w:t xml:space="preserve">  </w:t>
      </w:r>
      <w:r w:rsidR="007C6CC1" w:rsidRPr="00833CE8">
        <w:rPr>
          <w:rFonts w:cs="Times New Roman"/>
          <w:szCs w:val="24"/>
        </w:rPr>
        <w:t xml:space="preserve">In addition to </w:t>
      </w:r>
      <w:r w:rsidR="006B1633" w:rsidRPr="00833CE8">
        <w:rPr>
          <w:rFonts w:cs="Times New Roman"/>
          <w:szCs w:val="24"/>
        </w:rPr>
        <w:t xml:space="preserve">the benefits to </w:t>
      </w:r>
      <w:r w:rsidR="007C6CC1" w:rsidRPr="00833CE8">
        <w:rPr>
          <w:rFonts w:cs="Times New Roman"/>
          <w:szCs w:val="24"/>
        </w:rPr>
        <w:t>symbiotic microalgae, B</w:t>
      </w:r>
      <w:r w:rsidR="007C6CC1" w:rsidRPr="00833CE8">
        <w:rPr>
          <w:rFonts w:cs="Times New Roman"/>
          <w:szCs w:val="24"/>
          <w:vertAlign w:val="subscript"/>
        </w:rPr>
        <w:t>12</w:t>
      </w:r>
      <w:r w:rsidR="007C6CC1" w:rsidRPr="00833CE8">
        <w:rPr>
          <w:rFonts w:cs="Times New Roman"/>
          <w:szCs w:val="24"/>
        </w:rPr>
        <w:t xml:space="preserve"> has also been shown to protect </w:t>
      </w:r>
      <w:r w:rsidR="008C4E34" w:rsidRPr="00833CE8">
        <w:rPr>
          <w:rFonts w:cs="Times New Roman"/>
          <w:szCs w:val="24"/>
        </w:rPr>
        <w:t>bacteria at high temp</w:t>
      </w:r>
      <w:r w:rsidR="007C6CC1" w:rsidRPr="00833CE8">
        <w:rPr>
          <w:rFonts w:cs="Times New Roman"/>
          <w:szCs w:val="24"/>
        </w:rPr>
        <w:t>erature</w:t>
      </w:r>
      <w:r w:rsidR="008C4E34" w:rsidRPr="00833CE8">
        <w:rPr>
          <w:rFonts w:cs="Times New Roman"/>
          <w:szCs w:val="24"/>
        </w:rPr>
        <w:t>s</w:t>
      </w:r>
      <w:r w:rsidR="007C6CC1" w:rsidRPr="00833CE8">
        <w:rPr>
          <w:rFonts w:cs="Times New Roman"/>
          <w:szCs w:val="24"/>
        </w:rPr>
        <w:t xml:space="preserve">, including those in the environment </w:t>
      </w:r>
      <w:r w:rsidR="00050E7A" w:rsidRPr="00833CE8">
        <w:rPr>
          <w:rFonts w:cs="Times New Roman"/>
          <w:szCs w:val="24"/>
        </w:rPr>
        <w:t>incapable of</w:t>
      </w:r>
      <w:r w:rsidR="007C6CC1" w:rsidRPr="00833CE8">
        <w:rPr>
          <w:rFonts w:cs="Times New Roman"/>
          <w:szCs w:val="24"/>
        </w:rPr>
        <w:t xml:space="preserve"> produc</w:t>
      </w:r>
      <w:r w:rsidR="00050E7A" w:rsidRPr="00833CE8">
        <w:rPr>
          <w:rFonts w:cs="Times New Roman"/>
          <w:szCs w:val="24"/>
        </w:rPr>
        <w:t>ing</w:t>
      </w:r>
      <w:r w:rsidR="007C6CC1" w:rsidRPr="00833CE8">
        <w:rPr>
          <w:rFonts w:cs="Times New Roman"/>
          <w:szCs w:val="24"/>
        </w:rPr>
        <w:t xml:space="preserve"> it themselves</w:t>
      </w:r>
      <w:r w:rsidR="008C4E34" w:rsidRPr="00833CE8">
        <w:rPr>
          <w:rFonts w:cs="Times New Roman"/>
          <w:szCs w:val="24"/>
        </w:rPr>
        <w:t xml:space="preserve"> </w:t>
      </w:r>
      <w:r w:rsidR="008C4E34" w:rsidRPr="00833CE8">
        <w:rPr>
          <w:rFonts w:cs="Times New Roman"/>
          <w:szCs w:val="24"/>
        </w:rPr>
        <w:fldChar w:fldCharType="begin"/>
      </w:r>
      <w:r w:rsidR="005522CA" w:rsidRPr="00833CE8">
        <w:rPr>
          <w:rFonts w:cs="Times New Roman"/>
          <w:szCs w:val="24"/>
        </w:rPr>
        <w:instrText xml:space="preserve"> ADDIN ZOTERO_ITEM CSL_CITATION {"citationID":"aAR7njrt","properties":{"formattedCitation":"(Brisbin et al., 2023)","plainCitation":"(Brisbin et al., 2023)","noteIndex":0},"citationItems":[{"id":4493,"uris":["http://zotero.org/users/764524/items/9VPTBA8L"],"itemData":{"id":4493,"type":"article-journal","abstract":"Many marine microbes require vitamin B12 (cobalamin) but are unable to synthesize it, necessitating reliance on other B12-producing microbes. Thus, phytoplankton and bacterioplankton community dynamics can partially depend on the production and release of a limiting resource by members of the same community. We tested the impact of temperature and B12 availability on the growth of two bacterial taxa commonly associated with phytoplankton: Ruegeria pomeroyi, which produces B12 and fulfills the B12 requirements of some phytoplankton, and Alteromonas macleodii, which does not produce B12 but also does not strictly require it for growth. For B12-producing R. pomeroyi, we further tested how temperature influences B12 production and release. Access to B12 significantly increased growth rates of both species at the highest temperatures tested (38 °C for R. pomeroyi, 40 °C for A. macleodii) and A. macleodii biomass was significantly reduced when grown at high temperatures without B12, indicating that B12 is protective at high temperatures. Moreover, R. pomeroyi produced more B12 at warmer temperatures but did not release detectable amounts of B12 at any temperature tested. Results imply that increasing temperatures and more frequent marine heatwaves with climate change will influence microbial B12 dynamics and could interrupt symbiotic resource sharing.","container-title":"ISME Communications","DOI":"10.1038/s43705-023-00298-6","ISSN":"2730-6151","issue":"1","journalAbbreviation":"ISME Commun.","language":"en","license":"2023 The Author(s)","note":"publisher: Nature Publishing Group","page":"1-4","source":"www.nature.com","title":"Vitamin B12 conveys a protective advantage to phycosphere-associated bacteria at high temperatures","volume":"3","author":[{"family":"Brisbin","given":"Margaret Mars"},{"family":"Schofield","given":"Alese"},{"family":"McIlvin","given":"Matthew R."},{"family":"Krinos","given":"Arianna I."},{"family":"Alexander","given":"Harriet"},{"family":"Saito","given":"Mak A."}],"issued":{"date-parts":[["2023",8,25]]}}}],"schema":"https://github.com/citation-style-language/schema/raw/master/csl-citation.json"} </w:instrText>
      </w:r>
      <w:r w:rsidR="008C4E34" w:rsidRPr="00833CE8">
        <w:rPr>
          <w:rFonts w:cs="Times New Roman"/>
          <w:szCs w:val="24"/>
        </w:rPr>
        <w:fldChar w:fldCharType="separate"/>
      </w:r>
      <w:r w:rsidR="001B155B" w:rsidRPr="00833CE8">
        <w:rPr>
          <w:rFonts w:cs="Times New Roman"/>
        </w:rPr>
        <w:t>(Brisbin et al., 2023)</w:t>
      </w:r>
      <w:r w:rsidR="008C4E34" w:rsidRPr="00833CE8">
        <w:rPr>
          <w:rFonts w:cs="Times New Roman"/>
          <w:szCs w:val="24"/>
        </w:rPr>
        <w:fldChar w:fldCharType="end"/>
      </w:r>
      <w:r w:rsidR="008C4E34" w:rsidRPr="00833CE8">
        <w:rPr>
          <w:rFonts w:cs="Times New Roman"/>
          <w:szCs w:val="24"/>
        </w:rPr>
        <w:t xml:space="preserve">.  </w:t>
      </w:r>
      <w:r w:rsidR="006B1633" w:rsidRPr="00833CE8">
        <w:rPr>
          <w:rFonts w:cs="Times New Roman"/>
          <w:szCs w:val="24"/>
        </w:rPr>
        <w:t xml:space="preserve">Other </w:t>
      </w:r>
      <w:r w:rsidR="00050E7A" w:rsidRPr="00833CE8">
        <w:rPr>
          <w:rFonts w:cs="Times New Roman"/>
          <w:szCs w:val="24"/>
        </w:rPr>
        <w:t xml:space="preserve">B </w:t>
      </w:r>
      <w:r w:rsidR="006B1633" w:rsidRPr="00833CE8">
        <w:rPr>
          <w:rFonts w:cs="Times New Roman"/>
          <w:szCs w:val="24"/>
        </w:rPr>
        <w:t xml:space="preserve">vitamins that have been demonstrated to be synthesized by bacteria and used by microalgae include </w:t>
      </w:r>
      <w:r w:rsidR="00065B4D" w:rsidRPr="00833CE8">
        <w:rPr>
          <w:rFonts w:cs="Times New Roman"/>
          <w:szCs w:val="24"/>
        </w:rPr>
        <w:t>thiamine</w:t>
      </w:r>
      <w:r w:rsidR="006B1633" w:rsidRPr="00833CE8">
        <w:rPr>
          <w:rFonts w:cs="Times New Roman"/>
          <w:szCs w:val="24"/>
        </w:rPr>
        <w:t xml:space="preserve"> (B</w:t>
      </w:r>
      <w:r w:rsidR="006B1633" w:rsidRPr="00833CE8">
        <w:rPr>
          <w:rFonts w:cs="Times New Roman"/>
          <w:szCs w:val="24"/>
          <w:vertAlign w:val="subscript"/>
        </w:rPr>
        <w:t>1</w:t>
      </w:r>
      <w:r w:rsidR="006B1633" w:rsidRPr="00833CE8">
        <w:rPr>
          <w:rFonts w:cs="Times New Roman"/>
          <w:szCs w:val="24"/>
        </w:rPr>
        <w:t>)</w:t>
      </w:r>
      <w:r w:rsidR="00065B4D" w:rsidRPr="00833CE8">
        <w:rPr>
          <w:rFonts w:cs="Times New Roman"/>
          <w:szCs w:val="24"/>
        </w:rPr>
        <w:t xml:space="preserve"> </w:t>
      </w:r>
      <w:r w:rsidR="00065B4D" w:rsidRPr="00833CE8">
        <w:rPr>
          <w:rFonts w:cs="Times New Roman"/>
          <w:szCs w:val="24"/>
        </w:rPr>
        <w:fldChar w:fldCharType="begin"/>
      </w:r>
      <w:r w:rsidR="005522CA" w:rsidRPr="00833CE8">
        <w:rPr>
          <w:rFonts w:cs="Times New Roman"/>
          <w:szCs w:val="24"/>
        </w:rPr>
        <w:instrText xml:space="preserve"> ADDIN ZOTERO_ITEM CSL_CITATION {"citationID":"nSsQ1n5x","properties":{"formattedCitation":"(Wienhausen et al., 2017)","plainCitation":"(Wienhausen et al., 2017)","noteIndex":0},"citationItems":[{"id":4495,"uris":["http://zotero.org/users/764524/items/MXUTFMW2"],"itemData":{"id":4495,"type":"article-journal","abstract":"Recent studies applying Fourier transform ion cyclotron resonance mass spectrometry (FT-ICR-MS) showed that the exometabolome of marine bacteria is composed of a surprisingly high molecular diversity. To shed more light on how this diversity is generated we examined the exometabolome of two model strains of the Roseobacter group, Phaeobacter inhibens and Dinoroseobacter shibae, grown on glutamate, glucose, acetate or succinate by FT-ICR-MS. We detected 2,767 and 3,354 molecular formulas in the exometabolome of each strain and 67 and 84 matched genome-predicted metabolites of P. inhibens and D. shibae, respectively. The annotated compounds include late precursors of biosynthetic pathways of vitamins B1, B2, B5, B6, B7, B12, amino acids, quorum sensing-related compounds, indole acetic acid and methyl-(indole-3-yl) acetic acid. Several formulas were also found in phytoplankton blooms. To shed more light on the effects of some of the precursors we supplemented two B1 prototrophic diatoms with the detected precursor of vitamin B1 HET (4-methyl-5-(β-hydroxyethyl)thiazole) and HMP (4-amino-5-hydroxymethyl-2-methylpyrimidine) and found that their growth was stimulated. Our findings indicate that both strains and other bacteria excreting a similar wealth of metabolites may function as important helpers to auxotrophic and prototrophic marine microbes by supplying growth factors and biosynthetic precursors.","container-title":"Frontiers in Microbiology","DOI":"10.3389/fmicb.2017.01985","ISSN":"1664-302X","journalAbbreviation":"Front. Microbiol.","language":"eng","note":"PMID: 29075248\nPMCID: PMC5643483","page":"1985","source":"PubMed","title":"The Exometabolome of Two Model Strains of the Roseobacter Group: A Marketplace of Microbial Metabolites","title-short":"The Exometabolome of Two Model Strains of the Roseobacter Group","volume":"8","author":[{"family":"Wienhausen","given":"Gerrit"},{"family":"Noriega-Ortega","given":"Beatriz E."},{"family":"Niggemann","given":"Jutta"},{"family":"Dittmar","given":"Thorsten"},{"family":"Simon","given":"Meinhard"}],"issued":{"date-parts":[["2017"]]}}}],"schema":"https://github.com/citation-style-language/schema/raw/master/csl-citation.json"} </w:instrText>
      </w:r>
      <w:r w:rsidR="00065B4D" w:rsidRPr="00833CE8">
        <w:rPr>
          <w:rFonts w:cs="Times New Roman"/>
          <w:szCs w:val="24"/>
        </w:rPr>
        <w:fldChar w:fldCharType="separate"/>
      </w:r>
      <w:r w:rsidR="009F150C" w:rsidRPr="00833CE8">
        <w:rPr>
          <w:rFonts w:cs="Times New Roman"/>
        </w:rPr>
        <w:t>(Wienhausen et al., 2017)</w:t>
      </w:r>
      <w:r w:rsidR="00065B4D" w:rsidRPr="00833CE8">
        <w:rPr>
          <w:rFonts w:cs="Times New Roman"/>
          <w:szCs w:val="24"/>
        </w:rPr>
        <w:fldChar w:fldCharType="end"/>
      </w:r>
      <w:r w:rsidR="006B1633" w:rsidRPr="00833CE8">
        <w:rPr>
          <w:rFonts w:cs="Times New Roman"/>
          <w:szCs w:val="24"/>
        </w:rPr>
        <w:t xml:space="preserve">, </w:t>
      </w:r>
      <w:r w:rsidR="00757561" w:rsidRPr="00833CE8">
        <w:rPr>
          <w:rFonts w:cs="Times New Roman"/>
          <w:szCs w:val="24"/>
        </w:rPr>
        <w:t>niacin (B</w:t>
      </w:r>
      <w:r w:rsidR="00757561" w:rsidRPr="00833CE8">
        <w:rPr>
          <w:rFonts w:cs="Times New Roman"/>
          <w:szCs w:val="24"/>
          <w:vertAlign w:val="subscript"/>
        </w:rPr>
        <w:t>3</w:t>
      </w:r>
      <w:r w:rsidR="00757561" w:rsidRPr="00833CE8">
        <w:rPr>
          <w:rFonts w:cs="Times New Roman"/>
          <w:szCs w:val="24"/>
        </w:rPr>
        <w:t>), biotin (B</w:t>
      </w:r>
      <w:r w:rsidR="00757561" w:rsidRPr="00833CE8">
        <w:rPr>
          <w:rFonts w:cs="Times New Roman"/>
          <w:szCs w:val="24"/>
          <w:vertAlign w:val="subscript"/>
        </w:rPr>
        <w:t>7</w:t>
      </w:r>
      <w:r w:rsidR="00757561" w:rsidRPr="00833CE8">
        <w:rPr>
          <w:rFonts w:cs="Times New Roman"/>
          <w:szCs w:val="24"/>
        </w:rPr>
        <w:t xml:space="preserve">), and </w:t>
      </w:r>
      <w:r w:rsidR="00757561" w:rsidRPr="00833CE8">
        <w:rPr>
          <w:rStyle w:val="Emphasis"/>
          <w:rFonts w:cs="Times New Roman"/>
          <w:szCs w:val="24"/>
        </w:rPr>
        <w:t>p-</w:t>
      </w:r>
      <w:r w:rsidR="00757561" w:rsidRPr="00833CE8">
        <w:rPr>
          <w:rFonts w:cs="Times New Roman"/>
          <w:szCs w:val="24"/>
        </w:rPr>
        <w:t xml:space="preserve">aminobenzoic acid, a precursor </w:t>
      </w:r>
      <w:r w:rsidR="003E581C">
        <w:rPr>
          <w:rFonts w:cs="Times New Roman"/>
          <w:szCs w:val="24"/>
        </w:rPr>
        <w:t>of</w:t>
      </w:r>
      <w:r w:rsidR="00757561" w:rsidRPr="00833CE8">
        <w:rPr>
          <w:rFonts w:cs="Times New Roman"/>
          <w:szCs w:val="24"/>
        </w:rPr>
        <w:t xml:space="preserve"> folate (B</w:t>
      </w:r>
      <w:r w:rsidR="00757561" w:rsidRPr="00833CE8">
        <w:rPr>
          <w:rFonts w:cs="Times New Roman"/>
          <w:szCs w:val="24"/>
          <w:vertAlign w:val="subscript"/>
        </w:rPr>
        <w:t>9</w:t>
      </w:r>
      <w:r w:rsidR="00757561" w:rsidRPr="00833CE8">
        <w:rPr>
          <w:rFonts w:cs="Times New Roman"/>
          <w:szCs w:val="24"/>
        </w:rPr>
        <w:t xml:space="preserve">) </w:t>
      </w:r>
      <w:r w:rsidR="00BC5ECA" w:rsidRPr="00833CE8">
        <w:rPr>
          <w:rFonts w:cs="Times New Roman"/>
          <w:szCs w:val="24"/>
        </w:rPr>
        <w:fldChar w:fldCharType="begin"/>
      </w:r>
      <w:r w:rsidR="009F150C" w:rsidRPr="00833CE8">
        <w:rPr>
          <w:rFonts w:cs="Times New Roman"/>
          <w:szCs w:val="24"/>
        </w:rPr>
        <w:instrText xml:space="preserve"> ADDIN ZOTERO_ITEM CSL_CITATION {"citationID":"NJARbN74","properties":{"formattedCitation":"(Cooper et al., 2019)","plainCitation":"(Cooper et al., 2019)","noteIndex":0},"citationItems":[{"id":4518,"uris":["http://zotero.org/users/764524/items/8SPTBSCT"],"itemData":{"id":4518,"type":"article-journal","abstract":"Ostreococcus tauri, a picoeukaryotic alga that contributes significantly to primary production in oligotrophic waters, has a highly streamlined genome, lacking the genetic capacity to grow without the vitamins thiamine (B1) and cobalamin (B12). Here we demonstrate that the B12 and B1 auxotrophy of O. tauri can be alleviated by co-culturing with a heterotrophic bacterial partner Dinoroseobacter shibae, a member of the Rhodobacteraceae family of alpha-proteobacteria, genera of which are frequently found associated with marine algae. D. shibae lacks the complete pathway to synthesise three other B-vitamins: niacin (B3), biotin (B7), and p-aminobenzoic acid (a precursor for folate, B9), and the alga is in turn able to satisfy the reciprocal vitamin requirements of its bacterial partner in a stable long-term co-culture. Bioinformatics searches of 197 representative marine bacteria with sequenced genomes identified just nine species that had a similar combination of traits (ability to make vitamin B12, but missing one or more genes for niacin and biotin biosynthesis enzymes), all of which were from the Rhodobacteraceae. Further analysis of 70 species from this family revealed the majority encoded the B12 pathway, but only half were able to make niacin, and fewer than 13% biotin. These characteristics may have either contributed to or resulted from the tendency of members of this lineage to adopt lifestyles in close association with algae. This study provides a nuanced view of bacterial–phytoplankton interactions, emphasising the complexity of the sources, sinks and dynamic cycling between marine microbes of these important organic micronutrients.","container-title":"The ISME Journal","DOI":"10.1038/s41396-018-0274-y","ISSN":"1751-7362","issue":"2","journalAbbreviation":"ISME J.","page":"334-345","source":"Silverchair","title":"Cross-exchange of B-vitamins underpins a mutualistic interaction between Ostreococcus tauri and Dinoroseobacter shibae","volume":"13","author":[{"family":"Cooper","given":"Matthew B"},{"family":"Kazamia","given":"Elena"},{"family":"Helliwell","given":"Katherine E"},{"family":"Kudahl","given":"Ulrich Johan"},{"family":"Sayer","given":"Andrew"},{"family":"Wheeler","given":"Glen L"},{"family":"Smith","given":"Alison G"}],"issued":{"date-parts":[["2019",2,1]]}}}],"schema":"https://github.com/citation-style-language/schema/raw/master/csl-citation.json"} </w:instrText>
      </w:r>
      <w:r w:rsidR="00BC5ECA" w:rsidRPr="00833CE8">
        <w:rPr>
          <w:rFonts w:cs="Times New Roman"/>
          <w:szCs w:val="24"/>
        </w:rPr>
        <w:fldChar w:fldCharType="separate"/>
      </w:r>
      <w:r w:rsidR="009F150C" w:rsidRPr="00833CE8">
        <w:rPr>
          <w:rFonts w:cs="Times New Roman"/>
        </w:rPr>
        <w:t>(Cooper et al., 2019)</w:t>
      </w:r>
      <w:r w:rsidR="00BC5ECA" w:rsidRPr="00833CE8">
        <w:rPr>
          <w:rFonts w:cs="Times New Roman"/>
          <w:szCs w:val="24"/>
        </w:rPr>
        <w:fldChar w:fldCharType="end"/>
      </w:r>
      <w:r w:rsidR="00757561" w:rsidRPr="00833CE8">
        <w:rPr>
          <w:rFonts w:cs="Times New Roman"/>
          <w:szCs w:val="24"/>
        </w:rPr>
        <w:t>.</w:t>
      </w:r>
      <w:r w:rsidR="009E7584" w:rsidRPr="00833CE8">
        <w:rPr>
          <w:rFonts w:cs="Times New Roman"/>
          <w:szCs w:val="24"/>
        </w:rPr>
        <w:t xml:space="preserve">  </w:t>
      </w:r>
      <w:r w:rsidR="002402DF">
        <w:rPr>
          <w:rFonts w:cs="Times New Roman"/>
          <w:szCs w:val="24"/>
        </w:rPr>
        <w:t xml:space="preserve">Similarly, </w:t>
      </w:r>
      <w:r w:rsidR="002402DF" w:rsidRPr="002402DF">
        <w:rPr>
          <w:rFonts w:cs="Times New Roman"/>
          <w:i/>
          <w:iCs/>
          <w:szCs w:val="24"/>
        </w:rPr>
        <w:t xml:space="preserve">Scenedesmus </w:t>
      </w:r>
      <w:proofErr w:type="spellStart"/>
      <w:r w:rsidR="002402DF" w:rsidRPr="002402DF">
        <w:rPr>
          <w:rFonts w:cs="Times New Roman"/>
          <w:i/>
          <w:iCs/>
          <w:szCs w:val="24"/>
        </w:rPr>
        <w:t>quadricauda</w:t>
      </w:r>
      <w:proofErr w:type="spellEnd"/>
      <w:r w:rsidR="002402DF">
        <w:rPr>
          <w:rFonts w:cs="Times New Roman"/>
          <w:i/>
          <w:iCs/>
          <w:szCs w:val="24"/>
        </w:rPr>
        <w:t xml:space="preserve"> </w:t>
      </w:r>
      <w:r w:rsidR="002402DF">
        <w:rPr>
          <w:rFonts w:cs="Times New Roman"/>
          <w:szCs w:val="24"/>
        </w:rPr>
        <w:t xml:space="preserve">has been shown to be associated with a number of bacteria, including species of </w:t>
      </w:r>
      <w:proofErr w:type="spellStart"/>
      <w:r w:rsidR="002402DF" w:rsidRPr="002402DF">
        <w:rPr>
          <w:rFonts w:cs="Times New Roman"/>
          <w:i/>
          <w:szCs w:val="24"/>
        </w:rPr>
        <w:t>Variovorax</w:t>
      </w:r>
      <w:proofErr w:type="spellEnd"/>
      <w:r w:rsidR="002402DF">
        <w:rPr>
          <w:rFonts w:cs="Times New Roman"/>
          <w:szCs w:val="24"/>
        </w:rPr>
        <w:t xml:space="preserve"> and </w:t>
      </w:r>
      <w:proofErr w:type="spellStart"/>
      <w:r w:rsidR="002402DF" w:rsidRPr="002402DF">
        <w:rPr>
          <w:rFonts w:cs="Times New Roman"/>
          <w:i/>
          <w:iCs/>
          <w:szCs w:val="24"/>
        </w:rPr>
        <w:t>Porphyrobacter</w:t>
      </w:r>
      <w:proofErr w:type="spellEnd"/>
      <w:r w:rsidR="002402DF">
        <w:rPr>
          <w:rFonts w:cs="Times New Roman"/>
          <w:i/>
          <w:iCs/>
          <w:szCs w:val="24"/>
        </w:rPr>
        <w:t xml:space="preserve"> </w:t>
      </w:r>
      <w:r w:rsidR="002402DF" w:rsidRPr="002402DF">
        <w:rPr>
          <w:rFonts w:cs="Times New Roman"/>
          <w:szCs w:val="24"/>
        </w:rPr>
        <w:t xml:space="preserve">which </w:t>
      </w:r>
      <w:r w:rsidR="002402DF">
        <w:rPr>
          <w:rFonts w:cs="Times New Roman"/>
          <w:szCs w:val="24"/>
        </w:rPr>
        <w:t xml:space="preserve">provide B vitamins to the algae in exchange for organic carbon </w:t>
      </w:r>
      <w:r w:rsidR="002402DF">
        <w:rPr>
          <w:rFonts w:cs="Times New Roman"/>
          <w:szCs w:val="24"/>
        </w:rPr>
        <w:fldChar w:fldCharType="begin"/>
      </w:r>
      <w:r w:rsidR="00CA23D8">
        <w:rPr>
          <w:rFonts w:cs="Times New Roman"/>
          <w:szCs w:val="24"/>
        </w:rPr>
        <w:instrText xml:space="preserve"> ADDIN ZOTERO_ITEM CSL_CITATION {"citationID":"cp4XzBn9","properties":{"formattedCitation":"(Astafyeva et al., 2022)","plainCitation":"(Astafyeva et al., 2022)","noteIndex":0},"citationItems":[{"id":9474,"uris":["http://zotero.org/users/764524/items/LE7JILT4"],"itemData":{"id":9474,"type":"article-journal","abstract":"Microalgae are one of the most dominant forms of life on earth that is tightly associated with a distinct and specialized microbiota. We have previously shown that the microbiota of Scenedesmus quadricauda harbors less than 10 distinct microbial species. Here, we provide evidence that dominant species are affiliated with the genera of Variovorax, Porphyrobacter, and Dyadobacter. Experimental and transcriptome-based evidence implies that within this multispecies interaction, Dyadobacter is a key to alga growth and fitness and is highly adapted to live in the phycosphere. While presumably under light conditions the alga provides the energy source to the bacteria, Dyadobacter produces and releases mainly a large variety of polysaccharides modifying enzymes. This is coherent with high-level expression of the T9SS in alga cocultures. The transcriptome data further imply that quorum-quenching proteins (QQ) and biosynthesis of vitamins B1, B2, B5, B6, and B9 are expressed by Dyadobacter at high levels in comparison to Variovorax and Porphyrobacter. Notably, Dyadobacter produces a significant number of leucine-rich repeat (LRR) proteins and enzymes involved in bacterial reactive oxygen species (ROS) tolerance. Complementary to this, Variovorax expresses the genes of the biosynthesis of vitamins B2, B5, B6, B7, B9, and B12, and Porphyrobacter is specialized in the production of vitamins B2 and B6. Thus, the shared currency between partners are vitamins, microalgae growth-promoting substances, and dissolved carbon. This work significantly enlarges our knowledge on alga-bacteria interaction and demonstrates physiological investigations of microalgae and associated bacteria, using microscopy observations, photosynthetic activity measurements, and flow cytometry.\nIMPORTANCE The current study gives a detailed insight into mutualistic collaboration of microalgae and bacteria, including the involvement of competitive interplay between bacteria. We provide experimental evidence that Gram-negative bacteria belonging to the Dyadobacter, Porphyrobacter, and Variovorax are the key players in a Scenedesmus quadricauda alga-bacteria interaction. We impart strong evidence that Dyadobacter produces and releases polysaccharides degradation enzymes and leucine-rich repeat proteins; Variovorax supplies the consortium with auxins and vitamin B12, while Porphyrobacter produces a broad spectrum of B vitamins. We show not only that the microalgae collaborate with the bacteria and vice versa but also that the bacteria interact with each other via quorum-sensing and secretion system mechanisms. The shared currency between partners appears to be vitamins, microalgae growth-promoting substances, and dissolved carbon.","container-title":"Microbiology Spectrum","DOI":"10.1128/spectrum.00633-22","issue":"4","journalAbbreviation":"Microbiol. Spect.","note":"publisher: American Society for Microbiology","page":"e00633-22","source":"journals.asm.org (Atypon)","title":"Microalgae and Bacteria Interaction—Evidence for Division of Diligence in the Alga Microbiota","volume":"10","author":[{"family":"Astafyeva","given":"Yekaterina"},{"family":"Gurschke","given":"Marno"},{"family":"Qi","given":"Minyue"},{"family":"Bergmann","given":"Lutgardis"},{"family":"Indenbirken","given":"Daniela"},{"family":"Grahl","given":"Imke","non-dropping-particle":"de"},{"family":"Katzowitsch","given":"Elena"},{"family":"Reumann","given":"Sigrun"},{"family":"Hanelt","given":"Dieter"},{"family":"Alawi","given":"Malik"},{"family":"Streit","given":"Wolfgang R."},{"family":"Krohn","given":"Ines"}],"issued":{"date-parts":[["2022",8]]}}}],"schema":"https://github.com/citation-style-language/schema/raw/master/csl-citation.json"} </w:instrText>
      </w:r>
      <w:r w:rsidR="002402DF">
        <w:rPr>
          <w:rFonts w:cs="Times New Roman"/>
          <w:szCs w:val="24"/>
        </w:rPr>
        <w:fldChar w:fldCharType="separate"/>
      </w:r>
      <w:r w:rsidR="002402DF" w:rsidRPr="002402DF">
        <w:rPr>
          <w:rFonts w:cs="Times New Roman"/>
        </w:rPr>
        <w:t>(Astafyeva et al., 2022)</w:t>
      </w:r>
      <w:r w:rsidR="002402DF">
        <w:rPr>
          <w:rFonts w:cs="Times New Roman"/>
          <w:szCs w:val="24"/>
        </w:rPr>
        <w:fldChar w:fldCharType="end"/>
      </w:r>
      <w:r w:rsidR="002402DF">
        <w:rPr>
          <w:rFonts w:cs="Times New Roman"/>
          <w:szCs w:val="24"/>
        </w:rPr>
        <w:t>.</w:t>
      </w:r>
    </w:p>
    <w:p w14:paraId="5DB16D79" w14:textId="14030F66" w:rsidR="00D12891" w:rsidRPr="00833CE8" w:rsidRDefault="00D12891" w:rsidP="00C31A9C">
      <w:pPr>
        <w:tabs>
          <w:tab w:val="center" w:pos="4822"/>
        </w:tabs>
        <w:snapToGrid w:val="0"/>
        <w:spacing w:line="360" w:lineRule="auto"/>
        <w:ind w:firstLine="284"/>
        <w:jc w:val="both"/>
        <w:rPr>
          <w:rFonts w:cs="Times New Roman"/>
          <w:szCs w:val="24"/>
        </w:rPr>
      </w:pPr>
      <w:r w:rsidRPr="00833CE8">
        <w:rPr>
          <w:rFonts w:cs="Times New Roman"/>
          <w:szCs w:val="24"/>
        </w:rPr>
        <w:t xml:space="preserve">It should be noted that </w:t>
      </w:r>
      <w:r w:rsidR="00996890">
        <w:rPr>
          <w:rFonts w:cs="Times New Roman"/>
          <w:szCs w:val="24"/>
        </w:rPr>
        <w:t>the</w:t>
      </w:r>
      <w:r w:rsidR="00F37570">
        <w:rPr>
          <w:rFonts w:cs="Times New Roman"/>
          <w:szCs w:val="24"/>
        </w:rPr>
        <w:t xml:space="preserve"> spatial and temporal dynamics of</w:t>
      </w:r>
      <w:r w:rsidR="00996890">
        <w:rPr>
          <w:rFonts w:cs="Times New Roman"/>
          <w:szCs w:val="24"/>
        </w:rPr>
        <w:t xml:space="preserve"> </w:t>
      </w:r>
      <w:r w:rsidRPr="00833CE8">
        <w:rPr>
          <w:rFonts w:cs="Times New Roman"/>
          <w:szCs w:val="24"/>
        </w:rPr>
        <w:t xml:space="preserve">diffusion play a role in how these nutrients control microbial growth </w:t>
      </w:r>
      <w:r w:rsidR="00AC4371" w:rsidRPr="00833CE8">
        <w:rPr>
          <w:rFonts w:cs="Times New Roman"/>
          <w:szCs w:val="24"/>
        </w:rPr>
        <w:fldChar w:fldCharType="begin"/>
      </w:r>
      <w:r w:rsidR="009F150C" w:rsidRPr="00833CE8">
        <w:rPr>
          <w:rFonts w:cs="Times New Roman"/>
          <w:szCs w:val="24"/>
        </w:rPr>
        <w:instrText xml:space="preserve"> ADDIN ZOTERO_ITEM CSL_CITATION {"citationID":"0pnt2b5k","properties":{"formattedCitation":"(Peaudecerf et al., 2018)","plainCitation":"(Peaudecerf et al., 2018)","noteIndex":0},"citationItems":[{"id":4524,"uris":["http://zotero.org/users/764524/items/YND2WH23"],"itemData":{"id":4524,"type":"article-journal","abstract":"The exchange of diffusive metabolites is known to control the spatial patterns formed by microbial populations, as revealed by recent studies in the laboratory. However, the matrices used, such as agarose pads, lack the structured geometry of many natural microbial habitats, including in the soil or on the surfaces of plants or animals. Here we address the important question of how such geometry may control diffusive exchanges and microbial interaction. We model mathematically mutualistic interactions within a minimal unit of structure: two growing reservoirs linked by a diffusive channel through which metabolites are exchanged. The model is applied to study a synthetic mutualism, experimentally parametrized on a model algal-bacterial co-culture. Analytical and numerical solutions of the model predict conditions for the successful establishment of remote mutualisms, and how this depends, often counterintuitively, on diffusion geometry. We connect our findings to understanding complex behavior in synthetic and naturally occurring microbial communities.","container-title":"Physical Review E","DOI":"10.1103/PhysRevE.97.022411","issue":"2","journalAbbreviation":"Phys. Rev. E","note":"publisher: American Physical Society","page":"022411","source":"APS","title":"Microbial mutualism at a distance: The role of geometry in diffusive exchanges","title-short":"Microbial mutualism at a distance","volume":"97","author":[{"family":"Peaudecerf","given":"François J."},{"family":"Bunbury","given":"Freddy"},{"family":"Bhardwaj","given":"Vaibhav"},{"family":"Bees","given":"Martin A."},{"family":"Smith","given":"Alison G."},{"family":"Goldstein","given":"Raymond E."},{"family":"Croze","given":"Ottavio A."}],"issued":{"date-parts":[["2018",2,20]]}}}],"schema":"https://github.com/citation-style-language/schema/raw/master/csl-citation.json"} </w:instrText>
      </w:r>
      <w:r w:rsidR="00AC4371" w:rsidRPr="00833CE8">
        <w:rPr>
          <w:rFonts w:cs="Times New Roman"/>
          <w:szCs w:val="24"/>
        </w:rPr>
        <w:fldChar w:fldCharType="separate"/>
      </w:r>
      <w:r w:rsidR="009F150C" w:rsidRPr="00833CE8">
        <w:rPr>
          <w:rFonts w:cs="Times New Roman"/>
        </w:rPr>
        <w:t>(Peaudecerf et al., 2018)</w:t>
      </w:r>
      <w:r w:rsidR="00AC4371" w:rsidRPr="00833CE8">
        <w:rPr>
          <w:rFonts w:cs="Times New Roman"/>
          <w:szCs w:val="24"/>
        </w:rPr>
        <w:fldChar w:fldCharType="end"/>
      </w:r>
      <w:r w:rsidRPr="00833CE8">
        <w:rPr>
          <w:rFonts w:cs="Times New Roman"/>
          <w:szCs w:val="24"/>
        </w:rPr>
        <w:t>.</w:t>
      </w:r>
      <w:r w:rsidR="00250284" w:rsidRPr="00833CE8">
        <w:rPr>
          <w:rFonts w:cs="Times New Roman"/>
          <w:szCs w:val="24"/>
        </w:rPr>
        <w:t xml:space="preserve">  </w:t>
      </w:r>
      <w:r w:rsidR="00B727EF" w:rsidRPr="00833CE8">
        <w:rPr>
          <w:rFonts w:cs="Times New Roman"/>
          <w:szCs w:val="24"/>
        </w:rPr>
        <w:t>If the bacteria were p</w:t>
      </w:r>
      <w:r w:rsidR="00250284" w:rsidRPr="00833CE8">
        <w:rPr>
          <w:rFonts w:cs="Times New Roman"/>
          <w:szCs w:val="24"/>
        </w:rPr>
        <w:t>lanktonic with uniform dispersity of cells</w:t>
      </w:r>
      <w:r w:rsidR="00B727EF" w:rsidRPr="00833CE8">
        <w:rPr>
          <w:rFonts w:cs="Times New Roman"/>
          <w:szCs w:val="24"/>
        </w:rPr>
        <w:t>,</w:t>
      </w:r>
      <w:r w:rsidR="00250284" w:rsidRPr="00833CE8">
        <w:rPr>
          <w:rFonts w:cs="Times New Roman"/>
          <w:szCs w:val="24"/>
        </w:rPr>
        <w:t xml:space="preserve"> </w:t>
      </w:r>
      <w:r w:rsidR="00B727EF" w:rsidRPr="00833CE8">
        <w:rPr>
          <w:rFonts w:cs="Times New Roman"/>
          <w:szCs w:val="24"/>
        </w:rPr>
        <w:t>these interactions should be identical</w:t>
      </w:r>
      <w:r w:rsidR="00250284" w:rsidRPr="00833CE8">
        <w:rPr>
          <w:rFonts w:cs="Times New Roman"/>
          <w:szCs w:val="24"/>
        </w:rPr>
        <w:t>.  Instead, th</w:t>
      </w:r>
      <w:r w:rsidR="00B727EF" w:rsidRPr="00833CE8">
        <w:rPr>
          <w:rFonts w:cs="Times New Roman"/>
          <w:szCs w:val="24"/>
        </w:rPr>
        <w:t>e speed and ease with which nutrients can diffuse to/from the bacterial cells can result in dramatic changes to the dynamics of these interactions, especially with respect to bacterial biofilms.</w:t>
      </w:r>
    </w:p>
    <w:p w14:paraId="25CBD51C" w14:textId="77777777" w:rsidR="00D12891" w:rsidRPr="00833CE8" w:rsidRDefault="00D12891" w:rsidP="00C31A9C">
      <w:pPr>
        <w:snapToGrid w:val="0"/>
        <w:spacing w:line="360" w:lineRule="auto"/>
        <w:rPr>
          <w:rFonts w:cs="Times New Roman"/>
          <w:i/>
          <w:iCs/>
          <w:szCs w:val="24"/>
        </w:rPr>
      </w:pPr>
    </w:p>
    <w:p w14:paraId="7D7D6A8A" w14:textId="6548EBA0" w:rsidR="00764A05" w:rsidRPr="00833CE8" w:rsidRDefault="008D66BC" w:rsidP="00D73312">
      <w:pPr>
        <w:pStyle w:val="ListParagraph"/>
        <w:numPr>
          <w:ilvl w:val="1"/>
          <w:numId w:val="9"/>
        </w:numPr>
        <w:snapToGrid w:val="0"/>
        <w:spacing w:line="360" w:lineRule="auto"/>
        <w:rPr>
          <w:rFonts w:cs="Times New Roman"/>
          <w:b/>
          <w:bCs/>
          <w:szCs w:val="24"/>
        </w:rPr>
      </w:pPr>
      <w:r w:rsidRPr="00833CE8">
        <w:rPr>
          <w:rFonts w:cs="Times New Roman"/>
          <w:b/>
          <w:bCs/>
          <w:szCs w:val="24"/>
        </w:rPr>
        <w:t xml:space="preserve">Signalling </w:t>
      </w:r>
      <w:r w:rsidR="006C37A6">
        <w:rPr>
          <w:rFonts w:cs="Times New Roman"/>
          <w:b/>
          <w:bCs/>
          <w:szCs w:val="24"/>
        </w:rPr>
        <w:t>M</w:t>
      </w:r>
      <w:r w:rsidRPr="00833CE8">
        <w:rPr>
          <w:rFonts w:cs="Times New Roman"/>
          <w:b/>
          <w:bCs/>
          <w:szCs w:val="24"/>
        </w:rPr>
        <w:t>olecules</w:t>
      </w:r>
      <w:r w:rsidR="0072012B" w:rsidRPr="00833CE8">
        <w:rPr>
          <w:rFonts w:cs="Times New Roman"/>
          <w:b/>
          <w:bCs/>
          <w:szCs w:val="24"/>
        </w:rPr>
        <w:t xml:space="preserve"> </w:t>
      </w:r>
    </w:p>
    <w:p w14:paraId="718B48F0" w14:textId="6C7B1F49" w:rsidR="008D66BC" w:rsidRPr="00833CE8" w:rsidRDefault="00C54E35" w:rsidP="00C31A9C">
      <w:pPr>
        <w:snapToGrid w:val="0"/>
        <w:spacing w:line="360" w:lineRule="auto"/>
        <w:ind w:firstLine="284"/>
        <w:jc w:val="both"/>
        <w:rPr>
          <w:rFonts w:cs="Times New Roman"/>
          <w:szCs w:val="24"/>
        </w:rPr>
      </w:pPr>
      <w:r w:rsidRPr="0056479F">
        <w:rPr>
          <w:rFonts w:cs="Times New Roman"/>
          <w:szCs w:val="24"/>
        </w:rPr>
        <w:t>Microbial m</w:t>
      </w:r>
      <w:r w:rsidR="00E10A18" w:rsidRPr="0056479F">
        <w:rPr>
          <w:rFonts w:cs="Times New Roman"/>
          <w:szCs w:val="24"/>
        </w:rPr>
        <w:t xml:space="preserve">olecular </w:t>
      </w:r>
      <w:r w:rsidR="00F269A1" w:rsidRPr="0056479F">
        <w:rPr>
          <w:rFonts w:cs="Times New Roman"/>
          <w:szCs w:val="24"/>
        </w:rPr>
        <w:t>signalling pathways</w:t>
      </w:r>
      <w:r w:rsidR="00E10A18" w:rsidRPr="0056479F">
        <w:rPr>
          <w:rFonts w:cs="Times New Roman"/>
          <w:szCs w:val="24"/>
        </w:rPr>
        <w:t xml:space="preserve"> </w:t>
      </w:r>
      <w:r w:rsidR="00FA21D1" w:rsidRPr="0056479F">
        <w:rPr>
          <w:rFonts w:cs="Times New Roman"/>
          <w:szCs w:val="24"/>
        </w:rPr>
        <w:t>can impact cell growth and division in response to</w:t>
      </w:r>
      <w:r w:rsidR="00FA21D1" w:rsidRPr="00833CE8">
        <w:rPr>
          <w:rFonts w:cs="Times New Roman"/>
          <w:szCs w:val="24"/>
        </w:rPr>
        <w:t xml:space="preserve"> environmental factors such as population density, </w:t>
      </w:r>
      <w:r w:rsidR="00AB2E35" w:rsidRPr="00833CE8">
        <w:rPr>
          <w:rFonts w:cs="Times New Roman"/>
          <w:szCs w:val="24"/>
        </w:rPr>
        <w:t>the presence of other organisms</w:t>
      </w:r>
      <w:r w:rsidR="00FA21D1" w:rsidRPr="00833CE8">
        <w:rPr>
          <w:rFonts w:cs="Times New Roman"/>
          <w:szCs w:val="24"/>
        </w:rPr>
        <w:t xml:space="preserve">, </w:t>
      </w:r>
      <w:r w:rsidR="006358E5" w:rsidRPr="00833CE8">
        <w:rPr>
          <w:rFonts w:cs="Times New Roman"/>
          <w:szCs w:val="24"/>
        </w:rPr>
        <w:t xml:space="preserve">antimicrobial agents </w:t>
      </w:r>
      <w:r w:rsidR="00AB2E35" w:rsidRPr="00833CE8">
        <w:rPr>
          <w:rFonts w:cs="Times New Roman"/>
          <w:szCs w:val="24"/>
        </w:rPr>
        <w:t xml:space="preserve">and </w:t>
      </w:r>
      <w:r w:rsidR="00FA21D1" w:rsidRPr="00833CE8">
        <w:rPr>
          <w:rFonts w:cs="Times New Roman"/>
          <w:szCs w:val="24"/>
        </w:rPr>
        <w:t>nutrient concentration</w:t>
      </w:r>
      <w:r w:rsidRPr="00833CE8">
        <w:rPr>
          <w:rFonts w:cs="Times New Roman"/>
          <w:szCs w:val="24"/>
        </w:rPr>
        <w:t xml:space="preserve"> </w:t>
      </w:r>
      <w:r w:rsidRPr="00833CE8">
        <w:rPr>
          <w:rFonts w:cs="Times New Roman"/>
          <w:szCs w:val="24"/>
        </w:rPr>
        <w:fldChar w:fldCharType="begin"/>
      </w:r>
      <w:r w:rsidR="00CA23D8">
        <w:rPr>
          <w:rFonts w:cs="Times New Roman"/>
          <w:szCs w:val="24"/>
        </w:rPr>
        <w:instrText xml:space="preserve"> ADDIN ZOTERO_ITEM CSL_CITATION {"citationID":"YsbE9pfw","properties":{"formattedCitation":"(de la Fuente et al., 2024; Huang et al., 2020)","plainCitation":"(de la Fuente et al., 2024; Huang et al., 2020)","noteIndex":0},"citationItems":[{"id":9418,"uris":["http://zotero.org/users/764524/items/7BPVISSJ"],"itemData":{"id":9418,"type":"article-journal","abstract":"Quorum sensing (QS) is a sophisticated cell-to-cell signalling mechanism that allows the coordination of important processes in microbial populations. The AI-1 and AI-2 autoinducer systems are among the best characterized bacterial QS systems at the genetic level.","container-title":"BMC Genomics","DOI":"10.1186/s12864-024-10355-6","ISSN":"1471-2164","issue":"1","journalAbbreviation":"BMC Genom.","page":"441","source":"BioMed Central","title":"Quorum sensing in bacteria: in silico protein analysis, ecophysiology, and reconstruction of their evolutionary history","title-short":"Quorum sensing in bacteria","volume":"25","author":[{"family":"Fuente","given":"Iñigo","non-dropping-particle":"de la"},{"family":"Manzano-Morales","given":"Saioa"},{"family":"Sanz","given":"David"},{"family":"Prieto","given":"Alicia"},{"family":"Barriuso","given":"Jorge"}],"issued":{"date-parts":[["2024",5,3]]}}},{"id":9349,"uris":["http://zotero.org/users/764524/items/MEACALQM"],"itemData":{"id":9349,"type":"article-journal","abstract":"Rapid emergence of antimicrobial resistance (AMR) has become a critical challenge worldwide. It is of great importance to understand how AMR is modulated genetically in order to explore new antimicrobial strategies. Recent studies have unveiled that microbial communication systems, which are known to play key roles in regulation of bacterial virulence, are also associated with the formation and regulation of AMR. These microbial cell-to-cell chemical communication systems, including quorum sensing (QS) and pathogen–host communication mechanisms, rely on detection and response of various chemical signal molecules, which are generated either by the microbe itself or host cells, to activate the expression of virulence and AMR genes. This article summarizes the generic signaling mechanisms of representative QS and pathogen–host communications systems, reviews the current knowledge regarding the roles of these chemical communication systems in regulation of AMR, and describes the strategies developed over the years for blocking bacterial chemical communication systems in disease control. The research progress in this field suggests that the bacterial cell-cell communication systems are a promising target not only for disease control but also for curbing the problem of microbial drug resistance.","container-title":"Antibiotics","DOI":"10.3390/antibiotics9110779","ISSN":"2079-6382","issue":"11","language":"en","license":"http://creativecommons.org/licenses/by/3.0/","note":"number: 11\npublisher: Multidisciplinary Digital Publishing Institute","page":"779","source":"www.mdpi.com","title":"The Roles of Microbial Cell-Cell Chemical Communication Systems in the Modulation of Antimicrobial Resistance","volume":"9","author":[{"family":"Huang","given":"Ying"},{"family":"Chen","given":"Yufan"},{"family":"Zhang","given":"Lian-hui"}],"issued":{"date-parts":[["2020",11]]}}}],"schema":"https://github.com/citation-style-language/schema/raw/master/csl-citation.json"} </w:instrText>
      </w:r>
      <w:r w:rsidRPr="00833CE8">
        <w:rPr>
          <w:rFonts w:cs="Times New Roman"/>
          <w:szCs w:val="24"/>
        </w:rPr>
        <w:fldChar w:fldCharType="separate"/>
      </w:r>
      <w:r w:rsidR="00E95FA4" w:rsidRPr="00E95FA4">
        <w:rPr>
          <w:rFonts w:cs="Times New Roman"/>
        </w:rPr>
        <w:t>(de la Fuente et al., 2024; Huang et al., 2020)</w:t>
      </w:r>
      <w:r w:rsidRPr="00833CE8">
        <w:rPr>
          <w:rFonts w:cs="Times New Roman"/>
          <w:szCs w:val="24"/>
        </w:rPr>
        <w:fldChar w:fldCharType="end"/>
      </w:r>
      <w:r w:rsidR="00AB2E35" w:rsidRPr="00833CE8">
        <w:rPr>
          <w:rFonts w:cs="Times New Roman"/>
          <w:szCs w:val="24"/>
        </w:rPr>
        <w:t>.</w:t>
      </w:r>
      <w:r w:rsidR="00FA21D1" w:rsidRPr="00833CE8">
        <w:rPr>
          <w:rFonts w:cs="Times New Roman"/>
          <w:szCs w:val="24"/>
        </w:rPr>
        <w:t xml:space="preserve">  </w:t>
      </w:r>
      <w:r w:rsidR="00AB2E35" w:rsidRPr="00833CE8">
        <w:rPr>
          <w:rFonts w:cs="Times New Roman"/>
          <w:szCs w:val="24"/>
        </w:rPr>
        <w:t>In b</w:t>
      </w:r>
      <w:r w:rsidR="00FA21D1" w:rsidRPr="00833CE8">
        <w:rPr>
          <w:rFonts w:cs="Times New Roman"/>
          <w:szCs w:val="24"/>
        </w:rPr>
        <w:t xml:space="preserve">acteria, </w:t>
      </w:r>
      <w:r w:rsidR="00AB2E35" w:rsidRPr="00833CE8">
        <w:rPr>
          <w:rFonts w:cs="Times New Roman"/>
          <w:szCs w:val="24"/>
        </w:rPr>
        <w:t xml:space="preserve">signalling molecules are released in </w:t>
      </w:r>
      <w:r w:rsidR="00FA21D1" w:rsidRPr="00833CE8">
        <w:rPr>
          <w:rFonts w:cs="Times New Roman"/>
          <w:szCs w:val="24"/>
        </w:rPr>
        <w:t xml:space="preserve">a phenomenon referred to </w:t>
      </w:r>
      <w:r w:rsidR="002A156A">
        <w:rPr>
          <w:rFonts w:cs="Times New Roman"/>
          <w:szCs w:val="24"/>
        </w:rPr>
        <w:t xml:space="preserve">as </w:t>
      </w:r>
      <w:r w:rsidR="00FA21D1" w:rsidRPr="00833CE8">
        <w:rPr>
          <w:rFonts w:cs="Times New Roman"/>
          <w:szCs w:val="24"/>
        </w:rPr>
        <w:t>quorum sensing (QS)</w:t>
      </w:r>
      <w:r w:rsidR="00AB2E35" w:rsidRPr="00833CE8">
        <w:rPr>
          <w:rFonts w:cs="Times New Roman"/>
          <w:szCs w:val="24"/>
        </w:rPr>
        <w:t>, primarily due to population density of bacterial cells</w:t>
      </w:r>
      <w:r w:rsidR="00FA21D1" w:rsidRPr="00833CE8">
        <w:rPr>
          <w:rFonts w:cs="Times New Roman"/>
          <w:szCs w:val="24"/>
        </w:rPr>
        <w:t xml:space="preserve"> </w:t>
      </w:r>
      <w:r w:rsidR="00FA21D1" w:rsidRPr="00833CE8">
        <w:rPr>
          <w:rFonts w:cs="Times New Roman"/>
          <w:szCs w:val="24"/>
        </w:rPr>
        <w:fldChar w:fldCharType="begin"/>
      </w:r>
      <w:r w:rsidR="00FA21D1" w:rsidRPr="00833CE8">
        <w:rPr>
          <w:rFonts w:cs="Times New Roman"/>
          <w:szCs w:val="24"/>
        </w:rPr>
        <w:instrText xml:space="preserve"> ADDIN ZOTERO_ITEM CSL_CITATION {"citationID":"H0XlIiNe","properties":{"formattedCitation":"(Mukherjee and Bassler, 2019)","plainCitation":"(Mukherjee and Bassler, 2019)","noteIndex":0},"citationItems":[{"id":4467,"uris":["http://zotero.org/users/764524/items/NFAJSCVS"],"itemData":{"id":4467,"type":"article-journal","abstract":"Quorum sensing is a process of bacterial cell-to-cell chemical communication that relies on the production, detection and response to extracellular signalling molecules called autoinducers. Quorum sensing allows groups of bacteria to synchronously alter behaviour in response to changes in the population density and species composition of the vicinal community. Quorum-sensing-mediated communication is now understood to be the norm in the bacterial world. Elegant research has defined quorum-sensing components and their interactions, for the most part, under ideal and highly controlled conditions. Indeed, these seminal studies laid the foundations for the field. In this Review, we highlight new findings concerning how bacteria deploy quorum sensing in realistic scenarios that mimic nature. We focus on how quorums are detected and how quorum sensing controls group behaviours in complex and dynamically changing environments such as multi-species bacterial communities, in the presence of flow, in 3D non-uniform biofilms and in hosts during infection.","container-title":"Nature Reviews Microbiology","DOI":"10.1038/s41579-019-0186-5","ISSN":"1740-1534","issue":"6","journalAbbreviation":"Nat. Rev. Microbiol.","language":"en","license":"2019 Springer Nature Limited","note":"publisher: Nature Publishing Group","page":"371-382","source":"www.nature.com","title":"Bacterial quorum sensing in complex and dynamically changing environments","volume":"17","author":[{"family":"Mukherjee","given":"Sampriti"},{"family":"Bassler","given":"Bonnie L."}],"issued":{"date-parts":[["2019",6]]}}}],"schema":"https://github.com/citation-style-language/schema/raw/master/csl-citation.json"} </w:instrText>
      </w:r>
      <w:r w:rsidR="00FA21D1" w:rsidRPr="00833CE8">
        <w:rPr>
          <w:rFonts w:cs="Times New Roman"/>
          <w:szCs w:val="24"/>
        </w:rPr>
        <w:fldChar w:fldCharType="separate"/>
      </w:r>
      <w:r w:rsidR="00FA21D1" w:rsidRPr="00833CE8">
        <w:rPr>
          <w:rFonts w:cs="Times New Roman"/>
        </w:rPr>
        <w:t>(Mukherjee and Bassler, 2019)</w:t>
      </w:r>
      <w:r w:rsidR="00FA21D1" w:rsidRPr="00833CE8">
        <w:rPr>
          <w:rFonts w:cs="Times New Roman"/>
          <w:szCs w:val="24"/>
        </w:rPr>
        <w:fldChar w:fldCharType="end"/>
      </w:r>
      <w:r w:rsidR="00FA21D1" w:rsidRPr="00833CE8">
        <w:rPr>
          <w:rFonts w:cs="Times New Roman"/>
          <w:szCs w:val="24"/>
        </w:rPr>
        <w:t xml:space="preserve">. Similarly, plant </w:t>
      </w:r>
      <w:r w:rsidR="00FA21D1" w:rsidRPr="00833CE8">
        <w:rPr>
          <w:rFonts w:cs="Times New Roman"/>
          <w:szCs w:val="24"/>
        </w:rPr>
        <w:lastRenderedPageBreak/>
        <w:t>hormones, known as phytohormones, have also been shown to be key signalling molecules in green algae as well as land plants</w:t>
      </w:r>
      <w:r w:rsidR="00FA21D1" w:rsidRPr="00833CE8">
        <w:rPr>
          <w:rFonts w:cs="Times New Roman"/>
          <w:b/>
          <w:bCs/>
          <w:szCs w:val="24"/>
        </w:rPr>
        <w:t xml:space="preserve"> </w:t>
      </w:r>
      <w:r w:rsidR="00FA21D1" w:rsidRPr="00833CE8">
        <w:rPr>
          <w:rFonts w:cs="Times New Roman"/>
          <w:b/>
          <w:bCs/>
          <w:color w:val="FF0000"/>
          <w:szCs w:val="24"/>
        </w:rPr>
        <w:fldChar w:fldCharType="begin"/>
      </w:r>
      <w:r w:rsidR="00FA21D1" w:rsidRPr="00833CE8">
        <w:rPr>
          <w:rFonts w:cs="Times New Roman"/>
          <w:b/>
          <w:bCs/>
          <w:color w:val="FF0000"/>
          <w:szCs w:val="24"/>
        </w:rPr>
        <w:instrText xml:space="preserve"> ADDIN ZOTERO_ITEM CSL_CITATION {"citationID":"p1GKPhxp","properties":{"formattedCitation":"(Stirk and van Staden, 2020)","plainCitation":"(Stirk and van Staden, 2020)","noteIndex":0},"citationItems":[{"id":9325,"uris":["http://zotero.org/users/764524/items/YDXMNF3U"],"itemData":{"id":9325,"type":"article-journal","abstract":"Microalgae have many commercial applications including biofuel production, use in human and animal nutrition, as pharmaceuticals and therapeutic compounds, in beauty-related products and as biofertilizers in the agricultural sector. However, more research needs to be directed to reducing production costs in an environmentally friendly way before their commercial potential can be fully realized. This review discusses the current knowledge on the occurrence and physiological roles of phytohormones in microalgae and explores the potential of phytohormone treatments to improve cultivation practices, including increasing lipid content and productivity for biofuel production. Microalgae synthesize a wide array of phytohormones and are able to regulate the levels of active phytohormones. Biosynthetic and conversion pathways share some key components but are more rudimentary compared to vascular plants and are likely to have some unidentified conjugation mechanisms. Phytohormones have a dual function in microalgae. Specific phytohormones are involved in the regulation of the cell cycle and other metabolic processes, influencing biomass and primary metabolite accumulation. They are also involved in responses to abiotic stresses, allowing microalgae to adapt to the prevailing conditions. Phytohormones provide a promising strategy to improve mass culture biotechnology due to their intrinsic role in microalgal growth and survival, increasing lipid productivity and improving their tolerance to more extreme environmental changes. This makes them less susceptible to environmental fluctuations. This improves the productivity of the cultures for biofuel production and would be beneficial in a biorefinery approach. Overall, phytohormones provide an exciting and promising avenue of research to improve microalgae cultivation, taking it a step closer to successful commercialization.","container-title":"Biotechnology Advances","DOI":"10.1016/j.biotechadv.2020.107612","ISSN":"0734-9750","journalAbbreviation":"Biotechnol. Adv.","page":"107612","source":"ScienceDirect","title":"Potential of phytohormones as a strategy to improve microalgae productivity for biotechnological applications","volume":"44","author":[{"family":"Stirk","given":"Wendy A."},{"family":"Staden","given":"Johannes","non-dropping-particle":"van"}],"issued":{"date-parts":[["2020",11,15]]}}}],"schema":"https://github.com/citation-style-language/schema/raw/master/csl-citation.json"} </w:instrText>
      </w:r>
      <w:r w:rsidR="00FA21D1" w:rsidRPr="00833CE8">
        <w:rPr>
          <w:rFonts w:cs="Times New Roman"/>
          <w:b/>
          <w:bCs/>
          <w:color w:val="FF0000"/>
          <w:szCs w:val="24"/>
        </w:rPr>
        <w:fldChar w:fldCharType="separate"/>
      </w:r>
      <w:r w:rsidR="00FA21D1" w:rsidRPr="00833CE8">
        <w:rPr>
          <w:rFonts w:cs="Times New Roman"/>
        </w:rPr>
        <w:t>(Stirk and van Staden, 2020)</w:t>
      </w:r>
      <w:r w:rsidR="00FA21D1" w:rsidRPr="00833CE8">
        <w:rPr>
          <w:rFonts w:cs="Times New Roman"/>
          <w:b/>
          <w:bCs/>
          <w:color w:val="FF0000"/>
          <w:szCs w:val="24"/>
        </w:rPr>
        <w:fldChar w:fldCharType="end"/>
      </w:r>
      <w:r w:rsidR="00FA21D1" w:rsidRPr="00833CE8">
        <w:rPr>
          <w:rFonts w:cs="Times New Roman"/>
          <w:b/>
          <w:bCs/>
          <w:color w:val="FF0000"/>
          <w:szCs w:val="24"/>
        </w:rPr>
        <w:t xml:space="preserve">.  </w:t>
      </w:r>
      <w:r w:rsidR="003215D2" w:rsidRPr="00833CE8">
        <w:rPr>
          <w:rFonts w:cs="Times New Roman"/>
          <w:szCs w:val="24"/>
        </w:rPr>
        <w:t xml:space="preserve">Both </w:t>
      </w:r>
      <w:r w:rsidR="00E62DF6">
        <w:rPr>
          <w:rFonts w:cs="Times New Roman"/>
          <w:szCs w:val="24"/>
        </w:rPr>
        <w:t>QS</w:t>
      </w:r>
      <w:r w:rsidR="008D66BC" w:rsidRPr="00833CE8">
        <w:rPr>
          <w:rFonts w:cs="Times New Roman"/>
          <w:szCs w:val="24"/>
        </w:rPr>
        <w:t xml:space="preserve"> compounds </w:t>
      </w:r>
      <w:r w:rsidR="003215D2" w:rsidRPr="00833CE8">
        <w:rPr>
          <w:rFonts w:cs="Times New Roman"/>
          <w:szCs w:val="24"/>
        </w:rPr>
        <w:t xml:space="preserve">and </w:t>
      </w:r>
      <w:r w:rsidR="008D66BC" w:rsidRPr="00833CE8">
        <w:rPr>
          <w:rFonts w:cs="Times New Roman"/>
          <w:szCs w:val="24"/>
        </w:rPr>
        <w:t>phytohormones</w:t>
      </w:r>
      <w:r w:rsidR="003215D2" w:rsidRPr="00833CE8">
        <w:rPr>
          <w:rFonts w:cs="Times New Roman"/>
          <w:szCs w:val="24"/>
        </w:rPr>
        <w:t xml:space="preserve"> </w:t>
      </w:r>
      <w:r w:rsidR="00995508" w:rsidRPr="00833CE8">
        <w:rPr>
          <w:rFonts w:cs="Times New Roman"/>
          <w:szCs w:val="24"/>
        </w:rPr>
        <w:t xml:space="preserve">have been shown to be </w:t>
      </w:r>
      <w:r w:rsidR="00B33DEB" w:rsidRPr="00833CE8">
        <w:rPr>
          <w:rFonts w:cs="Times New Roman"/>
          <w:szCs w:val="24"/>
        </w:rPr>
        <w:t>key</w:t>
      </w:r>
      <w:r w:rsidR="00995508" w:rsidRPr="00833CE8">
        <w:rPr>
          <w:rFonts w:cs="Times New Roman"/>
          <w:szCs w:val="24"/>
        </w:rPr>
        <w:t xml:space="preserve"> signalling molecules in microalgae </w:t>
      </w:r>
      <w:r w:rsidR="00B33DEB" w:rsidRPr="00833CE8">
        <w:rPr>
          <w:rFonts w:cs="Times New Roman"/>
          <w:szCs w:val="24"/>
        </w:rPr>
        <w:fldChar w:fldCharType="begin"/>
      </w:r>
      <w:r w:rsidR="00AD4FC1">
        <w:rPr>
          <w:rFonts w:cs="Times New Roman"/>
          <w:szCs w:val="24"/>
        </w:rPr>
        <w:instrText xml:space="preserve"> ADDIN ZOTERO_ITEM CSL_CITATION {"citationID":"HZPyi9Lu","properties":{"formattedCitation":"(Mukherjee and Bassler, 2019; C. Wang et al., 2022a)","plainCitation":"(Mukherjee and Bassler, 2019; C. Wang et al., 2022a)","noteIndex":0},"citationItems":[{"id":4467,"uris":["http://zotero.org/users/764524/items/NFAJSCVS"],"itemData":{"id":4467,"type":"article-journal","abstract":"Quorum sensing is a process of bacterial cell-to-cell chemical communication that relies on the production, detection and response to extracellular signalling molecules called autoinducers. Quorum sensing allows groups of bacteria to synchronously alter behaviour in response to changes in the population density and species composition of the vicinal community. Quorum-sensing-mediated communication is now understood to be the norm in the bacterial world. Elegant research has defined quorum-sensing components and their interactions, for the most part, under ideal and highly controlled conditions. Indeed, these seminal studies laid the foundations for the field. In this Review, we highlight new findings concerning how bacteria deploy quorum sensing in realistic scenarios that mimic nature. We focus on how quorums are detected and how quorum sensing controls group behaviours in complex and dynamically changing environments such as multi-species bacterial communities, in the presence of flow, in 3D non-uniform biofilms and in hosts during infection.","container-title":"Nature Reviews Microbiology","DOI":"10.1038/s41579-019-0186-5","ISSN":"1740-1534","issue":"6","journalAbbreviation":"Nat. Rev. Microbiol.","language":"en","license":"2019 Springer Nature Limited","note":"publisher: Nature Publishing Group","page":"371-382","source":"www.nature.com","title":"Bacterial quorum sensing in complex and dynamically changing environments","volume":"17","author":[{"family":"Mukherjee","given":"Sampriti"},{"family":"Bassler","given":"Bonnie L."}],"issued":{"date-parts":[["2019",6]]}}},{"id":9271,"uris":["http://zotero.org/users/764524/items/2X238ZNM"],"itemData":{"id":9271,"type":"article-journal","abstract":"Phytohormones are a class of small organic molecules that are widely used in higher plants and microalgae as chemical messengers. Phytohormones play a regulatory role in the physiological metabolism of cells, including promoting cell division, increasing stress tolerance, and improving photosynthetic efficiency, and thereby increasing biomass, oil, chlorophyll, and protein content. However, traditional abiotic stress methods for inducing the accumulation of energy storage substances in microalgae, such as high light intensity, high salinity, and heavy metals, will affect the growth of microalgae and will ultimately limit the efficient accumulation of energy storage substances. Therefore, the addition of phytohormones not only helps to reduce production costs but also improves the efficiency of biofuel utilization. However, accurate and sensitive phytohormones determination and analytical methods are the basis for plant hormone research. In this study, the characteristics of phytohormones in microalgae and research progress for regulating the accumulation of energy storage substances in microalgae by exogenous phytohormones, combined with abiotic stress conditions at home and abroad, are summarized. The possible metabolic mechanism of phytohormones in microalgae is discussed, and possible future research directions are put forward, which provide a theoretical basis for the application of phytohormones in microalgae.","container-title":"Molecules","DOI":"10.3390/molecules27010046","ISSN":"1420-3049","issue":"1","language":"en","license":"http://creativecommons.org/licenses/by/3.0/","note":"number: 1\npublisher: Multidisciplinary Digital Publishing Institute","page":"46","source":"www.mdpi.com","title":"The Active Phytohormone in Microalgae: The Characteristics, Efficient Detection, and Their Adversity Resistance Applications","title-short":"The Active Phytohormone in Microalgae","volume":"27","author":[{"family":"Wang","given":"Chun"},{"family":"Qi","given":"Mei"},{"family":"Guo","given":"Jiameng"},{"family":"Zhou","given":"Chengxu"},{"family":"Yan","given":"Xiaojun"},{"family":"Ruan","given":"Roger"},{"family":"Cheng","given":"Pengfei"}],"issued":{"date-parts":[["2022",1]]}}}],"schema":"https://github.com/citation-style-language/schema/raw/master/csl-citation.json"} </w:instrText>
      </w:r>
      <w:r w:rsidR="00B33DEB" w:rsidRPr="00833CE8">
        <w:rPr>
          <w:rFonts w:cs="Times New Roman"/>
          <w:szCs w:val="24"/>
        </w:rPr>
        <w:fldChar w:fldCharType="separate"/>
      </w:r>
      <w:r w:rsidR="00AD4FC1" w:rsidRPr="00AD4FC1">
        <w:rPr>
          <w:rFonts w:cs="Times New Roman"/>
        </w:rPr>
        <w:t>(Mukherjee and Bassler, 2019; C. Wang et al., 2022a)</w:t>
      </w:r>
      <w:r w:rsidR="00B33DEB" w:rsidRPr="00833CE8">
        <w:rPr>
          <w:rFonts w:cs="Times New Roman"/>
          <w:szCs w:val="24"/>
        </w:rPr>
        <w:fldChar w:fldCharType="end"/>
      </w:r>
      <w:r w:rsidR="00B33DEB" w:rsidRPr="00833CE8">
        <w:rPr>
          <w:rFonts w:cs="Times New Roman"/>
          <w:szCs w:val="24"/>
        </w:rPr>
        <w:t>.</w:t>
      </w:r>
    </w:p>
    <w:p w14:paraId="33C41C4F" w14:textId="4E904648" w:rsidR="00E10A18" w:rsidRPr="00833CE8" w:rsidRDefault="00E10A18" w:rsidP="00C31A9C">
      <w:pPr>
        <w:snapToGrid w:val="0"/>
        <w:spacing w:line="360" w:lineRule="auto"/>
        <w:ind w:firstLine="284"/>
        <w:jc w:val="both"/>
        <w:rPr>
          <w:rFonts w:cs="Times New Roman"/>
          <w:szCs w:val="24"/>
        </w:rPr>
      </w:pPr>
    </w:p>
    <w:p w14:paraId="1AB84AAC" w14:textId="3F4A4F89" w:rsidR="0072012B" w:rsidRPr="00833CE8" w:rsidRDefault="0072012B" w:rsidP="0072012B">
      <w:pPr>
        <w:pStyle w:val="ListParagraph"/>
        <w:numPr>
          <w:ilvl w:val="2"/>
          <w:numId w:val="9"/>
        </w:numPr>
        <w:snapToGrid w:val="0"/>
        <w:spacing w:line="360" w:lineRule="auto"/>
        <w:rPr>
          <w:rFonts w:cs="Times New Roman"/>
          <w:b/>
          <w:bCs/>
          <w:szCs w:val="24"/>
        </w:rPr>
      </w:pPr>
      <w:r w:rsidRPr="00833CE8">
        <w:rPr>
          <w:rFonts w:cs="Times New Roman"/>
          <w:b/>
          <w:bCs/>
          <w:szCs w:val="24"/>
        </w:rPr>
        <w:t>Q</w:t>
      </w:r>
      <w:r w:rsidR="006C37A6">
        <w:rPr>
          <w:rFonts w:cs="Times New Roman"/>
          <w:b/>
          <w:bCs/>
          <w:szCs w:val="24"/>
        </w:rPr>
        <w:t xml:space="preserve">uorum </w:t>
      </w:r>
      <w:r w:rsidRPr="00833CE8">
        <w:rPr>
          <w:rFonts w:cs="Times New Roman"/>
          <w:b/>
          <w:bCs/>
          <w:szCs w:val="24"/>
        </w:rPr>
        <w:t>S</w:t>
      </w:r>
      <w:r w:rsidR="006C37A6">
        <w:rPr>
          <w:rFonts w:cs="Times New Roman"/>
          <w:b/>
          <w:bCs/>
          <w:szCs w:val="24"/>
        </w:rPr>
        <w:t>ensing (QS)</w:t>
      </w:r>
    </w:p>
    <w:p w14:paraId="43CD0823" w14:textId="2256ED74" w:rsidR="00764A05" w:rsidRDefault="00482BEB" w:rsidP="00ED3DD7">
      <w:pPr>
        <w:snapToGrid w:val="0"/>
        <w:spacing w:line="360" w:lineRule="auto"/>
        <w:ind w:firstLine="284"/>
        <w:jc w:val="both"/>
        <w:rPr>
          <w:rFonts w:cs="Times New Roman"/>
          <w:szCs w:val="24"/>
        </w:rPr>
      </w:pPr>
      <w:r w:rsidRPr="00996890">
        <w:rPr>
          <w:rFonts w:cs="Times New Roman"/>
          <w:szCs w:val="24"/>
        </w:rPr>
        <w:t>QS can alter growth and metabol</w:t>
      </w:r>
      <w:r w:rsidR="000422BE" w:rsidRPr="00996890">
        <w:rPr>
          <w:rFonts w:cs="Times New Roman"/>
          <w:szCs w:val="24"/>
        </w:rPr>
        <w:t xml:space="preserve">ic processes, including the cell cycle and photosynthesis, as well as affecting nutrient uptake, which </w:t>
      </w:r>
      <w:r w:rsidR="002826A9" w:rsidRPr="00996890">
        <w:rPr>
          <w:rFonts w:cs="Times New Roman"/>
          <w:szCs w:val="24"/>
        </w:rPr>
        <w:t>influences</w:t>
      </w:r>
      <w:r w:rsidR="000422BE" w:rsidRPr="00996890">
        <w:rPr>
          <w:rFonts w:cs="Times New Roman"/>
          <w:szCs w:val="24"/>
        </w:rPr>
        <w:t xml:space="preserve"> the nutrient exchange discussed above </w:t>
      </w:r>
      <w:r w:rsidR="002B0165" w:rsidRPr="00996890">
        <w:rPr>
          <w:rFonts w:cs="Times New Roman"/>
          <w:szCs w:val="24"/>
        </w:rPr>
        <w:fldChar w:fldCharType="begin"/>
      </w:r>
      <w:r w:rsidR="009F150C" w:rsidRPr="00996890">
        <w:rPr>
          <w:rFonts w:cs="Times New Roman"/>
          <w:szCs w:val="24"/>
        </w:rPr>
        <w:instrText xml:space="preserve"> ADDIN ZOTERO_ITEM CSL_CITATION {"citationID":"hVWqxlP1","properties":{"formattedCitation":"(Dow, 2021)","plainCitation":"(Dow, 2021)","noteIndex":0},"citationItems":[{"id":4458,"uris":["http://zotero.org/users/764524/items/VUKZEVLB"],"itemData":{"id":4458,"type":"article-journal","abstract":"Quorum sensing (QS) describes a process by which bacteria can sense the local cell density of their own species, thus enabling them to coordinate gene expression and physiological processes on a community-wide scale. Small molecules called autoinducers or QS signals, which act as intraspecies signals, mediate quorum sensing. As our knowledge of QS has progressed, so too has our understanding of the structural diversity of QS signals, along with the diversity of bacteria conducting QS and the range of ecosystems in which QS takes place. It is now also clear that QS signals are more than just intraspecies signals. QS signals mediate interactions between species of prokaryotes, and between prokaryotes and eukaryotes. In recent years, our understanding of QS signals as mediators of algae–bacteria interactions has advanced such that we are beginning to develop a mechanistic understanding of their effects. This review will summarize the recent efforts to understand how different classes of QS signals contribute to the interactions between planktonic microalgae and bacteria in our oceans, primarily N-acyl-homoserine lactones, their degradation products of tetramic acids, and 2-alkyl-4-quinolones. In particular, this review will discuss the ways in which QS signals alter microalgae growth and metabolism, namely as direct effectors of photosynthesis, regulators of the cell cycle, and as modulators of other algicidal mechanisms. Furthermore, the contribution of QS signals to nutrient acquisition is discussed, and finally, how microalgae can modulate these small molecules to dampen their effects.","container-title":"Microorganisms","DOI":"10.3390/microorganisms9071391","ISSN":"2076-2607","issue":"7","language":"en","license":"http://creativecommons.org/licenses/by/3.0/","note":"number: 7\npublisher: Multidisciplinary Digital Publishing Institute","page":"1391","source":"www.mdpi.com","title":"How Do Quorum-Sensing Signals Mediate Algae–Bacteria Interactions?","volume":"9","author":[{"family":"Dow","given":"Lachlan"}],"issued":{"date-parts":[["2021",7]]}}}],"schema":"https://github.com/citation-style-language/schema/raw/master/csl-citation.json"} </w:instrText>
      </w:r>
      <w:r w:rsidR="002B0165" w:rsidRPr="00996890">
        <w:rPr>
          <w:rFonts w:cs="Times New Roman"/>
          <w:szCs w:val="24"/>
        </w:rPr>
        <w:fldChar w:fldCharType="separate"/>
      </w:r>
      <w:r w:rsidR="009F150C" w:rsidRPr="00996890">
        <w:rPr>
          <w:rFonts w:cs="Times New Roman"/>
        </w:rPr>
        <w:t>(Dow, 2021)</w:t>
      </w:r>
      <w:r w:rsidR="002B0165" w:rsidRPr="00996890">
        <w:rPr>
          <w:rFonts w:cs="Times New Roman"/>
          <w:szCs w:val="24"/>
        </w:rPr>
        <w:fldChar w:fldCharType="end"/>
      </w:r>
      <w:r w:rsidR="000422BE" w:rsidRPr="00996890">
        <w:rPr>
          <w:rFonts w:cs="Times New Roman"/>
          <w:szCs w:val="24"/>
        </w:rPr>
        <w:t>.</w:t>
      </w:r>
      <w:r w:rsidR="000C01EA" w:rsidRPr="00996890">
        <w:rPr>
          <w:rFonts w:cs="Times New Roman"/>
          <w:szCs w:val="24"/>
        </w:rPr>
        <w:t xml:space="preserve">  </w:t>
      </w:r>
      <w:r w:rsidR="0056479F" w:rsidRPr="00996890">
        <w:rPr>
          <w:rFonts w:cs="Times New Roman"/>
          <w:szCs w:val="24"/>
        </w:rPr>
        <w:t xml:space="preserve">Gram-positive </w:t>
      </w:r>
      <w:r w:rsidR="00CA0CF2" w:rsidRPr="00996890">
        <w:rPr>
          <w:rFonts w:cs="Times New Roman"/>
          <w:szCs w:val="24"/>
        </w:rPr>
        <w:t>bacteria use</w:t>
      </w:r>
      <w:r w:rsidR="0056479F" w:rsidRPr="00996890">
        <w:rPr>
          <w:rFonts w:cs="Times New Roman"/>
          <w:szCs w:val="24"/>
        </w:rPr>
        <w:t xml:space="preserve"> </w:t>
      </w:r>
      <w:r w:rsidR="00002B3A" w:rsidRPr="00996890">
        <w:rPr>
          <w:rFonts w:cs="Times New Roman"/>
          <w:szCs w:val="24"/>
        </w:rPr>
        <w:t>autoinducer peptides (AIP)</w:t>
      </w:r>
      <w:r w:rsidR="00BE0AFD" w:rsidRPr="00996890">
        <w:rPr>
          <w:rFonts w:cs="Times New Roman"/>
          <w:szCs w:val="24"/>
        </w:rPr>
        <w:t xml:space="preserve"> </w:t>
      </w:r>
      <w:r w:rsidR="00CA0CF2" w:rsidRPr="00996890">
        <w:rPr>
          <w:rFonts w:cs="Times New Roman"/>
          <w:szCs w:val="24"/>
        </w:rPr>
        <w:t xml:space="preserve">for QS signalling </w:t>
      </w:r>
      <w:r w:rsidR="005976E1" w:rsidRPr="00996890">
        <w:rPr>
          <w:rFonts w:cs="Times New Roman"/>
          <w:szCs w:val="24"/>
        </w:rPr>
        <w:fldChar w:fldCharType="begin"/>
      </w:r>
      <w:r w:rsidR="005976E1" w:rsidRPr="00996890">
        <w:rPr>
          <w:rFonts w:cs="Times New Roman"/>
          <w:szCs w:val="24"/>
        </w:rPr>
        <w:instrText xml:space="preserve"> ADDIN ZOTERO_ITEM CSL_CITATION {"citationID":"zX7qyzuR","properties":{"formattedCitation":"(Prazdnova et al., 2022)","plainCitation":"(Prazdnova et al., 2022)","noteIndex":0},"citationItems":[{"id":9382,"uris":["http://zotero.org/users/764524/items/LKF3VHQP"],"itemData":{"id":9382,"type":"article-journal","abstract":"The modern paradigm assumes that interspecies communication of microorganisms occurs through precise regulatory mechanisms. In particular, antagonism between bacteria or bacteria and fungi can be achieved by direct destruction of the targeted cells through the regulated production of antimicrobial metabolites or by controlling their adaptive mechanisms, such as the formation of biofilms. The quorum-quenching phenomenon provides such a countermeasure strategy. This review discusses quorum-sensing suppression by Gram-positive microorganisms, the underlying mechanisms of this process, and its molecular intermediates. The main focus will be on Gram-positive bacteria that have practical applications, such as starter cultures for food fermentation, probiotics, and other microorganisms of biotechnological importance. The possible evolutionary role of quorum-quenching mechanisms during the development of interspecies interactions of bacteria is also considered. In addition, the review provides possible practical applications for these mechanisms, such as the control of pathogens, improving the efficiency of probiotics, and plant protection.","container-title":"Microorganisms","DOI":"10.3390/microorganisms10020350","ISSN":"2076-2607","issue":"2","language":"en","license":"http://creativecommons.org/licenses/by/3.0/","note":"number: 2\npublisher: Multidisciplinary Digital Publishing Institute","page":"350","source":"www.mdpi.com","title":"Quorum-Sensing Inhibition by Gram-Positive Bacteria","volume":"10","author":[{"family":"Prazdnova","given":"Evgeniya V."},{"family":"Gorovtsov","given":"Andrey V."},{"family":"Vasilchenko","given":"Nikita G."},{"family":"Kulikov","given":"Maxim P."},{"family":"Statsenko","given":"Varvara N."},{"family":"Bogdanova","given":"Anna A."},{"family":"Refeld","given":"Alexandr G."},{"family":"Brislavskiy","given":"Yaroslav A."},{"family":"Chistyakov","given":"Vladimir A."},{"family":"Chikindas","given":"Michael L."}],"issued":{"date-parts":[["2022",2]]}}}],"schema":"https://github.com/citation-style-language/schema/raw/master/csl-citation.json"} </w:instrText>
      </w:r>
      <w:r w:rsidR="005976E1" w:rsidRPr="00996890">
        <w:rPr>
          <w:rFonts w:cs="Times New Roman"/>
          <w:szCs w:val="24"/>
        </w:rPr>
        <w:fldChar w:fldCharType="separate"/>
      </w:r>
      <w:r w:rsidR="005976E1" w:rsidRPr="00996890">
        <w:rPr>
          <w:rFonts w:cs="Times New Roman"/>
        </w:rPr>
        <w:t>(Prazdnova et al., 2022)</w:t>
      </w:r>
      <w:r w:rsidR="005976E1" w:rsidRPr="00996890">
        <w:rPr>
          <w:rFonts w:cs="Times New Roman"/>
          <w:szCs w:val="24"/>
        </w:rPr>
        <w:fldChar w:fldCharType="end"/>
      </w:r>
      <w:r w:rsidR="0056479F" w:rsidRPr="00CA0CF2">
        <w:rPr>
          <w:rFonts w:cs="Times New Roman"/>
          <w:szCs w:val="24"/>
        </w:rPr>
        <w:t xml:space="preserve">.  Gram-negative </w:t>
      </w:r>
      <w:r w:rsidR="00CA0CF2" w:rsidRPr="00CA0CF2">
        <w:rPr>
          <w:rFonts w:cs="Times New Roman"/>
          <w:szCs w:val="24"/>
        </w:rPr>
        <w:t xml:space="preserve">bacteria, by contrast, use </w:t>
      </w:r>
      <w:r w:rsidR="00DF541C" w:rsidRPr="00CA0CF2">
        <w:rPr>
          <w:rFonts w:cs="Times New Roman"/>
          <w:szCs w:val="24"/>
        </w:rPr>
        <w:t>small molecule</w:t>
      </w:r>
      <w:r w:rsidR="00CA0CF2" w:rsidRPr="00CA0CF2">
        <w:rPr>
          <w:rFonts w:cs="Times New Roman"/>
          <w:szCs w:val="24"/>
        </w:rPr>
        <w:t>s such as</w:t>
      </w:r>
      <w:r w:rsidR="00DF541C">
        <w:rPr>
          <w:rFonts w:cs="Times New Roman"/>
          <w:b/>
          <w:bCs/>
          <w:szCs w:val="24"/>
        </w:rPr>
        <w:t xml:space="preserve"> </w:t>
      </w:r>
      <w:r w:rsidR="002826A9" w:rsidRPr="00833CE8">
        <w:rPr>
          <w:rFonts w:cs="Times New Roman"/>
          <w:szCs w:val="24"/>
        </w:rPr>
        <w:t xml:space="preserve">N-acyl-homoserine lactones </w:t>
      </w:r>
      <w:r w:rsidR="002826A9">
        <w:rPr>
          <w:rFonts w:cs="Times New Roman"/>
          <w:szCs w:val="24"/>
        </w:rPr>
        <w:t>(</w:t>
      </w:r>
      <w:r w:rsidR="000C01EA" w:rsidRPr="00BE0AFD">
        <w:rPr>
          <w:rFonts w:cs="Times New Roman"/>
          <w:szCs w:val="24"/>
        </w:rPr>
        <w:t>AHLs</w:t>
      </w:r>
      <w:r w:rsidR="002826A9">
        <w:rPr>
          <w:rFonts w:cs="Times New Roman"/>
          <w:szCs w:val="24"/>
        </w:rPr>
        <w:t>)</w:t>
      </w:r>
      <w:r w:rsidR="000C01EA" w:rsidRPr="00BE0AFD">
        <w:rPr>
          <w:rFonts w:cs="Times New Roman"/>
          <w:szCs w:val="24"/>
        </w:rPr>
        <w:t xml:space="preserve"> and autoinducers like AI-2</w:t>
      </w:r>
      <w:r w:rsidR="00BE0AFD">
        <w:rPr>
          <w:rFonts w:cs="Times New Roman"/>
          <w:b/>
          <w:bCs/>
          <w:szCs w:val="24"/>
        </w:rPr>
        <w:t xml:space="preserve"> </w:t>
      </w:r>
      <w:r w:rsidR="005976E1">
        <w:rPr>
          <w:rFonts w:cs="Times New Roman"/>
          <w:b/>
          <w:bCs/>
          <w:szCs w:val="24"/>
        </w:rPr>
        <w:fldChar w:fldCharType="begin"/>
      </w:r>
      <w:r w:rsidR="005976E1">
        <w:rPr>
          <w:rFonts w:cs="Times New Roman"/>
          <w:b/>
          <w:bCs/>
          <w:szCs w:val="24"/>
        </w:rPr>
        <w:instrText xml:space="preserve"> ADDIN ZOTERO_ITEM CSL_CITATION {"citationID":"ROjUKSwR","properties":{"formattedCitation":"(Xiao et al., 2022; Zhang et al., 2020)","plainCitation":"(Xiao et al., 2022; Zhang et al., 2020)","noteIndex":0},"citationItems":[{"id":9384,"uris":["http://zotero.org/users/764524/items/GURCHCK4"],"itemData":{"id":9384,"type":"article-journal","abstract":"Quorum sensing is a molecular signaling-based communication mechanism in prokaryotes. In the basic mode, signaling molecules released by certain bacteria are sensed by intracellular receptors or membrane-bound receptors of other members in the community, leading to the collective isogenic signaling molecule synthesis and synchronized activities. This regulation is important for the symbiosis of the bacterium with the host, as well as virulence and biofilm formation. Notably, quorum sensing signaling molecules are not only able to control microbial community behavior but can likewise regulate the physiological status of host cells. Here, we provide a comprehensive review of the importance of quorum sensing signaling molecules in gram-negative bacteria in regulating host cell function and gut health, and suggest possible opportunities for application in combating human and animal diseases by blocking the pathways through which quorum sensing signaling molecules exert their functions.","container-title":"Gut Microbes","DOI":"10.1080/19490976.2022.2039048","ISSN":"1949-0976","issue":"1","note":"publisher: Taylor &amp; Francis\n_eprint: https://doi.org/10.1080/19490976.2022.2039048\nPMID: 35188058","page":"2039048","source":"Taylor and Francis+NEJM","title":"Impact of quorum sensing signaling molecules in gram-negative bacteria on host cells: current understanding and future perspectives","title-short":"Impact of quorum sensing signaling molecules in gram-negative bacteria on host cells","volume":"14","author":[{"family":"Xiao","given":"Yingping"},{"family":"Zou","given":"Huicong"},{"family":"Li","given":"Jingjing"},{"family":"Song","given":"Tongxing"},{"family":"Lv","given":"Wentao"},{"family":"Wang","given":"Wen"},{"family":"Wang","given":"Zhenyu"},{"family":"Tao","given":"Shiyu"}],"issued":{"date-parts":[["2022",12,31]]}}},{"id":9386,"uris":["http://zotero.org/users/764524/items/NBN5JQJV"],"itemData":{"id":9386,"type":"article-journal","abstract":"Autoinducer-2 (AI-2) is a quorum sensing signal that mediates communication within and between many bacterial species. However, its known receptors (LuxP and LsrB families) are not found in all the bacteria capable of responding to this signaling molecule. Here, we identify a third type of AI-2 receptor, consisting of a dCACHE domain. AI-2 binds to the dCACHE domain of chemoreceptors PctA and TlpQ of Pseudomonas aeruginosa, thus inducing chemotaxis and biofilm formation. Boron-free AI-2 is the preferred ligand for PctA and TlpQ. AI-2 also binds to the dCACHE domains of histidine kinase KinD from Bacillus subtilis and diguanylate cyclase rpHK1S-Z16 from Rhodopseudomonas palustris, enhancing their enzymatic activities. dCACHE domains (especially those belonging to a subfamily that includes the AI-2 receptors identified in the present work) are present in a large number of bacterial and archaeal proteins. Our results support the idea that AI-2 serves as a widely used signaling molecule in the coordination of cell behavior among prokaryotic species.","container-title":"Nature Communications","DOI":"10.1038/s41467-020-19243-5","ISSN":"2041-1723","issue":"1","journalAbbreviation":"Nat. Commun.","language":"en","license":"2020 The Author(s)","note":"publisher: Nature Publishing Group","page":"5371","source":"www.nature.com","title":"Sensing of autoinducer-2 by functionally distinct receptors in prokaryotes","volume":"11","author":[{"family":"Zhang","given":"Lei"},{"family":"Li","given":"Shuyu"},{"family":"Liu","given":"Xiaozhen"},{"family":"Wang","given":"Zhuo"},{"family":"Jiang","given":"Mei"},{"family":"Wang","given":"Ruiying"},{"family":"Xie","given":"Laigong"},{"family":"Liu","given":"Qinmeng"},{"family":"Xie","given":"Xiaorong"},{"family":"Shang","given":"Daohan"},{"family":"Li","given":"Mengyun"},{"family":"Wei","given":"Zhiyan"},{"family":"Wang","given":"Yao"},{"family":"Fan","given":"Chengpeng"},{"family":"Luo","given":"Zhao-Qing"},{"family":"Shen","given":"Xihui"}],"issued":{"date-parts":[["2020",10,23]]}}}],"schema":"https://github.com/citation-style-language/schema/raw/master/csl-citation.json"} </w:instrText>
      </w:r>
      <w:r w:rsidR="005976E1">
        <w:rPr>
          <w:rFonts w:cs="Times New Roman"/>
          <w:b/>
          <w:bCs/>
          <w:szCs w:val="24"/>
        </w:rPr>
        <w:fldChar w:fldCharType="separate"/>
      </w:r>
      <w:r w:rsidR="005976E1" w:rsidRPr="005976E1">
        <w:rPr>
          <w:rFonts w:cs="Times New Roman"/>
        </w:rPr>
        <w:t>(Xiao et al., 2022; Zhang et al., 2020)</w:t>
      </w:r>
      <w:r w:rsidR="005976E1">
        <w:rPr>
          <w:rFonts w:cs="Times New Roman"/>
          <w:b/>
          <w:bCs/>
          <w:szCs w:val="24"/>
        </w:rPr>
        <w:fldChar w:fldCharType="end"/>
      </w:r>
      <w:r w:rsidR="0056479F">
        <w:rPr>
          <w:rFonts w:cs="Times New Roman"/>
          <w:b/>
          <w:bCs/>
          <w:szCs w:val="24"/>
        </w:rPr>
        <w:t>.</w:t>
      </w:r>
      <w:r w:rsidR="000422BE" w:rsidRPr="00833CE8">
        <w:rPr>
          <w:rFonts w:cs="Times New Roman"/>
          <w:szCs w:val="24"/>
        </w:rPr>
        <w:t xml:space="preserve">  </w:t>
      </w:r>
      <w:bookmarkStart w:id="13" w:name="_Hlk191287714"/>
      <w:r w:rsidR="000422BE" w:rsidRPr="00833CE8">
        <w:rPr>
          <w:rFonts w:cs="Times New Roman"/>
          <w:szCs w:val="24"/>
        </w:rPr>
        <w:t>However, this signalling is not controlled only by the bacteria, but also by the m</w:t>
      </w:r>
      <w:r w:rsidR="000422BE" w:rsidRPr="00CA0CF2">
        <w:rPr>
          <w:rFonts w:cs="Times New Roman"/>
          <w:szCs w:val="24"/>
        </w:rPr>
        <w:t xml:space="preserve">icroalgae, through </w:t>
      </w:r>
      <w:r w:rsidR="002C364D" w:rsidRPr="00CA0CF2">
        <w:rPr>
          <w:rFonts w:cs="Times New Roman"/>
          <w:szCs w:val="24"/>
        </w:rPr>
        <w:t xml:space="preserve">degradation or </w:t>
      </w:r>
      <w:r w:rsidR="006432C8" w:rsidRPr="006432C8">
        <w:rPr>
          <w:rFonts w:cs="Times New Roman"/>
          <w:color w:val="FF0000"/>
          <w:szCs w:val="24"/>
        </w:rPr>
        <w:t xml:space="preserve">AHL </w:t>
      </w:r>
      <w:r w:rsidR="002C364D" w:rsidRPr="006432C8">
        <w:rPr>
          <w:rFonts w:cs="Times New Roman"/>
          <w:color w:val="FF0000"/>
          <w:szCs w:val="24"/>
        </w:rPr>
        <w:t xml:space="preserve">mimics </w:t>
      </w:r>
      <w:r w:rsidR="006432C8">
        <w:rPr>
          <w:rFonts w:cs="Times New Roman"/>
          <w:color w:val="FF0000"/>
          <w:szCs w:val="24"/>
        </w:rPr>
        <w:t xml:space="preserve">that can interfere with QS by resulting in contradictory signals </w:t>
      </w:r>
      <w:r w:rsidR="000422BE" w:rsidRPr="00CA0CF2">
        <w:rPr>
          <w:rFonts w:cs="Times New Roman"/>
          <w:szCs w:val="24"/>
        </w:rPr>
        <w:fldChar w:fldCharType="begin"/>
      </w:r>
      <w:r w:rsidR="005522CA" w:rsidRPr="00CA0CF2">
        <w:rPr>
          <w:rFonts w:cs="Times New Roman"/>
          <w:szCs w:val="24"/>
        </w:rPr>
        <w:instrText xml:space="preserve"> ADDIN ZOTERO_ITEM CSL_CITATION {"citationID":"Uh92BDUO","properties":{"formattedCitation":"(Zhou et al., 2016)","plainCitation":"(Zhou et al., 2016)","noteIndex":0},"citationItems":[{"id":4453,"uris":["http://zotero.org/users/764524/items/YQTFAMDU"],"itemData":{"id":4453,"type":"article-journal","abstract":"Algae are ubiquitous in the marine environment, and the ways in which they interact with bacteria are of particular interest in the field of marine ecology. The interactions between primary producers and bacteria impact the physiology of both partners, alter the chemistry of their environment, and shape microbial diversity. Although algal-bacterial interactions are well known and studied, information regarding the chemical-ecological role of this relationship remains limited, particularly with respect to quorum sensing (QS), which is a system of stimuli and response correlated to population density. In the microbial biosphere, QS is pivotal in driving community structure and regulating behavioral ecology, including biofilm formation, virulence, antibiotic resistance, swarming motility, and secondary metabolite production. Many marine habitats, such as the phycosphere, harbor diverse populations of microorganisms and various signal languages (such as QS-based autoinducers). QS-mediated interactions widely influence algal-bacterial symbiotic relationships, which in turn determine community organization, population structure, and ecosystem functioning. Understanding infochemicals-mediated ecological processes may shed light on the symbiotic interactions between algae host and associated microbes. In this review, we summarize current achievements about how QS modulates microbial behavior, affects symbiotic relationships, and regulates phytoplankton chemical-ecological processes. Additionally, we present an overview of QS-modulated co-evolutionary relationships between algae and bacterioplankton, and consider the potential applications and future perspectives of QS.","container-title":"Critical Reviews in Plant Sciences","DOI":"10.1080/07352689.2016.1172461","ISSN":"0735-2689","issue":"2","journalAbbreviation":"Crit. Rev. Plant Sci.","note":"publisher: Taylor &amp; Francis\n_eprint: https://doi.org/10.1080/07352689.2016.1172461\nPMID: 28966438","page":"81–105","source":"Taylor and Francis+NEJM","title":"Quorum Sensing Is a Language of Chemical Signals and Plays an Ecological Role in Algal-Bacterial Interactions","volume":"35","author":[{"family":"Zhou","given":"Jin"},{"family":"Lyu","given":"Yihua"},{"family":"Richlen","given":"Mindy L."},{"family":"Anderson","given":"Donald M."},{"family":"Cai","given":"Zhonghua"}],"issued":{"date-parts":[["2016",3,3]]}}}],"schema":"https://github.com/citation-style-language/schema/raw/master/csl-citation.json"} </w:instrText>
      </w:r>
      <w:r w:rsidR="000422BE" w:rsidRPr="00CA0CF2">
        <w:rPr>
          <w:rFonts w:cs="Times New Roman"/>
          <w:szCs w:val="24"/>
        </w:rPr>
        <w:fldChar w:fldCharType="separate"/>
      </w:r>
      <w:r w:rsidR="009F150C" w:rsidRPr="00CA0CF2">
        <w:rPr>
          <w:rFonts w:cs="Times New Roman"/>
        </w:rPr>
        <w:t>(Zhou et al., 2016)</w:t>
      </w:r>
      <w:r w:rsidR="000422BE" w:rsidRPr="00CA0CF2">
        <w:rPr>
          <w:rFonts w:cs="Times New Roman"/>
          <w:szCs w:val="24"/>
        </w:rPr>
        <w:fldChar w:fldCharType="end"/>
      </w:r>
      <w:r w:rsidR="002C364D" w:rsidRPr="00CA0CF2">
        <w:rPr>
          <w:rFonts w:cs="Times New Roman"/>
          <w:szCs w:val="24"/>
        </w:rPr>
        <w:t>.</w:t>
      </w:r>
      <w:r w:rsidR="00351118" w:rsidRPr="00CA0CF2">
        <w:rPr>
          <w:rFonts w:cs="Times New Roman"/>
          <w:szCs w:val="24"/>
        </w:rPr>
        <w:t xml:space="preserve"> </w:t>
      </w:r>
      <w:bookmarkEnd w:id="13"/>
      <w:r w:rsidR="00CA0CF2" w:rsidRPr="00CA0CF2">
        <w:rPr>
          <w:rFonts w:cs="Times New Roman"/>
          <w:szCs w:val="24"/>
        </w:rPr>
        <w:t xml:space="preserve">During algal blooms, QS signalling has been shown to affect the symbiotic bacteria that can encourage the rapid algal growth </w:t>
      </w:r>
      <w:r w:rsidR="00CA0CF2">
        <w:rPr>
          <w:rFonts w:cs="Times New Roman"/>
          <w:b/>
          <w:bCs/>
          <w:szCs w:val="24"/>
        </w:rPr>
        <w:fldChar w:fldCharType="begin"/>
      </w:r>
      <w:r w:rsidR="00CA0CF2">
        <w:rPr>
          <w:rFonts w:cs="Times New Roman"/>
          <w:b/>
          <w:bCs/>
          <w:szCs w:val="24"/>
        </w:rPr>
        <w:instrText xml:space="preserve"> ADDIN ZOTERO_ITEM CSL_CITATION {"citationID":"A2XYqwpf","properties":{"formattedCitation":"(Zhu et al., 2022)","plainCitation":"(Zhu et al., 2022)","noteIndex":0},"citationItems":[{"id":9388,"uris":["http://zotero.org/users/764524/items/QB5YDTS4"],"itemData":{"id":9388,"type":"article-journal","abstract":"In the marine environment, the interactions among various species based on chemical signals play critical roles in influencing microbial structure and function. Quorum sensing (QS), the well-known signal-dependent communication autoinducer, is an important regulator in complex microbial communities. Here, we explored the QS gene profiles of phycosphere bacteria during a microcosmic phytoplankton bloom using metagenomic sequence data. More than fifteen subtypes of QS systems and 211,980 non-redundant amino acid sequences were collected and classified for constructing a hierarchical quorum-sensing database. The abundance of the various QS subtypes varied at different bloom stages and showed a strong correlation with phycosphere microorganisms. This suggested that QS is involved in regulating the phycosphere microbial succession during an algal bloom. A neutral community model revealed that the QS functional gene community assemblies were driven by stochastic processes. Co-occurrence model analysis showed that the QS gene networks of phycospheric microbes had similar topological structure and functional composition, which is a potential cornerstone for maintaining signal communication and population stabilization among microorganisms. Overall, QS systems have a strong relationship with the development of algal blooms and participate in regulating algal-associated microbial communities as chemical signals. This research reveals the chemical and ecological behavior of algal symbiotic bacteria and expands the current understanding of microbial dynamics in marine algal blooms.","container-title":"Environmental Research","DOI":"10.1016/j.envres.2022.113443","ISSN":"0013-9351","journalAbbreviation":"Environ. Res.","page":"113443","source":"ScienceDirect","title":"Dynamic patterns of quorum sensing signals in phycospheric microbes during a marine algal bloom","volume":"212","author":[{"family":"Zhu","given":"Jianming"},{"family":"Chen","given":"Guofu"},{"family":"Zhou","given":"Jin"},{"family":"Zeng","given":"Yanhua"},{"family":"Cheng","given":"Keke"},{"family":"Cai","given":"Zhonghua"}],"issued":{"date-parts":[["2022",9,1]]}}}],"schema":"https://github.com/citation-style-language/schema/raw/master/csl-citation.json"} </w:instrText>
      </w:r>
      <w:r w:rsidR="00CA0CF2">
        <w:rPr>
          <w:rFonts w:cs="Times New Roman"/>
          <w:b/>
          <w:bCs/>
          <w:szCs w:val="24"/>
        </w:rPr>
        <w:fldChar w:fldCharType="separate"/>
      </w:r>
      <w:r w:rsidR="00CA0CF2" w:rsidRPr="00E238F6">
        <w:rPr>
          <w:rFonts w:cs="Times New Roman"/>
        </w:rPr>
        <w:t>(Zhu et al., 2022)</w:t>
      </w:r>
      <w:r w:rsidR="00CA0CF2">
        <w:rPr>
          <w:rFonts w:cs="Times New Roman"/>
          <w:b/>
          <w:bCs/>
          <w:szCs w:val="24"/>
        </w:rPr>
        <w:fldChar w:fldCharType="end"/>
      </w:r>
      <w:r w:rsidR="00CA0CF2">
        <w:rPr>
          <w:rFonts w:cs="Times New Roman"/>
          <w:b/>
          <w:bCs/>
          <w:szCs w:val="24"/>
        </w:rPr>
        <w:t xml:space="preserve">. </w:t>
      </w:r>
      <w:r w:rsidR="00351118" w:rsidRPr="00833CE8">
        <w:rPr>
          <w:rFonts w:cs="Times New Roman"/>
          <w:szCs w:val="24"/>
        </w:rPr>
        <w:t xml:space="preserve"> Finally, some of these QS signals are directly algicidal</w:t>
      </w:r>
      <w:r w:rsidR="006C4412" w:rsidRPr="00833CE8">
        <w:rPr>
          <w:rFonts w:cs="Times New Roman"/>
          <w:szCs w:val="24"/>
        </w:rPr>
        <w:t xml:space="preserve"> </w:t>
      </w:r>
      <w:r w:rsidR="006C4412" w:rsidRPr="00833CE8">
        <w:rPr>
          <w:rFonts w:cs="Times New Roman"/>
          <w:szCs w:val="24"/>
        </w:rPr>
        <w:fldChar w:fldCharType="begin"/>
      </w:r>
      <w:r w:rsidR="009F150C" w:rsidRPr="00833CE8">
        <w:rPr>
          <w:rFonts w:cs="Times New Roman"/>
          <w:szCs w:val="24"/>
        </w:rPr>
        <w:instrText xml:space="preserve"> ADDIN ZOTERO_ITEM CSL_CITATION {"citationID":"kvlojgFr","properties":{"formattedCitation":"(R. Wang et al., 2022)","plainCitation":"(R. Wang et al., 2022)","noteIndex":0},"citationItems":[{"id":4620,"uris":["http://zotero.org/users/764524/items/J96DNR7A"],"itemData":{"id":4620,"type":"article-journal","abstract":"The marine alpha-proteobacterium Phaeobacter inhibens engages in intermittent symbioses with microalgae. The symbiosis is biphasic and concludes in a parasitic phase, during which the bacteria release algaecidal metabolites in response to algal p-coumaric acid (pCA). The cell-wide effects of pCA on P. inhibens remain unknown. Herein, we report a microarray-based transcriptomic study and find that genes related to the oxidative stress response and secondary metabolism are upregulated most, while those associated with energy production and motility are downregulated in the presence of pCA. Among genes upregulated is a previously unannotated biosynthetic gene cluster and, using a combination of gene deletions and metabolic profiling, we show that it gives rise to an unreported siderophore, roseobactin. The simultaneous production of algaecides and roseobactin in the parasitic phase allows the bacteria to take up any iron that is released from dying algal cells, thereby securing a limited micronutrient.","container-title":"Cell Chemical Biology","DOI":"10.1016/j.chembiol.2021.08.002","ISSN":"2451-9456","issue":"4","journalAbbreviation":"Cell Chem. Biol.","page":"670-679.e5","source":"ScienceDirect","title":"Algal &lt;i&gt;p&lt;/i&gt;-coumaric acid induces oxidative stress and siderophore biosynthesis in the bacterial symbiont &lt;i&gt;Phaeobacter inhibens&lt;/i&gt;","volume":"29","author":[{"family":"Wang","given":"Rurun"},{"family":"Gallant","given":"Étienne"},{"family":"Wilson","given":"Maxwell Z."},{"family":"Wu","given":"Yihan"},{"family":"Li","given":"Anran"},{"family":"Gitai","given":"Zemer"},{"family":"Seyedsayamdost","given":"Mohammad R."}],"issued":{"date-parts":[["2022",4,21]]}}}],"schema":"https://github.com/citation-style-language/schema/raw/master/csl-citation.json"} </w:instrText>
      </w:r>
      <w:r w:rsidR="006C4412" w:rsidRPr="00833CE8">
        <w:rPr>
          <w:rFonts w:cs="Times New Roman"/>
          <w:szCs w:val="24"/>
        </w:rPr>
        <w:fldChar w:fldCharType="separate"/>
      </w:r>
      <w:r w:rsidR="009F150C" w:rsidRPr="00833CE8">
        <w:rPr>
          <w:rFonts w:cs="Times New Roman"/>
        </w:rPr>
        <w:t>(R. Wang et al., 2022)</w:t>
      </w:r>
      <w:r w:rsidR="006C4412" w:rsidRPr="00833CE8">
        <w:rPr>
          <w:rFonts w:cs="Times New Roman"/>
          <w:szCs w:val="24"/>
        </w:rPr>
        <w:fldChar w:fldCharType="end"/>
      </w:r>
      <w:r w:rsidR="006C4412" w:rsidRPr="00833CE8">
        <w:rPr>
          <w:rFonts w:cs="Times New Roman"/>
          <w:szCs w:val="24"/>
        </w:rPr>
        <w:t>.</w:t>
      </w:r>
    </w:p>
    <w:p w14:paraId="6D0AD8C9" w14:textId="77777777" w:rsidR="00B9112F" w:rsidRDefault="00B9112F" w:rsidP="00ED3DD7">
      <w:pPr>
        <w:snapToGrid w:val="0"/>
        <w:spacing w:line="360" w:lineRule="auto"/>
        <w:ind w:firstLine="284"/>
        <w:jc w:val="both"/>
        <w:rPr>
          <w:rFonts w:cs="Times New Roman"/>
          <w:b/>
          <w:bCs/>
          <w:szCs w:val="24"/>
        </w:rPr>
      </w:pPr>
    </w:p>
    <w:p w14:paraId="6909A1E6" w14:textId="5AE59399" w:rsidR="00B9112F" w:rsidRPr="00B9112F" w:rsidRDefault="00B9112F" w:rsidP="00B9112F">
      <w:pPr>
        <w:pStyle w:val="ListParagraph"/>
        <w:numPr>
          <w:ilvl w:val="3"/>
          <w:numId w:val="9"/>
        </w:numPr>
        <w:snapToGrid w:val="0"/>
        <w:spacing w:line="360" w:lineRule="auto"/>
        <w:rPr>
          <w:rFonts w:cs="Times New Roman"/>
          <w:b/>
          <w:bCs/>
          <w:szCs w:val="24"/>
        </w:rPr>
      </w:pPr>
      <w:r>
        <w:rPr>
          <w:rFonts w:cs="Times New Roman"/>
          <w:b/>
          <w:bCs/>
          <w:szCs w:val="24"/>
        </w:rPr>
        <w:t>N-acyl-homoserine lactones (AHLs)</w:t>
      </w:r>
    </w:p>
    <w:p w14:paraId="13125F18" w14:textId="4F3985DC" w:rsidR="00994899" w:rsidRDefault="00521172" w:rsidP="000D234F">
      <w:pPr>
        <w:snapToGrid w:val="0"/>
        <w:spacing w:line="360" w:lineRule="auto"/>
        <w:ind w:firstLine="284"/>
        <w:jc w:val="both"/>
        <w:rPr>
          <w:rFonts w:cs="Times New Roman"/>
          <w:szCs w:val="24"/>
        </w:rPr>
      </w:pPr>
      <w:r w:rsidRPr="00833CE8">
        <w:rPr>
          <w:rFonts w:cs="Times New Roman"/>
          <w:szCs w:val="24"/>
        </w:rPr>
        <w:t xml:space="preserve">Diatoms can interact with AHLs </w:t>
      </w:r>
      <w:r w:rsidR="00F269A1" w:rsidRPr="00833CE8">
        <w:rPr>
          <w:rFonts w:cs="Times New Roman"/>
          <w:szCs w:val="24"/>
        </w:rPr>
        <w:t>which</w:t>
      </w:r>
      <w:r w:rsidR="002826A9">
        <w:rPr>
          <w:rFonts w:cs="Times New Roman"/>
          <w:szCs w:val="24"/>
        </w:rPr>
        <w:t>,</w:t>
      </w:r>
      <w:r w:rsidR="00F269A1" w:rsidRPr="00833CE8">
        <w:rPr>
          <w:rFonts w:cs="Times New Roman"/>
          <w:szCs w:val="24"/>
        </w:rPr>
        <w:t xml:space="preserve"> </w:t>
      </w:r>
      <w:r w:rsidR="002826A9">
        <w:rPr>
          <w:rFonts w:cs="Times New Roman"/>
          <w:szCs w:val="24"/>
        </w:rPr>
        <w:t>as</w:t>
      </w:r>
      <w:r w:rsidR="00F269A1" w:rsidRPr="00833CE8">
        <w:rPr>
          <w:rFonts w:cs="Times New Roman"/>
          <w:szCs w:val="24"/>
        </w:rPr>
        <w:t xml:space="preserve"> QS molecules</w:t>
      </w:r>
      <w:r w:rsidR="002826A9">
        <w:rPr>
          <w:rFonts w:cs="Times New Roman"/>
          <w:szCs w:val="24"/>
        </w:rPr>
        <w:t>,</w:t>
      </w:r>
      <w:r w:rsidR="00F269A1" w:rsidRPr="00833CE8">
        <w:rPr>
          <w:rFonts w:cs="Times New Roman"/>
          <w:szCs w:val="24"/>
        </w:rPr>
        <w:t xml:space="preserve"> </w:t>
      </w:r>
      <w:r w:rsidR="002826A9">
        <w:rPr>
          <w:rFonts w:cs="Times New Roman"/>
          <w:szCs w:val="24"/>
        </w:rPr>
        <w:t xml:space="preserve">are </w:t>
      </w:r>
      <w:r w:rsidRPr="00833CE8">
        <w:rPr>
          <w:rFonts w:cs="Times New Roman"/>
          <w:szCs w:val="24"/>
        </w:rPr>
        <w:t>used for cell-to-cell communication</w:t>
      </w:r>
      <w:r w:rsidR="00F269A1" w:rsidRPr="00833CE8">
        <w:rPr>
          <w:rFonts w:cs="Times New Roman"/>
          <w:szCs w:val="24"/>
        </w:rPr>
        <w:t xml:space="preserve"> that </w:t>
      </w:r>
      <w:r w:rsidRPr="00833CE8">
        <w:rPr>
          <w:rFonts w:cs="Times New Roman"/>
          <w:szCs w:val="24"/>
        </w:rPr>
        <w:t>can alter gene expression</w:t>
      </w:r>
      <w:r w:rsidR="00A06BD4" w:rsidRPr="00833CE8">
        <w:rPr>
          <w:rFonts w:cs="Times New Roman"/>
          <w:i/>
          <w:iCs/>
          <w:szCs w:val="24"/>
        </w:rPr>
        <w:t xml:space="preserve"> </w:t>
      </w:r>
      <w:r w:rsidRPr="00833CE8">
        <w:rPr>
          <w:rFonts w:cs="Times New Roman"/>
          <w:i/>
          <w:iCs/>
          <w:szCs w:val="24"/>
        </w:rPr>
        <w:fldChar w:fldCharType="begin"/>
      </w:r>
      <w:r w:rsidR="00742839">
        <w:rPr>
          <w:rFonts w:cs="Times New Roman"/>
          <w:i/>
          <w:iCs/>
          <w:szCs w:val="24"/>
        </w:rPr>
        <w:instrText xml:space="preserve"> ADDIN ZOTERO_ITEM CSL_CITATION {"citationID":"IUHhjBOS","properties":{"formattedCitation":"(Stock et al., 2020)","plainCitation":"(Stock et al., 2020)","noteIndex":0},"citationItems":[{"id":4380,"uris":["http://zotero.org/users/764524/items/F4KDPG46"],"itemData":{"id":4380,"type":"article-journal","abstract":"&lt;p&gt;In aquatic habitats, diatoms are frequently found in association with Proteobacteria, many members of which employ cell-to-cell communication via &lt;italic&gt;N&lt;/italic&gt;-acyl homoserine lactones (AHLs). It has been suggested that diatoms could distinguish between beneficial and algicidal bacteria in their surroundings by sensing AHLs. Although some microalgae can interfere with AHL signaling, e.g., by releasing AHL mimics or degrading them, molecular responses to AHLs in microalgae are still unclear. Therefore, we tested the effects of short-chained AHLs, i.e., &lt;italic&gt;N&lt;/italic&gt;-hexanoyl homoserine lactone (C6-HSL), &lt;italic&gt;N&lt;/italic&gt;-3-hydroxyhexanoyl homoserine lactone (OH-C6-HSL), and &lt;italic&gt;N&lt;/italic&gt;-3-oxohexanoyl homoserine lactone (oxo-C6-HSL) and long-chained AHLs, i.e., &lt;italic&gt;N&lt;/italic&gt;-tetradecanoyl homoserine lactone (C14-HSL), &lt;italic&gt;N&lt;/italic&gt;-3-hydroxytetradecanoyl homoserine lactone (OH-C14-HSL), and &lt;italic&gt;N&lt;/italic&gt;-3-oxotetradecanoyl homoserine lactone (oxo-C14-HSL), on growth of the benthic diatom &lt;italic&gt;Seminavis robusta&lt;/italic&gt;. All tested short-chained AHLs did not affect diatom growth, while long-chained AHLs promoted (C14-HSL) or inhibited (OH-C14-HSL and oxo-C14-HSL) growth. To investigate the physiological effects of these long-chained AHLs in more detail, an RNA-seq experiment was performed during which &lt;italic&gt;S. robusta&lt;/italic&gt; was treated with the growth-promoting C14-HSL and the growth-inhibiting oxo-C14-HSL. One tetramic acid was also tested (TA14), a structural rearrangement product of oxo-C14-HSL, which also induced growth inhibition in &lt;italic&gt;S. robusta&lt;/italic&gt;. After 3 days of treatment, analysis revealed that 3,410 genes were differentially expressed in response to at least one of the compounds. In the treatment with the growth-promoting C14-HSL many genes involved in intracellular signaling were upregulated. On the other hand, exposure to growth-inhibiting oxo-C14-HSL and TA14 triggered a switch in lipid metabolism towards increased fatty acid degradation. In addition, oxo-C14-HSL led to downregulation of cell cycle genes, which is in agreement with the stagnation of cell growth in this treatment. Combined, our results indicate that bacterial signaling molecules with high structural similarity induce contrasting physiological responses in &lt;italic&gt;S. robusta&lt;/italic&gt;.&lt;/p&gt;","container-title":"Frontiers in Microbiology","DOI":"10.3389/fmicb.2020.01240","ISSN":"1664-302X","journalAbbreviation":"Front. Microbiol.","language":"English","note":"publisher: Frontiers","page":"01240","source":"Frontiers","title":"Distinctive Growth and Transcriptional Changes of the Diatom &lt;i&gt;Seminavis robusta&lt;/i&gt; in Response to Quorum Sensing Related Compounds","volume":"11","author":[{"family":"Stock","given":"Frederike"},{"family":"Bilcke","given":"Gust"},{"family":"De Decker","given":"Sam"},{"family":"Osuna-Cruz","given":"Cristina Maria"},{"family":"Van den Berge","given":"Koen"},{"family":"Vancaester","given":"Emmelien"},{"family":"De Veylder","given":"Lieven"},{"family":"Vandepoele","given":"Klaas"},{"family":"Mangelinckx","given":"Sven"},{"family":"Vyverman","given":"Wim"}],"issued":{"date-parts":[["2020",6,9]]}}}],"schema":"https://github.com/citation-style-language/schema/raw/master/csl-citation.json"} </w:instrText>
      </w:r>
      <w:r w:rsidRPr="00833CE8">
        <w:rPr>
          <w:rFonts w:cs="Times New Roman"/>
          <w:i/>
          <w:iCs/>
          <w:szCs w:val="24"/>
        </w:rPr>
        <w:fldChar w:fldCharType="separate"/>
      </w:r>
      <w:r w:rsidR="009F150C" w:rsidRPr="00833CE8">
        <w:rPr>
          <w:rFonts w:cs="Times New Roman"/>
        </w:rPr>
        <w:t>(Stock et al., 2020)</w:t>
      </w:r>
      <w:r w:rsidRPr="00833CE8">
        <w:rPr>
          <w:rFonts w:cs="Times New Roman"/>
          <w:i/>
          <w:iCs/>
          <w:szCs w:val="24"/>
        </w:rPr>
        <w:fldChar w:fldCharType="end"/>
      </w:r>
      <w:r w:rsidR="00A06BD4" w:rsidRPr="00833CE8">
        <w:rPr>
          <w:rFonts w:cs="Times New Roman"/>
          <w:szCs w:val="24"/>
        </w:rPr>
        <w:t>.</w:t>
      </w:r>
      <w:r w:rsidR="00B30647" w:rsidRPr="00833CE8">
        <w:rPr>
          <w:rFonts w:cs="Times New Roman"/>
          <w:b/>
          <w:bCs/>
          <w:szCs w:val="24"/>
        </w:rPr>
        <w:t xml:space="preserve">  </w:t>
      </w:r>
      <w:r w:rsidR="004355FD" w:rsidRPr="00833CE8">
        <w:rPr>
          <w:rFonts w:cs="Times New Roman"/>
          <w:szCs w:val="24"/>
        </w:rPr>
        <w:t>In Gram-negative bacteria, AHLs have been shown to</w:t>
      </w:r>
      <w:r w:rsidR="004355FD" w:rsidRPr="00833CE8">
        <w:rPr>
          <w:rFonts w:cs="Times New Roman"/>
          <w:b/>
          <w:bCs/>
          <w:szCs w:val="24"/>
        </w:rPr>
        <w:t xml:space="preserve"> </w:t>
      </w:r>
      <w:r w:rsidR="004355FD" w:rsidRPr="002F5421">
        <w:rPr>
          <w:rFonts w:cs="Times New Roman"/>
          <w:szCs w:val="24"/>
        </w:rPr>
        <w:t xml:space="preserve">affect </w:t>
      </w:r>
      <w:r w:rsidR="004355FD">
        <w:rPr>
          <w:rFonts w:cs="Times New Roman"/>
          <w:szCs w:val="24"/>
        </w:rPr>
        <w:t xml:space="preserve">bacterial </w:t>
      </w:r>
      <w:r w:rsidR="004355FD" w:rsidRPr="002F5421">
        <w:rPr>
          <w:rFonts w:cs="Times New Roman"/>
          <w:szCs w:val="24"/>
        </w:rPr>
        <w:t>communities, production of biofilms, and metabolism</w:t>
      </w:r>
      <w:r w:rsidR="004355FD" w:rsidRPr="00833CE8">
        <w:rPr>
          <w:rFonts w:cs="Times New Roman"/>
          <w:b/>
          <w:bCs/>
          <w:szCs w:val="24"/>
        </w:rPr>
        <w:t xml:space="preserve"> </w:t>
      </w:r>
      <w:r w:rsidR="00F14B24" w:rsidRPr="00833CE8">
        <w:rPr>
          <w:rFonts w:cs="Times New Roman"/>
          <w:b/>
          <w:bCs/>
          <w:szCs w:val="24"/>
        </w:rPr>
        <w:fldChar w:fldCharType="begin"/>
      </w:r>
      <w:r w:rsidR="00F14B24" w:rsidRPr="00833CE8">
        <w:rPr>
          <w:rFonts w:cs="Times New Roman"/>
          <w:b/>
          <w:bCs/>
          <w:szCs w:val="24"/>
        </w:rPr>
        <w:instrText xml:space="preserve"> ADDIN ZOTERO_ITEM CSL_CITATION {"citationID":"zn2fpSik","properties":{"formattedCitation":"(Galloway et al., 2012; Wang et al., 2021)","plainCitation":"(Galloway et al., 2012; Wang et al., 2021)","noteIndex":0},"citationItems":[{"id":9338,"uris":["http://zotero.org/users/764524/items/S3XNEEM9"],"itemData":{"id":9338,"type":"article-journal","container-title":"Trends in Microbiology","DOI":"10.1016/j.tim.2012.06.003","ISSN":"0966-842X, 1878-4380","issue":"9","journalAbbreviation":"Trends Microbiol.","language":"English","note":"publisher: Elsevier\nPMID: 22771187","page":"449-458","source":"www.cell.com","title":"Applications of small molecule activators and inhibitors of quorum sensing in Gram-negative bacteria","volume":"20","author":[{"family":"Galloway","given":"Warren R. J. D."},{"family":"Hodgkinson","given":"James T."},{"family":"Bowden","given":"Steven"},{"family":"Welch","given":"Martin"},{"family":"Spring","given":"David R."}],"issued":{"date-parts":[["2012",9,1]]}}},{"id":9340,"uris":["http://zotero.org/users/764524/items/RZR3B54N"],"itemData":{"id":9340,"type":"article-journal","abstract":"Nitrification and denitrification are crucial processes in the nitrogen cycle, a vital microbially driven biogeochemical cycle. N-acyl-homoserine lactone (AHL)-mediated quorum sensing (QS) is widespread in bacteria and plays a key role in their physiological status. Recently, there has been an increase in research into how the AHL-mediated QS system is involved in nitrification and denitrification. Consequentially, the AHL-mediated QS system has been considered a promising regulatory approach in nitrogen metabolism processes, with high potential for real-world applications. In this review, the universal presence of QS in nitrifiers and denitrifiers is summarized. Many microorganisms taking part in nitrification and denitrification harbor QS genes, and they may produce AHLs with different chain lengths. The phenotypes and processes affected by QS in real-world applications are also reviewed. In wastewater bioreactors, QS could affect nitrogen metabolism efficiency, granule aggregation, and biofilm formation. Furthermore, methods commonly used to identify the existence and functions of QS, including physiological tests, genetic manipulation and omics analyses are discussed.","container-title":"Chemosphere","DOI":"10.1016/j.chemosphere.2021.129970","ISSN":"0045-6535","journalAbbreviation":"Chemosphere","page":"129970","source":"ScienceDirect","title":"Realizing the role of &lt;i&gt;N&lt;/i&gt;-acyl-homoserine lactone-mediated quorum sensing in nitrification and denitrification: A review","title-short":"Realizing the role of &lt;i&gt;N&lt;/i&gt;-acyl-homoserine lactone-mediated quorum sensing in nitrification and denitrification","volume":"274","author":[{"family":"Wang","given":"Na"},{"family":"Gao","given":"Jie"},{"family":"Liu","given":"Ying"},{"family":"Wang","given":"Qiuying"},{"family":"Zhuang","given":"Xuliang"},{"family":"Zhuang","given":"Guoqiang"}],"issued":{"date-parts":[["2021",7,1]]}}}],"schema":"https://github.com/citation-style-language/schema/raw/master/csl-citation.json"} </w:instrText>
      </w:r>
      <w:r w:rsidR="00F14B24" w:rsidRPr="00833CE8">
        <w:rPr>
          <w:rFonts w:cs="Times New Roman"/>
          <w:b/>
          <w:bCs/>
          <w:szCs w:val="24"/>
        </w:rPr>
        <w:fldChar w:fldCharType="separate"/>
      </w:r>
      <w:r w:rsidR="00F14B24" w:rsidRPr="00833CE8">
        <w:rPr>
          <w:rFonts w:cs="Times New Roman"/>
        </w:rPr>
        <w:t>(Galloway et al., 2012; Wang et al., 2021)</w:t>
      </w:r>
      <w:r w:rsidR="00F14B24" w:rsidRPr="00833CE8">
        <w:rPr>
          <w:rFonts w:cs="Times New Roman"/>
          <w:b/>
          <w:bCs/>
          <w:szCs w:val="24"/>
        </w:rPr>
        <w:fldChar w:fldCharType="end"/>
      </w:r>
      <w:r w:rsidR="00F14B24" w:rsidRPr="00833CE8">
        <w:rPr>
          <w:rFonts w:cs="Times New Roman"/>
          <w:b/>
          <w:bCs/>
          <w:szCs w:val="24"/>
        </w:rPr>
        <w:t>.</w:t>
      </w:r>
      <w:r w:rsidRPr="00833CE8">
        <w:rPr>
          <w:rFonts w:cs="Times New Roman"/>
          <w:i/>
          <w:iCs/>
          <w:szCs w:val="24"/>
        </w:rPr>
        <w:t xml:space="preserve">  </w:t>
      </w:r>
      <w:r w:rsidR="000F0B06" w:rsidRPr="00833CE8">
        <w:rPr>
          <w:rFonts w:cs="Times New Roman"/>
          <w:szCs w:val="24"/>
        </w:rPr>
        <w:t xml:space="preserve">The </w:t>
      </w:r>
      <w:r w:rsidRPr="00833CE8">
        <w:rPr>
          <w:rFonts w:cs="Times New Roman"/>
          <w:szCs w:val="24"/>
        </w:rPr>
        <w:t>addition of two key QS precursors N-(3-Oxododecanoyl)-L-homoserine lactone</w:t>
      </w:r>
      <w:r w:rsidR="0063438C" w:rsidRPr="00833CE8">
        <w:rPr>
          <w:rFonts w:cs="Times New Roman"/>
          <w:szCs w:val="24"/>
        </w:rPr>
        <w:t xml:space="preserve"> (OXO12)</w:t>
      </w:r>
      <w:r w:rsidRPr="00833CE8">
        <w:rPr>
          <w:rFonts w:cs="Times New Roman"/>
          <w:szCs w:val="24"/>
        </w:rPr>
        <w:t xml:space="preserve"> &amp; N-(3-Hydroxyoctanoyl)-DL-homoserine</w:t>
      </w:r>
      <w:r w:rsidR="00C34401" w:rsidRPr="00833CE8">
        <w:rPr>
          <w:rFonts w:cs="Times New Roman"/>
          <w:szCs w:val="24"/>
        </w:rPr>
        <w:t xml:space="preserve"> </w:t>
      </w:r>
      <w:r w:rsidRPr="00833CE8">
        <w:rPr>
          <w:rFonts w:cs="Times New Roman"/>
          <w:szCs w:val="24"/>
        </w:rPr>
        <w:t>lactone</w:t>
      </w:r>
      <w:r w:rsidR="00C34401" w:rsidRPr="00833CE8">
        <w:rPr>
          <w:rFonts w:cs="Times New Roman"/>
          <w:szCs w:val="24"/>
        </w:rPr>
        <w:t xml:space="preserve"> (</w:t>
      </w:r>
      <w:r w:rsidR="0029018E" w:rsidRPr="00833CE8">
        <w:rPr>
          <w:rFonts w:cs="Times New Roman"/>
          <w:szCs w:val="24"/>
        </w:rPr>
        <w:t>OH-C</w:t>
      </w:r>
      <w:r w:rsidR="0029018E" w:rsidRPr="00833CE8">
        <w:rPr>
          <w:rFonts w:cs="Times New Roman"/>
          <w:szCs w:val="24"/>
          <w:vertAlign w:val="subscript"/>
        </w:rPr>
        <w:t>8</w:t>
      </w:r>
      <w:r w:rsidR="0029018E" w:rsidRPr="00833CE8">
        <w:rPr>
          <w:rFonts w:cs="Times New Roman"/>
          <w:szCs w:val="24"/>
        </w:rPr>
        <w:t>-HL</w:t>
      </w:r>
      <w:r w:rsidR="00C34401" w:rsidRPr="00833CE8">
        <w:rPr>
          <w:rFonts w:cs="Times New Roman"/>
          <w:szCs w:val="24"/>
        </w:rPr>
        <w:t>)</w:t>
      </w:r>
      <w:r w:rsidRPr="00833CE8">
        <w:rPr>
          <w:rFonts w:cs="Times New Roman"/>
          <w:szCs w:val="24"/>
        </w:rPr>
        <w:t xml:space="preserve"> to</w:t>
      </w:r>
      <w:r w:rsidR="000F0B06" w:rsidRPr="00833CE8">
        <w:rPr>
          <w:rFonts w:cs="Times New Roman"/>
          <w:szCs w:val="24"/>
        </w:rPr>
        <w:t xml:space="preserve"> </w:t>
      </w:r>
      <w:r w:rsidRPr="00833CE8">
        <w:rPr>
          <w:rFonts w:cs="Times New Roman"/>
          <w:i/>
          <w:iCs/>
          <w:szCs w:val="24"/>
        </w:rPr>
        <w:t xml:space="preserve">Chlorella </w:t>
      </w:r>
      <w:r w:rsidR="000F0B06" w:rsidRPr="00994899">
        <w:rPr>
          <w:rFonts w:cs="Times New Roman"/>
          <w:szCs w:val="24"/>
        </w:rPr>
        <w:t>microalgae</w:t>
      </w:r>
      <w:r w:rsidR="000F0B06" w:rsidRPr="00833CE8">
        <w:rPr>
          <w:rFonts w:cs="Times New Roman"/>
          <w:i/>
          <w:iCs/>
          <w:szCs w:val="24"/>
        </w:rPr>
        <w:t xml:space="preserve"> </w:t>
      </w:r>
      <w:r w:rsidRPr="00833CE8">
        <w:rPr>
          <w:rFonts w:cs="Times New Roman"/>
          <w:szCs w:val="24"/>
        </w:rPr>
        <w:t xml:space="preserve">resulted in increased production of fatty acids and </w:t>
      </w:r>
      <w:r w:rsidRPr="00BB0227">
        <w:rPr>
          <w:rFonts w:cs="Times New Roman"/>
          <w:szCs w:val="24"/>
        </w:rPr>
        <w:t>lipid metabolism</w:t>
      </w:r>
      <w:r w:rsidR="007B0E9A" w:rsidRPr="00BB0227">
        <w:rPr>
          <w:rFonts w:cs="Times New Roman"/>
          <w:szCs w:val="24"/>
        </w:rPr>
        <w:t xml:space="preserve">, in particular, </w:t>
      </w:r>
      <w:r w:rsidRPr="00BB0227">
        <w:rPr>
          <w:rFonts w:cs="Times New Roman"/>
          <w:szCs w:val="24"/>
        </w:rPr>
        <w:t xml:space="preserve">increasing </w:t>
      </w:r>
      <w:r w:rsidR="007B0E9A" w:rsidRPr="00BB0227">
        <w:rPr>
          <w:rFonts w:cs="Times New Roman"/>
          <w:szCs w:val="24"/>
        </w:rPr>
        <w:t xml:space="preserve">synthesis of </w:t>
      </w:r>
      <w:r w:rsidRPr="00BB0227">
        <w:rPr>
          <w:rFonts w:cs="Times New Roman"/>
          <w:szCs w:val="24"/>
        </w:rPr>
        <w:t xml:space="preserve">saturated and monounsaturated fatty acids </w:t>
      </w:r>
      <w:r w:rsidRPr="00BB0227">
        <w:rPr>
          <w:rFonts w:cs="Times New Roman"/>
          <w:szCs w:val="24"/>
        </w:rPr>
        <w:fldChar w:fldCharType="begin"/>
      </w:r>
      <w:r w:rsidR="009F150C" w:rsidRPr="00BB0227">
        <w:rPr>
          <w:rFonts w:cs="Times New Roman"/>
          <w:szCs w:val="24"/>
        </w:rPr>
        <w:instrText xml:space="preserve"> ADDIN ZOTERO_ITEM CSL_CITATION {"citationID":"i6wPWEX0","properties":{"formattedCitation":"(Parveen and Patidar, 2023)","plainCitation":"(Parveen and Patidar, 2023)","noteIndex":0},"citationItems":[{"id":4571,"uris":["http://zotero.org/users/764524/items/WH4Z4X7F"],"itemData":{"id":4571,"type":"article-journal","abstract":"Quorum sensing precursors of bacteria interact with microalgae in cultures and indirectly affect the algal physiology but their profound effect on the lipid and biomass in relation to improving the biofuel competence is one of the potential unexplored areas. The knowledge on the effect of phycospheric bacterial quorum sensing (QS) precursors on the lipid metabolism of microalgae under axenic and xenic conditions is highly restricted. This study endeavored to investigate an independent effect of QS precursors on the selected potential alga Chlorella sp. and unraveled the hidden prospect of QS for improvement of the lipids and identified the differences between the xenic and axenic conditions in the presence and absence of the QS precursors. Results revealed that N-(3-Oxododecanoyl)-L-homoserine lactone and N-(3-Hydroxyoctanoyl)-DL-homoserine lactone changed lipid composition, increased lipid productivity (2–4.5- folds) and biomass productivity (1.96–4.2- folds) under both xenic and axenic conditions of Chlorella sp. Further, selected QS precursors ameliorated fatty acid composition of the biomass that affected the resultant biodiesel properties at the end. N-(3-Hydroxyoctanoyl)-DL-homoserine promoted synthesis of PUFA and phospholipids with higher C18:2n6 compare to control. In contrast, N-(3-Oxododecanoyl)-L-homoserine lactone promoted SFA and neutral lipids with higher C18:00. Upon investigation of the stress physiology of Chlorella sp., it was revealed that the above QS precursors mediate the antioxidant levels and accumulate lipids, while also encourage biomass amelioration.","container-title":"Chemical Engineering Journal","DOI":"10.1016/j.cej.2023.144757","ISSN":"1385-8947","journalAbbreviation":"Chem. Eng. J.","page":"144757","source":"ScienceDirect","title":"Bacterial quorum sensing precursors N-(3-Oxododecanoyl)-L-homoserine lactone &amp; N-(3-Hydroxyoctanoyl)-DL-homoserine lactone ameliorate algal biomass, lipids and fatty acids","volume":"471","author":[{"family":"Parveen","given":"Sana"},{"family":"Patidar","given":"Shailesh Kumar"}],"issued":{"date-parts":[["2023",9,1]]}}}],"schema":"https://github.com/citation-style-language/schema/raw/master/csl-citation.json"} </w:instrText>
      </w:r>
      <w:r w:rsidRPr="00BB0227">
        <w:rPr>
          <w:rFonts w:cs="Times New Roman"/>
          <w:szCs w:val="24"/>
        </w:rPr>
        <w:fldChar w:fldCharType="separate"/>
      </w:r>
      <w:r w:rsidR="009F150C" w:rsidRPr="00BB0227">
        <w:rPr>
          <w:rFonts w:cs="Times New Roman"/>
        </w:rPr>
        <w:t>(Parveen and Patidar, 2023)</w:t>
      </w:r>
      <w:r w:rsidRPr="00BB0227">
        <w:rPr>
          <w:rFonts w:cs="Times New Roman"/>
          <w:szCs w:val="24"/>
        </w:rPr>
        <w:fldChar w:fldCharType="end"/>
      </w:r>
      <w:r w:rsidR="000458C9" w:rsidRPr="00BB0227">
        <w:rPr>
          <w:rFonts w:cs="Times New Roman"/>
          <w:szCs w:val="24"/>
        </w:rPr>
        <w:t>.</w:t>
      </w:r>
      <w:r w:rsidR="000D234F" w:rsidRPr="00BB0227">
        <w:rPr>
          <w:rFonts w:cs="Times New Roman"/>
          <w:szCs w:val="24"/>
        </w:rPr>
        <w:t xml:space="preserve">  </w:t>
      </w:r>
      <w:bookmarkStart w:id="14" w:name="_Hlk191634497"/>
      <w:r w:rsidR="00935E3C" w:rsidRPr="00BB0227">
        <w:rPr>
          <w:rFonts w:cs="Times New Roman"/>
          <w:color w:val="FF0000"/>
          <w:szCs w:val="24"/>
        </w:rPr>
        <w:t xml:space="preserve">The </w:t>
      </w:r>
      <w:r w:rsidR="001F4710" w:rsidRPr="00BB0227">
        <w:rPr>
          <w:rFonts w:cs="Times New Roman"/>
          <w:color w:val="FF0000"/>
          <w:szCs w:val="24"/>
        </w:rPr>
        <w:t xml:space="preserve">addition of 1 mL/L OXO12 in culture media increased biomass </w:t>
      </w:r>
      <w:r w:rsidR="00B82795">
        <w:rPr>
          <w:rFonts w:cs="Times New Roman"/>
          <w:color w:val="FF0000"/>
          <w:szCs w:val="24"/>
        </w:rPr>
        <w:t xml:space="preserve">productivity </w:t>
      </w:r>
      <w:r w:rsidR="001F4710" w:rsidRPr="00BB0227">
        <w:rPr>
          <w:rFonts w:cs="Times New Roman"/>
          <w:color w:val="FF0000"/>
          <w:szCs w:val="24"/>
        </w:rPr>
        <w:t>from</w:t>
      </w:r>
      <w:r w:rsidR="001F4710" w:rsidRPr="00BB0227">
        <w:t xml:space="preserve"> </w:t>
      </w:r>
      <w:r w:rsidR="000D234F" w:rsidRPr="00BB0227">
        <w:rPr>
          <w:rFonts w:cs="Times New Roman"/>
          <w:color w:val="FF0000"/>
          <w:szCs w:val="24"/>
        </w:rPr>
        <w:t>6.76 ± 0.04 mgL</w:t>
      </w:r>
      <w:r w:rsidR="000D234F" w:rsidRPr="00BB0227">
        <w:rPr>
          <w:rFonts w:cs="Times New Roman"/>
          <w:color w:val="FF0000"/>
          <w:szCs w:val="24"/>
          <w:vertAlign w:val="superscript"/>
        </w:rPr>
        <w:t>-1</w:t>
      </w:r>
      <w:r w:rsidR="000D234F" w:rsidRPr="00BB0227">
        <w:rPr>
          <w:rFonts w:cs="Times New Roman"/>
          <w:color w:val="FF0000"/>
          <w:szCs w:val="24"/>
        </w:rPr>
        <w:t>day</w:t>
      </w:r>
      <w:r w:rsidR="000D234F" w:rsidRPr="00BB0227">
        <w:rPr>
          <w:rFonts w:cs="Times New Roman"/>
          <w:color w:val="FF0000"/>
          <w:szCs w:val="24"/>
          <w:vertAlign w:val="superscript"/>
        </w:rPr>
        <w:t>−1</w:t>
      </w:r>
      <w:r w:rsidR="000D234F" w:rsidRPr="00BB0227">
        <w:rPr>
          <w:rFonts w:cs="Times New Roman"/>
          <w:color w:val="FF0000"/>
          <w:szCs w:val="24"/>
        </w:rPr>
        <w:t xml:space="preserve"> to 13.26 </w:t>
      </w:r>
      <w:r w:rsidR="000D234F" w:rsidRPr="00B82795">
        <w:rPr>
          <w:rFonts w:cs="Times New Roman"/>
          <w:color w:val="FF0000"/>
          <w:szCs w:val="24"/>
        </w:rPr>
        <w:t>± 0.14 mgL</w:t>
      </w:r>
      <w:r w:rsidR="000D234F" w:rsidRPr="00B82795">
        <w:rPr>
          <w:rFonts w:cs="Times New Roman"/>
          <w:color w:val="FF0000"/>
          <w:szCs w:val="24"/>
          <w:vertAlign w:val="superscript"/>
        </w:rPr>
        <w:t>-1</w:t>
      </w:r>
      <w:r w:rsidR="000D234F" w:rsidRPr="00B82795">
        <w:rPr>
          <w:rFonts w:cs="Times New Roman"/>
          <w:color w:val="FF0000"/>
          <w:szCs w:val="24"/>
        </w:rPr>
        <w:t>day</w:t>
      </w:r>
      <w:r w:rsidR="000D234F" w:rsidRPr="00B82795">
        <w:rPr>
          <w:rFonts w:cs="Times New Roman"/>
          <w:color w:val="FF0000"/>
          <w:szCs w:val="24"/>
          <w:vertAlign w:val="superscript"/>
        </w:rPr>
        <w:t>−1</w:t>
      </w:r>
      <w:r w:rsidR="000D234F" w:rsidRPr="00B82795">
        <w:rPr>
          <w:rFonts w:cs="Times New Roman"/>
          <w:color w:val="FF0000"/>
          <w:szCs w:val="24"/>
        </w:rPr>
        <w:t xml:space="preserve"> in 100 µM </w:t>
      </w:r>
      <w:r w:rsidR="001F4710" w:rsidRPr="00B82795">
        <w:rPr>
          <w:rFonts w:cs="Times New Roman"/>
          <w:color w:val="FF0000"/>
          <w:szCs w:val="24"/>
        </w:rPr>
        <w:t xml:space="preserve">OXO12 in </w:t>
      </w:r>
      <w:r w:rsidR="000D234F" w:rsidRPr="00B82795">
        <w:rPr>
          <w:rFonts w:cs="Times New Roman"/>
          <w:color w:val="FF0000"/>
          <w:szCs w:val="24"/>
        </w:rPr>
        <w:t xml:space="preserve">xenic culture conditions.  </w:t>
      </w:r>
      <w:r w:rsidR="00B82795" w:rsidRPr="00B82795">
        <w:rPr>
          <w:rFonts w:cs="Times New Roman"/>
          <w:color w:val="FF0000"/>
          <w:szCs w:val="24"/>
        </w:rPr>
        <w:t>The lipid productivity</w:t>
      </w:r>
      <w:r w:rsidR="0040631A" w:rsidRPr="00B82795">
        <w:rPr>
          <w:rFonts w:cs="Times New Roman"/>
          <w:color w:val="FF0000"/>
          <w:szCs w:val="24"/>
        </w:rPr>
        <w:t xml:space="preserve"> </w:t>
      </w:r>
      <w:r w:rsidR="00B82795">
        <w:rPr>
          <w:rFonts w:cs="Times New Roman"/>
          <w:color w:val="FF0000"/>
          <w:szCs w:val="24"/>
        </w:rPr>
        <w:t>increased from</w:t>
      </w:r>
      <w:r w:rsidR="00B82795" w:rsidRPr="00B82795">
        <w:rPr>
          <w:rFonts w:cs="Times New Roman"/>
          <w:color w:val="FF0000"/>
          <w:szCs w:val="24"/>
        </w:rPr>
        <w:t xml:space="preserve"> </w:t>
      </w:r>
      <w:r w:rsidR="001F4710" w:rsidRPr="00B82795">
        <w:rPr>
          <w:rFonts w:cs="Times New Roman"/>
          <w:color w:val="FF0000"/>
          <w:szCs w:val="24"/>
        </w:rPr>
        <w:t>1</w:t>
      </w:r>
      <w:r w:rsidR="001F4710" w:rsidRPr="00BB0227">
        <w:rPr>
          <w:rFonts w:cs="Times New Roman"/>
          <w:color w:val="FF0000"/>
          <w:szCs w:val="24"/>
        </w:rPr>
        <w:t>.60 ± 0.03 mgL</w:t>
      </w:r>
      <w:r w:rsidR="001F4710" w:rsidRPr="00BB0227">
        <w:rPr>
          <w:rFonts w:cs="Times New Roman"/>
          <w:color w:val="FF0000"/>
          <w:szCs w:val="24"/>
          <w:vertAlign w:val="superscript"/>
        </w:rPr>
        <w:t>-1</w:t>
      </w:r>
      <w:r w:rsidR="001F4710" w:rsidRPr="00BB0227">
        <w:rPr>
          <w:rFonts w:cs="Times New Roman"/>
          <w:color w:val="FF0000"/>
          <w:szCs w:val="24"/>
        </w:rPr>
        <w:t>day</w:t>
      </w:r>
      <w:r w:rsidR="001F4710" w:rsidRPr="00BB0227">
        <w:rPr>
          <w:rFonts w:cs="Times New Roman"/>
          <w:color w:val="FF0000"/>
          <w:szCs w:val="24"/>
          <w:vertAlign w:val="superscript"/>
        </w:rPr>
        <w:t>−1</w:t>
      </w:r>
      <w:r w:rsidR="00B82795">
        <w:rPr>
          <w:rFonts w:cs="Times New Roman"/>
          <w:color w:val="FF0000"/>
          <w:szCs w:val="24"/>
        </w:rPr>
        <w:t xml:space="preserve"> to </w:t>
      </w:r>
      <w:r w:rsidR="001F4710" w:rsidRPr="00BB0227">
        <w:rPr>
          <w:rFonts w:cs="Times New Roman"/>
          <w:color w:val="FF0000"/>
          <w:szCs w:val="24"/>
        </w:rPr>
        <w:t>7.22 ± 0.08 mgL</w:t>
      </w:r>
      <w:r w:rsidR="001F4710" w:rsidRPr="00BB0227">
        <w:rPr>
          <w:rFonts w:cs="Times New Roman"/>
          <w:color w:val="FF0000"/>
          <w:szCs w:val="24"/>
          <w:vertAlign w:val="superscript"/>
        </w:rPr>
        <w:t>-1</w:t>
      </w:r>
      <w:r w:rsidR="001F4710" w:rsidRPr="00BB0227">
        <w:rPr>
          <w:rFonts w:cs="Times New Roman"/>
          <w:color w:val="FF0000"/>
          <w:szCs w:val="24"/>
        </w:rPr>
        <w:t>day</w:t>
      </w:r>
      <w:r w:rsidR="001F4710" w:rsidRPr="00BB0227">
        <w:rPr>
          <w:rFonts w:cs="Times New Roman"/>
          <w:color w:val="FF0000"/>
          <w:szCs w:val="24"/>
          <w:vertAlign w:val="superscript"/>
        </w:rPr>
        <w:t>−1</w:t>
      </w:r>
      <w:r w:rsidR="001F4710" w:rsidRPr="00BB0227">
        <w:rPr>
          <w:rFonts w:cs="Times New Roman"/>
          <w:color w:val="FF0000"/>
          <w:szCs w:val="24"/>
        </w:rPr>
        <w:t xml:space="preserve"> in 100 µM OXO12 in xenic cultur</w:t>
      </w:r>
      <w:r w:rsidR="0040631A">
        <w:rPr>
          <w:rFonts w:cs="Times New Roman"/>
          <w:color w:val="FF0000"/>
          <w:szCs w:val="24"/>
        </w:rPr>
        <w:t>e</w:t>
      </w:r>
      <w:r w:rsidR="00691166">
        <w:rPr>
          <w:rFonts w:cs="Times New Roman"/>
          <w:color w:val="FF0000"/>
          <w:szCs w:val="24"/>
        </w:rPr>
        <w:t xml:space="preserve">, with the highest </w:t>
      </w:r>
      <w:r w:rsidR="00691166" w:rsidRPr="00691166">
        <w:rPr>
          <w:rFonts w:cs="Times New Roman"/>
          <w:color w:val="FF0000"/>
          <w:szCs w:val="24"/>
        </w:rPr>
        <w:t>saturated and monounsaturated fatty acids found in OXO12 treated cells, with a cetane number of 64.67 ± 2.68</w:t>
      </w:r>
      <w:r w:rsidR="0040631A" w:rsidRPr="00691166">
        <w:rPr>
          <w:rFonts w:cs="Times New Roman"/>
          <w:color w:val="FF0000"/>
          <w:szCs w:val="24"/>
        </w:rPr>
        <w:t>.</w:t>
      </w:r>
      <w:r w:rsidR="00691166">
        <w:rPr>
          <w:rFonts w:cs="Times New Roman"/>
          <w:color w:val="FF0000"/>
          <w:szCs w:val="24"/>
        </w:rPr>
        <w:t xml:space="preserve">  </w:t>
      </w:r>
      <w:bookmarkEnd w:id="14"/>
      <w:r w:rsidR="00A143FB" w:rsidRPr="00BB0227">
        <w:rPr>
          <w:rFonts w:cs="Times New Roman"/>
          <w:szCs w:val="24"/>
        </w:rPr>
        <w:t>AHLs have</w:t>
      </w:r>
      <w:r w:rsidR="00A143FB" w:rsidRPr="00BA4529">
        <w:rPr>
          <w:rFonts w:cs="Times New Roman"/>
          <w:szCs w:val="24"/>
        </w:rPr>
        <w:t xml:space="preserve"> also </w:t>
      </w:r>
      <w:r w:rsidR="004A27B6">
        <w:rPr>
          <w:rFonts w:cs="Times New Roman"/>
          <w:szCs w:val="24"/>
        </w:rPr>
        <w:t xml:space="preserve">been </w:t>
      </w:r>
      <w:r w:rsidR="00A143FB" w:rsidRPr="00BA4529">
        <w:rPr>
          <w:rFonts w:cs="Times New Roman"/>
          <w:szCs w:val="24"/>
        </w:rPr>
        <w:t>shown to be</w:t>
      </w:r>
      <w:r w:rsidR="0087198C" w:rsidRPr="00BA4529">
        <w:rPr>
          <w:rFonts w:cs="Times New Roman"/>
          <w:szCs w:val="24"/>
        </w:rPr>
        <w:t xml:space="preserve"> involved in </w:t>
      </w:r>
      <w:r w:rsidR="005673BD" w:rsidRPr="00BA4529">
        <w:rPr>
          <w:rFonts w:cs="Times New Roman"/>
          <w:szCs w:val="24"/>
        </w:rPr>
        <w:t xml:space="preserve">aggregation of </w:t>
      </w:r>
      <w:r w:rsidR="000F0B06" w:rsidRPr="00BA4529">
        <w:rPr>
          <w:rFonts w:cs="Times New Roman"/>
          <w:szCs w:val="24"/>
        </w:rPr>
        <w:t xml:space="preserve">bacterial </w:t>
      </w:r>
      <w:r w:rsidR="005673BD" w:rsidRPr="00BA4529">
        <w:rPr>
          <w:rFonts w:cs="Times New Roman"/>
          <w:szCs w:val="24"/>
        </w:rPr>
        <w:t>cells</w:t>
      </w:r>
      <w:r w:rsidR="000F0B06" w:rsidRPr="00BA4529">
        <w:rPr>
          <w:rFonts w:cs="Times New Roman"/>
          <w:szCs w:val="24"/>
        </w:rPr>
        <w:t xml:space="preserve">, </w:t>
      </w:r>
      <w:r w:rsidR="000F0B06" w:rsidRPr="00833CE8">
        <w:rPr>
          <w:rFonts w:cs="Times New Roman"/>
          <w:szCs w:val="24"/>
        </w:rPr>
        <w:t>referred to as flocculation</w:t>
      </w:r>
      <w:r w:rsidR="00A143FB" w:rsidRPr="00833CE8">
        <w:rPr>
          <w:rFonts w:cs="Times New Roman"/>
          <w:szCs w:val="24"/>
        </w:rPr>
        <w:t>,</w:t>
      </w:r>
      <w:r w:rsidR="005673BD" w:rsidRPr="00833CE8">
        <w:rPr>
          <w:rFonts w:cs="Times New Roman"/>
          <w:szCs w:val="24"/>
        </w:rPr>
        <w:t xml:space="preserve"> </w:t>
      </w:r>
      <w:r w:rsidR="000F0B06" w:rsidRPr="00833CE8">
        <w:rPr>
          <w:rFonts w:cs="Times New Roman"/>
          <w:szCs w:val="24"/>
        </w:rPr>
        <w:t>which</w:t>
      </w:r>
      <w:r w:rsidR="00A143FB" w:rsidRPr="00833CE8">
        <w:rPr>
          <w:rFonts w:cs="Times New Roman"/>
          <w:szCs w:val="24"/>
        </w:rPr>
        <w:t xml:space="preserve"> can </w:t>
      </w:r>
      <w:r w:rsidR="00A143FB" w:rsidRPr="00833CE8">
        <w:rPr>
          <w:rFonts w:cs="Times New Roman"/>
          <w:szCs w:val="24"/>
        </w:rPr>
        <w:lastRenderedPageBreak/>
        <w:t xml:space="preserve">be </w:t>
      </w:r>
      <w:r w:rsidR="005673BD" w:rsidRPr="00833CE8">
        <w:rPr>
          <w:rFonts w:cs="Times New Roman"/>
          <w:szCs w:val="24"/>
        </w:rPr>
        <w:t xml:space="preserve">used for wastewater treatment </w:t>
      </w:r>
      <w:r w:rsidR="00286824" w:rsidRPr="00833CE8">
        <w:rPr>
          <w:rFonts w:cs="Times New Roman"/>
          <w:szCs w:val="24"/>
        </w:rPr>
        <w:fldChar w:fldCharType="begin"/>
      </w:r>
      <w:r w:rsidR="00286824" w:rsidRPr="00833CE8">
        <w:rPr>
          <w:rFonts w:cs="Times New Roman"/>
          <w:szCs w:val="24"/>
        </w:rPr>
        <w:instrText xml:space="preserve"> ADDIN ZOTERO_ITEM CSL_CITATION {"citationID":"UqHnxRBc","properties":{"formattedCitation":"(H. Wang et al., 2022)","plainCitation":"(H. Wang et al., 2022)","noteIndex":0},"citationItems":[{"id":9336,"uris":["http://zotero.org/users/764524/items/9C9SR2G6"],"itemData":{"id":9336,"type":"article-journal","abstract":"N-acyl-homoserine lactones (AHLs) as autoinducers of Gram-negative bacteria for quorum sensing regulation have shown positive effects on the production of aromatic proteins in extracellular polymeric substances (EPSs) during bioflocculation. To investigate the role of AHLs in aromatic protein production, a Chlorella–bacteria system with great bioflocculation was established via fed-batch cultivation. Tryptophan and aromatic proteins as the main compounds in the EPS of bioflocs showed an increasing trend during fed-batch cultivation. The Chlorella cells only secreted tryptophan rather than aromatic proteins during axenic cultivation. N-dodecanoyl-l-homoserine lactone (C12-HSL) was correlated with the flocculation activity and extracellular protein content of bioflocs during fed-batch cultivation. The addition of exogenous C12-HSL enhanced the flocculation activity of the Chlorella–bacteria system and aromatic protein production in the EPS. Chlorella cells sensed exogenous C12-HSL and significantly upregulated the aromatic protein synthesis pathway during axenic cultivation. In addition, vanillin as a quorum-sensing inhibitor suppressed the positive effect of C12-HSL on flocculation activity and aromatic protein production and synthesis. This result indicated that vanillin intercepts the response of Chlorella cells to C12-HSL. Overall, C12-HSL is supposed to be an important signal molecule to achieve communication between Chlorella and Gram-negative bacteria and subsequently induce Chlorella cells to produce aromatic proteins for biofloc formation.","container-title":"Environmental Science &amp; Technology","DOI":"10.1021/acs.est.2c00905","ISSN":"0013-936X","issue":"17","journalAbbreviation":"Environ. Sci. Technol.","note":"publisher: American Chemical Society","page":"12645-12655","source":"ACS Publications","title":"N-Acyl-Homoserine Lactone (AHL)-Mediated Microalgal–Bacterial Communication Driving Chlorella-Activated Sludge Bacterial Biofloc Formation","volume":"56","author":[{"family":"Wang","given":"Hong"},{"family":"Wu","given":"Peike"},{"family":"Zheng","given":"Dan"},{"family":"Deng","given":"Liangwei"},{"family":"Wang","given":"Wenguo"}],"issued":{"date-parts":[["2022",9,6]]}}}],"schema":"https://github.com/citation-style-language/schema/raw/master/csl-citation.json"} </w:instrText>
      </w:r>
      <w:r w:rsidR="00286824" w:rsidRPr="00833CE8">
        <w:rPr>
          <w:rFonts w:cs="Times New Roman"/>
          <w:szCs w:val="24"/>
        </w:rPr>
        <w:fldChar w:fldCharType="separate"/>
      </w:r>
      <w:r w:rsidR="00286824" w:rsidRPr="00833CE8">
        <w:rPr>
          <w:rFonts w:cs="Times New Roman"/>
        </w:rPr>
        <w:t>(H. Wang et al., 2022)</w:t>
      </w:r>
      <w:r w:rsidR="00286824" w:rsidRPr="00833CE8">
        <w:rPr>
          <w:rFonts w:cs="Times New Roman"/>
          <w:szCs w:val="24"/>
        </w:rPr>
        <w:fldChar w:fldCharType="end"/>
      </w:r>
      <w:r w:rsidR="0087198C" w:rsidRPr="00833CE8">
        <w:rPr>
          <w:rFonts w:cs="Times New Roman"/>
          <w:b/>
          <w:bCs/>
          <w:szCs w:val="24"/>
        </w:rPr>
        <w:t>.</w:t>
      </w:r>
      <w:r w:rsidR="0087198C" w:rsidRPr="00833CE8">
        <w:rPr>
          <w:rFonts w:cs="Times New Roman"/>
          <w:szCs w:val="24"/>
        </w:rPr>
        <w:t xml:space="preserve"> </w:t>
      </w:r>
      <w:r w:rsidRPr="00833CE8">
        <w:rPr>
          <w:rFonts w:cs="Times New Roman"/>
          <w:szCs w:val="24"/>
        </w:rPr>
        <w:t xml:space="preserve"> </w:t>
      </w:r>
      <w:r w:rsidR="00311062" w:rsidRPr="00833CE8">
        <w:rPr>
          <w:rFonts w:cs="Times New Roman"/>
          <w:szCs w:val="24"/>
        </w:rPr>
        <w:t xml:space="preserve">While AHLs can directly affect microalgae, they can also chemically rearrange into </w:t>
      </w:r>
      <w:proofErr w:type="spellStart"/>
      <w:r w:rsidR="00311062" w:rsidRPr="00833CE8">
        <w:rPr>
          <w:rFonts w:cs="Times New Roman"/>
          <w:szCs w:val="24"/>
        </w:rPr>
        <w:t>tetramic</w:t>
      </w:r>
      <w:proofErr w:type="spellEnd"/>
      <w:r w:rsidR="00311062" w:rsidRPr="00833CE8">
        <w:rPr>
          <w:rFonts w:cs="Times New Roman"/>
          <w:szCs w:val="24"/>
        </w:rPr>
        <w:t xml:space="preserve"> acids, which can inhibit microalgal growth by decreasing photosynthetic efficiency</w:t>
      </w:r>
      <w:r w:rsidR="0087198C" w:rsidRPr="00833CE8">
        <w:rPr>
          <w:rFonts w:cs="Times New Roman"/>
          <w:szCs w:val="24"/>
        </w:rPr>
        <w:t xml:space="preserve"> </w:t>
      </w:r>
      <w:r w:rsidR="00311062" w:rsidRPr="00833CE8">
        <w:rPr>
          <w:rFonts w:cs="Times New Roman"/>
          <w:b/>
          <w:bCs/>
          <w:szCs w:val="24"/>
        </w:rPr>
        <w:fldChar w:fldCharType="begin"/>
      </w:r>
      <w:r w:rsidR="00742839">
        <w:rPr>
          <w:rFonts w:cs="Times New Roman"/>
          <w:b/>
          <w:bCs/>
          <w:szCs w:val="24"/>
        </w:rPr>
        <w:instrText xml:space="preserve"> ADDIN ZOTERO_ITEM CSL_CITATION {"citationID":"sAlM1nMd","properties":{"formattedCitation":"(Stock et al., 2019)","plainCitation":"(Stock et al., 2019)","noteIndex":0},"citationItems":[{"id":4477,"uris":["http://zotero.org/users/764524/items/MUSSUGSL"],"itemData":{"id":4477,"type":"article-journal","abstract":"Marine bacteria contribute substantially to nutrient cycling in the oceans and can engage in close interactions with microalgae. Many microalgae harbor characteristic satellite bacteria, many of which participate in N-acyl homoserine lactone (AHL) mediated quorum sensing. In the diffusion-controlled phycosphere, AHLs can reach high local concentrations, with some of them transforming into tetramic acids, compounds with a broad bioactivity. We tested a representative AHL, N-(3-oxododecanoyl) homoserine lactone, and its tetramic acid rearrangement product on the diatom Phaeodactylum tricornutum. While cell growth and photosynthetic efficiency of photosystem II were barely affected by the AHL, exposure to its tetramic acid rearrangement product had a negative effect on photosynthetic efficiency and led to growth inhibition and cell death in the long term, with a minimum inhibitory concentration between 20 and 50 μΜ. These results strengthen the view that AHLs may play an important role in shaping the outcome of microalgae–bacteria interactions.","container-title":"ACS Chemical Biology","DOI":"10.1021/acschembio.8b01101","ISSN":"1554-8929","issue":"2","journalAbbreviation":"ACS Chem. Biol.","note":"publisher: American Chemical Society","page":"198-203","source":"ACS Publications","title":"N-Acyl Homoserine Lactone Derived Tetramic Acids Impair Photosynthesis in &lt;i&gt;Phaeodactylum tricornutum&lt;/i&gt;","volume":"14","author":[{"family":"Stock","given":"Frederike"},{"family":"Syrpas","given":"Michail"},{"family":"Graff van Creveld","given":"Shiri"},{"family":"Backx","given":"Simon"},{"family":"Blommaert","given":"Lander"},{"family":"Dow","given":"Lachlan"},{"family":"Stock","given":"Willem"},{"family":"Ruysbergh","given":"Ewout"},{"family":"Lepetit","given":"Bernard"},{"family":"Bailleul","given":"Benjamin"},{"family":"Sabbe","given":"Koen"},{"family":"De Kimpe","given":"Norbert"},{"family":"Willems","given":"Anne"},{"family":"Kroth","given":"Peter G."},{"family":"Vardi","given":"Assaf"},{"family":"Vyverman","given":"Wim"},{"family":"Mangelinckx","given":"Sven"}],"issued":{"date-parts":[["2019",2,15]]}}}],"schema":"https://github.com/citation-style-language/schema/raw/master/csl-citation.json"} </w:instrText>
      </w:r>
      <w:r w:rsidR="00311062" w:rsidRPr="00833CE8">
        <w:rPr>
          <w:rFonts w:cs="Times New Roman"/>
          <w:b/>
          <w:bCs/>
          <w:szCs w:val="24"/>
        </w:rPr>
        <w:fldChar w:fldCharType="separate"/>
      </w:r>
      <w:r w:rsidR="009F150C" w:rsidRPr="00833CE8">
        <w:rPr>
          <w:rFonts w:cs="Times New Roman"/>
        </w:rPr>
        <w:t>(Stock et al., 2019)</w:t>
      </w:r>
      <w:r w:rsidR="00311062" w:rsidRPr="00833CE8">
        <w:rPr>
          <w:rFonts w:cs="Times New Roman"/>
          <w:b/>
          <w:bCs/>
          <w:szCs w:val="24"/>
        </w:rPr>
        <w:fldChar w:fldCharType="end"/>
      </w:r>
      <w:r w:rsidR="00311062" w:rsidRPr="00833CE8">
        <w:rPr>
          <w:rFonts w:cs="Times New Roman"/>
          <w:szCs w:val="24"/>
        </w:rPr>
        <w:t>.</w:t>
      </w:r>
      <w:r w:rsidR="00311062" w:rsidRPr="00833CE8">
        <w:rPr>
          <w:rFonts w:cs="Times New Roman"/>
          <w:b/>
          <w:bCs/>
          <w:szCs w:val="24"/>
        </w:rPr>
        <w:t xml:space="preserve"> </w:t>
      </w:r>
      <w:r w:rsidR="0043189C" w:rsidRPr="00833CE8">
        <w:rPr>
          <w:rFonts w:cs="Times New Roman"/>
          <w:szCs w:val="24"/>
        </w:rPr>
        <w:t>However, the e</w:t>
      </w:r>
      <w:r w:rsidRPr="00833CE8">
        <w:rPr>
          <w:rFonts w:cs="Times New Roman"/>
          <w:szCs w:val="24"/>
        </w:rPr>
        <w:t>xact details</w:t>
      </w:r>
      <w:r w:rsidR="0043189C" w:rsidRPr="00833CE8">
        <w:rPr>
          <w:rFonts w:cs="Times New Roman"/>
          <w:szCs w:val="24"/>
        </w:rPr>
        <w:t xml:space="preserve"> </w:t>
      </w:r>
      <w:r w:rsidR="00311062" w:rsidRPr="00833CE8">
        <w:rPr>
          <w:rFonts w:cs="Times New Roman"/>
          <w:szCs w:val="24"/>
        </w:rPr>
        <w:t xml:space="preserve">of AHL interactions in microalgae </w:t>
      </w:r>
      <w:r w:rsidR="0043189C" w:rsidRPr="00833CE8">
        <w:rPr>
          <w:rFonts w:cs="Times New Roman"/>
          <w:szCs w:val="24"/>
        </w:rPr>
        <w:t>are</w:t>
      </w:r>
      <w:r w:rsidRPr="00833CE8">
        <w:rPr>
          <w:rFonts w:cs="Times New Roman"/>
          <w:szCs w:val="24"/>
        </w:rPr>
        <w:t xml:space="preserve"> still not well explored</w:t>
      </w:r>
      <w:r w:rsidR="0043189C" w:rsidRPr="00833CE8">
        <w:rPr>
          <w:rFonts w:cs="Times New Roman"/>
          <w:szCs w:val="24"/>
        </w:rPr>
        <w:t>.</w:t>
      </w:r>
      <w:r w:rsidR="00EC4480">
        <w:rPr>
          <w:rFonts w:cs="Times New Roman"/>
          <w:szCs w:val="24"/>
        </w:rPr>
        <w:t xml:space="preserve">  Further</w:t>
      </w:r>
      <w:r w:rsidRPr="00833CE8">
        <w:rPr>
          <w:rFonts w:cs="Times New Roman"/>
          <w:szCs w:val="24"/>
        </w:rPr>
        <w:t>, microalgae can inhibit AHL signalling through enzymatic degradation or release of AHL mimics</w:t>
      </w:r>
      <w:r w:rsidR="00A06BD4" w:rsidRPr="00833CE8">
        <w:rPr>
          <w:rFonts w:cs="Times New Roman"/>
          <w:szCs w:val="24"/>
        </w:rPr>
        <w:t xml:space="preserve"> </w:t>
      </w:r>
      <w:r w:rsidRPr="00AE53B1">
        <w:rPr>
          <w:rFonts w:cs="Times New Roman"/>
          <w:szCs w:val="24"/>
        </w:rPr>
        <w:fldChar w:fldCharType="begin"/>
      </w:r>
      <w:r w:rsidR="009F150C" w:rsidRPr="00AE53B1">
        <w:rPr>
          <w:rFonts w:cs="Times New Roman"/>
          <w:szCs w:val="24"/>
        </w:rPr>
        <w:instrText xml:space="preserve"> ADDIN ZOTERO_ITEM CSL_CITATION {"citationID":"ZIMkphiT","properties":{"formattedCitation":"(Su et al., 2019)","plainCitation":"(Su et al., 2019)","noteIndex":0},"citationItems":[{"id":4457,"uris":["http://zotero.org/users/764524/items/R7SCSFVM"],"itemData":{"id":4457,"type":"article-journal","abstract":"&lt;p&gt;Quorum sensing (QS) promotes &lt;italic&gt;in situ&lt;/italic&gt; extracellular enzyme (EE) activity via the exogenous signal &lt;italic&gt;N&lt;/italic&gt;-acylhomoserine lactone (AHL), which facilitates marine particle degradation, but the species that engage in this regulatory mechanism remain unclear. Here, we obtained AHL-producing and AHL-degrading strains from marine particles. The strain &lt;italic&gt;Ruegeria mobilis&lt;/italic&gt; Rm01 of the &lt;italic&gt;Roseobacter&lt;/italic&gt; group (RBG), which was capable of both AHL producing and degrading, was chosen to represent these strains. We demonstrated that Rm01 possessed a complex QS network comprising AHL-based QS and quorum quenching (QQ) systems and autoinducer-2 (AI-2) perception system. Rm01 was able to respond to multiple exogenous QS signals through the QS network. By applying self-generated AHLs and non-self-generated AHLs and AI-2 QS signal molecules, we modulated biofilm formation and lipase production in Rm01, which reflected the coordination of bacterial metabolism with that of other species via eavesdropping on exogenous QS signals. These results suggest that &lt;italic&gt;R. mobilis&lt;/italic&gt; might be one of the participators that could regulate EE activities by responding to QS signals in marine particles.&lt;/p&gt;","container-title":"Frontiers in Microbiology","DOI":"10.3389/fmicb.2018.03304","ISSN":"1664-302X","journalAbbreviation":"Front. Microbiol.","language":"English","note":"publisher: Frontiers","page":"3304","source":"Frontiers","title":"Quorum Sensing System of Ruegeria mobilis Rm01 Controls Lipase and Biofilm Formation","volume":"9","author":[{"family":"Su","given":"Ying"},{"family":"Tang","given":"Kaihao"},{"family":"Liu","given":"Jiwen"},{"family":"Wang","given":"Yan"},{"family":"Zheng","given":"Yanfen"},{"family":"Zhang","given":"Xiao-Hua"}],"issued":{"date-parts":[["2019",1,9]]}}}],"schema":"https://github.com/citation-style-language/schema/raw/master/csl-citation.json"} </w:instrText>
      </w:r>
      <w:r w:rsidRPr="00AE53B1">
        <w:rPr>
          <w:rFonts w:cs="Times New Roman"/>
          <w:szCs w:val="24"/>
        </w:rPr>
        <w:fldChar w:fldCharType="separate"/>
      </w:r>
      <w:r w:rsidR="009F150C" w:rsidRPr="00AE53B1">
        <w:rPr>
          <w:rFonts w:cs="Times New Roman"/>
        </w:rPr>
        <w:t>(Su et al., 2019)</w:t>
      </w:r>
      <w:r w:rsidRPr="00AE53B1">
        <w:rPr>
          <w:rFonts w:cs="Times New Roman"/>
          <w:szCs w:val="24"/>
        </w:rPr>
        <w:fldChar w:fldCharType="end"/>
      </w:r>
      <w:r w:rsidR="00A06BD4" w:rsidRPr="00AE53B1">
        <w:rPr>
          <w:rFonts w:cs="Times New Roman"/>
          <w:szCs w:val="24"/>
        </w:rPr>
        <w:t xml:space="preserve">. </w:t>
      </w:r>
      <w:r w:rsidRPr="00AE53B1">
        <w:rPr>
          <w:rFonts w:cs="Times New Roman"/>
          <w:szCs w:val="24"/>
        </w:rPr>
        <w:t xml:space="preserve"> </w:t>
      </w:r>
      <w:r w:rsidR="000B19EC" w:rsidRPr="00AE53B1">
        <w:rPr>
          <w:rFonts w:cs="Times New Roman"/>
          <w:szCs w:val="24"/>
        </w:rPr>
        <w:t xml:space="preserve">In addition to being a </w:t>
      </w:r>
      <w:r w:rsidRPr="00AE53B1">
        <w:rPr>
          <w:rFonts w:cs="Times New Roman"/>
          <w:szCs w:val="24"/>
        </w:rPr>
        <w:t>source of sulfur and</w:t>
      </w:r>
      <w:r w:rsidRPr="00833CE8">
        <w:rPr>
          <w:rFonts w:cs="Times New Roman"/>
          <w:szCs w:val="24"/>
        </w:rPr>
        <w:t xml:space="preserve"> carbon, </w:t>
      </w:r>
      <w:r w:rsidR="000B19EC" w:rsidRPr="00833CE8">
        <w:rPr>
          <w:rFonts w:cs="Times New Roman"/>
          <w:szCs w:val="24"/>
        </w:rPr>
        <w:t>DMSP</w:t>
      </w:r>
      <w:r w:rsidRPr="00833CE8">
        <w:rPr>
          <w:rFonts w:cs="Times New Roman"/>
          <w:szCs w:val="24"/>
        </w:rPr>
        <w:t xml:space="preserve"> also results in downregulation of AHL synthesis, </w:t>
      </w:r>
      <w:r w:rsidR="0043189C" w:rsidRPr="00833CE8">
        <w:rPr>
          <w:rFonts w:cs="Times New Roman"/>
          <w:szCs w:val="24"/>
        </w:rPr>
        <w:t>which</w:t>
      </w:r>
      <w:r w:rsidR="00AE53B1">
        <w:rPr>
          <w:rFonts w:cs="Times New Roman"/>
          <w:szCs w:val="24"/>
        </w:rPr>
        <w:t xml:space="preserve"> could</w:t>
      </w:r>
      <w:r w:rsidR="0043189C" w:rsidRPr="00833CE8">
        <w:rPr>
          <w:rFonts w:cs="Times New Roman"/>
          <w:szCs w:val="24"/>
        </w:rPr>
        <w:t xml:space="preserve"> have indirect </w:t>
      </w:r>
      <w:r w:rsidRPr="00833CE8">
        <w:rPr>
          <w:rFonts w:cs="Times New Roman"/>
          <w:szCs w:val="24"/>
        </w:rPr>
        <w:t>downstream effects</w:t>
      </w:r>
      <w:r w:rsidR="00AE53B1">
        <w:rPr>
          <w:rFonts w:cs="Times New Roman"/>
          <w:szCs w:val="24"/>
        </w:rPr>
        <w:t xml:space="preserve"> via QS</w:t>
      </w:r>
      <w:r w:rsidRPr="00833CE8">
        <w:rPr>
          <w:rFonts w:cs="Times New Roman"/>
          <w:b/>
          <w:bCs/>
          <w:szCs w:val="24"/>
        </w:rPr>
        <w:t xml:space="preserve"> </w:t>
      </w:r>
      <w:r w:rsidRPr="00833CE8">
        <w:rPr>
          <w:rFonts w:cs="Times New Roman"/>
          <w:b/>
          <w:bCs/>
          <w:szCs w:val="24"/>
        </w:rPr>
        <w:fldChar w:fldCharType="begin"/>
      </w:r>
      <w:r w:rsidR="009F150C" w:rsidRPr="00833CE8">
        <w:rPr>
          <w:rFonts w:cs="Times New Roman"/>
          <w:b/>
          <w:bCs/>
          <w:szCs w:val="24"/>
        </w:rPr>
        <w:instrText xml:space="preserve"> ADDIN ZOTERO_ITEM CSL_CITATION {"citationID":"C5tasHN5","properties":{"formattedCitation":"(Landa et al., 2017)","plainCitation":"(Landa et al., 2017)","noteIndex":0},"citationItems":[{"id":4469,"uris":["http://zotero.org/users/764524/items/9SG9XGHA"],"itemData":{"id":4469,"type":"article-journal","abstract":"In their role as primary producers, marine phytoplankton modulate heterotrophic bacterial activities through differences in the types and amounts of organic matter they release. This study investigates the transcriptional response of bacterium Ruegeria pomeroyi, a member of the Roseobacter clade known to affiliate with diverse phytoplankton groups in the ocean, during a shift in phytoplankton taxonomy. The bacterium was initially introduced into a culture of the dinoflagellate Alexandrium tamarense, and then experienced a change in phytoplankton community composition as the diatom Thalassiosira pseudonana gradually outcompeted the dinoflagellate. Samples were taken throughout the 30-day experiment to track shifts in bacterial gene expression informative of metabolic and ecological interactions. Transcriptome data indicate fundamental differences in the exometabolites released by the two phytoplankton. During growth with the dinoflagellate, gene expression patterns indicated that the main sources of carbon and energy for R. pomeroyi were dimethysulfoniopropionate (DMSP), taurine, methylated amines, and polyamines. During growth with the diatom, dihydroxypropanesulfonate (DHPS), xylose, ectoine, and glycolate instead appeared to fuel the bulk of bacterial metabolism. Expression patterns of genes for quorum sensing, gene transfer agent, and motility suggest that bacterial processes related to cell communication and signaling differed depending on which phytoplankton species dominated the co-culture. A remodeling of the R. pomeroyi transcriptome implicating more than a quarter of the genome occurred through the change in phytoplankton regime.","container-title":"The ISME Journal","DOI":"10.1038/ismej.2017.117","ISSN":"1751-7362","issue":"12","journalAbbreviation":"ISME J.","page":"2677-2690","source":"Silverchair","title":"Bacterial transcriptome remodeling during sequential co-culture with a marine dinoflagellate and diatom","volume":"11","author":[{"family":"Landa","given":"Marine"},{"family":"Burns","given":"Andrew S"},{"family":"Roth","given":"Selena J"},{"family":"Moran","given":"Mary Ann"}],"issued":{"date-parts":[["2017",12,1]]}}}],"schema":"https://github.com/citation-style-language/schema/raw/master/csl-citation.json"} </w:instrText>
      </w:r>
      <w:r w:rsidRPr="00833CE8">
        <w:rPr>
          <w:rFonts w:cs="Times New Roman"/>
          <w:b/>
          <w:bCs/>
          <w:szCs w:val="24"/>
        </w:rPr>
        <w:fldChar w:fldCharType="separate"/>
      </w:r>
      <w:r w:rsidR="009F150C" w:rsidRPr="00833CE8">
        <w:rPr>
          <w:rFonts w:cs="Times New Roman"/>
        </w:rPr>
        <w:t>(Landa et al., 2017)</w:t>
      </w:r>
      <w:r w:rsidRPr="00833CE8">
        <w:rPr>
          <w:rFonts w:cs="Times New Roman"/>
          <w:b/>
          <w:bCs/>
          <w:szCs w:val="24"/>
        </w:rPr>
        <w:fldChar w:fldCharType="end"/>
      </w:r>
      <w:r w:rsidR="007A7A9F" w:rsidRPr="00833CE8">
        <w:rPr>
          <w:rFonts w:cs="Times New Roman"/>
          <w:szCs w:val="24"/>
        </w:rPr>
        <w:t>.</w:t>
      </w:r>
      <w:r w:rsidRPr="00833CE8">
        <w:rPr>
          <w:rFonts w:cs="Times New Roman"/>
          <w:b/>
          <w:bCs/>
          <w:szCs w:val="24"/>
        </w:rPr>
        <w:t xml:space="preserve">  </w:t>
      </w:r>
      <w:r w:rsidRPr="00833CE8">
        <w:rPr>
          <w:rFonts w:cs="Times New Roman"/>
          <w:szCs w:val="24"/>
        </w:rPr>
        <w:t xml:space="preserve">Although AHLs have been studied for algal-bacterial interactions, other QS signalling </w:t>
      </w:r>
      <w:r w:rsidR="00B528C5">
        <w:rPr>
          <w:rFonts w:cs="Times New Roman"/>
          <w:szCs w:val="24"/>
        </w:rPr>
        <w:t>remains</w:t>
      </w:r>
      <w:r w:rsidRPr="00833CE8">
        <w:rPr>
          <w:rFonts w:cs="Times New Roman"/>
          <w:szCs w:val="24"/>
        </w:rPr>
        <w:t xml:space="preserve"> underexplored.</w:t>
      </w:r>
      <w:bookmarkStart w:id="15" w:name="_Hlk170552999"/>
    </w:p>
    <w:p w14:paraId="032D3711" w14:textId="77777777" w:rsidR="00B9112F" w:rsidRPr="000D234F" w:rsidRDefault="00B9112F" w:rsidP="00B9112F">
      <w:pPr>
        <w:snapToGrid w:val="0"/>
        <w:spacing w:line="360" w:lineRule="auto"/>
        <w:jc w:val="both"/>
        <w:rPr>
          <w:rFonts w:cs="Times New Roman"/>
          <w:color w:val="FF0000"/>
          <w:szCs w:val="24"/>
          <w:highlight w:val="yellow"/>
        </w:rPr>
      </w:pPr>
    </w:p>
    <w:p w14:paraId="68111A94" w14:textId="59628BA6" w:rsidR="00B9112F" w:rsidRPr="00B9112F" w:rsidRDefault="00B9112F" w:rsidP="00B9112F">
      <w:pPr>
        <w:pStyle w:val="ListParagraph"/>
        <w:numPr>
          <w:ilvl w:val="3"/>
          <w:numId w:val="9"/>
        </w:numPr>
        <w:snapToGrid w:val="0"/>
        <w:spacing w:line="360" w:lineRule="auto"/>
        <w:rPr>
          <w:rFonts w:cs="Times New Roman"/>
          <w:b/>
          <w:bCs/>
          <w:szCs w:val="24"/>
        </w:rPr>
      </w:pPr>
      <w:r>
        <w:rPr>
          <w:rFonts w:cs="Times New Roman"/>
          <w:b/>
          <w:bCs/>
          <w:szCs w:val="24"/>
        </w:rPr>
        <w:t>N-acyl-homoserine lactones (AHLs)</w:t>
      </w:r>
    </w:p>
    <w:p w14:paraId="72C75978" w14:textId="40C060B9" w:rsidR="0072012B" w:rsidRDefault="00EC4480" w:rsidP="00EC4480">
      <w:pPr>
        <w:snapToGrid w:val="0"/>
        <w:spacing w:line="360" w:lineRule="auto"/>
        <w:ind w:firstLine="284"/>
        <w:jc w:val="both"/>
        <w:rPr>
          <w:rFonts w:cs="Times New Roman"/>
          <w:color w:val="FF0000"/>
          <w:szCs w:val="24"/>
        </w:rPr>
      </w:pPr>
      <w:r w:rsidRPr="00833CE8">
        <w:rPr>
          <w:rFonts w:cs="Times New Roman"/>
          <w:szCs w:val="24"/>
        </w:rPr>
        <w:t xml:space="preserve">In addition </w:t>
      </w:r>
      <w:r>
        <w:rPr>
          <w:rFonts w:cs="Times New Roman"/>
          <w:szCs w:val="24"/>
        </w:rPr>
        <w:t xml:space="preserve">to AHLs, </w:t>
      </w:r>
      <w:r w:rsidR="00521172" w:rsidRPr="00833CE8">
        <w:rPr>
          <w:rFonts w:cs="Times New Roman"/>
          <w:szCs w:val="24"/>
        </w:rPr>
        <w:t>2-alkyl-4-quinolone</w:t>
      </w:r>
      <w:bookmarkEnd w:id="15"/>
      <w:r>
        <w:rPr>
          <w:rFonts w:cs="Times New Roman"/>
          <w:szCs w:val="24"/>
        </w:rPr>
        <w:t xml:space="preserve">s used as bacterial QS signals </w:t>
      </w:r>
      <w:r w:rsidR="00521172" w:rsidRPr="00833CE8">
        <w:rPr>
          <w:rFonts w:cs="Times New Roman"/>
          <w:szCs w:val="24"/>
        </w:rPr>
        <w:t>can</w:t>
      </w:r>
      <w:r w:rsidR="009B7D68">
        <w:rPr>
          <w:rFonts w:cs="Times New Roman"/>
          <w:szCs w:val="24"/>
        </w:rPr>
        <w:t xml:space="preserve"> also</w:t>
      </w:r>
      <w:r w:rsidR="00521172" w:rsidRPr="00833CE8">
        <w:rPr>
          <w:rFonts w:cs="Times New Roman"/>
          <w:szCs w:val="24"/>
        </w:rPr>
        <w:t xml:space="preserve"> inhibit growth of microalgae.  </w:t>
      </w:r>
      <w:r w:rsidR="009B7D68">
        <w:rPr>
          <w:rFonts w:cs="Times New Roman"/>
          <w:szCs w:val="24"/>
        </w:rPr>
        <w:t xml:space="preserve">For example, </w:t>
      </w:r>
      <w:r w:rsidR="00521172" w:rsidRPr="00833CE8">
        <w:rPr>
          <w:rFonts w:cs="Times New Roman"/>
          <w:szCs w:val="24"/>
        </w:rPr>
        <w:t>2-heptyl-4-quinolone (HHQ)</w:t>
      </w:r>
      <w:r>
        <w:rPr>
          <w:rFonts w:cs="Times New Roman"/>
          <w:szCs w:val="24"/>
        </w:rPr>
        <w:t xml:space="preserve">, which is produced by marine bacteria such as </w:t>
      </w:r>
      <w:r w:rsidRPr="00EC4480">
        <w:rPr>
          <w:rFonts w:cs="Times New Roman"/>
          <w:i/>
          <w:iCs/>
          <w:szCs w:val="24"/>
        </w:rPr>
        <w:t>Pseudomonas</w:t>
      </w:r>
      <w:r>
        <w:rPr>
          <w:rFonts w:cs="Times New Roman"/>
          <w:i/>
          <w:iCs/>
          <w:szCs w:val="24"/>
        </w:rPr>
        <w:t>,</w:t>
      </w:r>
      <w:r w:rsidR="00521172" w:rsidRPr="00833CE8">
        <w:rPr>
          <w:rFonts w:cs="Times New Roman"/>
          <w:szCs w:val="24"/>
        </w:rPr>
        <w:t xml:space="preserve"> </w:t>
      </w:r>
      <w:r w:rsidR="009B7D68">
        <w:rPr>
          <w:rFonts w:cs="Times New Roman"/>
          <w:szCs w:val="24"/>
        </w:rPr>
        <w:t xml:space="preserve">has been demonstrated to </w:t>
      </w:r>
      <w:r w:rsidR="00521172" w:rsidRPr="00833CE8">
        <w:rPr>
          <w:rFonts w:cs="Times New Roman"/>
          <w:szCs w:val="24"/>
        </w:rPr>
        <w:t xml:space="preserve">inhibit growth of </w:t>
      </w:r>
      <w:r w:rsidR="00665E2D">
        <w:rPr>
          <w:rFonts w:cs="Times New Roman"/>
          <w:i/>
          <w:iCs/>
          <w:szCs w:val="24"/>
        </w:rPr>
        <w:t>P.</w:t>
      </w:r>
      <w:r w:rsidR="00521172" w:rsidRPr="00833CE8">
        <w:rPr>
          <w:rFonts w:cs="Times New Roman"/>
          <w:i/>
          <w:iCs/>
          <w:szCs w:val="24"/>
        </w:rPr>
        <w:t xml:space="preserve"> </w:t>
      </w:r>
      <w:proofErr w:type="spellStart"/>
      <w:r w:rsidR="00521172" w:rsidRPr="00833CE8">
        <w:rPr>
          <w:rFonts w:cs="Times New Roman"/>
          <w:i/>
          <w:iCs/>
          <w:szCs w:val="24"/>
        </w:rPr>
        <w:t>tricornutum</w:t>
      </w:r>
      <w:proofErr w:type="spellEnd"/>
      <w:r w:rsidR="007A7A9F" w:rsidRPr="00833CE8">
        <w:rPr>
          <w:rFonts w:cs="Times New Roman"/>
          <w:i/>
          <w:iCs/>
          <w:szCs w:val="24"/>
        </w:rPr>
        <w:t xml:space="preserve"> </w:t>
      </w:r>
      <w:r w:rsidR="00521172" w:rsidRPr="00833CE8">
        <w:rPr>
          <w:rFonts w:cs="Times New Roman"/>
          <w:szCs w:val="24"/>
        </w:rPr>
        <w:fldChar w:fldCharType="begin"/>
      </w:r>
      <w:r w:rsidR="009F150C" w:rsidRPr="00833CE8">
        <w:rPr>
          <w:rFonts w:cs="Times New Roman"/>
          <w:szCs w:val="24"/>
        </w:rPr>
        <w:instrText xml:space="preserve"> ADDIN ZOTERO_ITEM CSL_CITATION {"citationID":"ITfa5ecg","properties":{"formattedCitation":"(Dow et al., 2020)","plainCitation":"(Dow et al., 2020)","noteIndex":0},"citationItems":[{"id":4474,"uris":["http://zotero.org/users/764524/items/PKIDRHD7"],"itemData":{"id":4474,"type":"article-journal","abstract":"The mechanisms underlying interactions between diatoms and bacteria are crucial to understand diatom behaviour and proliferation, and can result in far-reaching ecological consequences. Recently, 2-alkyl-4-quinolones have been isolated from marine bacteria, both of which (the bacterium and isolated chemical) inhibited growth of microalgae, suggesting these compounds could mediate diatom–bacteria interactions. The effects of several quinolones on three diatom species have been investigated. The growth of all three was inhibited, with half-maximal inhibitory concentrations reaching the sub-micromolar range. By using multiple techniques, dual inhibition mechanisms were uncovered for 2-heptyl-4-quinolone (HHQ) in Phaeodactylum tricornutum. Firstly, photosynthetic electron transport was obstructed, primarily through inhibition of the cytochrome b6f complex. Secondly, respiration was inhibited, leading to repression of ATP supply to plastids from mitochondria through organelle energy coupling. These data clearly show how HHQ could modulate diatom proliferation in marine environments.","container-title":"ChemBioChem","DOI":"10.1002/cbic.201900612","ISSN":"1439-7633","issue":"8","language":"en","note":"_eprint: https://onlinelibrary.wiley.com/doi/pdf/10.1002/cbic.201900612","page":"1206-1216","source":"Wiley Online Library","title":"The Multifaceted Inhibitory Effects of an Alkylquinolone on the Diatom Phaeodactylum tricornutum","volume":"21","author":[{"family":"Dow","given":"Lachlan"},{"family":"Stock","given":"Frederike"},{"family":"Peltekis","given":"Alexandra"},{"family":"Szamosvári","given":"Dávid"},{"family":"Prothiwa","given":"Michaela"},{"family":"Lapointe","given":"Adrien"},{"family":"Böttcher","given":"Thomas"},{"family":"Bailleul","given":"Benjamin"},{"family":"Vyverman","given":"Wim"},{"family":"Kroth","given":"Peter G."},{"family":"Lepetit","given":"Bernard"}],"issued":{"date-parts":[["2020"]]}}}],"schema":"https://github.com/citation-style-language/schema/raw/master/csl-citation.json"} </w:instrText>
      </w:r>
      <w:r w:rsidR="00521172" w:rsidRPr="00833CE8">
        <w:rPr>
          <w:rFonts w:cs="Times New Roman"/>
          <w:szCs w:val="24"/>
        </w:rPr>
        <w:fldChar w:fldCharType="separate"/>
      </w:r>
      <w:r w:rsidR="009F150C" w:rsidRPr="00833CE8">
        <w:rPr>
          <w:rFonts w:cs="Times New Roman"/>
        </w:rPr>
        <w:t>(Dow et al., 2020)</w:t>
      </w:r>
      <w:r w:rsidR="00521172" w:rsidRPr="00833CE8">
        <w:rPr>
          <w:rFonts w:cs="Times New Roman"/>
          <w:szCs w:val="24"/>
        </w:rPr>
        <w:fldChar w:fldCharType="end"/>
      </w:r>
      <w:r w:rsidR="00521172" w:rsidRPr="00833CE8">
        <w:rPr>
          <w:rFonts w:cs="Times New Roman"/>
          <w:szCs w:val="24"/>
        </w:rPr>
        <w:t>.</w:t>
      </w:r>
      <w:r w:rsidR="009B7D68">
        <w:rPr>
          <w:rFonts w:cs="Times New Roman"/>
          <w:szCs w:val="24"/>
        </w:rPr>
        <w:t xml:space="preserve">  This growth inhibition wa</w:t>
      </w:r>
      <w:r w:rsidR="009B7D68" w:rsidRPr="00EC4480">
        <w:rPr>
          <w:rFonts w:cs="Times New Roman"/>
          <w:szCs w:val="24"/>
        </w:rPr>
        <w:t xml:space="preserve">s determined to </w:t>
      </w:r>
      <w:r w:rsidR="003F7C7A">
        <w:rPr>
          <w:rFonts w:cs="Times New Roman"/>
          <w:szCs w:val="24"/>
        </w:rPr>
        <w:t>occur</w:t>
      </w:r>
      <w:r w:rsidR="009B7D68" w:rsidRPr="00EC4480">
        <w:rPr>
          <w:rFonts w:cs="Times New Roman"/>
          <w:szCs w:val="24"/>
        </w:rPr>
        <w:t xml:space="preserve"> through two main mechanisms: inhibition of the cytochrome </w:t>
      </w:r>
      <w:r w:rsidR="009B7D68" w:rsidRPr="00EC4480">
        <w:rPr>
          <w:rFonts w:cs="Times New Roman"/>
          <w:i/>
          <w:iCs/>
          <w:szCs w:val="24"/>
        </w:rPr>
        <w:t>b</w:t>
      </w:r>
      <w:r w:rsidR="009B7D68" w:rsidRPr="00EC4480">
        <w:rPr>
          <w:rFonts w:cs="Times New Roman"/>
          <w:szCs w:val="24"/>
          <w:vertAlign w:val="subscript"/>
        </w:rPr>
        <w:t>6</w:t>
      </w:r>
      <w:r w:rsidR="009B7D68" w:rsidRPr="00EC4480">
        <w:rPr>
          <w:rFonts w:cs="Times New Roman"/>
          <w:i/>
          <w:iCs/>
          <w:szCs w:val="24"/>
        </w:rPr>
        <w:t>f</w:t>
      </w:r>
      <w:r w:rsidR="009B7D68" w:rsidRPr="00EC4480">
        <w:rPr>
          <w:rFonts w:cs="Times New Roman"/>
          <w:szCs w:val="24"/>
        </w:rPr>
        <w:t xml:space="preserve"> complex preventing electron transport in photosynthesis in the presence of light, as well as inhibition of cellular respiration in the absence of light, decreasing </w:t>
      </w:r>
      <w:r w:rsidRPr="00EC4480">
        <w:rPr>
          <w:rFonts w:cs="Times New Roman"/>
          <w:szCs w:val="24"/>
        </w:rPr>
        <w:t xml:space="preserve">the </w:t>
      </w:r>
      <w:r>
        <w:rPr>
          <w:rFonts w:cs="Times New Roman"/>
          <w:szCs w:val="24"/>
        </w:rPr>
        <w:t xml:space="preserve">available </w:t>
      </w:r>
      <w:r w:rsidRPr="00EC4480">
        <w:rPr>
          <w:rFonts w:cs="Times New Roman"/>
          <w:szCs w:val="24"/>
        </w:rPr>
        <w:t xml:space="preserve">concentration of </w:t>
      </w:r>
      <w:r w:rsidR="009B7D68" w:rsidRPr="00EC4480">
        <w:rPr>
          <w:rFonts w:cs="Times New Roman"/>
          <w:szCs w:val="24"/>
        </w:rPr>
        <w:t>ATP</w:t>
      </w:r>
      <w:r w:rsidRPr="00EC4480">
        <w:rPr>
          <w:rFonts w:cs="Times New Roman"/>
          <w:szCs w:val="24"/>
        </w:rPr>
        <w:t xml:space="preserve">.  </w:t>
      </w:r>
      <w:r w:rsidR="00521172" w:rsidRPr="00EC4480">
        <w:rPr>
          <w:rFonts w:cs="Times New Roman"/>
          <w:szCs w:val="24"/>
        </w:rPr>
        <w:t>2-heptyl-</w:t>
      </w:r>
      <w:r w:rsidR="00521172" w:rsidRPr="00833CE8">
        <w:rPr>
          <w:rFonts w:cs="Times New Roman"/>
          <w:szCs w:val="24"/>
        </w:rPr>
        <w:t xml:space="preserve">4-quinolone can also stop cell division in </w:t>
      </w:r>
      <w:r w:rsidR="007E6ED4">
        <w:rPr>
          <w:rFonts w:cs="Times New Roman"/>
          <w:i/>
          <w:iCs/>
          <w:szCs w:val="24"/>
        </w:rPr>
        <w:t xml:space="preserve">E. </w:t>
      </w:r>
      <w:proofErr w:type="spellStart"/>
      <w:r w:rsidR="00521172" w:rsidRPr="00833CE8">
        <w:rPr>
          <w:rFonts w:cs="Times New Roman"/>
          <w:i/>
          <w:iCs/>
          <w:szCs w:val="24"/>
        </w:rPr>
        <w:t>huxleyi</w:t>
      </w:r>
      <w:proofErr w:type="spellEnd"/>
      <w:r w:rsidR="00521172" w:rsidRPr="00833CE8">
        <w:rPr>
          <w:rFonts w:cs="Times New Roman"/>
          <w:b/>
          <w:bCs/>
          <w:i/>
          <w:iCs/>
          <w:szCs w:val="24"/>
        </w:rPr>
        <w:t xml:space="preserve"> </w:t>
      </w:r>
      <w:r w:rsidR="00521172" w:rsidRPr="00833CE8">
        <w:rPr>
          <w:rFonts w:cs="Times New Roman"/>
          <w:szCs w:val="24"/>
        </w:rPr>
        <w:t>through inhibition of dihydroorotate dehydrogenase (DHODH</w:t>
      </w:r>
      <w:r w:rsidR="00AA7E26">
        <w:rPr>
          <w:rFonts w:cs="Times New Roman"/>
          <w:szCs w:val="24"/>
        </w:rPr>
        <w:t>),</w:t>
      </w:r>
      <w:r w:rsidR="00521172" w:rsidRPr="00833CE8">
        <w:rPr>
          <w:rFonts w:cs="Times New Roman"/>
          <w:szCs w:val="24"/>
        </w:rPr>
        <w:t xml:space="preserve"> as well as other mechanisms that have not been well described </w:t>
      </w:r>
      <w:r w:rsidR="00521172" w:rsidRPr="00833CE8">
        <w:rPr>
          <w:rFonts w:cs="Times New Roman"/>
          <w:szCs w:val="24"/>
        </w:rPr>
        <w:fldChar w:fldCharType="begin"/>
      </w:r>
      <w:r w:rsidR="009F150C" w:rsidRPr="00833CE8">
        <w:rPr>
          <w:rFonts w:cs="Times New Roman"/>
          <w:szCs w:val="24"/>
        </w:rPr>
        <w:instrText xml:space="preserve"> ADDIN ZOTERO_ITEM CSL_CITATION {"citationID":"wMYiTCuW","properties":{"formattedCitation":"(Garrett and Whalen, 2023)","plainCitation":"(Garrett and Whalen, 2023)","noteIndex":0},"citationItems":[{"id":4573,"uris":["http://zotero.org/users/764524/items/5RMFPK7U"],"itemData":{"id":4573,"type":"article-journal","abstract":"&lt;p&gt;Interactions between marine phytoplankton, viruses, and bacteria drive biogeochemical cycling, shape marine trophic structures, and impact global climate. Microbially produced compounds have emerged as key players in influencing eukaryotic organismal physiology, and in turn, remodel microbial community structure. This work aimed to reveal the molecular mechanism by which the bacterial quorum sensing molecule 2-heptyl-4-quinolone (HHQ), produced by the marine gammaproteobacterium &lt;italic&gt;Pseudoalteromonas&lt;/italic&gt; spp., arrests cell division and confers protection from virus-induced mortality in the bloom-forming coccolithophore &lt;italic&gt;Emiliania huxleyi&lt;/italic&gt;. Previous work has established alkylquinolones as inhibitors of dihydroorotate dehydrogenase (DHODH), a fundamental enzyme catalyzing the fourth step in pyrimidine biosynthesis and a potential antiviral drug target. An N-terminally truncated version of &lt;italic&gt;E. huxleyi&lt;/italic&gt; DHODH was heterologously expressed in &lt;italic&gt;E. coli&lt;/italic&gt;, purified, and kinetically characterized. Here, we show HHQ is a potent inhibitor (K&lt;sub&gt;i&lt;/sub&gt; of 2.3 nM) of &lt;italic&gt;E. huxleyi&lt;/italic&gt; DHODH. &lt;italic&gt;E. huxleyi&lt;/italic&gt; cells exposed to brequinar, the canonical human DHODH inhibitor, experienced immediate, yet reversible cellular arrest, an effect which mirrors HHQ-induced cellular stasis previously observed. However, brequinar treatment lacked other notable effects observed in HHQ-exposed &lt;italic&gt;E. huxleyi&lt;/italic&gt; including significant changes in cell size, chlorophyll fluorescence, and protection from virus-induced lysis, indicating HHQ has additional as yet undiscovered physiological targets. Together, these results suggest a novel and intricate role of bacterial quorum sensing molecules in tripartite interdomain interactions in marine ecosystems, opening new avenues for exploring the role of microbial chemical signaling in algal bloom regulation and host-pathogen dynamics.&lt;/p&gt;","container-title":"Frontiers in Microbiology","DOI":"10.3389/fmicb.2023.1266972","ISSN":"1664-302X","journalAbbreviation":"Front. Microbiol.","language":"English","note":"publisher: Frontiers","page":"1266972","source":"Frontiers","title":"A bacterial quorum sensing signal is a potent inhibitor of de novo pyrimidine biosynthesis in the globally abundant Emiliania huxleyi","volume":"14","author":[{"family":"Garrett","given":"Oscar"},{"family":"Whalen","given":"Kristen E."}],"issued":{"date-parts":[["2023",10,6]]}}}],"schema":"https://github.com/citation-style-language/schema/raw/master/csl-citation.json"} </w:instrText>
      </w:r>
      <w:r w:rsidR="00521172" w:rsidRPr="00833CE8">
        <w:rPr>
          <w:rFonts w:cs="Times New Roman"/>
          <w:szCs w:val="24"/>
        </w:rPr>
        <w:fldChar w:fldCharType="separate"/>
      </w:r>
      <w:r w:rsidR="009F150C" w:rsidRPr="00833CE8">
        <w:rPr>
          <w:rFonts w:cs="Times New Roman"/>
        </w:rPr>
        <w:t>(Garrett and Whalen, 2023)</w:t>
      </w:r>
      <w:r w:rsidR="00521172" w:rsidRPr="00833CE8">
        <w:rPr>
          <w:rFonts w:cs="Times New Roman"/>
          <w:szCs w:val="24"/>
        </w:rPr>
        <w:fldChar w:fldCharType="end"/>
      </w:r>
      <w:r w:rsidR="00521172" w:rsidRPr="00833CE8">
        <w:rPr>
          <w:rFonts w:cs="Times New Roman"/>
          <w:szCs w:val="24"/>
        </w:rPr>
        <w:t>.</w:t>
      </w:r>
    </w:p>
    <w:p w14:paraId="6A4EC6EA" w14:textId="77777777" w:rsidR="00EC4480" w:rsidRPr="00833CE8" w:rsidRDefault="00EC4480" w:rsidP="00EC4480">
      <w:pPr>
        <w:snapToGrid w:val="0"/>
        <w:spacing w:line="360" w:lineRule="auto"/>
        <w:jc w:val="both"/>
        <w:rPr>
          <w:rFonts w:cs="Times New Roman"/>
          <w:szCs w:val="24"/>
        </w:rPr>
      </w:pPr>
    </w:p>
    <w:p w14:paraId="23E459BE" w14:textId="493FCFCA" w:rsidR="0072012B" w:rsidRPr="00833CE8" w:rsidRDefault="00B9509D" w:rsidP="00B9112F">
      <w:pPr>
        <w:pStyle w:val="ListParagraph"/>
        <w:numPr>
          <w:ilvl w:val="2"/>
          <w:numId w:val="9"/>
        </w:numPr>
        <w:snapToGrid w:val="0"/>
        <w:spacing w:line="360" w:lineRule="auto"/>
        <w:rPr>
          <w:rFonts w:cs="Times New Roman"/>
          <w:b/>
          <w:bCs/>
          <w:szCs w:val="24"/>
        </w:rPr>
      </w:pPr>
      <w:r w:rsidRPr="00833CE8">
        <w:rPr>
          <w:rFonts w:cs="Times New Roman"/>
          <w:b/>
          <w:bCs/>
          <w:szCs w:val="24"/>
        </w:rPr>
        <w:t>Phytohormones</w:t>
      </w:r>
    </w:p>
    <w:p w14:paraId="79B43B2A" w14:textId="779B4AD0" w:rsidR="00E3154A" w:rsidRDefault="00035E03" w:rsidP="00C31A9C">
      <w:pPr>
        <w:tabs>
          <w:tab w:val="left" w:pos="2220"/>
        </w:tabs>
        <w:snapToGrid w:val="0"/>
        <w:spacing w:line="360" w:lineRule="auto"/>
        <w:ind w:firstLine="284"/>
        <w:jc w:val="both"/>
        <w:rPr>
          <w:rFonts w:cs="Times New Roman"/>
          <w:szCs w:val="24"/>
        </w:rPr>
      </w:pPr>
      <w:r w:rsidRPr="00833CE8">
        <w:rPr>
          <w:rFonts w:cs="Times New Roman"/>
          <w:szCs w:val="24"/>
        </w:rPr>
        <w:t xml:space="preserve">Another form of cell signalling uses </w:t>
      </w:r>
      <w:r w:rsidR="00963144" w:rsidRPr="00833CE8">
        <w:rPr>
          <w:rFonts w:cs="Times New Roman"/>
          <w:szCs w:val="24"/>
        </w:rPr>
        <w:t>phytohormones</w:t>
      </w:r>
      <w:r w:rsidR="00724432" w:rsidRPr="00724432">
        <w:rPr>
          <w:rFonts w:cs="Times New Roman"/>
          <w:color w:val="FF0000"/>
          <w:szCs w:val="24"/>
        </w:rPr>
        <w:t>, which are</w:t>
      </w:r>
      <w:r w:rsidR="00963144" w:rsidRPr="00724432">
        <w:rPr>
          <w:rFonts w:cs="Times New Roman"/>
          <w:color w:val="FF0000"/>
          <w:szCs w:val="24"/>
        </w:rPr>
        <w:t xml:space="preserve"> secreted by</w:t>
      </w:r>
      <w:r w:rsidR="0036064C" w:rsidRPr="00724432">
        <w:rPr>
          <w:rFonts w:cs="Times New Roman"/>
          <w:color w:val="FF0000"/>
          <w:szCs w:val="24"/>
        </w:rPr>
        <w:t xml:space="preserve"> plants</w:t>
      </w:r>
      <w:r w:rsidR="00724432" w:rsidRPr="00724432">
        <w:rPr>
          <w:rFonts w:cs="Times New Roman"/>
          <w:color w:val="FF0000"/>
          <w:szCs w:val="24"/>
        </w:rPr>
        <w:t xml:space="preserve"> as well as</w:t>
      </w:r>
      <w:r w:rsidR="00724432">
        <w:rPr>
          <w:rFonts w:cs="Times New Roman"/>
          <w:color w:val="FF0000"/>
          <w:szCs w:val="24"/>
        </w:rPr>
        <w:t xml:space="preserve"> microalgae </w:t>
      </w:r>
      <w:r w:rsidR="00724432">
        <w:rPr>
          <w:rFonts w:cs="Times New Roman"/>
          <w:color w:val="FF0000"/>
          <w:szCs w:val="24"/>
        </w:rPr>
        <w:fldChar w:fldCharType="begin"/>
      </w:r>
      <w:r w:rsidR="00724432">
        <w:rPr>
          <w:rFonts w:cs="Times New Roman"/>
          <w:color w:val="FF0000"/>
          <w:szCs w:val="24"/>
        </w:rPr>
        <w:instrText xml:space="preserve"> ADDIN ZOTERO_ITEM CSL_CITATION {"citationID":"FETGs93x","properties":{"formattedCitation":"(Lu and Xu, 2015)","plainCitation":"(Lu and Xu, 2015)","noteIndex":0},"citationItems":[{"id":9713,"uris":["http://zotero.org/users/764524/items/Y4NPIHVE"],"itemData":{"id":9713,"type":"article-journal","abstract":"Phytohormones, including auxin, abscisic acid (ABA), cytokinin (CK), ethylene (ET), and gibberellins (GAs), have been found in a broad spectrum of microalgal lineages. Although the functional role of microalgal endogenous phytohormones remains elusive, molecular evidence from the oleaginous microalga Nannochloropsis oceanica suggests that endogenous ABA and CK are functional and that their physiological effects are similar to those in higher plants. In this Opinion article, proceeding from genome-based metabolic reconstruction, we suggest that modern higher plant phytohormone biosynthesis pathways originate from ancient microalgae even though some of the microalgal phytohormone signaling pathways remain unknown. Dissection and manipulation of microalgal phytohormone systems could offer a new view of phytohormone evolution in plants and present new opportunities in developing microalgal feedstock for biofuels.","container-title":"Trends in Plant Science","DOI":"10.1016/j.tplants.2015.01.006","ISSN":"1360-1385","issue":"5","journalAbbreviation":"Trends Plant Sci.","page":"273-282","source":"ScienceDirect","title":"Phytohormones in microalgae: a new opportunity for microalgal biotechnology?","title-short":"Phytohormones in microalgae","volume":"20","author":[{"family":"Lu","given":"Yandu"},{"family":"Xu","given":"Jian"}],"issued":{"date-parts":[["2015",5,1]]}}}],"schema":"https://github.com/citation-style-language/schema/raw/master/csl-citation.json"} </w:instrText>
      </w:r>
      <w:r w:rsidR="00724432">
        <w:rPr>
          <w:rFonts w:cs="Times New Roman"/>
          <w:color w:val="FF0000"/>
          <w:szCs w:val="24"/>
        </w:rPr>
        <w:fldChar w:fldCharType="separate"/>
      </w:r>
      <w:r w:rsidR="00724432" w:rsidRPr="00724432">
        <w:rPr>
          <w:rFonts w:cs="Times New Roman"/>
        </w:rPr>
        <w:t>(Lu and Xu, 2015)</w:t>
      </w:r>
      <w:r w:rsidR="00724432">
        <w:rPr>
          <w:rFonts w:cs="Times New Roman"/>
          <w:color w:val="FF0000"/>
          <w:szCs w:val="24"/>
        </w:rPr>
        <w:fldChar w:fldCharType="end"/>
      </w:r>
      <w:r w:rsidR="00AD628D" w:rsidRPr="00833CE8">
        <w:rPr>
          <w:rFonts w:cs="Times New Roman"/>
          <w:szCs w:val="24"/>
        </w:rPr>
        <w:t>.</w:t>
      </w:r>
      <w:r w:rsidR="000F68E4" w:rsidRPr="00833CE8">
        <w:rPr>
          <w:rFonts w:cs="Times New Roman"/>
          <w:szCs w:val="24"/>
        </w:rPr>
        <w:t xml:space="preserve"> </w:t>
      </w:r>
      <w:r w:rsidR="00AD628D" w:rsidRPr="00833CE8">
        <w:rPr>
          <w:rFonts w:cs="Times New Roman"/>
          <w:szCs w:val="24"/>
        </w:rPr>
        <w:t xml:space="preserve"> While phytohormones have been well studied in vascular plants, genes and proteins involved in the synthesis or signalling pathways of phytohormones have also been detected in microalga</w:t>
      </w:r>
      <w:r w:rsidR="001658A6" w:rsidRPr="00833CE8">
        <w:rPr>
          <w:rFonts w:cs="Times New Roman"/>
          <w:szCs w:val="24"/>
        </w:rPr>
        <w:t>l</w:t>
      </w:r>
      <w:r w:rsidR="00AD628D" w:rsidRPr="00833CE8">
        <w:rPr>
          <w:rFonts w:cs="Times New Roman"/>
          <w:szCs w:val="24"/>
        </w:rPr>
        <w:t xml:space="preserve"> </w:t>
      </w:r>
      <w:r w:rsidR="001658A6" w:rsidRPr="00833CE8">
        <w:rPr>
          <w:rFonts w:cs="Times New Roman"/>
          <w:szCs w:val="24"/>
        </w:rPr>
        <w:t xml:space="preserve">phyla </w:t>
      </w:r>
      <w:r w:rsidR="00AD628D" w:rsidRPr="00833CE8">
        <w:rPr>
          <w:rFonts w:cs="Times New Roman"/>
          <w:szCs w:val="24"/>
        </w:rPr>
        <w:t xml:space="preserve">such as </w:t>
      </w:r>
      <w:r w:rsidR="00AD628D" w:rsidRPr="00833CE8">
        <w:rPr>
          <w:rFonts w:cs="Times New Roman"/>
          <w:i/>
          <w:iCs/>
          <w:szCs w:val="24"/>
        </w:rPr>
        <w:t xml:space="preserve">Chlorophyta </w:t>
      </w:r>
      <w:r w:rsidR="00AD628D" w:rsidRPr="00833CE8">
        <w:rPr>
          <w:rFonts w:cs="Times New Roman"/>
          <w:szCs w:val="24"/>
        </w:rPr>
        <w:t>and</w:t>
      </w:r>
      <w:r w:rsidR="00AD628D" w:rsidRPr="00833CE8">
        <w:rPr>
          <w:rFonts w:cs="Times New Roman"/>
          <w:i/>
          <w:iCs/>
          <w:szCs w:val="24"/>
        </w:rPr>
        <w:t xml:space="preserve"> </w:t>
      </w:r>
      <w:proofErr w:type="spellStart"/>
      <w:r w:rsidR="00AD628D" w:rsidRPr="00833CE8">
        <w:rPr>
          <w:rFonts w:cs="Times New Roman"/>
          <w:i/>
          <w:iCs/>
          <w:szCs w:val="24"/>
        </w:rPr>
        <w:t>Streptophyta</w:t>
      </w:r>
      <w:proofErr w:type="spellEnd"/>
      <w:r w:rsidR="00AD628D" w:rsidRPr="00833CE8">
        <w:rPr>
          <w:rFonts w:cs="Times New Roman"/>
          <w:szCs w:val="24"/>
        </w:rPr>
        <w:t>.  Phytohormones have therefore been suggested as potential improvements for microalgae cultivation through genetic modification of microalgae</w:t>
      </w:r>
      <w:r w:rsidR="00A21773" w:rsidRPr="00833CE8">
        <w:rPr>
          <w:rFonts w:cs="Times New Roman"/>
          <w:szCs w:val="24"/>
        </w:rPr>
        <w:t xml:space="preserve"> </w:t>
      </w:r>
      <w:r w:rsidR="008F0EDF" w:rsidRPr="00833CE8">
        <w:rPr>
          <w:rFonts w:cs="Times New Roman"/>
          <w:szCs w:val="24"/>
        </w:rPr>
        <w:fldChar w:fldCharType="begin"/>
      </w:r>
      <w:r w:rsidR="009F150C" w:rsidRPr="00833CE8">
        <w:rPr>
          <w:rFonts w:cs="Times New Roman"/>
          <w:szCs w:val="24"/>
        </w:rPr>
        <w:instrText xml:space="preserve"> ADDIN ZOTERO_ITEM CSL_CITATION {"citationID":"s4HwodvB","properties":{"formattedCitation":"(Han et al., 2018)","plainCitation":"(Han et al., 2018)","noteIndex":0},"citationItems":[{"id":4610,"uris":["http://zotero.org/users/764524/items/QMP2SD78"],"itemData":{"id":4610,"type":"article-journal","abstract":"Microalgae cultivation is booming in agriculture, aquaculture, and bioenergy sectors. A wide range of bioactive compounds with attractive properties can be produced with microalgae, including pigments, vitamins, proteins, carbohydrates, and lipids. The biofuel yields from microalgae can exceed the yields obtained with energy crops by 10–100 times. Therefore, such cultivation is promising for the regulation of the biosynthesis of microalagae with phytohormones, which can enhance the production of high-valued bioproducts. This review reports the effect of auxins, abscisic acid, cytokinins, gibberellins, and ethylene on microalgal growth and metabolites, as well as the crosstalk of different phytohormones. The use of phytohormones is also promising because it can also reduce the inputs necessary to grow the selected microalgae and maximize the yields.","container-title":"Fermentation","DOI":"10.3390/fermentation4020025","ISSN":"2311-5637","issue":"2","language":"en","license":"http://creativecommons.org/licenses/by/3.0/","note":"number: 2\npublisher: Multidisciplinary Digital Publishing Institute","page":"25","source":"www.mdpi.com","title":"Phytohormones and Effects on Growth and Metabolites of Microalgae: A Review","title-short":"Phytohormones and Effects on Growth and Metabolites of Microalgae","volume":"4","author":[{"family":"Han","given":"Xingfeng"},{"family":"Zeng","given":"Huiru"},{"family":"Bartocci","given":"Pietro"},{"family":"Fantozzi","given":"Francesco"},{"family":"Yan","given":"Yunjun"}],"issued":{"date-parts":[["2018",6]]}}}],"schema":"https://github.com/citation-style-language/schema/raw/master/csl-citation.json"} </w:instrText>
      </w:r>
      <w:r w:rsidR="008F0EDF" w:rsidRPr="00833CE8">
        <w:rPr>
          <w:rFonts w:cs="Times New Roman"/>
          <w:szCs w:val="24"/>
        </w:rPr>
        <w:fldChar w:fldCharType="separate"/>
      </w:r>
      <w:r w:rsidR="009F150C" w:rsidRPr="00833CE8">
        <w:rPr>
          <w:rFonts w:cs="Times New Roman"/>
        </w:rPr>
        <w:t>(Han et al., 2018)</w:t>
      </w:r>
      <w:r w:rsidR="008F0EDF" w:rsidRPr="00833CE8">
        <w:rPr>
          <w:rFonts w:cs="Times New Roman"/>
          <w:szCs w:val="24"/>
        </w:rPr>
        <w:fldChar w:fldCharType="end"/>
      </w:r>
      <w:r w:rsidR="00AD628D" w:rsidRPr="00833CE8">
        <w:rPr>
          <w:rFonts w:cs="Times New Roman"/>
          <w:szCs w:val="24"/>
        </w:rPr>
        <w:t xml:space="preserve">.  </w:t>
      </w:r>
    </w:p>
    <w:p w14:paraId="4A92A7B7" w14:textId="77777777" w:rsidR="00B9112F" w:rsidRDefault="00B9112F" w:rsidP="00C31A9C">
      <w:pPr>
        <w:tabs>
          <w:tab w:val="left" w:pos="2220"/>
        </w:tabs>
        <w:snapToGrid w:val="0"/>
        <w:spacing w:line="360" w:lineRule="auto"/>
        <w:ind w:firstLine="284"/>
        <w:jc w:val="both"/>
        <w:rPr>
          <w:rFonts w:cs="Times New Roman"/>
          <w:szCs w:val="24"/>
        </w:rPr>
      </w:pPr>
    </w:p>
    <w:p w14:paraId="52C0E33C" w14:textId="25FB4BFB" w:rsidR="00B9112F" w:rsidRPr="00B9112F" w:rsidRDefault="0034609D" w:rsidP="00B9112F">
      <w:pPr>
        <w:pStyle w:val="ListParagraph"/>
        <w:numPr>
          <w:ilvl w:val="3"/>
          <w:numId w:val="9"/>
        </w:numPr>
        <w:snapToGrid w:val="0"/>
        <w:spacing w:line="360" w:lineRule="auto"/>
        <w:rPr>
          <w:rFonts w:cs="Times New Roman"/>
          <w:b/>
          <w:bCs/>
          <w:szCs w:val="24"/>
        </w:rPr>
      </w:pPr>
      <w:r>
        <w:rPr>
          <w:rFonts w:cs="Times New Roman"/>
          <w:b/>
          <w:bCs/>
          <w:szCs w:val="24"/>
        </w:rPr>
        <w:t>Indole-3-acetic Acid (IAA) and Phenylacetic Acid (PAA)</w:t>
      </w:r>
    </w:p>
    <w:p w14:paraId="162C497E" w14:textId="7587CF34" w:rsidR="00462415" w:rsidRPr="00833CE8" w:rsidRDefault="00AD628D" w:rsidP="00C31A9C">
      <w:pPr>
        <w:tabs>
          <w:tab w:val="left" w:pos="2220"/>
        </w:tabs>
        <w:snapToGrid w:val="0"/>
        <w:spacing w:line="360" w:lineRule="auto"/>
        <w:ind w:firstLine="284"/>
        <w:jc w:val="both"/>
        <w:rPr>
          <w:rFonts w:cs="Times New Roman"/>
          <w:szCs w:val="24"/>
        </w:rPr>
      </w:pPr>
      <w:r w:rsidRPr="00833CE8">
        <w:rPr>
          <w:rFonts w:cs="Times New Roman"/>
          <w:szCs w:val="24"/>
        </w:rPr>
        <w:t xml:space="preserve">A notable </w:t>
      </w:r>
      <w:r w:rsidR="00343DC9" w:rsidRPr="00833CE8">
        <w:rPr>
          <w:rFonts w:cs="Times New Roman"/>
          <w:szCs w:val="24"/>
        </w:rPr>
        <w:t>class of phytohormones</w:t>
      </w:r>
      <w:r w:rsidRPr="00833CE8">
        <w:rPr>
          <w:rFonts w:cs="Times New Roman"/>
          <w:szCs w:val="24"/>
        </w:rPr>
        <w:t>, particularly within microalgae</w:t>
      </w:r>
      <w:r w:rsidR="001E5A1E">
        <w:rPr>
          <w:rFonts w:cs="Times New Roman"/>
          <w:szCs w:val="24"/>
        </w:rPr>
        <w:t>,</w:t>
      </w:r>
      <w:r w:rsidR="00343DC9" w:rsidRPr="00833CE8">
        <w:rPr>
          <w:rFonts w:cs="Times New Roman"/>
          <w:szCs w:val="24"/>
        </w:rPr>
        <w:t xml:space="preserve"> are a</w:t>
      </w:r>
      <w:r w:rsidR="00AC3436" w:rsidRPr="00833CE8">
        <w:rPr>
          <w:rFonts w:cs="Times New Roman"/>
          <w:szCs w:val="24"/>
        </w:rPr>
        <w:t>uxins such as indole-3-acetic acid</w:t>
      </w:r>
      <w:r w:rsidR="00A72EDA" w:rsidRPr="00833CE8">
        <w:rPr>
          <w:rFonts w:cs="Times New Roman"/>
          <w:szCs w:val="24"/>
        </w:rPr>
        <w:t xml:space="preserve"> (IAA)</w:t>
      </w:r>
      <w:r w:rsidR="00343DC9" w:rsidRPr="00833CE8">
        <w:rPr>
          <w:rFonts w:cs="Times New Roman"/>
          <w:szCs w:val="24"/>
        </w:rPr>
        <w:t xml:space="preserve">, which have also been shown to be </w:t>
      </w:r>
      <w:r w:rsidR="00AC3436" w:rsidRPr="00833CE8">
        <w:rPr>
          <w:rFonts w:cs="Times New Roman"/>
          <w:szCs w:val="24"/>
        </w:rPr>
        <w:t xml:space="preserve">produced by bacteria and act as hormones on </w:t>
      </w:r>
      <w:r w:rsidR="00AC3436" w:rsidRPr="00833CE8">
        <w:rPr>
          <w:rFonts w:cs="Times New Roman"/>
          <w:szCs w:val="24"/>
        </w:rPr>
        <w:lastRenderedPageBreak/>
        <w:t>algae</w:t>
      </w:r>
      <w:r w:rsidR="007A7A9F" w:rsidRPr="00833CE8">
        <w:rPr>
          <w:rFonts w:cs="Times New Roman"/>
          <w:szCs w:val="24"/>
        </w:rPr>
        <w:t xml:space="preserve"> </w:t>
      </w:r>
      <w:r w:rsidR="00AC3436" w:rsidRPr="00833CE8">
        <w:rPr>
          <w:rFonts w:cs="Times New Roman"/>
          <w:szCs w:val="24"/>
        </w:rPr>
        <w:fldChar w:fldCharType="begin"/>
      </w:r>
      <w:r w:rsidR="009F150C" w:rsidRPr="00833CE8">
        <w:rPr>
          <w:rFonts w:cs="Times New Roman"/>
          <w:szCs w:val="24"/>
        </w:rPr>
        <w:instrText xml:space="preserve"> ADDIN ZOTERO_ITEM CSL_CITATION {"citationID":"czDWEwcp","properties":{"formattedCitation":"(Lin et al., 2022)","plainCitation":"(Lin et al., 2022)","noteIndex":0},"citationItems":[{"id":4480,"uris":["http://zotero.org/users/764524/items/W5J89HYB"],"itemData":{"id":4480,"type":"article-journal","abstract":"Optimization of microalgal growth and high-value metabolite production are key steps in microalgal mass culture for the algae industry. An emerging technology is the use of phytohormones, like indole-3-acetic acid (IAA), to promote microalgal growth. This requires an understanding of the biosynthesis of IAA in microalgae-bacteria associations and its function in regulating algal physiology and metabolite production. We review the current advances in understanding of microalgal and bacterial auxin biosynthesis and their implications for algal biotechnology.","container-title":"Current Opinion in Biotechnology","DOI":"10.1016/j.copbio.2021.09.006","ISSN":"0958-1669","journalAbbreviation":"Curr. Opin. Biotechnol.","page":"300-307","source":"ScienceDirect","title":"Microalgal and bacterial auxin biosynthesis: implications for algal biotechnology","title-short":"Microalgal and bacterial auxin biosynthesis","volume":"73","author":[{"family":"Lin","given":"Hanzhi"},{"family":"Li","given":"Yantao"},{"family":"Hill","given":"Russell T"}],"issued":{"date-parts":[["2022",2,1]]}}}],"schema":"https://github.com/citation-style-language/schema/raw/master/csl-citation.json"} </w:instrText>
      </w:r>
      <w:r w:rsidR="00AC3436" w:rsidRPr="00833CE8">
        <w:rPr>
          <w:rFonts w:cs="Times New Roman"/>
          <w:szCs w:val="24"/>
        </w:rPr>
        <w:fldChar w:fldCharType="separate"/>
      </w:r>
      <w:r w:rsidR="009F150C" w:rsidRPr="00833CE8">
        <w:rPr>
          <w:rFonts w:cs="Times New Roman"/>
        </w:rPr>
        <w:t>(Lin et al., 2022)</w:t>
      </w:r>
      <w:r w:rsidR="00AC3436" w:rsidRPr="00833CE8">
        <w:rPr>
          <w:rFonts w:cs="Times New Roman"/>
          <w:szCs w:val="24"/>
        </w:rPr>
        <w:fldChar w:fldCharType="end"/>
      </w:r>
      <w:r w:rsidR="007A7A9F" w:rsidRPr="00833CE8">
        <w:rPr>
          <w:rFonts w:cs="Times New Roman"/>
          <w:szCs w:val="24"/>
        </w:rPr>
        <w:t>.</w:t>
      </w:r>
      <w:r w:rsidR="00AC3436" w:rsidRPr="00833CE8">
        <w:rPr>
          <w:rFonts w:cs="Times New Roman"/>
          <w:szCs w:val="24"/>
        </w:rPr>
        <w:t xml:space="preserve"> </w:t>
      </w:r>
      <w:r w:rsidR="005903AD" w:rsidRPr="00833CE8">
        <w:rPr>
          <w:rFonts w:cs="Times New Roman"/>
          <w:szCs w:val="24"/>
        </w:rPr>
        <w:t xml:space="preserve">The general </w:t>
      </w:r>
      <w:r w:rsidR="00E3154A" w:rsidRPr="00833CE8">
        <w:rPr>
          <w:rFonts w:cs="Times New Roman"/>
          <w:szCs w:val="24"/>
        </w:rPr>
        <w:t xml:space="preserve">structure </w:t>
      </w:r>
      <w:r w:rsidR="005903AD" w:rsidRPr="00833CE8">
        <w:rPr>
          <w:rFonts w:cs="Times New Roman"/>
          <w:szCs w:val="24"/>
        </w:rPr>
        <w:t xml:space="preserve">of auxins </w:t>
      </w:r>
      <w:r w:rsidR="00E3154A" w:rsidRPr="00833CE8">
        <w:rPr>
          <w:rFonts w:cs="Times New Roman"/>
          <w:szCs w:val="24"/>
        </w:rPr>
        <w:t>include</w:t>
      </w:r>
      <w:r w:rsidR="005903AD" w:rsidRPr="00833CE8">
        <w:rPr>
          <w:rFonts w:cs="Times New Roman"/>
          <w:szCs w:val="24"/>
        </w:rPr>
        <w:t>s</w:t>
      </w:r>
      <w:r w:rsidR="00E3154A" w:rsidRPr="00833CE8">
        <w:rPr>
          <w:rFonts w:cs="Times New Roman"/>
          <w:szCs w:val="24"/>
        </w:rPr>
        <w:t xml:space="preserve"> an aromatic ring and carboxylic acid grou</w:t>
      </w:r>
      <w:r w:rsidR="00BE6D05" w:rsidRPr="00833CE8">
        <w:rPr>
          <w:rFonts w:cs="Times New Roman"/>
          <w:szCs w:val="24"/>
        </w:rPr>
        <w:t xml:space="preserve">p </w:t>
      </w:r>
      <w:r w:rsidR="00BE6D05" w:rsidRPr="00833CE8">
        <w:rPr>
          <w:rFonts w:cs="Times New Roman"/>
          <w:szCs w:val="24"/>
        </w:rPr>
        <w:fldChar w:fldCharType="begin"/>
      </w:r>
      <w:r w:rsidR="00476618">
        <w:rPr>
          <w:rFonts w:cs="Times New Roman"/>
          <w:szCs w:val="24"/>
        </w:rPr>
        <w:instrText xml:space="preserve"> ADDIN ZOTERO_ITEM CSL_CITATION {"citationID":"1HVx9csa","properties":{"formattedCitation":"(Enders and Strader, 2015)","plainCitation":"(Enders and Strader, 2015)","noteIndex":0},"citationItems":[{"id":4625,"uris":["http://zotero.org/users/764524/items/EDDXF78C"],"itemData":{"id":4625,"type":"article-journal","abstract":"Long before its chemical identity was known, the phytohormone auxin was postulated to regulate plant growth. In the late 1800s, Sachs hypothesized that plant growth regulators, present in small amounts, move differentially throughout the plant to regulate growth. Concurrently, Charles Darwin and Francis Darwin were discovering that light and gravity were perceived by the tips of shoots and roots and that the stimulus was transmitted to other tissues, which underwent a growth response. These ideas were improved upon by Boysen-Jensen and Paál and were later developed into the Cholodny–Went hypothesis that tropisms were caused by the asymmetric distribution of a growth-promoting substance. These observations led to many efforts to identify this elusive growth-promoting substance, which we now know as auxin. In this review of auxin field advances over the past century, we start with a seminal paper by Kenneth Thimann and Charles Schneider titled “The relative activities of different auxins” from the American Journal of Botany, in which they compare the growth altering properties of several auxinic compounds. From this point, we explore the modern molecular understanding of auxin—including its biosynthesis, transport, and perception. Finally, we end this review with a discussion of outstanding questions and future directions in the auxin field. Over the past 100 yr, much of our progress in understanding auxin biology has relied on the steady and collective advance of the field of auxin researchers; we expect that the next 100 yr of auxin research will likewise make many exciting advances.","container-title":"American Journal of Botany","DOI":"10.3732/ajb.1400285","ISSN":"0002-9122","issue":"2","journalAbbreviation":"Am. J. Bot.","note":"PMID: 25667071\nPMCID: PMC4854432","page":"180-196","source":"PubMed Central","title":"Auxin Activity: Past, present, and Future","title-short":"Auxin Activity","volume":"102","author":[{"family":"Enders","given":"Tara A."},{"family":"Strader","given":"Lucia C."}],"issued":{"date-parts":[["2015",2]]}}}],"schema":"https://github.com/citation-style-language/schema/raw/master/csl-citation.json"} </w:instrText>
      </w:r>
      <w:r w:rsidR="00BE6D05" w:rsidRPr="00833CE8">
        <w:rPr>
          <w:rFonts w:cs="Times New Roman"/>
          <w:szCs w:val="24"/>
        </w:rPr>
        <w:fldChar w:fldCharType="separate"/>
      </w:r>
      <w:r w:rsidR="009F150C" w:rsidRPr="00833CE8">
        <w:rPr>
          <w:rFonts w:cs="Times New Roman"/>
        </w:rPr>
        <w:t>(Enders and Strader, 2015)</w:t>
      </w:r>
      <w:r w:rsidR="00BE6D05" w:rsidRPr="00833CE8">
        <w:rPr>
          <w:rFonts w:cs="Times New Roman"/>
          <w:szCs w:val="24"/>
        </w:rPr>
        <w:fldChar w:fldCharType="end"/>
      </w:r>
      <w:r w:rsidR="00CD52E0" w:rsidRPr="00833CE8">
        <w:rPr>
          <w:rFonts w:cs="Times New Roman"/>
          <w:szCs w:val="24"/>
        </w:rPr>
        <w:t xml:space="preserve">.  In vascular plants, auxins </w:t>
      </w:r>
      <w:r w:rsidR="00A34C68" w:rsidRPr="00833CE8">
        <w:rPr>
          <w:rFonts w:cs="Times New Roman"/>
          <w:szCs w:val="24"/>
        </w:rPr>
        <w:t>are in</w:t>
      </w:r>
      <w:r w:rsidR="00A34C68" w:rsidRPr="003C0101">
        <w:rPr>
          <w:rFonts w:cs="Times New Roman"/>
          <w:szCs w:val="24"/>
        </w:rPr>
        <w:t xml:space="preserve">volved in </w:t>
      </w:r>
      <w:r w:rsidR="006C2F47" w:rsidRPr="003C0101">
        <w:rPr>
          <w:rFonts w:cs="Times New Roman"/>
          <w:szCs w:val="24"/>
        </w:rPr>
        <w:t xml:space="preserve">signalling pathways that control </w:t>
      </w:r>
      <w:r w:rsidR="00A34C68" w:rsidRPr="003C0101">
        <w:rPr>
          <w:rFonts w:cs="Times New Roman"/>
          <w:szCs w:val="24"/>
        </w:rPr>
        <w:t>plant</w:t>
      </w:r>
      <w:r w:rsidR="006C2F47" w:rsidRPr="003C0101">
        <w:rPr>
          <w:rFonts w:cs="Times New Roman"/>
          <w:szCs w:val="24"/>
        </w:rPr>
        <w:t xml:space="preserve"> development and growth</w:t>
      </w:r>
      <w:r w:rsidR="007A7A9F" w:rsidRPr="003C0101">
        <w:rPr>
          <w:rFonts w:cs="Times New Roman"/>
          <w:szCs w:val="24"/>
        </w:rPr>
        <w:t xml:space="preserve"> </w:t>
      </w:r>
      <w:r w:rsidR="006C2F47" w:rsidRPr="003C0101">
        <w:rPr>
          <w:rFonts w:cs="Times New Roman"/>
          <w:szCs w:val="24"/>
        </w:rPr>
        <w:fldChar w:fldCharType="begin"/>
      </w:r>
      <w:r w:rsidR="009F150C" w:rsidRPr="003C0101">
        <w:rPr>
          <w:rFonts w:cs="Times New Roman"/>
          <w:szCs w:val="24"/>
        </w:rPr>
        <w:instrText xml:space="preserve"> ADDIN ZOTERO_ITEM CSL_CITATION {"citationID":"GG8nFdns","properties":{"formattedCitation":"(Yu et al., 2022)","plainCitation":"(Yu et al., 2022)","noteIndex":0},"citationItems":[{"id":4623,"uris":["http://zotero.org/users/764524/items/WGJK3WBG"],"itemData":{"id":4623,"type":"article-journal","abstract":"Auxin, one of the first identified and most widely studied phytohormones, has been and will remain a hot topic in plant biology. After more than a century of passionate exploration, the mysteries of its synthesis, transport, signaling, and metabolism have largely been unlocked. Due to the rapid development of new technologies, new methods, and new genetic materials, the study of auxin has entered the fast lane over the past 30 years. Here, we highlight advances in understanding auxin signaling, including auxin perception, rapid auxin responses, TRANSPORT INHIBITOR RESPONSE 1 and AUXIN SIGNALING F-boxes (TIR1/AFBs)-mediated transcriptional and non-transcriptional branches, and the epigenetic regulation of auxin signaling. We also focus on feedback inhibition mechanisms that prevent the over-amplification of auxin signals. In addition, we cover the TRANSMEMBRANE KINASE-mediated non-canonical signaling, which converges with TIR1/AFBs-mediated transcriptional regulation to coordinate plant growth and development. The identification of additional auxin signaling components and their regulation will continue to open new avenues of research in this field, leading to an increasingly deeper, more comprehensive understanding of how auxin signals are interpreted at the cellular level to regulate plant growth and development.","container-title":"Journal of Integrative Plant Biology","DOI":"10.1111/jipb.13225","ISSN":"1744-7909","issue":"2","journalAbbreviation":"J. Integr. Plant Biol.","language":"en","license":"© 2022 Institute of Botany, Chinese Academy of Sciences.","note":"_eprint: https://onlinelibrary.wiley.com/doi/pdf/10.1111/jipb.13225","page":"371-392","source":"Wiley Online Library","title":"Auxin signaling: Research advances over the past 30 years","title-short":"Auxin signaling","volume":"64","author":[{"family":"Yu","given":"Zipeng"},{"family":"Zhang","given":"Feng"},{"family":"Friml","given":"Jiří"},{"family":"Ding","given":"Zhaojun"}],"issued":{"date-parts":[["2022"]]}}}],"schema":"https://github.com/citation-style-language/schema/raw/master/csl-citation.json"} </w:instrText>
      </w:r>
      <w:r w:rsidR="006C2F47" w:rsidRPr="003C0101">
        <w:rPr>
          <w:rFonts w:cs="Times New Roman"/>
          <w:szCs w:val="24"/>
        </w:rPr>
        <w:fldChar w:fldCharType="separate"/>
      </w:r>
      <w:r w:rsidR="009F150C" w:rsidRPr="003C0101">
        <w:rPr>
          <w:rFonts w:cs="Times New Roman"/>
        </w:rPr>
        <w:t>(Yu et al., 2022)</w:t>
      </w:r>
      <w:r w:rsidR="006C2F47" w:rsidRPr="003C0101">
        <w:rPr>
          <w:rFonts w:cs="Times New Roman"/>
          <w:szCs w:val="24"/>
        </w:rPr>
        <w:fldChar w:fldCharType="end"/>
      </w:r>
      <w:r w:rsidR="00E3154A" w:rsidRPr="003C0101">
        <w:rPr>
          <w:rFonts w:cs="Times New Roman"/>
          <w:szCs w:val="24"/>
        </w:rPr>
        <w:t>.</w:t>
      </w:r>
      <w:r w:rsidR="00A34C68" w:rsidRPr="003C0101">
        <w:rPr>
          <w:rFonts w:cs="Times New Roman"/>
          <w:szCs w:val="24"/>
        </w:rPr>
        <w:t xml:space="preserve"> </w:t>
      </w:r>
      <w:r w:rsidR="00E3154A" w:rsidRPr="003C0101">
        <w:rPr>
          <w:rFonts w:cs="Times New Roman"/>
          <w:szCs w:val="24"/>
        </w:rPr>
        <w:t xml:space="preserve"> </w:t>
      </w:r>
      <w:r w:rsidR="00F642D8">
        <w:rPr>
          <w:rFonts w:cs="Times New Roman"/>
          <w:szCs w:val="24"/>
        </w:rPr>
        <w:t xml:space="preserve">In algae, auxins can </w:t>
      </w:r>
      <w:r w:rsidR="00AC3436" w:rsidRPr="00833CE8">
        <w:rPr>
          <w:rFonts w:cs="Times New Roman"/>
          <w:szCs w:val="24"/>
        </w:rPr>
        <w:t xml:space="preserve">promote algal growth at low </w:t>
      </w:r>
      <w:r w:rsidR="0026697E" w:rsidRPr="00833CE8">
        <w:rPr>
          <w:rFonts w:cs="Times New Roman"/>
          <w:szCs w:val="24"/>
        </w:rPr>
        <w:t>concentrations but</w:t>
      </w:r>
      <w:r w:rsidR="00AC3436" w:rsidRPr="00833CE8">
        <w:rPr>
          <w:rFonts w:cs="Times New Roman"/>
          <w:szCs w:val="24"/>
        </w:rPr>
        <w:t xml:space="preserve"> lead to reduced growth and cell death at high concentrations</w:t>
      </w:r>
      <w:r w:rsidR="003C0101">
        <w:rPr>
          <w:rFonts w:cs="Times New Roman"/>
          <w:szCs w:val="24"/>
        </w:rPr>
        <w:t xml:space="preserve"> </w:t>
      </w:r>
      <w:r w:rsidR="00F642D8" w:rsidRPr="00833CE8">
        <w:rPr>
          <w:rFonts w:cs="Times New Roman"/>
          <w:szCs w:val="24"/>
        </w:rPr>
        <w:fldChar w:fldCharType="begin"/>
      </w:r>
      <w:r w:rsidR="00F642D8" w:rsidRPr="00833CE8">
        <w:rPr>
          <w:rFonts w:cs="Times New Roman"/>
          <w:szCs w:val="24"/>
        </w:rPr>
        <w:instrText xml:space="preserve"> ADDIN ZOTERO_ITEM CSL_CITATION {"citationID":"HjVpJCct","properties":{"formattedCitation":"(Cheng et al., 2023)","plainCitation":"(Cheng et al., 2023)","noteIndex":0},"citationItems":[{"id":4664,"uris":["http://zotero.org/users/764524/items/U4T4HZ2X"],"itemData":{"id":4664,"type":"article-journal","abstract":"&lt;p&gt;Most signaling molecules are involved in inter-or intra-species communication, and signaling involving cross-kingdom cell-to-cell communication is limited. Howerver, algae and bacteria exchange nutrients and information in a range of interactions in marine environments. Multiple signaling molecules exist between algae and bacteria, including quorum-sensing molecules, nitric oxide, and volatile organic compounds. Recently, indole-3-acetic acid (IAA), an auxin hormone that is a well-studied signaling molecule in terrestrial ecosystems, was found to act as a cue in cross-kingdom communication between algae and bacteria in aquatic environments. To increase understanding of the roles of IAA in the phycosphere, the latest evidence regarding the ecological functions of IAA in cross-kingdom communication between algae and bacteria has been compiled in this review. The pathways of IAA biosynthesis, effects of IAA on algal growth &amp;amp; reproduction, and potential mechanisms at phenotypic and molecular levels are summarized. It is proposed that IAA is an important molecule regulating algal–bacterial interactions and acts as an invisible driving force in the formation of algal blooms.&lt;/p&gt;","container-title":"Frontiers in Microbiology","DOI":"10.3389/fmicb.2023.1236925","ISSN":"1664-302X","journalAbbreviation":"Front. Microbiol.","language":"English","note":"publisher: Frontiers","page":"1236925","source":"Frontiers","title":"Indole-3-acetic acid as a cross-talking molecule in algal-bacterial interactions and a potential driving force in algal bloom formation","volume":"14","author":[{"family":"Cheng","given":"Xueyu"},{"family":"Li","given":"Xinyang"},{"family":"Tong","given":"Mengmeng"},{"family":"Wu","given":"Jiajun"},{"family":"Chan","given":"Leo Lai"},{"family":"Cai","given":"Zhonghua"},{"family":"Zhou","given":"Jin"}],"issued":{"date-parts":[["2023",10,20]]}}}],"schema":"https://github.com/citation-style-language/schema/raw/master/csl-citation.json"} </w:instrText>
      </w:r>
      <w:r w:rsidR="00F642D8" w:rsidRPr="00833CE8">
        <w:rPr>
          <w:rFonts w:cs="Times New Roman"/>
          <w:szCs w:val="24"/>
        </w:rPr>
        <w:fldChar w:fldCharType="separate"/>
      </w:r>
      <w:r w:rsidR="00F642D8" w:rsidRPr="00833CE8">
        <w:rPr>
          <w:rFonts w:cs="Times New Roman"/>
        </w:rPr>
        <w:t>(Cheng et al., 2023)</w:t>
      </w:r>
      <w:r w:rsidR="00F642D8" w:rsidRPr="00833CE8">
        <w:rPr>
          <w:rFonts w:cs="Times New Roman"/>
          <w:szCs w:val="24"/>
        </w:rPr>
        <w:fldChar w:fldCharType="end"/>
      </w:r>
      <w:r w:rsidR="00AC3436" w:rsidRPr="00833CE8">
        <w:rPr>
          <w:rFonts w:cs="Times New Roman"/>
          <w:szCs w:val="24"/>
        </w:rPr>
        <w:t>.</w:t>
      </w:r>
      <w:r w:rsidR="00235101" w:rsidRPr="00833CE8">
        <w:rPr>
          <w:rFonts w:cs="Times New Roman"/>
          <w:szCs w:val="24"/>
        </w:rPr>
        <w:t xml:space="preserve">  </w:t>
      </w:r>
      <w:r w:rsidR="00383A78" w:rsidRPr="003C0101">
        <w:rPr>
          <w:rFonts w:cs="Times New Roman"/>
          <w:szCs w:val="24"/>
        </w:rPr>
        <w:t xml:space="preserve">An example of the IAA signalling </w:t>
      </w:r>
      <w:r w:rsidR="00383A78" w:rsidRPr="002402DF">
        <w:rPr>
          <w:rFonts w:cs="Times New Roman"/>
          <w:szCs w:val="24"/>
        </w:rPr>
        <w:t xml:space="preserve">pathways </w:t>
      </w:r>
      <w:r w:rsidR="00383A78" w:rsidRPr="00825428">
        <w:rPr>
          <w:rFonts w:cs="Times New Roman"/>
          <w:color w:val="FF0000"/>
          <w:szCs w:val="24"/>
        </w:rPr>
        <w:t xml:space="preserve">between </w:t>
      </w:r>
      <w:r w:rsidR="00825428" w:rsidRPr="00825428">
        <w:rPr>
          <w:rFonts w:cs="Times New Roman"/>
          <w:color w:val="FF0000"/>
          <w:szCs w:val="24"/>
        </w:rPr>
        <w:t xml:space="preserve">the bacteria </w:t>
      </w:r>
      <w:r w:rsidR="00825428" w:rsidRPr="00825428">
        <w:rPr>
          <w:rFonts w:cs="Times New Roman"/>
          <w:i/>
          <w:iCs/>
          <w:color w:val="FF0000"/>
          <w:szCs w:val="24"/>
        </w:rPr>
        <w:t xml:space="preserve">M. aquaticum </w:t>
      </w:r>
      <w:r w:rsidR="00383A78" w:rsidRPr="00825428">
        <w:rPr>
          <w:rFonts w:cs="Times New Roman"/>
          <w:color w:val="FF0000"/>
          <w:szCs w:val="24"/>
        </w:rPr>
        <w:t xml:space="preserve">and </w:t>
      </w:r>
      <w:r w:rsidR="00825428" w:rsidRPr="00825428">
        <w:rPr>
          <w:rFonts w:cs="Times New Roman"/>
          <w:color w:val="FF0000"/>
          <w:szCs w:val="24"/>
        </w:rPr>
        <w:t xml:space="preserve">the </w:t>
      </w:r>
      <w:r w:rsidR="00383A78" w:rsidRPr="00825428">
        <w:rPr>
          <w:rFonts w:cs="Times New Roman"/>
          <w:color w:val="FF0000"/>
          <w:szCs w:val="24"/>
        </w:rPr>
        <w:t xml:space="preserve">algae </w:t>
      </w:r>
      <w:r w:rsidR="00825428" w:rsidRPr="00825428">
        <w:rPr>
          <w:rFonts w:cs="Times New Roman"/>
          <w:i/>
          <w:iCs/>
          <w:color w:val="FF0000"/>
          <w:szCs w:val="24"/>
        </w:rPr>
        <w:t xml:space="preserve">C. </w:t>
      </w:r>
      <w:proofErr w:type="spellStart"/>
      <w:r w:rsidR="00825428" w:rsidRPr="00825428">
        <w:rPr>
          <w:rFonts w:cs="Times New Roman"/>
          <w:i/>
          <w:iCs/>
          <w:color w:val="FF0000"/>
          <w:szCs w:val="24"/>
        </w:rPr>
        <w:t>reinhardtii</w:t>
      </w:r>
      <w:proofErr w:type="spellEnd"/>
      <w:r w:rsidR="00383A78" w:rsidRPr="00825428">
        <w:rPr>
          <w:rFonts w:cs="Times New Roman"/>
          <w:color w:val="FF0000"/>
          <w:szCs w:val="24"/>
        </w:rPr>
        <w:t xml:space="preserve">, </w:t>
      </w:r>
      <w:r w:rsidR="00383A78" w:rsidRPr="002402DF">
        <w:rPr>
          <w:rFonts w:cs="Times New Roman"/>
          <w:szCs w:val="24"/>
        </w:rPr>
        <w:t>as well as land plants, is shown in Figure</w:t>
      </w:r>
      <w:r w:rsidR="00982805">
        <w:rPr>
          <w:rFonts w:cs="Times New Roman"/>
          <w:szCs w:val="24"/>
        </w:rPr>
        <w:t xml:space="preserve"> </w:t>
      </w:r>
      <w:r w:rsidR="003C30BB">
        <w:rPr>
          <w:rFonts w:cs="Times New Roman"/>
          <w:szCs w:val="24"/>
        </w:rPr>
        <w:t>3</w:t>
      </w:r>
      <w:r w:rsidR="00383A78" w:rsidRPr="002402DF">
        <w:rPr>
          <w:rFonts w:cs="Times New Roman"/>
          <w:szCs w:val="24"/>
        </w:rPr>
        <w:t xml:space="preserve"> </w:t>
      </w:r>
      <w:r w:rsidR="00383A78" w:rsidRPr="002402DF">
        <w:rPr>
          <w:rFonts w:cs="Times New Roman"/>
          <w:szCs w:val="24"/>
        </w:rPr>
        <w:fldChar w:fldCharType="begin"/>
      </w:r>
      <w:r w:rsidR="00383A78" w:rsidRPr="002402DF">
        <w:rPr>
          <w:rFonts w:cs="Times New Roman"/>
          <w:szCs w:val="24"/>
        </w:rPr>
        <w:instrText xml:space="preserve"> ADDIN ZOTERO_ITEM CSL_CITATION {"citationID":"hPZm6BAW","properties":{"formattedCitation":"(Calatrava et al., 2024)","plainCitation":"(Calatrava et al., 2024)","noteIndex":0},"citationItems":[{"id":9471,"uris":["http://zotero.org/users/764524/items/SBCRDCQA"],"itemData":{"id":9471,"type":"article-journal","container-title":"iScience","DOI":"10.1016/j.isci.2023.108762","ISSN":"2589-0042","issue":"1","journalAbbreviation":"iScience","language":"English","note":"publisher: Elsevier\nPMID: 38269098","source":"www.cell.com","title":"Genetic evidence for algal auxin production in Chlamydomonas and its role in algal-bacterial mutualism","URL":"https://www.cell.com/iscience/abstract/S2589-0042(23)02839-0","volume":"27","author":[{"family":"Calatrava","given":"Victoria"},{"family":"Hom","given":"Erik F. Y."},{"family":"Guan","given":"Qijie"},{"family":"Llamas","given":"Angel"},{"family":"Fernández","given":"Emilio"},{"family":"Galván","given":"Aurora"}],"accessed":{"date-parts":[["2024",12,31]]},"issued":{"date-parts":[["2024",1,19]]}}}],"schema":"https://github.com/citation-style-language/schema/raw/master/csl-citation.json"} </w:instrText>
      </w:r>
      <w:r w:rsidR="00383A78" w:rsidRPr="002402DF">
        <w:rPr>
          <w:rFonts w:cs="Times New Roman"/>
          <w:szCs w:val="24"/>
        </w:rPr>
        <w:fldChar w:fldCharType="separate"/>
      </w:r>
      <w:r w:rsidR="00383A78" w:rsidRPr="002402DF">
        <w:rPr>
          <w:rFonts w:cs="Times New Roman"/>
        </w:rPr>
        <w:t>(Calatrava et al., 2024)</w:t>
      </w:r>
      <w:r w:rsidR="00383A78" w:rsidRPr="002402DF">
        <w:rPr>
          <w:rFonts w:cs="Times New Roman"/>
          <w:szCs w:val="24"/>
        </w:rPr>
        <w:fldChar w:fldCharType="end"/>
      </w:r>
      <w:r w:rsidR="00383A78" w:rsidRPr="002402DF">
        <w:rPr>
          <w:rFonts w:cs="Times New Roman"/>
          <w:szCs w:val="24"/>
        </w:rPr>
        <w:t>.</w:t>
      </w:r>
      <w:r w:rsidR="001E5A1E">
        <w:rPr>
          <w:rFonts w:cs="Times New Roman"/>
          <w:szCs w:val="24"/>
        </w:rPr>
        <w:t xml:space="preserve">  In this system, IAA is synthesized from the amino acid tryptophan via the protein </w:t>
      </w:r>
      <w:r w:rsidR="001E5A1E" w:rsidRPr="001E5A1E">
        <w:rPr>
          <w:rFonts w:cs="Times New Roman"/>
          <w:szCs w:val="24"/>
        </w:rPr>
        <w:t xml:space="preserve">L-amino acid oxidase </w:t>
      </w:r>
      <w:r w:rsidR="001E5A1E">
        <w:rPr>
          <w:rFonts w:cs="Times New Roman"/>
          <w:szCs w:val="24"/>
        </w:rPr>
        <w:t>(LAO1)</w:t>
      </w:r>
      <w:r w:rsidR="002C3DCD">
        <w:rPr>
          <w:rFonts w:cs="Times New Roman"/>
          <w:szCs w:val="24"/>
        </w:rPr>
        <w:t>.</w:t>
      </w:r>
      <w:r w:rsidR="00691166">
        <w:rPr>
          <w:rFonts w:cs="Times New Roman"/>
          <w:szCs w:val="24"/>
        </w:rPr>
        <w:t xml:space="preserve">  </w:t>
      </w:r>
      <w:r w:rsidR="00691166" w:rsidRPr="00691166">
        <w:rPr>
          <w:rFonts w:cs="Times New Roman"/>
          <w:color w:val="FF0000"/>
          <w:szCs w:val="24"/>
        </w:rPr>
        <w:t xml:space="preserve">As a result of the mutualism between </w:t>
      </w:r>
      <w:r w:rsidR="00691166" w:rsidRPr="00691166">
        <w:rPr>
          <w:rFonts w:cs="Times New Roman"/>
          <w:i/>
          <w:iCs/>
          <w:color w:val="FF0000"/>
          <w:szCs w:val="24"/>
        </w:rPr>
        <w:t xml:space="preserve">C. </w:t>
      </w:r>
      <w:proofErr w:type="spellStart"/>
      <w:r w:rsidR="00691166" w:rsidRPr="00691166">
        <w:rPr>
          <w:rFonts w:cs="Times New Roman"/>
          <w:i/>
          <w:iCs/>
          <w:color w:val="FF0000"/>
          <w:szCs w:val="24"/>
        </w:rPr>
        <w:t>reinhardtii</w:t>
      </w:r>
      <w:proofErr w:type="spellEnd"/>
      <w:r w:rsidR="00691166" w:rsidRPr="00691166">
        <w:rPr>
          <w:rFonts w:cs="Times New Roman"/>
          <w:i/>
          <w:iCs/>
          <w:color w:val="FF0000"/>
          <w:szCs w:val="24"/>
        </w:rPr>
        <w:t xml:space="preserve"> </w:t>
      </w:r>
      <w:r w:rsidR="00691166" w:rsidRPr="00691166">
        <w:rPr>
          <w:rFonts w:cs="Times New Roman"/>
          <w:color w:val="FF0000"/>
          <w:szCs w:val="24"/>
        </w:rPr>
        <w:t xml:space="preserve">and </w:t>
      </w:r>
      <w:r w:rsidR="00691166" w:rsidRPr="00691166">
        <w:rPr>
          <w:rFonts w:cs="Times New Roman"/>
          <w:i/>
          <w:iCs/>
          <w:color w:val="FF0000"/>
          <w:szCs w:val="24"/>
        </w:rPr>
        <w:t>M. aquaticum</w:t>
      </w:r>
      <w:r w:rsidR="00691166" w:rsidRPr="00691166">
        <w:rPr>
          <w:rFonts w:cs="Times New Roman"/>
          <w:color w:val="FF0000"/>
          <w:szCs w:val="24"/>
        </w:rPr>
        <w:t>, the bacteria can degrade IAA, thereby preventing the algal growth inhibition</w:t>
      </w:r>
      <w:r w:rsidR="00691166">
        <w:rPr>
          <w:rFonts w:cs="Times New Roman"/>
          <w:color w:val="FF0000"/>
          <w:szCs w:val="24"/>
        </w:rPr>
        <w:t xml:space="preserve"> and enhancing the growth of bacteria, algae, and plants</w:t>
      </w:r>
      <w:r w:rsidR="00691166" w:rsidRPr="00691166">
        <w:rPr>
          <w:rFonts w:cs="Times New Roman"/>
          <w:color w:val="FF0000"/>
          <w:szCs w:val="24"/>
        </w:rPr>
        <w:t>.</w:t>
      </w:r>
      <w:r w:rsidR="00691166" w:rsidRPr="00691166">
        <w:rPr>
          <w:rFonts w:cs="Times New Roman"/>
          <w:i/>
          <w:iCs/>
          <w:color w:val="FF0000"/>
          <w:szCs w:val="24"/>
        </w:rPr>
        <w:t xml:space="preserve"> </w:t>
      </w:r>
      <w:r w:rsidR="00691166">
        <w:rPr>
          <w:rFonts w:cs="Times New Roman"/>
          <w:b/>
          <w:bCs/>
          <w:color w:val="FF0000"/>
          <w:szCs w:val="24"/>
        </w:rPr>
        <w:t xml:space="preserve"> </w:t>
      </w:r>
      <w:r w:rsidR="00383A78" w:rsidRPr="002402DF">
        <w:rPr>
          <w:rFonts w:cs="Times New Roman"/>
          <w:szCs w:val="24"/>
        </w:rPr>
        <w:t xml:space="preserve">Another example of auxin signalling was </w:t>
      </w:r>
      <w:r w:rsidR="00996890">
        <w:rPr>
          <w:rFonts w:cs="Times New Roman"/>
          <w:szCs w:val="24"/>
        </w:rPr>
        <w:t xml:space="preserve">illustrated </w:t>
      </w:r>
      <w:r w:rsidR="00383A78" w:rsidRPr="002402DF">
        <w:rPr>
          <w:rFonts w:cs="Times New Roman"/>
          <w:szCs w:val="24"/>
        </w:rPr>
        <w:t xml:space="preserve">for the previously </w:t>
      </w:r>
      <w:r w:rsidR="00383A78" w:rsidRPr="00996890">
        <w:rPr>
          <w:rFonts w:cs="Times New Roman"/>
          <w:szCs w:val="24"/>
        </w:rPr>
        <w:t>described</w:t>
      </w:r>
      <w:r w:rsidR="00383A78" w:rsidRPr="002402DF">
        <w:rPr>
          <w:rFonts w:cs="Times New Roman"/>
          <w:szCs w:val="24"/>
        </w:rPr>
        <w:t xml:space="preserve"> exchange of B vitamins between</w:t>
      </w:r>
      <w:r w:rsidR="00383A78">
        <w:rPr>
          <w:rFonts w:cs="Times New Roman"/>
          <w:i/>
          <w:iCs/>
          <w:szCs w:val="24"/>
        </w:rPr>
        <w:t xml:space="preserve"> </w:t>
      </w:r>
      <w:proofErr w:type="spellStart"/>
      <w:r w:rsidR="00383A78" w:rsidRPr="002402DF">
        <w:rPr>
          <w:rFonts w:cs="Times New Roman"/>
          <w:i/>
          <w:iCs/>
          <w:szCs w:val="24"/>
        </w:rPr>
        <w:t>Variovorax</w:t>
      </w:r>
      <w:proofErr w:type="spellEnd"/>
      <w:r w:rsidR="00383A78" w:rsidRPr="002402DF">
        <w:rPr>
          <w:rFonts w:cs="Times New Roman"/>
          <w:szCs w:val="24"/>
        </w:rPr>
        <w:t xml:space="preserve"> </w:t>
      </w:r>
      <w:r w:rsidR="00383A78">
        <w:rPr>
          <w:rFonts w:cs="Times New Roman"/>
          <w:szCs w:val="24"/>
        </w:rPr>
        <w:t xml:space="preserve">bacteria and the alga </w:t>
      </w:r>
      <w:r w:rsidR="00DC78DE">
        <w:rPr>
          <w:rFonts w:cs="Times New Roman"/>
          <w:i/>
          <w:iCs/>
          <w:szCs w:val="24"/>
        </w:rPr>
        <w:t xml:space="preserve">S. </w:t>
      </w:r>
      <w:proofErr w:type="spellStart"/>
      <w:r w:rsidR="00383A78" w:rsidRPr="002402DF">
        <w:rPr>
          <w:rFonts w:cs="Times New Roman"/>
          <w:i/>
          <w:iCs/>
          <w:szCs w:val="24"/>
        </w:rPr>
        <w:t>quadricauda</w:t>
      </w:r>
      <w:proofErr w:type="spellEnd"/>
      <w:r w:rsidR="00383A78">
        <w:rPr>
          <w:rFonts w:cs="Times New Roman"/>
          <w:i/>
          <w:iCs/>
          <w:szCs w:val="24"/>
        </w:rPr>
        <w:t xml:space="preserve"> </w:t>
      </w:r>
      <w:r w:rsidR="00383A78">
        <w:rPr>
          <w:rFonts w:cs="Times New Roman"/>
          <w:i/>
          <w:iCs/>
          <w:szCs w:val="24"/>
        </w:rPr>
        <w:fldChar w:fldCharType="begin"/>
      </w:r>
      <w:r w:rsidR="00CA23D8">
        <w:rPr>
          <w:rFonts w:cs="Times New Roman"/>
          <w:i/>
          <w:iCs/>
          <w:szCs w:val="24"/>
        </w:rPr>
        <w:instrText xml:space="preserve"> ADDIN ZOTERO_ITEM CSL_CITATION {"citationID":"A93yv14R","properties":{"formattedCitation":"(Astafyeva et al., 2022)","plainCitation":"(Astafyeva et al., 2022)","noteIndex":0},"citationItems":[{"id":9474,"uris":["http://zotero.org/users/764524/items/LE7JILT4"],"itemData":{"id":9474,"type":"article-journal","abstract":"Microalgae are one of the most dominant forms of life on earth that is tightly associated with a distinct and specialized microbiota. We have previously shown that the microbiota of Scenedesmus quadricauda harbors less than 10 distinct microbial species. Here, we provide evidence that dominant species are affiliated with the genera of Variovorax, Porphyrobacter, and Dyadobacter. Experimental and transcriptome-based evidence implies that within this multispecies interaction, Dyadobacter is a key to alga growth and fitness and is highly adapted to live in the phycosphere. While presumably under light conditions the alga provides the energy source to the bacteria, Dyadobacter produces and releases mainly a large variety of polysaccharides modifying enzymes. This is coherent with high-level expression of the T9SS in alga cocultures. The transcriptome data further imply that quorum-quenching proteins (QQ) and biosynthesis of vitamins B1, B2, B5, B6, and B9 are expressed by Dyadobacter at high levels in comparison to Variovorax and Porphyrobacter. Notably, Dyadobacter produces a significant number of leucine-rich repeat (LRR) proteins and enzymes involved in bacterial reactive oxygen species (ROS) tolerance. Complementary to this, Variovorax expresses the genes of the biosynthesis of vitamins B2, B5, B6, B7, B9, and B12, and Porphyrobacter is specialized in the production of vitamins B2 and B6. Thus, the shared currency between partners are vitamins, microalgae growth-promoting substances, and dissolved carbon. This work significantly enlarges our knowledge on alga-bacteria interaction and demonstrates physiological investigations of microalgae and associated bacteria, using microscopy observations, photosynthetic activity measurements, and flow cytometry.\nIMPORTANCE The current study gives a detailed insight into mutualistic collaboration of microalgae and bacteria, including the involvement of competitive interplay between bacteria. We provide experimental evidence that Gram-negative bacteria belonging to the Dyadobacter, Porphyrobacter, and Variovorax are the key players in a Scenedesmus quadricauda alga-bacteria interaction. We impart strong evidence that Dyadobacter produces and releases polysaccharides degradation enzymes and leucine-rich repeat proteins; Variovorax supplies the consortium with auxins and vitamin B12, while Porphyrobacter produces a broad spectrum of B vitamins. We show not only that the microalgae collaborate with the bacteria and vice versa but also that the bacteria interact with each other via quorum-sensing and secretion system mechanisms. The shared currency between partners appears to be vitamins, microalgae growth-promoting substances, and dissolved carbon.","container-title":"Microbiology Spectrum","DOI":"10.1128/spectrum.00633-22","issue":"4","journalAbbreviation":"Microbiol. Spect.","note":"publisher: American Society for Microbiology","page":"e00633-22","source":"journals.asm.org (Atypon)","title":"Microalgae and Bacteria Interaction—Evidence for Division of Diligence in the Alga Microbiota","volume":"10","author":[{"family":"Astafyeva","given":"Yekaterina"},{"family":"Gurschke","given":"Marno"},{"family":"Qi","given":"Minyue"},{"family":"Bergmann","given":"Lutgardis"},{"family":"Indenbirken","given":"Daniela"},{"family":"Grahl","given":"Imke","non-dropping-particle":"de"},{"family":"Katzowitsch","given":"Elena"},{"family":"Reumann","given":"Sigrun"},{"family":"Hanelt","given":"Dieter"},{"family":"Alawi","given":"Malik"},{"family":"Streit","given":"Wolfgang R."},{"family":"Krohn","given":"Ines"}],"issued":{"date-parts":[["2022",8]]}}}],"schema":"https://github.com/citation-style-language/schema/raw/master/csl-citation.json"} </w:instrText>
      </w:r>
      <w:r w:rsidR="00383A78">
        <w:rPr>
          <w:rFonts w:cs="Times New Roman"/>
          <w:i/>
          <w:iCs/>
          <w:szCs w:val="24"/>
        </w:rPr>
        <w:fldChar w:fldCharType="separate"/>
      </w:r>
      <w:r w:rsidR="00383A78" w:rsidRPr="002402DF">
        <w:rPr>
          <w:rFonts w:cs="Times New Roman"/>
        </w:rPr>
        <w:t>(Astafyeva et al., 2022)</w:t>
      </w:r>
      <w:r w:rsidR="00383A78">
        <w:rPr>
          <w:rFonts w:cs="Times New Roman"/>
          <w:i/>
          <w:iCs/>
          <w:szCs w:val="24"/>
        </w:rPr>
        <w:fldChar w:fldCharType="end"/>
      </w:r>
      <w:r w:rsidR="00383A78">
        <w:rPr>
          <w:rFonts w:cs="Times New Roman"/>
          <w:i/>
          <w:iCs/>
          <w:szCs w:val="24"/>
        </w:rPr>
        <w:t>.</w:t>
      </w:r>
      <w:r w:rsidR="00383A78" w:rsidRPr="00833CE8">
        <w:rPr>
          <w:rFonts w:cs="Times New Roman"/>
          <w:szCs w:val="24"/>
        </w:rPr>
        <w:t xml:space="preserve"> </w:t>
      </w:r>
      <w:r w:rsidR="00316B68">
        <w:rPr>
          <w:rFonts w:cs="Times New Roman"/>
          <w:szCs w:val="24"/>
        </w:rPr>
        <w:t>However, the molecular mechanisms of auxin regulation in algae have not been</w:t>
      </w:r>
      <w:r w:rsidR="002402DF">
        <w:rPr>
          <w:rFonts w:cs="Times New Roman"/>
          <w:szCs w:val="24"/>
        </w:rPr>
        <w:t xml:space="preserve"> well</w:t>
      </w:r>
      <w:r w:rsidR="00316B68">
        <w:rPr>
          <w:rFonts w:cs="Times New Roman"/>
          <w:szCs w:val="24"/>
        </w:rPr>
        <w:t xml:space="preserve"> </w:t>
      </w:r>
      <w:r w:rsidR="00996890">
        <w:rPr>
          <w:rFonts w:cs="Times New Roman"/>
          <w:szCs w:val="24"/>
        </w:rPr>
        <w:t>explored</w:t>
      </w:r>
      <w:r w:rsidR="00316B68">
        <w:rPr>
          <w:rFonts w:cs="Times New Roman"/>
          <w:szCs w:val="24"/>
        </w:rPr>
        <w:t>.</w:t>
      </w:r>
      <w:r w:rsidR="00592E1A">
        <w:rPr>
          <w:rFonts w:cs="Times New Roman"/>
          <w:b/>
          <w:bCs/>
          <w:szCs w:val="24"/>
        </w:rPr>
        <w:t xml:space="preserve">  </w:t>
      </w:r>
    </w:p>
    <w:p w14:paraId="355FDF70" w14:textId="548FF8BB" w:rsidR="00063BCC" w:rsidRDefault="00063BCC" w:rsidP="00A27BD9">
      <w:pPr>
        <w:tabs>
          <w:tab w:val="center" w:pos="4822"/>
        </w:tabs>
        <w:snapToGrid w:val="0"/>
        <w:spacing w:line="360" w:lineRule="auto"/>
        <w:rPr>
          <w:rFonts w:cs="Times New Roman"/>
          <w:b/>
          <w:bCs/>
          <w:szCs w:val="24"/>
        </w:rPr>
      </w:pPr>
    </w:p>
    <w:p w14:paraId="46E9AD73" w14:textId="0BF29C8B" w:rsidR="00A27BD9" w:rsidRPr="00833CE8" w:rsidRDefault="001B7196" w:rsidP="004B2582">
      <w:pPr>
        <w:tabs>
          <w:tab w:val="center" w:pos="4822"/>
        </w:tabs>
        <w:snapToGrid w:val="0"/>
        <w:spacing w:line="360" w:lineRule="auto"/>
        <w:jc w:val="center"/>
        <w:rPr>
          <w:rFonts w:cs="Times New Roman"/>
          <w:b/>
          <w:bCs/>
          <w:szCs w:val="24"/>
        </w:rPr>
      </w:pPr>
      <w:r>
        <w:rPr>
          <w:rFonts w:cs="Times New Roman"/>
          <w:b/>
          <w:bCs/>
          <w:noProof/>
          <w:szCs w:val="24"/>
        </w:rPr>
        <w:lastRenderedPageBreak/>
        <w:drawing>
          <wp:inline distT="0" distB="0" distL="0" distR="0" wp14:anchorId="4B53CDB9" wp14:editId="01F7BD1C">
            <wp:extent cx="5162493" cy="5340350"/>
            <wp:effectExtent l="0" t="0" r="0" b="0"/>
            <wp:docPr id="7090704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76221" cy="5354550"/>
                    </a:xfrm>
                    <a:prstGeom prst="rect">
                      <a:avLst/>
                    </a:prstGeom>
                    <a:noFill/>
                  </pic:spPr>
                </pic:pic>
              </a:graphicData>
            </a:graphic>
          </wp:inline>
        </w:drawing>
      </w:r>
    </w:p>
    <w:p w14:paraId="3A0BA8AD" w14:textId="1A1AC7D1" w:rsidR="00063BCC" w:rsidRPr="00483F08" w:rsidRDefault="00063BCC" w:rsidP="001A3BAF">
      <w:pPr>
        <w:tabs>
          <w:tab w:val="center" w:pos="4822"/>
        </w:tabs>
        <w:snapToGrid w:val="0"/>
        <w:spacing w:line="276" w:lineRule="auto"/>
        <w:jc w:val="both"/>
        <w:rPr>
          <w:rFonts w:cs="Times New Roman"/>
          <w:b/>
          <w:bCs/>
          <w:szCs w:val="24"/>
        </w:rPr>
      </w:pPr>
      <w:r w:rsidRPr="00483F08">
        <w:rPr>
          <w:rFonts w:cs="Times New Roman"/>
          <w:b/>
          <w:bCs/>
          <w:szCs w:val="24"/>
        </w:rPr>
        <w:t xml:space="preserve">Figure </w:t>
      </w:r>
      <w:r w:rsidR="003C30BB" w:rsidRPr="00483F08">
        <w:rPr>
          <w:rFonts w:cs="Times New Roman"/>
          <w:b/>
          <w:bCs/>
          <w:szCs w:val="24"/>
        </w:rPr>
        <w:t>3</w:t>
      </w:r>
      <w:r w:rsidR="0080718C" w:rsidRPr="00483F08">
        <w:rPr>
          <w:rFonts w:cs="Times New Roman"/>
          <w:b/>
          <w:bCs/>
          <w:szCs w:val="24"/>
        </w:rPr>
        <w:t xml:space="preserve">. </w:t>
      </w:r>
      <w:r w:rsidRPr="00483F08">
        <w:rPr>
          <w:rFonts w:cs="Times New Roman"/>
          <w:szCs w:val="24"/>
        </w:rPr>
        <w:t xml:space="preserve"> </w:t>
      </w:r>
      <w:r w:rsidR="00234889" w:rsidRPr="00483F08">
        <w:rPr>
          <w:rFonts w:cs="Times New Roman"/>
          <w:szCs w:val="24"/>
        </w:rPr>
        <w:t xml:space="preserve">Illustration of effects of bacterial IAA on algal </w:t>
      </w:r>
      <w:r w:rsidR="00986122" w:rsidRPr="00483F08">
        <w:rPr>
          <w:rFonts w:cs="Times New Roman"/>
          <w:szCs w:val="24"/>
        </w:rPr>
        <w:t xml:space="preserve">and plant </w:t>
      </w:r>
      <w:r w:rsidR="005C1D04" w:rsidRPr="00483F08">
        <w:rPr>
          <w:rFonts w:cs="Times New Roman"/>
          <w:szCs w:val="24"/>
        </w:rPr>
        <w:t>growth</w:t>
      </w:r>
      <w:r w:rsidR="00F4442D" w:rsidRPr="00483F08">
        <w:rPr>
          <w:rFonts w:cs="Times New Roman"/>
          <w:szCs w:val="24"/>
        </w:rPr>
        <w:t>.</w:t>
      </w:r>
    </w:p>
    <w:p w14:paraId="4D557730" w14:textId="77777777" w:rsidR="0059233E" w:rsidRPr="00833CE8" w:rsidRDefault="0059233E" w:rsidP="00063BCC">
      <w:pPr>
        <w:tabs>
          <w:tab w:val="center" w:pos="4822"/>
        </w:tabs>
        <w:snapToGrid w:val="0"/>
        <w:spacing w:line="360" w:lineRule="auto"/>
        <w:jc w:val="both"/>
        <w:rPr>
          <w:rFonts w:cs="Times New Roman"/>
          <w:szCs w:val="24"/>
        </w:rPr>
      </w:pPr>
    </w:p>
    <w:p w14:paraId="04032C89" w14:textId="78B4AF9A" w:rsidR="00654FC5" w:rsidRPr="00833CE8" w:rsidRDefault="0059233E" w:rsidP="00B9509D">
      <w:pPr>
        <w:snapToGrid w:val="0"/>
        <w:spacing w:line="360" w:lineRule="auto"/>
        <w:ind w:firstLine="284"/>
        <w:jc w:val="both"/>
        <w:rPr>
          <w:rFonts w:cs="Times New Roman"/>
          <w:b/>
          <w:bCs/>
          <w:szCs w:val="24"/>
        </w:rPr>
      </w:pPr>
      <w:r w:rsidRPr="00833CE8">
        <w:rPr>
          <w:rFonts w:cs="Times New Roman"/>
          <w:szCs w:val="24"/>
        </w:rPr>
        <w:t xml:space="preserve">In </w:t>
      </w:r>
      <w:r w:rsidRPr="00394FE4">
        <w:rPr>
          <w:rFonts w:cs="Times New Roman"/>
          <w:szCs w:val="24"/>
        </w:rPr>
        <w:t xml:space="preserve">bacteria, IAA has other roles beyond those in plants, including resilience to stresses </w:t>
      </w:r>
      <w:r w:rsidR="001055BE" w:rsidRPr="00394FE4">
        <w:rPr>
          <w:rFonts w:cs="Times New Roman"/>
          <w:szCs w:val="24"/>
        </w:rPr>
        <w:t>such as</w:t>
      </w:r>
      <w:r w:rsidRPr="00394FE4">
        <w:rPr>
          <w:rFonts w:cs="Times New Roman"/>
          <w:szCs w:val="24"/>
        </w:rPr>
        <w:t xml:space="preserve"> salinity, acidity, UV radiation, reactive oxygen species (ROS), and heat, but the regulation of bacterial IAA biosynthetic pathways is less well understood </w:t>
      </w:r>
      <w:r w:rsidRPr="00394FE4">
        <w:rPr>
          <w:rFonts w:cs="Times New Roman"/>
          <w:szCs w:val="24"/>
        </w:rPr>
        <w:fldChar w:fldCharType="begin"/>
      </w:r>
      <w:r w:rsidR="005522CA" w:rsidRPr="00394FE4">
        <w:rPr>
          <w:rFonts w:cs="Times New Roman"/>
          <w:szCs w:val="24"/>
        </w:rPr>
        <w:instrText xml:space="preserve"> ADDIN ZOTERO_ITEM CSL_CITATION {"citationID":"akMAHQ6E","properties":{"formattedCitation":"(Etesami and Glick, 2024)","plainCitation":"(Etesami and Glick, 2024)","noteIndex":0},"citationItems":[{"id":4635,"uris":["http://zotero.org/users/764524/items/2DY9Z578"],"itemData":{"id":4635,"type":"article-journal","abstract":"Indole-3-acetic acid (IAA), a fundamental phytohormone categorized under auxins, not only influences plant growth and development but also plays a critical role in plant-microbe interactions. This study reviews the role of IAA in bacteria-plant communication, with a focus on its biosynthesis, regulation, and the subsequent effects on host plants. Bacteria synthesize IAA through multiple pathways, which include the indole-3-acetamide (IAM), indole-3-pyruvic acid (IPyA), and several other routes, whose full mechanisms remain to be fully elucidated. The production of bacterial IAA affects root architecture, nutrient uptake, and resistance to various abiotic stresses such as drought, salinity, and heavy metal toxicity, enhancing plant resilience and thus offering promising routes to sustainable agriculture. Bacterial IAA synthesis is regulated through complex gene networks responsive to environmental cues, impacting plant hormonal balances and symbiotic relationships. Pathogenic bacteria have adapted mechanisms to manipulate the host’s IAA dynamics, influencing disease outcomes. On the other hand, beneficial bacteria utilize IAA to promote plant growth and mitigate abiotic stresses, thereby enhancing nutrient use efficiency and reducing dependency on chemical fertilizers. Advancements in analytical methods, such as liquid chromatography–tandem mass spectrometry, have improved the quantification of bacterial IAA, enabling accurate measurement and analysis. Future research focusing on molecular interactions between IAA-producing bacteria and host plants could facilitate the development of biotechnological applications that integrate beneficial bacteria to improve crop performance, which is essential for addressing the challenges posed by climate change and ensuring global food security. This integration of bacterial IAA producers into agricultural practice promises to revolutionize crop management strategies by enhancing growth, fostering resilience, and reducing environmental impact.","container-title":"Microbiological Research","DOI":"10.1016/j.micres.2024.127602","ISSN":"0944-5013","journalAbbreviation":"Microbiol. Res.","page":"127602","source":"ScienceDirect","title":"Bacterial indole-3-acetic acid: A key regulator for plant growth, plant-microbe interactions, and agricultural adaptive resilience","title-short":"Bacterial indole-3-acetic acid","volume":"281","author":[{"family":"Etesami","given":"Hassan"},{"family":"Glick","given":"Bernard R."}],"issued":{"date-parts":[["2024",4,1]]}}}],"schema":"https://github.com/citation-style-language/schema/raw/master/csl-citation.json"} </w:instrText>
      </w:r>
      <w:r w:rsidRPr="00394FE4">
        <w:rPr>
          <w:rFonts w:cs="Times New Roman"/>
          <w:szCs w:val="24"/>
        </w:rPr>
        <w:fldChar w:fldCharType="separate"/>
      </w:r>
      <w:r w:rsidRPr="00394FE4">
        <w:rPr>
          <w:rFonts w:cs="Times New Roman"/>
        </w:rPr>
        <w:t>(Etesami and Glick, 2024)</w:t>
      </w:r>
      <w:r w:rsidRPr="00394FE4">
        <w:rPr>
          <w:rFonts w:cs="Times New Roman"/>
          <w:szCs w:val="24"/>
        </w:rPr>
        <w:fldChar w:fldCharType="end"/>
      </w:r>
      <w:r w:rsidRPr="00394FE4">
        <w:rPr>
          <w:rFonts w:cs="Times New Roman"/>
          <w:szCs w:val="24"/>
        </w:rPr>
        <w:t>.  IAA is involved in establishing symbioses of microalgae with nitrogen fixing bacteria and fungi.  The</w:t>
      </w:r>
      <w:r w:rsidRPr="00394FE4">
        <w:rPr>
          <w:rFonts w:cs="Times New Roman"/>
          <w:b/>
          <w:bCs/>
          <w:szCs w:val="24"/>
        </w:rPr>
        <w:t xml:space="preserve"> </w:t>
      </w:r>
      <w:r w:rsidRPr="00394FE4">
        <w:rPr>
          <w:rFonts w:cs="Times New Roman"/>
          <w:szCs w:val="24"/>
        </w:rPr>
        <w:t xml:space="preserve">amino acid tryptophan is not only necessary for protein synthesis, but also a precursor for the </w:t>
      </w:r>
      <w:r w:rsidR="001055BE" w:rsidRPr="00394FE4">
        <w:rPr>
          <w:rFonts w:cs="Times New Roman"/>
          <w:szCs w:val="24"/>
        </w:rPr>
        <w:t>formation</w:t>
      </w:r>
      <w:r w:rsidRPr="00394FE4">
        <w:rPr>
          <w:rFonts w:cs="Times New Roman"/>
          <w:szCs w:val="24"/>
        </w:rPr>
        <w:t xml:space="preserve"> of auxins in bacteria </w:t>
      </w:r>
      <w:r w:rsidRPr="00394FE4">
        <w:rPr>
          <w:rFonts w:cs="Times New Roman"/>
          <w:szCs w:val="24"/>
        </w:rPr>
        <w:fldChar w:fldCharType="begin"/>
      </w:r>
      <w:r w:rsidRPr="00394FE4">
        <w:rPr>
          <w:rFonts w:cs="Times New Roman"/>
          <w:szCs w:val="24"/>
        </w:rPr>
        <w:instrText xml:space="preserve"> ADDIN ZOTERO_ITEM CSL_CITATION {"citationID":"tgWkuXBe","properties":{"formattedCitation":"(Amin et al., 2015; Segev et al., 2016)","plainCitation":"(Amin et al., 2015; Segev et al., 2016)","noteIndex":0},"citationItems":[{"id":4529,"uris":["http://zotero.org/users/764524/items/8WMS58CS"],"itemData":{"id":4529,"type":"article-journal","abstract":"Molecular characterization of interactions between a globally distributed marine diatom and its bacterial consortium.","container-title":"Nature","DOI":"10.1038/nature14488","ISSN":"1476-4687","issue":"7554","language":"en","license":"2015 Springer Nature Limited","note":"publisher: Nature Publishing Group","page":"98-101","source":"www.nature.com","title":"Interaction and signalling between a cosmopolitan phytoplankton and associated bacteria","volume":"522","author":[{"family":"Amin","given":"S. A."},{"family":"Hmelo","given":"L. R."},{"family":"Tol","given":"H. M.","non-dropping-particle":"van"},{"family":"Durham","given":"B. P."},{"family":"Carlson","given":"L. T."},{"family":"Heal","given":"K. R."},{"family":"Morales","given":"R. L."},{"family":"Berthiaume","given":"C. T."},{"family":"Parker","given":"M. S."},{"family":"Djunaedi","given":"B."},{"family":"Ingalls","given":"A. E."},{"family":"Parsek","given":"M. R."},{"family":"Moran","given":"M. A."},{"family":"Armbrust","given":"E. V."}],"issued":{"date-parts":[["2015",6]]}}},{"id":4531,"uris":["http://zotero.org/users/764524/items/PFFHYZTQ"],"itemData":{"id":4531,"type":"article-journal","abstract":"Emiliania huxleyi is a model coccolithophore micro-alga that generates vast blooms in the ocean. Bacteria are not considered among the major factors influencing coccolithophore physiology. Here we show through a laboratory model system that the bacterium Phaeobacter inhibens, a well-studied member of the Roseobacter group, intimately interacts with E. huxleyi. While attached to the algal cell, bacteria initially promote algal growth but ultimately kill their algal host. Both algal growth enhancement and algal death are driven by the bacterially-produced phytohormone indole-3-acetic acid. Bacterial production of indole-3-acetic acid and attachment to algae are significantly increased by tryptophan, which is exuded from the algal cell. Algal death triggered by bacteria involves activation of pathways unique to oxidative stress response and programmed cell death. Our observations suggest that bacteria greatly influence the physiology and metabolism of E. huxleyi. Coccolithophore-bacteria interactions should be further studied in the environment to determine whether they impact micro-algal population dynamics on a global scale.","container-title":"eLife","DOI":"10.7554/eLife.17473","ISSN":"2050-084X","note":"publisher: eLife Sciences Publications, Ltd","page":"e17473","source":"eLife","title":"Dynamic metabolic exchange governs a marine algal-bacterial interaction","volume":"5","author":[{"family":"Segev","given":"Einat"},{"family":"Wyche","given":"Thomas P"},{"family":"Kim","given":"Ki Hyun"},{"family":"Petersen","given":"Jörn"},{"family":"Ellebrandt","given":"Claire"},{"family":"Vlamakis","given":"Hera"},{"family":"Barteneva","given":"Natasha"},{"family":"Paulson","given":"Joseph N"},{"family":"Chai","given":"Liraz"},{"family":"Clardy","given":"Jon"},{"family":"Kolter","given":"Roberto"}],"editor":[{"family":"Falkowski","given":"Paul G"}],"issued":{"date-parts":[["2016",11,18]]}}}],"schema":"https://github.com/citation-style-language/schema/raw/master/csl-citation.json"} </w:instrText>
      </w:r>
      <w:r w:rsidRPr="00394FE4">
        <w:rPr>
          <w:rFonts w:cs="Times New Roman"/>
          <w:szCs w:val="24"/>
        </w:rPr>
        <w:fldChar w:fldCharType="separate"/>
      </w:r>
      <w:r w:rsidRPr="00394FE4">
        <w:rPr>
          <w:rFonts w:cs="Times New Roman"/>
        </w:rPr>
        <w:t>(Amin et al., 2015; Segev et al., 2016)</w:t>
      </w:r>
      <w:r w:rsidRPr="00394FE4">
        <w:rPr>
          <w:rFonts w:cs="Times New Roman"/>
          <w:szCs w:val="24"/>
        </w:rPr>
        <w:fldChar w:fldCharType="end"/>
      </w:r>
      <w:r w:rsidRPr="00394FE4">
        <w:rPr>
          <w:rFonts w:cs="Times New Roman"/>
          <w:szCs w:val="24"/>
        </w:rPr>
        <w:t>.</w:t>
      </w:r>
      <w:r w:rsidR="001E5A1E" w:rsidRPr="00394FE4">
        <w:rPr>
          <w:rFonts w:cs="Times New Roman"/>
          <w:szCs w:val="24"/>
        </w:rPr>
        <w:t xml:space="preserve">  </w:t>
      </w:r>
      <w:r w:rsidRPr="00394FE4">
        <w:rPr>
          <w:rFonts w:cs="Times New Roman"/>
          <w:szCs w:val="24"/>
        </w:rPr>
        <w:t>Bacterial synthesis of IAA from tryptophan has also been demonstrated</w:t>
      </w:r>
      <w:r w:rsidRPr="00833CE8">
        <w:rPr>
          <w:rFonts w:cs="Times New Roman"/>
          <w:szCs w:val="24"/>
        </w:rPr>
        <w:t xml:space="preserve"> to be secreted into the environment, enhancing microalgal growth </w:t>
      </w:r>
      <w:r w:rsidRPr="00833CE8">
        <w:rPr>
          <w:rFonts w:cs="Times New Roman"/>
          <w:szCs w:val="24"/>
        </w:rPr>
        <w:fldChar w:fldCharType="begin"/>
      </w:r>
      <w:r w:rsidR="00742839">
        <w:rPr>
          <w:rFonts w:cs="Times New Roman"/>
          <w:szCs w:val="24"/>
        </w:rPr>
        <w:instrText xml:space="preserve"> ADDIN ZOTERO_ITEM CSL_CITATION {"citationID":"B5fGraE5","properties":{"formattedCitation":"(Cheng et al., 2023; Zhang et al., 2022)","plainCitation":"(Cheng et al., 2023; Zhang et al., 2022)","noteIndex":0},"citationItems":[{"id":4660,"uris":["http://zotero.org/users/764524/items/KMEL25HF"],"itemData":{"id":4660,"type":"article-journal","abstract":"Application of plant hormones is an effective strategy to further improve the accumulation of microalgae biomass. In this study, the IAA (indole-3-acetic acid) production capacity of symbiotic bacteria isolated from the culture system of Ochromonas and Chlorella was detected and compared, with the bacterial community structure revealed. The results demonstrated that Algoriphagus, Porphyrobacter, Roseococcus, and Rhizobium were the dominant bacterial genera both in Ochromonas and Chlorella system, distributed in Proteobacteria and Bacteroidetes. Sixteen of 40 strains classified into 15 genera isolated from the two genera of microalgae could produce IAA, with Agrobacterium and Rhizobium as the main representatives with highest IAA production level (22.53–34.18 mg/L in 30 h). And through determination of changes of chlorophyll content in the co-culture system of microalgae and the supernatant of IAA high-yielding bacteria suspension from medium with or without tryptophan (synthetic precursor of IAA), Rhizobium (C-3) and Agrobacterium (O-16, C-2) were proved to promote the growth of Ochromonas and Chlorella through secreting IAA. The biomass yield of Ochromonas and Chlorella could be respectively increased by 78.98% and 72.73% through the co-culture with Agrobacterium (C-2), by 68.15% and 69.93% for Rhizobium (C-3) and by 80.89% and 65.73% for Agrobacterium (O-16). Moreover, compared with the application of exogenous IAA to improve the microalgae biomass, it is more efficient and economical to construct algae bacteria symbiosis system using IAA secretory bacteria commonly existed in microalgae culture system. In addition, the growth promoting effect of IAA secretory bacteria on microalgae was different among the species of algae.","container-title":"BioEnergy Research","DOI":"10.1007/s12155-021-10246-8","ISSN":"1939-1242","issue":"1","journalAbbreviation":"Bioenerg. Res.","language":"en","page":"242-252","source":"Springer Link","title":"Utilization of Indole-3-acetic acid–Secreting Bacteria in Algal Environment to Increase Biomass Accumulation of &lt;i&gt;Ochromonas&lt;/i&gt; and &lt;i&gt;Chlorella&lt;/i&gt;","volume":"15","author":[{"family":"Zhang","given":"Bo"},{"family":"Chen","given":"Jiachen"},{"family":"Su","given":"Yanru"},{"family":"Sun","given":"Wenxin"},{"family":"Zhang","given":"Anlong"}],"issued":{"date-parts":[["2022",3,1]]}}},{"id":4664,"uris":["http://zotero.org/users/764524/items/U4T4HZ2X"],"itemData":{"id":4664,"type":"article-journal","abstract":"&lt;p&gt;Most signaling molecules are involved in inter-or intra-species communication, and signaling involving cross-kingdom cell-to-cell communication is limited. Howerver, algae and bacteria exchange nutrients and information in a range of interactions in marine environments. Multiple signaling molecules exist between algae and bacteria, including quorum-sensing molecules, nitric oxide, and volatile organic compounds. Recently, indole-3-acetic acid (IAA), an auxin hormone that is a well-studied signaling molecule in terrestrial ecosystems, was found to act as a cue in cross-kingdom communication between algae and bacteria in aquatic environments. To increase understanding of the roles of IAA in the phycosphere, the latest evidence regarding the ecological functions of IAA in cross-kingdom communication between algae and bacteria has been compiled in this review. The pathways of IAA biosynthesis, effects of IAA on algal growth &amp;amp; reproduction, and potential mechanisms at phenotypic and molecular levels are summarized. It is proposed that IAA is an important molecule regulating algal–bacterial interactions and acts as an invisible driving force in the formation of algal blooms.&lt;/p&gt;","container-title":"Frontiers in Microbiology","DOI":"10.3389/fmicb.2023.1236925","ISSN":"1664-302X","journalAbbreviation":"Front. Microbiol.","language":"English","note":"publisher: Frontiers","page":"1236925","source":"Frontiers","title":"Indole-3-acetic acid as a cross-talking molecule in algal-bacterial interactions and a potential driving force in algal bloom formation","volume":"14","author":[{"family":"Cheng","given":"Xueyu"},{"family":"Li","given":"Xinyang"},{"family":"Tong","given":"Mengmeng"},{"family":"Wu","given":"Jiajun"},{"family":"Chan","given":"Leo Lai"},{"family":"Cai","given":"Zhonghua"},{"family":"Zhou","given":"Jin"}],"issued":{"date-parts":[["2023",10,20]]}}}],"schema":"https://github.com/citation-style-language/schema/raw/master/csl-citation.json"} </w:instrText>
      </w:r>
      <w:r w:rsidRPr="00833CE8">
        <w:rPr>
          <w:rFonts w:cs="Times New Roman"/>
          <w:szCs w:val="24"/>
        </w:rPr>
        <w:fldChar w:fldCharType="separate"/>
      </w:r>
      <w:r w:rsidRPr="00833CE8">
        <w:rPr>
          <w:rFonts w:cs="Times New Roman"/>
        </w:rPr>
        <w:t>(Cheng et al., 2023; Zhang et al., 2022)</w:t>
      </w:r>
      <w:r w:rsidRPr="00833CE8">
        <w:rPr>
          <w:rFonts w:cs="Times New Roman"/>
          <w:szCs w:val="24"/>
        </w:rPr>
        <w:fldChar w:fldCharType="end"/>
      </w:r>
      <w:r w:rsidRPr="00833CE8">
        <w:rPr>
          <w:rFonts w:cs="Times New Roman"/>
          <w:szCs w:val="24"/>
        </w:rPr>
        <w:t xml:space="preserve">.  Figure </w:t>
      </w:r>
      <w:r w:rsidR="003C30BB">
        <w:rPr>
          <w:rFonts w:cs="Times New Roman"/>
          <w:szCs w:val="24"/>
        </w:rPr>
        <w:t>4</w:t>
      </w:r>
      <w:r w:rsidRPr="00833CE8">
        <w:rPr>
          <w:rFonts w:cs="Times New Roman"/>
          <w:szCs w:val="24"/>
        </w:rPr>
        <w:t xml:space="preserve"> shows a summary of interactions between the diatom </w:t>
      </w:r>
      <w:r w:rsidRPr="00833CE8">
        <w:rPr>
          <w:rFonts w:cs="Times New Roman"/>
          <w:i/>
          <w:iCs/>
          <w:szCs w:val="24"/>
        </w:rPr>
        <w:t>Pseudo-</w:t>
      </w:r>
      <w:proofErr w:type="spellStart"/>
      <w:r w:rsidRPr="00833CE8">
        <w:rPr>
          <w:rFonts w:cs="Times New Roman"/>
          <w:i/>
          <w:iCs/>
          <w:szCs w:val="24"/>
        </w:rPr>
        <w:t>nitzschia</w:t>
      </w:r>
      <w:proofErr w:type="spellEnd"/>
      <w:r w:rsidRPr="00833CE8">
        <w:rPr>
          <w:rFonts w:cs="Times New Roman"/>
          <w:szCs w:val="24"/>
        </w:rPr>
        <w:t xml:space="preserve"> spp. and </w:t>
      </w:r>
      <w:proofErr w:type="spellStart"/>
      <w:r w:rsidRPr="00833CE8">
        <w:rPr>
          <w:rFonts w:cs="Times New Roman"/>
          <w:i/>
          <w:iCs/>
          <w:szCs w:val="24"/>
        </w:rPr>
        <w:t>Sulfitobacter</w:t>
      </w:r>
      <w:proofErr w:type="spellEnd"/>
      <w:r w:rsidRPr="00833CE8">
        <w:rPr>
          <w:rFonts w:cs="Times New Roman"/>
          <w:b/>
          <w:bCs/>
          <w:i/>
          <w:iCs/>
          <w:szCs w:val="24"/>
        </w:rPr>
        <w:t xml:space="preserve"> </w:t>
      </w:r>
      <w:r w:rsidRPr="00833CE8">
        <w:rPr>
          <w:rFonts w:cs="Times New Roman"/>
          <w:szCs w:val="24"/>
        </w:rPr>
        <w:t>including</w:t>
      </w:r>
      <w:r w:rsidRPr="00833CE8">
        <w:rPr>
          <w:rFonts w:cs="Times New Roman"/>
          <w:b/>
          <w:bCs/>
          <w:i/>
          <w:iCs/>
          <w:szCs w:val="24"/>
        </w:rPr>
        <w:t xml:space="preserve"> </w:t>
      </w:r>
      <w:r w:rsidRPr="00833CE8">
        <w:rPr>
          <w:rFonts w:cs="Times New Roman"/>
          <w:szCs w:val="24"/>
        </w:rPr>
        <w:t xml:space="preserve">IAA secretion.  </w:t>
      </w:r>
      <w:r w:rsidR="00592E1A">
        <w:rPr>
          <w:rFonts w:cs="Times New Roman"/>
          <w:szCs w:val="24"/>
        </w:rPr>
        <w:t xml:space="preserve"> </w:t>
      </w:r>
    </w:p>
    <w:p w14:paraId="08D02C76" w14:textId="77777777" w:rsidR="00654FC5" w:rsidRPr="00833CE8" w:rsidRDefault="00654FC5" w:rsidP="00646BFA">
      <w:pPr>
        <w:tabs>
          <w:tab w:val="center" w:pos="4822"/>
        </w:tabs>
        <w:snapToGrid w:val="0"/>
        <w:spacing w:line="360" w:lineRule="auto"/>
        <w:jc w:val="both"/>
        <w:rPr>
          <w:rFonts w:cs="Times New Roman"/>
          <w:b/>
          <w:bCs/>
          <w:szCs w:val="24"/>
        </w:rPr>
      </w:pPr>
      <w:r w:rsidRPr="00833CE8">
        <w:rPr>
          <w:b/>
          <w:bCs/>
          <w:noProof/>
        </w:rPr>
        <w:lastRenderedPageBreak/>
        <w:drawing>
          <wp:inline distT="0" distB="0" distL="0" distR="0" wp14:anchorId="3546502F" wp14:editId="19C3843D">
            <wp:extent cx="5943600" cy="4082415"/>
            <wp:effectExtent l="0" t="0" r="0" b="0"/>
            <wp:docPr id="1660168317" name="Picture 1" descr="A diagram of a chemical reac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168317" name="Picture 1" descr="A diagram of a chemical reaction&#10;&#10;Description automatically generated"/>
                    <pic:cNvPicPr/>
                  </pic:nvPicPr>
                  <pic:blipFill>
                    <a:blip r:embed="rId11"/>
                    <a:stretch>
                      <a:fillRect/>
                    </a:stretch>
                  </pic:blipFill>
                  <pic:spPr>
                    <a:xfrm>
                      <a:off x="0" y="0"/>
                      <a:ext cx="5943600" cy="4082415"/>
                    </a:xfrm>
                    <a:prstGeom prst="rect">
                      <a:avLst/>
                    </a:prstGeom>
                  </pic:spPr>
                </pic:pic>
              </a:graphicData>
            </a:graphic>
          </wp:inline>
        </w:drawing>
      </w:r>
    </w:p>
    <w:p w14:paraId="5F373054" w14:textId="77777777" w:rsidR="00646BFA" w:rsidRPr="00833CE8" w:rsidRDefault="00646BFA" w:rsidP="00646BFA">
      <w:pPr>
        <w:tabs>
          <w:tab w:val="center" w:pos="4822"/>
        </w:tabs>
        <w:snapToGrid w:val="0"/>
        <w:spacing w:line="240" w:lineRule="auto"/>
        <w:jc w:val="both"/>
        <w:rPr>
          <w:rFonts w:cs="Times New Roman"/>
          <w:b/>
          <w:bCs/>
          <w:szCs w:val="24"/>
        </w:rPr>
      </w:pPr>
    </w:p>
    <w:p w14:paraId="2A8F6A7D" w14:textId="45A56669" w:rsidR="00654FC5" w:rsidRPr="00833CE8" w:rsidRDefault="00935322" w:rsidP="001A3BAF">
      <w:pPr>
        <w:tabs>
          <w:tab w:val="center" w:pos="4822"/>
        </w:tabs>
        <w:snapToGrid w:val="0"/>
        <w:spacing w:line="276" w:lineRule="auto"/>
        <w:jc w:val="both"/>
        <w:rPr>
          <w:rFonts w:cs="Times New Roman"/>
          <w:b/>
          <w:bCs/>
          <w:szCs w:val="24"/>
        </w:rPr>
      </w:pPr>
      <w:r w:rsidRPr="00833CE8">
        <w:rPr>
          <w:rFonts w:cs="Times New Roman"/>
          <w:b/>
          <w:bCs/>
          <w:szCs w:val="24"/>
        </w:rPr>
        <w:t xml:space="preserve">Figure </w:t>
      </w:r>
      <w:r w:rsidR="003C30BB">
        <w:rPr>
          <w:rFonts w:cs="Times New Roman"/>
          <w:b/>
          <w:bCs/>
          <w:szCs w:val="24"/>
        </w:rPr>
        <w:t>4</w:t>
      </w:r>
      <w:r w:rsidRPr="00833CE8">
        <w:rPr>
          <w:rFonts w:cs="Times New Roman"/>
          <w:b/>
          <w:bCs/>
          <w:szCs w:val="24"/>
        </w:rPr>
        <w:t xml:space="preserve">. </w:t>
      </w:r>
      <w:r w:rsidR="00234889" w:rsidRPr="00833CE8">
        <w:rPr>
          <w:rFonts w:cs="Times New Roman"/>
          <w:b/>
          <w:bCs/>
          <w:szCs w:val="24"/>
        </w:rPr>
        <w:t xml:space="preserve"> </w:t>
      </w:r>
      <w:r w:rsidR="00F03581" w:rsidRPr="00833CE8">
        <w:rPr>
          <w:rFonts w:cs="Times New Roman"/>
          <w:szCs w:val="24"/>
        </w:rPr>
        <w:t xml:space="preserve">Model of interactions between the diatom </w:t>
      </w:r>
      <w:r w:rsidR="00F03581" w:rsidRPr="00833CE8">
        <w:rPr>
          <w:rFonts w:cs="Times New Roman"/>
          <w:i/>
          <w:iCs/>
          <w:szCs w:val="24"/>
        </w:rPr>
        <w:t>Pseudo-</w:t>
      </w:r>
      <w:proofErr w:type="spellStart"/>
      <w:r w:rsidR="00F03581" w:rsidRPr="00833CE8">
        <w:rPr>
          <w:rFonts w:cs="Times New Roman"/>
          <w:i/>
          <w:iCs/>
          <w:szCs w:val="24"/>
        </w:rPr>
        <w:t>nitzschia</w:t>
      </w:r>
      <w:proofErr w:type="spellEnd"/>
      <w:r w:rsidR="00F03581" w:rsidRPr="00833CE8">
        <w:rPr>
          <w:rFonts w:cs="Times New Roman"/>
          <w:szCs w:val="24"/>
        </w:rPr>
        <w:t xml:space="preserve"> spp. and </w:t>
      </w:r>
      <w:proofErr w:type="spellStart"/>
      <w:r w:rsidR="00F03581" w:rsidRPr="00833CE8">
        <w:rPr>
          <w:rFonts w:cs="Times New Roman"/>
          <w:i/>
          <w:iCs/>
          <w:szCs w:val="24"/>
        </w:rPr>
        <w:t>Sulfitobacter</w:t>
      </w:r>
      <w:proofErr w:type="spellEnd"/>
      <w:r w:rsidR="00F03581" w:rsidRPr="00833CE8">
        <w:rPr>
          <w:rFonts w:cs="Times New Roman"/>
          <w:b/>
          <w:bCs/>
          <w:i/>
          <w:iCs/>
          <w:szCs w:val="24"/>
        </w:rPr>
        <w:t xml:space="preserve"> </w:t>
      </w:r>
      <w:r w:rsidR="00F03581" w:rsidRPr="00833CE8">
        <w:rPr>
          <w:rFonts w:cs="Times New Roman"/>
          <w:szCs w:val="24"/>
        </w:rPr>
        <w:t xml:space="preserve">identified from </w:t>
      </w:r>
      <w:r w:rsidRPr="00833CE8">
        <w:rPr>
          <w:rFonts w:cs="Times New Roman"/>
          <w:szCs w:val="24"/>
        </w:rPr>
        <w:t>transcriptomic</w:t>
      </w:r>
      <w:r w:rsidR="00F03581" w:rsidRPr="00833CE8">
        <w:rPr>
          <w:rFonts w:cs="Times New Roman"/>
          <w:szCs w:val="24"/>
        </w:rPr>
        <w:t>s</w:t>
      </w:r>
      <w:r w:rsidRPr="00833CE8">
        <w:rPr>
          <w:rFonts w:cs="Times New Roman"/>
          <w:szCs w:val="24"/>
        </w:rPr>
        <w:t xml:space="preserve"> and targeted metabol</w:t>
      </w:r>
      <w:r w:rsidR="00F03581" w:rsidRPr="00833CE8">
        <w:rPr>
          <w:rFonts w:cs="Times New Roman"/>
          <w:szCs w:val="24"/>
        </w:rPr>
        <w:t>omics</w:t>
      </w:r>
      <w:r w:rsidR="00F83D77">
        <w:rPr>
          <w:rFonts w:cs="Times New Roman"/>
          <w:szCs w:val="24"/>
        </w:rPr>
        <w:t xml:space="preserve">. </w:t>
      </w:r>
      <w:r w:rsidR="007A7A9F" w:rsidRPr="00833CE8">
        <w:rPr>
          <w:rFonts w:cs="Times New Roman"/>
          <w:b/>
          <w:bCs/>
          <w:szCs w:val="24"/>
        </w:rPr>
        <w:t xml:space="preserve"> </w:t>
      </w:r>
      <w:bookmarkStart w:id="16" w:name="_Hlk177487479"/>
      <w:r w:rsidR="00F83D77" w:rsidRPr="00F50D0B">
        <w:t xml:space="preserve">Reproduced from </w:t>
      </w:r>
      <w:r w:rsidR="00F83D77" w:rsidRPr="00833CE8">
        <w:rPr>
          <w:rFonts w:cs="Times New Roman"/>
          <w:b/>
          <w:bCs/>
          <w:szCs w:val="24"/>
        </w:rPr>
        <w:fldChar w:fldCharType="begin"/>
      </w:r>
      <w:r w:rsidR="00F83D77" w:rsidRPr="00833CE8">
        <w:rPr>
          <w:rFonts w:cs="Times New Roman"/>
          <w:b/>
          <w:bCs/>
          <w:szCs w:val="24"/>
        </w:rPr>
        <w:instrText xml:space="preserve"> ADDIN ZOTERO_ITEM CSL_CITATION {"citationID":"4Nvc4S6k","properties":{"formattedCitation":"(Amin et al., 2015)","plainCitation":"(Amin et al., 2015)","noteIndex":0},"citationItems":[{"id":4529,"uris":["http://zotero.org/users/764524/items/8WMS58CS"],"itemData":{"id":4529,"type":"article-journal","abstract":"Molecular characterization of interactions between a globally distributed marine diatom and its bacterial consortium.","container-title":"Nature","DOI":"10.1038/nature14488","ISSN":"1476-4687","issue":"7554","language":"en","license":"2015 Springer Nature Limited","note":"publisher: Nature Publishing Group","page":"98-101","source":"www.nature.com","title":"Interaction and signalling between a cosmopolitan phytoplankton and associated bacteria","volume":"522","author":[{"family":"Amin","given":"S. A."},{"family":"Hmelo","given":"L. R."},{"family":"Tol","given":"H. M.","non-dropping-particle":"van"},{"family":"Durham","given":"B. P."},{"family":"Carlson","given":"L. T."},{"family":"Heal","given":"K. R."},{"family":"Morales","given":"R. L."},{"family":"Berthiaume","given":"C. T."},{"family":"Parker","given":"M. S."},{"family":"Djunaedi","given":"B."},{"family":"Ingalls","given":"A. E."},{"family":"Parsek","given":"M. R."},{"family":"Moran","given":"M. A."},{"family":"Armbrust","given":"E. V."}],"issued":{"date-parts":[["2015",6]]}}}],"schema":"https://github.com/citation-style-language/schema/raw/master/csl-citation.json"} </w:instrText>
      </w:r>
      <w:r w:rsidR="00F83D77" w:rsidRPr="00833CE8">
        <w:rPr>
          <w:rFonts w:cs="Times New Roman"/>
          <w:b/>
          <w:bCs/>
          <w:szCs w:val="24"/>
        </w:rPr>
        <w:fldChar w:fldCharType="separate"/>
      </w:r>
      <w:r w:rsidR="00F83D77" w:rsidRPr="00833CE8">
        <w:rPr>
          <w:rFonts w:cs="Times New Roman"/>
        </w:rPr>
        <w:t>(Amin et al., 2015)</w:t>
      </w:r>
      <w:r w:rsidR="00F83D77" w:rsidRPr="00833CE8">
        <w:rPr>
          <w:rFonts w:cs="Times New Roman"/>
          <w:b/>
          <w:bCs/>
          <w:szCs w:val="24"/>
        </w:rPr>
        <w:fldChar w:fldCharType="end"/>
      </w:r>
      <w:r w:rsidR="00F83D77" w:rsidRPr="00F50D0B">
        <w:rPr>
          <w:color w:val="FF0000"/>
        </w:rPr>
        <w:t xml:space="preserve"> </w:t>
      </w:r>
      <w:r w:rsidR="00F83D77" w:rsidRPr="00F50D0B">
        <w:t>with permission from Springer Nature</w:t>
      </w:r>
      <w:bookmarkEnd w:id="16"/>
      <w:r w:rsidR="007A7A9F" w:rsidRPr="00833CE8">
        <w:rPr>
          <w:rFonts w:cs="Times New Roman"/>
          <w:szCs w:val="24"/>
        </w:rPr>
        <w:t>.</w:t>
      </w:r>
      <w:r w:rsidR="00F03581" w:rsidRPr="00833CE8">
        <w:rPr>
          <w:rFonts w:cs="Times New Roman"/>
          <w:b/>
          <w:bCs/>
          <w:szCs w:val="24"/>
        </w:rPr>
        <w:t xml:space="preserve"> </w:t>
      </w:r>
    </w:p>
    <w:p w14:paraId="276552FE" w14:textId="77777777" w:rsidR="00276443" w:rsidRPr="00833CE8" w:rsidRDefault="00276443" w:rsidP="00C31A9C">
      <w:pPr>
        <w:tabs>
          <w:tab w:val="center" w:pos="4822"/>
        </w:tabs>
        <w:snapToGrid w:val="0"/>
        <w:spacing w:line="360" w:lineRule="auto"/>
        <w:jc w:val="center"/>
        <w:rPr>
          <w:rFonts w:cs="Times New Roman"/>
          <w:b/>
          <w:bCs/>
          <w:szCs w:val="24"/>
        </w:rPr>
      </w:pPr>
    </w:p>
    <w:p w14:paraId="35AF09E6" w14:textId="58310B21" w:rsidR="00347924" w:rsidRDefault="00687D7A" w:rsidP="00276443">
      <w:pPr>
        <w:tabs>
          <w:tab w:val="center" w:pos="4822"/>
        </w:tabs>
        <w:snapToGrid w:val="0"/>
        <w:spacing w:line="360" w:lineRule="auto"/>
        <w:ind w:firstLine="284"/>
        <w:jc w:val="both"/>
        <w:rPr>
          <w:rFonts w:cs="Times New Roman"/>
          <w:b/>
          <w:bCs/>
          <w:szCs w:val="24"/>
        </w:rPr>
      </w:pPr>
      <w:r w:rsidRPr="00833CE8">
        <w:rPr>
          <w:rFonts w:cs="Times New Roman"/>
          <w:szCs w:val="24"/>
        </w:rPr>
        <w:t xml:space="preserve">IAA signalling can also lead to a </w:t>
      </w:r>
      <w:r w:rsidR="00FB21E7" w:rsidRPr="00833CE8">
        <w:rPr>
          <w:rFonts w:cs="Times New Roman"/>
          <w:szCs w:val="24"/>
        </w:rPr>
        <w:t>positive feedback loop</w:t>
      </w:r>
      <w:r w:rsidR="004A1A24" w:rsidRPr="00833CE8">
        <w:rPr>
          <w:rFonts w:cs="Times New Roman"/>
          <w:szCs w:val="24"/>
        </w:rPr>
        <w:t xml:space="preserve"> as the microalga produces more tryptophan as a substrate for the bacterial synthesis of IAA</w:t>
      </w:r>
      <w:r w:rsidRPr="00833CE8">
        <w:rPr>
          <w:rFonts w:cs="Times New Roman"/>
          <w:szCs w:val="24"/>
        </w:rPr>
        <w:t xml:space="preserve"> </w:t>
      </w:r>
      <w:bookmarkStart w:id="17" w:name="_Hlk176776221"/>
      <w:r w:rsidRPr="00833CE8">
        <w:rPr>
          <w:rFonts w:cs="Times New Roman"/>
          <w:b/>
          <w:bCs/>
          <w:szCs w:val="24"/>
        </w:rPr>
        <w:fldChar w:fldCharType="begin"/>
      </w:r>
      <w:r w:rsidR="009F150C" w:rsidRPr="00833CE8">
        <w:rPr>
          <w:rFonts w:cs="Times New Roman"/>
          <w:b/>
          <w:bCs/>
          <w:szCs w:val="24"/>
        </w:rPr>
        <w:instrText xml:space="preserve"> ADDIN ZOTERO_ITEM CSL_CITATION {"citationID":"kJLGpA6q","properties":{"formattedCitation":"(Amin et al., 2015)","plainCitation":"(Amin et al., 2015)","noteIndex":0},"citationItems":[{"id":4529,"uris":["http://zotero.org/users/764524/items/8WMS58CS"],"itemData":{"id":4529,"type":"article-journal","abstract":"Molecular characterization of interactions between a globally distributed marine diatom and its bacterial consortium.","container-title":"Nature","DOI":"10.1038/nature14488","ISSN":"1476-4687","issue":"7554","language":"en","license":"2015 Springer Nature Limited","note":"publisher: Nature Publishing Group","page":"98-101","source":"www.nature.com","title":"Interaction and signalling between a cosmopolitan phytoplankton and associated bacteria","volume":"522","author":[{"family":"Amin","given":"S. A."},{"family":"Hmelo","given":"L. R."},{"family":"Tol","given":"H. M.","non-dropping-particle":"van"},{"family":"Durham","given":"B. P."},{"family":"Carlson","given":"L. T."},{"family":"Heal","given":"K. R."},{"family":"Morales","given":"R. L."},{"family":"Berthiaume","given":"C. T."},{"family":"Parker","given":"M. S."},{"family":"Djunaedi","given":"B."},{"family":"Ingalls","given":"A. E."},{"family":"Parsek","given":"M. R."},{"family":"Moran","given":"M. A."},{"family":"Armbrust","given":"E. V."}],"issued":{"date-parts":[["2015",6]]}}}],"schema":"https://github.com/citation-style-language/schema/raw/master/csl-citation.json"} </w:instrText>
      </w:r>
      <w:r w:rsidRPr="00833CE8">
        <w:rPr>
          <w:rFonts w:cs="Times New Roman"/>
          <w:b/>
          <w:bCs/>
          <w:szCs w:val="24"/>
        </w:rPr>
        <w:fldChar w:fldCharType="separate"/>
      </w:r>
      <w:r w:rsidR="009F150C" w:rsidRPr="00833CE8">
        <w:rPr>
          <w:rFonts w:cs="Times New Roman"/>
        </w:rPr>
        <w:t>(Amin et al., 2015)</w:t>
      </w:r>
      <w:r w:rsidRPr="00833CE8">
        <w:rPr>
          <w:rFonts w:cs="Times New Roman"/>
          <w:b/>
          <w:bCs/>
          <w:szCs w:val="24"/>
        </w:rPr>
        <w:fldChar w:fldCharType="end"/>
      </w:r>
      <w:bookmarkEnd w:id="17"/>
      <w:r w:rsidR="004A1A24" w:rsidRPr="00833CE8">
        <w:rPr>
          <w:rFonts w:cs="Times New Roman"/>
          <w:szCs w:val="24"/>
        </w:rPr>
        <w:t>.</w:t>
      </w:r>
      <w:r w:rsidR="00307E35" w:rsidRPr="00833CE8">
        <w:rPr>
          <w:rFonts w:cs="Times New Roman"/>
          <w:b/>
          <w:bCs/>
          <w:szCs w:val="24"/>
        </w:rPr>
        <w:t xml:space="preserve">  </w:t>
      </w:r>
      <w:r w:rsidR="00307E35" w:rsidRPr="00833CE8">
        <w:rPr>
          <w:rFonts w:cs="Times New Roman"/>
          <w:szCs w:val="24"/>
        </w:rPr>
        <w:t>IAA a</w:t>
      </w:r>
      <w:r w:rsidR="00BE49B8" w:rsidRPr="00833CE8">
        <w:rPr>
          <w:rFonts w:cs="Times New Roman"/>
          <w:szCs w:val="24"/>
        </w:rPr>
        <w:t xml:space="preserve">lso affects </w:t>
      </w:r>
      <w:r w:rsidR="00052F8B" w:rsidRPr="00833CE8">
        <w:rPr>
          <w:rFonts w:cs="Times New Roman"/>
          <w:szCs w:val="24"/>
        </w:rPr>
        <w:t>cyclins</w:t>
      </w:r>
      <w:r w:rsidR="00BE49B8" w:rsidRPr="00833CE8">
        <w:rPr>
          <w:rFonts w:cs="Times New Roman"/>
          <w:szCs w:val="24"/>
        </w:rPr>
        <w:t xml:space="preserve">, which </w:t>
      </w:r>
      <w:r w:rsidR="0037188D" w:rsidRPr="00833CE8">
        <w:rPr>
          <w:rFonts w:cs="Times New Roman"/>
          <w:szCs w:val="24"/>
        </w:rPr>
        <w:t xml:space="preserve">regulate </w:t>
      </w:r>
      <w:r w:rsidR="00BE49B8" w:rsidRPr="00833CE8">
        <w:rPr>
          <w:rFonts w:cs="Times New Roman"/>
          <w:szCs w:val="24"/>
        </w:rPr>
        <w:t xml:space="preserve">the </w:t>
      </w:r>
      <w:r w:rsidR="0037188D" w:rsidRPr="00833CE8">
        <w:rPr>
          <w:rFonts w:cs="Times New Roman"/>
          <w:szCs w:val="24"/>
        </w:rPr>
        <w:t>cell cycle</w:t>
      </w:r>
      <w:r w:rsidR="00BE49B8" w:rsidRPr="00833CE8">
        <w:rPr>
          <w:rFonts w:cs="Times New Roman"/>
          <w:szCs w:val="24"/>
        </w:rPr>
        <w:t>.</w:t>
      </w:r>
      <w:r w:rsidR="00BE49B8" w:rsidRPr="00833CE8">
        <w:rPr>
          <w:rFonts w:cs="Times New Roman"/>
          <w:b/>
          <w:bCs/>
          <w:szCs w:val="24"/>
        </w:rPr>
        <w:t xml:space="preserve"> </w:t>
      </w:r>
      <w:r w:rsidR="00307E35" w:rsidRPr="00833CE8">
        <w:rPr>
          <w:rFonts w:cs="Times New Roman"/>
          <w:szCs w:val="24"/>
        </w:rPr>
        <w:t xml:space="preserve"> </w:t>
      </w:r>
      <w:r w:rsidR="00486E53" w:rsidRPr="00833CE8">
        <w:rPr>
          <w:rFonts w:cs="Times New Roman"/>
          <w:szCs w:val="24"/>
        </w:rPr>
        <w:t xml:space="preserve">Fewer gene transcripts were found for enzymes in the </w:t>
      </w:r>
      <w:r w:rsidR="00F21F11" w:rsidRPr="00833CE8">
        <w:rPr>
          <w:rFonts w:cs="Times New Roman"/>
          <w:szCs w:val="24"/>
        </w:rPr>
        <w:t xml:space="preserve">TCA cycle in microalgae but </w:t>
      </w:r>
      <w:r w:rsidR="00486E53" w:rsidRPr="00833CE8">
        <w:rPr>
          <w:rFonts w:cs="Times New Roman"/>
          <w:szCs w:val="24"/>
        </w:rPr>
        <w:t xml:space="preserve">an </w:t>
      </w:r>
      <w:r w:rsidR="00F21F11" w:rsidRPr="00833CE8">
        <w:rPr>
          <w:rFonts w:cs="Times New Roman"/>
          <w:szCs w:val="24"/>
        </w:rPr>
        <w:t xml:space="preserve">increase of photosynthesis-associated gene transcripts </w:t>
      </w:r>
      <w:r w:rsidR="00F21F11" w:rsidRPr="00833CE8">
        <w:t>(</w:t>
      </w:r>
      <w:r w:rsidR="00F21F11" w:rsidRPr="00833CE8">
        <w:rPr>
          <w:rFonts w:cs="Times New Roman"/>
          <w:szCs w:val="24"/>
        </w:rPr>
        <w:t>photosystem II (</w:t>
      </w:r>
      <w:proofErr w:type="spellStart"/>
      <w:r w:rsidR="00F21F11" w:rsidRPr="00833CE8">
        <w:rPr>
          <w:rFonts w:cs="Times New Roman"/>
          <w:i/>
          <w:iCs/>
          <w:szCs w:val="24"/>
        </w:rPr>
        <w:t>psbB</w:t>
      </w:r>
      <w:proofErr w:type="spellEnd"/>
      <w:r w:rsidR="00F21F11" w:rsidRPr="00833CE8">
        <w:rPr>
          <w:rFonts w:cs="Times New Roman"/>
          <w:szCs w:val="24"/>
        </w:rPr>
        <w:t>), light-harvesting proteins (</w:t>
      </w:r>
      <w:r w:rsidR="00F21F11" w:rsidRPr="00833CE8">
        <w:rPr>
          <w:rFonts w:cs="Times New Roman"/>
          <w:i/>
          <w:iCs/>
          <w:szCs w:val="24"/>
        </w:rPr>
        <w:t>LHCA4</w:t>
      </w:r>
      <w:r w:rsidR="00F21F11" w:rsidRPr="00833CE8">
        <w:rPr>
          <w:rFonts w:cs="Times New Roman"/>
          <w:szCs w:val="24"/>
        </w:rPr>
        <w:t xml:space="preserve">, </w:t>
      </w:r>
      <w:r w:rsidR="00F21F11" w:rsidRPr="00833CE8">
        <w:rPr>
          <w:rFonts w:cs="Times New Roman"/>
          <w:i/>
          <w:iCs/>
          <w:szCs w:val="24"/>
        </w:rPr>
        <w:t>LHCF4</w:t>
      </w:r>
      <w:r w:rsidR="00F21F11" w:rsidRPr="00833CE8">
        <w:rPr>
          <w:rFonts w:cs="Times New Roman"/>
          <w:szCs w:val="24"/>
        </w:rPr>
        <w:t>), fucoxanthin</w:t>
      </w:r>
      <w:r w:rsidR="00486E53" w:rsidRPr="00833CE8">
        <w:rPr>
          <w:rFonts w:cs="Times New Roman"/>
          <w:szCs w:val="24"/>
        </w:rPr>
        <w:t>, and enzymes in the Calvin cycle were instead observed</w:t>
      </w:r>
      <w:r w:rsidR="004A1A24" w:rsidRPr="00833CE8">
        <w:rPr>
          <w:rFonts w:cs="Times New Roman"/>
          <w:szCs w:val="24"/>
        </w:rPr>
        <w:t>.  This suggests that</w:t>
      </w:r>
      <w:r w:rsidR="00486E53" w:rsidRPr="00833CE8">
        <w:rPr>
          <w:rFonts w:cs="Times New Roman"/>
          <w:szCs w:val="24"/>
        </w:rPr>
        <w:t xml:space="preserve"> IAA </w:t>
      </w:r>
      <w:r w:rsidR="003D6320" w:rsidRPr="00833CE8">
        <w:rPr>
          <w:rFonts w:cs="Times New Roman"/>
          <w:szCs w:val="24"/>
        </w:rPr>
        <w:t xml:space="preserve">enhanced </w:t>
      </w:r>
      <w:r w:rsidR="00486E53" w:rsidRPr="00833CE8">
        <w:rPr>
          <w:rFonts w:cs="Times New Roman"/>
          <w:szCs w:val="24"/>
        </w:rPr>
        <w:t xml:space="preserve">carbon </w:t>
      </w:r>
      <w:r w:rsidR="003D6320" w:rsidRPr="00833CE8">
        <w:rPr>
          <w:rFonts w:cs="Times New Roman"/>
          <w:szCs w:val="24"/>
        </w:rPr>
        <w:t>fixation instead of cellular respiration</w:t>
      </w:r>
      <w:r w:rsidR="001A2808" w:rsidRPr="00833CE8">
        <w:rPr>
          <w:rFonts w:cs="Times New Roman"/>
          <w:szCs w:val="24"/>
        </w:rPr>
        <w:t xml:space="preserve">.  </w:t>
      </w:r>
      <w:r w:rsidR="004A1A24" w:rsidRPr="00833CE8">
        <w:rPr>
          <w:rFonts w:cs="Times New Roman"/>
          <w:szCs w:val="24"/>
        </w:rPr>
        <w:t>On the other hand,</w:t>
      </w:r>
      <w:r w:rsidR="004A1A24" w:rsidRPr="00833CE8">
        <w:rPr>
          <w:rFonts w:cs="Times New Roman"/>
          <w:b/>
          <w:bCs/>
          <w:szCs w:val="24"/>
        </w:rPr>
        <w:t xml:space="preserve"> </w:t>
      </w:r>
      <w:r w:rsidR="00486E53" w:rsidRPr="00833CE8">
        <w:rPr>
          <w:rFonts w:cs="Times New Roman"/>
          <w:szCs w:val="24"/>
        </w:rPr>
        <w:t xml:space="preserve">additional transcripts involved in </w:t>
      </w:r>
      <w:r w:rsidR="004A1A24" w:rsidRPr="00833CE8">
        <w:rPr>
          <w:rFonts w:cs="Times New Roman"/>
          <w:szCs w:val="24"/>
        </w:rPr>
        <w:t xml:space="preserve">uptake </w:t>
      </w:r>
      <w:r w:rsidR="00486E53" w:rsidRPr="00833CE8">
        <w:rPr>
          <w:rFonts w:cs="Times New Roman"/>
          <w:szCs w:val="24"/>
        </w:rPr>
        <w:t xml:space="preserve">of taurine </w:t>
      </w:r>
      <w:r w:rsidR="004A1A24" w:rsidRPr="00833CE8">
        <w:rPr>
          <w:rFonts w:cs="Times New Roman"/>
          <w:szCs w:val="24"/>
        </w:rPr>
        <w:t>(</w:t>
      </w:r>
      <w:proofErr w:type="spellStart"/>
      <w:r w:rsidR="004A1A24" w:rsidRPr="00833CE8">
        <w:rPr>
          <w:rFonts w:cs="Times New Roman"/>
          <w:i/>
          <w:iCs/>
          <w:szCs w:val="24"/>
        </w:rPr>
        <w:t>tauABC</w:t>
      </w:r>
      <w:proofErr w:type="spellEnd"/>
      <w:r w:rsidR="004A1A24" w:rsidRPr="00833CE8">
        <w:rPr>
          <w:rFonts w:cs="Times New Roman"/>
          <w:szCs w:val="24"/>
        </w:rPr>
        <w:t>) and catabolism to acetate (</w:t>
      </w:r>
      <w:proofErr w:type="spellStart"/>
      <w:r w:rsidR="004A1A24" w:rsidRPr="00833CE8">
        <w:rPr>
          <w:rFonts w:cs="Times New Roman"/>
          <w:i/>
          <w:iCs/>
          <w:szCs w:val="24"/>
        </w:rPr>
        <w:t>tpa</w:t>
      </w:r>
      <w:proofErr w:type="spellEnd"/>
      <w:r w:rsidR="004A1A24" w:rsidRPr="00833CE8">
        <w:rPr>
          <w:rFonts w:cs="Times New Roman"/>
          <w:szCs w:val="24"/>
        </w:rPr>
        <w:t xml:space="preserve">, </w:t>
      </w:r>
      <w:proofErr w:type="spellStart"/>
      <w:r w:rsidR="004A1A24" w:rsidRPr="00833CE8">
        <w:rPr>
          <w:rFonts w:cs="Times New Roman"/>
          <w:i/>
          <w:iCs/>
          <w:szCs w:val="24"/>
        </w:rPr>
        <w:t>xsc</w:t>
      </w:r>
      <w:proofErr w:type="spellEnd"/>
      <w:r w:rsidR="004A1A24" w:rsidRPr="00833CE8">
        <w:rPr>
          <w:rFonts w:cs="Times New Roman"/>
          <w:szCs w:val="24"/>
        </w:rPr>
        <w:t xml:space="preserve">, </w:t>
      </w:r>
      <w:proofErr w:type="spellStart"/>
      <w:r w:rsidR="004A1A24" w:rsidRPr="00833CE8">
        <w:rPr>
          <w:rFonts w:cs="Times New Roman"/>
          <w:i/>
          <w:iCs/>
          <w:szCs w:val="24"/>
        </w:rPr>
        <w:t>ackA</w:t>
      </w:r>
      <w:proofErr w:type="spellEnd"/>
      <w:r w:rsidR="004A1A24" w:rsidRPr="00833CE8">
        <w:rPr>
          <w:rFonts w:cs="Times New Roman"/>
          <w:szCs w:val="24"/>
        </w:rPr>
        <w:t>)</w:t>
      </w:r>
      <w:r w:rsidR="00486E53" w:rsidRPr="00833CE8">
        <w:rPr>
          <w:rFonts w:cs="Times New Roman"/>
          <w:szCs w:val="24"/>
        </w:rPr>
        <w:t xml:space="preserve"> were detected</w:t>
      </w:r>
      <w:r w:rsidR="00ED3E1A" w:rsidRPr="00833CE8">
        <w:rPr>
          <w:rFonts w:cs="Times New Roman"/>
          <w:szCs w:val="24"/>
        </w:rPr>
        <w:t>.  Acetate can then</w:t>
      </w:r>
      <w:r w:rsidR="004A1A24" w:rsidRPr="00833CE8">
        <w:rPr>
          <w:rFonts w:cs="Times New Roman"/>
          <w:szCs w:val="24"/>
        </w:rPr>
        <w:t xml:space="preserve"> feed into the </w:t>
      </w:r>
      <w:r w:rsidR="00486E53" w:rsidRPr="00833CE8">
        <w:rPr>
          <w:rFonts w:cs="Times New Roman"/>
          <w:szCs w:val="24"/>
        </w:rPr>
        <w:t xml:space="preserve">citric acid </w:t>
      </w:r>
      <w:r w:rsidR="004A1A24" w:rsidRPr="00833CE8">
        <w:rPr>
          <w:rFonts w:cs="Times New Roman"/>
          <w:szCs w:val="24"/>
        </w:rPr>
        <w:t>cycle</w:t>
      </w:r>
      <w:r w:rsidR="00ED3E1A" w:rsidRPr="00833CE8">
        <w:rPr>
          <w:rFonts w:cs="Times New Roman"/>
          <w:szCs w:val="24"/>
        </w:rPr>
        <w:t>, resulting in</w:t>
      </w:r>
      <w:r w:rsidR="004A1A24" w:rsidRPr="00833CE8">
        <w:rPr>
          <w:rFonts w:cs="Times New Roman"/>
          <w:szCs w:val="24"/>
        </w:rPr>
        <w:t xml:space="preserve"> increased </w:t>
      </w:r>
      <w:r w:rsidR="00ED3E1A" w:rsidRPr="00833CE8">
        <w:rPr>
          <w:rFonts w:cs="Times New Roman"/>
          <w:szCs w:val="24"/>
        </w:rPr>
        <w:t>metaboli</w:t>
      </w:r>
      <w:r w:rsidR="002B11EA">
        <w:rPr>
          <w:rFonts w:cs="Times New Roman"/>
          <w:szCs w:val="24"/>
        </w:rPr>
        <w:t>c activity</w:t>
      </w:r>
      <w:r w:rsidR="00ED3E1A" w:rsidRPr="00833CE8">
        <w:rPr>
          <w:rFonts w:cs="Times New Roman"/>
          <w:szCs w:val="24"/>
        </w:rPr>
        <w:t xml:space="preserve"> </w:t>
      </w:r>
      <w:r w:rsidR="004A1A24" w:rsidRPr="00833CE8">
        <w:rPr>
          <w:rFonts w:cs="Times New Roman"/>
          <w:szCs w:val="24"/>
        </w:rPr>
        <w:t>in bacteria.</w:t>
      </w:r>
      <w:r w:rsidR="004A1A24" w:rsidRPr="00833CE8">
        <w:rPr>
          <w:rFonts w:cs="Times New Roman"/>
          <w:b/>
          <w:bCs/>
          <w:szCs w:val="24"/>
        </w:rPr>
        <w:t xml:space="preserve">  </w:t>
      </w:r>
    </w:p>
    <w:p w14:paraId="5894A552" w14:textId="77777777" w:rsidR="004B2582" w:rsidRPr="00833CE8" w:rsidRDefault="004B2582" w:rsidP="00276443">
      <w:pPr>
        <w:tabs>
          <w:tab w:val="center" w:pos="4822"/>
        </w:tabs>
        <w:snapToGrid w:val="0"/>
        <w:spacing w:line="360" w:lineRule="auto"/>
        <w:ind w:firstLine="284"/>
        <w:jc w:val="both"/>
        <w:rPr>
          <w:rFonts w:cs="Times New Roman"/>
          <w:b/>
          <w:bCs/>
          <w:szCs w:val="24"/>
        </w:rPr>
      </w:pPr>
    </w:p>
    <w:p w14:paraId="3E50C279" w14:textId="7C425BA7" w:rsidR="006C2F47" w:rsidRDefault="006C2F47" w:rsidP="00C31A9C">
      <w:pPr>
        <w:tabs>
          <w:tab w:val="center" w:pos="4822"/>
        </w:tabs>
        <w:snapToGrid w:val="0"/>
        <w:spacing w:line="360" w:lineRule="auto"/>
        <w:ind w:firstLine="284"/>
        <w:jc w:val="both"/>
        <w:rPr>
          <w:rFonts w:cs="Times New Roman"/>
          <w:szCs w:val="24"/>
        </w:rPr>
      </w:pPr>
      <w:r w:rsidRPr="00833CE8">
        <w:rPr>
          <w:rFonts w:cs="Times New Roman"/>
          <w:szCs w:val="24"/>
        </w:rPr>
        <w:lastRenderedPageBreak/>
        <w:t xml:space="preserve">Another </w:t>
      </w:r>
      <w:r w:rsidR="003C31FC" w:rsidRPr="00833CE8">
        <w:rPr>
          <w:rFonts w:cs="Times New Roman"/>
          <w:szCs w:val="24"/>
        </w:rPr>
        <w:t>auxin</w:t>
      </w:r>
      <w:r w:rsidRPr="00833CE8">
        <w:rPr>
          <w:rFonts w:cs="Times New Roman"/>
          <w:szCs w:val="24"/>
        </w:rPr>
        <w:t xml:space="preserve"> that can promote microalgae growth is phenylacetic acid (PAA), </w:t>
      </w:r>
      <w:r w:rsidR="00394FE4">
        <w:rPr>
          <w:rFonts w:cs="Times New Roman"/>
          <w:szCs w:val="24"/>
        </w:rPr>
        <w:t xml:space="preserve">the anion form of </w:t>
      </w:r>
      <w:r w:rsidRPr="00833CE8">
        <w:rPr>
          <w:rFonts w:cs="Times New Roman"/>
          <w:szCs w:val="24"/>
        </w:rPr>
        <w:t xml:space="preserve">which </w:t>
      </w:r>
      <w:r w:rsidR="00394FE4">
        <w:rPr>
          <w:rFonts w:cs="Times New Roman"/>
          <w:szCs w:val="24"/>
        </w:rPr>
        <w:t xml:space="preserve">is </w:t>
      </w:r>
      <w:r w:rsidRPr="00833CE8">
        <w:rPr>
          <w:rFonts w:cs="Times New Roman"/>
          <w:szCs w:val="24"/>
        </w:rPr>
        <w:t>phenylacetate.  In addition, PAA has been demonstrated to be an intermediate metabolite involved in the degradation of aromatic compounds in bacteria</w:t>
      </w:r>
      <w:r w:rsidR="007A7A9F" w:rsidRPr="00833CE8">
        <w:rPr>
          <w:rFonts w:cs="Times New Roman"/>
          <w:szCs w:val="24"/>
        </w:rPr>
        <w:t xml:space="preserve"> </w:t>
      </w:r>
      <w:r w:rsidRPr="00833CE8">
        <w:rPr>
          <w:rFonts w:cs="Times New Roman"/>
          <w:szCs w:val="24"/>
        </w:rPr>
        <w:fldChar w:fldCharType="begin"/>
      </w:r>
      <w:r w:rsidR="009F150C" w:rsidRPr="00833CE8">
        <w:rPr>
          <w:rFonts w:cs="Times New Roman"/>
          <w:szCs w:val="24"/>
        </w:rPr>
        <w:instrText xml:space="preserve"> ADDIN ZOTERO_ITEM CSL_CITATION {"citationID":"vzQEhfMA","properties":{"formattedCitation":"(Jiao et al., 2022)","plainCitation":"(Jiao et al., 2022)","noteIndex":0},"citationItems":[{"id":4568,"uris":["http://zotero.org/users/764524/items/SZLTCPL3"],"itemData":{"id":4568,"type":"article-journal","abstract":"Phenylacetic acid (PAA) is a central intermediate metabolite involved in bacterial degradation of aromatic components. The bacterial PAA pathway mainly contains 12 enzymes and a transcriptional regulator, which are involved in biofilm formation and antimicrobial activity. They are present in approximately 16% of the sequenced bacterial genome. In this review, we have summarized the PAA distribution in microbes, recent structural and functional study progress of the enzyme families of the bacterial PAA pathway, and their role in bacterial pathogenicity and antibiotic resistance. The enzymes of the bacterial PAA pathway have shown potential as an antimicrobial drug target for biotechnological applications in metabolic engineering.","container-title":"Frontiers in Microbiology","DOI":"10.3389/fmicb.2022.964019","ISSN":"1664-302X","journalAbbreviation":"Front. Microbiol.","note":"PMID: 36160191\nPMCID: PMC9493321","page":"964019","source":"PubMed Central","title":"Progress in structural and functional study of the bacterial phenylacetic acid catabolic pathway, its role in pathogenicity and antibiotic resistance","volume":"13","author":[{"family":"Jiao","given":"Min"},{"family":"He","given":"Wenbo"},{"family":"Ouyang","given":"Zhenlin"},{"family":"Shi","given":"Qindong"},{"family":"Wen","given":"Yurong"}],"issued":{"date-parts":[["2022",9,8]]}}}],"schema":"https://github.com/citation-style-language/schema/raw/master/csl-citation.json"} </w:instrText>
      </w:r>
      <w:r w:rsidRPr="00833CE8">
        <w:rPr>
          <w:rFonts w:cs="Times New Roman"/>
          <w:szCs w:val="24"/>
        </w:rPr>
        <w:fldChar w:fldCharType="separate"/>
      </w:r>
      <w:r w:rsidR="009F150C" w:rsidRPr="00833CE8">
        <w:rPr>
          <w:rFonts w:cs="Times New Roman"/>
        </w:rPr>
        <w:t>(Jiao et al., 2022)</w:t>
      </w:r>
      <w:r w:rsidRPr="00833CE8">
        <w:rPr>
          <w:rFonts w:cs="Times New Roman"/>
          <w:szCs w:val="24"/>
        </w:rPr>
        <w:fldChar w:fldCharType="end"/>
      </w:r>
      <w:r w:rsidR="007A7A9F" w:rsidRPr="00833CE8">
        <w:rPr>
          <w:rFonts w:cs="Times New Roman"/>
          <w:szCs w:val="24"/>
        </w:rPr>
        <w:t>.</w:t>
      </w:r>
      <w:r w:rsidRPr="00833CE8">
        <w:rPr>
          <w:rFonts w:cs="Times New Roman"/>
          <w:b/>
          <w:bCs/>
          <w:szCs w:val="24"/>
        </w:rPr>
        <w:t xml:space="preserve">  </w:t>
      </w:r>
      <w:r w:rsidRPr="00833CE8">
        <w:rPr>
          <w:rFonts w:cs="Times New Roman"/>
          <w:szCs w:val="24"/>
        </w:rPr>
        <w:t xml:space="preserve">However, the PAA catabolism pathway is also connected to </w:t>
      </w:r>
      <w:r w:rsidR="00C86215">
        <w:rPr>
          <w:rFonts w:cs="Times New Roman"/>
          <w:szCs w:val="24"/>
        </w:rPr>
        <w:t>QS</w:t>
      </w:r>
      <w:r w:rsidRPr="00833CE8">
        <w:rPr>
          <w:rFonts w:cs="Times New Roman"/>
          <w:szCs w:val="24"/>
        </w:rPr>
        <w:t xml:space="preserve"> as well as development of antibiotic resistance</w:t>
      </w:r>
      <w:r w:rsidR="007A7A9F" w:rsidRPr="00833CE8">
        <w:rPr>
          <w:rFonts w:cs="Times New Roman"/>
          <w:szCs w:val="24"/>
        </w:rPr>
        <w:t xml:space="preserve"> </w:t>
      </w:r>
      <w:r w:rsidRPr="00833CE8">
        <w:rPr>
          <w:rFonts w:cs="Times New Roman"/>
          <w:szCs w:val="24"/>
        </w:rPr>
        <w:fldChar w:fldCharType="begin"/>
      </w:r>
      <w:r w:rsidR="005522CA" w:rsidRPr="00833CE8">
        <w:rPr>
          <w:rFonts w:cs="Times New Roman"/>
          <w:szCs w:val="24"/>
        </w:rPr>
        <w:instrText xml:space="preserve"> ADDIN ZOTERO_ITEM CSL_CITATION {"citationID":"oQJxLnmV","properties":{"formattedCitation":"(Kim et al., 2024)","plainCitation":"(Kim et al., 2024)","noteIndex":0},"citationItems":[{"id":4533,"uris":["http://zotero.org/users/764524/items/YVRFJFUS"],"itemData":{"id":4533,"type":"article-journal","abstract":"Mutualistic interactions between marine phototrophs and associated bacteria are an important strategy for their successful survival in the ocean, but little is known about their metabolic relationships. Here, bacterial communities in the algal sphere (AS) and bulk solution (BS) of nine marine red algal cultures were analyzed, and Roseibium and Phycisphaera were identified significantly more abundantly in AS than in BS. The metabolic features of Roseibium RMAR6-6 (isolated and genome-sequenced), Phycisphaera MAG 12 (obtained by metagenomic sequencing), and a marine red alga, Porphyridium purpureum CCMP1328 (from GenBank), were analyzed bioinformatically. RMAR6-6 has the genetic capability to fix nitrogen and produce B vitamins (B1, B2, B5, B6, B9, and B12), bacterioferritin, dimethylsulfoniopropionate (DMSP), and phenylacetate that may enhance algal growth, whereas MAG 12 may have a limited metabolic capability, not producing vitamins B9 and B12, DMSP, phenylacetate, and siderophores, but with the ability to produce bacitracin, possibly modulating algal microbiome. P. purpureum CCMP1328 lacks the genetic capability to fix nitrogen and produce vitamin B12, DMSP, phenylacetate, and siderophore. It was shown that the nitrogen-fixing ability of RMAR6-6 promoted the growth of P. purpureum, and DMSP reduced the oxidative stress of P. purpureum. The metabolic interactions between strain RMAR6-6 and P. purpureum CCMP1328 were also investigated by the transcriptomic analyses of their monoculture and co-culture. Taken together, potential metabolic relationships between Roseibium and P. purpureum were proposed. This study provides a better understanding of the metabolic relationships between marine algae and algae-associated bacteria for successful growth.","container-title":"Marine Life Science &amp; Technology","DOI":"10.1007/s42995-024-00227-z","ISSN":"2662-1746","issue":"2","journalAbbreviation":"Mar. Life Sci. Technol.","language":"en","page":"298-314","source":"Springer Link","title":"Metabolic relationships between marine red algae and algae-associated bacteria","volume":"6","author":[{"family":"Kim","given":"Kyung Hyun"},{"family":"Kim","given":"Jeong Min"},{"family":"Baek","given":"Ju Hye"},{"family":"Jeong","given":"Sang Eun"},{"family":"Kim","given":"Hocheol"},{"family":"Yoon","given":"Hwan Su"},{"family":"Jeon","given":"Che Ok"}],"issued":{"date-parts":[["2024",5,1]]}}}],"schema":"https://github.com/citation-style-language/schema/raw/master/csl-citation.json"} </w:instrText>
      </w:r>
      <w:r w:rsidRPr="00833CE8">
        <w:rPr>
          <w:rFonts w:cs="Times New Roman"/>
          <w:szCs w:val="24"/>
        </w:rPr>
        <w:fldChar w:fldCharType="separate"/>
      </w:r>
      <w:r w:rsidR="009F150C" w:rsidRPr="00833CE8">
        <w:rPr>
          <w:rFonts w:cs="Times New Roman"/>
        </w:rPr>
        <w:t>(Kim et al., 2024)</w:t>
      </w:r>
      <w:r w:rsidRPr="00833CE8">
        <w:rPr>
          <w:rFonts w:cs="Times New Roman"/>
          <w:szCs w:val="24"/>
        </w:rPr>
        <w:fldChar w:fldCharType="end"/>
      </w:r>
      <w:r w:rsidR="007A7A9F" w:rsidRPr="00833CE8">
        <w:rPr>
          <w:rFonts w:cs="Times New Roman"/>
          <w:szCs w:val="24"/>
        </w:rPr>
        <w:t>.</w:t>
      </w:r>
    </w:p>
    <w:p w14:paraId="2269BD12" w14:textId="77777777" w:rsidR="00B9112F" w:rsidRDefault="00B9112F" w:rsidP="00C31A9C">
      <w:pPr>
        <w:tabs>
          <w:tab w:val="center" w:pos="4822"/>
        </w:tabs>
        <w:snapToGrid w:val="0"/>
        <w:spacing w:line="360" w:lineRule="auto"/>
        <w:ind w:firstLine="284"/>
        <w:jc w:val="both"/>
        <w:rPr>
          <w:rFonts w:cs="Times New Roman"/>
          <w:szCs w:val="24"/>
        </w:rPr>
      </w:pPr>
    </w:p>
    <w:p w14:paraId="50F8D604" w14:textId="3E954AE3" w:rsidR="00B9112F" w:rsidRPr="0034609D" w:rsidRDefault="0034609D" w:rsidP="0034609D">
      <w:pPr>
        <w:pStyle w:val="ListParagraph"/>
        <w:numPr>
          <w:ilvl w:val="3"/>
          <w:numId w:val="9"/>
        </w:numPr>
        <w:snapToGrid w:val="0"/>
        <w:spacing w:line="360" w:lineRule="auto"/>
        <w:rPr>
          <w:rFonts w:cs="Times New Roman"/>
          <w:b/>
          <w:bCs/>
          <w:szCs w:val="24"/>
        </w:rPr>
      </w:pPr>
      <w:r>
        <w:rPr>
          <w:rFonts w:cs="Times New Roman"/>
          <w:b/>
          <w:bCs/>
          <w:szCs w:val="24"/>
        </w:rPr>
        <w:t>Polyamine Phytohormones</w:t>
      </w:r>
      <w:r w:rsidR="00B9112F" w:rsidRPr="0034609D">
        <w:rPr>
          <w:rFonts w:cs="Times New Roman"/>
          <w:b/>
          <w:bCs/>
          <w:szCs w:val="24"/>
        </w:rPr>
        <w:t xml:space="preserve"> </w:t>
      </w:r>
    </w:p>
    <w:p w14:paraId="79C9C21F" w14:textId="18618266" w:rsidR="00E17AAB" w:rsidRPr="00D82FED" w:rsidRDefault="00E17AAB" w:rsidP="00E17AAB">
      <w:pPr>
        <w:tabs>
          <w:tab w:val="center" w:pos="4822"/>
        </w:tabs>
        <w:snapToGrid w:val="0"/>
        <w:spacing w:line="360" w:lineRule="auto"/>
        <w:ind w:firstLine="284"/>
        <w:jc w:val="both"/>
        <w:rPr>
          <w:rFonts w:cs="Times New Roman"/>
          <w:szCs w:val="24"/>
        </w:rPr>
      </w:pPr>
      <w:r w:rsidRPr="00833CE8">
        <w:t xml:space="preserve">Polyamines, such as putrescine, improve photosynthesis and cell proliferation in both land plants and microalgae, while protecting against stress </w:t>
      </w:r>
      <w:r w:rsidRPr="00833CE8">
        <w:rPr>
          <w:b/>
          <w:bCs/>
        </w:rPr>
        <w:fldChar w:fldCharType="begin"/>
      </w:r>
      <w:r w:rsidRPr="00833CE8">
        <w:rPr>
          <w:b/>
          <w:bCs/>
        </w:rPr>
        <w:instrText xml:space="preserve"> ADDIN ZOTERO_ITEM CSL_CITATION {"citationID":"ZBIFY993","properties":{"formattedCitation":"(Gonz\\uc0\\u225{}lez-Hern\\uc0\\u225{}ndez et al., 2022; Lin and Lin, 2019)","plainCitation":"(González-Hernández et al., 2022; Lin and Lin, 2019)","noteIndex":0},"citationItems":[{"id":9255,"uris":["http://zotero.org/users/764524/items/I2HANVG4"],"itemData":{"id":9255,"type":"article-journal","abstract":"Microalgae of different evolutionary origins are typically found in rivers, lakes, and oceans, providing more than 45% of global primary production. They provide not only a food source for animals, but also affect microbial ecosystems through symbioses with microorganisms or secretion of some metabolites. Derived from amino acids, polyamines are present in almost all types of organisms, where they play important roles in maintaining physiological functions or against stress. Microalgae can produce a variety of distinct polyamines, and the polyamine content is important to meet the physiological needs of microalgae and may also affect other species in the environment. In addition, some polyamines produced by microalgae have medical or nanotechnological applications. Previous studies on several types of microalgae have indicated that the putative polyamine metabolic pathways may be as complicated as the genomes of these organisms, which contain genes originating from plants, animals, and even bacteria. There are also several novel polyamine synthetic routes in microalgae. Understanding the nature of polyamines in microalgae will not only improve our knowledge of microalgal physiology and ecological function, but also provide valuable information for biotechnological applications.","container-title":"Marine Drugs","DOI":"10.3390/md17010001","ISSN":"1660-3397","issue":"1","journalAbbreviation":"Mar. Drugs","language":"en","license":"http://creativecommons.org/licenses/by/3.0/","note":"number: 1\npublisher: Multidisciplinary Digital Publishing Institute","page":"1","source":"www.mdpi.com","title":"Polyamines in Microalgae: Something Borrowed, Something New","title-short":"Polyamines in Microalgae","volume":"17","author":[{"family":"Lin","given":"Hung-Yun"},{"family":"Lin","given":"Han-Jia"}],"issued":{"date-parts":[["2019",1]]}}},{"id":9237,"uris":["http://zotero.org/users/764524/items/N744IJXH"],"itemData":{"id":9237,"type":"article-journal","abstract":"Putrescine (Put) is the starting point of the polyamines (PAs) pathway and the most common PA in higher plants. It is synthesized by two main pathways (from ornithine and arginine), but recently a third pathway from citrulline was reported in sesame plants. There is strong evidence that Put may play a crucial role not only in plant growth and development but also in the tolerance responses to the major stresses affecting crop production. The main strategies to investigate the involvement of PA in plant systems are based on the application of competitive inhibitors, exogenous PAs treatments, and the most efficient approaches based on mutant and transgenic plants. Thus, in this article, the recent advances in understanding the role of this metabolite in plant growth promotion and protection against abiotic and biotic stresses will be discussed to provide an overview for future research.","container-title":"International Journal of Molecular Sciences","DOI":"10.3390/ijms23062971","ISSN":"1422-0067","issue":"6","journalAbbreviation":"Int. J. Mol. Sci.","language":"en","license":"http://creativecommons.org/licenses/by/3.0/","note":"number: 6\npublisher: Multidisciplinary Digital Publishing Institute","page":"2971","source":"www.mdpi.com","title":"Putrescine: A Key Metabolite Involved in Plant Development, Tolerance and Resistance Responses to Stress","title-short":"Putrescine","volume":"23","author":[{"family":"González-Hernández","given":"Ana Isabel"},{"family":"Scalschi","given":"Loredana"},{"family":"Vicedo","given":"Begonya"},{"family":"Marcos-Barbero","given":"Emilio Luis"},{"family":"Morcuende","given":"Rosa"},{"family":"Camañes","given":"Gemma"}],"issued":{"date-parts":[["2022",1]]}}}],"schema":"https://github.com/citation-style-language/schema/raw/master/csl-citation.json"} </w:instrText>
      </w:r>
      <w:r w:rsidRPr="00833CE8">
        <w:rPr>
          <w:b/>
          <w:bCs/>
        </w:rPr>
        <w:fldChar w:fldCharType="separate"/>
      </w:r>
      <w:r w:rsidRPr="00833CE8">
        <w:rPr>
          <w:rFonts w:cs="Times New Roman"/>
          <w:kern w:val="0"/>
        </w:rPr>
        <w:t>(González-Hernández et al., 2022; Lin and Lin, 2019)</w:t>
      </w:r>
      <w:r w:rsidRPr="00833CE8">
        <w:rPr>
          <w:b/>
          <w:bCs/>
        </w:rPr>
        <w:fldChar w:fldCharType="end"/>
      </w:r>
      <w:r w:rsidRPr="00833CE8">
        <w:t>.</w:t>
      </w:r>
      <w:r w:rsidRPr="00833CE8">
        <w:rPr>
          <w:b/>
          <w:bCs/>
        </w:rPr>
        <w:t xml:space="preserve">  </w:t>
      </w:r>
      <w:r w:rsidRPr="00833CE8">
        <w:t xml:space="preserve">The alga-associated bacterium, </w:t>
      </w:r>
      <w:proofErr w:type="spellStart"/>
      <w:r w:rsidRPr="00833CE8">
        <w:rPr>
          <w:i/>
          <w:iCs/>
        </w:rPr>
        <w:t>Roseibium</w:t>
      </w:r>
      <w:proofErr w:type="spellEnd"/>
      <w:r w:rsidRPr="00833CE8">
        <w:t xml:space="preserve"> RMAR6-6</w:t>
      </w:r>
      <w:r w:rsidRPr="00833CE8">
        <w:rPr>
          <w:rFonts w:cs="Times New Roman"/>
          <w:szCs w:val="24"/>
        </w:rPr>
        <w:t xml:space="preserve"> has been shown to release putrescine, which can enhance the growth of </w:t>
      </w:r>
      <w:r w:rsidRPr="00833CE8">
        <w:t>the microalgae</w:t>
      </w:r>
      <w:r w:rsidRPr="00833CE8">
        <w:rPr>
          <w:i/>
          <w:iCs/>
        </w:rPr>
        <w:t xml:space="preserve"> </w:t>
      </w:r>
      <w:proofErr w:type="spellStart"/>
      <w:r w:rsidRPr="00833CE8">
        <w:rPr>
          <w:i/>
          <w:iCs/>
        </w:rPr>
        <w:t>Porphyridium</w:t>
      </w:r>
      <w:proofErr w:type="spellEnd"/>
      <w:r w:rsidRPr="00833CE8">
        <w:rPr>
          <w:i/>
          <w:iCs/>
        </w:rPr>
        <w:t xml:space="preserve"> purpureum</w:t>
      </w:r>
      <w:r w:rsidRPr="00833CE8">
        <w:t xml:space="preserve"> CCMP1328 </w:t>
      </w:r>
      <w:r w:rsidRPr="00833CE8">
        <w:rPr>
          <w:rFonts w:cs="Times New Roman"/>
          <w:szCs w:val="24"/>
        </w:rPr>
        <w:fldChar w:fldCharType="begin"/>
      </w:r>
      <w:r w:rsidRPr="00833CE8">
        <w:rPr>
          <w:rFonts w:cs="Times New Roman"/>
          <w:szCs w:val="24"/>
        </w:rPr>
        <w:instrText xml:space="preserve"> ADDIN ZOTERO_ITEM CSL_CITATION {"citationID":"w22xfJgP","properties":{"formattedCitation":"(Kim et al., 2024)","plainCitation":"(Kim et al., 2024)","noteIndex":0},"citationItems":[{"id":4533,"uris":["http://zotero.org/users/764524/items/YVRFJFUS"],"itemData":{"id":4533,"type":"article-journal","abstract":"Mutualistic interactions between marine phototrophs and associated bacteria are an important strategy for their successful survival in the ocean, but little is known about their metabolic relationships. Here, bacterial communities in the algal sphere (AS) and bulk solution (BS) of nine marine red algal cultures were analyzed, and Roseibium and Phycisphaera were identified significantly more abundantly in AS than in BS. The metabolic features of Roseibium RMAR6-6 (isolated and genome-sequenced), Phycisphaera MAG 12 (obtained by metagenomic sequencing), and a marine red alga, Porphyridium purpureum CCMP1328 (from GenBank), were analyzed bioinformatically. RMAR6-6 has the genetic capability to fix nitrogen and produce B vitamins (B1, B2, B5, B6, B9, and B12), bacterioferritin, dimethylsulfoniopropionate (DMSP), and phenylacetate that may enhance algal growth, whereas MAG 12 may have a limited metabolic capability, not producing vitamins B9 and B12, DMSP, phenylacetate, and siderophores, but with the ability to produce bacitracin, possibly modulating algal microbiome. P. purpureum CCMP1328 lacks the genetic capability to fix nitrogen and produce vitamin B12, DMSP, phenylacetate, and siderophore. It was shown that the nitrogen-fixing ability of RMAR6-6 promoted the growth of P. purpureum, and DMSP reduced the oxidative stress of P. purpureum. The metabolic interactions between strain RMAR6-6 and P. purpureum CCMP1328 were also investigated by the transcriptomic analyses of their monoculture and co-culture. Taken together, potential metabolic relationships between Roseibium and P. purpureum were proposed. This study provides a better understanding of the metabolic relationships between marine algae and algae-associated bacteria for successful growth.","container-title":"Marine Life Science &amp; Technology","DOI":"10.1007/s42995-024-00227-z","ISSN":"2662-1746","issue":"2","journalAbbreviation":"Mar. Life Sci. Technol.","language":"en","page":"298-314","source":"Springer Link","title":"Metabolic relationships between marine red algae and algae-associated bacteria","volume":"6","author":[{"family":"Kim","given":"Kyung Hyun"},{"family":"Kim","given":"Jeong Min"},{"family":"Baek","given":"Ju Hye"},{"family":"Jeong","given":"Sang Eun"},{"family":"Kim","given":"Hocheol"},{"family":"Yoon","given":"Hwan Su"},{"family":"Jeon","given":"Che Ok"}],"issued":{"date-parts":[["2024",5,1]]}}}],"schema":"https://github.com/citation-style-language/schema/raw/master/csl-citation.json"} </w:instrText>
      </w:r>
      <w:r w:rsidRPr="00833CE8">
        <w:rPr>
          <w:rFonts w:cs="Times New Roman"/>
          <w:szCs w:val="24"/>
        </w:rPr>
        <w:fldChar w:fldCharType="separate"/>
      </w:r>
      <w:r w:rsidRPr="00833CE8">
        <w:rPr>
          <w:rFonts w:cs="Times New Roman"/>
        </w:rPr>
        <w:t>(Kim et al., 2024)</w:t>
      </w:r>
      <w:r w:rsidRPr="00833CE8">
        <w:rPr>
          <w:rFonts w:cs="Times New Roman"/>
          <w:szCs w:val="24"/>
        </w:rPr>
        <w:fldChar w:fldCharType="end"/>
      </w:r>
      <w:r w:rsidRPr="00833CE8">
        <w:t xml:space="preserve">.  A summary of the </w:t>
      </w:r>
      <w:proofErr w:type="spellStart"/>
      <w:r w:rsidRPr="00833CE8">
        <w:t>phycosphere</w:t>
      </w:r>
      <w:proofErr w:type="spellEnd"/>
      <w:r w:rsidRPr="00833CE8">
        <w:t xml:space="preserve"> interactions between these organisms is shown in Figure</w:t>
      </w:r>
      <w:r>
        <w:t xml:space="preserve"> </w:t>
      </w:r>
      <w:r w:rsidR="00483F08">
        <w:t>5</w:t>
      </w:r>
      <w:r w:rsidR="00422303">
        <w:t>, including the exchange of putresc</w:t>
      </w:r>
      <w:r w:rsidR="006C26CF">
        <w:t>i</w:t>
      </w:r>
      <w:r w:rsidR="00422303">
        <w:t xml:space="preserve">ne, </w:t>
      </w:r>
      <w:r w:rsidR="006C26CF">
        <w:t>nutrients, vitamins B</w:t>
      </w:r>
      <w:r w:rsidR="006C26CF" w:rsidRPr="0078236B">
        <w:rPr>
          <w:vertAlign w:val="subscript"/>
        </w:rPr>
        <w:t>7</w:t>
      </w:r>
      <w:r w:rsidR="006C26CF">
        <w:t xml:space="preserve"> and B</w:t>
      </w:r>
      <w:r w:rsidR="006C26CF" w:rsidRPr="0078236B">
        <w:rPr>
          <w:vertAlign w:val="subscript"/>
        </w:rPr>
        <w:t>12</w:t>
      </w:r>
      <w:r w:rsidR="006C26CF">
        <w:t xml:space="preserve">, and iron. </w:t>
      </w:r>
      <w:r w:rsidR="00F246B8">
        <w:t xml:space="preserve"> </w:t>
      </w:r>
      <w:r w:rsidR="008E5403" w:rsidRPr="00D82FED">
        <w:rPr>
          <w:color w:val="FF0000"/>
        </w:rPr>
        <w:t>S</w:t>
      </w:r>
      <w:r w:rsidR="00F246B8" w:rsidRPr="00D82FED">
        <w:rPr>
          <w:color w:val="FF0000"/>
        </w:rPr>
        <w:t>permidine</w:t>
      </w:r>
      <w:r w:rsidR="008E5403" w:rsidRPr="00D82FED">
        <w:rPr>
          <w:color w:val="FF0000"/>
        </w:rPr>
        <w:t>, a polyamine</w:t>
      </w:r>
      <w:r w:rsidR="00F246B8" w:rsidRPr="00D82FED">
        <w:rPr>
          <w:color w:val="FF0000"/>
        </w:rPr>
        <w:t xml:space="preserve"> </w:t>
      </w:r>
      <w:r w:rsidR="008E5403" w:rsidRPr="00D82FED">
        <w:rPr>
          <w:color w:val="FF0000"/>
        </w:rPr>
        <w:t>produced as part of the urea cycle in diatoms, has been found</w:t>
      </w:r>
      <w:r w:rsidR="001128A8" w:rsidRPr="00D82FED">
        <w:rPr>
          <w:color w:val="FF0000"/>
        </w:rPr>
        <w:t xml:space="preserve"> </w:t>
      </w:r>
      <w:r w:rsidR="008E5403" w:rsidRPr="00D82FED">
        <w:rPr>
          <w:color w:val="FF0000"/>
        </w:rPr>
        <w:t xml:space="preserve">to be a target of a transport protein of </w:t>
      </w:r>
      <w:proofErr w:type="spellStart"/>
      <w:r w:rsidR="008E5403" w:rsidRPr="00D82FED">
        <w:rPr>
          <w:i/>
          <w:iCs/>
          <w:color w:val="FF0000"/>
        </w:rPr>
        <w:t>Richelia</w:t>
      </w:r>
      <w:proofErr w:type="spellEnd"/>
      <w:r w:rsidR="008E5403" w:rsidRPr="00D82FED">
        <w:rPr>
          <w:i/>
          <w:iCs/>
          <w:color w:val="FF0000"/>
        </w:rPr>
        <w:t xml:space="preserve"> </w:t>
      </w:r>
      <w:proofErr w:type="spellStart"/>
      <w:r w:rsidR="008E5403" w:rsidRPr="00D82FED">
        <w:rPr>
          <w:i/>
          <w:iCs/>
          <w:color w:val="FF0000"/>
        </w:rPr>
        <w:t>euintracellularis</w:t>
      </w:r>
      <w:proofErr w:type="spellEnd"/>
      <w:r w:rsidR="008E5403" w:rsidRPr="00D82FED">
        <w:rPr>
          <w:color w:val="FF0000"/>
        </w:rPr>
        <w:t>, a nitrogen-fixing endosymbiont of the diatom</w:t>
      </w:r>
      <w:r w:rsidR="008E5403" w:rsidRPr="00D82FED">
        <w:rPr>
          <w:i/>
          <w:iCs/>
        </w:rPr>
        <w:t xml:space="preserve"> </w:t>
      </w:r>
      <w:proofErr w:type="spellStart"/>
      <w:r w:rsidR="008E5403" w:rsidRPr="00D82FED">
        <w:rPr>
          <w:i/>
          <w:iCs/>
          <w:color w:val="FF0000"/>
        </w:rPr>
        <w:t>Hemiaulus</w:t>
      </w:r>
      <w:proofErr w:type="spellEnd"/>
      <w:r w:rsidR="008E5403" w:rsidRPr="00D82FED">
        <w:rPr>
          <w:i/>
          <w:iCs/>
          <w:color w:val="FF0000"/>
        </w:rPr>
        <w:t xml:space="preserve"> </w:t>
      </w:r>
      <w:proofErr w:type="spellStart"/>
      <w:r w:rsidR="008E5403" w:rsidRPr="00D82FED">
        <w:rPr>
          <w:i/>
          <w:iCs/>
          <w:color w:val="FF0000"/>
        </w:rPr>
        <w:t>hauckii</w:t>
      </w:r>
      <w:proofErr w:type="spellEnd"/>
      <w:r w:rsidR="008E5403" w:rsidRPr="00D82FED">
        <w:rPr>
          <w:color w:val="FF0000"/>
        </w:rPr>
        <w:t xml:space="preserve"> </w:t>
      </w:r>
      <w:r w:rsidR="001128A8" w:rsidRPr="00D82FED">
        <w:fldChar w:fldCharType="begin"/>
      </w:r>
      <w:r w:rsidR="001128A8" w:rsidRPr="00D82FED">
        <w:instrText xml:space="preserve"> ADDIN ZOTERO_ITEM CSL_CITATION {"citationID":"gldAFUjw","properties":{"formattedCitation":"(Nieves-Mori\\uc0\\u243{}n et al., 2023)","plainCitation":"(Nieves-Morión et al., 2023)","noteIndex":0},"citationItems":[{"id":9678,"uris":["http://zotero.org/users/764524/items/FDV8FTVH"],"itemData":{"id":9678,"type":"article-journal","abstract":"A few genera of diatoms are widespread and thrive in low-nutrient waters of the open ocean due to their close association with N2-fixing, filamentous heterocyst-forming cyanobacteria. In one of these symbioses, the symbiont, Richelia euintracellularis, has penetrated the cell envelope of the host, Hemiaulus hauckii, and lives inside the host cytoplasm. How the partners interact, including how the symbiont sustains high rates of N2 fixation, is unstudied. Since R. euintracellularis has evaded isolation, heterologous expression of genes in model laboratory organisms was performed to identify the function of proteins from the endosymbiont. Gene complementation of a cyanobacterial invertase mutant and expression of the protein in Escherichia coli showed that R. euintracellularis HH01 possesses a neutral invertase that splits sucrose producing glucose and fructose. Several solute-binding proteins (SBPs) of ABC transporters encoded in the genome of R. euintracellularis HH01 were expressed in E. coli, and their substrates were characterized. The selected SBPs directly linked the host as the source of several substrates, e.g. sugars (sucrose and galactose), amino acids (glutamate and phenylalanine), and a polyamine (spermidine), to support the cyanobacterial symbiont. Finally, transcripts of genes encoding the invertase and SBPs were consistently detected in wild populations of H. hauckii collected from multiple stations and depths in the western tropical North Atlantic. Our results support the idea that the diatom host provides the endosymbiotic cyanobacterium with organic carbon to fuel N2 fixation. This knowledge is key to understanding the physiology of the globally significant H. hauckii–R. euintracellularis symbiosis.","container-title":"PNAS Nexus","DOI":"10.1093/pnasnexus/pgad194","ISSN":"2752-6542","issue":"6","journalAbbreviation":"PNAS Nexus","page":"pgad194","source":"Silverchair","title":"Heterologous expression of genes from a cyanobacterial endosymbiont highlights substrate exchanges with its diatom host","volume":"2","author":[{"family":"Nieves-Morión","given":"Mercedes"},{"family":"Camargo","given":"Sergio"},{"family":"Bardi","given":"Sepehr"},{"family":"Ruiz","given":"María Teresa"},{"family":"Flores","given":"Enrique"},{"family":"Foster","given":"Rachel A"}],"issued":{"date-parts":[["2023",6,1]]}}}],"schema":"https://github.com/citation-style-language/schema/raw/master/csl-citation.json"} </w:instrText>
      </w:r>
      <w:r w:rsidR="001128A8" w:rsidRPr="00D82FED">
        <w:fldChar w:fldCharType="separate"/>
      </w:r>
      <w:r w:rsidR="001128A8" w:rsidRPr="00D82FED">
        <w:rPr>
          <w:rFonts w:cs="Times New Roman"/>
          <w:kern w:val="0"/>
        </w:rPr>
        <w:t>(Nieves-Morión et al., 2023)</w:t>
      </w:r>
      <w:r w:rsidR="001128A8" w:rsidRPr="00D82FED">
        <w:fldChar w:fldCharType="end"/>
      </w:r>
      <w:r w:rsidR="00F246B8" w:rsidRPr="00D82FED">
        <w:rPr>
          <w:color w:val="FF0000"/>
        </w:rPr>
        <w:t xml:space="preserve">. </w:t>
      </w:r>
      <w:r w:rsidR="008E5403" w:rsidRPr="00D82FED">
        <w:rPr>
          <w:color w:val="FF0000"/>
        </w:rPr>
        <w:t xml:space="preserve"> While spermidine can serve as a precursor of long-chain polyamines for production of the frustule (silicon-containing cell wall) of diatoms, the related molecule homospermidine is needed to complete heterocyst differentiation in cyanobacteria. </w:t>
      </w:r>
      <w:r w:rsidR="001B7196">
        <w:rPr>
          <w:color w:val="FF0000"/>
        </w:rPr>
        <w:t xml:space="preserve"> Other polyamines h</w:t>
      </w:r>
      <w:r w:rsidR="001B7196" w:rsidRPr="001B7196">
        <w:rPr>
          <w:color w:val="FF0000"/>
        </w:rPr>
        <w:t xml:space="preserve">ave been shown to be used in </w:t>
      </w:r>
      <w:r w:rsidR="001B7196" w:rsidRPr="001B7196">
        <w:rPr>
          <w:i/>
          <w:iCs/>
          <w:color w:val="FF0000"/>
        </w:rPr>
        <w:t xml:space="preserve">Anabaena </w:t>
      </w:r>
      <w:r w:rsidR="001B7196" w:rsidRPr="001B7196">
        <w:rPr>
          <w:color w:val="FF0000"/>
        </w:rPr>
        <w:t xml:space="preserve">cyanobacteria when homospermidine synthesis has been inactivated </w:t>
      </w:r>
      <w:r w:rsidR="001B7196" w:rsidRPr="001B7196">
        <w:rPr>
          <w:color w:val="FF0000"/>
        </w:rPr>
        <w:fldChar w:fldCharType="begin"/>
      </w:r>
      <w:r w:rsidR="001B7196" w:rsidRPr="001B7196">
        <w:rPr>
          <w:color w:val="FF0000"/>
        </w:rPr>
        <w:instrText xml:space="preserve"> ADDIN ZOTERO_ITEM CSL_CITATION {"citationID":"IT6d6Cpj","properties":{"formattedCitation":"(Burnat et al., 2018)","plainCitation":"(Burnat et al., 2018)","noteIndex":0},"citationItems":[{"id":9696,"uris":["http://zotero.org/users/764524/items/J7MULYB9"],"itemData":{"id":9696,"type":"article-journal","abstract":"Polyamines are primordial, small organic polycations present in almost all cells, but their roles in bacteria are poorly understood. sym-Homospermidine is the dominant polyamine in the filamentous, N2-fixing, heterocyst-forming cyanobacterium Anabaena sp. PCC 7120. Synthesis of homospermidine was dependent on speA (encoding arginine decarboxylase), speB (agmatinase) and speY (deoxyhypusine synthase homologue), which in bacteria is an unprecedented pathway. Inactivation of any of these genes impaired diazotrophic growth. Heterocyst differentiation in the speA mutant was blocked at an early step, after induction of the regulatory gene hetR but before production of heterocyst-specific glycolipids (HGL). In contrast, the speY mutant produced HGL and showed slow diazotrophic growth. Analysis of fusions to green fluorescent protein revealed that SpeA (like SpeB previously described) accumulates at higher levels in vegetative cells than in heterocysts, and that SpeY accumulates in vegetative cells but also at significant levels in heterocysts. The homospermidine biosynthetic pathway is therefore active primarily in vegetative cells but the last step can be completed in heterocysts. Our findings indicate an important role for polyamines in the diazotrophic biology of Anabaena. Furthermore, inactivation of a gene cluster (potADB) encoding a polyamine ABC transporter disrupted diazotrophic growth, corroborating the importance of polyamine homeostasis in Anabaena.","container-title":"Molecular Microbiology","DOI":"10.1111/mmi.14006","ISSN":"1365-2958","issue":"6","journalAbbreviation":"Mol. Microbiol.","language":"en","license":"© 2018 John Wiley &amp; Sons Ltd","note":"_eprint: https://onlinelibrary.wiley.com/doi/pdf/10.1111/mmi.14006","page":"763-780","source":"Wiley Online Library","title":"Homospermidine biosynthesis in the cyanobacterium Anabaena requires a deoxyhypusine synthase homologue and is essential for normal diazotrophic growth","volume":"109","author":[{"family":"Burnat","given":"Mireia"},{"family":"Li","given":"Bin"},{"family":"Kim","given":"Sok Ho"},{"family":"Michael","given":"Anthony J."},{"family":"Flores","given":"Enrique"}],"issued":{"date-parts":[["2018"]]}}}],"schema":"https://github.com/citation-style-language/schema/raw/master/csl-citation.json"} </w:instrText>
      </w:r>
      <w:r w:rsidR="001B7196" w:rsidRPr="001B7196">
        <w:rPr>
          <w:color w:val="FF0000"/>
        </w:rPr>
        <w:fldChar w:fldCharType="separate"/>
      </w:r>
      <w:r w:rsidR="001B7196" w:rsidRPr="001B7196">
        <w:rPr>
          <w:rFonts w:cs="Times New Roman"/>
        </w:rPr>
        <w:t>(Burnat et al., 2018)</w:t>
      </w:r>
      <w:r w:rsidR="001B7196" w:rsidRPr="001B7196">
        <w:rPr>
          <w:color w:val="FF0000"/>
        </w:rPr>
        <w:fldChar w:fldCharType="end"/>
      </w:r>
      <w:r w:rsidR="001B7196" w:rsidRPr="001B7196">
        <w:rPr>
          <w:color w:val="FF0000"/>
        </w:rPr>
        <w:t>.</w:t>
      </w:r>
      <w:r w:rsidR="008E5403" w:rsidRPr="001B7196">
        <w:rPr>
          <w:color w:val="FF0000"/>
        </w:rPr>
        <w:t xml:space="preserve"> The authors </w:t>
      </w:r>
      <w:r w:rsidR="001B7196" w:rsidRPr="001B7196">
        <w:rPr>
          <w:color w:val="FF0000"/>
        </w:rPr>
        <w:t>the</w:t>
      </w:r>
      <w:r w:rsidR="001B7196">
        <w:rPr>
          <w:color w:val="FF0000"/>
        </w:rPr>
        <w:t xml:space="preserve">refore </w:t>
      </w:r>
      <w:r w:rsidR="008E5403" w:rsidRPr="00D82FED">
        <w:rPr>
          <w:color w:val="FF0000"/>
        </w:rPr>
        <w:t>suggested that spermidine released by the diatom may be able to play the same role, although</w:t>
      </w:r>
      <w:r w:rsidR="00D82FED" w:rsidRPr="00D82FED">
        <w:rPr>
          <w:color w:val="FF0000"/>
        </w:rPr>
        <w:t xml:space="preserve"> this </w:t>
      </w:r>
      <w:r w:rsidR="001B7196">
        <w:rPr>
          <w:color w:val="FF0000"/>
        </w:rPr>
        <w:t>behaviour</w:t>
      </w:r>
      <w:r w:rsidR="00D82FED" w:rsidRPr="00D82FED">
        <w:rPr>
          <w:color w:val="FF0000"/>
        </w:rPr>
        <w:t xml:space="preserve"> has not been </w:t>
      </w:r>
      <w:r w:rsidR="001B7196">
        <w:rPr>
          <w:color w:val="FF0000"/>
        </w:rPr>
        <w:t xml:space="preserve">investigated </w:t>
      </w:r>
      <w:r w:rsidR="00D82FED" w:rsidRPr="00D82FED">
        <w:rPr>
          <w:color w:val="FF0000"/>
        </w:rPr>
        <w:t xml:space="preserve">in </w:t>
      </w:r>
      <w:proofErr w:type="spellStart"/>
      <w:r w:rsidR="00D82FED" w:rsidRPr="00D82FED">
        <w:rPr>
          <w:i/>
          <w:iCs/>
          <w:color w:val="FF0000"/>
        </w:rPr>
        <w:t>Hemiaulus</w:t>
      </w:r>
      <w:proofErr w:type="spellEnd"/>
      <w:r w:rsidR="00D82FED" w:rsidRPr="00D82FED">
        <w:rPr>
          <w:i/>
          <w:iCs/>
          <w:color w:val="FF0000"/>
        </w:rPr>
        <w:t xml:space="preserve"> </w:t>
      </w:r>
      <w:proofErr w:type="spellStart"/>
      <w:r w:rsidR="00D82FED" w:rsidRPr="00D82FED">
        <w:rPr>
          <w:i/>
          <w:iCs/>
          <w:color w:val="FF0000"/>
        </w:rPr>
        <w:t>hauckii</w:t>
      </w:r>
      <w:proofErr w:type="spellEnd"/>
      <w:r w:rsidR="001B7196" w:rsidRPr="001B7196">
        <w:rPr>
          <w:color w:val="FF0000"/>
        </w:rPr>
        <w:t>.</w:t>
      </w:r>
    </w:p>
    <w:p w14:paraId="4C29174C" w14:textId="77777777" w:rsidR="00E17AAB" w:rsidRPr="00833CE8" w:rsidRDefault="00E17AAB" w:rsidP="00E17AAB">
      <w:pPr>
        <w:tabs>
          <w:tab w:val="center" w:pos="4822"/>
        </w:tabs>
        <w:snapToGrid w:val="0"/>
        <w:spacing w:line="360" w:lineRule="auto"/>
        <w:jc w:val="both"/>
        <w:rPr>
          <w:b/>
          <w:bCs/>
        </w:rPr>
      </w:pPr>
    </w:p>
    <w:p w14:paraId="5F6F9826" w14:textId="77777777" w:rsidR="00E17AAB" w:rsidRDefault="00E17AAB" w:rsidP="00E17AAB">
      <w:pPr>
        <w:tabs>
          <w:tab w:val="center" w:pos="4822"/>
        </w:tabs>
        <w:snapToGrid w:val="0"/>
        <w:spacing w:line="360" w:lineRule="auto"/>
        <w:jc w:val="center"/>
      </w:pPr>
      <w:r>
        <w:rPr>
          <w:b/>
          <w:bCs/>
          <w:noProof/>
        </w:rPr>
        <w:lastRenderedPageBreak/>
        <w:drawing>
          <wp:inline distT="0" distB="0" distL="0" distR="0" wp14:anchorId="6BB37E9A" wp14:editId="415C2236">
            <wp:extent cx="5936615" cy="3338830"/>
            <wp:effectExtent l="0" t="0" r="6985" b="0"/>
            <wp:docPr id="244221288" name="Picture 1" descr="A diagram of a protein sour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221288" name="Picture 1" descr="A diagram of a protein source&#10;&#10;Description automatically generated with medium confidenc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6615" cy="3338830"/>
                    </a:xfrm>
                    <a:prstGeom prst="rect">
                      <a:avLst/>
                    </a:prstGeom>
                    <a:noFill/>
                    <a:ln>
                      <a:noFill/>
                    </a:ln>
                  </pic:spPr>
                </pic:pic>
              </a:graphicData>
            </a:graphic>
          </wp:inline>
        </w:drawing>
      </w:r>
    </w:p>
    <w:p w14:paraId="7EAD3C6E" w14:textId="77777777" w:rsidR="00A06CC4" w:rsidRPr="00833CE8" w:rsidRDefault="00A06CC4" w:rsidP="00E17AAB">
      <w:pPr>
        <w:tabs>
          <w:tab w:val="center" w:pos="4822"/>
        </w:tabs>
        <w:snapToGrid w:val="0"/>
        <w:spacing w:line="360" w:lineRule="auto"/>
        <w:jc w:val="center"/>
      </w:pPr>
    </w:p>
    <w:p w14:paraId="572CC5F7" w14:textId="68BEFA42" w:rsidR="00E17AAB" w:rsidRPr="00833CE8" w:rsidRDefault="00E17AAB" w:rsidP="00E17AAB">
      <w:pPr>
        <w:tabs>
          <w:tab w:val="center" w:pos="4822"/>
        </w:tabs>
        <w:snapToGrid w:val="0"/>
        <w:spacing w:line="276" w:lineRule="auto"/>
        <w:jc w:val="both"/>
      </w:pPr>
      <w:r w:rsidRPr="00833CE8">
        <w:rPr>
          <w:b/>
          <w:bCs/>
        </w:rPr>
        <w:t xml:space="preserve">Figure </w:t>
      </w:r>
      <w:r w:rsidR="00483F08">
        <w:rPr>
          <w:b/>
          <w:bCs/>
        </w:rPr>
        <w:t>5</w:t>
      </w:r>
      <w:r w:rsidRPr="00833CE8">
        <w:rPr>
          <w:b/>
          <w:bCs/>
        </w:rPr>
        <w:t>.</w:t>
      </w:r>
      <w:r w:rsidRPr="00833CE8">
        <w:t xml:space="preserve">  </w:t>
      </w:r>
      <w:proofErr w:type="spellStart"/>
      <w:r w:rsidRPr="00833CE8">
        <w:t>Phycosphere</w:t>
      </w:r>
      <w:proofErr w:type="spellEnd"/>
      <w:r w:rsidRPr="00833CE8">
        <w:t xml:space="preserve"> interactions, including putrescine, for microalga</w:t>
      </w:r>
      <w:r w:rsidRPr="00833CE8">
        <w:rPr>
          <w:i/>
          <w:iCs/>
        </w:rPr>
        <w:t xml:space="preserve"> </w:t>
      </w:r>
      <w:proofErr w:type="spellStart"/>
      <w:r w:rsidRPr="00833CE8">
        <w:rPr>
          <w:i/>
          <w:iCs/>
        </w:rPr>
        <w:t>Porphyridium</w:t>
      </w:r>
      <w:proofErr w:type="spellEnd"/>
      <w:r w:rsidRPr="00833CE8">
        <w:rPr>
          <w:i/>
          <w:iCs/>
        </w:rPr>
        <w:t xml:space="preserve"> purpureum</w:t>
      </w:r>
      <w:r w:rsidRPr="00833CE8">
        <w:t xml:space="preserve"> CCMP1328</w:t>
      </w:r>
      <w:r w:rsidR="00290BF2">
        <w:t xml:space="preserve"> (green)</w:t>
      </w:r>
      <w:r w:rsidRPr="00833CE8">
        <w:t xml:space="preserve">, and alga-associated bacterium, </w:t>
      </w:r>
      <w:proofErr w:type="spellStart"/>
      <w:r w:rsidRPr="00833CE8">
        <w:rPr>
          <w:i/>
          <w:iCs/>
        </w:rPr>
        <w:t>Roseibium</w:t>
      </w:r>
      <w:proofErr w:type="spellEnd"/>
      <w:r w:rsidRPr="00833CE8">
        <w:t xml:space="preserve"> RMAR6-6</w:t>
      </w:r>
      <w:r w:rsidR="00290BF2">
        <w:t xml:space="preserve"> (pink)</w:t>
      </w:r>
      <w:r w:rsidRPr="00833CE8">
        <w:rPr>
          <w:rFonts w:cs="Times New Roman"/>
          <w:szCs w:val="24"/>
        </w:rPr>
        <w:t>.</w:t>
      </w:r>
      <w:r w:rsidR="00F83D77">
        <w:rPr>
          <w:rFonts w:cs="Times New Roman"/>
          <w:szCs w:val="24"/>
        </w:rPr>
        <w:t xml:space="preserve"> </w:t>
      </w:r>
      <w:r w:rsidRPr="00833CE8">
        <w:rPr>
          <w:rFonts w:cs="Times New Roman"/>
          <w:b/>
          <w:bCs/>
          <w:szCs w:val="24"/>
        </w:rPr>
        <w:t xml:space="preserve"> </w:t>
      </w:r>
    </w:p>
    <w:p w14:paraId="127A52DE" w14:textId="77777777" w:rsidR="00E17AAB" w:rsidRPr="00833CE8" w:rsidRDefault="00E17AAB" w:rsidP="00C31A9C">
      <w:pPr>
        <w:tabs>
          <w:tab w:val="center" w:pos="4822"/>
        </w:tabs>
        <w:snapToGrid w:val="0"/>
        <w:spacing w:line="360" w:lineRule="auto"/>
        <w:ind w:firstLine="284"/>
        <w:jc w:val="both"/>
        <w:rPr>
          <w:rFonts w:cs="Times New Roman"/>
          <w:szCs w:val="24"/>
        </w:rPr>
      </w:pPr>
    </w:p>
    <w:p w14:paraId="3D8DD07B" w14:textId="01F3301C" w:rsidR="00B9112F" w:rsidRPr="00B9112F" w:rsidRDefault="00B9112F" w:rsidP="00B9112F">
      <w:pPr>
        <w:pStyle w:val="ListParagraph"/>
        <w:numPr>
          <w:ilvl w:val="2"/>
          <w:numId w:val="9"/>
        </w:numPr>
        <w:snapToGrid w:val="0"/>
        <w:spacing w:line="360" w:lineRule="auto"/>
        <w:rPr>
          <w:rFonts w:cs="Times New Roman"/>
          <w:b/>
          <w:bCs/>
          <w:szCs w:val="24"/>
        </w:rPr>
      </w:pPr>
      <w:r>
        <w:rPr>
          <w:rFonts w:cs="Times New Roman"/>
          <w:b/>
          <w:bCs/>
          <w:szCs w:val="24"/>
        </w:rPr>
        <w:t xml:space="preserve">Algicides </w:t>
      </w:r>
    </w:p>
    <w:p w14:paraId="0687C519" w14:textId="7B512CFD" w:rsidR="00172D83" w:rsidRPr="00394FE4" w:rsidRDefault="004B2582" w:rsidP="00234889">
      <w:pPr>
        <w:tabs>
          <w:tab w:val="center" w:pos="4822"/>
        </w:tabs>
        <w:snapToGrid w:val="0"/>
        <w:spacing w:line="360" w:lineRule="auto"/>
        <w:ind w:firstLine="284"/>
        <w:jc w:val="both"/>
        <w:rPr>
          <w:rFonts w:cs="Times New Roman"/>
          <w:szCs w:val="24"/>
        </w:rPr>
      </w:pPr>
      <w:r w:rsidRPr="00FE3FE9">
        <w:rPr>
          <w:rFonts w:cs="Times New Roman"/>
          <w:szCs w:val="24"/>
        </w:rPr>
        <w:t>T</w:t>
      </w:r>
      <w:r w:rsidR="00B046F1" w:rsidRPr="00FE3FE9">
        <w:rPr>
          <w:rFonts w:cs="Times New Roman"/>
          <w:szCs w:val="24"/>
        </w:rPr>
        <w:t xml:space="preserve">hese signalling interactions are not exclusive to mutualistic relationships.  For instance, </w:t>
      </w:r>
      <w:r w:rsidR="001A2808" w:rsidRPr="00FE3FE9">
        <w:rPr>
          <w:rFonts w:cs="Times New Roman"/>
          <w:szCs w:val="24"/>
        </w:rPr>
        <w:t xml:space="preserve">the </w:t>
      </w:r>
      <w:r w:rsidR="001A2808" w:rsidRPr="00833CE8">
        <w:rPr>
          <w:rFonts w:cs="Times New Roman"/>
          <w:szCs w:val="24"/>
        </w:rPr>
        <w:t xml:space="preserve">microalgae </w:t>
      </w:r>
      <w:r w:rsidR="001A2808" w:rsidRPr="00833CE8">
        <w:rPr>
          <w:rFonts w:cs="Times New Roman"/>
          <w:i/>
          <w:iCs/>
          <w:szCs w:val="24"/>
        </w:rPr>
        <w:t>E</w:t>
      </w:r>
      <w:r w:rsidR="007E5E0F" w:rsidRPr="00833CE8">
        <w:rPr>
          <w:rFonts w:cs="Times New Roman"/>
          <w:i/>
          <w:iCs/>
          <w:szCs w:val="24"/>
        </w:rPr>
        <w:t>.</w:t>
      </w:r>
      <w:r w:rsidR="001A2808" w:rsidRPr="00833CE8">
        <w:rPr>
          <w:rFonts w:cs="Times New Roman"/>
          <w:i/>
          <w:iCs/>
          <w:szCs w:val="24"/>
        </w:rPr>
        <w:t xml:space="preserve"> </w:t>
      </w:r>
      <w:proofErr w:type="spellStart"/>
      <w:r w:rsidR="001A2808" w:rsidRPr="00833CE8">
        <w:rPr>
          <w:rFonts w:cs="Times New Roman"/>
          <w:i/>
          <w:iCs/>
          <w:szCs w:val="24"/>
        </w:rPr>
        <w:t>huxleyi</w:t>
      </w:r>
      <w:proofErr w:type="spellEnd"/>
      <w:r w:rsidR="001A2808" w:rsidRPr="00833CE8">
        <w:rPr>
          <w:rFonts w:cs="Times New Roman"/>
          <w:szCs w:val="24"/>
        </w:rPr>
        <w:t xml:space="preserve"> </w:t>
      </w:r>
      <w:r w:rsidR="006433F9" w:rsidRPr="00833CE8">
        <w:rPr>
          <w:rFonts w:cs="Times New Roman"/>
          <w:szCs w:val="24"/>
        </w:rPr>
        <w:t xml:space="preserve">also release </w:t>
      </w:r>
      <w:r w:rsidR="006433F9" w:rsidRPr="00394FE4">
        <w:rPr>
          <w:rFonts w:cs="Times New Roman"/>
          <w:i/>
          <w:iCs/>
          <w:szCs w:val="24"/>
        </w:rPr>
        <w:t>p</w:t>
      </w:r>
      <w:r w:rsidR="006433F9" w:rsidRPr="00833CE8">
        <w:rPr>
          <w:rFonts w:cs="Times New Roman"/>
          <w:szCs w:val="24"/>
        </w:rPr>
        <w:t xml:space="preserve">-coumaric acid as a senescence signal </w:t>
      </w:r>
      <w:r w:rsidR="006433F9" w:rsidRPr="00833CE8">
        <w:rPr>
          <w:rFonts w:cs="Times New Roman"/>
          <w:i/>
          <w:iCs/>
          <w:szCs w:val="24"/>
        </w:rPr>
        <w:fldChar w:fldCharType="begin"/>
      </w:r>
      <w:r w:rsidR="009F150C" w:rsidRPr="00833CE8">
        <w:rPr>
          <w:rFonts w:cs="Times New Roman"/>
          <w:i/>
          <w:iCs/>
          <w:szCs w:val="24"/>
        </w:rPr>
        <w:instrText xml:space="preserve"> ADDIN ZOTERO_ITEM CSL_CITATION {"citationID":"BA0558IY","properties":{"formattedCitation":"(Segev et al., 2016)","plainCitation":"(Segev et al., 2016)","noteIndex":0},"citationItems":[{"id":4531,"uris":["http://zotero.org/users/764524/items/PFFHYZTQ"],"itemData":{"id":4531,"type":"article-journal","abstract":"Emiliania huxleyi is a model coccolithophore micro-alga that generates vast blooms in the ocean. Bacteria are not considered among the major factors influencing coccolithophore physiology. Here we show through a laboratory model system that the bacterium Phaeobacter inhibens, a well-studied member of the Roseobacter group, intimately interacts with E. huxleyi. While attached to the algal cell, bacteria initially promote algal growth but ultimately kill their algal host. Both algal growth enhancement and algal death are driven by the bacterially-produced phytohormone indole-3-acetic acid. Bacterial production of indole-3-acetic acid and attachment to algae are significantly increased by tryptophan, which is exuded from the algal cell. Algal death triggered by bacteria involves activation of pathways unique to oxidative stress response and programmed cell death. Our observations suggest that bacteria greatly influence the physiology and metabolism of E. huxleyi. Coccolithophore-bacteria interactions should be further studied in the environment to determine whether they impact micro-algal population dynamics on a global scale.","container-title":"eLife","DOI":"10.7554/eLife.17473","ISSN":"2050-084X","note":"publisher: eLife Sciences Publications, Ltd","page":"e17473","source":"eLife","title":"Dynamic metabolic exchange governs a marine algal-bacterial interaction","volume":"5","author":[{"family":"Segev","given":"Einat"},{"family":"Wyche","given":"Thomas P"},{"family":"Kim","given":"Ki Hyun"},{"family":"Petersen","given":"Jörn"},{"family":"Ellebrandt","given":"Claire"},{"family":"Vlamakis","given":"Hera"},{"family":"Barteneva","given":"Natasha"},{"family":"Paulson","given":"Joseph N"},{"family":"Chai","given":"Liraz"},{"family":"Clardy","given":"Jon"},{"family":"Kolter","given":"Roberto"}],"editor":[{"family":"Falkowski","given":"Paul G"}],"issued":{"date-parts":[["2016",11,18]]}}}],"schema":"https://github.com/citation-style-language/schema/raw/master/csl-citation.json"} </w:instrText>
      </w:r>
      <w:r w:rsidR="006433F9" w:rsidRPr="00833CE8">
        <w:rPr>
          <w:rFonts w:cs="Times New Roman"/>
          <w:i/>
          <w:iCs/>
          <w:szCs w:val="24"/>
        </w:rPr>
        <w:fldChar w:fldCharType="separate"/>
      </w:r>
      <w:r w:rsidR="009F150C" w:rsidRPr="00833CE8">
        <w:rPr>
          <w:rFonts w:cs="Times New Roman"/>
        </w:rPr>
        <w:t>(Segev et al., 2016)</w:t>
      </w:r>
      <w:r w:rsidR="006433F9" w:rsidRPr="00833CE8">
        <w:rPr>
          <w:rFonts w:cs="Times New Roman"/>
          <w:i/>
          <w:iCs/>
          <w:szCs w:val="24"/>
        </w:rPr>
        <w:fldChar w:fldCharType="end"/>
      </w:r>
      <w:r w:rsidR="006433F9" w:rsidRPr="00833CE8">
        <w:rPr>
          <w:rFonts w:cs="Times New Roman"/>
          <w:szCs w:val="24"/>
        </w:rPr>
        <w:t xml:space="preserve">. Bacteria </w:t>
      </w:r>
      <w:r w:rsidR="00B046F1" w:rsidRPr="00833CE8">
        <w:rPr>
          <w:rFonts w:cs="Times New Roman"/>
          <w:szCs w:val="24"/>
        </w:rPr>
        <w:t xml:space="preserve">such as </w:t>
      </w:r>
      <w:proofErr w:type="spellStart"/>
      <w:r w:rsidR="00B046F1" w:rsidRPr="00833CE8">
        <w:rPr>
          <w:rFonts w:cs="Times New Roman"/>
          <w:i/>
          <w:iCs/>
          <w:szCs w:val="24"/>
        </w:rPr>
        <w:t>Phaeobacter</w:t>
      </w:r>
      <w:proofErr w:type="spellEnd"/>
      <w:r w:rsidR="00B046F1" w:rsidRPr="00833CE8">
        <w:rPr>
          <w:rFonts w:cs="Times New Roman"/>
          <w:i/>
          <w:iCs/>
          <w:szCs w:val="24"/>
        </w:rPr>
        <w:t xml:space="preserve"> </w:t>
      </w:r>
      <w:proofErr w:type="spellStart"/>
      <w:r w:rsidR="00B046F1" w:rsidRPr="00833CE8">
        <w:rPr>
          <w:rFonts w:cs="Times New Roman"/>
          <w:i/>
          <w:iCs/>
          <w:szCs w:val="24"/>
        </w:rPr>
        <w:t>inhibens</w:t>
      </w:r>
      <w:proofErr w:type="spellEnd"/>
      <w:r w:rsidR="00B046F1" w:rsidRPr="00833CE8">
        <w:rPr>
          <w:rFonts w:cs="Times New Roman"/>
          <w:szCs w:val="24"/>
        </w:rPr>
        <w:t xml:space="preserve"> </w:t>
      </w:r>
      <w:r w:rsidR="006433F9" w:rsidRPr="00833CE8">
        <w:rPr>
          <w:rFonts w:cs="Times New Roman"/>
          <w:szCs w:val="24"/>
        </w:rPr>
        <w:t xml:space="preserve">can then respond to this signal with the release of algicidal </w:t>
      </w:r>
      <w:proofErr w:type="spellStart"/>
      <w:r w:rsidR="006433F9" w:rsidRPr="00833CE8">
        <w:rPr>
          <w:rFonts w:cs="Times New Roman"/>
          <w:szCs w:val="24"/>
        </w:rPr>
        <w:t>roseobacticides</w:t>
      </w:r>
      <w:proofErr w:type="spellEnd"/>
      <w:r w:rsidR="00A929B8">
        <w:rPr>
          <w:rFonts w:cs="Times New Roman"/>
          <w:szCs w:val="24"/>
        </w:rPr>
        <w:t xml:space="preserve">, first </w:t>
      </w:r>
      <w:r w:rsidR="00C218D4">
        <w:rPr>
          <w:rFonts w:cs="Times New Roman"/>
          <w:szCs w:val="24"/>
        </w:rPr>
        <w:t>report</w:t>
      </w:r>
      <w:r w:rsidR="00A929B8">
        <w:rPr>
          <w:rFonts w:cs="Times New Roman"/>
          <w:szCs w:val="24"/>
        </w:rPr>
        <w:t>ed in their a</w:t>
      </w:r>
      <w:r w:rsidR="00C218D4">
        <w:rPr>
          <w:rFonts w:cs="Times New Roman"/>
          <w:szCs w:val="24"/>
        </w:rPr>
        <w:t>l</w:t>
      </w:r>
      <w:r w:rsidR="00A929B8">
        <w:rPr>
          <w:rFonts w:cs="Times New Roman"/>
          <w:szCs w:val="24"/>
        </w:rPr>
        <w:t>gal-bacterial ecological context</w:t>
      </w:r>
      <w:r w:rsidR="00C218D4">
        <w:rPr>
          <w:rFonts w:cs="Times New Roman"/>
          <w:szCs w:val="24"/>
        </w:rPr>
        <w:t xml:space="preserve"> in 2011</w:t>
      </w:r>
      <w:r w:rsidR="00A726DA">
        <w:rPr>
          <w:rFonts w:cs="Times New Roman"/>
          <w:szCs w:val="24"/>
        </w:rPr>
        <w:t xml:space="preserve"> </w:t>
      </w:r>
      <w:r w:rsidR="00A726DA">
        <w:rPr>
          <w:rFonts w:cs="Times New Roman"/>
          <w:szCs w:val="24"/>
        </w:rPr>
        <w:fldChar w:fldCharType="begin"/>
      </w:r>
      <w:r w:rsidR="007139F6">
        <w:rPr>
          <w:rFonts w:cs="Times New Roman"/>
          <w:szCs w:val="24"/>
        </w:rPr>
        <w:instrText xml:space="preserve"> ADDIN ZOTERO_ITEM CSL_CITATION {"citationID":"loleeUb2","properties":{"formattedCitation":"(Seyedsayamdost et al., 2011a)","plainCitation":"(Seyedsayamdost et al., 2011a)","noteIndex":0},"citationItems":[{"id":9528,"uris":["http://zotero.org/users/764524/items/5GUVBQNR"],"itemData":{"id":9528,"type":"article-journal","abstract":"Marine bacteria and microalgae engage in dynamic symbioses mediated by small molecules. A recent study of Phaeobacter gallaeciensis, a member of the large roseobacter clade of α-proteobacteria, and Emiliania huxleyi, a prominent member of the microphytoplankton found in large algal blooms, revealed that an algal senescence signal produced by E. huxleyi elicits the production of novel algaecides, the roseobacticides, from the bacterial symbiont. In this report, the generality of these findings are examined by expanding the number of potential elicitors. This expansion led to the identification of nine new members of the roseobacticide family, rare bacterial troponoids, which provide insights into both their biological roles and their biosynthesis. The qualitative and quantitative changes in the levels of roseobacticides induced by the additional elicitors and the elicitors’ varied efficiencies support the concept of host-targeted roseobacticide production. Structures of the new family members arise from variable substituents at the C3 and C7 positions of the roseobacticide core as the diversifying elements and suggest that the roseobacticides result from modifications and combinations of aromatic amino acids. Together these studies support a model in which algal senescence converts a mutualistic bacterial symbiont into an opportunistic parasite of its hosts.","container-title":"Journal of the American Chemical Society","DOI":"10.1021/ja207172s","ISSN":"0002-7863","issue":"45","journalAbbreviation":"J. Am. Chem. Soc.","note":"publisher: American Chemical Society","page":"18343-18349","source":"ACS Publications","title":"Roseobacticides: Small Molecule Modulators of an Algal-Bacterial Symbiosis","title-short":"Roseobacticides","volume":"133","author":[{"family":"Seyedsayamdost","given":"Mohammad R."},{"family":"Carr","given":"Gavin"},{"family":"Kolter","given":"Roberto"},{"family":"Clardy","given":"Jon"}],"issued":{"date-parts":[["2011",11,16]]}}}],"schema":"https://github.com/citation-style-language/schema/raw/master/csl-citation.json"} </w:instrText>
      </w:r>
      <w:r w:rsidR="00A726DA">
        <w:rPr>
          <w:rFonts w:cs="Times New Roman"/>
          <w:szCs w:val="24"/>
        </w:rPr>
        <w:fldChar w:fldCharType="separate"/>
      </w:r>
      <w:r w:rsidR="007139F6" w:rsidRPr="007139F6">
        <w:rPr>
          <w:rFonts w:cs="Times New Roman"/>
        </w:rPr>
        <w:t>(Seyedsayamdost et al., 2011a)</w:t>
      </w:r>
      <w:r w:rsidR="00A726DA">
        <w:rPr>
          <w:rFonts w:cs="Times New Roman"/>
          <w:szCs w:val="24"/>
        </w:rPr>
        <w:fldChar w:fldCharType="end"/>
      </w:r>
      <w:r w:rsidR="00A726DA">
        <w:rPr>
          <w:rFonts w:cs="Times New Roman"/>
          <w:szCs w:val="24"/>
        </w:rPr>
        <w:t>,</w:t>
      </w:r>
      <w:r w:rsidR="006433F9" w:rsidRPr="00833CE8">
        <w:rPr>
          <w:rFonts w:cs="Times New Roman"/>
          <w:szCs w:val="24"/>
        </w:rPr>
        <w:t xml:space="preserve"> which kill the senescent microalgal </w:t>
      </w:r>
      <w:r w:rsidR="006433F9" w:rsidRPr="00394FE4">
        <w:rPr>
          <w:rFonts w:cs="Times New Roman"/>
          <w:szCs w:val="24"/>
        </w:rPr>
        <w:t xml:space="preserve">cells for their nutrients, especially micronutrients limited in the environment </w:t>
      </w:r>
      <w:r w:rsidR="00B046F1" w:rsidRPr="00394FE4">
        <w:rPr>
          <w:rFonts w:cs="Times New Roman"/>
          <w:szCs w:val="24"/>
        </w:rPr>
        <w:t>like</w:t>
      </w:r>
      <w:r w:rsidR="006433F9" w:rsidRPr="00394FE4">
        <w:rPr>
          <w:rFonts w:cs="Times New Roman"/>
          <w:szCs w:val="24"/>
        </w:rPr>
        <w:t xml:space="preserve"> iron</w:t>
      </w:r>
      <w:r w:rsidR="00B046F1" w:rsidRPr="00394FE4">
        <w:rPr>
          <w:rFonts w:cs="Times New Roman"/>
          <w:szCs w:val="24"/>
        </w:rPr>
        <w:t xml:space="preserve"> </w:t>
      </w:r>
      <w:r w:rsidR="006433F9" w:rsidRPr="00394FE4">
        <w:rPr>
          <w:rFonts w:cs="Times New Roman"/>
          <w:szCs w:val="24"/>
        </w:rPr>
        <w:fldChar w:fldCharType="begin"/>
      </w:r>
      <w:r w:rsidR="00CA0829">
        <w:rPr>
          <w:rFonts w:cs="Times New Roman"/>
          <w:szCs w:val="24"/>
        </w:rPr>
        <w:instrText xml:space="preserve"> ADDIN ZOTERO_ITEM CSL_CITATION {"citationID":"pXgVwfkn","properties":{"formattedCitation":"(R. Wang et al., 2022)","plainCitation":"(R. Wang et al., 2022)","noteIndex":0},"citationItems":[{"id":4620,"uris":["http://zotero.org/users/764524/items/J96DNR7A"],"itemData":{"id":4620,"type":"article-journal","abstract":"The marine alpha-proteobacterium Phaeobacter inhibens engages in intermittent symbioses with microalgae. The symbiosis is biphasic and concludes in a parasitic phase, during which the bacteria release algaecidal metabolites in response to algal p-coumaric acid (pCA). The cell-wide effects of pCA on P. inhibens remain unknown. Herein, we report a microarray-based transcriptomic study and find that genes related to the oxidative stress response and secondary metabolism are upregulated most, while those associated with energy production and motility are downregulated in the presence of pCA. Among genes upregulated is a previously unannotated biosynthetic gene cluster and, using a combination of gene deletions and metabolic profiling, we show that it gives rise to an unreported siderophore, roseobactin. The simultaneous production of algaecides and roseobactin in the parasitic phase allows the bacteria to take up any iron that is released from dying algal cells, thereby securing a limited micronutrient.","container-title":"Cell Chemical Biology","DOI":"10.1016/j.chembiol.2021.08.002","ISSN":"2451-9456","issue":"4","journalAbbreviation":"Cell Chem. Biol.","page":"670-679.e5","source":"ScienceDirect","title":"Algal &lt;i&gt;p&lt;/i&gt;-coumaric acid induces oxidative stress and siderophore biosynthesis in the bacterial symbiont &lt;i&gt;Phaeobacter inhibens&lt;/i&gt;","volume":"29","author":[{"family":"Wang","given":"Rurun"},{"family":"Gallant","given":"Étienne"},{"family":"Wilson","given":"Maxwell Z."},{"family":"Wu","given":"Yihan"},{"family":"Li","given":"Anran"},{"family":"Gitai","given":"Zemer"},{"family":"Seyedsayamdost","given":"Mohammad R."}],"issued":{"date-parts":[["2022",4,21]]}}}],"schema":"https://github.com/citation-style-language/schema/raw/master/csl-citation.json"} </w:instrText>
      </w:r>
      <w:r w:rsidR="006433F9" w:rsidRPr="00394FE4">
        <w:rPr>
          <w:rFonts w:cs="Times New Roman"/>
          <w:szCs w:val="24"/>
        </w:rPr>
        <w:fldChar w:fldCharType="separate"/>
      </w:r>
      <w:r w:rsidR="009F150C" w:rsidRPr="00394FE4">
        <w:rPr>
          <w:rFonts w:cs="Times New Roman"/>
        </w:rPr>
        <w:t>(R. Wang et al., 2022)</w:t>
      </w:r>
      <w:r w:rsidR="006433F9" w:rsidRPr="00394FE4">
        <w:rPr>
          <w:rFonts w:cs="Times New Roman"/>
          <w:szCs w:val="24"/>
        </w:rPr>
        <w:fldChar w:fldCharType="end"/>
      </w:r>
      <w:r w:rsidR="006433F9" w:rsidRPr="00394FE4">
        <w:rPr>
          <w:rFonts w:cs="Times New Roman"/>
          <w:szCs w:val="24"/>
        </w:rPr>
        <w:t>.</w:t>
      </w:r>
      <w:r w:rsidR="00B046F1" w:rsidRPr="00394FE4">
        <w:rPr>
          <w:rFonts w:cs="Times New Roman"/>
          <w:szCs w:val="24"/>
        </w:rPr>
        <w:t xml:space="preserve"> </w:t>
      </w:r>
      <w:r w:rsidR="001A66BC">
        <w:rPr>
          <w:rFonts w:cs="Times New Roman"/>
          <w:szCs w:val="24"/>
        </w:rPr>
        <w:t xml:space="preserve"> As a result, the symbiotic relationship</w:t>
      </w:r>
      <w:r w:rsidR="001C39B8">
        <w:rPr>
          <w:rFonts w:cs="Times New Roman"/>
          <w:szCs w:val="24"/>
        </w:rPr>
        <w:t xml:space="preserve"> between</w:t>
      </w:r>
      <w:r w:rsidR="001A66BC">
        <w:rPr>
          <w:rFonts w:cs="Times New Roman"/>
          <w:szCs w:val="24"/>
        </w:rPr>
        <w:t xml:space="preserve"> </w:t>
      </w:r>
      <w:r w:rsidR="001A66BC" w:rsidRPr="001A66BC">
        <w:rPr>
          <w:rFonts w:cs="Times New Roman"/>
          <w:i/>
          <w:iCs/>
          <w:szCs w:val="24"/>
        </w:rPr>
        <w:t xml:space="preserve">E. </w:t>
      </w:r>
      <w:proofErr w:type="spellStart"/>
      <w:r w:rsidR="001A66BC" w:rsidRPr="001A66BC">
        <w:rPr>
          <w:rFonts w:cs="Times New Roman"/>
          <w:i/>
          <w:iCs/>
          <w:szCs w:val="24"/>
        </w:rPr>
        <w:t>huxleyi</w:t>
      </w:r>
      <w:proofErr w:type="spellEnd"/>
      <w:r w:rsidR="001A66BC" w:rsidRPr="001A66BC">
        <w:rPr>
          <w:rFonts w:cs="Times New Roman"/>
          <w:i/>
          <w:iCs/>
          <w:szCs w:val="24"/>
        </w:rPr>
        <w:t xml:space="preserve"> </w:t>
      </w:r>
      <w:r w:rsidR="001A66BC" w:rsidRPr="001A66BC">
        <w:rPr>
          <w:rFonts w:cs="Times New Roman"/>
          <w:szCs w:val="24"/>
        </w:rPr>
        <w:t>and</w:t>
      </w:r>
      <w:r w:rsidR="001A66BC" w:rsidRPr="001A66BC">
        <w:rPr>
          <w:rFonts w:cs="Times New Roman"/>
          <w:i/>
          <w:iCs/>
          <w:szCs w:val="24"/>
        </w:rPr>
        <w:t xml:space="preserve"> P.</w:t>
      </w:r>
      <w:r w:rsidR="001A66BC">
        <w:rPr>
          <w:rFonts w:cs="Times New Roman"/>
          <w:i/>
          <w:iCs/>
          <w:szCs w:val="24"/>
        </w:rPr>
        <w:t xml:space="preserve"> </w:t>
      </w:r>
      <w:proofErr w:type="spellStart"/>
      <w:r w:rsidR="001A66BC">
        <w:rPr>
          <w:rFonts w:cs="Times New Roman"/>
          <w:i/>
          <w:iCs/>
          <w:szCs w:val="24"/>
        </w:rPr>
        <w:t>inhibens</w:t>
      </w:r>
      <w:proofErr w:type="spellEnd"/>
      <w:r w:rsidR="001A66BC" w:rsidRPr="001A66BC">
        <w:rPr>
          <w:rFonts w:cs="Times New Roman"/>
          <w:i/>
          <w:iCs/>
          <w:szCs w:val="24"/>
        </w:rPr>
        <w:t xml:space="preserve"> </w:t>
      </w:r>
      <w:r w:rsidR="001A66BC">
        <w:rPr>
          <w:rFonts w:cs="Times New Roman"/>
          <w:szCs w:val="24"/>
        </w:rPr>
        <w:t>can alternate between a mutualistic phase, in which nutrient exchange</w:t>
      </w:r>
      <w:r w:rsidR="001C39B8">
        <w:rPr>
          <w:rFonts w:cs="Times New Roman"/>
          <w:szCs w:val="24"/>
        </w:rPr>
        <w:t xml:space="preserve"> </w:t>
      </w:r>
      <w:r w:rsidR="001A66BC">
        <w:rPr>
          <w:rFonts w:cs="Times New Roman"/>
          <w:szCs w:val="24"/>
        </w:rPr>
        <w:t xml:space="preserve"> </w:t>
      </w:r>
      <w:r w:rsidR="001C39B8">
        <w:rPr>
          <w:rFonts w:cs="Times New Roman"/>
          <w:szCs w:val="24"/>
        </w:rPr>
        <w:t xml:space="preserve">and beneficial signalling occurs, </w:t>
      </w:r>
      <w:r w:rsidR="001A66BC">
        <w:rPr>
          <w:rFonts w:cs="Times New Roman"/>
          <w:szCs w:val="24"/>
        </w:rPr>
        <w:t>and a parasitic phase</w:t>
      </w:r>
      <w:r w:rsidR="001C39B8">
        <w:rPr>
          <w:rFonts w:cs="Times New Roman"/>
          <w:szCs w:val="24"/>
        </w:rPr>
        <w:t>,</w:t>
      </w:r>
      <w:r w:rsidR="001A66BC">
        <w:rPr>
          <w:rFonts w:cs="Times New Roman"/>
          <w:szCs w:val="24"/>
        </w:rPr>
        <w:t xml:space="preserve"> in which both organisms induce oxidative stress</w:t>
      </w:r>
      <w:r w:rsidR="001C39B8">
        <w:rPr>
          <w:rFonts w:cs="Times New Roman"/>
          <w:szCs w:val="24"/>
        </w:rPr>
        <w:t xml:space="preserve"> using toxic compounds</w:t>
      </w:r>
      <w:r w:rsidR="001A66BC">
        <w:rPr>
          <w:rFonts w:cs="Times New Roman"/>
          <w:szCs w:val="24"/>
        </w:rPr>
        <w:t xml:space="preserve">.  </w:t>
      </w:r>
      <w:r w:rsidR="00392249" w:rsidRPr="00394FE4">
        <w:rPr>
          <w:rFonts w:cs="Times New Roman"/>
          <w:szCs w:val="24"/>
        </w:rPr>
        <w:t xml:space="preserve">This behaviour serves as a reminder </w:t>
      </w:r>
      <w:r w:rsidR="00A929B8" w:rsidRPr="00394FE4">
        <w:rPr>
          <w:rFonts w:cs="Times New Roman"/>
          <w:szCs w:val="24"/>
        </w:rPr>
        <w:t xml:space="preserve">that </w:t>
      </w:r>
      <w:r w:rsidR="00392249" w:rsidRPr="00394FE4">
        <w:rPr>
          <w:rFonts w:cs="Times New Roman"/>
          <w:szCs w:val="24"/>
        </w:rPr>
        <w:t>mutualistic bacterial symbionts are not defined by species, but by a dynamic series of</w:t>
      </w:r>
      <w:r w:rsidR="009603C3" w:rsidRPr="00394FE4">
        <w:rPr>
          <w:rFonts w:cs="Times New Roman"/>
          <w:szCs w:val="24"/>
        </w:rPr>
        <w:t xml:space="preserve"> </w:t>
      </w:r>
      <w:r w:rsidR="00392249" w:rsidRPr="00394FE4">
        <w:rPr>
          <w:rFonts w:cs="Times New Roman"/>
          <w:szCs w:val="24"/>
        </w:rPr>
        <w:t>interactions, so that even mutualistic relationships ca</w:t>
      </w:r>
      <w:r w:rsidR="006433F9" w:rsidRPr="00394FE4">
        <w:rPr>
          <w:rFonts w:cs="Times New Roman"/>
          <w:szCs w:val="24"/>
        </w:rPr>
        <w:t xml:space="preserve">n result in parasitism </w:t>
      </w:r>
      <w:r w:rsidR="00392249" w:rsidRPr="00394FE4">
        <w:rPr>
          <w:rFonts w:cs="Times New Roman"/>
          <w:szCs w:val="24"/>
        </w:rPr>
        <w:t>if the conditions change.</w:t>
      </w:r>
      <w:r w:rsidR="006C4412" w:rsidRPr="00394FE4">
        <w:rPr>
          <w:rFonts w:cs="Times New Roman"/>
          <w:szCs w:val="24"/>
        </w:rPr>
        <w:t xml:space="preserve">  </w:t>
      </w:r>
    </w:p>
    <w:p w14:paraId="704452ED" w14:textId="196F6F5D" w:rsidR="00922827" w:rsidRPr="00833CE8" w:rsidRDefault="006C4412" w:rsidP="00234889">
      <w:pPr>
        <w:tabs>
          <w:tab w:val="center" w:pos="4822"/>
        </w:tabs>
        <w:snapToGrid w:val="0"/>
        <w:spacing w:line="360" w:lineRule="auto"/>
        <w:ind w:firstLine="284"/>
        <w:jc w:val="both"/>
        <w:rPr>
          <w:rFonts w:cs="Times New Roman"/>
          <w:szCs w:val="24"/>
        </w:rPr>
      </w:pPr>
      <w:r w:rsidRPr="00394FE4">
        <w:rPr>
          <w:rFonts w:cs="Times New Roman"/>
          <w:szCs w:val="24"/>
        </w:rPr>
        <w:t xml:space="preserve">On the other hand, the complex interactions in marine ecosystems can also </w:t>
      </w:r>
      <w:r w:rsidR="009C6520" w:rsidRPr="00394FE4">
        <w:rPr>
          <w:rFonts w:cs="Times New Roman"/>
          <w:szCs w:val="24"/>
        </w:rPr>
        <w:t>lead</w:t>
      </w:r>
      <w:r w:rsidRPr="00394FE4">
        <w:rPr>
          <w:rFonts w:cs="Times New Roman"/>
          <w:szCs w:val="24"/>
        </w:rPr>
        <w:t xml:space="preserve"> </w:t>
      </w:r>
      <w:r w:rsidR="009C6520" w:rsidRPr="00394FE4">
        <w:rPr>
          <w:rFonts w:cs="Times New Roman"/>
          <w:szCs w:val="24"/>
        </w:rPr>
        <w:t>to</w:t>
      </w:r>
      <w:r w:rsidRPr="00394FE4">
        <w:rPr>
          <w:rFonts w:cs="Times New Roman"/>
          <w:szCs w:val="24"/>
        </w:rPr>
        <w:t xml:space="preserve"> protection from algicides.  For example, the bacterium </w:t>
      </w:r>
      <w:r w:rsidRPr="00394FE4">
        <w:rPr>
          <w:rFonts w:cs="Times New Roman"/>
          <w:i/>
          <w:iCs/>
          <w:szCs w:val="24"/>
        </w:rPr>
        <w:t xml:space="preserve">Pseudomonas </w:t>
      </w:r>
      <w:proofErr w:type="spellStart"/>
      <w:r w:rsidRPr="00394FE4">
        <w:rPr>
          <w:rFonts w:cs="Times New Roman"/>
          <w:i/>
          <w:iCs/>
          <w:szCs w:val="24"/>
        </w:rPr>
        <w:t>protegens</w:t>
      </w:r>
      <w:proofErr w:type="spellEnd"/>
      <w:r w:rsidRPr="00394FE4">
        <w:rPr>
          <w:rFonts w:cs="Times New Roman"/>
          <w:i/>
          <w:iCs/>
          <w:szCs w:val="24"/>
        </w:rPr>
        <w:t xml:space="preserve"> </w:t>
      </w:r>
      <w:r w:rsidRPr="00394FE4">
        <w:rPr>
          <w:rFonts w:cs="Times New Roman"/>
          <w:szCs w:val="24"/>
        </w:rPr>
        <w:t xml:space="preserve">releases several algicidal compounds, including </w:t>
      </w:r>
      <w:r w:rsidR="00335ECD" w:rsidRPr="00394FE4">
        <w:rPr>
          <w:rFonts w:cs="Times New Roman"/>
          <w:szCs w:val="24"/>
        </w:rPr>
        <w:t xml:space="preserve">the </w:t>
      </w:r>
      <w:r w:rsidRPr="00394FE4">
        <w:rPr>
          <w:rFonts w:cs="Times New Roman"/>
          <w:szCs w:val="24"/>
        </w:rPr>
        <w:t>cyclic lipopeptide</w:t>
      </w:r>
      <w:r w:rsidR="00335ECD" w:rsidRPr="00394FE4">
        <w:rPr>
          <w:rFonts w:cs="Times New Roman"/>
          <w:szCs w:val="24"/>
        </w:rPr>
        <w:t xml:space="preserve"> </w:t>
      </w:r>
      <w:proofErr w:type="spellStart"/>
      <w:r w:rsidR="00335ECD" w:rsidRPr="00394FE4">
        <w:rPr>
          <w:rFonts w:cs="Times New Roman"/>
          <w:szCs w:val="24"/>
        </w:rPr>
        <w:t>orfamide</w:t>
      </w:r>
      <w:proofErr w:type="spellEnd"/>
      <w:r w:rsidR="00335ECD" w:rsidRPr="00394FE4">
        <w:rPr>
          <w:rFonts w:cs="Times New Roman"/>
          <w:szCs w:val="24"/>
        </w:rPr>
        <w:t xml:space="preserve"> A</w:t>
      </w:r>
      <w:r w:rsidRPr="00394FE4">
        <w:rPr>
          <w:rFonts w:cs="Times New Roman"/>
          <w:szCs w:val="24"/>
        </w:rPr>
        <w:t>, which can</w:t>
      </w:r>
      <w:r w:rsidRPr="00833CE8">
        <w:rPr>
          <w:rFonts w:cs="Times New Roman"/>
          <w:szCs w:val="24"/>
        </w:rPr>
        <w:t xml:space="preserve"> inhibit the cilia of the alga </w:t>
      </w:r>
      <w:r w:rsidRPr="00833CE8">
        <w:rPr>
          <w:rFonts w:cs="Times New Roman"/>
          <w:i/>
          <w:iCs/>
          <w:szCs w:val="24"/>
        </w:rPr>
        <w:t xml:space="preserve">C. </w:t>
      </w:r>
      <w:proofErr w:type="spellStart"/>
      <w:r w:rsidRPr="00833CE8">
        <w:rPr>
          <w:rFonts w:cs="Times New Roman"/>
          <w:i/>
          <w:iCs/>
          <w:szCs w:val="24"/>
        </w:rPr>
        <w:lastRenderedPageBreak/>
        <w:t>reinhardtii</w:t>
      </w:r>
      <w:proofErr w:type="spellEnd"/>
      <w:r w:rsidRPr="00833CE8">
        <w:rPr>
          <w:rFonts w:cs="Times New Roman"/>
          <w:szCs w:val="24"/>
        </w:rPr>
        <w:t>, preventing its escape from the predatory</w:t>
      </w:r>
      <w:r w:rsidRPr="00833CE8">
        <w:rPr>
          <w:rFonts w:cs="Times New Roman"/>
          <w:i/>
          <w:iCs/>
          <w:szCs w:val="24"/>
        </w:rPr>
        <w:t xml:space="preserve"> P. </w:t>
      </w:r>
      <w:proofErr w:type="spellStart"/>
      <w:r w:rsidRPr="00833CE8">
        <w:rPr>
          <w:rFonts w:cs="Times New Roman"/>
          <w:i/>
          <w:iCs/>
          <w:szCs w:val="24"/>
        </w:rPr>
        <w:t>protegens</w:t>
      </w:r>
      <w:proofErr w:type="spellEnd"/>
      <w:r w:rsidR="00172D83" w:rsidRPr="00833CE8">
        <w:rPr>
          <w:rFonts w:cs="Times New Roman"/>
          <w:i/>
          <w:iCs/>
          <w:szCs w:val="24"/>
        </w:rPr>
        <w:t xml:space="preserve"> </w:t>
      </w:r>
      <w:r w:rsidR="00A043B4" w:rsidRPr="00833CE8">
        <w:rPr>
          <w:rFonts w:cs="Times New Roman"/>
          <w:szCs w:val="24"/>
        </w:rPr>
        <w:fldChar w:fldCharType="begin"/>
      </w:r>
      <w:r w:rsidR="00742839">
        <w:rPr>
          <w:rFonts w:cs="Times New Roman"/>
          <w:szCs w:val="24"/>
        </w:rPr>
        <w:instrText xml:space="preserve"> ADDIN ZOTERO_ITEM CSL_CITATION {"citationID":"xqE7jZ7L","properties":{"formattedCitation":"(Rose et al., 2021)","plainCitation":"(Rose et al., 2021)","noteIndex":0},"citationItems":[{"id":9291,"uris":["http://zotero.org/users/764524/items/KCYSZ4VX"],"itemData":{"id":9291,"type":"article-journal","abstract":"The unicellular alga Chlamydomonas reinhardtii and the bacterium Pseudomonas protegens serve as a model to study the interactions between photosynthetic and heterotrophic microorganisms. P. protegens...","container-title":"Environmental Microbiology","DOI":"10.1111/1462-2920.15700","ISSN":"1462-2920","issue":"9","journalAbbreviation":"Environ. Microbiol.","language":"en","note":"publisher: John Wiley &amp; Sons, Ltd","page":"5525-5540","source":"enviromicro-journals.onlinelibrary.wiley.com","title":"The bacterium Pseudomonas protegens antagonizes the microalga &lt;i&gt;Chlamydomonas reinhardtii&lt;/i&gt; using a blend of toxins","volume":"23","author":[{"family":"Rose","given":"Magdalena M."},{"family":"Scheer","given":"Daniel"},{"family":"Hou","given":"Yu"},{"family":"Hotter","given":"Vivien S."},{"family":"Komor","given":"Anna J."},{"family":"Aiyar","given":"Prasad"},{"family":"Scherlach","given":"Kirstin"},{"family":"Vergara","given":"Fredd"},{"family":"Yan","given":"Qing"},{"family":"Loper","given":"Joyce E."},{"family":"Jakob","given":"Torsten"},{"family":"Dam","given":"Nicole M.","dropping-particle":"van"},{"family":"Hertweck","given":"Christian"},{"family":"Mittag","given":"Maria"},{"family":"Sasso","given":"Severin"}],"issued":{"date-parts":[["2021",9,1]]}}}],"schema":"https://github.com/citation-style-language/schema/raw/master/csl-citation.json"} </w:instrText>
      </w:r>
      <w:r w:rsidR="00A043B4" w:rsidRPr="00833CE8">
        <w:rPr>
          <w:rFonts w:cs="Times New Roman"/>
          <w:szCs w:val="24"/>
        </w:rPr>
        <w:fldChar w:fldCharType="separate"/>
      </w:r>
      <w:r w:rsidR="009F150C" w:rsidRPr="00833CE8">
        <w:rPr>
          <w:rFonts w:cs="Times New Roman"/>
        </w:rPr>
        <w:t>(Rose et al., 2021)</w:t>
      </w:r>
      <w:r w:rsidR="00A043B4" w:rsidRPr="00833CE8">
        <w:rPr>
          <w:rFonts w:cs="Times New Roman"/>
          <w:szCs w:val="24"/>
        </w:rPr>
        <w:fldChar w:fldCharType="end"/>
      </w:r>
      <w:r w:rsidRPr="00833CE8">
        <w:rPr>
          <w:rFonts w:cs="Times New Roman"/>
          <w:szCs w:val="24"/>
        </w:rPr>
        <w:t xml:space="preserve">.  When the bacterium </w:t>
      </w:r>
      <w:proofErr w:type="spellStart"/>
      <w:r w:rsidRPr="00833CE8">
        <w:rPr>
          <w:rFonts w:cs="Times New Roman"/>
          <w:i/>
          <w:iCs/>
          <w:szCs w:val="24"/>
        </w:rPr>
        <w:t>Mycetocola</w:t>
      </w:r>
      <w:proofErr w:type="spellEnd"/>
      <w:r w:rsidRPr="00833CE8">
        <w:rPr>
          <w:rFonts w:cs="Times New Roman"/>
          <w:i/>
          <w:iCs/>
          <w:szCs w:val="24"/>
        </w:rPr>
        <w:t xml:space="preserve"> </w:t>
      </w:r>
      <w:proofErr w:type="spellStart"/>
      <w:r w:rsidRPr="00833CE8">
        <w:rPr>
          <w:rFonts w:cs="Times New Roman"/>
          <w:i/>
          <w:iCs/>
          <w:szCs w:val="24"/>
        </w:rPr>
        <w:t>lacteus</w:t>
      </w:r>
      <w:proofErr w:type="spellEnd"/>
      <w:r w:rsidRPr="00833CE8">
        <w:rPr>
          <w:rFonts w:cs="Times New Roman"/>
          <w:i/>
          <w:iCs/>
          <w:szCs w:val="24"/>
        </w:rPr>
        <w:t xml:space="preserve"> </w:t>
      </w:r>
      <w:r w:rsidRPr="00833CE8">
        <w:rPr>
          <w:rFonts w:cs="Times New Roman"/>
          <w:szCs w:val="24"/>
        </w:rPr>
        <w:t xml:space="preserve">was added to this system, </w:t>
      </w:r>
      <w:r w:rsidR="00172D83" w:rsidRPr="00833CE8">
        <w:rPr>
          <w:rFonts w:cs="Times New Roman"/>
          <w:szCs w:val="24"/>
        </w:rPr>
        <w:t>it became a mutualistic symbiont that protected</w:t>
      </w:r>
      <w:r w:rsidR="00172D83" w:rsidRPr="00833CE8">
        <w:rPr>
          <w:rFonts w:cs="Times New Roman"/>
          <w:i/>
          <w:iCs/>
          <w:szCs w:val="24"/>
        </w:rPr>
        <w:t xml:space="preserve"> C. </w:t>
      </w:r>
      <w:proofErr w:type="spellStart"/>
      <w:r w:rsidR="00172D83" w:rsidRPr="00833CE8">
        <w:rPr>
          <w:rFonts w:cs="Times New Roman"/>
          <w:i/>
          <w:iCs/>
          <w:szCs w:val="24"/>
        </w:rPr>
        <w:t>reinhardtii</w:t>
      </w:r>
      <w:proofErr w:type="spellEnd"/>
      <w:r w:rsidR="00172D83" w:rsidRPr="00833CE8">
        <w:rPr>
          <w:rFonts w:cs="Times New Roman"/>
          <w:i/>
          <w:iCs/>
          <w:szCs w:val="24"/>
        </w:rPr>
        <w:t xml:space="preserve"> </w:t>
      </w:r>
      <w:r w:rsidR="00172D83" w:rsidRPr="00833CE8">
        <w:rPr>
          <w:rFonts w:cs="Times New Roman"/>
          <w:szCs w:val="24"/>
        </w:rPr>
        <w:t xml:space="preserve">by cleavage of </w:t>
      </w:r>
      <w:proofErr w:type="spellStart"/>
      <w:r w:rsidR="00335ECD" w:rsidRPr="00833CE8">
        <w:rPr>
          <w:rFonts w:cs="Times New Roman"/>
          <w:szCs w:val="24"/>
        </w:rPr>
        <w:t>orfamide</w:t>
      </w:r>
      <w:proofErr w:type="spellEnd"/>
      <w:r w:rsidR="00335ECD" w:rsidRPr="00833CE8">
        <w:rPr>
          <w:rFonts w:cs="Times New Roman"/>
          <w:szCs w:val="24"/>
        </w:rPr>
        <w:t xml:space="preserve"> A</w:t>
      </w:r>
      <w:r w:rsidR="00172D83" w:rsidRPr="00833CE8">
        <w:rPr>
          <w:rFonts w:cs="Times New Roman"/>
          <w:szCs w:val="24"/>
        </w:rPr>
        <w:t xml:space="preserve">, which allows the alga to retain its motility and physically escape </w:t>
      </w:r>
      <w:r w:rsidR="00335ECD" w:rsidRPr="00833CE8">
        <w:rPr>
          <w:rFonts w:cs="Times New Roman"/>
          <w:szCs w:val="24"/>
        </w:rPr>
        <w:fldChar w:fldCharType="begin"/>
      </w:r>
      <w:r w:rsidR="001B155B" w:rsidRPr="00833CE8">
        <w:rPr>
          <w:rFonts w:cs="Times New Roman"/>
          <w:szCs w:val="24"/>
        </w:rPr>
        <w:instrText xml:space="preserve"> ADDIN ZOTERO_ITEM CSL_CITATION {"citationID":"GTt4lzNj","properties":{"formattedCitation":"(Flores et al., 2024)","plainCitation":"(Flores et al., 2024)","noteIndex":0},"citationItems":[{"id":9290,"uris":["http://zotero.org/users/764524/items/92W8HV9W"],"itemData":{"id":9290,"type":"article-journal","abstract":"Photosynthetic protists, known as microalgae, are key contributors to primary production\non Earth. Since early in evolution, they coexist with bact...","archive_location":"world","container-title":"Proceedings of the National Academy of Sciences","DOI":"10.1073/pnas.2401632121","issue":"15","journalAbbreviation":"Proc. Natl. Acad. Sci. U.S.A.","language":"EN","license":"Copyright © 2024 the Author(s). Published by PNAS.","note":"Company: National Academy of Sciences\nDistributor: National Academy of Sciences\nInstitution: National Academy of Sciences\nLabel: National Academy of Sciences\npublisher: Proceedings of the National Academy of Sciences","page":"e2401632121","source":"www.pnas.org","title":"A mutualistic bacterium rescues a green alga from an antagonist","volume":"121","author":[{"family":"Flores","given":"David Carrasco"},{"family":"Hotter","given":"Vivien"},{"family":"Vuong","given":"Trang"},{"family":"Hou","given":"Yu"},{"family":"Bando","given":"Yuko"},{"family":"Scherlach","given":"Kirstin"},{"family":"Burgunter-Delamare","given":"Bertille"},{"family":"Hermenau","given":"Ron"},{"family":"Komor","given":"Anna J."},{"family":"Aiyar","given":"Prasad"},{"family":"Rose","given":"Magdalena"},{"family":"Sasso","given":"Severin"},{"family":"Arndt","given":"Hans-Dieter"},{"family":"Hertweck","given":"Christian"},{"family":"Mittag","given":"Maria"}],"issued":{"date-parts":[["2024",4,9]]}}}],"schema":"https://github.com/citation-style-language/schema/raw/master/csl-citation.json"} </w:instrText>
      </w:r>
      <w:r w:rsidR="00335ECD" w:rsidRPr="00833CE8">
        <w:rPr>
          <w:rFonts w:cs="Times New Roman"/>
          <w:szCs w:val="24"/>
        </w:rPr>
        <w:fldChar w:fldCharType="separate"/>
      </w:r>
      <w:r w:rsidR="001B155B" w:rsidRPr="00833CE8">
        <w:rPr>
          <w:rFonts w:cs="Times New Roman"/>
        </w:rPr>
        <w:t>(Flores et al., 2024)</w:t>
      </w:r>
      <w:r w:rsidR="00335ECD" w:rsidRPr="00833CE8">
        <w:rPr>
          <w:rFonts w:cs="Times New Roman"/>
          <w:szCs w:val="24"/>
        </w:rPr>
        <w:fldChar w:fldCharType="end"/>
      </w:r>
      <w:r w:rsidR="00172D83" w:rsidRPr="00833CE8">
        <w:rPr>
          <w:rFonts w:cs="Times New Roman"/>
          <w:szCs w:val="24"/>
        </w:rPr>
        <w:t xml:space="preserve">.  In exchange, </w:t>
      </w:r>
      <w:r w:rsidR="00172D83" w:rsidRPr="00833CE8">
        <w:rPr>
          <w:rFonts w:cs="Times New Roman"/>
          <w:i/>
          <w:iCs/>
          <w:szCs w:val="24"/>
        </w:rPr>
        <w:t xml:space="preserve">M. </w:t>
      </w:r>
      <w:proofErr w:type="spellStart"/>
      <w:r w:rsidR="00172D83" w:rsidRPr="00833CE8">
        <w:rPr>
          <w:rFonts w:cs="Times New Roman"/>
          <w:i/>
          <w:iCs/>
          <w:szCs w:val="24"/>
        </w:rPr>
        <w:t>lacteus</w:t>
      </w:r>
      <w:proofErr w:type="spellEnd"/>
      <w:r w:rsidR="00172D83" w:rsidRPr="00833CE8">
        <w:rPr>
          <w:rFonts w:cs="Times New Roman"/>
          <w:i/>
          <w:iCs/>
          <w:szCs w:val="24"/>
        </w:rPr>
        <w:t xml:space="preserve"> </w:t>
      </w:r>
      <w:r w:rsidR="00172D83" w:rsidRPr="00833CE8">
        <w:rPr>
          <w:rFonts w:cs="Times New Roman"/>
          <w:szCs w:val="24"/>
        </w:rPr>
        <w:t>can utilize vitamins B</w:t>
      </w:r>
      <w:r w:rsidR="00172D83" w:rsidRPr="00833CE8">
        <w:rPr>
          <w:rFonts w:cs="Times New Roman"/>
          <w:szCs w:val="24"/>
          <w:vertAlign w:val="subscript"/>
        </w:rPr>
        <w:t>1</w:t>
      </w:r>
      <w:r w:rsidR="00172D83" w:rsidRPr="00833CE8">
        <w:rPr>
          <w:rFonts w:cs="Times New Roman"/>
          <w:szCs w:val="24"/>
        </w:rPr>
        <w:t>, B</w:t>
      </w:r>
      <w:r w:rsidR="00172D83" w:rsidRPr="00833CE8">
        <w:rPr>
          <w:rFonts w:cs="Times New Roman"/>
          <w:szCs w:val="24"/>
          <w:vertAlign w:val="subscript"/>
        </w:rPr>
        <w:t>3</w:t>
      </w:r>
      <w:r w:rsidR="00172D83" w:rsidRPr="00833CE8">
        <w:rPr>
          <w:rFonts w:cs="Times New Roman"/>
          <w:szCs w:val="24"/>
        </w:rPr>
        <w:t>, and B</w:t>
      </w:r>
      <w:r w:rsidR="00172D83" w:rsidRPr="00833CE8">
        <w:rPr>
          <w:rFonts w:cs="Times New Roman"/>
          <w:szCs w:val="24"/>
          <w:vertAlign w:val="subscript"/>
        </w:rPr>
        <w:t>5</w:t>
      </w:r>
      <w:r w:rsidR="00744E97" w:rsidRPr="00744E97">
        <w:rPr>
          <w:rFonts w:cs="Times New Roman"/>
          <w:szCs w:val="24"/>
        </w:rPr>
        <w:t>,</w:t>
      </w:r>
      <w:r w:rsidR="00172D83" w:rsidRPr="00833CE8">
        <w:rPr>
          <w:rFonts w:cs="Times New Roman"/>
          <w:szCs w:val="24"/>
        </w:rPr>
        <w:t xml:space="preserve"> as well as methionine as a source of sulfur.</w:t>
      </w:r>
      <w:r w:rsidR="00392249" w:rsidRPr="00833CE8">
        <w:rPr>
          <w:rFonts w:cs="Times New Roman"/>
          <w:szCs w:val="24"/>
        </w:rPr>
        <w:t xml:space="preserve"> </w:t>
      </w:r>
      <w:r w:rsidR="006433F9" w:rsidRPr="00833CE8">
        <w:rPr>
          <w:rFonts w:cs="Times New Roman"/>
          <w:szCs w:val="24"/>
        </w:rPr>
        <w:t xml:space="preserve"> It is therefore crucial to consider the microalgae-bacteria relationship as a </w:t>
      </w:r>
      <w:r w:rsidR="00FA0993">
        <w:rPr>
          <w:rFonts w:cs="Times New Roman"/>
          <w:szCs w:val="24"/>
        </w:rPr>
        <w:t xml:space="preserve">dynamic </w:t>
      </w:r>
      <w:r w:rsidR="006433F9" w:rsidRPr="00833CE8">
        <w:rPr>
          <w:rFonts w:cs="Times New Roman"/>
          <w:szCs w:val="24"/>
        </w:rPr>
        <w:t>system that can vary in the type of symbiosis based on the growth conditions</w:t>
      </w:r>
      <w:r w:rsidR="00FA0993">
        <w:rPr>
          <w:rFonts w:cs="Times New Roman"/>
          <w:szCs w:val="24"/>
        </w:rPr>
        <w:t xml:space="preserve"> and community composition</w:t>
      </w:r>
      <w:r w:rsidR="006433F9" w:rsidRPr="00833CE8">
        <w:rPr>
          <w:rFonts w:cs="Times New Roman"/>
          <w:szCs w:val="24"/>
        </w:rPr>
        <w:t xml:space="preserve">, which is one of the major challenges for </w:t>
      </w:r>
      <w:r w:rsidR="00FA0993">
        <w:rPr>
          <w:rFonts w:cs="Times New Roman"/>
          <w:szCs w:val="24"/>
        </w:rPr>
        <w:t xml:space="preserve">specific and controlled </w:t>
      </w:r>
      <w:r w:rsidR="006433F9" w:rsidRPr="00833CE8">
        <w:rPr>
          <w:rFonts w:cs="Times New Roman"/>
          <w:szCs w:val="24"/>
        </w:rPr>
        <w:t>biotechnological applications.</w:t>
      </w:r>
    </w:p>
    <w:p w14:paraId="751E5F40" w14:textId="77777777" w:rsidR="0026697E" w:rsidRPr="00833CE8" w:rsidRDefault="0026697E" w:rsidP="00C31A9C">
      <w:pPr>
        <w:snapToGrid w:val="0"/>
        <w:spacing w:line="360" w:lineRule="auto"/>
        <w:rPr>
          <w:rFonts w:cs="Times New Roman"/>
          <w:b/>
          <w:bCs/>
          <w:szCs w:val="24"/>
        </w:rPr>
      </w:pPr>
    </w:p>
    <w:p w14:paraId="0DEA08EB" w14:textId="25FA576B" w:rsidR="00CA1F7F" w:rsidRPr="00833CE8" w:rsidRDefault="00F30854" w:rsidP="00B9112F">
      <w:pPr>
        <w:pStyle w:val="ListParagraph"/>
        <w:numPr>
          <w:ilvl w:val="0"/>
          <w:numId w:val="9"/>
        </w:numPr>
        <w:snapToGrid w:val="0"/>
        <w:spacing w:line="360" w:lineRule="auto"/>
        <w:rPr>
          <w:rFonts w:cs="Times New Roman"/>
          <w:b/>
          <w:bCs/>
          <w:szCs w:val="24"/>
        </w:rPr>
      </w:pPr>
      <w:r w:rsidRPr="00833CE8">
        <w:rPr>
          <w:rFonts w:cs="Times New Roman"/>
          <w:b/>
          <w:bCs/>
          <w:szCs w:val="24"/>
        </w:rPr>
        <w:t>Synthetic Ecology</w:t>
      </w:r>
    </w:p>
    <w:p w14:paraId="77DC7B6B" w14:textId="21B032A5" w:rsidR="00F01315" w:rsidRPr="00F01315" w:rsidRDefault="00920D8B" w:rsidP="00F01315">
      <w:pPr>
        <w:snapToGrid w:val="0"/>
        <w:spacing w:line="360" w:lineRule="auto"/>
        <w:ind w:firstLine="284"/>
        <w:jc w:val="both"/>
        <w:rPr>
          <w:rFonts w:cs="Times New Roman"/>
          <w:szCs w:val="24"/>
        </w:rPr>
      </w:pPr>
      <w:r w:rsidRPr="00CA0CF2">
        <w:rPr>
          <w:rFonts w:cs="Times New Roman"/>
          <w:szCs w:val="24"/>
        </w:rPr>
        <w:t>M</w:t>
      </w:r>
      <w:r w:rsidR="008A7A88" w:rsidRPr="00CA0CF2">
        <w:rPr>
          <w:rFonts w:cs="Times New Roman"/>
          <w:szCs w:val="24"/>
        </w:rPr>
        <w:t>icroalgae</w:t>
      </w:r>
      <w:r w:rsidR="005673BD" w:rsidRPr="00CA0CF2">
        <w:rPr>
          <w:rFonts w:cs="Times New Roman"/>
          <w:szCs w:val="24"/>
        </w:rPr>
        <w:t>/bacteria consortia</w:t>
      </w:r>
      <w:r w:rsidR="008A7A88" w:rsidRPr="00CA0CF2">
        <w:rPr>
          <w:rFonts w:cs="Times New Roman"/>
          <w:szCs w:val="24"/>
        </w:rPr>
        <w:t xml:space="preserve"> for biotechnology </w:t>
      </w:r>
      <w:r w:rsidR="00AE4F72" w:rsidRPr="00CA0CF2">
        <w:rPr>
          <w:rFonts w:cs="Times New Roman"/>
          <w:szCs w:val="24"/>
        </w:rPr>
        <w:t>could be used to</w:t>
      </w:r>
      <w:r w:rsidR="008A7A88" w:rsidRPr="00CA0CF2">
        <w:rPr>
          <w:rFonts w:cs="Times New Roman"/>
          <w:szCs w:val="24"/>
        </w:rPr>
        <w:t xml:space="preserve"> </w:t>
      </w:r>
      <w:r w:rsidR="00CA0CF2">
        <w:rPr>
          <w:rFonts w:cs="Times New Roman"/>
          <w:szCs w:val="24"/>
        </w:rPr>
        <w:t>generate</w:t>
      </w:r>
      <w:r w:rsidR="008A7A88" w:rsidRPr="00CA0CF2">
        <w:rPr>
          <w:rFonts w:cs="Times New Roman"/>
          <w:szCs w:val="24"/>
        </w:rPr>
        <w:t xml:space="preserve"> products </w:t>
      </w:r>
      <w:r w:rsidRPr="00CA0CF2">
        <w:rPr>
          <w:rFonts w:cs="Times New Roman"/>
          <w:szCs w:val="24"/>
        </w:rPr>
        <w:t xml:space="preserve">(biorefinery) </w:t>
      </w:r>
      <w:r w:rsidR="00AE4F72" w:rsidRPr="00CA0CF2">
        <w:rPr>
          <w:rFonts w:cs="Times New Roman"/>
          <w:szCs w:val="24"/>
        </w:rPr>
        <w:t xml:space="preserve">or </w:t>
      </w:r>
      <w:r w:rsidR="008A7A88" w:rsidRPr="00CA0CF2">
        <w:rPr>
          <w:rFonts w:cs="Times New Roman"/>
          <w:szCs w:val="24"/>
        </w:rPr>
        <w:t>degrade pollutants</w:t>
      </w:r>
      <w:r w:rsidRPr="00CA0CF2">
        <w:rPr>
          <w:rFonts w:cs="Times New Roman"/>
          <w:szCs w:val="24"/>
        </w:rPr>
        <w:t xml:space="preserve"> (environmental remediation)</w:t>
      </w:r>
      <w:r w:rsidR="008A7A88" w:rsidRPr="00CA0CF2">
        <w:rPr>
          <w:rFonts w:cs="Times New Roman"/>
          <w:szCs w:val="24"/>
        </w:rPr>
        <w:t>.</w:t>
      </w:r>
      <w:r w:rsidRPr="00833CE8">
        <w:rPr>
          <w:rFonts w:cs="Times New Roman"/>
          <w:b/>
          <w:bCs/>
          <w:szCs w:val="24"/>
        </w:rPr>
        <w:t xml:space="preserve">  </w:t>
      </w:r>
      <w:r w:rsidR="005673BD" w:rsidRPr="00833CE8">
        <w:rPr>
          <w:rFonts w:cs="Times New Roman"/>
          <w:szCs w:val="24"/>
        </w:rPr>
        <w:t>Using microalgae</w:t>
      </w:r>
      <w:r w:rsidR="00EE22A5">
        <w:rPr>
          <w:rFonts w:cs="Times New Roman"/>
          <w:szCs w:val="24"/>
        </w:rPr>
        <w:t>,</w:t>
      </w:r>
      <w:r w:rsidR="005673BD" w:rsidRPr="00833CE8">
        <w:rPr>
          <w:rFonts w:cs="Times New Roman"/>
          <w:szCs w:val="24"/>
        </w:rPr>
        <w:t xml:space="preserve"> </w:t>
      </w:r>
      <w:r w:rsidR="00FA0993">
        <w:rPr>
          <w:rFonts w:cs="Times New Roman"/>
          <w:szCs w:val="24"/>
        </w:rPr>
        <w:t xml:space="preserve">a </w:t>
      </w:r>
      <w:r w:rsidR="005673BD" w:rsidRPr="00833CE8">
        <w:rPr>
          <w:rFonts w:cs="Times New Roman"/>
          <w:szCs w:val="24"/>
        </w:rPr>
        <w:t>biorefinery</w:t>
      </w:r>
      <w:r w:rsidR="00FA0993">
        <w:rPr>
          <w:rFonts w:cs="Times New Roman"/>
          <w:szCs w:val="24"/>
        </w:rPr>
        <w:t xml:space="preserve"> platform</w:t>
      </w:r>
      <w:r w:rsidR="005673BD" w:rsidRPr="00833CE8">
        <w:rPr>
          <w:rFonts w:cs="Times New Roman"/>
          <w:szCs w:val="24"/>
        </w:rPr>
        <w:t xml:space="preserve"> </w:t>
      </w:r>
      <w:r w:rsidRPr="00833CE8">
        <w:rPr>
          <w:rFonts w:cs="Times New Roman"/>
          <w:szCs w:val="24"/>
        </w:rPr>
        <w:t xml:space="preserve">can be cheaper and </w:t>
      </w:r>
      <w:r w:rsidR="005673BD" w:rsidRPr="00833CE8">
        <w:rPr>
          <w:rFonts w:cs="Times New Roman"/>
          <w:szCs w:val="24"/>
        </w:rPr>
        <w:t xml:space="preserve">produce </w:t>
      </w:r>
      <w:r w:rsidRPr="00833CE8">
        <w:rPr>
          <w:rFonts w:cs="Times New Roman"/>
          <w:szCs w:val="24"/>
        </w:rPr>
        <w:t>less waste compared to chemical synthesis</w:t>
      </w:r>
      <w:r w:rsidR="007B0E9A" w:rsidRPr="00833CE8">
        <w:rPr>
          <w:rFonts w:cs="Times New Roman"/>
          <w:szCs w:val="24"/>
        </w:rPr>
        <w:t xml:space="preserve"> </w:t>
      </w:r>
      <w:r w:rsidR="007B0E9A" w:rsidRPr="00833CE8">
        <w:rPr>
          <w:rFonts w:cs="Times New Roman"/>
          <w:szCs w:val="24"/>
        </w:rPr>
        <w:fldChar w:fldCharType="begin"/>
      </w:r>
      <w:r w:rsidR="00876542" w:rsidRPr="00833CE8">
        <w:rPr>
          <w:rFonts w:cs="Times New Roman"/>
          <w:szCs w:val="24"/>
        </w:rPr>
        <w:instrText xml:space="preserve"> ADDIN ZOTERO_ITEM CSL_CITATION {"citationID":"aGERtwJh","properties":{"unsorted":true,"formattedCitation":"(Ibrahim et al., 2023; Okeke et al., 2022; Novovesk\\uc0\\u225{} et al., 2019)","plainCitation":"(Ibrahim et al., 2023; Okeke et al., 2022; Novoveská et al., 2019)","noteIndex":0},"citationItems":[{"id":9364,"uris":["http://zotero.org/users/764524/items/MXXIYMK2"],"itemData":{"id":9364,"type":"article-journal","abstract":"Microalgae are photoautotrophic microorganisms which comprise of species from several phyla. Microalgae are promising in producing a varieties of products, including food, feed supplements, chemicals, and biofuels. Medicinal supplements derived from microalgae are of a significant market in which compounds such as -carotene, astaxanthin, polyunsaturated fatty acids (PUFA) such as docosahexaenoic acid (DHA) and eicosapentaenoic acid (EPA), and polysaccharides such as –glucan, are prominent. Microalgae species which are commonly applied for commercial productions include Isochrysis sp., Chaetoceros (Chlorella sp.), Arthrospira sp. (Spirulina Bioactive) and many more. In this present review, microalgae species which are feasible in metabolites production are being summarized. Metabolites produced by microalgae as well as their prospective applications in the healthcare and pharmaceutical industries, are comprehensively discussed. This evaluation is greatly assisting industrial stakeholders, investors, and researchers in making business decisions, investing in ventures, and moving the production of microalgae-based metabolites forward.","container-title":"Bioresource Technology","DOI":"10.1016/j.biortech.2023.128661","ISSN":"0960-8524","journalAbbreviation":"Bioresour. Technol.","page":"128661","source":"ScienceDirect","title":"Biological active metabolites from microalgae for healthcare and pharmaceutical industries: A comprehensive review","title-short":"Biological active metabolites from microalgae for healthcare and pharmaceutical industries","volume":"372","author":[{"family":"Ibrahim","given":"Tengku Nilam Baizura Tengku"},{"family":"Feisal","given":"Nur Azalina Suzianti"},{"family":"Kamaludin","given":"Noor Haziqah"},{"family":"Cheah","given":"Wai Yan"},{"family":"How","given":"Vivien"},{"family":"Bhatnagar","given":"Amit"},{"family":"Ma","given":"Zengling"},{"family":"Show","given":"Pau Loke"}],"issued":{"date-parts":[["2023",3,1]]}}},{"id":9362,"uris":["http://zotero.org/users/764524/items/X87IJUNB"],"itemData":{"id":9362,"type":"article-journal","abstract":"Microalgae are pervasive organisms regarded as conservative alternatives for the sustainable synthesis of various high-value-added bio-products to replace depleting fossil fuels and reduce CO2 emissions. However, microalgae biorefinery is still very far from being commercially viable due to high costs, intensive energy requirements, and low availability of biomass and biomolecules. In this review, the current status of microalgae biorefinery is discussed by establishing the efficiency of green biotechnology in producing microalgae from wastewater and the diverse bio-products derived from the biotechnology of microalgae biorefinery. In addition, various aspects involved in the sustainable production of bulk chemicals and value-added bio-products from microalgae biorefinery, including their roles in environmental protection and the promotion of an integrated green circular bio-economy are elucidated. Lastly, the challenges facing microalgae biorefinery and recommendations to guide future research toward cost-effective, more efficient, and sustainable microalgae biorefinery are presented.","container-title":"Energy Conversion and Management: X","DOI":"10.1016/j.ecmx.2022.100323","ISSN":"2590-1745","journalAbbreviation":"Energy Convers. Manag.: X","page":"100323","source":"ScienceDirect","title":"Microalgae biorefinery: An integrated route for the sustainable production of high-value-added products","title-short":"Microalgae biorefinery","volume":"16","author":[{"family":"Okeke","given":"Emmanuel Sunday"},{"family":"Ejeromedoghene","given":"Onome"},{"family":"Okoye","given":"Charles Obinwanne"},{"family":"Ezeorba","given":"Timothy Prince Chidike"},{"family":"Nyaruaba","given":"Raphael"},{"family":"Ikechukwu","given":"Chukwudozie Kingsley"},{"family":"Oladipo","given":"Abiodun"},{"family":"Orege","given":"Joshua Iseoluwa"}],"issued":{"date-parts":[["2022",12,1]]}}},{"id":9366,"uris":["http://zotero.org/users/764524/items/GN4G2P9Z"],"itemData":{"id":9366,"type":"article-journal","abstract":"Microalgae produce a variety of compounds that are beneficial to human and animal health. Among these compounds are carotenoids, which are microalgal pigments with unique antioxidant and coloring properties. The objective of this review is to evaluate the potential of using microalgae as a commercial feedstock for carotenoid production. While microalgae can produce some of the highest concentrations of carotenoids (especially astaxanthin) in living organisms, there are challenges associated with the mass production of microalgae and downstream processing of carotenoids. This review discusses the synthesis of carotenoids within microalgae, their physiological role, large-scale cultivation of microalgae, up- and down-stream processing, commercial applications, natural versus synthetic carotenoids, and opportunities and challenges facing the carotenoid markets. We emphasize legal aspects and regulatory challenges associated with the commercial production of microalgae-based carotenoids for food/feed, nutraceutical and cosmetic industry in Europe, the USA, the People’s Republic of China, and Japan. This review provides tools and a broad overview of the regulatory processes of carotenoid production from microalgae and other novel feedstocks.","container-title":"Marine Drugs","DOI":"10.3390/md17110640","ISSN":"1660-3397","issue":"11","journalAbbreviation":"Mar. Drugs","language":"en","license":"http://creativecommons.org/licenses/by/3.0/","note":"number: 11\npublisher: Multidisciplinary Digital Publishing Institute","page":"640","source":"www.mdpi.com","title":"Microalgal Carotenoids: A Review of Production, Current Markets, Regulations, and Future Direction","title-short":"Microalgal Carotenoids","volume":"17","author":[{"family":"Novoveská","given":"Lucie"},{"family":"Ross","given":"Michael E."},{"family":"Stanley","given":"Michele S."},{"family":"Pradelles","given":"Rémi"},{"family":"Wasiolek","given":"Virginie"},{"family":"Sassi","given":"Jean-François"}],"issued":{"date-parts":[["2019",11]]}}}],"schema":"https://github.com/citation-style-language/schema/raw/master/csl-citation.json"} </w:instrText>
      </w:r>
      <w:r w:rsidR="007B0E9A" w:rsidRPr="00833CE8">
        <w:rPr>
          <w:rFonts w:cs="Times New Roman"/>
          <w:szCs w:val="24"/>
        </w:rPr>
        <w:fldChar w:fldCharType="separate"/>
      </w:r>
      <w:r w:rsidR="00876542" w:rsidRPr="00833CE8">
        <w:rPr>
          <w:rFonts w:cs="Times New Roman"/>
          <w:kern w:val="0"/>
        </w:rPr>
        <w:t>(Ibrahim et al., 2023; Okeke et al., 2022; Novoveská et al., 2019)</w:t>
      </w:r>
      <w:r w:rsidR="007B0E9A" w:rsidRPr="00833CE8">
        <w:rPr>
          <w:rFonts w:cs="Times New Roman"/>
          <w:szCs w:val="24"/>
        </w:rPr>
        <w:fldChar w:fldCharType="end"/>
      </w:r>
      <w:r w:rsidRPr="00833CE8">
        <w:rPr>
          <w:rFonts w:cs="Times New Roman"/>
          <w:szCs w:val="24"/>
        </w:rPr>
        <w:t>.</w:t>
      </w:r>
      <w:r w:rsidRPr="00833CE8">
        <w:rPr>
          <w:rFonts w:cs="Times New Roman"/>
          <w:b/>
          <w:bCs/>
          <w:szCs w:val="24"/>
        </w:rPr>
        <w:t xml:space="preserve">  </w:t>
      </w:r>
      <w:r w:rsidR="005673BD" w:rsidRPr="00833CE8">
        <w:rPr>
          <w:rFonts w:cs="Times New Roman"/>
          <w:szCs w:val="24"/>
        </w:rPr>
        <w:t xml:space="preserve">The simplest method for using microalgae would be an axenic monoculture – i.e. a single species of algae grown in a sterile environment.  However, a monoculture will </w:t>
      </w:r>
      <w:r w:rsidR="00FA0993">
        <w:rPr>
          <w:rFonts w:cs="Times New Roman"/>
          <w:szCs w:val="24"/>
        </w:rPr>
        <w:t xml:space="preserve">be </w:t>
      </w:r>
      <w:r w:rsidR="005673BD" w:rsidRPr="00833CE8">
        <w:rPr>
          <w:rFonts w:cs="Times New Roman"/>
          <w:szCs w:val="24"/>
        </w:rPr>
        <w:t xml:space="preserve">less effective than the alga in its natural ecosystem for </w:t>
      </w:r>
      <w:r w:rsidR="002C3DCD" w:rsidRPr="00833CE8">
        <w:rPr>
          <w:rFonts w:cs="Times New Roman"/>
          <w:szCs w:val="24"/>
        </w:rPr>
        <w:t>several</w:t>
      </w:r>
      <w:r w:rsidR="005673BD" w:rsidRPr="00833CE8">
        <w:rPr>
          <w:rFonts w:cs="Times New Roman"/>
          <w:szCs w:val="24"/>
        </w:rPr>
        <w:t xml:space="preserve"> reasons, such as necessary metabolites that would need to be added to the growth media instead of being provided by specific bacterial species.  Further, as existing co-cultures of microalgae and mutualistic bacteria based on </w:t>
      </w:r>
      <w:r w:rsidR="005673BD" w:rsidRPr="00833CE8">
        <w:rPr>
          <w:rFonts w:cs="Times New Roman"/>
          <w:i/>
          <w:szCs w:val="24"/>
        </w:rPr>
        <w:t>in situ</w:t>
      </w:r>
      <w:r w:rsidR="005673BD" w:rsidRPr="00833CE8">
        <w:rPr>
          <w:rFonts w:cs="Times New Roman"/>
          <w:szCs w:val="24"/>
        </w:rPr>
        <w:t xml:space="preserve"> </w:t>
      </w:r>
      <w:r w:rsidR="00286160">
        <w:rPr>
          <w:rFonts w:cs="Times New Roman"/>
          <w:szCs w:val="24"/>
        </w:rPr>
        <w:t xml:space="preserve">(naturally occurring) </w:t>
      </w:r>
      <w:r w:rsidR="005673BD" w:rsidRPr="00833CE8">
        <w:rPr>
          <w:rFonts w:cs="Times New Roman"/>
          <w:szCs w:val="24"/>
        </w:rPr>
        <w:t>ecosystems are not optimized for a specific goal, but rather exist in a balance to ensure the survival of each species, a synthetic system could be designed to focus on production of specific products for biotechnology, such as lipids for biofuel</w:t>
      </w:r>
      <w:r w:rsidR="00286160">
        <w:rPr>
          <w:rFonts w:cs="Times New Roman"/>
          <w:szCs w:val="24"/>
        </w:rPr>
        <w:t xml:space="preserve"> or antioxidants as high added value compounds</w:t>
      </w:r>
      <w:r w:rsidR="005673BD" w:rsidRPr="00833CE8">
        <w:rPr>
          <w:rFonts w:cs="Times New Roman"/>
          <w:szCs w:val="24"/>
        </w:rPr>
        <w:t xml:space="preserve">.  </w:t>
      </w:r>
      <w:r w:rsidRPr="00833CE8">
        <w:rPr>
          <w:rFonts w:cs="Times New Roman"/>
          <w:szCs w:val="24"/>
        </w:rPr>
        <w:t>Environmental remediation</w:t>
      </w:r>
      <w:r w:rsidR="009E42B7" w:rsidRPr="00833CE8">
        <w:rPr>
          <w:rFonts w:cs="Times New Roman"/>
          <w:szCs w:val="24"/>
        </w:rPr>
        <w:t xml:space="preserve"> with biological organisms, also known as bioremediation,</w:t>
      </w:r>
      <w:r w:rsidRPr="00833CE8">
        <w:rPr>
          <w:rFonts w:cs="Times New Roman"/>
          <w:szCs w:val="24"/>
        </w:rPr>
        <w:t xml:space="preserve"> </w:t>
      </w:r>
      <w:r w:rsidR="005673BD" w:rsidRPr="00833CE8">
        <w:rPr>
          <w:rFonts w:cs="Times New Roman"/>
          <w:szCs w:val="24"/>
        </w:rPr>
        <w:t xml:space="preserve">can be used </w:t>
      </w:r>
      <w:r w:rsidR="009E42B7" w:rsidRPr="00833CE8">
        <w:rPr>
          <w:rFonts w:cs="Times New Roman"/>
          <w:szCs w:val="24"/>
        </w:rPr>
        <w:t xml:space="preserve">to remove </w:t>
      </w:r>
      <w:r w:rsidRPr="00833CE8">
        <w:rPr>
          <w:rFonts w:cs="Times New Roman"/>
          <w:szCs w:val="24"/>
        </w:rPr>
        <w:t xml:space="preserve">harmful </w:t>
      </w:r>
      <w:r w:rsidR="009E42B7" w:rsidRPr="00833CE8">
        <w:rPr>
          <w:rFonts w:cs="Times New Roman"/>
          <w:szCs w:val="24"/>
        </w:rPr>
        <w:t xml:space="preserve">organisms such as </w:t>
      </w:r>
      <w:r w:rsidRPr="00833CE8">
        <w:rPr>
          <w:rFonts w:cs="Times New Roman"/>
          <w:szCs w:val="24"/>
        </w:rPr>
        <w:t>bacteria</w:t>
      </w:r>
      <w:r w:rsidR="009E42B7" w:rsidRPr="00833CE8">
        <w:rPr>
          <w:rFonts w:cs="Times New Roman"/>
          <w:szCs w:val="24"/>
        </w:rPr>
        <w:t xml:space="preserve"> </w:t>
      </w:r>
      <w:r w:rsidRPr="00833CE8">
        <w:rPr>
          <w:rFonts w:cs="Times New Roman"/>
          <w:szCs w:val="24"/>
        </w:rPr>
        <w:t>and absorb pollutants such as heavy metals</w:t>
      </w:r>
      <w:r w:rsidR="005673BD" w:rsidRPr="00833CE8">
        <w:rPr>
          <w:rFonts w:cs="Times New Roman"/>
          <w:szCs w:val="24"/>
        </w:rPr>
        <w:t xml:space="preserve"> </w:t>
      </w:r>
      <w:r w:rsidR="009E42B7" w:rsidRPr="00833CE8">
        <w:rPr>
          <w:rFonts w:cs="Times New Roman"/>
          <w:szCs w:val="24"/>
        </w:rPr>
        <w:fldChar w:fldCharType="begin"/>
      </w:r>
      <w:r w:rsidR="009E42B7" w:rsidRPr="00833CE8">
        <w:rPr>
          <w:rFonts w:cs="Times New Roman"/>
          <w:szCs w:val="24"/>
        </w:rPr>
        <w:instrText xml:space="preserve"> ADDIN ZOTERO_ITEM CSL_CITATION {"citationID":"rsSD9pDc","properties":{"formattedCitation":"(Dangi et al., 2019; Hlihor et al., 2017)","plainCitation":"(Dangi et al., 2019; Hlihor et al., 2017)","noteIndex":0},"citationItems":[{"id":9344,"uris":["http://zotero.org/users/764524/items/KEFS95LV"],"itemData":{"id":9344,"type":"article-journal","abstract":"Today, environmental pollution is a serious problem, and bioremediation can play an important role in cleaning contaminated sites. Remediation strategies, such as chemical and physical approaches, ...","archive_location":"world","container-title":"Critical Reviews in Biotechnology","DOI":"10.1080/07388551.2018.1500997","ISSN":"0738-8551","journalAbbreviation":"Crit. Rev. Biotechnol.","language":"EN","license":"© 2018 Informa UK Limited, trading as Taylor &amp; Francis Group","note":"publisher: Taylor &amp; Francis","source":"www.tandfonline.com","title":"Bioremediation through microbes: systems biology and metabolic engineering approach","title-short":"Bioremediation through microbes","URL":"https://www.tandfonline.com/doi/abs/10.1080/07388551.2018.1500997","author":[{"family":"Dangi","given":"Arun Kumar"},{"family":"Sharma","given":"Babita"},{"family":"Hill","given":"Russell T."},{"family":"Shukla","given":"Pratyoosh"}],"accessed":{"date-parts":[["2024",9,30]]},"issued":{"date-parts":[["2019",1,2]]}}},{"id":9346,"uris":["http://zotero.org/users/764524/items/ECTNXEPW"],"itemData":{"id":9346,"type":"article-journal","container-title":"BioMed Research International","DOI":"10.1155/2017/6327610","ISSN":"2314-6141","issue":"1","journalAbbreviation":"Biomed Res. Int.","language":"en","license":"Copyright © 2017 Raluca Maria Hlihor et al.","note":"_eprint: https://onlinelibrary.wiley.com/doi/pdf/10.1155/2017/6327610","page":"6327610","source":"Wiley Online Library","title":"Bioremediation: An Overview on Current Practices, Advances, and New Perspectives in Environmental Pollution Treatment","title-short":"Bioremediation","volume":"2017","author":[{"family":"Hlihor","given":"Raluca Maria"},{"family":"Gavrilescu","given":"Maria"},{"family":"Tavares","given":"Teresa"},{"family":"Favier","given":"Lidia"},{"family":"Olivieri","given":"Giuseppe"}],"issued":{"date-parts":[["2017"]]}}}],"schema":"https://github.com/citation-style-language/schema/raw/master/csl-citation.json"} </w:instrText>
      </w:r>
      <w:r w:rsidR="009E42B7" w:rsidRPr="00833CE8">
        <w:rPr>
          <w:rFonts w:cs="Times New Roman"/>
          <w:szCs w:val="24"/>
        </w:rPr>
        <w:fldChar w:fldCharType="separate"/>
      </w:r>
      <w:r w:rsidR="009E42B7" w:rsidRPr="00833CE8">
        <w:rPr>
          <w:rFonts w:cs="Times New Roman"/>
        </w:rPr>
        <w:t>(Dangi et al., 2019; Hlihor et al., 2017)</w:t>
      </w:r>
      <w:r w:rsidR="009E42B7" w:rsidRPr="00833CE8">
        <w:rPr>
          <w:rFonts w:cs="Times New Roman"/>
          <w:szCs w:val="24"/>
        </w:rPr>
        <w:fldChar w:fldCharType="end"/>
      </w:r>
      <w:r w:rsidR="005673BD" w:rsidRPr="00833CE8">
        <w:rPr>
          <w:rFonts w:cs="Times New Roman"/>
          <w:szCs w:val="24"/>
        </w:rPr>
        <w:t xml:space="preserve">.  </w:t>
      </w:r>
      <w:r w:rsidR="00CA1F7F" w:rsidRPr="00833CE8">
        <w:rPr>
          <w:rFonts w:cs="Times New Roman"/>
          <w:szCs w:val="24"/>
        </w:rPr>
        <w:t xml:space="preserve">Manipulation of microbial biodiversity has been well-established </w:t>
      </w:r>
      <w:r w:rsidR="00F0282C" w:rsidRPr="00833CE8">
        <w:rPr>
          <w:rFonts w:cs="Times New Roman"/>
          <w:szCs w:val="24"/>
        </w:rPr>
        <w:t xml:space="preserve">as a </w:t>
      </w:r>
      <w:r w:rsidR="009F2AFD" w:rsidRPr="00833CE8">
        <w:rPr>
          <w:rFonts w:cs="Times New Roman"/>
          <w:szCs w:val="24"/>
        </w:rPr>
        <w:t xml:space="preserve">technique to improve performance of biotechnological systems </w:t>
      </w:r>
      <w:r w:rsidR="009F2AFD" w:rsidRPr="00833CE8">
        <w:rPr>
          <w:rFonts w:cs="Times New Roman"/>
          <w:szCs w:val="24"/>
        </w:rPr>
        <w:fldChar w:fldCharType="begin"/>
      </w:r>
      <w:r w:rsidR="00742839">
        <w:rPr>
          <w:rFonts w:cs="Times New Roman"/>
          <w:szCs w:val="24"/>
        </w:rPr>
        <w:instrText xml:space="preserve"> ADDIN ZOTERO_ITEM CSL_CITATION {"citationID":"9ISGEc7N","properties":{"formattedCitation":"(Augelletti et al., 2019)","plainCitation":"(Augelletti et al., 2019)","noteIndex":0},"citationItems":[{"id":4628,"uris":["http://zotero.org/users/764524/items/C2X5C9R3"],"itemData":{"id":4628,"type":"chapter","abstract":"Microbial communities that inhabit natural and engineered ecosystems provide essential services for the Earth's life-support system and the human well-being, such as nutrient cycling, protection against diseases or wastewater treatment. The high functional versatility and diversity of microorganisms are the driving forces for upholding ecosystem services and represent a unique resource for novel biotechnological applications. For a stable, secure and sustainable supply of food, feed, energy, materials and chemicals, new microbial community-driven biomanufacturing systems and environmental protection and restoration technologies are developed to achieve a bio-based and environmentally-friendly economy. Microbiome-based therapies also take advantage of emerging strategies to steer microbial ecosystem diversity and functioning. From the agricultural practices to the construction of synthetic microbial factories, the diversity and functionality of microorganisms can be manipulated in natural ecosystems (in situ), in engineered, open ecosystems (ex situ, in vivo) or in confined environments (ex situ, in vitro) for improved applications in medicine, agriculture, bioremediation, and water resource recovery facilities.","container-title":"Comprehensive Biotechnology (Third Edition)","event-place":"Oxford","ISBN":"978-0-444-64047-5","note":"DOI: 10.1016/B978-0-444-64046-8.00478-X","page":"29-41","publisher":"Pergamon","publisher-place":"Oxford","source":"ScienceDirect","title":"Manipulation of Biodiversity to Steer and Optimize Microbial Community Function","URL":"https://www.sciencedirect.com/science/article/pii/B978044464046800478X","author":[{"family":"Augelletti","given":"Floriana"},{"family":"Stenuit","given":"Benoit"},{"family":"Agathos","given":"Spiros N."},{"family":"Jousset","given":"Alexandre"}],"editor":[{"family":"Moo-Young","given":"Murray"}],"accessed":{"date-parts":[["2024",7,8]]},"issued":{"date-parts":[["2019",1,1]]}}}],"schema":"https://github.com/citation-style-language/schema/raw/master/csl-citation.json"} </w:instrText>
      </w:r>
      <w:r w:rsidR="009F2AFD" w:rsidRPr="00833CE8">
        <w:rPr>
          <w:rFonts w:cs="Times New Roman"/>
          <w:szCs w:val="24"/>
        </w:rPr>
        <w:fldChar w:fldCharType="separate"/>
      </w:r>
      <w:r w:rsidR="009F150C" w:rsidRPr="00833CE8">
        <w:rPr>
          <w:rFonts w:cs="Times New Roman"/>
        </w:rPr>
        <w:t>(Augelletti et al., 2019)</w:t>
      </w:r>
      <w:r w:rsidR="009F2AFD" w:rsidRPr="00833CE8">
        <w:rPr>
          <w:rFonts w:cs="Times New Roman"/>
          <w:szCs w:val="24"/>
        </w:rPr>
        <w:fldChar w:fldCharType="end"/>
      </w:r>
      <w:r w:rsidR="009F2AFD" w:rsidRPr="00833CE8">
        <w:rPr>
          <w:rFonts w:cs="Times New Roman"/>
          <w:szCs w:val="24"/>
        </w:rPr>
        <w:t xml:space="preserve">. </w:t>
      </w:r>
      <w:r w:rsidR="00CA1F7F" w:rsidRPr="00833CE8">
        <w:rPr>
          <w:rFonts w:cs="Times New Roman"/>
          <w:szCs w:val="24"/>
        </w:rPr>
        <w:t>A lot of research uses natural ecosystems</w:t>
      </w:r>
      <w:r w:rsidR="00FE5537" w:rsidRPr="00833CE8">
        <w:rPr>
          <w:rFonts w:cs="Times New Roman"/>
          <w:szCs w:val="24"/>
        </w:rPr>
        <w:t xml:space="preserve"> or </w:t>
      </w:r>
      <w:r w:rsidR="00CA1F7F" w:rsidRPr="00833CE8">
        <w:rPr>
          <w:rFonts w:cs="Times New Roman"/>
          <w:szCs w:val="24"/>
        </w:rPr>
        <w:t xml:space="preserve">environments as a starting point for a constructed confined environment, such as a bioreactor.  Marine microalgae and bacteria already have </w:t>
      </w:r>
      <w:r w:rsidR="00671BA6">
        <w:rPr>
          <w:rFonts w:cs="Times New Roman"/>
          <w:szCs w:val="24"/>
        </w:rPr>
        <w:t>naturally established</w:t>
      </w:r>
      <w:r w:rsidR="00CA1F7F" w:rsidRPr="00833CE8">
        <w:rPr>
          <w:rFonts w:cs="Times New Roman"/>
          <w:szCs w:val="24"/>
        </w:rPr>
        <w:t xml:space="preserve"> symbiotic relationships, and</w:t>
      </w:r>
      <w:r w:rsidR="00671BA6">
        <w:rPr>
          <w:rFonts w:cs="Times New Roman"/>
          <w:szCs w:val="24"/>
        </w:rPr>
        <w:t>,</w:t>
      </w:r>
      <w:r w:rsidR="00CA1F7F" w:rsidRPr="00833CE8">
        <w:rPr>
          <w:rFonts w:cs="Times New Roman"/>
          <w:szCs w:val="24"/>
        </w:rPr>
        <w:t xml:space="preserve"> therefore, co-cultivation is already easier.  Further, since there are interactions that </w:t>
      </w:r>
      <w:r w:rsidR="001A2808" w:rsidRPr="00833CE8">
        <w:rPr>
          <w:rFonts w:cs="Times New Roman"/>
          <w:szCs w:val="24"/>
        </w:rPr>
        <w:t>are not</w:t>
      </w:r>
      <w:r w:rsidR="00CA1F7F" w:rsidRPr="00833CE8">
        <w:rPr>
          <w:rFonts w:cs="Times New Roman"/>
          <w:szCs w:val="24"/>
        </w:rPr>
        <w:t xml:space="preserve"> well explained or defined, there are many benefits that may not even be known but increases in metabolite production and biomass </w:t>
      </w:r>
      <w:r w:rsidR="00671BA6">
        <w:rPr>
          <w:rFonts w:cs="Times New Roman"/>
          <w:szCs w:val="24"/>
        </w:rPr>
        <w:t xml:space="preserve">growth </w:t>
      </w:r>
      <w:r w:rsidR="00CA1F7F" w:rsidRPr="00833CE8">
        <w:rPr>
          <w:rFonts w:cs="Times New Roman"/>
          <w:szCs w:val="24"/>
        </w:rPr>
        <w:t xml:space="preserve">are observable.  While these are based on </w:t>
      </w:r>
      <w:r w:rsidR="00CA1F7F" w:rsidRPr="00833CE8">
        <w:rPr>
          <w:rFonts w:cs="Times New Roman"/>
          <w:szCs w:val="24"/>
        </w:rPr>
        <w:lastRenderedPageBreak/>
        <w:t xml:space="preserve">natural environments, there are strategies that can be used in this technique to optimize the growth of one or more species, especially using existing mutualist relationships.  However, instead of attempting to </w:t>
      </w:r>
      <w:r w:rsidR="00671BA6">
        <w:rPr>
          <w:rFonts w:cs="Times New Roman"/>
          <w:szCs w:val="24"/>
        </w:rPr>
        <w:t>reproduce and main</w:t>
      </w:r>
      <w:r w:rsidR="00394FE4">
        <w:rPr>
          <w:rFonts w:cs="Times New Roman"/>
          <w:szCs w:val="24"/>
        </w:rPr>
        <w:t>t</w:t>
      </w:r>
      <w:r w:rsidR="00671BA6">
        <w:rPr>
          <w:rFonts w:cs="Times New Roman"/>
          <w:szCs w:val="24"/>
        </w:rPr>
        <w:t>ain</w:t>
      </w:r>
      <w:r w:rsidR="00CA1F7F" w:rsidRPr="00833CE8">
        <w:rPr>
          <w:rFonts w:cs="Times New Roman"/>
          <w:szCs w:val="24"/>
        </w:rPr>
        <w:t xml:space="preserve"> existing relationships, a second </w:t>
      </w:r>
      <w:r w:rsidR="00CA1F7F" w:rsidRPr="00394FE4">
        <w:rPr>
          <w:rFonts w:cs="Times New Roman"/>
          <w:szCs w:val="24"/>
        </w:rPr>
        <w:t>approach</w:t>
      </w:r>
      <w:r w:rsidR="00CA1F7F" w:rsidRPr="00833CE8">
        <w:rPr>
          <w:rFonts w:cs="Times New Roman"/>
          <w:szCs w:val="24"/>
        </w:rPr>
        <w:t xml:space="preserve"> has also been proposed, which is to design synthetic consortia starting from microbial isolates.  This new </w:t>
      </w:r>
      <w:r w:rsidR="002A4858">
        <w:rPr>
          <w:rFonts w:cs="Times New Roman"/>
          <w:szCs w:val="24"/>
        </w:rPr>
        <w:t>strategy</w:t>
      </w:r>
      <w:r w:rsidR="00CA1F7F" w:rsidRPr="00833CE8">
        <w:rPr>
          <w:rFonts w:cs="Times New Roman"/>
          <w:szCs w:val="24"/>
        </w:rPr>
        <w:t xml:space="preserve"> has been termed synthetic ecology </w:t>
      </w:r>
      <w:r w:rsidR="001F0210">
        <w:rPr>
          <w:rFonts w:cs="Times New Roman"/>
          <w:szCs w:val="24"/>
        </w:rPr>
        <w:t>(</w:t>
      </w:r>
      <w:r w:rsidR="00CB2B0E" w:rsidRPr="00833CE8">
        <w:rPr>
          <w:rFonts w:cs="Times New Roman"/>
          <w:szCs w:val="24"/>
        </w:rPr>
        <w:t>or “</w:t>
      </w:r>
      <w:r w:rsidR="00CA1F7F" w:rsidRPr="00833CE8">
        <w:rPr>
          <w:rFonts w:cs="Times New Roman"/>
          <w:szCs w:val="24"/>
        </w:rPr>
        <w:t>synecology</w:t>
      </w:r>
      <w:r w:rsidR="00CB2B0E" w:rsidRPr="00833CE8">
        <w:rPr>
          <w:rFonts w:cs="Times New Roman"/>
          <w:szCs w:val="24"/>
        </w:rPr>
        <w:t>”</w:t>
      </w:r>
      <w:r w:rsidR="00CA1F7F" w:rsidRPr="00833CE8">
        <w:rPr>
          <w:rFonts w:cs="Times New Roman"/>
          <w:szCs w:val="24"/>
        </w:rPr>
        <w:t xml:space="preserve"> </w:t>
      </w:r>
      <w:r w:rsidR="001F0210">
        <w:rPr>
          <w:rFonts w:cs="Times New Roman"/>
          <w:szCs w:val="24"/>
        </w:rPr>
        <w:t xml:space="preserve">when based on a holistic systems view) </w:t>
      </w:r>
      <w:r w:rsidR="008D6CB9" w:rsidRPr="00833CE8">
        <w:rPr>
          <w:rFonts w:cs="Times New Roman"/>
          <w:szCs w:val="24"/>
        </w:rPr>
        <w:t>as it focuses on the local dynamics of a synthetically designed co-culture to encourage specific interactions and prevent contamination by other microorganisms</w:t>
      </w:r>
      <w:r w:rsidR="00FD6CE7">
        <w:rPr>
          <w:rFonts w:cs="Times New Roman"/>
          <w:szCs w:val="24"/>
        </w:rPr>
        <w:t xml:space="preserve"> </w:t>
      </w:r>
      <w:r w:rsidR="00FD6CE7">
        <w:rPr>
          <w:rFonts w:cs="Times New Roman"/>
          <w:szCs w:val="24"/>
        </w:rPr>
        <w:fldChar w:fldCharType="begin"/>
      </w:r>
      <w:r w:rsidR="00CA23D8">
        <w:rPr>
          <w:rFonts w:cs="Times New Roman"/>
          <w:szCs w:val="24"/>
        </w:rPr>
        <w:instrText xml:space="preserve"> ADDIN ZOTERO_ITEM CSL_CITATION {"citationID":"uGI6CEDj","properties":{"formattedCitation":"(Kazamia et al., 2012a; Stenuit and Agathos, 2015)","plainCitation":"(Kazamia et al., 2012a; Stenuit and Agathos, 2015)","noteIndex":0},"citationItems":[{"id":4553,"uris":["http://zotero.org/users/764524/items/4BAYSV5A"],"itemData":{"id":4553,"type":"article-journal","abstract":"Algal biofuel production offers great potential as a sustainable source of bioenergy without competing for arable land with food crops. However, many challenges must be overcome to enable this to be done commercially at the scale required to produce biofuels. Here we explain how an understanding of algal ecology could lead to more reliable raceway-based microalgal cultivation, drawing from established principles of community ecology to highlight practices that could be applied to protect algal cultures from unwanted contaminants. Using theoretical concepts, we show how an understanding of local community dynamics at the species level might be used to enhance productivity by encouraging certain community structures over others.","collection-title":"Photosynthetic microorganisms for bio-fuel production from sun light","container-title":"Journal of Biotechnology","DOI":"10.1016/j.jbiotec.2012.03.022","ISSN":"0168-1656","issue":"1","journalAbbreviation":"J. Biotechnol.","page":"163-169","source":"ScienceDirect","title":"Synthetic ecology – A way forward for sustainable algal biofuel production?","volume":"162","author":[{"family":"Kazamia","given":"Elena"},{"family":"Aldridge","given":"David C."},{"family":"Smith","given":"Alison G."}],"issued":{"date-parts":[["2012",11,30]]}}},{"id":9501,"uris":["http://zotero.org/users/764524/items/LFZWHX96"],"itemData":{"id":9501,"type":"article-journal","abstract":"Microbial ecosystems exhibit specific robustness attributes arising from the assembly and interaction networks of diverse, heterogeneous communities challenged by fluctuating environmental conditions. Synthetic ecology provides new insights into key biodiversity–stability relationships and robustness determinants of host-associated or environmental microbiomes. Driven by the advances of meta-omics technologies and bioinformatics, community-centered approaches (defined as molecular systems synecology) combined with the development of dynamic and mechanistic mathematical models make it possible to decipher and predict the outcomes of microbial ecosystems under disturbances. Beyond discriminating the normal operating range and natural, intrinsic dynamics of microbial processes from systems-level responses to environmental forcing, predictive modeling is poised to be integrated within prescriptive analytical frameworks and thus provide guidance in decision-making and proactive microbial resource management.","collection-title":"Environmental biotechnology • Energy biotechnology","container-title":"Current Opinion in Biotechnology","DOI":"10.1016/j.copbio.2015.03.012","ISSN":"0958-1669","journalAbbreviation":"Curr. Opin. Biotechnol.","page":"305-317","source":"ScienceDirect","title":"Deciphering microbial community robustness through synthetic ecology and molecular systems synecology","volume":"33","author":[{"family":"Stenuit","given":"Ben"},{"family":"Agathos","given":"Spiros N"}],"issued":{"date-parts":[["2015",6,1]]}}}],"schema":"https://github.com/citation-style-language/schema/raw/master/csl-citation.json"} </w:instrText>
      </w:r>
      <w:r w:rsidR="00FD6CE7">
        <w:rPr>
          <w:rFonts w:cs="Times New Roman"/>
          <w:szCs w:val="24"/>
        </w:rPr>
        <w:fldChar w:fldCharType="separate"/>
      </w:r>
      <w:r w:rsidR="00CA0829" w:rsidRPr="00CA0829">
        <w:rPr>
          <w:rFonts w:cs="Times New Roman"/>
        </w:rPr>
        <w:t>(Kazamia et al., 2012a; Stenuit and Agathos, 2015)</w:t>
      </w:r>
      <w:r w:rsidR="00FD6CE7">
        <w:rPr>
          <w:rFonts w:cs="Times New Roman"/>
          <w:szCs w:val="24"/>
        </w:rPr>
        <w:fldChar w:fldCharType="end"/>
      </w:r>
      <w:r w:rsidR="00343F14">
        <w:rPr>
          <w:rFonts w:cs="Times New Roman"/>
          <w:szCs w:val="24"/>
        </w:rPr>
        <w:t>.</w:t>
      </w:r>
    </w:p>
    <w:p w14:paraId="1F1694C3" w14:textId="3C3B3960" w:rsidR="007C4E88" w:rsidRPr="00833CE8" w:rsidRDefault="001B33CD" w:rsidP="00C31A9C">
      <w:pPr>
        <w:snapToGrid w:val="0"/>
        <w:spacing w:line="360" w:lineRule="auto"/>
        <w:ind w:firstLine="284"/>
        <w:jc w:val="both"/>
        <w:rPr>
          <w:rFonts w:cs="Times New Roman"/>
          <w:b/>
          <w:bCs/>
          <w:color w:val="FF0000"/>
          <w:szCs w:val="24"/>
        </w:rPr>
      </w:pPr>
      <w:r w:rsidRPr="00833CE8">
        <w:rPr>
          <w:rFonts w:cs="Times New Roman"/>
          <w:szCs w:val="24"/>
        </w:rPr>
        <w:t xml:space="preserve">To achieve a stable community, several factors would need consideration, including nutrients and the species of microalgae and bacteria required.  </w:t>
      </w:r>
      <w:r w:rsidR="00F52142" w:rsidRPr="00833CE8">
        <w:rPr>
          <w:rFonts w:cs="Times New Roman"/>
          <w:szCs w:val="24"/>
        </w:rPr>
        <w:t xml:space="preserve">Some of the practical advantages of synecology are traits that are </w:t>
      </w:r>
      <w:r w:rsidRPr="00833CE8">
        <w:rPr>
          <w:rFonts w:cs="Times New Roman"/>
          <w:szCs w:val="24"/>
        </w:rPr>
        <w:t xml:space="preserve">generally </w:t>
      </w:r>
      <w:r w:rsidR="00F52142" w:rsidRPr="00833CE8">
        <w:rPr>
          <w:rFonts w:cs="Times New Roman"/>
          <w:szCs w:val="24"/>
        </w:rPr>
        <w:t>desirable, such as robustness, stability, and resilience in confined environments like bioreactors.</w:t>
      </w:r>
      <w:r w:rsidR="00F42A0E" w:rsidRPr="00833CE8">
        <w:rPr>
          <w:rFonts w:cs="Times New Roman"/>
          <w:szCs w:val="24"/>
        </w:rPr>
        <w:t xml:space="preserve">  </w:t>
      </w:r>
      <w:r w:rsidR="0014465A" w:rsidRPr="00833CE8">
        <w:rPr>
          <w:rFonts w:cs="Times New Roman"/>
          <w:szCs w:val="24"/>
        </w:rPr>
        <w:t>However, there are also interactions that have been</w:t>
      </w:r>
      <w:r w:rsidR="00550122" w:rsidRPr="00833CE8">
        <w:rPr>
          <w:rFonts w:cs="Times New Roman"/>
          <w:szCs w:val="24"/>
        </w:rPr>
        <w:t xml:space="preserve"> </w:t>
      </w:r>
      <w:r w:rsidR="00AE411E" w:rsidRPr="00833CE8">
        <w:rPr>
          <w:rFonts w:cs="Times New Roman"/>
          <w:szCs w:val="24"/>
        </w:rPr>
        <w:t>less explored</w:t>
      </w:r>
      <w:r w:rsidR="0014465A" w:rsidRPr="00833CE8">
        <w:rPr>
          <w:rFonts w:cs="Times New Roman"/>
          <w:szCs w:val="24"/>
        </w:rPr>
        <w:t xml:space="preserve"> or simply not found to be present in existing </w:t>
      </w:r>
      <w:r w:rsidRPr="00833CE8">
        <w:rPr>
          <w:rFonts w:cs="Times New Roman"/>
          <w:szCs w:val="24"/>
        </w:rPr>
        <w:t>consortia</w:t>
      </w:r>
      <w:r w:rsidR="00E146DD" w:rsidRPr="00833CE8">
        <w:rPr>
          <w:rFonts w:cs="Times New Roman"/>
          <w:szCs w:val="24"/>
        </w:rPr>
        <w:t>.</w:t>
      </w:r>
      <w:r w:rsidR="00F52142" w:rsidRPr="00833CE8">
        <w:rPr>
          <w:rFonts w:cs="Times New Roman"/>
          <w:b/>
          <w:bCs/>
          <w:szCs w:val="24"/>
        </w:rPr>
        <w:t xml:space="preserve">  </w:t>
      </w:r>
      <w:r w:rsidR="00F52142" w:rsidRPr="00833CE8">
        <w:rPr>
          <w:rFonts w:cs="Times New Roman"/>
          <w:szCs w:val="24"/>
        </w:rPr>
        <w:t xml:space="preserve">Finally, </w:t>
      </w:r>
      <w:r w:rsidR="00F42A0E" w:rsidRPr="00833CE8">
        <w:rPr>
          <w:rFonts w:cs="Times New Roman"/>
          <w:szCs w:val="24"/>
        </w:rPr>
        <w:t xml:space="preserve">while the concept of </w:t>
      </w:r>
      <w:r w:rsidR="00F52142" w:rsidRPr="00833CE8">
        <w:rPr>
          <w:rFonts w:cs="Times New Roman"/>
          <w:szCs w:val="24"/>
        </w:rPr>
        <w:t xml:space="preserve">synthetic ecology </w:t>
      </w:r>
      <w:r w:rsidR="00F42A0E" w:rsidRPr="00833CE8">
        <w:rPr>
          <w:rFonts w:cs="Times New Roman"/>
          <w:szCs w:val="24"/>
        </w:rPr>
        <w:t xml:space="preserve">was </w:t>
      </w:r>
      <w:r w:rsidR="007C4E88" w:rsidRPr="00833CE8">
        <w:rPr>
          <w:rFonts w:cs="Times New Roman"/>
          <w:szCs w:val="24"/>
        </w:rPr>
        <w:t xml:space="preserve">derived from biotechnology, synthetic </w:t>
      </w:r>
      <w:r w:rsidR="00801987">
        <w:rPr>
          <w:rFonts w:cs="Times New Roman"/>
          <w:szCs w:val="24"/>
        </w:rPr>
        <w:t>ecological methodologies</w:t>
      </w:r>
      <w:r w:rsidR="007C4E88" w:rsidRPr="00833CE8">
        <w:rPr>
          <w:rFonts w:cs="Times New Roman"/>
          <w:szCs w:val="24"/>
        </w:rPr>
        <w:t xml:space="preserve"> also </w:t>
      </w:r>
      <w:r w:rsidR="00F52142" w:rsidRPr="00833CE8">
        <w:rPr>
          <w:rFonts w:cs="Times New Roman"/>
          <w:szCs w:val="24"/>
        </w:rPr>
        <w:t xml:space="preserve">allow for </w:t>
      </w:r>
      <w:r w:rsidR="007C4E88" w:rsidRPr="00833CE8">
        <w:rPr>
          <w:rFonts w:cs="Times New Roman"/>
          <w:i/>
          <w:iCs/>
          <w:szCs w:val="24"/>
        </w:rPr>
        <w:t>in vitro</w:t>
      </w:r>
      <w:r w:rsidR="007C4E88" w:rsidRPr="00833CE8">
        <w:rPr>
          <w:rFonts w:cs="Times New Roman"/>
          <w:szCs w:val="24"/>
        </w:rPr>
        <w:t xml:space="preserve"> modelling that can address fundamental research questions about these inter-organism interactions</w:t>
      </w:r>
      <w:r w:rsidR="0066587E" w:rsidRPr="00833CE8">
        <w:rPr>
          <w:rFonts w:cs="Times New Roman"/>
          <w:szCs w:val="24"/>
        </w:rPr>
        <w:t xml:space="preserve"> such as stability of the biodiversity of these ecosystems </w:t>
      </w:r>
      <w:r w:rsidR="00832740" w:rsidRPr="00833CE8">
        <w:rPr>
          <w:rFonts w:cs="Times New Roman"/>
          <w:szCs w:val="24"/>
        </w:rPr>
        <w:fldChar w:fldCharType="begin"/>
      </w:r>
      <w:r w:rsidR="009F150C" w:rsidRPr="00833CE8">
        <w:rPr>
          <w:rFonts w:cs="Times New Roman"/>
          <w:szCs w:val="24"/>
        </w:rPr>
        <w:instrText xml:space="preserve"> ADDIN ZOTERO_ITEM CSL_CITATION {"citationID":"TvqeSJ7e","properties":{"formattedCitation":"(Awasthi et al., 2014)","plainCitation":"(Awasthi et al., 2014)","noteIndex":0},"citationItems":[{"id":4637,"uris":["http://zotero.org/users/764524/items/PMR5SZC4"],"itemData":{"id":4637,"type":"article-journal","abstract":"Anthropogenic disturbances are detrimental to the functioning and stability of natural ecosystems. Critical ecosystem processes driven by microbial communities are subjected to these disturbances. Here, we examine the stabilizing role of bacterial diversity on community biomass in the presence of abiotic perturbations such as addition of heavy metals, NaCl and warming. Bacterial communities with a diversity gradient of 1–12 species were subjected to the different treatments, and community biomass (OD600) was measured after 24 h. We found that initial species richness and phylogenetic structure impact the biomass of communities. Under abiotic perturbations, the presence of tolerant species in community largely contributed in community biomass production. Bacterial diversity stabilized the biomass across the treatments, and differential response of bacterial species to different perturbations was the key reason behind these effects. The results suggest that biodiversity is crucial for maintaining the stability of ecosystem functioning and acts as ecological insurance under abiotic perturbations. Biodiversity in natural ecosystems may also uphold the ecosystem functioning under anthropogenic disturbance.","container-title":"The ISME Journal","DOI":"10.1038/ismej.2014.91","ISSN":"1751-7370","issue":"12","journalAbbreviation":"ISME J.","language":"en","license":"2014 International Society for Microbial Ecology","note":"publisher: Nature Publishing Group","page":"2445-2452","source":"www.nature.com","title":"Biodiversity acts as insurance of productivity of bacterial communities under abiotic perturbations","volume":"8","author":[{"family":"Awasthi","given":"Ashutosh"},{"family":"Singh","given":"Mangal"},{"family":"Soni","given":"Sumit K."},{"family":"Singh","given":"Rakshapal"},{"family":"Kalra","given":"Alok"}],"issued":{"date-parts":[["2014",12]]}}}],"schema":"https://github.com/citation-style-language/schema/raw/master/csl-citation.json"} </w:instrText>
      </w:r>
      <w:r w:rsidR="00832740" w:rsidRPr="00833CE8">
        <w:rPr>
          <w:rFonts w:cs="Times New Roman"/>
          <w:szCs w:val="24"/>
        </w:rPr>
        <w:fldChar w:fldCharType="separate"/>
      </w:r>
      <w:r w:rsidR="009F150C" w:rsidRPr="00833CE8">
        <w:rPr>
          <w:rFonts w:cs="Times New Roman"/>
        </w:rPr>
        <w:t>(Awasthi et al., 2014)</w:t>
      </w:r>
      <w:r w:rsidR="00832740" w:rsidRPr="00833CE8">
        <w:rPr>
          <w:rFonts w:cs="Times New Roman"/>
          <w:szCs w:val="24"/>
        </w:rPr>
        <w:fldChar w:fldCharType="end"/>
      </w:r>
      <w:r w:rsidR="0066587E" w:rsidRPr="00833CE8">
        <w:rPr>
          <w:rFonts w:cs="Times New Roman"/>
          <w:szCs w:val="24"/>
        </w:rPr>
        <w:t xml:space="preserve"> and the</w:t>
      </w:r>
      <w:r w:rsidR="007C4E88" w:rsidRPr="00833CE8">
        <w:rPr>
          <w:rFonts w:cs="Times New Roman"/>
          <w:szCs w:val="24"/>
        </w:rPr>
        <w:t xml:space="preserve"> inter-species </w:t>
      </w:r>
      <w:r w:rsidR="0066587E" w:rsidRPr="00833CE8">
        <w:rPr>
          <w:rFonts w:cs="Times New Roman"/>
          <w:szCs w:val="24"/>
        </w:rPr>
        <w:t xml:space="preserve">mechanisms </w:t>
      </w:r>
      <w:r w:rsidR="007C4E88" w:rsidRPr="00833CE8">
        <w:rPr>
          <w:rFonts w:cs="Times New Roman"/>
          <w:szCs w:val="24"/>
        </w:rPr>
        <w:t>interactions</w:t>
      </w:r>
      <w:r w:rsidR="0066587E" w:rsidRPr="00833CE8">
        <w:rPr>
          <w:rFonts w:cs="Times New Roman"/>
          <w:szCs w:val="24"/>
        </w:rPr>
        <w:t>, including those</w:t>
      </w:r>
      <w:r w:rsidR="007C4E88" w:rsidRPr="00833CE8">
        <w:rPr>
          <w:rFonts w:cs="Times New Roman"/>
          <w:szCs w:val="24"/>
        </w:rPr>
        <w:t xml:space="preserve"> </w:t>
      </w:r>
      <w:r w:rsidR="0066587E" w:rsidRPr="00833CE8">
        <w:rPr>
          <w:rFonts w:cs="Times New Roman"/>
          <w:szCs w:val="24"/>
        </w:rPr>
        <w:t xml:space="preserve">described above </w:t>
      </w:r>
      <w:r w:rsidR="000531B7" w:rsidRPr="00833CE8">
        <w:rPr>
          <w:rFonts w:cs="Times New Roman"/>
          <w:szCs w:val="24"/>
        </w:rPr>
        <w:fldChar w:fldCharType="begin"/>
      </w:r>
      <w:r w:rsidR="00742839">
        <w:rPr>
          <w:rFonts w:cs="Times New Roman"/>
          <w:szCs w:val="24"/>
        </w:rPr>
        <w:instrText xml:space="preserve"> ADDIN ZOTERO_ITEM CSL_CITATION {"citationID":"pTVcJ01i","properties":{"formattedCitation":"(Guo and Boedicker, 2016; Yu et al., 2017)","plainCitation":"(Guo and Boedicker, 2016; Yu et al., 2017)","noteIndex":0},"citationItems":[{"id":4642,"uris":["http://zotero.org/users/764524/items/KEJUIJPR"],"itemData":{"id":4642,"type":"article-journal","abstract":"&lt;p&gt;We describe experiments that follow species dynamics and gene expression patterns in synthetic bacterial communities including species that compete for the single carbon substrate supplied, methane, and species unable to consume methane, which could only succeed through cooperative interactions. We demonstrate that these communities mostly select for two functional guilds, methanotrophs of the family &lt;italic&gt;Methylococcaceae&lt;/italic&gt; and non-methanotrophic methylotrophs of the family &lt;italic&gt;Methylophilaceae&lt;/italic&gt;, these taxonomic guilds outcompeting all other species included in the synthetic mix. The metatranscriptomics analysis uncovered that in both &lt;italic&gt;Methylococcaceae&lt;/italic&gt; and &lt;italic&gt;Methylophilaceae&lt;/italic&gt;, some of the most highly transcribed genes were the ones encoding methanol dehydrogenases (MDH). Remarkably, expression of alternative MDH genes (&lt;italic&gt;mxaFI&lt;/italic&gt; versus &lt;italic&gt;xoxF&lt;/italic&gt;), previously shown to be subjects to the rare Earth element switch, was found to depend on environmental conditions such as nitrogen source and methane and O&lt;sub&gt;2&lt;/sub&gt; partial pressures, and also to be species-specific. Along with the &lt;italic&gt;xoxF&lt;/italic&gt; genes, genes encoding divergent cytochromes were highly expressed in both &lt;italic&gt;Methylophilaceae&lt;/italic&gt; and &lt;italic&gt;Methylococcaceae&lt;/italic&gt;, suggesting their function in methanol metabolism, likely encoding proteins serving as electron acceptors from XoxF enzymes. The research presented tested a synthetic community model that is much simplified compared to natural communities consuming methane, but more complex than the previously utilized two-species model. The performance of this model identifies prominent species for future synthetic ecology experiments and highlights both advantages of this approach and the challenges that it presents.&lt;/p&gt;","container-title":"Frontiers in Microbiology","DOI":"10.3389/fmicb.2017.02392","ISSN":"1664-302X","journalAbbreviation":"Front. Microbiol.","language":"English","note":"publisher: Frontiers","page":"02392","source":"Frontiers","title":"Natural Selection in Synthetic Communities Highlights the Roles of &lt;i&gt;Methylococcaceae&lt;/i&gt; and &lt;i&gt;Methylophilaceae&lt;/i&gt; and Suggests Differential Roles for Alternative Methanol Dehydrogenases in Methane Consumption","volume":"8","author":[{"family":"Yu","given":"Zheng"},{"family":"Beck","given":"David A. C."},{"family":"Chistoserdova","given":"Ludmila"}],"issued":{"date-parts":[["2017",12,5]]}}},{"id":4644,"uris":["http://zotero.org/users/764524/items/8N52QAY9"],"itemData":{"id":4644,"type":"article-journal","abstract":"The activity of a biological community is the outcome of complex processes involving interactions between community members. It is often unclear how to accurately incorporate these interactions into predictive models. Previous work has shown a range of positive and negative metabolic pairwise interactions between species. Here we examine the ability of a modified general Lotka-Volterra model with cell-cell interaction coefficients to predict the overall metabolic rate of a well-mixed microbial community comprised of four heterotrophic natural isolates, experimentally quantifying the strengths of two, three, and four-species interactions. Within this community, interactions between any pair of microbial species were positive, while higher-order interactions, between 3 or more microbial species, slightly modulated community metabolism. For this simple community, the metabolic rate of can be well predicted only with taking into account pairwise interactions. Simulations using the experimentally determined interaction parameters revealed that spatial heterogeneity in the distribution of cells increased the importance of multispecies interactions in dictating function at both the local and global scales.","container-title":"PLOS Computational Biology","DOI":"10.1371/journal.pcbi.1005079","ISSN":"1553-7358","issue":"9","journalAbbreviation":"PLOS Comput. Biol.","language":"en","note":"publisher: Public Library of Science","page":"e1005079","source":"PLoS Journals","title":"The Contribution of High-Order Metabolic Interactions to the Global Activity of a Four-Species Microbial Community","volume":"12","author":[{"family":"Guo","given":"Xiaokan"},{"family":"Boedicker","given":"James Q."}],"issued":{"date-parts":[["2016",9,13]]}}}],"schema":"https://github.com/citation-style-language/schema/raw/master/csl-citation.json"} </w:instrText>
      </w:r>
      <w:r w:rsidR="000531B7" w:rsidRPr="00833CE8">
        <w:rPr>
          <w:rFonts w:cs="Times New Roman"/>
          <w:szCs w:val="24"/>
        </w:rPr>
        <w:fldChar w:fldCharType="separate"/>
      </w:r>
      <w:r w:rsidR="009F150C" w:rsidRPr="00833CE8">
        <w:rPr>
          <w:rFonts w:cs="Times New Roman"/>
        </w:rPr>
        <w:t>(Guo and Boedicker, 2016; Yu et al., 2017)</w:t>
      </w:r>
      <w:r w:rsidR="000531B7" w:rsidRPr="00833CE8">
        <w:rPr>
          <w:rFonts w:cs="Times New Roman"/>
          <w:szCs w:val="24"/>
        </w:rPr>
        <w:fldChar w:fldCharType="end"/>
      </w:r>
      <w:r w:rsidR="0066587E" w:rsidRPr="00833CE8">
        <w:rPr>
          <w:rFonts w:cs="Times New Roman"/>
          <w:szCs w:val="24"/>
        </w:rPr>
        <w:t>.</w:t>
      </w:r>
      <w:r w:rsidR="00D30020" w:rsidRPr="00833CE8">
        <w:rPr>
          <w:rFonts w:cs="Times New Roman"/>
          <w:szCs w:val="24"/>
        </w:rPr>
        <w:t xml:space="preserve">  </w:t>
      </w:r>
      <w:r w:rsidR="008A7A88" w:rsidRPr="00833CE8">
        <w:rPr>
          <w:rFonts w:cs="Times New Roman"/>
          <w:szCs w:val="24"/>
        </w:rPr>
        <w:t xml:space="preserve">Therefore, </w:t>
      </w:r>
      <w:r w:rsidR="00134252">
        <w:rPr>
          <w:rFonts w:cs="Times New Roman"/>
          <w:szCs w:val="24"/>
        </w:rPr>
        <w:t xml:space="preserve">in the next sections </w:t>
      </w:r>
      <w:r w:rsidR="008A7A88" w:rsidRPr="00833CE8">
        <w:rPr>
          <w:rFonts w:cs="Times New Roman"/>
          <w:szCs w:val="24"/>
        </w:rPr>
        <w:t>this review will discuss potential n</w:t>
      </w:r>
      <w:r w:rsidR="00D30020" w:rsidRPr="00833CE8">
        <w:rPr>
          <w:rFonts w:cs="Times New Roman"/>
          <w:szCs w:val="24"/>
        </w:rPr>
        <w:t xml:space="preserve">ew interactions </w:t>
      </w:r>
      <w:r w:rsidR="008A7A88" w:rsidRPr="00833CE8">
        <w:rPr>
          <w:rFonts w:cs="Times New Roman"/>
          <w:szCs w:val="24"/>
        </w:rPr>
        <w:t xml:space="preserve">that could be investigated for use in </w:t>
      </w:r>
      <w:r w:rsidR="00D30020" w:rsidRPr="00833CE8">
        <w:rPr>
          <w:rFonts w:cs="Times New Roman"/>
          <w:szCs w:val="24"/>
        </w:rPr>
        <w:t xml:space="preserve">ecological/biotech applications as well as </w:t>
      </w:r>
      <w:r w:rsidR="008A7A88" w:rsidRPr="00833CE8">
        <w:rPr>
          <w:rFonts w:cs="Times New Roman"/>
          <w:szCs w:val="24"/>
        </w:rPr>
        <w:t xml:space="preserve">the ongoing </w:t>
      </w:r>
      <w:r w:rsidR="00D30020" w:rsidRPr="00833CE8">
        <w:rPr>
          <w:rFonts w:cs="Times New Roman"/>
          <w:szCs w:val="24"/>
        </w:rPr>
        <w:t>develop</w:t>
      </w:r>
      <w:r w:rsidR="008A7A88" w:rsidRPr="00833CE8">
        <w:rPr>
          <w:rFonts w:cs="Times New Roman"/>
          <w:szCs w:val="24"/>
        </w:rPr>
        <w:t>ment of</w:t>
      </w:r>
      <w:r w:rsidR="00D30020" w:rsidRPr="00833CE8">
        <w:rPr>
          <w:rFonts w:cs="Times New Roman"/>
          <w:szCs w:val="24"/>
        </w:rPr>
        <w:t xml:space="preserve"> microalgae-bacteria consortia </w:t>
      </w:r>
      <w:r w:rsidR="008A7A88" w:rsidRPr="00833CE8">
        <w:rPr>
          <w:rFonts w:cs="Times New Roman"/>
          <w:szCs w:val="24"/>
        </w:rPr>
        <w:t xml:space="preserve">that have been </w:t>
      </w:r>
      <w:r w:rsidR="00134252">
        <w:rPr>
          <w:rFonts w:cs="Times New Roman"/>
          <w:szCs w:val="24"/>
        </w:rPr>
        <w:t xml:space="preserve">already </w:t>
      </w:r>
      <w:r w:rsidR="008A7A88" w:rsidRPr="00833CE8">
        <w:rPr>
          <w:rFonts w:cs="Times New Roman"/>
          <w:szCs w:val="24"/>
        </w:rPr>
        <w:t>developed for</w:t>
      </w:r>
      <w:r w:rsidR="00D30020" w:rsidRPr="00833CE8">
        <w:rPr>
          <w:rFonts w:cs="Times New Roman"/>
          <w:szCs w:val="24"/>
        </w:rPr>
        <w:t xml:space="preserve"> </w:t>
      </w:r>
      <w:r w:rsidR="008A7A88" w:rsidRPr="00833CE8">
        <w:rPr>
          <w:rFonts w:cs="Times New Roman"/>
          <w:szCs w:val="24"/>
        </w:rPr>
        <w:t>biotechnological</w:t>
      </w:r>
      <w:r w:rsidR="00D30020" w:rsidRPr="00833CE8">
        <w:rPr>
          <w:rFonts w:cs="Times New Roman"/>
          <w:szCs w:val="24"/>
        </w:rPr>
        <w:t xml:space="preserve"> applications</w:t>
      </w:r>
      <w:r w:rsidR="008A7A88" w:rsidRPr="00833CE8">
        <w:rPr>
          <w:rFonts w:cs="Times New Roman"/>
          <w:szCs w:val="24"/>
        </w:rPr>
        <w:t>.</w:t>
      </w:r>
    </w:p>
    <w:p w14:paraId="2A73D8D2" w14:textId="77777777" w:rsidR="00D30020" w:rsidRPr="00833CE8" w:rsidRDefault="00D30020" w:rsidP="00C31A9C">
      <w:pPr>
        <w:snapToGrid w:val="0"/>
        <w:spacing w:line="360" w:lineRule="auto"/>
        <w:ind w:firstLine="284"/>
        <w:jc w:val="both"/>
        <w:rPr>
          <w:rFonts w:cs="Times New Roman"/>
          <w:b/>
          <w:bCs/>
          <w:szCs w:val="24"/>
        </w:rPr>
      </w:pPr>
    </w:p>
    <w:p w14:paraId="097829C6" w14:textId="6C1B57D1" w:rsidR="00D30020" w:rsidRPr="00833CE8" w:rsidRDefault="00D30020" w:rsidP="00B9112F">
      <w:pPr>
        <w:pStyle w:val="ListParagraph"/>
        <w:numPr>
          <w:ilvl w:val="1"/>
          <w:numId w:val="9"/>
        </w:numPr>
        <w:snapToGrid w:val="0"/>
        <w:spacing w:line="360" w:lineRule="auto"/>
        <w:rPr>
          <w:rFonts w:cs="Times New Roman"/>
          <w:b/>
          <w:bCs/>
          <w:szCs w:val="24"/>
        </w:rPr>
      </w:pPr>
      <w:r w:rsidRPr="00833CE8">
        <w:rPr>
          <w:rFonts w:cs="Times New Roman"/>
          <w:b/>
          <w:bCs/>
          <w:szCs w:val="24"/>
        </w:rPr>
        <w:t xml:space="preserve">Identification of </w:t>
      </w:r>
      <w:r w:rsidR="006C37A6">
        <w:rPr>
          <w:rFonts w:cs="Times New Roman"/>
          <w:b/>
          <w:bCs/>
          <w:szCs w:val="24"/>
        </w:rPr>
        <w:t>P</w:t>
      </w:r>
      <w:r w:rsidRPr="00833CE8">
        <w:rPr>
          <w:rFonts w:cs="Times New Roman"/>
          <w:b/>
          <w:bCs/>
          <w:szCs w:val="24"/>
        </w:rPr>
        <w:t xml:space="preserve">otential </w:t>
      </w:r>
      <w:r w:rsidR="006C37A6">
        <w:rPr>
          <w:rFonts w:cs="Times New Roman"/>
          <w:b/>
          <w:bCs/>
          <w:szCs w:val="24"/>
        </w:rPr>
        <w:t>M</w:t>
      </w:r>
      <w:r w:rsidRPr="00833CE8">
        <w:rPr>
          <w:rFonts w:cs="Times New Roman"/>
          <w:b/>
          <w:bCs/>
          <w:szCs w:val="24"/>
        </w:rPr>
        <w:t xml:space="preserve">icroalgae-bacteria </w:t>
      </w:r>
      <w:r w:rsidR="006C37A6">
        <w:rPr>
          <w:rFonts w:cs="Times New Roman"/>
          <w:b/>
          <w:bCs/>
          <w:szCs w:val="24"/>
        </w:rPr>
        <w:t>I</w:t>
      </w:r>
      <w:r w:rsidRPr="00833CE8">
        <w:rPr>
          <w:rFonts w:cs="Times New Roman"/>
          <w:b/>
          <w:bCs/>
          <w:szCs w:val="24"/>
        </w:rPr>
        <w:t xml:space="preserve">nteractions </w:t>
      </w:r>
    </w:p>
    <w:p w14:paraId="1700FDC8" w14:textId="178D6D40" w:rsidR="006A2B4C" w:rsidRDefault="00C364FB" w:rsidP="00C31A9C">
      <w:pPr>
        <w:snapToGrid w:val="0"/>
        <w:spacing w:line="360" w:lineRule="auto"/>
        <w:ind w:firstLine="284"/>
        <w:jc w:val="both"/>
        <w:rPr>
          <w:rFonts w:cs="Times New Roman"/>
          <w:szCs w:val="24"/>
        </w:rPr>
      </w:pPr>
      <w:r>
        <w:rPr>
          <w:rFonts w:cs="Times New Roman"/>
          <w:szCs w:val="24"/>
        </w:rPr>
        <w:t xml:space="preserve">One of the advantages of </w:t>
      </w:r>
      <w:r w:rsidR="007C4E88" w:rsidRPr="00216876">
        <w:rPr>
          <w:rFonts w:cs="Times New Roman"/>
          <w:szCs w:val="24"/>
        </w:rPr>
        <w:t>synthetic ecolog</w:t>
      </w:r>
      <w:r w:rsidR="00134252">
        <w:rPr>
          <w:rFonts w:cs="Times New Roman"/>
          <w:szCs w:val="24"/>
        </w:rPr>
        <w:t>y</w:t>
      </w:r>
      <w:r w:rsidR="007C4E88" w:rsidRPr="00216876">
        <w:rPr>
          <w:rFonts w:cs="Times New Roman"/>
          <w:szCs w:val="24"/>
        </w:rPr>
        <w:t xml:space="preserve"> </w:t>
      </w:r>
      <w:r w:rsidR="00134252">
        <w:rPr>
          <w:rFonts w:cs="Times New Roman"/>
          <w:szCs w:val="24"/>
        </w:rPr>
        <w:t xml:space="preserve">strategies </w:t>
      </w:r>
      <w:r>
        <w:rPr>
          <w:rFonts w:cs="Times New Roman"/>
          <w:szCs w:val="24"/>
        </w:rPr>
        <w:t xml:space="preserve">is </w:t>
      </w:r>
      <w:r w:rsidR="007C4E88" w:rsidRPr="00216876">
        <w:rPr>
          <w:rFonts w:cs="Times New Roman"/>
          <w:szCs w:val="24"/>
        </w:rPr>
        <w:t>to identify new interactions for future study</w:t>
      </w:r>
      <w:r>
        <w:rPr>
          <w:rFonts w:cs="Times New Roman"/>
          <w:szCs w:val="24"/>
        </w:rPr>
        <w:t xml:space="preserve"> in a controlled environment, rather than relying on natural relationships.</w:t>
      </w:r>
      <w:r w:rsidR="00422303">
        <w:rPr>
          <w:rFonts w:cs="Times New Roman"/>
          <w:szCs w:val="24"/>
        </w:rPr>
        <w:t xml:space="preserve">  These interactions could either be new targets for enhancing the activity of biotechnological systems or provide new mechanistic insights.</w:t>
      </w:r>
      <w:r w:rsidR="007C4E88" w:rsidRPr="00216876">
        <w:rPr>
          <w:rFonts w:cs="Times New Roman"/>
          <w:szCs w:val="24"/>
        </w:rPr>
        <w:t xml:space="preserve"> </w:t>
      </w:r>
      <w:r>
        <w:rPr>
          <w:rFonts w:cs="Times New Roman"/>
          <w:szCs w:val="24"/>
        </w:rPr>
        <w:t xml:space="preserve"> </w:t>
      </w:r>
      <w:r w:rsidR="003C1E1C" w:rsidRPr="00833CE8">
        <w:rPr>
          <w:rFonts w:cs="Times New Roman"/>
          <w:szCs w:val="24"/>
        </w:rPr>
        <w:t>A</w:t>
      </w:r>
      <w:r w:rsidR="007C4E88" w:rsidRPr="00833CE8">
        <w:rPr>
          <w:rFonts w:cs="Times New Roman"/>
          <w:szCs w:val="24"/>
        </w:rPr>
        <w:t xml:space="preserve"> few examples of microalgae-bacteria interactions that have been </w:t>
      </w:r>
      <w:r w:rsidR="00491B37" w:rsidRPr="00833CE8">
        <w:rPr>
          <w:rFonts w:cs="Times New Roman"/>
          <w:szCs w:val="24"/>
        </w:rPr>
        <w:t xml:space="preserve">observed but not well studied </w:t>
      </w:r>
      <w:r w:rsidR="007C4E88" w:rsidRPr="00833CE8">
        <w:rPr>
          <w:rFonts w:cs="Times New Roman"/>
          <w:szCs w:val="24"/>
        </w:rPr>
        <w:t>are given below.</w:t>
      </w:r>
    </w:p>
    <w:p w14:paraId="09A9D38C" w14:textId="77777777" w:rsidR="00FE3FE9" w:rsidRDefault="00FE3FE9" w:rsidP="00C31A9C">
      <w:pPr>
        <w:snapToGrid w:val="0"/>
        <w:spacing w:line="360" w:lineRule="auto"/>
        <w:ind w:firstLine="284"/>
        <w:jc w:val="both"/>
        <w:rPr>
          <w:rFonts w:cs="Times New Roman"/>
          <w:szCs w:val="24"/>
        </w:rPr>
      </w:pPr>
    </w:p>
    <w:p w14:paraId="7D57986F" w14:textId="746DD2F2" w:rsidR="006A2B4C" w:rsidRPr="006A2B4C" w:rsidRDefault="006A2B4C" w:rsidP="006A2B4C">
      <w:pPr>
        <w:pStyle w:val="ListParagraph"/>
        <w:numPr>
          <w:ilvl w:val="2"/>
          <w:numId w:val="9"/>
        </w:numPr>
        <w:snapToGrid w:val="0"/>
        <w:spacing w:line="360" w:lineRule="auto"/>
        <w:rPr>
          <w:rFonts w:cs="Times New Roman"/>
          <w:b/>
          <w:bCs/>
          <w:szCs w:val="24"/>
        </w:rPr>
      </w:pPr>
      <w:r>
        <w:rPr>
          <w:rFonts w:cs="Times New Roman"/>
          <w:b/>
          <w:bCs/>
          <w:szCs w:val="24"/>
        </w:rPr>
        <w:t>Other QS Signalling</w:t>
      </w:r>
    </w:p>
    <w:p w14:paraId="2012BE87" w14:textId="24E4AB54" w:rsidR="00ED61C5" w:rsidRDefault="001578D4" w:rsidP="00E32652">
      <w:pPr>
        <w:snapToGrid w:val="0"/>
        <w:spacing w:line="360" w:lineRule="auto"/>
        <w:ind w:firstLine="284"/>
        <w:jc w:val="both"/>
        <w:rPr>
          <w:rFonts w:cs="Times New Roman"/>
          <w:szCs w:val="24"/>
        </w:rPr>
      </w:pPr>
      <w:r w:rsidRPr="001578D4">
        <w:rPr>
          <w:rFonts w:cs="Times New Roman"/>
          <w:szCs w:val="24"/>
        </w:rPr>
        <w:lastRenderedPageBreak/>
        <w:t xml:space="preserve">While AHLs have been investigated for their effects on </w:t>
      </w:r>
      <w:r w:rsidR="003774AF" w:rsidRPr="001578D4">
        <w:rPr>
          <w:rFonts w:cs="Times New Roman"/>
          <w:szCs w:val="24"/>
        </w:rPr>
        <w:t xml:space="preserve">QS </w:t>
      </w:r>
      <w:r w:rsidRPr="001578D4">
        <w:rPr>
          <w:rFonts w:cs="Times New Roman"/>
          <w:szCs w:val="24"/>
        </w:rPr>
        <w:t>signalling for microalgae-associated bacteria, there are other mechanisms that have received less attention</w:t>
      </w:r>
      <w:r w:rsidR="003774AF" w:rsidRPr="001578D4">
        <w:rPr>
          <w:rFonts w:cs="Times New Roman"/>
          <w:szCs w:val="24"/>
        </w:rPr>
        <w:t>.</w:t>
      </w:r>
      <w:r w:rsidR="003774AF" w:rsidRPr="00833CE8">
        <w:rPr>
          <w:rFonts w:cs="Times New Roman"/>
          <w:b/>
          <w:bCs/>
          <w:szCs w:val="24"/>
        </w:rPr>
        <w:t xml:space="preserve">  </w:t>
      </w:r>
      <w:r w:rsidR="00496C4C" w:rsidRPr="00833CE8">
        <w:rPr>
          <w:rFonts w:cs="Times New Roman"/>
          <w:szCs w:val="24"/>
        </w:rPr>
        <w:t xml:space="preserve">S-adenosylmethionine (SAM) is involved in the </w:t>
      </w:r>
      <w:r w:rsidR="00134252">
        <w:rPr>
          <w:rFonts w:cs="Times New Roman"/>
          <w:szCs w:val="24"/>
        </w:rPr>
        <w:t>bio</w:t>
      </w:r>
      <w:r w:rsidR="00496C4C" w:rsidRPr="00833CE8">
        <w:rPr>
          <w:rFonts w:cs="Times New Roman"/>
          <w:szCs w:val="24"/>
        </w:rPr>
        <w:t xml:space="preserve">synthetic pathway of autoinducers </w:t>
      </w:r>
      <w:r w:rsidR="00496C4C" w:rsidRPr="00833CE8">
        <w:rPr>
          <w:rFonts w:cs="Times New Roman"/>
          <w:szCs w:val="24"/>
        </w:rPr>
        <w:fldChar w:fldCharType="begin"/>
      </w:r>
      <w:r w:rsidR="00496C4C" w:rsidRPr="00833CE8">
        <w:rPr>
          <w:rFonts w:cs="Times New Roman"/>
          <w:szCs w:val="24"/>
        </w:rPr>
        <w:instrText xml:space="preserve"> ADDIN ZOTERO_ITEM CSL_CITATION {"citationID":"W5FZghis","properties":{"formattedCitation":"(Papenfort and Bassler, 2016)","plainCitation":"(Papenfort and Bassler, 2016)","noteIndex":0},"citationItems":[{"id":9342,"uris":["http://zotero.org/users/764524/items/EN5H3G87"],"itemData":{"id":9342,"type":"article-journal","abstract":"Quorum sensing is a cell–cell communication process that enables bacteria to obtain information about cell density and species composition of the vicinal community and adjust their gene expression profiles accordingly. Quorum sensing involves the production, release and detection of extracellular signalling molecules known as autoinducers. Group-wide detection of autoinducers enables bacteria to collectively execute behaviours.Autoinducers are small molecules that control quorum sensing. In Gram-negative bacteria, autoinducers are often produced from S-adenosylmethionine (SAM). Autoinducers interact with specific receptors to elicit behaviours that are controlled by quorum sensing.Quorum sensing receptors are either membrane-bound histidine sensor kinases or cytoplasmic transcription factors.Autoinduction occurs when the detection of autoinducers induces the increased production of the same autoinducer molecule, forming a feed-forward regulatory loop. Other features, such as positive and negative feedback loops and small regulatory RNAs, optimize the integration of the autoinducer-encoded information and provide ideal quorum sensing dynamics.Signal integration is a process that takes place in most Gram-negative bacteria when several autoinducers and receptors work in parallel, or in series, to synchronize functions that are controlled by quorum sensing. Processes such as bioluminescence, the production of virulence factors and the formation of biofilms are controlled by quorum sensing.Quorum sensing shapes the composition of microbial communities. For example, bacterial species in the human gut microbiota produce and respond to autoinducers. There is increasing evidence that quorum sensing controls key physiological processes in the gut and may affect the virulence programmes of invading pathogens. Host cells are also known to produce autoinducer mimics.Synthetic quorum sensing modulators are molecules that agonize or antagonize quorum sensing and they are being developed as anti-virulence medicines. Distinct from traditional antibiotics, quorum sensing modulators do not affect the growth of pathogenic bacteria, but rather, disrupt their virulence programmes.","container-title":"Nature Reviews Microbiology","DOI":"10.1038/nrmicro.2016.89","ISSN":"1740-1534","issue":"9","journalAbbreviation":"Nat Rev. Microbiol.","language":"en","license":"2016 Springer Nature Limited","note":"publisher: Nature Publishing Group","page":"576-588","source":"www.nature.com","title":"Quorum sensing signal–response systems in Gram-negative bacteria","volume":"14","author":[{"family":"Papenfort","given":"Kai"},{"family":"Bassler","given":"Bonnie L."}],"issued":{"date-parts":[["2016",9]]}}}],"schema":"https://github.com/citation-style-language/schema/raw/master/csl-citation.json"} </w:instrText>
      </w:r>
      <w:r w:rsidR="00496C4C" w:rsidRPr="00833CE8">
        <w:rPr>
          <w:rFonts w:cs="Times New Roman"/>
          <w:szCs w:val="24"/>
        </w:rPr>
        <w:fldChar w:fldCharType="separate"/>
      </w:r>
      <w:r w:rsidR="00496C4C" w:rsidRPr="00833CE8">
        <w:rPr>
          <w:rFonts w:cs="Times New Roman"/>
        </w:rPr>
        <w:t>(Papenfort and Bassler, 2016)</w:t>
      </w:r>
      <w:r w:rsidR="00496C4C" w:rsidRPr="00833CE8">
        <w:rPr>
          <w:rFonts w:cs="Times New Roman"/>
          <w:szCs w:val="24"/>
        </w:rPr>
        <w:fldChar w:fldCharType="end"/>
      </w:r>
      <w:r w:rsidR="00496C4C" w:rsidRPr="00833CE8">
        <w:rPr>
          <w:rFonts w:cs="Times New Roman"/>
          <w:szCs w:val="24"/>
        </w:rPr>
        <w:t xml:space="preserve">.  </w:t>
      </w:r>
      <w:r w:rsidR="007A68CE" w:rsidRPr="00833CE8">
        <w:rPr>
          <w:rFonts w:cs="Times New Roman"/>
          <w:szCs w:val="24"/>
        </w:rPr>
        <w:t>A</w:t>
      </w:r>
      <w:r w:rsidR="003774AF" w:rsidRPr="00833CE8">
        <w:rPr>
          <w:rFonts w:cs="Times New Roman"/>
          <w:szCs w:val="24"/>
        </w:rPr>
        <w:t>I</w:t>
      </w:r>
      <w:r w:rsidR="007A68CE" w:rsidRPr="00833CE8">
        <w:rPr>
          <w:rFonts w:cs="Times New Roman"/>
          <w:szCs w:val="24"/>
        </w:rPr>
        <w:t xml:space="preserve">-2 </w:t>
      </w:r>
      <w:r w:rsidR="001E384C" w:rsidRPr="00833CE8">
        <w:rPr>
          <w:rFonts w:cs="Times New Roman"/>
          <w:szCs w:val="24"/>
        </w:rPr>
        <w:t>is an</w:t>
      </w:r>
      <w:r w:rsidR="007A68CE" w:rsidRPr="00833CE8">
        <w:rPr>
          <w:rFonts w:cs="Times New Roman"/>
          <w:szCs w:val="24"/>
        </w:rPr>
        <w:t xml:space="preserve"> autoinducer</w:t>
      </w:r>
      <w:r w:rsidR="001E384C" w:rsidRPr="00833CE8">
        <w:rPr>
          <w:rFonts w:cs="Times New Roman"/>
          <w:szCs w:val="24"/>
        </w:rPr>
        <w:t xml:space="preserve"> comprised </w:t>
      </w:r>
      <w:r w:rsidR="00F063BA" w:rsidRPr="00833CE8">
        <w:rPr>
          <w:rFonts w:cs="Times New Roman"/>
          <w:szCs w:val="24"/>
        </w:rPr>
        <w:t xml:space="preserve">of multiple molecules derived from 4,5-dihydroxy-2,3-pentanedione (DPD) that can convert between different forms </w:t>
      </w:r>
      <w:r w:rsidR="007A68CE" w:rsidRPr="00833CE8">
        <w:rPr>
          <w:rFonts w:cs="Times New Roman"/>
          <w:szCs w:val="24"/>
        </w:rPr>
        <w:fldChar w:fldCharType="begin"/>
      </w:r>
      <w:r w:rsidR="009F150C" w:rsidRPr="00833CE8">
        <w:rPr>
          <w:rFonts w:cs="Times New Roman"/>
          <w:szCs w:val="24"/>
        </w:rPr>
        <w:instrText xml:space="preserve"> ADDIN ZOTERO_ITEM CSL_CITATION {"citationID":"nUaMebu9","properties":{"formattedCitation":"(Qiao et al., 2022)","plainCitation":"(Qiao et al., 2022)","noteIndex":0},"citationItems":[{"id":4575,"uris":["http://zotero.org/users/764524/items/U7ADKS7S"],"itemData":{"id":4575,"type":"article-journal","abstract":"Quorum sensing in the phycosphere refers to a sensor system in which bacteria secrete bioactive compounds to coordinate group behavior relying on cell density. It is an important way for algae and bacteria to communicate with each other and achieve interactions. It has been determined that quorum sensing is widely presented in the marine phycosphere, which involves a variety of bioactive compounds. Focused on these compounds in marine phycosphere, this review summarizes the types and structures of the compounds, describes the methods in detection and functional evaluation, discusses the ecological functions regulated by the compounds, such as modulating microbial colonization, achieving algae–bacteria mutualism or competition and contributing to marine biogeochemical cycles. Meanwhile, the application prospects of the compounds are also proposed, including controlling harmful algal blooms and producing biofuel. Future research should focus on improving detection techniques, developing more model systems and investigating the effects of climate change on the quorum-sensing pathway to further understand the mechanism and application potential of quorum sensing compounds. This review aims to present an overview of current research carried out in order to provide the reader with perspective on bioactive compounds involved in quorum sensing.","container-title":"Journal of Marine Science and Engineering","DOI":"10.3390/jmse10050699","ISSN":"2077-1312","issue":"5","journalAbbreviation":"J. Mar. Sci. Eng.","language":"en","license":"http://creativecommons.org/licenses/by/3.0/","note":"number: 5\npublisher: Multidisciplinary Digital Publishing Institute","page":"699","source":"www.mdpi.com","title":"Bioactive Compounds for Quorum Sensing Signal-Response Systems in Marine Phycosphere","volume":"10","author":[{"family":"Qiao","given":"Zhen"},{"family":"Li","given":"Jialin"},{"family":"Qin","given":"Song"}],"issued":{"date-parts":[["2022",5]]}}}],"schema":"https://github.com/citation-style-language/schema/raw/master/csl-citation.json"} </w:instrText>
      </w:r>
      <w:r w:rsidR="007A68CE" w:rsidRPr="00833CE8">
        <w:rPr>
          <w:rFonts w:cs="Times New Roman"/>
          <w:szCs w:val="24"/>
        </w:rPr>
        <w:fldChar w:fldCharType="separate"/>
      </w:r>
      <w:r w:rsidR="009F150C" w:rsidRPr="00833CE8">
        <w:rPr>
          <w:rFonts w:cs="Times New Roman"/>
        </w:rPr>
        <w:t>(Qiao et al., 2022)</w:t>
      </w:r>
      <w:r w:rsidR="007A68CE" w:rsidRPr="00833CE8">
        <w:rPr>
          <w:rFonts w:cs="Times New Roman"/>
          <w:szCs w:val="24"/>
        </w:rPr>
        <w:fldChar w:fldCharType="end"/>
      </w:r>
      <w:r w:rsidR="007A68CE" w:rsidRPr="00833CE8">
        <w:rPr>
          <w:rFonts w:cs="Times New Roman"/>
          <w:szCs w:val="24"/>
        </w:rPr>
        <w:t xml:space="preserve">.  </w:t>
      </w:r>
      <w:proofErr w:type="spellStart"/>
      <w:r w:rsidR="00E32652" w:rsidRPr="00833CE8">
        <w:rPr>
          <w:rFonts w:cs="Times New Roman"/>
          <w:szCs w:val="24"/>
        </w:rPr>
        <w:t>LuxS</w:t>
      </w:r>
      <w:proofErr w:type="spellEnd"/>
      <w:r w:rsidR="00E32652" w:rsidRPr="00833CE8">
        <w:rPr>
          <w:rFonts w:cs="Times New Roman"/>
          <w:szCs w:val="24"/>
        </w:rPr>
        <w:t xml:space="preserve"> and two other genes </w:t>
      </w:r>
      <w:r w:rsidR="00134252">
        <w:rPr>
          <w:rFonts w:cs="Times New Roman"/>
          <w:szCs w:val="24"/>
        </w:rPr>
        <w:t xml:space="preserve">were </w:t>
      </w:r>
      <w:r w:rsidR="00E32652" w:rsidRPr="00833CE8">
        <w:rPr>
          <w:rFonts w:cs="Times New Roman"/>
          <w:szCs w:val="24"/>
        </w:rPr>
        <w:t xml:space="preserve">shown to be involved in </w:t>
      </w:r>
      <w:r w:rsidR="00E32652" w:rsidRPr="00691166">
        <w:rPr>
          <w:rFonts w:cs="Times New Roman"/>
          <w:szCs w:val="24"/>
        </w:rPr>
        <w:t xml:space="preserve">recycling of SAM, including production of </w:t>
      </w:r>
      <w:r w:rsidR="00B31958" w:rsidRPr="00691166">
        <w:rPr>
          <w:rFonts w:cs="Times New Roman"/>
          <w:szCs w:val="24"/>
        </w:rPr>
        <w:t xml:space="preserve">AI-2 </w:t>
      </w:r>
      <w:r w:rsidR="00E32652" w:rsidRPr="00691166">
        <w:rPr>
          <w:rFonts w:cs="Times New Roman"/>
          <w:szCs w:val="24"/>
        </w:rPr>
        <w:fldChar w:fldCharType="begin"/>
      </w:r>
      <w:r w:rsidR="00E32652" w:rsidRPr="00691166">
        <w:rPr>
          <w:rFonts w:cs="Times New Roman"/>
          <w:szCs w:val="24"/>
        </w:rPr>
        <w:instrText xml:space="preserve"> ADDIN ZOTERO_ITEM CSL_CITATION {"citationID":"c06aGx68","properties":{"formattedCitation":"(Schauder et al., 2001)","plainCitation":"(Schauder et al., 2001)","noteIndex":0},"citationItems":[{"id":9249,"uris":["http://zotero.org/users/764524/items/VZ6LAPPD"],"itemData":{"id":9249,"type":"article-journal","abstract":"Many bacteria control gene expression in response to cell population density, and this phenomenon is called quorum sensing. In Gram-negative bacteria, quorum sensing typically involves the production, release and detection of acylated homoserine lactone signalling molecules called autoinducers. Vibrio harveyi, a Gram-negative bioluminescent marine bacterium, regulates light production in response to two distinct autoinducers (AI-1 and AI-2). AI-1 is a homoserine lactone. The structure of AI-2 is not known. We have suggested previously that V. harveyi uses AI-1 for intraspecies communication and AI-2 for interspecies communication. Consistent with this idea, we have shown that many species of Gram-negative and Gram-positive bacteria produce AI-2 and, in every case, production of AI-2 is dependent on the function encoded by the luxS gene. We show here that LuxS is the AI-2 synthase and that AI-2 is produced from S-adenosylmethionine in three enzymatic steps. The substrate for LuxS is S-ribosylhomocysteine, which is cleaved to form two products, one of which is homocysteine, and the other is AI-2. In this report, we also provide evidence that the biosynthetic pathway and biochemical intermediates in AI-2 biosynthesis are identical in Escherichia coli, Salmonella typhimurium, V. harveyi, Vibrio cholerae and Enterococcus faecalis. This result suggests that, unlike quorum sensing via the family of related homoserine lactone autoinducers, AI-2 is a unique, ‘universal’ signal that could be used by a variety of bacteria for communication among and between species.","container-title":"Molecular Microbiology","DOI":"10.1046/j.1365-2958.2001.02532.x","ISSN":"1365-2958","issue":"2","journalAbbreviation":"Mol. Microbiol.","language":"en","note":"_eprint: https://onlinelibrary.wiley.com/doi/pdf/10.1046/j.1365-2958.2001.02532.x","page":"463-476","source":"Wiley Online Library","title":"The LuxS family of bacterial autoinducers: biosynthesis of a novel quorum-sensing signal molecule","title-short":"The LuxS family of bacterial autoinducers","volume":"41","author":[{"family":"Schauder","given":"Stephan"},{"family":"Shokat","given":"Kevan"},{"family":"Surette","given":"Michael G."},{"family":"Bassler","given":"Bonnie L."}],"issued":{"date-parts":[["2001"]]}}}],"schema":"https://github.com/citation-style-language/schema/raw/master/csl-citation.json"} </w:instrText>
      </w:r>
      <w:r w:rsidR="00E32652" w:rsidRPr="00691166">
        <w:rPr>
          <w:rFonts w:cs="Times New Roman"/>
          <w:szCs w:val="24"/>
        </w:rPr>
        <w:fldChar w:fldCharType="separate"/>
      </w:r>
      <w:r w:rsidR="00E32652" w:rsidRPr="00691166">
        <w:rPr>
          <w:rFonts w:cs="Times New Roman"/>
        </w:rPr>
        <w:t>(Schauder et al., 2001)</w:t>
      </w:r>
      <w:r w:rsidR="00E32652" w:rsidRPr="00691166">
        <w:rPr>
          <w:rFonts w:cs="Times New Roman"/>
          <w:szCs w:val="24"/>
        </w:rPr>
        <w:fldChar w:fldCharType="end"/>
      </w:r>
      <w:r w:rsidR="00E32652" w:rsidRPr="00691166">
        <w:rPr>
          <w:rFonts w:cs="Times New Roman"/>
          <w:szCs w:val="24"/>
        </w:rPr>
        <w:t>. SAM is also used in the synthesis of A</w:t>
      </w:r>
      <w:r w:rsidR="00B31958" w:rsidRPr="00691166">
        <w:rPr>
          <w:rFonts w:cs="Times New Roman"/>
          <w:szCs w:val="24"/>
        </w:rPr>
        <w:t>I</w:t>
      </w:r>
      <w:r w:rsidR="00E32652" w:rsidRPr="00691166">
        <w:rPr>
          <w:rFonts w:cs="Times New Roman"/>
          <w:szCs w:val="24"/>
        </w:rPr>
        <w:t xml:space="preserve">-2 and AHLs.  Therefore, SAM may be a connection point by which many of these pathways can be studied in bacteria.  </w:t>
      </w:r>
      <w:r w:rsidR="00832740" w:rsidRPr="00691166">
        <w:rPr>
          <w:rFonts w:cs="Times New Roman"/>
          <w:szCs w:val="24"/>
        </w:rPr>
        <w:t xml:space="preserve">SAM </w:t>
      </w:r>
      <w:r w:rsidR="002748A9" w:rsidRPr="00691166">
        <w:rPr>
          <w:rFonts w:cs="Times New Roman"/>
          <w:szCs w:val="24"/>
        </w:rPr>
        <w:t>is</w:t>
      </w:r>
      <w:r w:rsidR="00832740" w:rsidRPr="00691166">
        <w:rPr>
          <w:rFonts w:cs="Times New Roman"/>
          <w:szCs w:val="24"/>
        </w:rPr>
        <w:t xml:space="preserve"> </w:t>
      </w:r>
      <w:r w:rsidR="00832740" w:rsidRPr="00833CE8">
        <w:rPr>
          <w:rFonts w:cs="Times New Roman"/>
          <w:szCs w:val="24"/>
        </w:rPr>
        <w:t>also converted by ACC synthase into ACC (aminocyclopropane-1-carboxylic acid)</w:t>
      </w:r>
      <w:r w:rsidR="00F62BDA" w:rsidRPr="00833CE8">
        <w:rPr>
          <w:rFonts w:cs="Times New Roman"/>
          <w:szCs w:val="24"/>
        </w:rPr>
        <w:t xml:space="preserve">, which </w:t>
      </w:r>
      <w:r w:rsidR="00756FF4" w:rsidRPr="00833CE8">
        <w:rPr>
          <w:rFonts w:cs="Times New Roman"/>
          <w:szCs w:val="24"/>
        </w:rPr>
        <w:t xml:space="preserve">is </w:t>
      </w:r>
      <w:r w:rsidR="00497F59" w:rsidRPr="00833CE8">
        <w:rPr>
          <w:rFonts w:cs="Times New Roman"/>
          <w:szCs w:val="24"/>
        </w:rPr>
        <w:t>involve</w:t>
      </w:r>
      <w:r w:rsidR="00756FF4" w:rsidRPr="00833CE8">
        <w:rPr>
          <w:rFonts w:cs="Times New Roman"/>
          <w:szCs w:val="24"/>
        </w:rPr>
        <w:t>d</w:t>
      </w:r>
      <w:r w:rsidR="00497F59" w:rsidRPr="00833CE8">
        <w:rPr>
          <w:rFonts w:cs="Times New Roman"/>
          <w:szCs w:val="24"/>
        </w:rPr>
        <w:t xml:space="preserve"> in </w:t>
      </w:r>
      <w:r w:rsidR="00756FF4" w:rsidRPr="00833CE8">
        <w:rPr>
          <w:rFonts w:cs="Times New Roman"/>
          <w:szCs w:val="24"/>
        </w:rPr>
        <w:t xml:space="preserve">the </w:t>
      </w:r>
      <w:r w:rsidR="00497F59" w:rsidRPr="00833CE8">
        <w:rPr>
          <w:rFonts w:cs="Times New Roman"/>
          <w:szCs w:val="24"/>
        </w:rPr>
        <w:t>ethylene biosynthetic pathway</w:t>
      </w:r>
      <w:r w:rsidR="006555B5" w:rsidRPr="00833CE8">
        <w:rPr>
          <w:rFonts w:cs="Times New Roman"/>
          <w:szCs w:val="24"/>
        </w:rPr>
        <w:t>.</w:t>
      </w:r>
      <w:r w:rsidR="006555B5" w:rsidRPr="00833CE8">
        <w:rPr>
          <w:rFonts w:cs="Times New Roman"/>
          <w:b/>
          <w:bCs/>
          <w:szCs w:val="24"/>
        </w:rPr>
        <w:t xml:space="preserve"> </w:t>
      </w:r>
      <w:r w:rsidR="00ED3556" w:rsidRPr="00833CE8">
        <w:rPr>
          <w:rFonts w:cs="Times New Roman"/>
          <w:b/>
          <w:bCs/>
          <w:szCs w:val="24"/>
        </w:rPr>
        <w:t xml:space="preserve"> </w:t>
      </w:r>
      <w:r w:rsidR="006555B5" w:rsidRPr="00833CE8">
        <w:rPr>
          <w:rFonts w:cs="Times New Roman"/>
          <w:szCs w:val="24"/>
        </w:rPr>
        <w:t xml:space="preserve">Although there has been little research on this topic, there is some evidence for the influence of ethylene on microalgae, as well as </w:t>
      </w:r>
      <w:r w:rsidR="00134252">
        <w:rPr>
          <w:rFonts w:cs="Times New Roman"/>
          <w:szCs w:val="24"/>
        </w:rPr>
        <w:t xml:space="preserve">in </w:t>
      </w:r>
      <w:r w:rsidR="006555B5" w:rsidRPr="00833CE8">
        <w:rPr>
          <w:rFonts w:cs="Times New Roman"/>
          <w:szCs w:val="24"/>
        </w:rPr>
        <w:t>land plant-bacteria interactions</w:t>
      </w:r>
      <w:r w:rsidR="006555B5" w:rsidRPr="00833CE8">
        <w:rPr>
          <w:rFonts w:cs="Times New Roman"/>
          <w:b/>
          <w:bCs/>
          <w:szCs w:val="24"/>
        </w:rPr>
        <w:t xml:space="preserve"> </w:t>
      </w:r>
      <w:r w:rsidR="004E5217" w:rsidRPr="00833CE8">
        <w:rPr>
          <w:rFonts w:cs="Times New Roman"/>
          <w:b/>
          <w:bCs/>
          <w:szCs w:val="24"/>
        </w:rPr>
        <w:fldChar w:fldCharType="begin"/>
      </w:r>
      <w:r w:rsidR="009F150C" w:rsidRPr="00833CE8">
        <w:rPr>
          <w:rFonts w:cs="Times New Roman"/>
          <w:b/>
          <w:bCs/>
          <w:szCs w:val="24"/>
        </w:rPr>
        <w:instrText xml:space="preserve"> ADDIN ZOTERO_ITEM CSL_CITATION {"citationID":"AWXCCzz0","properties":{"formattedCitation":"(Orozco-Mosqueda et al., 2023)","plainCitation":"(Orozco-Mosqueda et al., 2023)","noteIndex":0},"citationItems":[{"id":9268,"uris":["http://zotero.org/users/764524/items/UAPEP5WZ"],"itemData":{"id":9268,"type":"article-journal","abstract":"Phytohormones are regulators of plant growth and development, which under different types of stress can play a fundamental role in a plant’s adaptation and survival. Some of these phytohormones such as cytokinin, gibberellin, salicylic acid, auxin, and ethylene are also produced by plant growth-promoting bacteria (PGPB). In addition, numerous volatile organic compounds are released by PGPB and, like bacterial phytohormones, modulate plant physiology and genetics. In the present work we review the basic functions of these bacterial phytohormones during their interaction with different plant species. Moreover, we discuss the most recent advances of the beneficial effects on plant growth of the phytohormones produced by PGPB. Finally, we review some aspects of the cross-link between phytohormone production and other plant growth promotion (PGP) mechanisms. This work highlights the most recent advances in the essential functions performed by bacterial phytohormones and their potential application in agricultural production.","container-title":"Plants","DOI":"10.3390/plants12030606","ISSN":"2223-7747","issue":"3","language":"en","license":"http://creativecommons.org/licenses/by/3.0/","note":"number: 3\npublisher: Multidisciplinary Digital Publishing Institute","page":"606","source":"www.mdpi.com","title":"Recent Advances in the Bacterial Phytohormone Modulation of Plant Growth","volume":"12","author":[{"family":"Orozco-Mosqueda","given":"Ma del Carmen"},{"family":"Santoyo","given":"Gustavo"},{"family":"Glick","given":"Bernard R."}],"issued":{"date-parts":[["2023",1]]}}}],"schema":"https://github.com/citation-style-language/schema/raw/master/csl-citation.json"} </w:instrText>
      </w:r>
      <w:r w:rsidR="004E5217" w:rsidRPr="00833CE8">
        <w:rPr>
          <w:rFonts w:cs="Times New Roman"/>
          <w:b/>
          <w:bCs/>
          <w:szCs w:val="24"/>
        </w:rPr>
        <w:fldChar w:fldCharType="separate"/>
      </w:r>
      <w:r w:rsidR="009F150C" w:rsidRPr="00833CE8">
        <w:rPr>
          <w:rFonts w:cs="Times New Roman"/>
        </w:rPr>
        <w:t>(Orozco-Mosqueda et al., 2023)</w:t>
      </w:r>
      <w:r w:rsidR="004E5217" w:rsidRPr="00833CE8">
        <w:rPr>
          <w:rFonts w:cs="Times New Roman"/>
          <w:b/>
          <w:bCs/>
          <w:szCs w:val="24"/>
        </w:rPr>
        <w:fldChar w:fldCharType="end"/>
      </w:r>
      <w:r w:rsidR="005E69C8" w:rsidRPr="00833CE8">
        <w:rPr>
          <w:rFonts w:cs="Times New Roman"/>
          <w:szCs w:val="24"/>
        </w:rPr>
        <w:t xml:space="preserve">. </w:t>
      </w:r>
      <w:r w:rsidR="00D470CD" w:rsidRPr="00833CE8">
        <w:rPr>
          <w:rFonts w:cs="Times New Roman"/>
          <w:szCs w:val="24"/>
        </w:rPr>
        <w:t>Ethylene synth</w:t>
      </w:r>
      <w:r w:rsidR="00894497" w:rsidRPr="00833CE8">
        <w:rPr>
          <w:rFonts w:cs="Times New Roman"/>
          <w:szCs w:val="24"/>
        </w:rPr>
        <w:t>esis was reported</w:t>
      </w:r>
      <w:r w:rsidR="00D470CD" w:rsidRPr="00833CE8">
        <w:rPr>
          <w:rFonts w:cs="Times New Roman"/>
          <w:szCs w:val="24"/>
        </w:rPr>
        <w:t xml:space="preserve"> via </w:t>
      </w:r>
      <w:r w:rsidR="00894497" w:rsidRPr="00833CE8">
        <w:rPr>
          <w:rFonts w:cs="Times New Roman"/>
          <w:szCs w:val="24"/>
        </w:rPr>
        <w:t xml:space="preserve">the </w:t>
      </w:r>
      <w:r w:rsidR="00D470CD" w:rsidRPr="00833CE8">
        <w:rPr>
          <w:rFonts w:cs="Times New Roman"/>
          <w:szCs w:val="24"/>
        </w:rPr>
        <w:t>ACC pathway</w:t>
      </w:r>
      <w:r w:rsidR="004A68E4" w:rsidRPr="00833CE8">
        <w:rPr>
          <w:rFonts w:cs="Times New Roman"/>
          <w:szCs w:val="24"/>
        </w:rPr>
        <w:t xml:space="preserve"> in</w:t>
      </w:r>
      <w:r w:rsidR="00580249" w:rsidRPr="00833CE8">
        <w:rPr>
          <w:rFonts w:cs="Times New Roman"/>
          <w:szCs w:val="24"/>
        </w:rPr>
        <w:t xml:space="preserve"> the marine macroalga </w:t>
      </w:r>
      <w:r w:rsidR="00580249" w:rsidRPr="00833CE8">
        <w:rPr>
          <w:rFonts w:cs="Times New Roman"/>
          <w:i/>
          <w:iCs/>
          <w:szCs w:val="24"/>
        </w:rPr>
        <w:t>Ulva</w:t>
      </w:r>
      <w:r w:rsidR="001F33CC">
        <w:rPr>
          <w:rFonts w:cs="Times New Roman"/>
          <w:i/>
          <w:iCs/>
          <w:szCs w:val="24"/>
        </w:rPr>
        <w:t xml:space="preserve"> intestinalis</w:t>
      </w:r>
      <w:r w:rsidR="00894497" w:rsidRPr="00833CE8">
        <w:rPr>
          <w:rFonts w:cs="Times New Roman"/>
          <w:szCs w:val="24"/>
        </w:rPr>
        <w:t xml:space="preserve">, with the enzyme </w:t>
      </w:r>
      <w:r w:rsidR="00D470CD" w:rsidRPr="00833CE8">
        <w:rPr>
          <w:rFonts w:cs="Times New Roman"/>
          <w:szCs w:val="24"/>
        </w:rPr>
        <w:t xml:space="preserve">ACC oxidase </w:t>
      </w:r>
      <w:r w:rsidR="00894497" w:rsidRPr="00833CE8">
        <w:rPr>
          <w:rFonts w:cs="Times New Roman"/>
          <w:szCs w:val="24"/>
        </w:rPr>
        <w:t>and the precursor DMSP present</w:t>
      </w:r>
      <w:r w:rsidR="007A7A9F" w:rsidRPr="00833CE8">
        <w:rPr>
          <w:rFonts w:cs="Times New Roman"/>
          <w:szCs w:val="24"/>
        </w:rPr>
        <w:t xml:space="preserve"> </w:t>
      </w:r>
      <w:r w:rsidR="00580249" w:rsidRPr="00833CE8">
        <w:rPr>
          <w:rFonts w:cs="Times New Roman"/>
          <w:b/>
          <w:bCs/>
          <w:i/>
          <w:iCs/>
          <w:szCs w:val="24"/>
        </w:rPr>
        <w:fldChar w:fldCharType="begin"/>
      </w:r>
      <w:r w:rsidR="00742839">
        <w:rPr>
          <w:rFonts w:cs="Times New Roman"/>
          <w:b/>
          <w:bCs/>
          <w:i/>
          <w:iCs/>
          <w:szCs w:val="24"/>
        </w:rPr>
        <w:instrText xml:space="preserve"> ADDIN ZOTERO_ITEM CSL_CITATION {"citationID":"ueYAhyCl","properties":{"formattedCitation":"(Plettner et al., 2005)","plainCitation":"(Plettner et al., 2005)","noteIndex":0},"citationItems":[{"id":9276,"uris":["http://zotero.org/users/764524/items/DWCX4694"],"itemData":{"id":9276,"type":"article-journal","abstract":"Ethene (ethylene; H2C = CH2) is one of a range of non-methane hydrocarbons (NMHC) that affect atmospheric chemistry and global climate. Ethene acts as a hormone in higher plants and its role in plant...","container-title":"Plant, Cell &amp; Environment","DOI":"10.1111/j.1365-3040.2005.01351.x","ISSN":"1365-3040","issue":"9","journalAbbreviation":"Plant Cell Environ.","language":"en","note":"publisher: John Wiley &amp; Sons, Ltd","page":"1136-1145","source":"onlinelibrary.wiley.com","title":"Ethene (ethylene) production in the marine macroalga &lt;i&gt;Ulva&lt;/i&gt; (Enteromorpha) &lt;i&gt;intestinalis&lt;/i&gt; L. (Chlorophyta, Ulvophyceae): effect of light-stress and co-production with dimethyl sulphide","title-short":"Ethene (ethylene) production in the marine macroalga Ulva (Enteromorpha) intestinalis L. (Chlorophyta, Ulvophyceae)","volume":"28","author":[{"family":"Plettner","given":"Ina"},{"family":"Steinke","given":"Michael"},{"family":"Malin","given":"Gill"}],"issued":{"date-parts":[["2005",9,1]]}}}],"schema":"https://github.com/citation-style-language/schema/raw/master/csl-citation.json"} </w:instrText>
      </w:r>
      <w:r w:rsidR="00580249" w:rsidRPr="00833CE8">
        <w:rPr>
          <w:rFonts w:cs="Times New Roman"/>
          <w:b/>
          <w:bCs/>
          <w:i/>
          <w:iCs/>
          <w:szCs w:val="24"/>
        </w:rPr>
        <w:fldChar w:fldCharType="separate"/>
      </w:r>
      <w:r w:rsidR="009F150C" w:rsidRPr="00833CE8">
        <w:rPr>
          <w:rFonts w:cs="Times New Roman"/>
        </w:rPr>
        <w:t>(Plettner et al., 2005)</w:t>
      </w:r>
      <w:r w:rsidR="00580249" w:rsidRPr="00833CE8">
        <w:rPr>
          <w:rFonts w:cs="Times New Roman"/>
          <w:b/>
          <w:bCs/>
          <w:i/>
          <w:iCs/>
          <w:szCs w:val="24"/>
        </w:rPr>
        <w:fldChar w:fldCharType="end"/>
      </w:r>
      <w:r w:rsidR="007A7A9F" w:rsidRPr="00833CE8">
        <w:rPr>
          <w:rFonts w:cs="Times New Roman"/>
          <w:szCs w:val="24"/>
        </w:rPr>
        <w:t>.</w:t>
      </w:r>
      <w:r w:rsidR="00D470CD" w:rsidRPr="00833CE8">
        <w:rPr>
          <w:rFonts w:cs="Times New Roman"/>
          <w:szCs w:val="24"/>
        </w:rPr>
        <w:t xml:space="preserve">  </w:t>
      </w:r>
      <w:r w:rsidR="00894497" w:rsidRPr="00833CE8">
        <w:rPr>
          <w:rFonts w:cs="Times New Roman"/>
          <w:szCs w:val="24"/>
        </w:rPr>
        <w:t xml:space="preserve">When </w:t>
      </w:r>
      <w:r w:rsidR="00D470CD" w:rsidRPr="00833CE8">
        <w:rPr>
          <w:rFonts w:cs="Times New Roman"/>
          <w:szCs w:val="24"/>
        </w:rPr>
        <w:t>acrylate, an ethylene precursor</w:t>
      </w:r>
      <w:r w:rsidR="00894497" w:rsidRPr="00833CE8">
        <w:rPr>
          <w:rFonts w:cs="Times New Roman"/>
          <w:szCs w:val="24"/>
        </w:rPr>
        <w:t xml:space="preserve"> which is derived from DMSP</w:t>
      </w:r>
      <w:r w:rsidR="00D470CD" w:rsidRPr="00833CE8">
        <w:rPr>
          <w:rFonts w:cs="Times New Roman"/>
          <w:szCs w:val="24"/>
        </w:rPr>
        <w:t xml:space="preserve">, </w:t>
      </w:r>
      <w:r w:rsidR="00894497" w:rsidRPr="00833CE8">
        <w:rPr>
          <w:rFonts w:cs="Times New Roman"/>
          <w:szCs w:val="24"/>
        </w:rPr>
        <w:t xml:space="preserve">was added </w:t>
      </w:r>
      <w:r w:rsidR="00D470CD" w:rsidRPr="00833CE8">
        <w:rPr>
          <w:rFonts w:cs="Times New Roman"/>
          <w:szCs w:val="24"/>
        </w:rPr>
        <w:t xml:space="preserve">to </w:t>
      </w:r>
      <w:r w:rsidR="00894497" w:rsidRPr="00833CE8">
        <w:rPr>
          <w:rFonts w:cs="Times New Roman"/>
          <w:szCs w:val="24"/>
        </w:rPr>
        <w:t xml:space="preserve">the </w:t>
      </w:r>
      <w:r w:rsidR="00D470CD" w:rsidRPr="00833CE8">
        <w:rPr>
          <w:rFonts w:cs="Times New Roman"/>
          <w:szCs w:val="24"/>
        </w:rPr>
        <w:t>algae</w:t>
      </w:r>
      <w:r w:rsidR="00894497" w:rsidRPr="00833CE8">
        <w:rPr>
          <w:rFonts w:cs="Times New Roman"/>
          <w:szCs w:val="24"/>
        </w:rPr>
        <w:t xml:space="preserve">, the level of </w:t>
      </w:r>
      <w:r w:rsidR="00D470CD" w:rsidRPr="00833CE8">
        <w:rPr>
          <w:rFonts w:cs="Times New Roman"/>
          <w:szCs w:val="24"/>
        </w:rPr>
        <w:t>ethylene production</w:t>
      </w:r>
      <w:r w:rsidR="00894497" w:rsidRPr="00833CE8">
        <w:rPr>
          <w:rFonts w:cs="Times New Roman"/>
          <w:szCs w:val="24"/>
        </w:rPr>
        <w:t xml:space="preserve"> was doubled</w:t>
      </w:r>
      <w:r w:rsidR="00234889" w:rsidRPr="00833CE8">
        <w:rPr>
          <w:rFonts w:cs="Times New Roman"/>
          <w:szCs w:val="24"/>
        </w:rPr>
        <w:t xml:space="preserve">, although </w:t>
      </w:r>
      <w:r w:rsidR="00894497" w:rsidRPr="00833CE8">
        <w:rPr>
          <w:rFonts w:cs="Times New Roman"/>
          <w:szCs w:val="24"/>
        </w:rPr>
        <w:t xml:space="preserve">this was not via </w:t>
      </w:r>
      <w:r w:rsidR="00D470CD" w:rsidRPr="00833CE8">
        <w:rPr>
          <w:rFonts w:cs="Times New Roman"/>
          <w:szCs w:val="24"/>
        </w:rPr>
        <w:t>acrylate decarboxylase</w:t>
      </w:r>
      <w:r w:rsidR="002C3DCD" w:rsidRPr="00833CE8">
        <w:rPr>
          <w:rFonts w:cs="Times New Roman"/>
          <w:szCs w:val="24"/>
        </w:rPr>
        <w:t xml:space="preserve">.  </w:t>
      </w:r>
      <w:r w:rsidR="00ED61C5" w:rsidRPr="00833CE8">
        <w:rPr>
          <w:rFonts w:cs="Times New Roman"/>
          <w:szCs w:val="24"/>
        </w:rPr>
        <w:t xml:space="preserve">QS can cause changes to motility and colonization that can lead to the formation of </w:t>
      </w:r>
      <w:r w:rsidR="00134252">
        <w:rPr>
          <w:rFonts w:cs="Times New Roman"/>
          <w:szCs w:val="24"/>
        </w:rPr>
        <w:t xml:space="preserve">bacterial </w:t>
      </w:r>
      <w:r w:rsidR="00ED61C5" w:rsidRPr="00833CE8">
        <w:rPr>
          <w:rFonts w:cs="Times New Roman"/>
          <w:szCs w:val="24"/>
        </w:rPr>
        <w:t xml:space="preserve">biofilms </w:t>
      </w:r>
      <w:r w:rsidR="00ED61C5" w:rsidRPr="00833CE8">
        <w:rPr>
          <w:rFonts w:cs="Times New Roman"/>
          <w:b/>
          <w:bCs/>
          <w:szCs w:val="24"/>
        </w:rPr>
        <w:fldChar w:fldCharType="begin"/>
      </w:r>
      <w:r w:rsidR="00ED61C5" w:rsidRPr="00833CE8">
        <w:rPr>
          <w:rFonts w:cs="Times New Roman"/>
          <w:b/>
          <w:bCs/>
          <w:szCs w:val="24"/>
        </w:rPr>
        <w:instrText xml:space="preserve"> ADDIN ZOTERO_ITEM CSL_CITATION {"citationID":"fIQleB3x","properties":{"formattedCitation":"(Qiao et al., 2022)","plainCitation":"(Qiao et al., 2022)","noteIndex":0},"citationItems":[{"id":4575,"uris":["http://zotero.org/users/764524/items/U7ADKS7S"],"itemData":{"id":4575,"type":"article-journal","abstract":"Quorum sensing in the phycosphere refers to a sensor system in which bacteria secrete bioactive compounds to coordinate group behavior relying on cell density. It is an important way for algae and bacteria to communicate with each other and achieve interactions. It has been determined that quorum sensing is widely presented in the marine phycosphere, which involves a variety of bioactive compounds. Focused on these compounds in marine phycosphere, this review summarizes the types and structures of the compounds, describes the methods in detection and functional evaluation, discusses the ecological functions regulated by the compounds, such as modulating microbial colonization, achieving algae–bacteria mutualism or competition and contributing to marine biogeochemical cycles. Meanwhile, the application prospects of the compounds are also proposed, including controlling harmful algal blooms and producing biofuel. Future research should focus on improving detection techniques, developing more model systems and investigating the effects of climate change on the quorum-sensing pathway to further understand the mechanism and application potential of quorum sensing compounds. This review aims to present an overview of current research carried out in order to provide the reader with perspective on bioactive compounds involved in quorum sensing.","container-title":"Journal of Marine Science and Engineering","DOI":"10.3390/jmse10050699","ISSN":"2077-1312","issue":"5","journalAbbreviation":"J. Mar. Sci. Eng.","language":"en","license":"http://creativecommons.org/licenses/by/3.0/","note":"number: 5\npublisher: Multidisciplinary Digital Publishing Institute","page":"699","source":"www.mdpi.com","title":"Bioactive Compounds for Quorum Sensing Signal-Response Systems in Marine Phycosphere","volume":"10","author":[{"family":"Qiao","given":"Zhen"},{"family":"Li","given":"Jialin"},{"family":"Qin","given":"Song"}],"issued":{"date-parts":[["2022",5]]}}}],"schema":"https://github.com/citation-style-language/schema/raw/master/csl-citation.json"} </w:instrText>
      </w:r>
      <w:r w:rsidR="00ED61C5" w:rsidRPr="00833CE8">
        <w:rPr>
          <w:rFonts w:cs="Times New Roman"/>
          <w:b/>
          <w:bCs/>
          <w:szCs w:val="24"/>
        </w:rPr>
        <w:fldChar w:fldCharType="separate"/>
      </w:r>
      <w:r w:rsidR="00ED61C5" w:rsidRPr="00833CE8">
        <w:rPr>
          <w:rFonts w:cs="Times New Roman"/>
        </w:rPr>
        <w:t>(Qiao et al., 2022)</w:t>
      </w:r>
      <w:r w:rsidR="00ED61C5" w:rsidRPr="00833CE8">
        <w:rPr>
          <w:rFonts w:cs="Times New Roman"/>
          <w:b/>
          <w:bCs/>
          <w:szCs w:val="24"/>
        </w:rPr>
        <w:fldChar w:fldCharType="end"/>
      </w:r>
      <w:r w:rsidR="00ED61C5" w:rsidRPr="00833CE8">
        <w:rPr>
          <w:rFonts w:cs="Times New Roman"/>
          <w:szCs w:val="24"/>
        </w:rPr>
        <w:t xml:space="preserve">.  For example, two diatoms have been shown to use AHLs to inhibit their motility and attach to growing bacterial biofilms </w:t>
      </w:r>
      <w:r w:rsidR="00ED61C5" w:rsidRPr="00833CE8">
        <w:rPr>
          <w:rFonts w:cs="Times New Roman"/>
          <w:szCs w:val="24"/>
        </w:rPr>
        <w:fldChar w:fldCharType="begin"/>
      </w:r>
      <w:r w:rsidR="00ED61C5" w:rsidRPr="00833CE8">
        <w:rPr>
          <w:rFonts w:cs="Times New Roman"/>
          <w:szCs w:val="24"/>
        </w:rPr>
        <w:instrText xml:space="preserve"> ADDIN ZOTERO_ITEM CSL_CITATION {"citationID":"xiMs9MZh","properties":{"formattedCitation":"(Fei et al., 2020)","plainCitation":"(Fei et al., 2020)","noteIndex":0},"citationItems":[{"id":4651,"uris":["http://zotero.org/users/764524/items/VD4JTGTX"],"itemData":{"id":4651,"type":"article-journal","abstract":"Interactions between phytoplankton and bacteria play major roles in global biogeochemical cycles and oceanic nutrient fluxes. These interactions occur in the microenvironment surrounding phytoplankton cells, known as the phycosphere. Bacteria in the phycosphere use either chemotaxis or attachment to benefit from algal excretions. Both processes are regulated by quorum sensing (QS), a cell–cell signalling mechanism that uses small infochemicals to coordinate bacterial gene expression. However, the role of QS in regulating bacterial attachment in the phycosphere is not clear. Here, we isolated a Sulfitobacter pseudonitzschiae F5 and a Phaeobacter sp. F10 belonging to the marine Roseobacter group and an Alteromonas macleodii F12 belonging to Alteromonadaceae, from the microbial community of the ubiquitous diatom Asterionellopsis glacialis. We show that only the Roseobacter group isolates (diatom symbionts) can attach to diatom transparent exopolymeric particles. Despite all three bacteria possessing genes involved in motility, chemotaxis, and attachment, only S. pseudonitzschiae F5 and Phaeobacter sp. F10 possessed complete QS systems and could synthesize QS signals. Using UHPLC–MS/MS, we identified three QS molecules produced by both bacteria of which only 3-oxo-C16:1-HSL strongly inhibited bacterial motility and stimulated attachment in the phycosphere. These findings suggest that QS signals enable colonization of the phycosphere by algal symbionts.","container-title":"Environmental Microbiology","DOI":"10.1111/1462-2920.15228","ISSN":"1462-2920","issue":"11","journalAbbreviation":"Environ. Microbiol.","language":"en","license":"© 2020 The Authors. Environmental Microbiology published by Society for Applied Microbiology and John Wiley &amp; Sons Ltd.","note":"_eprint: https://onlinelibrary.wiley.com/doi/pdf/10.1111/1462-2920.15228","page":"4761-4778","source":"Wiley Online Library","title":"Quorum sensing regulates ‘swim-or-stick’ lifestyle in the phycosphere","volume":"22","author":[{"family":"Fei","given":"Cong"},{"family":"Ochsenkühn","given":"Michael A."},{"family":"Shibl","given":"Ahmed A."},{"family":"Isaac","given":"Ashley"},{"family":"Wang","given":"Changhai"},{"family":"Amin","given":"Shady A."}],"issued":{"date-parts":[["2020"]]}}}],"schema":"https://github.com/citation-style-language/schema/raw/master/csl-citation.json"} </w:instrText>
      </w:r>
      <w:r w:rsidR="00ED61C5" w:rsidRPr="00833CE8">
        <w:rPr>
          <w:rFonts w:cs="Times New Roman"/>
          <w:szCs w:val="24"/>
        </w:rPr>
        <w:fldChar w:fldCharType="separate"/>
      </w:r>
      <w:r w:rsidR="00ED61C5" w:rsidRPr="00833CE8">
        <w:rPr>
          <w:rFonts w:cs="Times New Roman"/>
        </w:rPr>
        <w:t>(Fei et al., 2020)</w:t>
      </w:r>
      <w:r w:rsidR="00ED61C5" w:rsidRPr="00833CE8">
        <w:rPr>
          <w:rFonts w:cs="Times New Roman"/>
          <w:szCs w:val="24"/>
        </w:rPr>
        <w:fldChar w:fldCharType="end"/>
      </w:r>
      <w:r w:rsidR="00ED61C5" w:rsidRPr="00833CE8">
        <w:rPr>
          <w:rFonts w:cs="Times New Roman"/>
          <w:szCs w:val="24"/>
        </w:rPr>
        <w:t xml:space="preserve">.  </w:t>
      </w:r>
    </w:p>
    <w:p w14:paraId="7703BEB9" w14:textId="2F362483" w:rsidR="006555B5" w:rsidRPr="00833CE8" w:rsidRDefault="0042787C" w:rsidP="00D470CD">
      <w:pPr>
        <w:snapToGrid w:val="0"/>
        <w:spacing w:line="360" w:lineRule="auto"/>
        <w:ind w:firstLine="284"/>
        <w:jc w:val="both"/>
        <w:rPr>
          <w:rFonts w:cs="Times New Roman"/>
          <w:b/>
          <w:bCs/>
          <w:szCs w:val="24"/>
          <w:lang w:eastAsia="zh-CN"/>
        </w:rPr>
      </w:pPr>
      <w:r w:rsidRPr="00833CE8">
        <w:rPr>
          <w:rFonts w:cs="Times New Roman"/>
          <w:szCs w:val="24"/>
          <w:lang w:eastAsia="zh-CN"/>
        </w:rPr>
        <w:t xml:space="preserve">Ethylene is also a </w:t>
      </w:r>
      <w:r w:rsidR="006555B5" w:rsidRPr="00833CE8">
        <w:rPr>
          <w:rFonts w:cs="Times New Roman"/>
          <w:szCs w:val="24"/>
          <w:lang w:eastAsia="zh-CN"/>
        </w:rPr>
        <w:t xml:space="preserve">volatile organic </w:t>
      </w:r>
      <w:r w:rsidR="006555B5" w:rsidRPr="00394FE4">
        <w:rPr>
          <w:rFonts w:cs="Times New Roman"/>
          <w:szCs w:val="24"/>
          <w:lang w:eastAsia="zh-CN"/>
        </w:rPr>
        <w:t>compound</w:t>
      </w:r>
      <w:r w:rsidR="00646BFA" w:rsidRPr="00833CE8">
        <w:rPr>
          <w:rFonts w:cs="Times New Roman"/>
          <w:szCs w:val="24"/>
          <w:lang w:eastAsia="zh-CN"/>
        </w:rPr>
        <w:t xml:space="preserve"> (VOC</w:t>
      </w:r>
      <w:r w:rsidR="006555B5" w:rsidRPr="00833CE8">
        <w:rPr>
          <w:rFonts w:cs="Times New Roman"/>
          <w:szCs w:val="24"/>
          <w:lang w:eastAsia="zh-CN"/>
        </w:rPr>
        <w:t>)</w:t>
      </w:r>
      <w:r w:rsidR="00580249" w:rsidRPr="00833CE8">
        <w:rPr>
          <w:rFonts w:cs="Times New Roman"/>
          <w:szCs w:val="24"/>
          <w:lang w:eastAsia="zh-CN"/>
        </w:rPr>
        <w:t xml:space="preserve">, </w:t>
      </w:r>
      <w:r w:rsidR="00F44141" w:rsidRPr="00833CE8">
        <w:rPr>
          <w:rFonts w:cs="Times New Roman"/>
          <w:szCs w:val="24"/>
          <w:lang w:eastAsia="zh-CN"/>
        </w:rPr>
        <w:t xml:space="preserve">a class of </w:t>
      </w:r>
      <w:r w:rsidR="00394FE4">
        <w:rPr>
          <w:rFonts w:cs="Times New Roman"/>
          <w:szCs w:val="24"/>
          <w:lang w:eastAsia="zh-CN"/>
        </w:rPr>
        <w:t>molecules</w:t>
      </w:r>
      <w:r w:rsidR="00F44141" w:rsidRPr="00833CE8">
        <w:rPr>
          <w:rFonts w:cs="Times New Roman"/>
          <w:szCs w:val="24"/>
          <w:lang w:eastAsia="zh-CN"/>
        </w:rPr>
        <w:t xml:space="preserve"> that </w:t>
      </w:r>
      <w:r w:rsidR="00580249" w:rsidRPr="00833CE8">
        <w:rPr>
          <w:rFonts w:cs="Times New Roman"/>
          <w:szCs w:val="24"/>
          <w:lang w:eastAsia="zh-CN"/>
        </w:rPr>
        <w:t>have also been shown to affect microalgal growth</w:t>
      </w:r>
      <w:r w:rsidR="006555B5" w:rsidRPr="00833CE8">
        <w:rPr>
          <w:rFonts w:cs="Times New Roman"/>
          <w:szCs w:val="24"/>
          <w:lang w:eastAsia="zh-CN"/>
        </w:rPr>
        <w:t xml:space="preserve">.  </w:t>
      </w:r>
      <w:r w:rsidR="00580249" w:rsidRPr="00833CE8">
        <w:rPr>
          <w:rFonts w:cs="Times New Roman"/>
          <w:szCs w:val="24"/>
          <w:lang w:eastAsia="zh-CN"/>
        </w:rPr>
        <w:t>For example, a</w:t>
      </w:r>
      <w:r w:rsidR="00880C48" w:rsidRPr="00833CE8">
        <w:rPr>
          <w:rFonts w:cs="Times New Roman"/>
          <w:szCs w:val="24"/>
          <w:lang w:eastAsia="zh-CN"/>
        </w:rPr>
        <w:t xml:space="preserve"> c</w:t>
      </w:r>
      <w:r w:rsidR="006555B5" w:rsidRPr="00833CE8">
        <w:rPr>
          <w:rFonts w:cs="Times New Roman"/>
          <w:szCs w:val="24"/>
          <w:lang w:eastAsia="zh-CN"/>
        </w:rPr>
        <w:t xml:space="preserve">omparison </w:t>
      </w:r>
      <w:r w:rsidR="00880C48" w:rsidRPr="00833CE8">
        <w:rPr>
          <w:rFonts w:cs="Times New Roman"/>
          <w:szCs w:val="24"/>
          <w:lang w:eastAsia="zh-CN"/>
        </w:rPr>
        <w:t xml:space="preserve">was made between axenic </w:t>
      </w:r>
      <w:r w:rsidR="00880C48" w:rsidRPr="00833CE8">
        <w:rPr>
          <w:rFonts w:cs="Times New Roman"/>
          <w:i/>
          <w:iCs/>
          <w:szCs w:val="24"/>
          <w:lang w:eastAsia="zh-CN"/>
        </w:rPr>
        <w:t>Chlorella</w:t>
      </w:r>
      <w:r w:rsidR="00880C48" w:rsidRPr="00833CE8">
        <w:rPr>
          <w:rFonts w:cs="Times New Roman"/>
          <w:szCs w:val="24"/>
          <w:lang w:eastAsia="zh-CN"/>
        </w:rPr>
        <w:t xml:space="preserve"> microalgae, </w:t>
      </w:r>
      <w:r w:rsidR="00880C48" w:rsidRPr="00833CE8">
        <w:rPr>
          <w:rFonts w:cs="Times New Roman"/>
          <w:i/>
          <w:iCs/>
          <w:szCs w:val="24"/>
          <w:lang w:eastAsia="zh-CN"/>
        </w:rPr>
        <w:t>Chlorella</w:t>
      </w:r>
      <w:r w:rsidR="00880C48" w:rsidRPr="00833CE8">
        <w:rPr>
          <w:rFonts w:cs="Times New Roman"/>
          <w:szCs w:val="24"/>
          <w:lang w:eastAsia="zh-CN"/>
        </w:rPr>
        <w:t xml:space="preserve"> in coculture with a mixture of </w:t>
      </w:r>
      <w:r w:rsidR="00880C48" w:rsidRPr="00833CE8">
        <w:rPr>
          <w:rFonts w:cs="Times New Roman"/>
          <w:i/>
          <w:iCs/>
          <w:szCs w:val="24"/>
          <w:lang w:eastAsia="zh-CN"/>
        </w:rPr>
        <w:t>Rhizobium</w:t>
      </w:r>
      <w:r w:rsidR="00880C48" w:rsidRPr="00833CE8">
        <w:rPr>
          <w:rFonts w:cs="Times New Roman"/>
          <w:szCs w:val="24"/>
          <w:lang w:eastAsia="zh-CN"/>
        </w:rPr>
        <w:t xml:space="preserve"> and </w:t>
      </w:r>
      <w:r w:rsidR="00880C48" w:rsidRPr="00833CE8">
        <w:rPr>
          <w:rFonts w:cs="Times New Roman"/>
          <w:i/>
          <w:iCs/>
          <w:szCs w:val="24"/>
          <w:lang w:eastAsia="zh-CN"/>
        </w:rPr>
        <w:t>Agrobacterium</w:t>
      </w:r>
      <w:r w:rsidR="00880C48" w:rsidRPr="00833CE8">
        <w:rPr>
          <w:rFonts w:cs="Times New Roman"/>
          <w:szCs w:val="24"/>
          <w:lang w:eastAsia="zh-CN"/>
        </w:rPr>
        <w:t xml:space="preserve"> bacteria, and </w:t>
      </w:r>
      <w:r w:rsidR="00880C48" w:rsidRPr="00833CE8">
        <w:rPr>
          <w:rFonts w:cs="Times New Roman"/>
          <w:i/>
          <w:iCs/>
          <w:szCs w:val="24"/>
          <w:lang w:eastAsia="zh-CN"/>
        </w:rPr>
        <w:t xml:space="preserve">Chlorella </w:t>
      </w:r>
      <w:r w:rsidR="00880C48" w:rsidRPr="00833CE8">
        <w:rPr>
          <w:rFonts w:cs="Times New Roman"/>
          <w:szCs w:val="24"/>
          <w:lang w:eastAsia="zh-CN"/>
        </w:rPr>
        <w:t>and bacteria</w:t>
      </w:r>
      <w:r w:rsidR="00B05F9D" w:rsidRPr="00833CE8">
        <w:rPr>
          <w:rFonts w:cs="Times New Roman"/>
          <w:szCs w:val="24"/>
          <w:lang w:eastAsia="zh-CN"/>
        </w:rPr>
        <w:t>l cultures</w:t>
      </w:r>
      <w:r w:rsidR="00880C48" w:rsidRPr="00833CE8">
        <w:rPr>
          <w:rFonts w:cs="Times New Roman"/>
          <w:szCs w:val="24"/>
          <w:lang w:eastAsia="zh-CN"/>
        </w:rPr>
        <w:t xml:space="preserve"> connected by a </w:t>
      </w:r>
      <w:r w:rsidR="006555B5" w:rsidRPr="00833CE8">
        <w:rPr>
          <w:rFonts w:cs="Times New Roman"/>
          <w:szCs w:val="24"/>
          <w:lang w:eastAsia="zh-CN"/>
        </w:rPr>
        <w:t xml:space="preserve"> “headspace connection”</w:t>
      </w:r>
      <w:r w:rsidR="00B05F9D" w:rsidRPr="00833CE8">
        <w:rPr>
          <w:rFonts w:cs="Times New Roman"/>
          <w:szCs w:val="24"/>
          <w:lang w:eastAsia="zh-CN"/>
        </w:rPr>
        <w:t xml:space="preserve">, i.e. a </w:t>
      </w:r>
      <w:r w:rsidR="006555B5" w:rsidRPr="00833CE8">
        <w:rPr>
          <w:rFonts w:cs="Times New Roman"/>
          <w:szCs w:val="24"/>
          <w:lang w:eastAsia="zh-CN"/>
        </w:rPr>
        <w:t xml:space="preserve">tube allowing </w:t>
      </w:r>
      <w:r w:rsidR="00B05F9D" w:rsidRPr="00833CE8">
        <w:rPr>
          <w:rFonts w:cs="Times New Roman"/>
          <w:szCs w:val="24"/>
          <w:lang w:eastAsia="zh-CN"/>
        </w:rPr>
        <w:t xml:space="preserve">volatile compounds </w:t>
      </w:r>
      <w:r w:rsidR="006555B5" w:rsidRPr="00833CE8">
        <w:rPr>
          <w:rFonts w:cs="Times New Roman"/>
          <w:szCs w:val="24"/>
          <w:lang w:eastAsia="zh-CN"/>
        </w:rPr>
        <w:t xml:space="preserve">to travel from separate cell culture environments </w:t>
      </w:r>
      <w:r w:rsidR="006555B5" w:rsidRPr="00833CE8">
        <w:rPr>
          <w:rFonts w:cs="Times New Roman"/>
          <w:szCs w:val="24"/>
          <w:lang w:eastAsia="zh-CN"/>
        </w:rPr>
        <w:fldChar w:fldCharType="begin"/>
      </w:r>
      <w:r w:rsidR="009F150C" w:rsidRPr="00833CE8">
        <w:rPr>
          <w:rFonts w:cs="Times New Roman"/>
          <w:szCs w:val="24"/>
          <w:lang w:eastAsia="zh-CN"/>
        </w:rPr>
        <w:instrText xml:space="preserve"> ADDIN ZOTERO_ITEM CSL_CITATION {"citationID":"FFFHy8J7","properties":{"formattedCitation":"(Chegukrishnamurthi et al., 2022)","plainCitation":"(Chegukrishnamurthi et al., 2022)","noteIndex":0},"citationItems":[{"id":9245,"uris":["http://zotero.org/users/764524/items/RDLNGRXR"],"itemData":{"id":9245,"type":"article-journal","abstract":"In the present study, bacterial mixture (Rhizobium and Agrobacterium) and axenic Chlorella were cultivated individually, in a mixed (co-cultured) form, and through headspace connections to study volatile organic compounds (VOCs) profile and their effect on growth. Results indicated that VOCs produced by the axenic microalgae and microalgae co-cultured with bacteria were significantly different. Axenic Chlorella predominantly produced a flavouring organic compound 2-pentadecanone (69.54%), bacterial mixed culture produced 1-decanone, 1,2,3-butanetriol, and quinoline (15–20%), and direct co-culturing of Chlorella with bacteria predominantly produced 2-pentadecanone (32.4 %). When they were allowed to communicate distantly through headspace connection, highly diversified VOCs in large numbers but low quantities were noted, predominantly 1,2-propanediol (28.82 %). In addition, growth of the co-cultured Chlorella was 1.5 times higher, while Chlorella in headspace connection with bacterial mixture exhibited </w:instrText>
      </w:r>
      <w:r w:rsidR="009F150C" w:rsidRPr="00833CE8">
        <w:rPr>
          <w:rFonts w:ascii="Cambria Math" w:hAnsi="Cambria Math" w:cs="Cambria Math"/>
          <w:szCs w:val="24"/>
          <w:lang w:eastAsia="zh-CN"/>
        </w:rPr>
        <w:instrText>∼</w:instrText>
      </w:r>
      <w:r w:rsidR="009F150C" w:rsidRPr="00833CE8">
        <w:rPr>
          <w:rFonts w:cs="Times New Roman"/>
          <w:szCs w:val="24"/>
          <w:lang w:eastAsia="zh-CN"/>
        </w:rPr>
        <w:instrText xml:space="preserve"> 3.2 times increase in growth compared to the axenic Chlorella, indicating the essential role of VOCs in growth and communication.","container-title":"Bioresource Technology","DOI":"10.1016/j.biortech.2022.126775","ISSN":"0960-8524","journalAbbreviation":"Bioresour. Technol.","page":"126775","source":"ScienceDirect","title":"Volatile organic compounds involved in the communication of microalgae-bacterial association extracted through Headspace-Solid phase microextraction and confirmed using gas chromatography-mass spectrophotometry","volume":"348","author":[{"family":"Chegukrishnamurthi","given":"Madhubalaji"},{"family":"Shekh","given":"Ajam"},{"family":"Ravi","given":"Sarada"},{"family":"Narayana Mudliar","given":"Sandeep"}],"issued":{"date-parts":[["2022",3,1]]}}}],"schema":"https://github.com/citation-style-language/schema/raw/master/csl-citation.json"} </w:instrText>
      </w:r>
      <w:r w:rsidR="006555B5" w:rsidRPr="00833CE8">
        <w:rPr>
          <w:rFonts w:cs="Times New Roman"/>
          <w:szCs w:val="24"/>
          <w:lang w:eastAsia="zh-CN"/>
        </w:rPr>
        <w:fldChar w:fldCharType="separate"/>
      </w:r>
      <w:r w:rsidR="009F150C" w:rsidRPr="00833CE8">
        <w:rPr>
          <w:rFonts w:cs="Times New Roman"/>
        </w:rPr>
        <w:t>(Chegukrishnamurthi et al., 2022)</w:t>
      </w:r>
      <w:r w:rsidR="006555B5" w:rsidRPr="00833CE8">
        <w:rPr>
          <w:rFonts w:cs="Times New Roman"/>
          <w:szCs w:val="24"/>
          <w:lang w:eastAsia="zh-CN"/>
        </w:rPr>
        <w:fldChar w:fldCharType="end"/>
      </w:r>
      <w:r w:rsidR="006555B5" w:rsidRPr="00833CE8">
        <w:rPr>
          <w:rFonts w:cs="Times New Roman"/>
          <w:szCs w:val="24"/>
          <w:lang w:eastAsia="zh-CN"/>
        </w:rPr>
        <w:t>.</w:t>
      </w:r>
      <w:r w:rsidR="00B05F9D" w:rsidRPr="00833CE8">
        <w:rPr>
          <w:rFonts w:cs="Times New Roman"/>
          <w:szCs w:val="24"/>
          <w:lang w:eastAsia="zh-CN"/>
        </w:rPr>
        <w:t xml:space="preserve">  While additional </w:t>
      </w:r>
      <w:r w:rsidR="006555B5" w:rsidRPr="00833CE8">
        <w:rPr>
          <w:rFonts w:cs="Times New Roman"/>
          <w:szCs w:val="24"/>
          <w:lang w:eastAsia="zh-CN"/>
        </w:rPr>
        <w:t>VOCs</w:t>
      </w:r>
      <w:r w:rsidR="00B05F9D" w:rsidRPr="00833CE8">
        <w:rPr>
          <w:rFonts w:cs="Times New Roman"/>
          <w:szCs w:val="24"/>
          <w:lang w:eastAsia="zh-CN"/>
        </w:rPr>
        <w:t>, predominantly 3-methoxy-1,2-</w:t>
      </w:r>
      <w:r w:rsidR="00ED2F5E">
        <w:rPr>
          <w:rFonts w:cs="Times New Roman"/>
          <w:szCs w:val="24"/>
          <w:lang w:eastAsia="zh-CN"/>
        </w:rPr>
        <w:t>p</w:t>
      </w:r>
      <w:r w:rsidR="00B05F9D" w:rsidRPr="00833CE8">
        <w:rPr>
          <w:rFonts w:cs="Times New Roman"/>
          <w:szCs w:val="24"/>
          <w:lang w:eastAsia="zh-CN"/>
        </w:rPr>
        <w:t xml:space="preserve">ropanediol, were found to be </w:t>
      </w:r>
      <w:r w:rsidR="00B05F9D" w:rsidRPr="00394FE4">
        <w:rPr>
          <w:rFonts w:cs="Times New Roman"/>
          <w:szCs w:val="24"/>
          <w:lang w:eastAsia="zh-CN"/>
        </w:rPr>
        <w:t>present</w:t>
      </w:r>
      <w:r w:rsidR="00B05F9D" w:rsidRPr="00833CE8">
        <w:rPr>
          <w:rFonts w:cs="Times New Roman"/>
          <w:szCs w:val="24"/>
          <w:lang w:eastAsia="zh-CN"/>
        </w:rPr>
        <w:t xml:space="preserve"> in the media</w:t>
      </w:r>
      <w:r w:rsidR="006555B5" w:rsidRPr="00833CE8">
        <w:rPr>
          <w:rFonts w:cs="Times New Roman"/>
          <w:szCs w:val="24"/>
          <w:lang w:eastAsia="zh-CN"/>
        </w:rPr>
        <w:t xml:space="preserve">, </w:t>
      </w:r>
      <w:r w:rsidR="00B05F9D" w:rsidRPr="00833CE8">
        <w:rPr>
          <w:rFonts w:cs="Times New Roman"/>
          <w:szCs w:val="24"/>
          <w:lang w:eastAsia="zh-CN"/>
        </w:rPr>
        <w:t xml:space="preserve">they </w:t>
      </w:r>
      <w:r w:rsidR="00CE653A">
        <w:rPr>
          <w:rFonts w:cs="Times New Roman"/>
          <w:szCs w:val="24"/>
          <w:lang w:eastAsia="zh-CN"/>
        </w:rPr>
        <w:t>did</w:t>
      </w:r>
      <w:r w:rsidR="00B05F9D" w:rsidRPr="00833CE8">
        <w:rPr>
          <w:rFonts w:cs="Times New Roman"/>
          <w:szCs w:val="24"/>
          <w:lang w:eastAsia="zh-CN"/>
        </w:rPr>
        <w:t xml:space="preserve"> </w:t>
      </w:r>
      <w:r w:rsidR="006555B5" w:rsidRPr="00833CE8">
        <w:rPr>
          <w:rFonts w:cs="Times New Roman"/>
          <w:szCs w:val="24"/>
          <w:lang w:eastAsia="zh-CN"/>
        </w:rPr>
        <w:t xml:space="preserve">not </w:t>
      </w:r>
      <w:r w:rsidR="00CE653A">
        <w:rPr>
          <w:rFonts w:cs="Times New Roman"/>
          <w:szCs w:val="24"/>
          <w:lang w:eastAsia="zh-CN"/>
        </w:rPr>
        <w:t>occur</w:t>
      </w:r>
      <w:r w:rsidR="00B05F9D" w:rsidRPr="00833CE8">
        <w:rPr>
          <w:rFonts w:cs="Times New Roman"/>
          <w:szCs w:val="24"/>
          <w:lang w:eastAsia="zh-CN"/>
        </w:rPr>
        <w:t xml:space="preserve"> in </w:t>
      </w:r>
      <w:r w:rsidR="006555B5" w:rsidRPr="00833CE8">
        <w:rPr>
          <w:rFonts w:cs="Times New Roman"/>
          <w:szCs w:val="24"/>
          <w:lang w:eastAsia="zh-CN"/>
        </w:rPr>
        <w:t>high concentration</w:t>
      </w:r>
      <w:r w:rsidR="00B05F9D" w:rsidRPr="00833CE8">
        <w:rPr>
          <w:rFonts w:cs="Times New Roman"/>
          <w:szCs w:val="24"/>
          <w:lang w:eastAsia="zh-CN"/>
        </w:rPr>
        <w:t>s</w:t>
      </w:r>
      <w:r w:rsidR="006555B5" w:rsidRPr="00833CE8">
        <w:rPr>
          <w:rFonts w:cs="Times New Roman"/>
          <w:szCs w:val="24"/>
          <w:lang w:eastAsia="zh-CN"/>
        </w:rPr>
        <w:t xml:space="preserve">. </w:t>
      </w:r>
      <w:r w:rsidR="00B05F9D" w:rsidRPr="00833CE8">
        <w:rPr>
          <w:rFonts w:cs="Times New Roman"/>
          <w:szCs w:val="24"/>
          <w:lang w:eastAsia="zh-CN"/>
        </w:rPr>
        <w:t xml:space="preserve"> In the culture with the headspace connection, the effect of the VOCs </w:t>
      </w:r>
      <w:r w:rsidR="00B05F9D" w:rsidRPr="00394FE4">
        <w:rPr>
          <w:rFonts w:cs="Times New Roman"/>
          <w:szCs w:val="24"/>
          <w:lang w:eastAsia="zh-CN"/>
        </w:rPr>
        <w:t>resulted</w:t>
      </w:r>
      <w:r w:rsidR="00B05F9D" w:rsidRPr="00833CE8">
        <w:rPr>
          <w:rFonts w:cs="Times New Roman"/>
          <w:szCs w:val="24"/>
          <w:lang w:eastAsia="zh-CN"/>
        </w:rPr>
        <w:t xml:space="preserve"> in an increase of 3.2 times the growth of axenic </w:t>
      </w:r>
      <w:r w:rsidR="00B05F9D" w:rsidRPr="00833CE8">
        <w:rPr>
          <w:rFonts w:cs="Times New Roman"/>
          <w:i/>
          <w:iCs/>
          <w:szCs w:val="24"/>
          <w:lang w:eastAsia="zh-CN"/>
        </w:rPr>
        <w:t>Chlorella</w:t>
      </w:r>
      <w:r w:rsidR="00B05F9D" w:rsidRPr="00833CE8">
        <w:rPr>
          <w:rFonts w:cs="Times New Roman"/>
          <w:szCs w:val="24"/>
          <w:lang w:eastAsia="zh-CN"/>
        </w:rPr>
        <w:t xml:space="preserve">, compared to only a 1.5 times increase by co-culture with the </w:t>
      </w:r>
      <w:r w:rsidR="00B05F9D" w:rsidRPr="00394FE4">
        <w:rPr>
          <w:rFonts w:cs="Times New Roman"/>
          <w:szCs w:val="24"/>
          <w:lang w:eastAsia="zh-CN"/>
        </w:rPr>
        <w:t xml:space="preserve">bacteria, suggesting that the VOCs alone </w:t>
      </w:r>
      <w:r w:rsidR="00CE653A" w:rsidRPr="00394FE4">
        <w:rPr>
          <w:rFonts w:cs="Times New Roman"/>
          <w:szCs w:val="24"/>
          <w:lang w:eastAsia="zh-CN"/>
        </w:rPr>
        <w:t>led</w:t>
      </w:r>
      <w:r w:rsidR="00B05F9D" w:rsidRPr="00394FE4">
        <w:rPr>
          <w:rFonts w:cs="Times New Roman"/>
          <w:szCs w:val="24"/>
          <w:lang w:eastAsia="zh-CN"/>
        </w:rPr>
        <w:t xml:space="preserve"> </w:t>
      </w:r>
      <w:r w:rsidR="00CE653A" w:rsidRPr="00394FE4">
        <w:rPr>
          <w:rFonts w:cs="Times New Roman"/>
          <w:szCs w:val="24"/>
          <w:lang w:eastAsia="zh-CN"/>
        </w:rPr>
        <w:t xml:space="preserve">to </w:t>
      </w:r>
      <w:r w:rsidR="00B05F9D" w:rsidRPr="00394FE4">
        <w:rPr>
          <w:rFonts w:cs="Times New Roman"/>
          <w:szCs w:val="24"/>
          <w:lang w:eastAsia="zh-CN"/>
        </w:rPr>
        <w:t>a larger improvement to microalgal growth</w:t>
      </w:r>
      <w:r w:rsidR="0061293C" w:rsidRPr="00833CE8">
        <w:rPr>
          <w:rFonts w:cs="Times New Roman"/>
          <w:szCs w:val="24"/>
          <w:lang w:eastAsia="zh-CN"/>
        </w:rPr>
        <w:t xml:space="preserve"> </w:t>
      </w:r>
      <w:r w:rsidR="006555B5" w:rsidRPr="00833CE8">
        <w:rPr>
          <w:rFonts w:cs="Times New Roman"/>
          <w:szCs w:val="24"/>
          <w:lang w:eastAsia="zh-CN"/>
        </w:rPr>
        <w:fldChar w:fldCharType="begin"/>
      </w:r>
      <w:r w:rsidR="00742839">
        <w:rPr>
          <w:rFonts w:cs="Times New Roman"/>
          <w:szCs w:val="24"/>
          <w:lang w:eastAsia="zh-CN"/>
        </w:rPr>
        <w:instrText xml:space="preserve"> ADDIN ZOTERO_ITEM CSL_CITATION {"citationID":"37I5UWo7","properties":{"formattedCitation":"(Amavizca et al., 2017)","plainCitation":"(Amavizca et al., 2017)","noteIndex":0},"citationItems":[{"id":9280,"uris":["http://zotero.org/users/764524/items/QIFVLMX4"],"itemData":{"id":9280,"type":"article-journal","abstract":"Remote effects (occurring without physical contact) of two plant growth-promoting bacteria (PGPB) Azospirillum brasilense Cd and Bacilus pumilus ES4 on growth of the green microalga Chlorella sorokiniana UTEX 2714 were studied. The two PGPB remotely enhanced the growth of the microalga, up to six-fold, and its cell volume by about three-fold. In addition to phenotypic changes, both bacteria remotely induced increases in the amounts of total lipids, total carbohydrates, and chlorophyll a in the cells of the microalga, indicating an alteration of the microalga’s physiology. The two bacteria produced large amounts of volatile compounds, including CO2, and the known plant growth-promoting volatile 2,3-butanediol and acetoin. Several other volatiles having biological functions in other organisms, as well as numerous volatile compounds with undefined biological roles, were detected. Together, these bacteria-derived volatiles can positively affect growth and metabolic parameters in green microalgae without physical attachment of the bacteria to the microalgae. This is a new paradigm on how PGPB promote growth of microalgae which may serve to improve performance of Chlorella spp. for biotechnological applications.","container-title":"Scientific Reports","DOI":"10.1038/srep41310","ISSN":"2045-2322","issue":"1","journalAbbreviation":"Sci. Rep.","language":"en","license":"2017 The Author(s)","note":"publisher: Nature Publishing Group","page":"41310","source":"www.nature.com","title":"Enhanced performance of the microalga &lt;i&gt;Chlorella sorokiniana&lt;/i&gt; remotely induced by the plant growth-promoting bacteria &lt;i&gt;Azospirillum brasilense&lt;/i&gt; and &lt;i&gt;Bacillus pumilus&lt;/i&gt;","volume":"7","author":[{"family":"Amavizca","given":"Edgar"},{"family":"Bashan","given":"Yoav"},{"family":"Ryu","given":"Choong-Min"},{"family":"Farag","given":"Mohamed A."},{"family":"Bebout","given":"Brad M."},{"family":"Bashan","given":"Luz E.","non-dropping-particle":"de-"}],"issued":{"date-parts":[["2017",2,1]]}}}],"schema":"https://github.com/citation-style-language/schema/raw/master/csl-citation.json"} </w:instrText>
      </w:r>
      <w:r w:rsidR="006555B5" w:rsidRPr="00833CE8">
        <w:rPr>
          <w:rFonts w:cs="Times New Roman"/>
          <w:szCs w:val="24"/>
          <w:lang w:eastAsia="zh-CN"/>
        </w:rPr>
        <w:fldChar w:fldCharType="separate"/>
      </w:r>
      <w:r w:rsidR="009F150C" w:rsidRPr="00833CE8">
        <w:rPr>
          <w:rFonts w:cs="Times New Roman"/>
        </w:rPr>
        <w:t>(Amavizca et al., 2017)</w:t>
      </w:r>
      <w:r w:rsidR="006555B5" w:rsidRPr="00833CE8">
        <w:rPr>
          <w:rFonts w:cs="Times New Roman"/>
          <w:szCs w:val="24"/>
          <w:lang w:eastAsia="zh-CN"/>
        </w:rPr>
        <w:fldChar w:fldCharType="end"/>
      </w:r>
      <w:r w:rsidR="0061293C" w:rsidRPr="00833CE8">
        <w:rPr>
          <w:rFonts w:cs="Times New Roman"/>
          <w:szCs w:val="24"/>
          <w:lang w:eastAsia="zh-CN"/>
        </w:rPr>
        <w:t>.</w:t>
      </w:r>
      <w:r w:rsidR="00B05F9D" w:rsidRPr="00833CE8">
        <w:rPr>
          <w:rFonts w:cs="Times New Roman"/>
          <w:szCs w:val="24"/>
          <w:lang w:eastAsia="zh-CN"/>
        </w:rPr>
        <w:t xml:space="preserve">  The mechanisms of bacterial VOCs on microalgal growth may therefore </w:t>
      </w:r>
      <w:r w:rsidR="002C3DCD">
        <w:rPr>
          <w:rFonts w:cs="Times New Roman"/>
          <w:szCs w:val="24"/>
          <w:lang w:eastAsia="zh-CN"/>
        </w:rPr>
        <w:t>open</w:t>
      </w:r>
      <w:r w:rsidR="00CE653A">
        <w:rPr>
          <w:rFonts w:cs="Times New Roman"/>
          <w:szCs w:val="24"/>
          <w:lang w:eastAsia="zh-CN"/>
        </w:rPr>
        <w:t xml:space="preserve"> </w:t>
      </w:r>
      <w:r w:rsidR="00B05F9D" w:rsidRPr="00833CE8">
        <w:rPr>
          <w:rFonts w:cs="Times New Roman"/>
          <w:szCs w:val="24"/>
          <w:lang w:eastAsia="zh-CN"/>
        </w:rPr>
        <w:t>a new avenue to explore.</w:t>
      </w:r>
    </w:p>
    <w:p w14:paraId="45E51EB9" w14:textId="1ED5FCB9" w:rsidR="0069487F" w:rsidRPr="00E60907" w:rsidRDefault="00B112F2" w:rsidP="00483F08">
      <w:pPr>
        <w:snapToGrid w:val="0"/>
        <w:spacing w:line="360" w:lineRule="auto"/>
        <w:ind w:firstLine="284"/>
        <w:jc w:val="both"/>
        <w:rPr>
          <w:rFonts w:cs="Times New Roman"/>
          <w:szCs w:val="24"/>
        </w:rPr>
      </w:pPr>
      <w:r w:rsidRPr="00833CE8">
        <w:rPr>
          <w:rFonts w:cs="Times New Roman"/>
          <w:szCs w:val="24"/>
        </w:rPr>
        <w:lastRenderedPageBreak/>
        <w:t xml:space="preserve">Another QS signalling molecule involved </w:t>
      </w:r>
      <w:r w:rsidR="007A7D1B">
        <w:rPr>
          <w:rFonts w:cs="Times New Roman"/>
          <w:szCs w:val="24"/>
        </w:rPr>
        <w:t xml:space="preserve">in the </w:t>
      </w:r>
      <w:proofErr w:type="spellStart"/>
      <w:r w:rsidR="007A7D1B">
        <w:rPr>
          <w:rFonts w:cs="Times New Roman"/>
          <w:szCs w:val="24"/>
        </w:rPr>
        <w:t>phycosphere</w:t>
      </w:r>
      <w:proofErr w:type="spellEnd"/>
      <w:r w:rsidR="007A7D1B">
        <w:rPr>
          <w:rFonts w:cs="Times New Roman"/>
          <w:szCs w:val="24"/>
        </w:rPr>
        <w:t xml:space="preserve"> </w:t>
      </w:r>
      <w:r w:rsidRPr="00833CE8">
        <w:rPr>
          <w:rFonts w:cs="Times New Roman"/>
          <w:szCs w:val="24"/>
        </w:rPr>
        <w:t xml:space="preserve">is </w:t>
      </w:r>
      <w:proofErr w:type="spellStart"/>
      <w:r w:rsidRPr="00833CE8">
        <w:rPr>
          <w:rFonts w:cs="Times New Roman"/>
          <w:szCs w:val="24"/>
        </w:rPr>
        <w:t>tropodithietic</w:t>
      </w:r>
      <w:proofErr w:type="spellEnd"/>
      <w:r w:rsidRPr="00833CE8">
        <w:rPr>
          <w:rFonts w:cs="Times New Roman"/>
          <w:szCs w:val="24"/>
        </w:rPr>
        <w:t xml:space="preserve"> acid</w:t>
      </w:r>
      <w:r w:rsidR="0068447D">
        <w:rPr>
          <w:rFonts w:cs="Times New Roman"/>
          <w:szCs w:val="24"/>
        </w:rPr>
        <w:t xml:space="preserve"> (TDA</w:t>
      </w:r>
      <w:r w:rsidRPr="00833CE8">
        <w:rPr>
          <w:rFonts w:cs="Times New Roman"/>
          <w:szCs w:val="24"/>
        </w:rPr>
        <w:t>), an antibiotic produced by</w:t>
      </w:r>
      <w:r w:rsidR="007A7D1B">
        <w:rPr>
          <w:rFonts w:cs="Times New Roman"/>
          <w:szCs w:val="24"/>
        </w:rPr>
        <w:t xml:space="preserve"> the bacterium</w:t>
      </w:r>
      <w:r w:rsidRPr="00833CE8">
        <w:rPr>
          <w:rFonts w:cs="Times New Roman"/>
          <w:szCs w:val="24"/>
        </w:rPr>
        <w:t xml:space="preserve"> </w:t>
      </w:r>
      <w:r w:rsidR="00057C68">
        <w:rPr>
          <w:rFonts w:cs="Times New Roman"/>
          <w:i/>
          <w:iCs/>
          <w:szCs w:val="24"/>
        </w:rPr>
        <w:t>P.</w:t>
      </w:r>
      <w:r w:rsidR="007A7D1B">
        <w:rPr>
          <w:rFonts w:cs="Times New Roman"/>
          <w:i/>
          <w:iCs/>
          <w:szCs w:val="24"/>
        </w:rPr>
        <w:t xml:space="preserve"> </w:t>
      </w:r>
      <w:proofErr w:type="spellStart"/>
      <w:r w:rsidR="007A7D1B">
        <w:rPr>
          <w:rFonts w:cs="Times New Roman"/>
          <w:i/>
          <w:iCs/>
          <w:szCs w:val="24"/>
        </w:rPr>
        <w:t>inhibens</w:t>
      </w:r>
      <w:proofErr w:type="spellEnd"/>
      <w:r w:rsidR="0061293C" w:rsidRPr="00833CE8">
        <w:rPr>
          <w:rFonts w:cs="Times New Roman"/>
          <w:i/>
          <w:iCs/>
          <w:szCs w:val="24"/>
        </w:rPr>
        <w:t xml:space="preserve"> </w:t>
      </w:r>
      <w:r w:rsidR="00A37347" w:rsidRPr="00833CE8">
        <w:rPr>
          <w:rFonts w:cs="Times New Roman"/>
          <w:b/>
          <w:bCs/>
          <w:szCs w:val="24"/>
        </w:rPr>
        <w:fldChar w:fldCharType="begin"/>
      </w:r>
      <w:r w:rsidR="00742839">
        <w:rPr>
          <w:rFonts w:cs="Times New Roman"/>
          <w:b/>
          <w:bCs/>
          <w:szCs w:val="24"/>
        </w:rPr>
        <w:instrText xml:space="preserve"> ADDIN ZOTERO_ITEM CSL_CITATION {"citationID":"9j4Gv1UN","properties":{"formattedCitation":"(Dittmann et al., 2019)","plainCitation":"(Dittmann et al., 2019)","noteIndex":0},"citationItems":[{"id":9240,"uris":["http://zotero.org/users/764524/items/FSS6NGI5"],"itemData":{"id":9240,"type":"article-journal","abstract":"Bacteria–host interactions are universal in nature and have significant effects on host functionality. Bacterial secondary metabolites are believed to play key roles in such interactions as well as i...","container-title":"Environmental Microbiology Reports","DOI":"10.1111/1758-2229.12698","ISSN":"1758-2229","journalAbbreviation":"Environ. Microbiol. Rep.","language":"en","note":"publisher: John Wiley &amp; Sons, Ltd","page":"401-413","source":"enviromicro-journals.onlinelibrary.wiley.com","title":"Impact of &lt;i&gt;Phaeobacter inhibens&lt;/i&gt; on marine eukaryote-associated microbial communities","volume":"11","author":[{"family":"Dittmann","given":"Karen K."},{"family":"Sonnenschein","given":"Eva C."},{"family":"Egan","given":"Suhelen"},{"family":"Gram","given":"Lone"},{"family":"Bentzon-Tilia","given":"Mikkel"}],"issued":{"date-parts":[["2019",6,1]]}}}],"schema":"https://github.com/citation-style-language/schema/raw/master/csl-citation.json"} </w:instrText>
      </w:r>
      <w:r w:rsidR="00A37347" w:rsidRPr="00833CE8">
        <w:rPr>
          <w:rFonts w:cs="Times New Roman"/>
          <w:b/>
          <w:bCs/>
          <w:szCs w:val="24"/>
        </w:rPr>
        <w:fldChar w:fldCharType="separate"/>
      </w:r>
      <w:r w:rsidR="009F150C" w:rsidRPr="00833CE8">
        <w:rPr>
          <w:rFonts w:cs="Times New Roman"/>
        </w:rPr>
        <w:t>(Dittmann et al., 2019)</w:t>
      </w:r>
      <w:r w:rsidR="00A37347" w:rsidRPr="00833CE8">
        <w:rPr>
          <w:rFonts w:cs="Times New Roman"/>
          <w:b/>
          <w:bCs/>
          <w:szCs w:val="24"/>
        </w:rPr>
        <w:fldChar w:fldCharType="end"/>
      </w:r>
      <w:r w:rsidR="0061293C" w:rsidRPr="00833CE8">
        <w:rPr>
          <w:rFonts w:cs="Times New Roman"/>
          <w:szCs w:val="24"/>
        </w:rPr>
        <w:t>.</w:t>
      </w:r>
      <w:r w:rsidR="004212EF" w:rsidRPr="00833CE8">
        <w:rPr>
          <w:rFonts w:cs="Times New Roman"/>
          <w:i/>
          <w:iCs/>
          <w:szCs w:val="24"/>
        </w:rPr>
        <w:t xml:space="preserve">  </w:t>
      </w:r>
      <w:r w:rsidR="004212EF" w:rsidRPr="00833CE8">
        <w:rPr>
          <w:rFonts w:cs="Times New Roman"/>
          <w:szCs w:val="24"/>
        </w:rPr>
        <w:t>TDA can</w:t>
      </w:r>
      <w:r w:rsidRPr="00833CE8">
        <w:rPr>
          <w:rFonts w:cs="Times New Roman"/>
          <w:szCs w:val="24"/>
        </w:rPr>
        <w:t xml:space="preserve"> result in phenotypic changes to motility and biofilm formation, as well as antibiotic production </w:t>
      </w:r>
      <w:r w:rsidRPr="00833CE8">
        <w:rPr>
          <w:rFonts w:cs="Times New Roman"/>
          <w:szCs w:val="24"/>
        </w:rPr>
        <w:fldChar w:fldCharType="begin"/>
      </w:r>
      <w:r w:rsidR="00742839">
        <w:rPr>
          <w:rFonts w:cs="Times New Roman"/>
          <w:szCs w:val="24"/>
        </w:rPr>
        <w:instrText xml:space="preserve"> ADDIN ZOTERO_ITEM CSL_CITATION {"citationID":"eOFEx1Oe","properties":{"formattedCitation":"(Henriksen et al., 2022)","plainCitation":"(Henriksen et al., 2022)","noteIndex":0},"citationItems":[{"id":4639,"uris":["http://zotero.org/users/764524/items/LT7T8SGE"],"itemData":{"id":4639,"type":"article-journal","abstract":"Many microbial secondary metabolites have been studied for decades primarily because of their antimicrobial properties. However, several of these metabolites also possess nonantimicrobial functions, both influencing the physiology of the producer and their ecological neighbors. An example of a versatile bacterial secondary metabolite with multiple functions is the tropone derivative tropodithietic acid (TDA). TDA is a broad-spectrum antimicrobial compound produced by several members of the Rhodobacteraceae family, a major marine bacterial lineage, within the genera Phaeobacter, Tritonibacter, and Pseudovibrio. The production of TDA is governed by the mode of growth and influenced by the availability of nutrient sources. The antibacterial effect of TDA is caused by disruption of the proton motive force of target microorganisms and, potentially, by its iron-chelating properties. TDA also acts as a signaling molecule, affecting gene expression in other bacteria, and altering phenotypic traits such as motility, biofilm formation, and antibiotic production in the producer. In microbial communities, TDA-producing bacteria cause a reduction of the relative abundance of closely related species and some fast-growing heterotrophic bacteria. Here, we summarize the current understanding of the chemical ecology of TDA, including the environmental niches of TDA-producing bacteria, and the molecular mechanisms governing the function and regulation of TDA.","container-title":"FEMS Microbiology Reviews","DOI":"10.1093/femsre/fuac007","ISSN":"0168-6445","issue":"3","journalAbbreviation":"FEMS Microbiol. Rev.","page":"fuac007","source":"Silverchair","title":"Role is in the eye of the beholder—the multiple functions of the antibacterial compound tropodithietic acid produced by marine &lt;i&gt;Rhodobacteraceae&lt;/i&gt;","volume":"46","author":[{"family":"Henriksen","given":"Nathalie N S E"},{"family":"Lindqvist","given":"Laura L"},{"family":"Wibowo","given":"Mario"},{"family":"Sonnenschein","given":"Eva C"},{"family":"Bentzon-Tilia","given":"Mikkel"},{"family":"Gram","given":"Lone"}],"issued":{"date-parts":[["2022",5,1]]}}}],"schema":"https://github.com/citation-style-language/schema/raw/master/csl-citation.json"} </w:instrText>
      </w:r>
      <w:r w:rsidRPr="00833CE8">
        <w:rPr>
          <w:rFonts w:cs="Times New Roman"/>
          <w:szCs w:val="24"/>
        </w:rPr>
        <w:fldChar w:fldCharType="separate"/>
      </w:r>
      <w:r w:rsidR="009F150C" w:rsidRPr="00833CE8">
        <w:rPr>
          <w:rFonts w:cs="Times New Roman"/>
        </w:rPr>
        <w:t>(Henriksen et al., 2022)</w:t>
      </w:r>
      <w:r w:rsidRPr="00833CE8">
        <w:rPr>
          <w:rFonts w:cs="Times New Roman"/>
          <w:szCs w:val="24"/>
        </w:rPr>
        <w:fldChar w:fldCharType="end"/>
      </w:r>
      <w:r w:rsidRPr="00833CE8">
        <w:rPr>
          <w:rFonts w:cs="Times New Roman"/>
          <w:szCs w:val="24"/>
        </w:rPr>
        <w:t>.</w:t>
      </w:r>
      <w:r w:rsidR="004C3B50" w:rsidRPr="00833CE8">
        <w:rPr>
          <w:rFonts w:cs="Times New Roman"/>
          <w:szCs w:val="24"/>
        </w:rPr>
        <w:t xml:space="preserve"> </w:t>
      </w:r>
      <w:r w:rsidR="004637ED" w:rsidRPr="00833CE8">
        <w:rPr>
          <w:rFonts w:cs="Times New Roman"/>
          <w:szCs w:val="24"/>
        </w:rPr>
        <w:t xml:space="preserve">TDA </w:t>
      </w:r>
      <w:r w:rsidR="0068447D">
        <w:rPr>
          <w:rFonts w:cs="Times New Roman"/>
          <w:szCs w:val="24"/>
        </w:rPr>
        <w:t xml:space="preserve">was found to </w:t>
      </w:r>
      <w:r w:rsidR="004637ED" w:rsidRPr="00833CE8">
        <w:rPr>
          <w:rFonts w:cs="Times New Roman"/>
          <w:szCs w:val="24"/>
        </w:rPr>
        <w:t xml:space="preserve">change the community structure </w:t>
      </w:r>
      <w:r w:rsidR="00BB5690" w:rsidRPr="00833CE8">
        <w:rPr>
          <w:rFonts w:cs="Times New Roman"/>
          <w:szCs w:val="24"/>
        </w:rPr>
        <w:t xml:space="preserve">of bacteria associated with the microalgae </w:t>
      </w:r>
      <w:proofErr w:type="spellStart"/>
      <w:r w:rsidR="00BB5690" w:rsidRPr="00833CE8">
        <w:rPr>
          <w:rFonts w:cs="Times New Roman"/>
          <w:i/>
          <w:iCs/>
          <w:szCs w:val="24"/>
        </w:rPr>
        <w:t>Nannochloropsis</w:t>
      </w:r>
      <w:proofErr w:type="spellEnd"/>
      <w:r w:rsidR="00BB5690" w:rsidRPr="00833CE8">
        <w:rPr>
          <w:rFonts w:cs="Times New Roman"/>
          <w:i/>
          <w:iCs/>
          <w:szCs w:val="24"/>
        </w:rPr>
        <w:t xml:space="preserve"> salina</w:t>
      </w:r>
      <w:r w:rsidR="00BB5690" w:rsidRPr="00833CE8">
        <w:rPr>
          <w:rFonts w:cs="Times New Roman"/>
          <w:szCs w:val="24"/>
        </w:rPr>
        <w:t xml:space="preserve"> </w:t>
      </w:r>
      <w:r w:rsidR="004637ED" w:rsidRPr="00833CE8">
        <w:rPr>
          <w:rFonts w:cs="Times New Roman"/>
          <w:szCs w:val="24"/>
        </w:rPr>
        <w:t xml:space="preserve">by both antibiotic and </w:t>
      </w:r>
      <w:r w:rsidR="003C1065" w:rsidRPr="00833CE8">
        <w:rPr>
          <w:rFonts w:cs="Times New Roman"/>
          <w:szCs w:val="24"/>
        </w:rPr>
        <w:t>transcription</w:t>
      </w:r>
      <w:r w:rsidR="004637ED" w:rsidRPr="00833CE8">
        <w:rPr>
          <w:rFonts w:cs="Times New Roman"/>
          <w:szCs w:val="24"/>
        </w:rPr>
        <w:t xml:space="preserve"> activity</w:t>
      </w:r>
      <w:r w:rsidR="0061293C" w:rsidRPr="00833CE8">
        <w:rPr>
          <w:rFonts w:cs="Times New Roman"/>
          <w:szCs w:val="24"/>
        </w:rPr>
        <w:t xml:space="preserve"> </w:t>
      </w:r>
      <w:r w:rsidR="007C2691" w:rsidRPr="00833CE8">
        <w:rPr>
          <w:rFonts w:cs="Times New Roman"/>
          <w:b/>
          <w:bCs/>
          <w:szCs w:val="24"/>
        </w:rPr>
        <w:fldChar w:fldCharType="begin"/>
      </w:r>
      <w:r w:rsidR="009F150C" w:rsidRPr="00833CE8">
        <w:rPr>
          <w:rFonts w:cs="Times New Roman"/>
          <w:b/>
          <w:bCs/>
          <w:szCs w:val="24"/>
        </w:rPr>
        <w:instrText xml:space="preserve"> ADDIN ZOTERO_ITEM CSL_CITATION {"citationID":"u9zMCFoc","properties":{"formattedCitation":"(Geng et al., 2016)","plainCitation":"(Geng et al., 2016)","noteIndex":0},"citationItems":[{"id":9239,"uris":["http://zotero.org/users/764524/items/6MTPXNEV"],"itemData":{"id":9239,"type":"article-journal","abstract":"&lt;p&gt;Open microalgae cultures host a myriad of bacteria, creating a complex system of interacting species that influence algal growth and health. Many algal microbiota studies have been conducted to determine the relative importance of bacterial taxa to algal culture health and physiological states, but these studies have not characterized the interspecies relationships in the microbial communities. We subjected &lt;italic&gt;Nanochroloropsis salina&lt;/italic&gt; cultures to multiple chemical treatments (antibiotics and quorum sensing compounds) and obtained dense time-series data on changes to the microbial community using 16S gene amplicon metagenomic sequencing (21,029,577 reads for 23 samples) to measure microbial taxa-taxa abundance correlations. Short-term treatment with antibiotics resulted in substantially larger shifts in the microbiota structure compared to changes observed following treatment with signaling compounds and glucose. We also calculated operational taxonomic unit (OTU) associations and generated OTU correlation networks to provide an overview of possible bacterial OTU interactions. This analysis identified five major cohesive modules of microbiota with similar co-abundance profiles across different chemical treatments. The Eigengenes of OTU modules were examined for correlation with different external treatment factors. This correlation-based analysis revealed that culture age (time) and treatment types have primary effects on forming network modules and shaping the community structure. Additional network analysis detected &lt;italic&gt;Alteromonadeles&lt;/italic&gt; and &lt;italic&gt;Alphaproteobacteria&lt;/italic&gt; as having the highest centrality, suggesting these species are “keystone” OTUs in the microbial community. Furthermore, we illustrated that the chemical tropodithietic acid, which is secreted by several species in the &lt;italic&gt;Alphaproteobacteria&lt;/italic&gt; taxon, is able to drastically change the structure of the microbiota within 3 h. Taken together, these results provide valuable insights into the structure of the microbiota associated with &lt;italic&gt;N. salina&lt;/italic&gt; cultures and how these structures change in response to chemical perturbations.&lt;/p&gt;","container-title":"Frontiers in Microbiology","DOI":"10.3389/fmicb.2016.01155","ISSN":"1664-302X","journalAbbreviation":"Front. Microbiol.","language":"English","note":"publisher: Frontiers","page":"01155","source":"Frontiers","title":"Changes in the Structure of the Microbial Community Associated with Nannochloropsis salina following Treatments with Antibiotics and Bioactive Compounds","volume":"7","author":[{"family":"Geng","given":"Haifeng"},{"family":"Tran-Gyamfi","given":"Mary B."},{"family":"Lane","given":"Todd W."},{"family":"Sale","given":"Kenneth L."},{"family":"Yu","given":"Eizadora T."}],"issued":{"date-parts":[["2016",7,26]]}}}],"schema":"https://github.com/citation-style-language/schema/raw/master/csl-citation.json"} </w:instrText>
      </w:r>
      <w:r w:rsidR="007C2691" w:rsidRPr="00833CE8">
        <w:rPr>
          <w:rFonts w:cs="Times New Roman"/>
          <w:b/>
          <w:bCs/>
          <w:szCs w:val="24"/>
        </w:rPr>
        <w:fldChar w:fldCharType="separate"/>
      </w:r>
      <w:r w:rsidR="009F150C" w:rsidRPr="00833CE8">
        <w:rPr>
          <w:rFonts w:cs="Times New Roman"/>
        </w:rPr>
        <w:t>(Geng et al., 2016)</w:t>
      </w:r>
      <w:r w:rsidR="007C2691" w:rsidRPr="00833CE8">
        <w:rPr>
          <w:rFonts w:cs="Times New Roman"/>
          <w:b/>
          <w:bCs/>
          <w:szCs w:val="24"/>
        </w:rPr>
        <w:fldChar w:fldCharType="end"/>
      </w:r>
      <w:r w:rsidR="0061293C" w:rsidRPr="00833CE8">
        <w:rPr>
          <w:rFonts w:cs="Times New Roman"/>
          <w:szCs w:val="24"/>
        </w:rPr>
        <w:t>.</w:t>
      </w:r>
      <w:r w:rsidR="004637ED" w:rsidRPr="00833CE8">
        <w:rPr>
          <w:rFonts w:cs="Times New Roman"/>
          <w:szCs w:val="24"/>
        </w:rPr>
        <w:t xml:space="preserve">  For example,</w:t>
      </w:r>
      <w:r w:rsidR="004637ED" w:rsidRPr="00833CE8">
        <w:rPr>
          <w:i/>
          <w:iCs/>
        </w:rPr>
        <w:t xml:space="preserve"> </w:t>
      </w:r>
      <w:r w:rsidR="004637ED" w:rsidRPr="00833CE8">
        <w:t>growth of</w:t>
      </w:r>
      <w:r w:rsidR="004637ED" w:rsidRPr="00833CE8">
        <w:rPr>
          <w:i/>
          <w:iCs/>
        </w:rPr>
        <w:t xml:space="preserve"> </w:t>
      </w:r>
      <w:proofErr w:type="spellStart"/>
      <w:r w:rsidR="004637ED" w:rsidRPr="00833CE8">
        <w:rPr>
          <w:rFonts w:cs="Times New Roman"/>
          <w:i/>
          <w:iCs/>
          <w:szCs w:val="24"/>
        </w:rPr>
        <w:t>Rhodobacteraceae</w:t>
      </w:r>
      <w:proofErr w:type="spellEnd"/>
      <w:r w:rsidR="004637ED" w:rsidRPr="00833CE8">
        <w:rPr>
          <w:rFonts w:cs="Times New Roman"/>
          <w:szCs w:val="24"/>
        </w:rPr>
        <w:t xml:space="preserve"> was inhibited with increased TDA dose, while </w:t>
      </w:r>
      <w:r w:rsidR="0035017D" w:rsidRPr="00833CE8">
        <w:rPr>
          <w:rFonts w:cs="Times New Roman"/>
          <w:szCs w:val="24"/>
        </w:rPr>
        <w:t xml:space="preserve">bacteria in the </w:t>
      </w:r>
      <w:proofErr w:type="spellStart"/>
      <w:r w:rsidR="004637ED" w:rsidRPr="00833CE8">
        <w:rPr>
          <w:rFonts w:cs="Times New Roman"/>
          <w:i/>
          <w:iCs/>
          <w:szCs w:val="24"/>
        </w:rPr>
        <w:t>Alteromonadales</w:t>
      </w:r>
      <w:proofErr w:type="spellEnd"/>
      <w:r w:rsidR="004637ED" w:rsidRPr="00833CE8">
        <w:rPr>
          <w:rFonts w:cs="Times New Roman"/>
          <w:i/>
          <w:iCs/>
          <w:szCs w:val="24"/>
        </w:rPr>
        <w:t xml:space="preserve"> </w:t>
      </w:r>
      <w:r w:rsidR="0035017D" w:rsidRPr="00833CE8">
        <w:rPr>
          <w:rFonts w:cs="Times New Roman"/>
          <w:szCs w:val="24"/>
        </w:rPr>
        <w:t>order showed increased growth.</w:t>
      </w:r>
      <w:r w:rsidR="006D2C94">
        <w:rPr>
          <w:rFonts w:cs="Times New Roman"/>
          <w:szCs w:val="24"/>
        </w:rPr>
        <w:t xml:space="preserve"> </w:t>
      </w:r>
      <w:r w:rsidR="00057C68">
        <w:rPr>
          <w:rFonts w:cs="Times New Roman"/>
          <w:szCs w:val="24"/>
        </w:rPr>
        <w:t xml:space="preserve"> </w:t>
      </w:r>
      <w:r w:rsidR="0014699D">
        <w:rPr>
          <w:rFonts w:cs="Times New Roman"/>
          <w:szCs w:val="24"/>
        </w:rPr>
        <w:t xml:space="preserve">Addition </w:t>
      </w:r>
      <w:r w:rsidR="006D2C94">
        <w:rPr>
          <w:rFonts w:cs="Times New Roman"/>
          <w:szCs w:val="24"/>
        </w:rPr>
        <w:t xml:space="preserve">of </w:t>
      </w:r>
      <w:r w:rsidR="00057C68">
        <w:rPr>
          <w:rFonts w:cs="Times New Roman"/>
          <w:i/>
          <w:iCs/>
          <w:szCs w:val="24"/>
        </w:rPr>
        <w:t>P.</w:t>
      </w:r>
      <w:r w:rsidR="006D2C94" w:rsidRPr="00394FE4">
        <w:rPr>
          <w:rFonts w:cs="Times New Roman"/>
          <w:i/>
          <w:iCs/>
          <w:szCs w:val="24"/>
        </w:rPr>
        <w:t xml:space="preserve"> </w:t>
      </w:r>
      <w:proofErr w:type="spellStart"/>
      <w:r w:rsidR="006D2C94" w:rsidRPr="00394FE4">
        <w:rPr>
          <w:rFonts w:cs="Times New Roman"/>
          <w:i/>
          <w:iCs/>
          <w:szCs w:val="24"/>
        </w:rPr>
        <w:t>inhibens</w:t>
      </w:r>
      <w:proofErr w:type="spellEnd"/>
      <w:r w:rsidR="004C3B50" w:rsidRPr="00833CE8">
        <w:rPr>
          <w:rFonts w:cs="Times New Roman"/>
          <w:szCs w:val="24"/>
        </w:rPr>
        <w:t xml:space="preserve"> </w:t>
      </w:r>
      <w:r w:rsidR="0014699D">
        <w:rPr>
          <w:rFonts w:cs="Times New Roman"/>
          <w:szCs w:val="24"/>
        </w:rPr>
        <w:t xml:space="preserve">brought about significant </w:t>
      </w:r>
      <w:r w:rsidR="0014699D" w:rsidRPr="0014699D">
        <w:rPr>
          <w:rFonts w:cs="Times New Roman"/>
          <w:szCs w:val="24"/>
        </w:rPr>
        <w:t>changes in the overall structure of the</w:t>
      </w:r>
      <w:r w:rsidR="00394FE4">
        <w:rPr>
          <w:rFonts w:cs="Times New Roman"/>
          <w:szCs w:val="24"/>
        </w:rPr>
        <w:t xml:space="preserve"> </w:t>
      </w:r>
      <w:r w:rsidR="0014699D" w:rsidRPr="0014699D">
        <w:rPr>
          <w:rFonts w:cs="Times New Roman"/>
          <w:szCs w:val="24"/>
        </w:rPr>
        <w:t xml:space="preserve">microbiome </w:t>
      </w:r>
      <w:r w:rsidR="0014699D">
        <w:rPr>
          <w:rFonts w:cs="Times New Roman"/>
          <w:szCs w:val="24"/>
        </w:rPr>
        <w:t>associated with the microalgae</w:t>
      </w:r>
      <w:r w:rsidR="0014699D" w:rsidRPr="0014699D">
        <w:rPr>
          <w:rFonts w:cs="Times New Roman"/>
          <w:szCs w:val="24"/>
        </w:rPr>
        <w:t xml:space="preserve"> </w:t>
      </w:r>
      <w:r w:rsidR="0014699D" w:rsidRPr="00394FE4">
        <w:rPr>
          <w:rFonts w:cs="Times New Roman"/>
          <w:i/>
          <w:iCs/>
          <w:szCs w:val="24"/>
        </w:rPr>
        <w:t xml:space="preserve">E. </w:t>
      </w:r>
      <w:proofErr w:type="spellStart"/>
      <w:r w:rsidR="0014699D" w:rsidRPr="00394FE4">
        <w:rPr>
          <w:rFonts w:cs="Times New Roman"/>
          <w:i/>
          <w:iCs/>
          <w:szCs w:val="24"/>
        </w:rPr>
        <w:t>huxleyi</w:t>
      </w:r>
      <w:proofErr w:type="spellEnd"/>
      <w:r w:rsidR="0014699D" w:rsidRPr="0014699D">
        <w:rPr>
          <w:rFonts w:cs="Times New Roman"/>
          <w:szCs w:val="24"/>
        </w:rPr>
        <w:t xml:space="preserve">, specifically </w:t>
      </w:r>
      <w:r w:rsidR="0014699D">
        <w:rPr>
          <w:rFonts w:cs="Times New Roman"/>
          <w:szCs w:val="24"/>
        </w:rPr>
        <w:t xml:space="preserve">reducing </w:t>
      </w:r>
      <w:r w:rsidR="0014699D" w:rsidRPr="0014699D">
        <w:rPr>
          <w:rFonts w:cs="Times New Roman"/>
          <w:szCs w:val="24"/>
        </w:rPr>
        <w:t>the abundances of other</w:t>
      </w:r>
      <w:r w:rsidR="0014699D">
        <w:rPr>
          <w:rFonts w:cs="Times New Roman"/>
          <w:szCs w:val="24"/>
        </w:rPr>
        <w:t xml:space="preserve"> potentially antibiotic</w:t>
      </w:r>
      <w:r w:rsidR="0014699D" w:rsidRPr="0014699D">
        <w:rPr>
          <w:rFonts w:cs="Times New Roman"/>
          <w:szCs w:val="24"/>
        </w:rPr>
        <w:t>-produc</w:t>
      </w:r>
      <w:r w:rsidR="0014699D">
        <w:rPr>
          <w:rFonts w:cs="Times New Roman"/>
          <w:szCs w:val="24"/>
        </w:rPr>
        <w:t>ing bacteria</w:t>
      </w:r>
      <w:r w:rsidR="0014699D" w:rsidRPr="0014699D">
        <w:rPr>
          <w:rFonts w:cs="Times New Roman"/>
          <w:szCs w:val="24"/>
        </w:rPr>
        <w:t xml:space="preserve"> </w:t>
      </w:r>
      <w:r w:rsidR="0014699D">
        <w:rPr>
          <w:rFonts w:cs="Times New Roman"/>
          <w:szCs w:val="24"/>
        </w:rPr>
        <w:t>like</w:t>
      </w:r>
      <w:r w:rsidR="0014699D" w:rsidRPr="0014699D">
        <w:rPr>
          <w:rFonts w:cs="Times New Roman"/>
          <w:szCs w:val="24"/>
        </w:rPr>
        <w:t xml:space="preserve"> </w:t>
      </w:r>
      <w:proofErr w:type="spellStart"/>
      <w:r w:rsidR="0014699D" w:rsidRPr="0014699D">
        <w:rPr>
          <w:rFonts w:cs="Times New Roman"/>
          <w:szCs w:val="24"/>
        </w:rPr>
        <w:t>vibrios</w:t>
      </w:r>
      <w:proofErr w:type="spellEnd"/>
      <w:r w:rsidR="0014699D">
        <w:rPr>
          <w:rFonts w:cs="Times New Roman"/>
          <w:szCs w:val="24"/>
        </w:rPr>
        <w:t xml:space="preserve"> </w:t>
      </w:r>
      <w:r w:rsidR="0014699D" w:rsidRPr="0014699D">
        <w:rPr>
          <w:rFonts w:cs="Times New Roman"/>
          <w:szCs w:val="24"/>
        </w:rPr>
        <w:t xml:space="preserve">and </w:t>
      </w:r>
      <w:proofErr w:type="spellStart"/>
      <w:r w:rsidR="0014699D" w:rsidRPr="0014699D">
        <w:rPr>
          <w:rFonts w:cs="Times New Roman"/>
          <w:szCs w:val="24"/>
        </w:rPr>
        <w:t>pseudoalteromonads</w:t>
      </w:r>
      <w:proofErr w:type="spellEnd"/>
      <w:r w:rsidR="0014699D" w:rsidRPr="0014699D">
        <w:rPr>
          <w:rFonts w:cs="Times New Roman"/>
          <w:szCs w:val="24"/>
        </w:rPr>
        <w:t xml:space="preserve"> </w:t>
      </w:r>
      <w:r w:rsidR="00E60907" w:rsidRPr="00833CE8">
        <w:rPr>
          <w:rFonts w:cs="Times New Roman"/>
          <w:b/>
          <w:bCs/>
          <w:szCs w:val="24"/>
        </w:rPr>
        <w:fldChar w:fldCharType="begin"/>
      </w:r>
      <w:r w:rsidR="00742839">
        <w:rPr>
          <w:rFonts w:cs="Times New Roman"/>
          <w:b/>
          <w:bCs/>
          <w:szCs w:val="24"/>
        </w:rPr>
        <w:instrText xml:space="preserve"> ADDIN ZOTERO_ITEM CSL_CITATION {"citationID":"JygTetCM","properties":{"formattedCitation":"(Dittmann et al., 2019)","plainCitation":"(Dittmann et al., 2019)","noteIndex":0},"citationItems":[{"id":9240,"uris":["http://zotero.org/users/764524/items/FSS6NGI5"],"itemData":{"id":9240,"type":"article-journal","abstract":"Bacteria–host interactions are universal in nature and have significant effects on host functionality. Bacterial secondary metabolites are believed to play key roles in such interactions as well as i...","container-title":"Environmental Microbiology Reports","DOI":"10.1111/1758-2229.12698","ISSN":"1758-2229","journalAbbreviation":"Environ. Microbiol. Rep.","language":"en","note":"publisher: John Wiley &amp; Sons, Ltd","page":"401-413","source":"enviromicro-journals.onlinelibrary.wiley.com","title":"Impact of &lt;i&gt;Phaeobacter inhibens&lt;/i&gt; on marine eukaryote-associated microbial communities","volume":"11","author":[{"family":"Dittmann","given":"Karen K."},{"family":"Sonnenschein","given":"Eva C."},{"family":"Egan","given":"Suhelen"},{"family":"Gram","given":"Lone"},{"family":"Bentzon-Tilia","given":"Mikkel"}],"issued":{"date-parts":[["2019",6,1]]}}}],"schema":"https://github.com/citation-style-language/schema/raw/master/csl-citation.json"} </w:instrText>
      </w:r>
      <w:r w:rsidR="00E60907" w:rsidRPr="00833CE8">
        <w:rPr>
          <w:rFonts w:cs="Times New Roman"/>
          <w:b/>
          <w:bCs/>
          <w:szCs w:val="24"/>
        </w:rPr>
        <w:fldChar w:fldCharType="separate"/>
      </w:r>
      <w:r w:rsidR="00E60907" w:rsidRPr="00833CE8">
        <w:rPr>
          <w:rFonts w:cs="Times New Roman"/>
        </w:rPr>
        <w:t>(Dittmann et al., 2019)</w:t>
      </w:r>
      <w:r w:rsidR="00E60907" w:rsidRPr="00833CE8">
        <w:rPr>
          <w:rFonts w:cs="Times New Roman"/>
          <w:b/>
          <w:bCs/>
          <w:szCs w:val="24"/>
        </w:rPr>
        <w:fldChar w:fldCharType="end"/>
      </w:r>
      <w:r w:rsidR="00E60907">
        <w:rPr>
          <w:rFonts w:cs="Times New Roman"/>
          <w:b/>
          <w:bCs/>
          <w:szCs w:val="24"/>
        </w:rPr>
        <w:t>.</w:t>
      </w:r>
      <w:r w:rsidR="00E60907">
        <w:rPr>
          <w:rFonts w:cs="Times New Roman"/>
          <w:szCs w:val="24"/>
        </w:rPr>
        <w:t xml:space="preserve"> </w:t>
      </w:r>
      <w:r w:rsidR="00422303">
        <w:rPr>
          <w:rFonts w:cs="Times New Roman"/>
          <w:szCs w:val="24"/>
        </w:rPr>
        <w:t xml:space="preserve"> </w:t>
      </w:r>
      <w:r w:rsidR="00CA0CF2">
        <w:rPr>
          <w:rFonts w:cs="Times New Roman"/>
          <w:szCs w:val="24"/>
        </w:rPr>
        <w:t xml:space="preserve">It should be noted that </w:t>
      </w:r>
      <w:r w:rsidR="00F01315">
        <w:rPr>
          <w:rFonts w:cs="Times New Roman"/>
          <w:szCs w:val="24"/>
        </w:rPr>
        <w:t xml:space="preserve">the </w:t>
      </w:r>
      <w:r w:rsidR="00B72F57" w:rsidRPr="00093632">
        <w:rPr>
          <w:rFonts w:cs="Times New Roman"/>
          <w:szCs w:val="24"/>
        </w:rPr>
        <w:t xml:space="preserve">QS </w:t>
      </w:r>
      <w:r w:rsidR="00F01315" w:rsidRPr="00093632">
        <w:rPr>
          <w:rFonts w:cs="Times New Roman"/>
          <w:szCs w:val="24"/>
        </w:rPr>
        <w:t>signalling</w:t>
      </w:r>
      <w:r w:rsidR="00F01315">
        <w:rPr>
          <w:rFonts w:cs="Times New Roman"/>
          <w:szCs w:val="24"/>
        </w:rPr>
        <w:t xml:space="preserve"> </w:t>
      </w:r>
      <w:r w:rsidR="00CA0CF2">
        <w:rPr>
          <w:rFonts w:cs="Times New Roman"/>
          <w:szCs w:val="24"/>
        </w:rPr>
        <w:t xml:space="preserve">and </w:t>
      </w:r>
      <w:r w:rsidR="00B72F57" w:rsidRPr="00093632">
        <w:rPr>
          <w:rFonts w:cs="Times New Roman"/>
          <w:szCs w:val="24"/>
        </w:rPr>
        <w:t>antibacterial effects</w:t>
      </w:r>
      <w:r w:rsidR="00CA0CF2">
        <w:rPr>
          <w:rFonts w:cs="Times New Roman"/>
          <w:szCs w:val="24"/>
        </w:rPr>
        <w:t xml:space="preserve"> </w:t>
      </w:r>
      <w:r w:rsidR="00F01315">
        <w:rPr>
          <w:rFonts w:cs="Times New Roman"/>
          <w:szCs w:val="24"/>
        </w:rPr>
        <w:t xml:space="preserve">of TDA </w:t>
      </w:r>
      <w:r w:rsidR="00B72F57" w:rsidRPr="00093632">
        <w:rPr>
          <w:rFonts w:cs="Times New Roman"/>
          <w:szCs w:val="24"/>
        </w:rPr>
        <w:t>could be mechanism</w:t>
      </w:r>
      <w:r w:rsidR="00CA0CF2">
        <w:rPr>
          <w:rFonts w:cs="Times New Roman"/>
          <w:szCs w:val="24"/>
        </w:rPr>
        <w:t>s</w:t>
      </w:r>
      <w:r w:rsidR="00B72F57" w:rsidRPr="00093632">
        <w:rPr>
          <w:rFonts w:cs="Times New Roman"/>
          <w:szCs w:val="24"/>
        </w:rPr>
        <w:t xml:space="preserve"> responsible for defining the composition of the microbial species in the </w:t>
      </w:r>
      <w:proofErr w:type="spellStart"/>
      <w:r w:rsidR="00F01315">
        <w:rPr>
          <w:rFonts w:cs="Times New Roman"/>
          <w:szCs w:val="24"/>
        </w:rPr>
        <w:t>phycosphere</w:t>
      </w:r>
      <w:proofErr w:type="spellEnd"/>
      <w:r w:rsidR="00F01315">
        <w:rPr>
          <w:rFonts w:cs="Times New Roman"/>
          <w:szCs w:val="24"/>
        </w:rPr>
        <w:t xml:space="preserve"> and promote beneficial bacteria.</w:t>
      </w:r>
      <w:r w:rsidR="00CA0CF2">
        <w:rPr>
          <w:rFonts w:cs="Times New Roman"/>
          <w:szCs w:val="24"/>
        </w:rPr>
        <w:t xml:space="preserve"> </w:t>
      </w:r>
      <w:r w:rsidR="00B72F57">
        <w:rPr>
          <w:rFonts w:cs="Times New Roman"/>
          <w:szCs w:val="24"/>
        </w:rPr>
        <w:t xml:space="preserve"> </w:t>
      </w:r>
      <w:r w:rsidR="00F01315">
        <w:rPr>
          <w:rFonts w:cs="Times New Roman"/>
          <w:szCs w:val="24"/>
        </w:rPr>
        <w:t xml:space="preserve">However, TDA concentration in the </w:t>
      </w:r>
      <w:proofErr w:type="spellStart"/>
      <w:r w:rsidR="00F01315">
        <w:rPr>
          <w:rFonts w:cs="Times New Roman"/>
          <w:szCs w:val="24"/>
        </w:rPr>
        <w:t>phycosphere</w:t>
      </w:r>
      <w:proofErr w:type="spellEnd"/>
      <w:r w:rsidR="00F01315">
        <w:rPr>
          <w:rFonts w:cs="Times New Roman"/>
          <w:szCs w:val="24"/>
        </w:rPr>
        <w:t xml:space="preserve"> in a marine environment has not been well documented</w:t>
      </w:r>
      <w:r w:rsidR="001C1A5C">
        <w:rPr>
          <w:rFonts w:cs="Times New Roman"/>
          <w:szCs w:val="24"/>
        </w:rPr>
        <w:t xml:space="preserve"> outside of their antibiotic effects</w:t>
      </w:r>
      <w:r w:rsidR="00F01315">
        <w:rPr>
          <w:rFonts w:cs="Times New Roman"/>
          <w:szCs w:val="24"/>
        </w:rPr>
        <w:t xml:space="preserve"> and therefore further research would be required.</w:t>
      </w:r>
      <w:r w:rsidR="00ED61C5" w:rsidRPr="00833CE8">
        <w:rPr>
          <w:rFonts w:cs="Times New Roman"/>
          <w:b/>
          <w:bCs/>
          <w:szCs w:val="24"/>
        </w:rPr>
        <w:t xml:space="preserve"> </w:t>
      </w:r>
    </w:p>
    <w:p w14:paraId="4C67F230" w14:textId="01579E2C" w:rsidR="00A54EB4" w:rsidRDefault="00474F14" w:rsidP="00A54EB4">
      <w:pPr>
        <w:snapToGrid w:val="0"/>
        <w:spacing w:line="360" w:lineRule="auto"/>
        <w:ind w:firstLine="284"/>
        <w:jc w:val="both"/>
        <w:rPr>
          <w:rFonts w:cs="Times New Roman"/>
          <w:szCs w:val="24"/>
        </w:rPr>
      </w:pPr>
      <w:r w:rsidRPr="00474F14">
        <w:rPr>
          <w:rFonts w:cs="Times New Roman"/>
          <w:szCs w:val="24"/>
        </w:rPr>
        <w:t xml:space="preserve">QS in Gram-positive bacteria is mediated by the nucleotide bis-(3′-5′) </w:t>
      </w:r>
      <w:proofErr w:type="spellStart"/>
      <w:r w:rsidRPr="00474F14">
        <w:rPr>
          <w:rFonts w:cs="Times New Roman"/>
          <w:szCs w:val="24"/>
        </w:rPr>
        <w:t>diguanylic</w:t>
      </w:r>
      <w:proofErr w:type="spellEnd"/>
      <w:r w:rsidRPr="00474F14">
        <w:rPr>
          <w:rFonts w:cs="Times New Roman"/>
          <w:szCs w:val="24"/>
        </w:rPr>
        <w:t xml:space="preserve"> acid (c-di-GMP</w:t>
      </w:r>
      <w:r w:rsidR="005A036F">
        <w:rPr>
          <w:rFonts w:cs="Times New Roman"/>
          <w:szCs w:val="24"/>
        </w:rPr>
        <w:t>)</w:t>
      </w:r>
      <w:r w:rsidRPr="00474F14">
        <w:rPr>
          <w:rFonts w:cs="Times New Roman"/>
          <w:szCs w:val="24"/>
        </w:rPr>
        <w:t xml:space="preserve"> and autoinducer peptides (AIPs). </w:t>
      </w:r>
      <w:r w:rsidR="00422303">
        <w:rPr>
          <w:rFonts w:cs="Times New Roman"/>
          <w:szCs w:val="24"/>
        </w:rPr>
        <w:t xml:space="preserve"> B</w:t>
      </w:r>
      <w:r w:rsidRPr="00474F14">
        <w:rPr>
          <w:rFonts w:cs="Times New Roman"/>
          <w:szCs w:val="24"/>
        </w:rPr>
        <w:t xml:space="preserve">acterial association with various eukaryotic hosts, including nematodes, higher plants and even humans has been shown to involve c-di-GMP </w:t>
      </w:r>
      <w:r w:rsidRPr="00474F14">
        <w:rPr>
          <w:rFonts w:cs="Times New Roman"/>
          <w:szCs w:val="24"/>
        </w:rPr>
        <w:fldChar w:fldCharType="begin"/>
      </w:r>
      <w:r w:rsidRPr="00474F14">
        <w:rPr>
          <w:rFonts w:cs="Times New Roman"/>
          <w:szCs w:val="24"/>
        </w:rPr>
        <w:instrText xml:space="preserve"> ADDIN ZOTERO_ITEM CSL_CITATION {"citationID":"qYXDhGJr","properties":{"formattedCitation":"(Obeng et al., 2023)","plainCitation":"(Obeng et al., 2023)","noteIndex":0},"citationItems":[{"id":9378,"uris":["http://zotero.org/users/764524/items/MB4L2LZQ"],"itemData":{"id":9378,"type":"article-journal","abstract":"Most microbes evolve faster than their hosts and should therefore drive evolution of host–microbe interactions. However, relatively little is known about the characteristics that define the adaptive path of microbes to host association. Here we identified microbial traits that mediate adaptation to hosts by experimentally evolving the free-living bacterium Pseudomonas lurida with the nematode Caenorhabditis elegans as its host. After ten passages, we repeatedly observed the evolution of beneficial host-specialist bacteria, with improved persistence in the nematode being associated with increased biofilm formation. Whole-genome sequencing revealed mutations that uniformly upregulate the bacterial second messenger, cyclic diguanylate (c-di-GMP). We subsequently generated mutants with upregulated c-di-GMP in different Pseudomonas strains and species, which consistently increased host association. Comparison of pseudomonad genomes from various environments revealed that c-di-GMP underlies adaptation to a variety of hosts, from plants to humans. This study indicates that c-di-GMP is fundamental for establishing host association.","container-title":"Nature Microbiology","DOI":"10.1038/s41564-023-01468-x","ISSN":"2058-5276","issue":"10","journalAbbreviation":"Nat. Microbiol.","language":"en","license":"2023 The Author(s)","note":"publisher: Nature Publishing Group","page":"1809-1819","source":"www.nature.com","title":"Bacterial c-di-GMP has a key role in establishing host–microbe symbiosis","volume":"8","author":[{"family":"Obeng","given":"Nancy"},{"family":"Czerwinski","given":"Anna"},{"family":"Schütz","given":"Daniel"},{"family":"Michels","given":"Jan"},{"family":"Leipert","given":"Jan"},{"family":"Bansept","given":"Florence"},{"family":"García García","given":"María J."},{"family":"Schultheiß","given":"Thekla"},{"family":"Kemlein","given":"Melinda"},{"family":"Fuß","given":"Janina"},{"family":"Tholey","given":"Andreas"},{"family":"Traulsen","given":"Arne"},{"family":"Sondermann","given":"Holger"},{"family":"Schulenburg","given":"Hinrich"}],"issued":{"date-parts":[["2023",10]]}}}],"schema":"https://github.com/citation-style-language/schema/raw/master/csl-citation.json"} </w:instrText>
      </w:r>
      <w:r w:rsidRPr="00474F14">
        <w:rPr>
          <w:rFonts w:cs="Times New Roman"/>
          <w:szCs w:val="24"/>
        </w:rPr>
        <w:fldChar w:fldCharType="separate"/>
      </w:r>
      <w:r w:rsidRPr="00474F14">
        <w:rPr>
          <w:rFonts w:cs="Times New Roman"/>
        </w:rPr>
        <w:t>(Obeng et al., 2023)</w:t>
      </w:r>
      <w:r w:rsidRPr="00474F14">
        <w:rPr>
          <w:rFonts w:cs="Times New Roman"/>
          <w:szCs w:val="24"/>
        </w:rPr>
        <w:fldChar w:fldCharType="end"/>
      </w:r>
      <w:r w:rsidR="0069487F" w:rsidRPr="00474F14">
        <w:rPr>
          <w:rFonts w:cs="Times New Roman"/>
          <w:szCs w:val="24"/>
        </w:rPr>
        <w:t xml:space="preserve">.  </w:t>
      </w:r>
      <w:r w:rsidRPr="00474F14">
        <w:rPr>
          <w:rFonts w:cs="Times New Roman"/>
          <w:szCs w:val="24"/>
        </w:rPr>
        <w:t xml:space="preserve">Similarly, AIPs have been demonstrated to both </w:t>
      </w:r>
      <w:r w:rsidR="0024093B">
        <w:rPr>
          <w:rFonts w:cs="Times New Roman"/>
          <w:szCs w:val="24"/>
        </w:rPr>
        <w:t xml:space="preserve">be </w:t>
      </w:r>
      <w:r w:rsidRPr="00474F14">
        <w:rPr>
          <w:rFonts w:cs="Times New Roman"/>
          <w:szCs w:val="24"/>
        </w:rPr>
        <w:t xml:space="preserve">produced by </w:t>
      </w:r>
      <w:r w:rsidR="003870D7" w:rsidRPr="00474F14">
        <w:rPr>
          <w:rFonts w:cs="Times New Roman"/>
          <w:szCs w:val="24"/>
        </w:rPr>
        <w:t>and</w:t>
      </w:r>
      <w:r w:rsidR="003870D7">
        <w:rPr>
          <w:rFonts w:cs="Times New Roman"/>
          <w:szCs w:val="24"/>
        </w:rPr>
        <w:t xml:space="preserve"> be involved in cell signalling in </w:t>
      </w:r>
      <w:r w:rsidR="003870D7" w:rsidRPr="00474F14">
        <w:rPr>
          <w:rFonts w:cs="Times New Roman"/>
          <w:szCs w:val="24"/>
        </w:rPr>
        <w:t xml:space="preserve">microalgae </w:t>
      </w:r>
      <w:r>
        <w:rPr>
          <w:rFonts w:cs="Times New Roman"/>
          <w:b/>
          <w:bCs/>
          <w:szCs w:val="24"/>
        </w:rPr>
        <w:fldChar w:fldCharType="begin"/>
      </w:r>
      <w:r>
        <w:rPr>
          <w:rFonts w:cs="Times New Roman"/>
          <w:b/>
          <w:bCs/>
          <w:szCs w:val="24"/>
        </w:rPr>
        <w:instrText xml:space="preserve"> ADDIN ZOTERO_ITEM CSL_CITATION {"citationID":"SJ8r1tKU","properties":{"formattedCitation":"(Awdhesh Kumar Mishra and Kodiveri Muthukaliannan, 2022)","plainCitation":"(Awdhesh Kumar Mishra and Kodiveri Muthukaliannan, 2022)","noteIndex":0},"citationItems":[{"id":9402,"uris":["http://zotero.org/users/764524/items/ZCUS2VHK"],"itemData":{"id":9402,"type":"article-journal","abstract":"Bacterial infections are primarily caused due to the formation of biofilms on the surfaces. The formation of bacterial biofilms results in 60–70% of nosocomial infections in hospital-acquired infections for multidrug-resistant bacteria. Quorum-sensing (QS) is the process of cell–cell communications among bacterial cells. The formation and regulation of biofilm-producing signaling molecules, competence for DNA uptake and factors responsible for virulence occur. When the bacterial cell population density increases, auto-inducers bind with QS receptors and induce gene expression. To suppress the expression of the virulence genes, certain antibiotics and small molecules are used against the pathogenic bacteria. Since the microorganisms are becoming resistant to antibiotics, there is a need of new compounds or molecules which can suppress or inhibit the expression or regulation of virulence genes. Microalgae are an important and rich source of bioactive compounds which have the antimicrobial property. Microalgae have various antibacterial metabolites, such as Portoamides (peptides), flavonoids, eicosapentaenoic acid, alkaloids, peptides and many other secondary metabolites. This review focuses on the signaling molecule-regulated QS mechanism, biofilm formation, and microalgae compounds’ effects against pathogenic bacteria. Consequently, most of the compounds have made it to the different levels of clinical trials, even some of the compounds are used therapeutically. Despite the promising applications of antibacterial peptides and the importance of searching for new natural sources of antibiotics, limitations persist for their pharmaceutical applications. However, given due research impetus, these marine metabolites might emerge as a new wave of promising drugs.","container-title":"Archives of Microbiology","DOI":"10.1007/s00203-022-02776-2","ISSN":"1432-072X","issue":"3","journalAbbreviation":"Arch. Microbiol.","language":"en","page":"163","source":"Springer Link","title":"Role of microalgal metabolites in controlling quorum-sensing-regulated biofilm","volume":"204","author":[{"family":"Awdhesh Kumar Mishra","given":"Rudra"},{"family":"Kodiveri Muthukaliannan","given":"Gothandam"}],"issued":{"date-parts":[["2022",2,4]]}}}],"schema":"https://github.com/citation-style-language/schema/raw/master/csl-citation.json"} </w:instrText>
      </w:r>
      <w:r>
        <w:rPr>
          <w:rFonts w:cs="Times New Roman"/>
          <w:b/>
          <w:bCs/>
          <w:szCs w:val="24"/>
        </w:rPr>
        <w:fldChar w:fldCharType="separate"/>
      </w:r>
      <w:r w:rsidRPr="007B5ACE">
        <w:rPr>
          <w:rFonts w:cs="Times New Roman"/>
        </w:rPr>
        <w:t>(Awdhesh Kumar Mishra and Kodiveri Muthukaliannan, 2022)</w:t>
      </w:r>
      <w:r>
        <w:rPr>
          <w:rFonts w:cs="Times New Roman"/>
          <w:b/>
          <w:bCs/>
          <w:szCs w:val="24"/>
        </w:rPr>
        <w:fldChar w:fldCharType="end"/>
      </w:r>
      <w:r w:rsidRPr="00474F14">
        <w:rPr>
          <w:rFonts w:cs="Times New Roman"/>
          <w:szCs w:val="24"/>
        </w:rPr>
        <w:t>.</w:t>
      </w:r>
      <w:r w:rsidR="00480937" w:rsidRPr="00EB4450">
        <w:rPr>
          <w:rFonts w:cs="Times New Roman"/>
          <w:szCs w:val="24"/>
        </w:rPr>
        <w:t xml:space="preserve">  With regard to </w:t>
      </w:r>
      <w:r>
        <w:rPr>
          <w:rFonts w:cs="Times New Roman"/>
          <w:szCs w:val="24"/>
        </w:rPr>
        <w:t>micro</w:t>
      </w:r>
      <w:r w:rsidR="00480937" w:rsidRPr="00EB4450">
        <w:rPr>
          <w:rFonts w:cs="Times New Roman"/>
          <w:szCs w:val="24"/>
        </w:rPr>
        <w:t>algae, p</w:t>
      </w:r>
      <w:r w:rsidR="0069487F" w:rsidRPr="00EB4450">
        <w:rPr>
          <w:rFonts w:cs="Times New Roman"/>
          <w:szCs w:val="24"/>
        </w:rPr>
        <w:t xml:space="preserve">roduction of </w:t>
      </w:r>
      <w:r>
        <w:rPr>
          <w:rFonts w:cs="Times New Roman"/>
          <w:szCs w:val="24"/>
        </w:rPr>
        <w:t xml:space="preserve">AIP and </w:t>
      </w:r>
      <w:r w:rsidR="0069487F" w:rsidRPr="00EB4450">
        <w:rPr>
          <w:rFonts w:cs="Times New Roman"/>
          <w:szCs w:val="24"/>
        </w:rPr>
        <w:t xml:space="preserve">c-di-GMP </w:t>
      </w:r>
      <w:r>
        <w:rPr>
          <w:rFonts w:cs="Times New Roman"/>
          <w:szCs w:val="24"/>
        </w:rPr>
        <w:t xml:space="preserve">have </w:t>
      </w:r>
      <w:r w:rsidR="00EB4450">
        <w:rPr>
          <w:rFonts w:cs="Times New Roman"/>
          <w:szCs w:val="24"/>
        </w:rPr>
        <w:t xml:space="preserve">been implicated </w:t>
      </w:r>
      <w:r w:rsidR="0069487F" w:rsidRPr="00EB4450">
        <w:rPr>
          <w:rFonts w:cs="Times New Roman"/>
          <w:szCs w:val="24"/>
        </w:rPr>
        <w:t>in mutualistic interactions in a stable consortium</w:t>
      </w:r>
      <w:r w:rsidR="00480937" w:rsidRPr="00EB4450">
        <w:t xml:space="preserve"> </w:t>
      </w:r>
      <w:r w:rsidR="00480937" w:rsidRPr="00EB4450">
        <w:rPr>
          <w:rFonts w:cs="Times New Roman"/>
          <w:szCs w:val="24"/>
        </w:rPr>
        <w:t xml:space="preserve">between </w:t>
      </w:r>
      <w:r w:rsidR="003870D7">
        <w:rPr>
          <w:rFonts w:cs="Times New Roman"/>
          <w:i/>
          <w:iCs/>
          <w:szCs w:val="24"/>
        </w:rPr>
        <w:t>C.</w:t>
      </w:r>
      <w:r w:rsidR="00480937" w:rsidRPr="00EB4450">
        <w:rPr>
          <w:rFonts w:cs="Times New Roman"/>
          <w:i/>
          <w:iCs/>
          <w:szCs w:val="24"/>
        </w:rPr>
        <w:t xml:space="preserve"> vulgaris</w:t>
      </w:r>
      <w:r w:rsidR="00480937" w:rsidRPr="00EB4450">
        <w:rPr>
          <w:rFonts w:cs="Times New Roman"/>
          <w:szCs w:val="24"/>
        </w:rPr>
        <w:t xml:space="preserve"> and </w:t>
      </w:r>
      <w:r w:rsidR="00480937" w:rsidRPr="00EB4450">
        <w:rPr>
          <w:rFonts w:cs="Times New Roman"/>
          <w:i/>
          <w:iCs/>
          <w:szCs w:val="24"/>
        </w:rPr>
        <w:t>Bacillus licheniformis</w:t>
      </w:r>
      <w:r w:rsidR="002F7927" w:rsidRPr="002F7927">
        <w:rPr>
          <w:rFonts w:cs="Times New Roman"/>
          <w:szCs w:val="24"/>
        </w:rPr>
        <w:t xml:space="preserve">, showing </w:t>
      </w:r>
      <w:r w:rsidR="002F7927">
        <w:rPr>
          <w:rFonts w:cs="Times New Roman"/>
          <w:szCs w:val="24"/>
        </w:rPr>
        <w:t>enhanced adhesion strength of the bacteria to the algae surface as well as increased polysaccharide exchange</w:t>
      </w:r>
      <w:r w:rsidRPr="007B289A">
        <w:rPr>
          <w:rFonts w:cs="Times New Roman"/>
          <w:szCs w:val="24"/>
        </w:rPr>
        <w:t xml:space="preserve"> </w:t>
      </w:r>
      <w:r w:rsidRPr="007B289A">
        <w:rPr>
          <w:rFonts w:cs="Times New Roman"/>
          <w:szCs w:val="24"/>
        </w:rPr>
        <w:fldChar w:fldCharType="begin"/>
      </w:r>
      <w:r w:rsidRPr="007B289A">
        <w:rPr>
          <w:rFonts w:cs="Times New Roman"/>
          <w:szCs w:val="24"/>
        </w:rPr>
        <w:instrText xml:space="preserve"> ADDIN ZOTERO_ITEM CSL_CITATION {"citationID":"goOV6BGz","properties":{"formattedCitation":"(Ji et al., 2018)","plainCitation":"(Ji et al., 2018)","noteIndex":0},"citationItems":[{"id":9379,"uris":["http://zotero.org/users/764524/items/LE7M3ARV"],"itemData":{"id":9379,"type":"article-journal","abstract":"The ability of Chlorella vulgaris-Bacillus licheniformis and Microcystis aeruginosa-Bacillus licheniformis consortiums to eliminate total dissolved nitrogen (TDN), total dissolved phosphorus (TDP), and soluble chemical oxygen demand (sCOD) from synthetic wastewater was studied. The highest values of dry cell weight, chlorophyll-a, and chlorophyll metabolism related genes/bacterial rRNA gene copies were obtained in the Chlorella vulgaris-Bacillus licheniformis system at Chlorella vulgaris and Bacillus licheniformis ratio of 1:3. On the 10th day, the Chlorella vulgaris-Bacillus licheniformis system at this ratio removed 86.55%, 80.28% and 88.95% of sCOD, TDP and TDN, respectively. But, the Microcystis aeruginosa-Bacillus licheniformis system at this ratio only removed 65.62%, 70.82%, and 21.56% of sCOD, TDP and TDN, respectively. Chlorella vulgaris and Bacillus licheniformis could coexist as an algae-bacteria consortia and quorum sensing substances (autoind</w:instrText>
      </w:r>
      <w:r w:rsidRPr="007B289A">
        <w:rPr>
          <w:rFonts w:cs="Times New Roman" w:hint="eastAsia"/>
          <w:szCs w:val="24"/>
        </w:rPr>
        <w:instrText>ucing peptides and bis (3</w:instrText>
      </w:r>
      <w:r w:rsidRPr="007B289A">
        <w:rPr>
          <w:rFonts w:cs="Times New Roman" w:hint="eastAsia"/>
          <w:szCs w:val="24"/>
        </w:rPr>
        <w:instrText>′</w:instrText>
      </w:r>
      <w:r w:rsidRPr="007B289A">
        <w:rPr>
          <w:rFonts w:cs="Times New Roman" w:hint="eastAsia"/>
          <w:szCs w:val="24"/>
        </w:rPr>
        <w:instrText>-5</w:instrText>
      </w:r>
      <w:r w:rsidRPr="007B289A">
        <w:rPr>
          <w:rFonts w:cs="Times New Roman" w:hint="eastAsia"/>
          <w:szCs w:val="24"/>
        </w:rPr>
        <w:instrText>′</w:instrText>
      </w:r>
      <w:r w:rsidRPr="007B289A">
        <w:rPr>
          <w:rFonts w:cs="Times New Roman" w:hint="eastAsia"/>
          <w:szCs w:val="24"/>
        </w:rPr>
        <w:instrText>) diguanylic acid) concentrations were measured. Finally, the interactions and communication patterns between Chlorella vulgaris and Bacillus licheniformis were depicted.","container-title":"Bioresource Technology","DOI":"10.1</w:instrText>
      </w:r>
      <w:r w:rsidRPr="007B289A">
        <w:rPr>
          <w:rFonts w:cs="Times New Roman"/>
          <w:szCs w:val="24"/>
        </w:rPr>
        <w:instrText xml:space="preserve">016/j.biortech.2017.09.074","ISSN":"0960-8524","journalAbbreviation":"Bioresour. Technol.","page":"44-50","source":"ScienceDirect","title":"The interactions of algae-bacteria symbiotic system and its effects on nutrients removal from synthetic wastewater","volume":"247","author":[{"family":"Ji","given":"Xiyan"},{"family":"Jiang","given":"Mengqi"},{"family":"Zhang","given":"Jibiao"},{"family":"Jiang","given":"Xuyao"},{"family":"Zheng","given":"Zheng"}],"issued":{"date-parts":[["2018",1,1]]}}}],"schema":"https://github.com/citation-style-language/schema/raw/master/csl-citation.json"} </w:instrText>
      </w:r>
      <w:r w:rsidRPr="007B289A">
        <w:rPr>
          <w:rFonts w:cs="Times New Roman"/>
          <w:szCs w:val="24"/>
        </w:rPr>
        <w:fldChar w:fldCharType="separate"/>
      </w:r>
      <w:r w:rsidRPr="007B289A">
        <w:rPr>
          <w:rFonts w:cs="Times New Roman"/>
        </w:rPr>
        <w:t>(Ji et al., 2018)</w:t>
      </w:r>
      <w:r w:rsidRPr="007B289A">
        <w:rPr>
          <w:rFonts w:cs="Times New Roman"/>
          <w:szCs w:val="24"/>
        </w:rPr>
        <w:fldChar w:fldCharType="end"/>
      </w:r>
      <w:r w:rsidR="0069487F" w:rsidRPr="007B289A">
        <w:rPr>
          <w:rFonts w:cs="Times New Roman"/>
          <w:szCs w:val="24"/>
        </w:rPr>
        <w:t>.</w:t>
      </w:r>
      <w:r>
        <w:rPr>
          <w:rFonts w:cs="Times New Roman"/>
          <w:szCs w:val="24"/>
        </w:rPr>
        <w:t xml:space="preserve">  </w:t>
      </w:r>
    </w:p>
    <w:p w14:paraId="7A886BBD" w14:textId="77777777" w:rsidR="006A2B4C" w:rsidRDefault="006A2B4C" w:rsidP="00A54EB4">
      <w:pPr>
        <w:snapToGrid w:val="0"/>
        <w:spacing w:line="360" w:lineRule="auto"/>
        <w:ind w:firstLine="284"/>
        <w:jc w:val="both"/>
        <w:rPr>
          <w:rFonts w:cs="Times New Roman"/>
          <w:szCs w:val="24"/>
        </w:rPr>
      </w:pPr>
    </w:p>
    <w:p w14:paraId="1FFD4800" w14:textId="004F751C" w:rsidR="006A2B4C" w:rsidRPr="006A2B4C" w:rsidRDefault="006A2B4C" w:rsidP="006A2B4C">
      <w:pPr>
        <w:pStyle w:val="ListParagraph"/>
        <w:numPr>
          <w:ilvl w:val="2"/>
          <w:numId w:val="9"/>
        </w:numPr>
        <w:snapToGrid w:val="0"/>
        <w:spacing w:line="360" w:lineRule="auto"/>
        <w:rPr>
          <w:rFonts w:cs="Times New Roman"/>
          <w:b/>
          <w:bCs/>
          <w:szCs w:val="24"/>
        </w:rPr>
      </w:pPr>
      <w:r w:rsidRPr="006A2B4C">
        <w:rPr>
          <w:rFonts w:cs="Times New Roman"/>
          <w:b/>
          <w:bCs/>
          <w:szCs w:val="24"/>
        </w:rPr>
        <w:t>2,5-</w:t>
      </w:r>
      <w:r>
        <w:rPr>
          <w:rFonts w:cs="Times New Roman"/>
          <w:b/>
          <w:bCs/>
          <w:szCs w:val="24"/>
        </w:rPr>
        <w:t>D</w:t>
      </w:r>
      <w:r w:rsidRPr="006A2B4C">
        <w:rPr>
          <w:rFonts w:cs="Times New Roman"/>
          <w:b/>
          <w:bCs/>
          <w:szCs w:val="24"/>
        </w:rPr>
        <w:t>iketopiperazines</w:t>
      </w:r>
      <w:r w:rsidR="00CF193D">
        <w:rPr>
          <w:rFonts w:cs="Times New Roman"/>
          <w:b/>
          <w:bCs/>
          <w:szCs w:val="24"/>
        </w:rPr>
        <w:t xml:space="preserve"> (DKPs)</w:t>
      </w:r>
    </w:p>
    <w:p w14:paraId="1EE5BF97" w14:textId="032FD000" w:rsidR="006A2B4C" w:rsidRDefault="006A2B4C" w:rsidP="006A2B4C">
      <w:pPr>
        <w:snapToGrid w:val="0"/>
        <w:spacing w:line="360" w:lineRule="auto"/>
        <w:ind w:firstLine="284"/>
        <w:jc w:val="both"/>
        <w:rPr>
          <w:rFonts w:cs="Times New Roman"/>
          <w:szCs w:val="24"/>
        </w:rPr>
      </w:pPr>
      <w:bookmarkStart w:id="18" w:name="_Hlk191643984"/>
      <w:r w:rsidRPr="00A72886">
        <w:rPr>
          <w:rFonts w:cs="Times New Roman"/>
          <w:szCs w:val="24"/>
        </w:rPr>
        <w:t>2,5-</w:t>
      </w:r>
      <w:r w:rsidR="007B15D1">
        <w:rPr>
          <w:rFonts w:cs="Times New Roman"/>
          <w:szCs w:val="24"/>
        </w:rPr>
        <w:t>D</w:t>
      </w:r>
      <w:r w:rsidRPr="00A72886">
        <w:rPr>
          <w:rFonts w:cs="Times New Roman"/>
          <w:szCs w:val="24"/>
        </w:rPr>
        <w:t xml:space="preserve">iketopiperazines </w:t>
      </w:r>
      <w:bookmarkEnd w:id="18"/>
      <w:r w:rsidRPr="00A72886">
        <w:rPr>
          <w:rFonts w:cs="Times New Roman"/>
          <w:szCs w:val="24"/>
        </w:rPr>
        <w:t>are</w:t>
      </w:r>
      <w:r w:rsidRPr="0057395A">
        <w:rPr>
          <w:rFonts w:cs="Times New Roman"/>
          <w:szCs w:val="24"/>
        </w:rPr>
        <w:t xml:space="preserve"> short cyclic peptides formed by condensation of two amino acids that have shown antibacterial and anticancer activities </w:t>
      </w:r>
      <w:r w:rsidRPr="0057395A">
        <w:rPr>
          <w:rFonts w:cs="Times New Roman"/>
          <w:szCs w:val="24"/>
        </w:rPr>
        <w:fldChar w:fldCharType="begin"/>
      </w:r>
      <w:r w:rsidRPr="0057395A">
        <w:rPr>
          <w:rFonts w:cs="Times New Roman"/>
          <w:szCs w:val="24"/>
        </w:rPr>
        <w:instrText xml:space="preserve"> ADDIN ZOTERO_ITEM CSL_CITATION {"citationID":"sjrJWBKQ","properties":{"formattedCitation":"(Jia et al., 2023)","plainCitation":"(Jia et al., 2023)","noteIndex":0},"citationItems":[{"id":9401,"uris":["http://zotero.org/users/764524/items/8KB5W3FE"],"itemData":{"id":9401,"type":"article-journal","abstract":"Background: 2,5-Diketopiperazines (DKPs), also called cyclic dipeptides, are\nthe simplest peptide derivatives in nature that are formed by the condensation of two amino\nacids. They are an important category of bioactive substances with various structures.\n\nObjective: This review focuses on the natural sources, synthetic processes, biological\nproperties and MS fragmentation regularity of simple DKPs, in order to provide a reference\nfor exploring future scientific and therapeutic potentials of these compounds.\n\nMethods: Pertinent information was collected and organized from several electronic scientific\ndatabases (e.g., Web of Science, China Knowledge Resource Integrated, ScienceDirect,\nPubMed, Wanfang Data and Google Scholar), PhD and MS dissertations.\nThere are 107 articles published from the early 20th century to 2021 that were reviewed\nin this work.\n\nResults: DKPs have been obtained from a broad range of natural resources, including fungi,\nbacteria, plants, and animals, and have been synthesized by chemical and biological\nmethods. DKPs have various pharmacological activities, including anticancer, antibacterial,\nantithrombotic, neuron protective, analgesic, and other activities. Mass spectrometry\nis the most common method for the structural analysis of DKPs. DKPs can be quickly\nscreened and identified by MS according to the mass spectrum fragmentation pattern.\n\nConclusion: As a category of relatively unexplored compounds, DKPs have been demonstrated\nto have various bioactivities, especially with antitumor and antibacterial activities.\nHowever, the existing research on DKPs is still in the early stage, and their application in\ndrug development needs to be further studied.","container-title":"Current Medicinal Chemistry","DOI":"10.2174/0929867329666220801143650","issue":"9","journalAbbreviation":"Curr. Med. Chem.","language":"en","page":"1060-1085","source":"www.eurekaselect.com","title":"2,5-Diketopiperazines: A Review of Source, Synthesis, Bioactivity, Structure, and MS Fragmentation","title-short":"2,5-Diketopiperazines","volume":"30","author":[{"family":"Jia","given":"Jia"},{"family":"Yao","given":"Jianling"},{"family":"Kong","given":"Jiao"},{"family":"Yu","given":"Axiang"},{"family":"Wei","given":"Jing"},{"family":"Dong","given":"Ying"},{"family":"Song","given":"Ruolan"},{"family":"Shan","given":"Dongjie"},{"family":"Zhong","given":"Xiangjian"},{"family":"Lv","given":"Fang"},{"family":"Fan","given":"Qiqi"},{"family":"She","given":"Gaimei"}],"issued":{"date-parts":[["2023"]]}}}],"schema":"https://github.com/citation-style-language/schema/raw/master/csl-citation.json"} </w:instrText>
      </w:r>
      <w:r w:rsidRPr="0057395A">
        <w:rPr>
          <w:rFonts w:cs="Times New Roman"/>
          <w:szCs w:val="24"/>
        </w:rPr>
        <w:fldChar w:fldCharType="separate"/>
      </w:r>
      <w:r w:rsidRPr="0057395A">
        <w:rPr>
          <w:rFonts w:cs="Times New Roman"/>
        </w:rPr>
        <w:t>(Jia et al., 2023)</w:t>
      </w:r>
      <w:r w:rsidRPr="0057395A">
        <w:rPr>
          <w:rFonts w:cs="Times New Roman"/>
          <w:szCs w:val="24"/>
        </w:rPr>
        <w:fldChar w:fldCharType="end"/>
      </w:r>
      <w:r w:rsidRPr="0057395A">
        <w:rPr>
          <w:rFonts w:cs="Times New Roman"/>
          <w:szCs w:val="24"/>
        </w:rPr>
        <w:t xml:space="preserve">.  In co-culture experiments with </w:t>
      </w:r>
      <w:r>
        <w:rPr>
          <w:rFonts w:cs="Times New Roman"/>
          <w:i/>
          <w:iCs/>
          <w:szCs w:val="24"/>
        </w:rPr>
        <w:t>P.</w:t>
      </w:r>
      <w:r w:rsidRPr="0057395A">
        <w:rPr>
          <w:rFonts w:cs="Times New Roman"/>
          <w:i/>
          <w:iCs/>
          <w:szCs w:val="24"/>
        </w:rPr>
        <w:t xml:space="preserve"> </w:t>
      </w:r>
      <w:proofErr w:type="spellStart"/>
      <w:r w:rsidRPr="0057395A">
        <w:rPr>
          <w:rFonts w:cs="Times New Roman"/>
          <w:i/>
          <w:iCs/>
          <w:szCs w:val="24"/>
        </w:rPr>
        <w:t>tricornutum</w:t>
      </w:r>
      <w:proofErr w:type="spellEnd"/>
      <w:r w:rsidRPr="0057395A">
        <w:rPr>
          <w:rFonts w:cs="Times New Roman"/>
          <w:szCs w:val="24"/>
        </w:rPr>
        <w:t xml:space="preserve">, </w:t>
      </w:r>
      <w:r w:rsidRPr="0057395A">
        <w:rPr>
          <w:rFonts w:cs="Times New Roman"/>
          <w:i/>
          <w:iCs/>
          <w:szCs w:val="24"/>
        </w:rPr>
        <w:t xml:space="preserve">Bacillus thuringiensis </w:t>
      </w:r>
      <w:r w:rsidRPr="0057395A">
        <w:rPr>
          <w:rFonts w:cs="Times New Roman"/>
          <w:szCs w:val="24"/>
        </w:rPr>
        <w:t xml:space="preserve">and other members of the </w:t>
      </w:r>
      <w:r w:rsidRPr="0057395A">
        <w:rPr>
          <w:rFonts w:cs="Times New Roman"/>
          <w:i/>
          <w:iCs/>
          <w:szCs w:val="24"/>
        </w:rPr>
        <w:t xml:space="preserve">Bacillus cereus </w:t>
      </w:r>
      <w:r w:rsidRPr="0057395A">
        <w:rPr>
          <w:rFonts w:cs="Times New Roman"/>
          <w:szCs w:val="24"/>
        </w:rPr>
        <w:t xml:space="preserve">group have been </w:t>
      </w:r>
      <w:r w:rsidRPr="005B7946">
        <w:rPr>
          <w:rFonts w:cs="Times New Roman"/>
          <w:szCs w:val="24"/>
        </w:rPr>
        <w:t>shown to undergo sporulation, and the mother cell lysate was observed to increase growth of the symbiotic diatom.  Analysis of this lysate identified two DKPs: cyclic-</w:t>
      </w:r>
      <w:r w:rsidRPr="0094752F">
        <w:rPr>
          <w:rFonts w:cs="Times New Roman"/>
          <w:szCs w:val="24"/>
        </w:rPr>
        <w:t>L</w:t>
      </w:r>
      <w:r w:rsidRPr="005B7946">
        <w:rPr>
          <w:rFonts w:cs="Times New Roman"/>
          <w:szCs w:val="24"/>
        </w:rPr>
        <w:t>-Pro</w:t>
      </w:r>
      <w:r w:rsidRPr="00A72886">
        <w:rPr>
          <w:rFonts w:cs="Times New Roman"/>
          <w:szCs w:val="24"/>
        </w:rPr>
        <w:t>-</w:t>
      </w:r>
      <w:r w:rsidRPr="0094752F">
        <w:rPr>
          <w:rFonts w:cs="Times New Roman"/>
          <w:szCs w:val="24"/>
        </w:rPr>
        <w:t>L</w:t>
      </w:r>
      <w:r w:rsidRPr="00A72886">
        <w:rPr>
          <w:rFonts w:cs="Times New Roman"/>
          <w:szCs w:val="24"/>
        </w:rPr>
        <w:t>-</w:t>
      </w:r>
      <w:proofErr w:type="spellStart"/>
      <w:r w:rsidRPr="00A72886">
        <w:rPr>
          <w:rFonts w:cs="Times New Roman"/>
          <w:szCs w:val="24"/>
        </w:rPr>
        <w:t>OMet</w:t>
      </w:r>
      <w:proofErr w:type="spellEnd"/>
      <w:r w:rsidRPr="00A72886">
        <w:rPr>
          <w:rFonts w:cs="Times New Roman"/>
          <w:szCs w:val="24"/>
        </w:rPr>
        <w:t xml:space="preserve"> </w:t>
      </w:r>
      <w:r>
        <w:rPr>
          <w:rFonts w:cs="Times New Roman"/>
          <w:szCs w:val="24"/>
        </w:rPr>
        <w:t>(</w:t>
      </w:r>
      <w:r w:rsidRPr="00CE653A">
        <w:rPr>
          <w:rFonts w:cs="Times New Roman"/>
          <w:szCs w:val="24"/>
        </w:rPr>
        <w:t>(3S,8aS)-3-propan-2-yl-2,3,6,7,8,8a-hexahydropyrrolo[1,2-a]pyrazine-1,4-dione</w:t>
      </w:r>
      <w:r>
        <w:rPr>
          <w:rFonts w:cs="Times New Roman"/>
          <w:szCs w:val="24"/>
        </w:rPr>
        <w:t>)</w:t>
      </w:r>
      <w:r w:rsidRPr="00CE653A">
        <w:rPr>
          <w:rFonts w:cs="Times New Roman"/>
          <w:szCs w:val="24"/>
        </w:rPr>
        <w:t xml:space="preserve"> </w:t>
      </w:r>
      <w:r w:rsidRPr="00A72886">
        <w:rPr>
          <w:rFonts w:cs="Times New Roman"/>
          <w:szCs w:val="24"/>
        </w:rPr>
        <w:t>and cyclic-</w:t>
      </w:r>
      <w:r w:rsidRPr="0094752F">
        <w:rPr>
          <w:rFonts w:cs="Times New Roman"/>
          <w:szCs w:val="24"/>
        </w:rPr>
        <w:t>L</w:t>
      </w:r>
      <w:r w:rsidRPr="00A72886">
        <w:rPr>
          <w:rFonts w:cs="Times New Roman"/>
          <w:szCs w:val="24"/>
        </w:rPr>
        <w:t>-Val-</w:t>
      </w:r>
      <w:proofErr w:type="spellStart"/>
      <w:r w:rsidRPr="00A72886">
        <w:rPr>
          <w:rFonts w:cs="Times New Roman"/>
          <w:szCs w:val="24"/>
        </w:rPr>
        <w:t>ΔAla</w:t>
      </w:r>
      <w:proofErr w:type="spellEnd"/>
      <w:r>
        <w:rPr>
          <w:rFonts w:cs="Times New Roman"/>
          <w:szCs w:val="24"/>
        </w:rPr>
        <w:t xml:space="preserve"> </w:t>
      </w:r>
      <w:r>
        <w:rPr>
          <w:rFonts w:cs="Times New Roman"/>
          <w:szCs w:val="24"/>
        </w:rPr>
        <w:lastRenderedPageBreak/>
        <w:t>(</w:t>
      </w:r>
      <w:r w:rsidRPr="00CE653A">
        <w:rPr>
          <w:rFonts w:cs="Times New Roman"/>
          <w:szCs w:val="24"/>
        </w:rPr>
        <w:t>3-methylene-6S-(1-methylethyl)-2,5-piperazinedione</w:t>
      </w:r>
      <w:r>
        <w:rPr>
          <w:rFonts w:cs="Times New Roman"/>
          <w:szCs w:val="24"/>
        </w:rPr>
        <w:t xml:space="preserve">), which were confirmed to increase growth and biomass concentration of </w:t>
      </w:r>
      <w:r w:rsidRPr="0057395A">
        <w:rPr>
          <w:rFonts w:cs="Times New Roman"/>
          <w:i/>
          <w:iCs/>
          <w:szCs w:val="24"/>
        </w:rPr>
        <w:t xml:space="preserve">P. </w:t>
      </w:r>
      <w:proofErr w:type="spellStart"/>
      <w:r w:rsidRPr="0057395A">
        <w:rPr>
          <w:rFonts w:cs="Times New Roman"/>
          <w:i/>
          <w:iCs/>
          <w:szCs w:val="24"/>
        </w:rPr>
        <w:t>tricornutum</w:t>
      </w:r>
      <w:proofErr w:type="spellEnd"/>
      <w:r>
        <w:rPr>
          <w:rFonts w:cs="Times New Roman"/>
          <w:i/>
          <w:iCs/>
          <w:szCs w:val="24"/>
        </w:rPr>
        <w:t xml:space="preserve"> </w:t>
      </w:r>
      <w:r>
        <w:rPr>
          <w:rFonts w:cs="Times New Roman"/>
          <w:b/>
          <w:bCs/>
          <w:szCs w:val="24"/>
        </w:rPr>
        <w:fldChar w:fldCharType="begin"/>
      </w:r>
      <w:r>
        <w:rPr>
          <w:rFonts w:cs="Times New Roman"/>
          <w:b/>
          <w:bCs/>
          <w:szCs w:val="24"/>
        </w:rPr>
        <w:instrText xml:space="preserve"> ADDIN ZOTERO_ITEM CSL_CITATION {"citationID":"d5apkJkV","properties":{"formattedCitation":"(Sittmann et al., 2021)","plainCitation":"(Sittmann et al., 2021)","noteIndex":0},"citationItems":[{"id":9396,"uris":["http://zotero.org/users/764524/items/4F64DXWJ"],"itemData":{"id":9396,"type":"article-journal","abstract":"Diatoms are photosynthetic microalgae that fix a significant fraction of the world’s carbon. Because of their photosynthetic efficiency and high-lipid content, diatoms are priority candidates for biofuel production. Here, we report that sporulating Bacillus thuringiensis and other members of the Bacillus cereus group, when in co-culture with the marine diatom Phaeodactylum tricornutum, significantly increase diatom cell count. Bioassay-guided purification of the mother cell lysate of B. thuringiensis led to the identification of two diketopiperazines (DKPs) that stimulate both P. tricornutum growth and increase its lipid content. These findings may be exploited to enhance P. tricornutum growth and microalgae-based biofuel production. As increasing numbers of DKPs are isolated from marine microbes, the work gives potential clues to bacterial-produced growth factors for marine microalgae.","container-title":"Plant Physiology","DOI":"10.1093/plphys/kiab080","ISSN":"0032-0889","issue":"2","journalAbbreviation":"Plant Physiol.","page":"1159-1170","source":"Silverchair","title":"Bacterial diketopiperazines stimulate diatom growth and lipid accumulation","volume":"186","author":[{"family":"Sittmann","given":"John"},{"family":"Bae","given":"Munhyung"},{"family":"Mevers","given":"Emily"},{"family":"Li","given":"Muzi"},{"family":"Quinn","given":"Andrew"},{"family":"Sriram","given":"Ganesh"},{"family":"Clardy","given":"Jon"},{"family":"Liu","given":"Zhongchi"}],"issued":{"date-parts":[["2021",6,1]]}}}],"schema":"https://github.com/citation-style-language/schema/raw/master/csl-citation.json"} </w:instrText>
      </w:r>
      <w:r>
        <w:rPr>
          <w:rFonts w:cs="Times New Roman"/>
          <w:b/>
          <w:bCs/>
          <w:szCs w:val="24"/>
        </w:rPr>
        <w:fldChar w:fldCharType="separate"/>
      </w:r>
      <w:r w:rsidRPr="006D1AC8">
        <w:rPr>
          <w:rFonts w:cs="Times New Roman"/>
        </w:rPr>
        <w:t>(Sittmann et al., 2021)</w:t>
      </w:r>
      <w:r>
        <w:rPr>
          <w:rFonts w:cs="Times New Roman"/>
          <w:b/>
          <w:bCs/>
          <w:szCs w:val="24"/>
        </w:rPr>
        <w:fldChar w:fldCharType="end"/>
      </w:r>
      <w:r w:rsidRPr="002674BD">
        <w:rPr>
          <w:rFonts w:cs="Times New Roman"/>
          <w:szCs w:val="24"/>
        </w:rPr>
        <w:t>.</w:t>
      </w:r>
      <w:r>
        <w:rPr>
          <w:rFonts w:cs="Times New Roman"/>
          <w:szCs w:val="24"/>
        </w:rPr>
        <w:t xml:space="preserve">  </w:t>
      </w:r>
      <w:r w:rsidRPr="008C5F97">
        <w:rPr>
          <w:rFonts w:cs="Times New Roman"/>
          <w:color w:val="FF0000"/>
          <w:szCs w:val="24"/>
        </w:rPr>
        <w:t>A concentration</w:t>
      </w:r>
      <w:r w:rsidRPr="0067551E">
        <w:rPr>
          <w:rFonts w:cs="Times New Roman"/>
          <w:color w:val="FF0000"/>
          <w:szCs w:val="24"/>
        </w:rPr>
        <w:t xml:space="preserve">-dependent effect was observed for </w:t>
      </w:r>
      <w:r>
        <w:rPr>
          <w:rFonts w:cs="Times New Roman"/>
          <w:color w:val="FF0000"/>
          <w:szCs w:val="24"/>
        </w:rPr>
        <w:t>both</w:t>
      </w:r>
      <w:r w:rsidRPr="0067551E">
        <w:rPr>
          <w:rFonts w:cs="Times New Roman"/>
          <w:color w:val="FF0000"/>
          <w:szCs w:val="24"/>
        </w:rPr>
        <w:t xml:space="preserve"> DKPs, with minimum active concentrations of 100 </w:t>
      </w:r>
      <w:proofErr w:type="spellStart"/>
      <w:r w:rsidRPr="0067551E">
        <w:rPr>
          <w:rFonts w:cs="Times New Roman"/>
          <w:color w:val="FF0000"/>
          <w:szCs w:val="24"/>
        </w:rPr>
        <w:t>nM</w:t>
      </w:r>
      <w:proofErr w:type="spellEnd"/>
      <w:r w:rsidRPr="0067551E">
        <w:rPr>
          <w:rFonts w:cs="Times New Roman"/>
          <w:color w:val="FF0000"/>
          <w:szCs w:val="24"/>
        </w:rPr>
        <w:t xml:space="preserve"> required for cyclic-L-Pro-L-</w:t>
      </w:r>
      <w:proofErr w:type="spellStart"/>
      <w:r w:rsidRPr="0067551E">
        <w:rPr>
          <w:rFonts w:cs="Times New Roman"/>
          <w:color w:val="FF0000"/>
          <w:szCs w:val="24"/>
        </w:rPr>
        <w:t>OMet</w:t>
      </w:r>
      <w:proofErr w:type="spellEnd"/>
      <w:r w:rsidRPr="0067551E">
        <w:rPr>
          <w:rFonts w:cs="Times New Roman"/>
          <w:color w:val="FF0000"/>
          <w:szCs w:val="24"/>
        </w:rPr>
        <w:t xml:space="preserve"> and 35 </w:t>
      </w:r>
      <w:proofErr w:type="spellStart"/>
      <w:r w:rsidRPr="0067551E">
        <w:rPr>
          <w:rFonts w:cs="Times New Roman"/>
          <w:color w:val="FF0000"/>
          <w:szCs w:val="24"/>
        </w:rPr>
        <w:t>nM</w:t>
      </w:r>
      <w:proofErr w:type="spellEnd"/>
      <w:r w:rsidRPr="0067551E">
        <w:rPr>
          <w:rFonts w:cs="Times New Roman"/>
          <w:color w:val="FF0000"/>
          <w:szCs w:val="24"/>
        </w:rPr>
        <w:t xml:space="preserve"> for cyclic-L-Val-</w:t>
      </w:r>
      <w:proofErr w:type="spellStart"/>
      <w:r w:rsidRPr="0067551E">
        <w:rPr>
          <w:rFonts w:cs="Times New Roman"/>
          <w:color w:val="FF0000"/>
          <w:szCs w:val="24"/>
        </w:rPr>
        <w:t>ΔAla</w:t>
      </w:r>
      <w:proofErr w:type="spellEnd"/>
      <w:r w:rsidRPr="0067551E">
        <w:rPr>
          <w:rFonts w:cs="Times New Roman"/>
          <w:color w:val="FF0000"/>
          <w:szCs w:val="24"/>
        </w:rPr>
        <w:t xml:space="preserve"> </w:t>
      </w:r>
      <w:r>
        <w:rPr>
          <w:rFonts w:cs="Times New Roman"/>
          <w:color w:val="FF0000"/>
          <w:szCs w:val="24"/>
        </w:rPr>
        <w:t>to exhibit a growth-promoting effect for the diatom</w:t>
      </w:r>
      <w:r w:rsidRPr="008C5F97">
        <w:rPr>
          <w:rFonts w:cs="Times New Roman"/>
          <w:color w:val="FF0000"/>
          <w:szCs w:val="24"/>
        </w:rPr>
        <w:t xml:space="preserve">. Notably, a mixture of the L-amino acid components of the cyclic molecules </w:t>
      </w:r>
      <w:r w:rsidR="000167EE" w:rsidRPr="000167EE">
        <w:rPr>
          <w:rFonts w:cs="Times New Roman"/>
          <w:b/>
          <w:bCs/>
          <w:color w:val="FF0000"/>
          <w:szCs w:val="24"/>
        </w:rPr>
        <w:t>showed</w:t>
      </w:r>
      <w:r w:rsidRPr="008C5F97">
        <w:rPr>
          <w:rFonts w:cs="Times New Roman"/>
          <w:color w:val="FF0000"/>
          <w:szCs w:val="24"/>
        </w:rPr>
        <w:t xml:space="preserve"> no significant impact on the growth of </w:t>
      </w:r>
      <w:r w:rsidRPr="008C5F97">
        <w:rPr>
          <w:rFonts w:cs="Times New Roman"/>
          <w:i/>
          <w:iCs/>
          <w:color w:val="FF0000"/>
          <w:szCs w:val="24"/>
        </w:rPr>
        <w:t xml:space="preserve">P. </w:t>
      </w:r>
      <w:proofErr w:type="spellStart"/>
      <w:r w:rsidRPr="008C5F97">
        <w:rPr>
          <w:rFonts w:cs="Times New Roman"/>
          <w:i/>
          <w:iCs/>
          <w:color w:val="FF0000"/>
          <w:szCs w:val="24"/>
        </w:rPr>
        <w:t>tricornutum</w:t>
      </w:r>
      <w:proofErr w:type="spellEnd"/>
      <w:r w:rsidRPr="008C5F97">
        <w:rPr>
          <w:rFonts w:cs="Times New Roman"/>
          <w:color w:val="FF0000"/>
          <w:szCs w:val="24"/>
        </w:rPr>
        <w:t xml:space="preserve">, demonstrating that this effect was specific to the </w:t>
      </w:r>
      <w:r>
        <w:rPr>
          <w:rFonts w:cs="Times New Roman"/>
          <w:color w:val="FF0000"/>
          <w:szCs w:val="24"/>
        </w:rPr>
        <w:t xml:space="preserve">cyclic structure of the </w:t>
      </w:r>
      <w:r w:rsidRPr="008C5F97">
        <w:rPr>
          <w:rFonts w:cs="Times New Roman"/>
          <w:color w:val="FF0000"/>
          <w:szCs w:val="24"/>
        </w:rPr>
        <w:t xml:space="preserve">DKPs.  </w:t>
      </w:r>
      <w:r w:rsidRPr="00B51707">
        <w:rPr>
          <w:rFonts w:cs="Times New Roman"/>
          <w:szCs w:val="24"/>
        </w:rPr>
        <w:t>DKPs have been identified in many marine organisms, including algae-associated bacteria and fungi, but their impact on algae growth has not been well explored</w:t>
      </w:r>
      <w:r>
        <w:rPr>
          <w:rFonts w:cs="Times New Roman"/>
          <w:szCs w:val="24"/>
        </w:rPr>
        <w:t xml:space="preserve"> </w:t>
      </w:r>
      <w:r>
        <w:rPr>
          <w:rFonts w:cs="Times New Roman"/>
          <w:szCs w:val="24"/>
        </w:rPr>
        <w:fldChar w:fldCharType="begin"/>
      </w:r>
      <w:r>
        <w:rPr>
          <w:rFonts w:cs="Times New Roman"/>
          <w:szCs w:val="24"/>
        </w:rPr>
        <w:instrText xml:space="preserve"> ADDIN ZOTERO_ITEM CSL_CITATION {"citationID":"yRRbfl0p","properties":{"formattedCitation":"(Song et al., 2021)","plainCitation":"(Song et al., 2021)","noteIndex":0},"citationItems":[{"id":9407,"uris":["http://zotero.org/users/764524/items/3HB6NMPH"],"itemData":{"id":9407,"type":"article-journal","abstract":"Diketopiperazines are potential structures with extensive biological functions, which have attracted much attention of natural product researchers for a long time. These compounds possess a stable six-membered ring, which is an important pharmacophore. The marine organisms have especially been proven to be a wide source for discovering diketopiperazine derivatives. In recent years, more and more interesting bioactive diketopiperazines had been found from various marine habitats. This review article is focused on the new 2,5-diketopiperazines derived from marine organisms (sponges and microorganisms) reported from the secondary half-year of 2014 to the first half of the year of 2021. We will comment their chemical structures, biological activities and sources. The objective is to assess the merit of these compounds for further study in the field of drug discovery.","container-title":"Marine Drugs","DOI":"10.3390/md19080403","ISSN":"1660-3397","issue":"8","journalAbbreviation":"Mar. Drugs","note":"PMID: 34436242\nPMCID: PMC8398661","page":"403","source":"PubMed Central","title":"Structures and Biological Activities of Diketopiperazines from Marine Organisms: A Review","title-short":"Structures and Biological Activities of Diketopiperazines from Marine Organisms","volume":"19","author":[{"family":"Song","given":"Zhiqiang"},{"family":"Hou","given":"Yage"},{"family":"Yang","given":"Qingrong"},{"family":"Li","given":"Xinpeng"},{"family":"Wu","given":"Shaohua"}],"issued":{"date-parts":[["2021",7,21]]}}}],"schema":"https://github.com/citation-style-language/schema/raw/master/csl-citation.json"} </w:instrText>
      </w:r>
      <w:r>
        <w:rPr>
          <w:rFonts w:cs="Times New Roman"/>
          <w:szCs w:val="24"/>
        </w:rPr>
        <w:fldChar w:fldCharType="separate"/>
      </w:r>
      <w:r w:rsidRPr="00CB7EF3">
        <w:rPr>
          <w:rFonts w:cs="Times New Roman"/>
        </w:rPr>
        <w:t>(Song et al., 2021)</w:t>
      </w:r>
      <w:r>
        <w:rPr>
          <w:rFonts w:cs="Times New Roman"/>
          <w:szCs w:val="24"/>
        </w:rPr>
        <w:fldChar w:fldCharType="end"/>
      </w:r>
      <w:r w:rsidRPr="00B51707">
        <w:rPr>
          <w:rFonts w:cs="Times New Roman"/>
          <w:szCs w:val="24"/>
        </w:rPr>
        <w:t>.</w:t>
      </w:r>
      <w:r w:rsidRPr="00833CE8">
        <w:rPr>
          <w:rFonts w:cs="Times New Roman"/>
          <w:szCs w:val="24"/>
        </w:rPr>
        <w:t xml:space="preserve">  </w:t>
      </w:r>
    </w:p>
    <w:p w14:paraId="01B85F5A" w14:textId="77777777" w:rsidR="006A2B4C" w:rsidRPr="00833CE8" w:rsidRDefault="006A2B4C" w:rsidP="006A2B4C">
      <w:pPr>
        <w:snapToGrid w:val="0"/>
        <w:spacing w:line="360" w:lineRule="auto"/>
        <w:ind w:firstLine="284"/>
        <w:jc w:val="both"/>
        <w:rPr>
          <w:rFonts w:cs="Times New Roman"/>
          <w:szCs w:val="24"/>
        </w:rPr>
      </w:pPr>
    </w:p>
    <w:p w14:paraId="216D1B12" w14:textId="0E8ABD06" w:rsidR="006A2B4C" w:rsidRPr="006A2B4C" w:rsidRDefault="006A2B4C" w:rsidP="006A2B4C">
      <w:pPr>
        <w:pStyle w:val="ListParagraph"/>
        <w:numPr>
          <w:ilvl w:val="2"/>
          <w:numId w:val="9"/>
        </w:numPr>
        <w:snapToGrid w:val="0"/>
        <w:spacing w:line="360" w:lineRule="auto"/>
        <w:rPr>
          <w:rFonts w:cs="Times New Roman"/>
          <w:b/>
          <w:bCs/>
          <w:szCs w:val="24"/>
        </w:rPr>
      </w:pPr>
      <w:r>
        <w:rPr>
          <w:rFonts w:cs="Times New Roman"/>
          <w:b/>
          <w:bCs/>
          <w:szCs w:val="24"/>
        </w:rPr>
        <w:t>Biofilm</w:t>
      </w:r>
    </w:p>
    <w:p w14:paraId="27A6EB9D" w14:textId="6596C100" w:rsidR="006A2B4C" w:rsidRDefault="00816E89" w:rsidP="00483F08">
      <w:pPr>
        <w:snapToGrid w:val="0"/>
        <w:spacing w:line="360" w:lineRule="auto"/>
        <w:ind w:firstLine="284"/>
        <w:jc w:val="both"/>
        <w:rPr>
          <w:rFonts w:cs="Times New Roman"/>
          <w:b/>
          <w:bCs/>
          <w:szCs w:val="24"/>
        </w:rPr>
      </w:pPr>
      <w:r w:rsidRPr="00833CE8">
        <w:rPr>
          <w:rFonts w:cs="Times New Roman"/>
          <w:szCs w:val="24"/>
        </w:rPr>
        <w:t>B</w:t>
      </w:r>
      <w:r w:rsidR="00D010D7" w:rsidRPr="00833CE8">
        <w:rPr>
          <w:rFonts w:cs="Times New Roman"/>
          <w:szCs w:val="24"/>
        </w:rPr>
        <w:t xml:space="preserve">acteria in a biofilm have more efficient access to nutrients </w:t>
      </w:r>
      <w:r w:rsidRPr="00833CE8">
        <w:rPr>
          <w:rFonts w:cs="Times New Roman"/>
          <w:szCs w:val="24"/>
        </w:rPr>
        <w:t xml:space="preserve">from the microalgae </w:t>
      </w:r>
      <w:r w:rsidR="00D010D7" w:rsidRPr="00833CE8">
        <w:rPr>
          <w:rFonts w:cs="Times New Roman"/>
          <w:szCs w:val="24"/>
        </w:rPr>
        <w:t xml:space="preserve">when compared to planktonic bacteria.  </w:t>
      </w:r>
      <w:r w:rsidR="00FE3FE9">
        <w:rPr>
          <w:rFonts w:cs="Times New Roman"/>
          <w:szCs w:val="24"/>
        </w:rPr>
        <w:t>Although</w:t>
      </w:r>
      <w:r w:rsidR="00D010D7" w:rsidRPr="00833CE8">
        <w:rPr>
          <w:rFonts w:cs="Times New Roman"/>
          <w:szCs w:val="24"/>
        </w:rPr>
        <w:t xml:space="preserve"> biofilms encourage interactions between the microalgae and bacteria, biofilms also enhance QS that mediates the interactions </w:t>
      </w:r>
      <w:r w:rsidR="0024093B">
        <w:rPr>
          <w:rFonts w:cs="Times New Roman"/>
          <w:szCs w:val="24"/>
        </w:rPr>
        <w:t>among</w:t>
      </w:r>
      <w:r w:rsidR="00D010D7" w:rsidRPr="00833CE8">
        <w:rPr>
          <w:rFonts w:cs="Times New Roman"/>
          <w:szCs w:val="24"/>
        </w:rPr>
        <w:t xml:space="preserve"> bacterial cell</w:t>
      </w:r>
      <w:r w:rsidR="007A68CE" w:rsidRPr="00833CE8">
        <w:rPr>
          <w:rFonts w:cs="Times New Roman"/>
          <w:szCs w:val="24"/>
        </w:rPr>
        <w:t>s, which can lead to crosstalk.</w:t>
      </w:r>
      <w:r w:rsidR="00491B37" w:rsidRPr="00833CE8">
        <w:rPr>
          <w:rFonts w:cs="Times New Roman"/>
          <w:szCs w:val="24"/>
        </w:rPr>
        <w:t xml:space="preserve">  </w:t>
      </w:r>
      <w:r w:rsidRPr="00833CE8">
        <w:rPr>
          <w:rFonts w:cs="Times New Roman"/>
          <w:szCs w:val="24"/>
        </w:rPr>
        <w:t xml:space="preserve">The effect of biofilm formation could have impacts on the symbiotic relationship, and this may be not only important for marine diatoms, but also for new potential techniques in </w:t>
      </w:r>
      <w:r w:rsidR="00BD15EB" w:rsidRPr="00833CE8">
        <w:rPr>
          <w:rFonts w:cs="Times New Roman"/>
          <w:szCs w:val="24"/>
        </w:rPr>
        <w:t xml:space="preserve">industrial </w:t>
      </w:r>
      <w:r w:rsidRPr="00833CE8">
        <w:rPr>
          <w:rFonts w:cs="Times New Roman"/>
          <w:szCs w:val="24"/>
        </w:rPr>
        <w:t>co-cultures.</w:t>
      </w:r>
      <w:r w:rsidR="00587EDA">
        <w:rPr>
          <w:rFonts w:cs="Times New Roman"/>
          <w:szCs w:val="24"/>
        </w:rPr>
        <w:t xml:space="preserve">  </w:t>
      </w:r>
      <w:r w:rsidR="00E047A0">
        <w:rPr>
          <w:rFonts w:cs="Times New Roman"/>
          <w:szCs w:val="24"/>
        </w:rPr>
        <w:t xml:space="preserve">For example, extracellular polymers </w:t>
      </w:r>
      <w:r w:rsidR="00E047A0" w:rsidRPr="00E047A0">
        <w:rPr>
          <w:rFonts w:cs="Times New Roman"/>
          <w:szCs w:val="24"/>
        </w:rPr>
        <w:t>(EPS) in the biofilm</w:t>
      </w:r>
      <w:r w:rsidR="008F7D20" w:rsidRPr="00E047A0">
        <w:rPr>
          <w:rFonts w:cs="Times New Roman"/>
          <w:szCs w:val="24"/>
        </w:rPr>
        <w:t xml:space="preserve"> </w:t>
      </w:r>
      <w:r w:rsidR="00592E1A">
        <w:rPr>
          <w:rFonts w:cs="Times New Roman"/>
          <w:szCs w:val="24"/>
        </w:rPr>
        <w:t xml:space="preserve">secreted by bacteria or microalgae </w:t>
      </w:r>
      <w:r w:rsidR="00E047A0" w:rsidRPr="00E047A0">
        <w:rPr>
          <w:rFonts w:cs="Times New Roman"/>
          <w:szCs w:val="24"/>
        </w:rPr>
        <w:t xml:space="preserve">can </w:t>
      </w:r>
      <w:r w:rsidR="008F7D20" w:rsidRPr="00E047A0">
        <w:rPr>
          <w:rFonts w:cs="Times New Roman"/>
          <w:szCs w:val="24"/>
        </w:rPr>
        <w:t>protect the cells from toxicity</w:t>
      </w:r>
      <w:r w:rsidR="00592E1A">
        <w:rPr>
          <w:rFonts w:cs="Times New Roman"/>
          <w:szCs w:val="24"/>
        </w:rPr>
        <w:t xml:space="preserve"> as well as enhancing nutrient and gas exchange</w:t>
      </w:r>
      <w:r w:rsidR="008F7D20" w:rsidRPr="00E047A0">
        <w:rPr>
          <w:rFonts w:cs="Times New Roman"/>
          <w:szCs w:val="24"/>
        </w:rPr>
        <w:t xml:space="preserve"> </w:t>
      </w:r>
      <w:r w:rsidR="00592E1A">
        <w:rPr>
          <w:rFonts w:cs="Times New Roman"/>
          <w:b/>
          <w:bCs/>
          <w:szCs w:val="24"/>
        </w:rPr>
        <w:fldChar w:fldCharType="begin"/>
      </w:r>
      <w:r w:rsidR="00592E1A">
        <w:rPr>
          <w:rFonts w:cs="Times New Roman"/>
          <w:b/>
          <w:bCs/>
          <w:szCs w:val="24"/>
        </w:rPr>
        <w:instrText xml:space="preserve"> ADDIN ZOTERO_ITEM CSL_CITATION {"citationID":"9o1zZLHA","properties":{"unsorted":true,"formattedCitation":"(C. Wang et al., 2022b; Cheah and Chan, 2021)","plainCitation":"(C. Wang et al., 2022b; Cheah and Chan, 2021)","noteIndex":0},"citationItems":[{"id":9423,"uris":["http://zotero.org/users/764524/items/6QYSTSAF"],"itemData":{"id":9423,"type":"article-journal","abstract":"Considering the water shortage, one of the reliable sources of water available is wastewater. Traditional methods of pollutants from wastewater treatment do not always meet the goals of resource sustainability. Using microalgae to treat pollutants from different wastewater is feasible, and microalgae biofilm technology is expected to alleviate the above shortcomings. This review mainly focuses on the algal biofilm structure and discusses the effects of light, substrate, temperature, and other possible factors on biofilms formation. Biomass dispersed in liquid media can be easily harvested by scraping microalgal biofilm systems that recover microalgae. Algae-bacteria biofilms can actually provide self-sustaining oxygen supply while removing organic matter, heavy metals, and antibiotics, thereby greatly reducing the cost of microalgae cultivation. The symbiosis of microalgae and bacteria is conducive to the formation of algal biofilms, which has greater environmental and economic benefits than monocultures. Therefore, microalgae biofilm can offer a significant theoretical reference for resource utilization from wastewater biofilm treatment.","container-title":"Algal Research","DOI":"10.1016/j.algal.2022.102849","ISSN":"2211-9264","journalAbbreviation":"Algal Res.","page":"102849","source":"ScienceDirect","title":"The intrinsic characteristics of microalgae biofilm and their potential applications in pollutants removal — A review","volume":"68","author":[{"family":"Wang","given":"Chun"},{"family":"Tan","given":"Yinghong"},{"family":"Zhu","given":"Lifang"},{"family":"Zhou","given":"Chengxu"},{"family":"Yan","given":"Xiaojun"},{"family":"Xu","given":"Qingshan"},{"family":"Ruan","given":"Roger"},{"family":"Cheng","given":"Pengfei"}],"issued":{"date-parts":[["2022",11,1]]}}},{"id":9424,"uris":["http://zotero.org/users/764524/items/DU5VA3GY"],"itemData":{"id":9424,"type":"article-journal","abstract":"In view of high energy cost and water consumption in microalgae cultivation, microalgal-biofilm-based cultivation system has been advocated as a solution toward a more sustainable and resource friendlier system for microalgal biomass production. Algal-derived extracellular polymeric substances (EPS) form cohesive network to interconnect the cells and substrates; however, their interactions within the biofilm are poorly understood. This scenario impedes the biofilm process development toward resource recovery. Herein, this review elucidates on various biofilm cultivation modes and contribution of EPS toward biofilm adhesion. Immobilized microalgae can be envisioned by the colloid interactions in terms of a balance of both dispersive and polar interactions among three interfaces (cells, mediums and substrates). Last portion of this review is dedicated to the future perspectives and challenges on the EPS; with regard to the biopolymers extraction, biopolymers’ functional description and cross-referencing between model biofilms and full-scale biofilm systems are evaluated. This review will serve as an informative reference for readers having interest in microalgal biofilm phenomenon by incorporating the three main players in attached cultivation systems: microalgae, EPS and supporting materials. The ability to mass produce these miniature cellular biochemical factories via immobilized biofilm technology will lay the groundwork for a more sustainable and feasible production.","container-title":"Bioengineered","DOI":"10.1080/21655979.2021.1980671","ISSN":"2165-5979","issue":"1","note":"publisher: Taylor &amp; Francis\n_eprint: https://doi.org/10.1080/21655979.2021.1980671\nPMID: 34605338","page":"7577-7599","source":"Taylor and Francis+NEJM","title":"Physiology of microalgal biofilm: a review on prediction of adhesion on substrates","title-short":"Physiology of microalgal biofilm","volume":"12","author":[{"family":"Cheah","given":"Yi Tong"},{"family":"Chan","given":"Derek Juinn Chieh"}],"issued":{"date-parts":[["2021",1,1]]}}}],"schema":"https://github.com/citation-style-language/schema/raw/master/csl-citation.json"} </w:instrText>
      </w:r>
      <w:r w:rsidR="00592E1A">
        <w:rPr>
          <w:rFonts w:cs="Times New Roman"/>
          <w:b/>
          <w:bCs/>
          <w:szCs w:val="24"/>
        </w:rPr>
        <w:fldChar w:fldCharType="separate"/>
      </w:r>
      <w:r w:rsidR="00592E1A" w:rsidRPr="00AD4FC1">
        <w:rPr>
          <w:rFonts w:cs="Times New Roman"/>
        </w:rPr>
        <w:t>(C. Wang et al., 2022b; Cheah and Chan, 2021)</w:t>
      </w:r>
      <w:r w:rsidR="00592E1A">
        <w:rPr>
          <w:rFonts w:cs="Times New Roman"/>
          <w:b/>
          <w:bCs/>
          <w:szCs w:val="24"/>
        </w:rPr>
        <w:fldChar w:fldCharType="end"/>
      </w:r>
      <w:r w:rsidR="00592E1A" w:rsidRPr="00892BDC">
        <w:rPr>
          <w:rFonts w:cs="Times New Roman"/>
          <w:b/>
          <w:bCs/>
          <w:szCs w:val="24"/>
        </w:rPr>
        <w:t xml:space="preserve">    </w:t>
      </w:r>
      <w:r w:rsidR="008F7D20" w:rsidRPr="00E047A0">
        <w:rPr>
          <w:rFonts w:cs="Times New Roman"/>
          <w:szCs w:val="24"/>
        </w:rPr>
        <w:t xml:space="preserve"> Also, biofilms </w:t>
      </w:r>
      <w:r w:rsidR="00E047A0">
        <w:rPr>
          <w:rFonts w:cs="Times New Roman"/>
          <w:szCs w:val="24"/>
        </w:rPr>
        <w:t xml:space="preserve">have the potential to be more cost-effective </w:t>
      </w:r>
      <w:r w:rsidR="008F7D20" w:rsidRPr="00E047A0">
        <w:rPr>
          <w:rFonts w:cs="Times New Roman"/>
          <w:szCs w:val="24"/>
        </w:rPr>
        <w:t xml:space="preserve">than suspension systems while improving </w:t>
      </w:r>
      <w:r w:rsidR="00E047A0" w:rsidRPr="00E047A0">
        <w:rPr>
          <w:rFonts w:cs="Times New Roman"/>
          <w:szCs w:val="24"/>
        </w:rPr>
        <w:t xml:space="preserve">the overall </w:t>
      </w:r>
      <w:r w:rsidR="008F7D20" w:rsidRPr="00E047A0">
        <w:rPr>
          <w:rFonts w:cs="Times New Roman"/>
          <w:szCs w:val="24"/>
        </w:rPr>
        <w:t xml:space="preserve">biomass production.  However, due to </w:t>
      </w:r>
      <w:r w:rsidR="001D767C">
        <w:rPr>
          <w:rFonts w:cs="Times New Roman"/>
          <w:szCs w:val="24"/>
        </w:rPr>
        <w:t xml:space="preserve">the </w:t>
      </w:r>
      <w:r w:rsidR="008F7D20" w:rsidRPr="00E047A0">
        <w:rPr>
          <w:rFonts w:cs="Times New Roman"/>
          <w:szCs w:val="24"/>
        </w:rPr>
        <w:t>complexity of the interactions in biofilms</w:t>
      </w:r>
      <w:r w:rsidR="00E047A0" w:rsidRPr="00E047A0">
        <w:rPr>
          <w:rFonts w:cs="Times New Roman"/>
          <w:szCs w:val="24"/>
        </w:rPr>
        <w:t>, these systems are more difficult to optimize</w:t>
      </w:r>
      <w:r w:rsidR="008F7D20" w:rsidRPr="00E047A0">
        <w:rPr>
          <w:rFonts w:cs="Times New Roman"/>
          <w:szCs w:val="24"/>
        </w:rPr>
        <w:t xml:space="preserve">, </w:t>
      </w:r>
      <w:r w:rsidR="00E047A0" w:rsidRPr="00E047A0">
        <w:rPr>
          <w:rFonts w:cs="Times New Roman"/>
          <w:szCs w:val="24"/>
        </w:rPr>
        <w:t xml:space="preserve">and therefore </w:t>
      </w:r>
      <w:r w:rsidR="008F7D20" w:rsidRPr="00E047A0">
        <w:rPr>
          <w:rFonts w:cs="Times New Roman"/>
          <w:szCs w:val="24"/>
        </w:rPr>
        <w:t>suspension systems have been more commonly</w:t>
      </w:r>
      <w:r w:rsidR="00E047A0" w:rsidRPr="00E047A0">
        <w:rPr>
          <w:rFonts w:cs="Times New Roman"/>
          <w:szCs w:val="24"/>
        </w:rPr>
        <w:t xml:space="preserve"> used</w:t>
      </w:r>
      <w:r w:rsidR="00E047A0">
        <w:rPr>
          <w:rFonts w:cs="Times New Roman"/>
          <w:szCs w:val="24"/>
        </w:rPr>
        <w:t xml:space="preserve"> </w:t>
      </w:r>
      <w:r w:rsidR="00E047A0">
        <w:rPr>
          <w:rFonts w:cs="Times New Roman"/>
          <w:b/>
          <w:bCs/>
          <w:szCs w:val="24"/>
        </w:rPr>
        <w:fldChar w:fldCharType="begin"/>
      </w:r>
      <w:r w:rsidR="00592E1A">
        <w:rPr>
          <w:rFonts w:cs="Times New Roman"/>
          <w:b/>
          <w:bCs/>
          <w:szCs w:val="24"/>
        </w:rPr>
        <w:instrText xml:space="preserve"> ADDIN ZOTERO_ITEM CSL_CITATION {"citationID":"Xzj47i9a","properties":{"unsorted":true,"formattedCitation":"(C. Wang et al., 2022b)","plainCitation":"(C. Wang et al., 2022b)","noteIndex":0},"citationItems":[{"id":9423,"uris":["http://zotero.org/users/764524/items/6QYSTSAF"],"itemData":{"id":9423,"type":"article-journal","abstract":"Considering the water shortage, one of the reliable sources of water available is wastewater. Traditional methods of pollutants from wastewater treatment do not always meet the goals of resource sustainability. Using microalgae to treat pollutants from different wastewater is feasible, and microalgae biofilm technology is expected to alleviate the above shortcomings. This review mainly focuses on the algal biofilm structure and discusses the effects of light, substrate, temperature, and other possible factors on biofilms formation. Biomass dispersed in liquid media can be easily harvested by scraping microalgal biofilm systems that recover microalgae. Algae-bacteria biofilms can actually provide self-sustaining oxygen supply while removing organic matter, heavy metals, and antibiotics, thereby greatly reducing the cost of microalgae cultivation. The symbiosis of microalgae and bacteria is conducive to the formation of algal biofilms, which has greater environmental and economic benefits than monocultures. Therefore, microalgae biofilm can offer a significant theoretical reference for resource utilization from wastewater biofilm treatment.","container-title":"Algal Research","DOI":"10.1016/j.algal.2022.102849","ISSN":"2211-9264","journalAbbreviation":"Algal Res.","page":"102849","source":"ScienceDirect","title":"The intrinsic characteristics of microalgae biofilm and their potential applications in pollutants removal — A review","volume":"68","author":[{"family":"Wang","given":"Chun"},{"family":"Tan","given":"Yinghong"},{"family":"Zhu","given":"Lifang"},{"family":"Zhou","given":"Chengxu"},{"family":"Yan","given":"Xiaojun"},{"family":"Xu","given":"Qingshan"},{"family":"Ruan","given":"Roger"},{"family":"Cheng","given":"Pengfei"}],"issued":{"date-parts":[["2022",11,1]]}}}],"schema":"https://github.com/citation-style-language/schema/raw/master/csl-citation.json"} </w:instrText>
      </w:r>
      <w:r w:rsidR="00E047A0">
        <w:rPr>
          <w:rFonts w:cs="Times New Roman"/>
          <w:b/>
          <w:bCs/>
          <w:szCs w:val="24"/>
        </w:rPr>
        <w:fldChar w:fldCharType="separate"/>
      </w:r>
      <w:r w:rsidR="00592E1A" w:rsidRPr="00592E1A">
        <w:rPr>
          <w:rFonts w:cs="Times New Roman"/>
        </w:rPr>
        <w:t>(C. Wang et al., 2022b)</w:t>
      </w:r>
      <w:r w:rsidR="00E047A0">
        <w:rPr>
          <w:rFonts w:cs="Times New Roman"/>
          <w:b/>
          <w:bCs/>
          <w:szCs w:val="24"/>
        </w:rPr>
        <w:fldChar w:fldCharType="end"/>
      </w:r>
      <w:r w:rsidR="00592E1A" w:rsidRPr="00592E1A">
        <w:rPr>
          <w:rFonts w:cs="Times New Roman"/>
          <w:szCs w:val="24"/>
        </w:rPr>
        <w:t>.</w:t>
      </w:r>
    </w:p>
    <w:p w14:paraId="3BCBE2F4" w14:textId="77777777" w:rsidR="006A2B4C" w:rsidRDefault="006A2B4C" w:rsidP="00483F08">
      <w:pPr>
        <w:snapToGrid w:val="0"/>
        <w:spacing w:line="360" w:lineRule="auto"/>
        <w:ind w:firstLine="284"/>
        <w:jc w:val="both"/>
        <w:rPr>
          <w:rFonts w:cs="Times New Roman"/>
          <w:b/>
          <w:bCs/>
          <w:szCs w:val="24"/>
        </w:rPr>
      </w:pPr>
    </w:p>
    <w:p w14:paraId="6253F4BD" w14:textId="6BA46D8A" w:rsidR="006A2B4C" w:rsidRPr="006A2B4C" w:rsidRDefault="006A2B4C" w:rsidP="006A2B4C">
      <w:pPr>
        <w:pStyle w:val="ListParagraph"/>
        <w:numPr>
          <w:ilvl w:val="2"/>
          <w:numId w:val="9"/>
        </w:numPr>
        <w:snapToGrid w:val="0"/>
        <w:spacing w:line="360" w:lineRule="auto"/>
        <w:rPr>
          <w:rFonts w:cs="Times New Roman"/>
          <w:b/>
          <w:bCs/>
          <w:szCs w:val="24"/>
        </w:rPr>
      </w:pPr>
      <w:r>
        <w:rPr>
          <w:rFonts w:cs="Times New Roman"/>
          <w:b/>
          <w:bCs/>
          <w:szCs w:val="24"/>
        </w:rPr>
        <w:t>Gene Transfer</w:t>
      </w:r>
    </w:p>
    <w:p w14:paraId="56C9381C" w14:textId="30AEF6B8" w:rsidR="00E11422" w:rsidRDefault="00E60907" w:rsidP="00483F08">
      <w:pPr>
        <w:snapToGrid w:val="0"/>
        <w:spacing w:line="360" w:lineRule="auto"/>
        <w:ind w:firstLine="284"/>
        <w:jc w:val="both"/>
        <w:rPr>
          <w:rFonts w:cs="Times New Roman"/>
          <w:szCs w:val="24"/>
          <w:lang w:eastAsia="zh-CN"/>
        </w:rPr>
      </w:pPr>
      <w:r>
        <w:rPr>
          <w:rFonts w:cs="Times New Roman"/>
          <w:szCs w:val="24"/>
          <w:lang w:eastAsia="zh-CN"/>
        </w:rPr>
        <w:t xml:space="preserve">It has also been </w:t>
      </w:r>
      <w:r w:rsidR="001D767C">
        <w:rPr>
          <w:rFonts w:cs="Times New Roman"/>
          <w:szCs w:val="24"/>
          <w:lang w:eastAsia="zh-CN"/>
        </w:rPr>
        <w:t xml:space="preserve">found that </w:t>
      </w:r>
      <w:r w:rsidR="00984871" w:rsidRPr="00833CE8">
        <w:rPr>
          <w:rFonts w:cs="Times New Roman"/>
          <w:szCs w:val="24"/>
          <w:lang w:eastAsia="zh-CN"/>
        </w:rPr>
        <w:t xml:space="preserve">antibiotic resistance genes can be transferred from bacteria to eukaryotic cells via plasmids </w:t>
      </w:r>
      <w:r w:rsidR="00984871" w:rsidRPr="00833CE8">
        <w:rPr>
          <w:rFonts w:cs="Times New Roman"/>
          <w:szCs w:val="24"/>
          <w:lang w:eastAsia="zh-CN"/>
        </w:rPr>
        <w:fldChar w:fldCharType="begin"/>
      </w:r>
      <w:r w:rsidR="00CC5AD5">
        <w:rPr>
          <w:rFonts w:cs="Times New Roman"/>
          <w:szCs w:val="24"/>
          <w:lang w:eastAsia="zh-CN"/>
        </w:rPr>
        <w:instrText xml:space="preserve"> ADDIN ZOTERO_ITEM CSL_CITATION {"citationID":"llDdK15B","properties":{"formattedCitation":"(S. Li et al., 2023)","plainCitation":"(S. Li et al., 2023)","noteIndex":0},"citationItems":[{"id":4503,"uris":["http://zotero.org/users/764524/items/AZSX8WHT"],"itemData":{"id":4503,"type":"article-journal","abstract":"With the overuse of antibiotics, antibiotic resistance gene (ARG) prevalence is gradually increasing. ARGs are considered emerging contaminants that are broadly concentrated and dispersed in most aquatic environments. Recently, interest in microalgal-bacterial biotreatment of antibiotics has increased, as eukaryotes are not the primary target of antimicrobial drugs. Moreover, research has shown that microalgal-bacterial consortia can minimize the transmission of antibiotic resistance in the environment. Unfortunately, reviews surrounding the ARG migration mechanism in microalgal-bacterial consortia have not yet been performed. This review briefly introduces the migration of ARGs in aquatic environments. Additionally, an in-depth summary of horizontal gene transfer (HGT) between cyanobacteria and bacteria and from bacteria to eukaryotic microalgae is presented. Factors influencing gene transfer in microalgal-bacterial consortia are discussed systematically, including bacteriophage abundance, environmental conditions (temperature, pH, and nutrient availability), and other selective pressure conditions including nanomaterials, heavy metals, and pharmaceuticals and personal care products. Furthermore, considering that quorum sensing could be involved in DNA transformation by affecting secondary metabolites, current knowledge surrounding quorum sensing regulation of HGT of ARGs is summarized. In summary, this review gives valuable information to promote the development of practical and innovative techniques for ARG removal by microalgal-bacterial consortia.","container-title":"Science of The Total Environment","DOI":"10.1016/j.scitotenv.2023.166029","ISSN":"0048-9697","journalAbbreviation":"Sci. Total Environ.","page":"166029","source":"ScienceDirect","title":"Comprehensive insights into antibiotic resistance gene migration in microalgal-bacterial consortia: Mechanisms, factors, and perspectives","title-short":"Comprehensive insights into antibiotic resistance gene migration in microalgal-bacterial consortia","volume":"901","author":[{"family":"Li","given":"Shengnan"},{"family":"Li","given":"Xue"},{"family":"Chang","given":"Haixing"},{"family":"Zhong","given":"Nianbing"},{"family":"Ren","given":"Nanqi"},{"family":"Ho","given":"Shih-Hsin"}],"issued":{"date-parts":[["2023",11,25]]}}}],"schema":"https://github.com/citation-style-language/schema/raw/master/csl-citation.json"} </w:instrText>
      </w:r>
      <w:r w:rsidR="00984871" w:rsidRPr="00833CE8">
        <w:rPr>
          <w:rFonts w:cs="Times New Roman"/>
          <w:szCs w:val="24"/>
          <w:lang w:eastAsia="zh-CN"/>
        </w:rPr>
        <w:fldChar w:fldCharType="separate"/>
      </w:r>
      <w:r w:rsidR="009F150C" w:rsidRPr="00833CE8">
        <w:rPr>
          <w:rFonts w:cs="Times New Roman"/>
        </w:rPr>
        <w:t>(S. Li et al., 2023)</w:t>
      </w:r>
      <w:r w:rsidR="00984871" w:rsidRPr="00833CE8">
        <w:rPr>
          <w:rFonts w:cs="Times New Roman"/>
          <w:szCs w:val="24"/>
          <w:lang w:eastAsia="zh-CN"/>
        </w:rPr>
        <w:fldChar w:fldCharType="end"/>
      </w:r>
      <w:r w:rsidR="00984871" w:rsidRPr="00833CE8">
        <w:rPr>
          <w:rFonts w:cs="Times New Roman"/>
          <w:szCs w:val="24"/>
          <w:lang w:eastAsia="zh-CN"/>
        </w:rPr>
        <w:t xml:space="preserve">.  </w:t>
      </w:r>
      <w:r w:rsidR="00FF4D32" w:rsidRPr="00833CE8">
        <w:rPr>
          <w:rFonts w:cs="Times New Roman"/>
          <w:szCs w:val="24"/>
          <w:lang w:eastAsia="zh-CN"/>
        </w:rPr>
        <w:t xml:space="preserve">While the nature of horizontal gene transfer between prokaryotic and eukaryotic cells is still unclear, the potential </w:t>
      </w:r>
      <w:r w:rsidR="0090401F" w:rsidRPr="00833CE8">
        <w:rPr>
          <w:rFonts w:cs="Times New Roman"/>
          <w:szCs w:val="24"/>
          <w:lang w:eastAsia="zh-CN"/>
        </w:rPr>
        <w:t>impact</w:t>
      </w:r>
      <w:r w:rsidR="00D51374" w:rsidRPr="00833CE8">
        <w:rPr>
          <w:rFonts w:cs="Times New Roman"/>
          <w:szCs w:val="24"/>
          <w:lang w:eastAsia="zh-CN"/>
        </w:rPr>
        <w:t xml:space="preserve"> on algae-bacteria interactions should be investigated</w:t>
      </w:r>
      <w:r w:rsidR="0061293C" w:rsidRPr="00833CE8">
        <w:rPr>
          <w:rFonts w:cs="Times New Roman"/>
          <w:szCs w:val="24"/>
          <w:lang w:eastAsia="zh-CN"/>
        </w:rPr>
        <w:t>.</w:t>
      </w:r>
      <w:r w:rsidR="0090401F" w:rsidRPr="00833CE8">
        <w:rPr>
          <w:rFonts w:cs="Times New Roman"/>
          <w:szCs w:val="24"/>
          <w:lang w:eastAsia="zh-CN"/>
        </w:rPr>
        <w:t xml:space="preserve"> </w:t>
      </w:r>
      <w:r w:rsidR="00F01315">
        <w:rPr>
          <w:rFonts w:cs="Times New Roman"/>
          <w:szCs w:val="24"/>
          <w:lang w:eastAsia="zh-CN"/>
        </w:rPr>
        <w:t xml:space="preserve"> E</w:t>
      </w:r>
      <w:r w:rsidR="00802E6D" w:rsidRPr="00833CE8">
        <w:rPr>
          <w:rFonts w:cs="Times New Roman"/>
          <w:szCs w:val="24"/>
          <w:lang w:eastAsia="zh-CN"/>
        </w:rPr>
        <w:t xml:space="preserve">xtracellular vesicles containing miRNAs </w:t>
      </w:r>
      <w:r w:rsidR="006E491F" w:rsidRPr="00833CE8">
        <w:rPr>
          <w:rFonts w:cs="Times New Roman"/>
          <w:szCs w:val="24"/>
          <w:lang w:eastAsia="zh-CN"/>
        </w:rPr>
        <w:t xml:space="preserve">have been shown to be secreted as a mechanism to regulate growth and metabolism of </w:t>
      </w:r>
      <w:proofErr w:type="spellStart"/>
      <w:r w:rsidR="006E491F" w:rsidRPr="00833CE8">
        <w:rPr>
          <w:rFonts w:cs="Times New Roman"/>
          <w:i/>
          <w:iCs/>
          <w:szCs w:val="24"/>
          <w:lang w:eastAsia="zh-CN"/>
        </w:rPr>
        <w:t>Haematococcus</w:t>
      </w:r>
      <w:proofErr w:type="spellEnd"/>
      <w:r w:rsidR="006E491F" w:rsidRPr="00833CE8">
        <w:rPr>
          <w:rFonts w:cs="Times New Roman"/>
          <w:i/>
          <w:iCs/>
          <w:szCs w:val="24"/>
          <w:lang w:eastAsia="zh-CN"/>
        </w:rPr>
        <w:t xml:space="preserve"> </w:t>
      </w:r>
      <w:r w:rsidR="006E491F" w:rsidRPr="00833CE8">
        <w:rPr>
          <w:rFonts w:cs="Times New Roman"/>
          <w:szCs w:val="24"/>
          <w:lang w:eastAsia="zh-CN"/>
        </w:rPr>
        <w:t>microalgae</w:t>
      </w:r>
      <w:r w:rsidR="004479D5">
        <w:rPr>
          <w:rFonts w:cs="Times New Roman"/>
          <w:szCs w:val="24"/>
          <w:lang w:eastAsia="zh-CN"/>
        </w:rPr>
        <w:t>, as shown in Figure</w:t>
      </w:r>
      <w:r w:rsidR="00483F08">
        <w:rPr>
          <w:rFonts w:cs="Times New Roman"/>
          <w:szCs w:val="24"/>
          <w:lang w:eastAsia="zh-CN"/>
        </w:rPr>
        <w:t xml:space="preserve"> 6</w:t>
      </w:r>
      <w:r w:rsidR="006E491F" w:rsidRPr="00833CE8">
        <w:rPr>
          <w:rFonts w:cs="Times New Roman"/>
          <w:szCs w:val="24"/>
          <w:lang w:eastAsia="zh-CN"/>
        </w:rPr>
        <w:t xml:space="preserve"> </w:t>
      </w:r>
      <w:r w:rsidR="00BA6931" w:rsidRPr="00833CE8">
        <w:rPr>
          <w:rFonts w:cs="Times New Roman"/>
          <w:szCs w:val="24"/>
          <w:lang w:eastAsia="zh-CN"/>
        </w:rPr>
        <w:fldChar w:fldCharType="begin"/>
      </w:r>
      <w:r w:rsidR="00742839">
        <w:rPr>
          <w:rFonts w:cs="Times New Roman"/>
          <w:szCs w:val="24"/>
          <w:lang w:eastAsia="zh-CN"/>
        </w:rPr>
        <w:instrText xml:space="preserve"> ADDIN ZOTERO_ITEM CSL_CITATION {"citationID":"yfp5w5Ds","properties":{"formattedCitation":"(Hu et al., 2024)","plainCitation":"(Hu et al., 2024)","noteIndex":0},"citationItems":[{"id":4630,"uris":["http://zotero.org/users/764524/items/EM3RNGTT"],"itemData":{"id":4630,"type":"article-journal","abstract":"Microalgae-derived extracellular vesicles (EVs), which transfer their cargos to the extracellular environment to affect recipient cells, play important roles in microalgal growth and environmental adaptation. And, they are also considered as sustainable and renewable bioresources of delivery nanocarrier for bioactive molecules and/or artificial drug molecules. However, their molecular composition and functions remain poorly understood.","container-title":"Biotechnology for Biofuels and Bioproducts","DOI":"10.1186/s13068-024-02462-z","ISSN":"2731-3654","issue":"1","journalAbbreviation":"Biotechnol. Biofuels Bioprod.","page":"15","source":"BioMed Central","title":"Extracellular vesicles involved in growth regulation and metabolic modulation in &lt;i&gt;Haematococcus pluvialis&lt;/i&gt;","volume":"17","author":[{"family":"Hu","given":"Qunju"},{"family":"Hu","given":"Zhangli"},{"family":"Yan","given":"Xiaojun"},{"family":"Lu","given":"Jun"},{"family":"Wang","given":"Chaogang"}],"issued":{"date-parts":[["2024",1,28]]}}}],"schema":"https://github.com/citation-style-language/schema/raw/master/csl-citation.json"} </w:instrText>
      </w:r>
      <w:r w:rsidR="00BA6931" w:rsidRPr="00833CE8">
        <w:rPr>
          <w:rFonts w:cs="Times New Roman"/>
          <w:szCs w:val="24"/>
          <w:lang w:eastAsia="zh-CN"/>
        </w:rPr>
        <w:fldChar w:fldCharType="separate"/>
      </w:r>
      <w:r w:rsidR="009F150C" w:rsidRPr="00833CE8">
        <w:rPr>
          <w:rFonts w:cs="Times New Roman"/>
        </w:rPr>
        <w:t>(Hu et al., 2024)</w:t>
      </w:r>
      <w:r w:rsidR="00BA6931" w:rsidRPr="00833CE8">
        <w:rPr>
          <w:rFonts w:cs="Times New Roman"/>
          <w:szCs w:val="24"/>
          <w:lang w:eastAsia="zh-CN"/>
        </w:rPr>
        <w:fldChar w:fldCharType="end"/>
      </w:r>
      <w:r w:rsidR="00802E6D" w:rsidRPr="00833CE8">
        <w:rPr>
          <w:rFonts w:cs="Times New Roman"/>
          <w:szCs w:val="24"/>
          <w:lang w:eastAsia="zh-CN"/>
        </w:rPr>
        <w:t>.</w:t>
      </w:r>
      <w:r w:rsidR="00E11422">
        <w:rPr>
          <w:rFonts w:cs="Times New Roman"/>
          <w:szCs w:val="24"/>
          <w:lang w:eastAsia="zh-CN"/>
        </w:rPr>
        <w:t xml:space="preserve">  </w:t>
      </w:r>
      <w:r w:rsidR="00C413A4" w:rsidRPr="00833CE8">
        <w:rPr>
          <w:rFonts w:cs="Times New Roman"/>
          <w:szCs w:val="24"/>
          <w:lang w:eastAsia="zh-CN"/>
        </w:rPr>
        <w:t xml:space="preserve">Although these extracellular vesicles were </w:t>
      </w:r>
      <w:r w:rsidR="009E5A9A">
        <w:rPr>
          <w:rFonts w:cs="Times New Roman"/>
          <w:szCs w:val="24"/>
          <w:lang w:eastAsia="zh-CN"/>
        </w:rPr>
        <w:t>identified</w:t>
      </w:r>
      <w:r w:rsidR="00C413A4" w:rsidRPr="00833CE8">
        <w:rPr>
          <w:rFonts w:cs="Times New Roman"/>
          <w:szCs w:val="24"/>
          <w:lang w:eastAsia="zh-CN"/>
        </w:rPr>
        <w:t xml:space="preserve"> as a </w:t>
      </w:r>
      <w:r w:rsidR="00C413A4" w:rsidRPr="00833CE8">
        <w:rPr>
          <w:rFonts w:cs="Times New Roman"/>
          <w:szCs w:val="24"/>
          <w:lang w:eastAsia="zh-CN"/>
        </w:rPr>
        <w:lastRenderedPageBreak/>
        <w:t>mechanism for</w:t>
      </w:r>
      <w:r w:rsidR="00C413A4" w:rsidRPr="000407DC">
        <w:rPr>
          <w:rFonts w:cs="Times New Roman"/>
          <w:szCs w:val="24"/>
          <w:lang w:eastAsia="zh-CN"/>
        </w:rPr>
        <w:t xml:space="preserve"> signalling between microalgal cells,</w:t>
      </w:r>
      <w:r w:rsidR="004F1CEA" w:rsidRPr="000407DC">
        <w:rPr>
          <w:rFonts w:cs="Times New Roman"/>
          <w:szCs w:val="24"/>
          <w:lang w:eastAsia="zh-CN"/>
        </w:rPr>
        <w:t xml:space="preserve"> it </w:t>
      </w:r>
      <w:r w:rsidR="00C413A4" w:rsidRPr="000407DC">
        <w:rPr>
          <w:rFonts w:cs="Times New Roman"/>
          <w:szCs w:val="24"/>
          <w:lang w:eastAsia="zh-CN"/>
        </w:rPr>
        <w:t xml:space="preserve">remains to be seen what effect bacteria could have on </w:t>
      </w:r>
      <w:r w:rsidR="00E76D12" w:rsidRPr="00D2588F">
        <w:rPr>
          <w:rFonts w:cs="Times New Roman"/>
          <w:szCs w:val="24"/>
          <w:lang w:eastAsia="zh-CN"/>
        </w:rPr>
        <w:t>modulati</w:t>
      </w:r>
      <w:r w:rsidR="001D767C">
        <w:rPr>
          <w:rFonts w:cs="Times New Roman"/>
          <w:szCs w:val="24"/>
          <w:lang w:eastAsia="zh-CN"/>
        </w:rPr>
        <w:t>ng</w:t>
      </w:r>
      <w:r w:rsidR="00E76D12" w:rsidRPr="00D2588F">
        <w:rPr>
          <w:rFonts w:cs="Times New Roman"/>
          <w:szCs w:val="24"/>
          <w:lang w:eastAsia="zh-CN"/>
        </w:rPr>
        <w:t xml:space="preserve">  </w:t>
      </w:r>
      <w:r w:rsidR="00C413A4" w:rsidRPr="00D2588F">
        <w:rPr>
          <w:rFonts w:cs="Times New Roman"/>
          <w:szCs w:val="24"/>
          <w:lang w:eastAsia="zh-CN"/>
        </w:rPr>
        <w:t>this communication.</w:t>
      </w:r>
      <w:r w:rsidR="00F01315" w:rsidRPr="00D2588F">
        <w:rPr>
          <w:rFonts w:cs="Times New Roman"/>
          <w:szCs w:val="24"/>
          <w:lang w:eastAsia="zh-CN"/>
        </w:rPr>
        <w:t xml:space="preserve">  </w:t>
      </w:r>
      <w:r w:rsidR="009E5A9A" w:rsidRPr="00D2588F">
        <w:rPr>
          <w:rFonts w:cs="Times New Roman"/>
          <w:szCs w:val="24"/>
          <w:lang w:eastAsia="zh-CN"/>
        </w:rPr>
        <w:t>Extracellular vesicles have been demonstrated to play a role in c</w:t>
      </w:r>
      <w:r w:rsidR="005B1E0C" w:rsidRPr="00D2588F">
        <w:rPr>
          <w:rFonts w:cs="Times New Roman"/>
          <w:szCs w:val="24"/>
          <w:lang w:eastAsia="zh-CN"/>
        </w:rPr>
        <w:t>ross-species/kingdom communication</w:t>
      </w:r>
      <w:r w:rsidR="000407DC" w:rsidRPr="00D2588F">
        <w:rPr>
          <w:rFonts w:cs="Times New Roman"/>
          <w:szCs w:val="24"/>
          <w:lang w:eastAsia="zh-CN"/>
        </w:rPr>
        <w:t xml:space="preserve"> by transfer of</w:t>
      </w:r>
      <w:r w:rsidR="00E3599E" w:rsidRPr="00D2588F">
        <w:rPr>
          <w:rFonts w:cs="Times New Roman"/>
          <w:szCs w:val="24"/>
          <w:lang w:eastAsia="zh-CN"/>
        </w:rPr>
        <w:t xml:space="preserve"> </w:t>
      </w:r>
      <w:r w:rsidR="009E5A9A" w:rsidRPr="00D2588F">
        <w:rPr>
          <w:rFonts w:cs="Times New Roman"/>
          <w:szCs w:val="24"/>
          <w:lang w:eastAsia="zh-CN"/>
        </w:rPr>
        <w:t>algicidal compounds and DNA</w:t>
      </w:r>
      <w:r w:rsidR="00A207F6" w:rsidRPr="00D2588F">
        <w:rPr>
          <w:rFonts w:cs="Times New Roman"/>
          <w:szCs w:val="24"/>
          <w:lang w:eastAsia="zh-CN"/>
        </w:rPr>
        <w:t xml:space="preserve"> </w:t>
      </w:r>
      <w:r w:rsidR="00A207F6" w:rsidRPr="00D2588F">
        <w:rPr>
          <w:rFonts w:cs="Times New Roman"/>
          <w:szCs w:val="24"/>
          <w:lang w:eastAsia="zh-CN"/>
        </w:rPr>
        <w:fldChar w:fldCharType="begin"/>
      </w:r>
      <w:r w:rsidR="00A207F6" w:rsidRPr="00D2588F">
        <w:rPr>
          <w:rFonts w:cs="Times New Roman"/>
          <w:szCs w:val="24"/>
          <w:lang w:eastAsia="zh-CN"/>
        </w:rPr>
        <w:instrText xml:space="preserve"> ADDIN ZOTERO_ITEM CSL_CITATION {"citationID":"8AHuO7Gv","properties":{"formattedCitation":"(Li et al., 2024)","plainCitation":"(Li et al., 2024)","noteIndex":0},"citationItems":[{"id":9416,"uris":["http://zotero.org/users/764524/items/8YH6FU7Y"],"itemData":{"id":9416,"type":"article-journal","abstract":"Bacterial membrane vesicles (BMVs) are crucial biological vehicles for facilitating interspecies and interkingdom interactions. However, the extent and mechanisms of BMV involvement in bacterial-algal communication remain elusive. This study provides evidence of BMVs delivering cargos to targeted microalgae. Membrane vesicles (MVs) from Chitinimonas prasina LY03 demonstrated an algicidal profile similar to strain LY03. Further investigation revealed Tambjamine LY2, an effective algicidal compound, selectively packaged into LY03-MVs. Microscopic imaging demonstrated efficient delivery of Tambjamine LY2 to microalgae Heterosigma akashiwo and Thalassiosira pseudonana through membrane fusion. In addition, the study demonstrated the versatile cargo delivery capabilities of BMVs to algae, including the transfer of MV-carried nucleic acids into algal cells and the revival of growth in iron-depleted microalgae by MVs. Collectively, our findings reveal a previously unknown mechanism by which algicidal bacteria store hydrophobic algicidal compounds in MVs to trigger target microalgae death and highlight BMV potency in understanding and engineering bacterial-algae cross-talk.","container-title":"Science Advances","DOI":"10.1126/sciadv.adn4526","issue":"32","journalAbbreviation":"Sci. Adv.","note":"publisher: American Association for the Advancement of Science","page":"eadn4526","source":"science.org (Atypon)","title":"Algicidal bacteria-derived membrane vesicles as shuttles mediating cross-kingdom interactions between bacteria and algae","volume":"10","author":[{"family":"Li","given":"Yixin"},{"family":"Wang","given":"Yuezhou"},{"family":"Lin","given":"Xiaolan"},{"family":"Sun","given":"Shuqian"},{"family":"Wu","given":"Anan"},{"family":"Ge","given":"Yintong"},{"family":"Yuan","given":"Menghui"},{"family":"Wang","given":"Jianhua"},{"family":"Deng","given":"Xianming"},{"family":"Tian","given":"Yun"}],"issued":{"date-parts":[["2024",8,7]]}}}],"schema":"https://github.com/citation-style-language/schema/raw/master/csl-citation.json"} </w:instrText>
      </w:r>
      <w:r w:rsidR="00A207F6" w:rsidRPr="00D2588F">
        <w:rPr>
          <w:rFonts w:cs="Times New Roman"/>
          <w:szCs w:val="24"/>
          <w:lang w:eastAsia="zh-CN"/>
        </w:rPr>
        <w:fldChar w:fldCharType="separate"/>
      </w:r>
      <w:r w:rsidR="00A207F6" w:rsidRPr="00D2588F">
        <w:rPr>
          <w:rFonts w:cs="Times New Roman"/>
        </w:rPr>
        <w:t>(Li et al., 2024)</w:t>
      </w:r>
      <w:r w:rsidR="00A207F6" w:rsidRPr="00D2588F">
        <w:rPr>
          <w:rFonts w:cs="Times New Roman"/>
          <w:szCs w:val="24"/>
          <w:lang w:eastAsia="zh-CN"/>
        </w:rPr>
        <w:fldChar w:fldCharType="end"/>
      </w:r>
      <w:r w:rsidR="00385F56" w:rsidRPr="00D2588F">
        <w:rPr>
          <w:rFonts w:cs="Times New Roman"/>
          <w:szCs w:val="24"/>
          <w:lang w:eastAsia="zh-CN"/>
        </w:rPr>
        <w:t xml:space="preserve">. </w:t>
      </w:r>
      <w:r w:rsidR="00A207F6" w:rsidRPr="00D2588F">
        <w:rPr>
          <w:rFonts w:cs="Times New Roman"/>
          <w:szCs w:val="24"/>
          <w:lang w:eastAsia="zh-CN"/>
        </w:rPr>
        <w:t xml:space="preserve"> </w:t>
      </w:r>
      <w:r w:rsidR="00D2588F" w:rsidRPr="00D2588F">
        <w:rPr>
          <w:rFonts w:cs="Times New Roman"/>
          <w:szCs w:val="24"/>
          <w:lang w:eastAsia="zh-CN"/>
        </w:rPr>
        <w:t>A w</w:t>
      </w:r>
      <w:r w:rsidR="005735DC" w:rsidRPr="00D2588F">
        <w:rPr>
          <w:rFonts w:cs="Times New Roman"/>
          <w:szCs w:val="24"/>
          <w:lang w:eastAsia="zh-CN"/>
        </w:rPr>
        <w:t xml:space="preserve">ide </w:t>
      </w:r>
      <w:r w:rsidR="005D652A" w:rsidRPr="00D2588F">
        <w:rPr>
          <w:rFonts w:cs="Times New Roman"/>
          <w:szCs w:val="24"/>
          <w:lang w:eastAsia="zh-CN"/>
        </w:rPr>
        <w:t>range</w:t>
      </w:r>
      <w:r w:rsidR="005735DC" w:rsidRPr="00D2588F">
        <w:rPr>
          <w:rFonts w:cs="Times New Roman"/>
          <w:szCs w:val="24"/>
          <w:lang w:eastAsia="zh-CN"/>
        </w:rPr>
        <w:t xml:space="preserve"> of secondary metabolites </w:t>
      </w:r>
      <w:r w:rsidR="00D2588F" w:rsidRPr="00D2588F">
        <w:rPr>
          <w:rFonts w:cs="Times New Roman"/>
          <w:szCs w:val="24"/>
          <w:lang w:eastAsia="zh-CN"/>
        </w:rPr>
        <w:t xml:space="preserve">was observed </w:t>
      </w:r>
      <w:r w:rsidR="005735DC" w:rsidRPr="00D2588F">
        <w:rPr>
          <w:rFonts w:cs="Times New Roman"/>
          <w:szCs w:val="24"/>
          <w:lang w:eastAsia="zh-CN"/>
        </w:rPr>
        <w:t xml:space="preserve">in </w:t>
      </w:r>
      <w:r w:rsidR="00B06BE0" w:rsidRPr="00D2588F">
        <w:rPr>
          <w:rFonts w:cs="Times New Roman"/>
          <w:szCs w:val="24"/>
          <w:lang w:eastAsia="zh-CN"/>
        </w:rPr>
        <w:t xml:space="preserve">extracellular </w:t>
      </w:r>
      <w:r w:rsidR="005735DC" w:rsidRPr="00D2588F">
        <w:rPr>
          <w:rFonts w:cs="Times New Roman"/>
          <w:szCs w:val="24"/>
          <w:lang w:eastAsia="zh-CN"/>
        </w:rPr>
        <w:t>vesicles</w:t>
      </w:r>
      <w:r w:rsidR="00346F79" w:rsidRPr="00D2588F">
        <w:rPr>
          <w:rFonts w:cs="Times New Roman"/>
          <w:szCs w:val="24"/>
          <w:lang w:eastAsia="zh-CN"/>
        </w:rPr>
        <w:t xml:space="preserve"> </w:t>
      </w:r>
      <w:r w:rsidR="00B06BE0" w:rsidRPr="00D2588F">
        <w:rPr>
          <w:rFonts w:cs="Times New Roman"/>
          <w:szCs w:val="24"/>
          <w:lang w:eastAsia="zh-CN"/>
        </w:rPr>
        <w:t xml:space="preserve">produced by microalgae, which have been termed </w:t>
      </w:r>
      <w:proofErr w:type="spellStart"/>
      <w:r w:rsidR="00B06BE0" w:rsidRPr="00D2588F">
        <w:rPr>
          <w:rFonts w:cs="Times New Roman"/>
          <w:szCs w:val="24"/>
          <w:lang w:eastAsia="zh-CN"/>
        </w:rPr>
        <w:t>nanoalgosomes</w:t>
      </w:r>
      <w:proofErr w:type="spellEnd"/>
      <w:r w:rsidR="00B06BE0" w:rsidRPr="00D2588F">
        <w:rPr>
          <w:rFonts w:cs="Times New Roman"/>
          <w:szCs w:val="24"/>
          <w:lang w:eastAsia="zh-CN"/>
        </w:rPr>
        <w:t xml:space="preserve"> </w:t>
      </w:r>
      <w:r w:rsidR="00346F79" w:rsidRPr="00D2588F">
        <w:rPr>
          <w:rFonts w:cs="Times New Roman"/>
          <w:szCs w:val="24"/>
          <w:lang w:eastAsia="zh-CN"/>
        </w:rPr>
        <w:fldChar w:fldCharType="begin"/>
      </w:r>
      <w:r w:rsidR="00B06BE0" w:rsidRPr="00D2588F">
        <w:rPr>
          <w:rFonts w:cs="Times New Roman"/>
          <w:szCs w:val="24"/>
          <w:lang w:eastAsia="zh-CN"/>
        </w:rPr>
        <w:instrText xml:space="preserve"> ADDIN ZOTERO_ITEM CSL_CITATION {"citationID":"WTm7ZJa4","properties":{"formattedCitation":"(Adamo et al., 2021; Paterna et al., 2022; Picciotto et al., 2021)","plainCitation":"(Adamo et al., 2021; Paterna et al., 2022; Picciotto et al., 2021)","noteIndex":0},"citationItems":[{"id":9431,"uris":["http://zotero.org/users/764524/items/ICDWXDGT"],"itemData":{"id":9431,"type":"article-journal","abstract":"Abstract Cellular, inter-organismal and cross kingdom communication via extracellular vesicles (EVs) is intensively studied in basic science with high expectation for a large variety of bio-technological applications. EVs intrinsically possess many attributes of a drug delivery vehicle. Beyond the implications for basic cell biology, academic and industrial interests in EVs have increased in the last few years. Microalgae constitute sustainable and renewable sources of bioactive compounds with a range of sectoral applications, including the formulation of health supplements, cosmetic products and food ingredients. Here we describe a newly discovered subtype of EVs derived from microalgae, which we named nanoalgosomes. We isolated these extracellular nano-objects from cultures of microalgal strains, including the marine photosynthetic chlorophyte Tetraselmis chuii, using differential ultracentrifugation or tangential flow fractionation and focusing on the nanosized small EVs (sEVs). We explore different biochemical and physical properties and we show that nanoalgosomes are efficiently taken up by mammalian cell lines, confirming the cross kingdom communication potential of EVs. This is the first detailed description of such membranous nanovesicles from microalgae. With respect to EVs isolated from other organisms, nanoalgosomes present several advantages in that microalgae are a renewable and sustainable natural source, which could easily be scalable in terms of nanoalgosome production.","container-title":"Journal of Extracellular Vesicles","DOI":"10.1002/jev2.12081","ISSN":"2001-3078","issue":"6","journalAbbreviation":"J. Extracell. Vesicles","note":"publisher: John Wiley &amp; Sons, Ltd","page":"e12081","source":"isevjournals.onlinelibrary.wiley.com (Atypon)","title":"Nanoalgosomes: Introducing extracellular vesicles produced by microalgae","title-short":"Nanoalgosomes","volume":"10","author":[{"family":"Adamo","given":"Giorgia"},{"family":"Fierli","given":"David"},{"family":"Romancino","given":"Daniele P."},{"family":"Picciotto","given":"Sabrina"},{"family":"Barone","given":"Maria E."},{"family":"Aranyos","given":"Anita"},{"family":"Božič","given":"Darja"},{"family":"Morsbach","given":"Svenja"},{"family":"Raccosta","given":"Samuele"},{"family":"Stanly","given":"Christopher"},{"family":"Paganini","given":"Carolina"},{"family":"Gai","given":"Meiyu"},{"family":"Cusimano","given":"Antonella"},{"family":"Martorana","given":"Vincenzo"},{"family":"Noto","given":"Rosina"},{"family":"Carrotta","given":"Rita"},{"family":"Librizzi","given":"Fabio"},{"family":"Randazzo","given":"Loredana"},{"family":"Parkes","given":"Rachel"},{"family":"Capasso Palmiero","given":"Umberto"},{"family":"Rao","given":"Estella"},{"family":"Paterna","given":"Angela"},{"family":"Santonicola","given":"Pamela"},{"family":"Iglič","given":"Ales"},{"family":"Corcuera","given":"Laura"},{"family":"Kisslinger","given":"Annamaria"},{"family":"Schiavi","given":"Elia Di"},{"family":"Liguori","given":"Giovanna L."},{"family":"Landfester","given":"Katharina"},{"family":"Kralj-Iglič","given":"Veronika"},{"family":"Arosio","given":"Paolo"},{"family":"Pocsfalvi","given":"Gabriella"},{"family":"Touzet","given":"Nicolas"},{"family":"Manno","given":"Mauro"},{"family":"Bongiovanni","given":"Antonella"}],"issued":{"date-parts":[["2021",4]]}}},{"id":9372,"uris":["http://zotero.org/users/764524/items/4C3XU6AY"],"itemData":{"id":9372,"type":"article-journal","abstract":"&lt;p&gt;Extracellular vesicles (EVs) play a crucial role as potent signal transducers among cells, with the potential to operate cross-species and cross-kingdom communication. Nanoalgosomes are a subtype of EVs recently identified and isolated from microalgae. Microalgae represent a natural bioresource with the capacity to produce several secondary metabolites with a broad range of biological activities and commercial applications. The present study highlights the upstream and downstream processes required for the scalable production of nanoalgosomes from cultures of the marine microalgae &lt;italic&gt;Tetraselmis chuii&lt;/italic&gt;. Different technical parameters, protocols, and conditions were assessed to improve EVs isolation by tangential flow filtration (TFF), aiming to enhance sample purity and yield. The optimization of the overall bioprocess was enhanced by quality control checks operated through robust biophysical and biochemical characterizations. Further, we showed the possibility of recycling by TFF microalgae cells post-EVs isolation for multiple EV production cycles. The present results highlight the potential of nanoalgosome production as a scalable, cost-effective bioprocess suitable for diverse scientific and industrial exploitations.&lt;/p&gt;","container-title":"Frontiers in Bioengineering and Biotechnology","DOI":"10.3389/fbioe.2022.836747","ISSN":"2296-4185","journalAbbreviation":"Front. Bioeng. Biotechnol.","language":"English","note":"publisher: Frontiers","page":"836747","source":"Frontiers","title":"Isolation of Extracellular Vesicles From Microalgae: A Renewable and Scalable Bioprocess","title-short":"Isolation of Extracellular Vesicles From Microalgae","volume":"10","author":[{"family":"Paterna","given":"Angela"},{"family":"Rao","given":"Estella"},{"family":"Adamo","given":"Giorgia"},{"family":"Raccosta","given":"Samuele"},{"family":"Picciotto","given":"Sabrina"},{"family":"Romancino","given":"Daniele"},{"family":"Noto","given":"Rosina"},{"family":"Touzet","given":"Nicolas"},{"family":"Bongiovanni","given":"Antonella"},{"family":"Manno","given":"Mauro"}],"issued":{"date-parts":[["2022",3,14]]}}},{"id":9429,"uris":["http://zotero.org/users/764524/items/WNXMJCZQ"],"itemData":{"id":9429,"type":"article-journal","abstract":"Safe, efficient and specific nano-delivery systems are essential for current and emerging therapeutics, precision medicine and other biotechnology sectors. Novel bio-based nanotechnologies have recently arisen, which are based on the exploitation of extracellular vesicles (EVs). In this context, it has become essential to identify suitable organisms or cellular types to act as reliable sources of EVs and to develop their pilot- to large-scale production. The discovery of new biosources and the optimisation of related bioprocesses for the isolation and functionalisation of nano-delivery vehicles are fundamental to further develop therapeutic and biotechnological applications. Microalgae constitute sustainable sources of bioactive compounds with a range of sectorial applications including for example the formulation of health supplements, cosmetic products or food ingredients. In this study, we demonstrate that microalgae are promising producers of EVs. By analysing the nanosized extracellular nano-objects produced by eighteen microalgal species, we identified seven promising EV-producing strains belonging to distinct lineages, suggesting that the production of EVs in microalgae is an evolutionary conserved trait. Here we report the selection process and focus on one of this seven species, the glaucophyte Cyanophora paradoxa, which returned a protein yield in the small EV fraction of 1 μg of EV proteins per mg of dry weight of microalgal biomass (corresponding to 109 particles per mg of dried biomass) and EVs with a diameter of 130 nm (mode), as determined by the micro bicinchoninic acid assay, nanoparticle tracking and dynamic light scattering analyses. Moreover, the extracellular nanostructures isolated from the conditioned media of microalgae species returned positive immunoblot signals for some commonly used EV-biomarkers such as Alix, Enolase, HSP70, and β-actin. Overall, this work establishes a platform for the efficient production of EVs from a sustainable bioresource and highlights the potential of microalgal EVs as novel biogenic nanovehicles.","container-title":"Biomaterials Science","DOI":"10.1039/D0BM01696A","ISSN":"2047-4849","issue":"8","journalAbbreviation":"Biomater. Sci.","language":"en","note":"publisher: The Royal Society of Chemistry","page":"2917-2930","source":"pubs.rsc.org","title":"Isolation of extracellular vesicles from microalgae: towards the production of sustainable and natural nanocarriers of bioactive compounds","title-short":"Isolation of extracellular vesicles from microalgae","volume":"9","author":[{"family":"Picciotto","given":"Sabrina"},{"family":"Barone","given":"Maria E."},{"family":"Fierli","given":"David"},{"family":"Aranyos","given":"Anita"},{"family":"Adamo","given":"Giorgia"},{"family":"Božič","given":"Darja"},{"family":"Romancino","given":"Daniele P."},{"family":"Stanly","given":"Christopher"},{"family":"Parkes","given":"Rachel"},{"family":"Morsbach","given":"Svenja"},{"family":"Raccosta","given":"Samuele"},{"family":"Paganini","given":"Carolina"},{"family":"Cusimano","given":"Antonella"},{"family":"Martorana","given":"Vincenzo"},{"family":"Noto","given":"Rosina"},{"family":"Carrotta","given":"Rita"},{"family":"Librizzi","given":"Fabio"},{"family":"Palmiero","given":"Umberto Capasso"},{"family":"Santonicola","given":"Pamela"},{"family":"Iglič","given":"Ales"},{"family":"Gai","given":"Meiyu"},{"family":"Corcuera","given":"Laura"},{"family":"Kisslinger","given":"Annamaria"},{"family":"Schiavi","given":"Elia Di"},{"family":"Landfester","given":"Katharina"},{"family":"Liguori","given":"Giovanna L."},{"family":"Kralj-Iglič","given":"Veronika"},{"family":"Arosio","given":"Paolo"},{"family":"Pocsfalvi","given":"Gabriella"},{"family":"Manno","given":"Mauro"},{"family":"Touzet","given":"Nicolas"},{"family":"Bongiovanni","given":"Antonella"}],"issued":{"date-parts":[["2021",4,20]]}}}],"schema":"https://github.com/citation-style-language/schema/raw/master/csl-citation.json"} </w:instrText>
      </w:r>
      <w:r w:rsidR="00346F79" w:rsidRPr="00D2588F">
        <w:rPr>
          <w:rFonts w:cs="Times New Roman"/>
          <w:szCs w:val="24"/>
          <w:lang w:eastAsia="zh-CN"/>
        </w:rPr>
        <w:fldChar w:fldCharType="separate"/>
      </w:r>
      <w:r w:rsidR="00B06BE0" w:rsidRPr="00D2588F">
        <w:rPr>
          <w:rFonts w:cs="Times New Roman"/>
        </w:rPr>
        <w:t>(Adamo et al., 2021; Paterna et al., 2022; Picciotto et al., 2021)</w:t>
      </w:r>
      <w:r w:rsidR="00346F79" w:rsidRPr="00D2588F">
        <w:rPr>
          <w:rFonts w:cs="Times New Roman"/>
          <w:szCs w:val="24"/>
          <w:lang w:eastAsia="zh-CN"/>
        </w:rPr>
        <w:fldChar w:fldCharType="end"/>
      </w:r>
      <w:r w:rsidR="00B06BE0" w:rsidRPr="00D2588F">
        <w:rPr>
          <w:rFonts w:cs="Times New Roman"/>
          <w:szCs w:val="24"/>
          <w:lang w:eastAsia="zh-CN"/>
        </w:rPr>
        <w:t xml:space="preserve">.  </w:t>
      </w:r>
      <w:r w:rsidR="00E047A0" w:rsidRPr="00D2588F">
        <w:rPr>
          <w:rFonts w:cs="Times New Roman"/>
          <w:szCs w:val="24"/>
          <w:lang w:eastAsia="zh-CN"/>
        </w:rPr>
        <w:t xml:space="preserve">These vesicles have </w:t>
      </w:r>
      <w:r w:rsidR="005D652A" w:rsidRPr="00D2588F">
        <w:rPr>
          <w:rFonts w:cs="Times New Roman"/>
          <w:szCs w:val="24"/>
          <w:lang w:eastAsia="zh-CN"/>
        </w:rPr>
        <w:t xml:space="preserve">also shown potential for biocompatible drug carriers, with </w:t>
      </w:r>
      <w:r w:rsidR="00E047A0" w:rsidRPr="00D2588F">
        <w:rPr>
          <w:rFonts w:cs="Times New Roman"/>
          <w:szCs w:val="24"/>
          <w:lang w:eastAsia="zh-CN"/>
        </w:rPr>
        <w:t xml:space="preserve">the advantage of having </w:t>
      </w:r>
      <w:r w:rsidR="005D652A" w:rsidRPr="00D2588F">
        <w:rPr>
          <w:rFonts w:cs="Times New Roman"/>
          <w:szCs w:val="24"/>
          <w:lang w:eastAsia="zh-CN"/>
        </w:rPr>
        <w:t>antioxidant and anti-</w:t>
      </w:r>
      <w:r w:rsidR="00A207F6" w:rsidRPr="00D2588F">
        <w:rPr>
          <w:rFonts w:cs="Times New Roman"/>
          <w:szCs w:val="24"/>
          <w:lang w:eastAsia="zh-CN"/>
        </w:rPr>
        <w:t>inflammatory</w:t>
      </w:r>
      <w:r w:rsidR="005D652A" w:rsidRPr="00D2588F">
        <w:rPr>
          <w:rFonts w:cs="Times New Roman"/>
          <w:szCs w:val="24"/>
          <w:lang w:eastAsia="zh-CN"/>
        </w:rPr>
        <w:t xml:space="preserve"> properties </w:t>
      </w:r>
      <w:r w:rsidR="005D652A" w:rsidRPr="00D2588F">
        <w:rPr>
          <w:rFonts w:cs="Times New Roman"/>
          <w:szCs w:val="24"/>
          <w:lang w:eastAsia="zh-CN"/>
        </w:rPr>
        <w:fldChar w:fldCharType="begin"/>
      </w:r>
      <w:r w:rsidR="00742839">
        <w:rPr>
          <w:rFonts w:cs="Times New Roman"/>
          <w:szCs w:val="24"/>
          <w:lang w:eastAsia="zh-CN"/>
        </w:rPr>
        <w:instrText xml:space="preserve"> ADDIN ZOTERO_ITEM CSL_CITATION {"citationID":"ipjsDSep","properties":{"formattedCitation":"(Adamo et al., 2024)","plainCitation":"(Adamo et al., 2024)","noteIndex":0},"citationItems":[{"id":9374,"uris":["http://zotero.org/users/764524/items/65UJRR4S"],"itemData":{"id":9374,"type":"article-journal","abstract":"Extracellular vesicles (EVs) are membrane-enclosed bio-nanoparticles secreted by cells and naturally evolved to transport various bioactive molecules between cells and even organisms. These cellular objects are considered one of the most promising bio-nanovehicles for the delivery of native and exogenous molecular cargo. However, many challenges with state-of-the-art EV-based candidates as drug carriers still exist, including issues with scalability, batch-to-batch reproducibility, and cost-sustainability of the final therapeutic formulation. Microalgal extracellular vesicles, which we named nanoalgosomes, are naturally released by various microalgal species. Here, we evaluate the innate biological properties of nanoalgosomes derived from cultures of the marine microalgae Tetraselmis chuii, using an optimized manufacturing protocol. Our investigation of nanoalgosome biocompatibility in preclinical models includes toxicological analyses, using the invertebrate model organism Caenorhabditis elegans, hematological and immunological evaluations ex vivo and in mice. We evaluate nanoalgosome cellular uptake mechanisms in C. elegans at cellular and subcellular levels, and study their biodistribution in mice with accurate space-time resolution. Further examination highlights the antioxidant and anti-inflammatory bioactivities of nanoalgosomes. This holistic approach to nanoalgosome functional characterization demonstrates that they are biocompatible and innate bioactive effectors with unique bone tropism. These findings suggest that nanoalgosomes have significant potential for future therapeutic applications.","container-title":"Communications Biology","DOI":"10.1038/s42003-024-06612-9","ISSN":"2399-3642","issue":"1","journalAbbreviation":"Commun. Biol.","language":"en","license":"2024 The Author(s)","note":"publisher: Nature Publishing Group","page":"1-17","source":"www.nature.com","title":"Extracellular vesicles from the microalga &lt;i&gt;Tetraselmis chuii&lt;/i&gt; are biocompatible and exhibit unique bone tropism along with antioxidant and anti-inflammatory properties","volume":"7","author":[{"family":"Adamo","given":"Giorgia"},{"family":"Santonicola","given":"Pamela"},{"family":"Picciotto","given":"Sabrina"},{"family":"Gargano","given":"Paola"},{"family":"Nicosia","given":"Aldo"},{"family":"Longo","given":"Valeria"},{"family":"Aloi","given":"Noemi"},{"family":"Romancino","given":"Daniele P."},{"family":"Paterna","given":"Angela"},{"family":"Rao","given":"Estella"},{"family":"Raccosta","given":"Samuele"},{"family":"Noto","given":"Rosina"},{"family":"Salamone","given":"Monica"},{"family":"Deidda","given":"Irene"},{"family":"Costa","given":"Salvatore"},{"family":"Di Sano","given":"Caterina"},{"family":"Zampi","given":"Giuseppina"},{"family":"Morsbach","given":"Svenja"},{"family":"Landfester","given":"Katharina"},{"family":"Colombo","given":"Paolo"},{"family":"Wei","given":"Mingxing"},{"family":"Bergese","given":"Paolo"},{"family":"Touzet","given":"Nicolas"},{"family":"Manno","given":"Mauro"},{"family":"Di Schiavi","given":"Elia"},{"family":"Bongiovanni","given":"Antonella"}],"issued":{"date-parts":[["2024",8,3]]}}}],"schema":"https://github.com/citation-style-language/schema/raw/master/csl-citation.json"} </w:instrText>
      </w:r>
      <w:r w:rsidR="005D652A" w:rsidRPr="00D2588F">
        <w:rPr>
          <w:rFonts w:cs="Times New Roman"/>
          <w:szCs w:val="24"/>
          <w:lang w:eastAsia="zh-CN"/>
        </w:rPr>
        <w:fldChar w:fldCharType="separate"/>
      </w:r>
      <w:r w:rsidR="005D652A" w:rsidRPr="00D2588F">
        <w:rPr>
          <w:rFonts w:cs="Times New Roman"/>
        </w:rPr>
        <w:t>(Adamo et al., 2024)</w:t>
      </w:r>
      <w:r w:rsidR="005D652A" w:rsidRPr="00D2588F">
        <w:rPr>
          <w:rFonts w:cs="Times New Roman"/>
          <w:szCs w:val="24"/>
          <w:lang w:eastAsia="zh-CN"/>
        </w:rPr>
        <w:fldChar w:fldCharType="end"/>
      </w:r>
      <w:r w:rsidR="00CA0CF2" w:rsidRPr="00D2588F">
        <w:rPr>
          <w:rFonts w:cs="Times New Roman"/>
          <w:szCs w:val="24"/>
          <w:lang w:eastAsia="zh-CN"/>
        </w:rPr>
        <w:t>.</w:t>
      </w:r>
      <w:r w:rsidR="005E001F" w:rsidRPr="00D2588F">
        <w:rPr>
          <w:rFonts w:cs="Times New Roman"/>
          <w:szCs w:val="24"/>
          <w:lang w:eastAsia="zh-CN"/>
        </w:rPr>
        <w:t xml:space="preserve">  </w:t>
      </w:r>
      <w:r w:rsidR="005E001F" w:rsidRPr="00B01D51">
        <w:rPr>
          <w:rFonts w:cs="Times New Roman"/>
          <w:color w:val="FF0000"/>
          <w:szCs w:val="24"/>
          <w:lang w:eastAsia="zh-CN"/>
        </w:rPr>
        <w:t>While these e</w:t>
      </w:r>
      <w:r w:rsidR="00D0612F" w:rsidRPr="00B01D51">
        <w:rPr>
          <w:rFonts w:cs="Times New Roman"/>
          <w:color w:val="FF0000"/>
          <w:szCs w:val="24"/>
          <w:lang w:eastAsia="zh-CN"/>
        </w:rPr>
        <w:t xml:space="preserve">xtracellular vesicles </w:t>
      </w:r>
      <w:r w:rsidR="005E001F" w:rsidRPr="00B01D51">
        <w:rPr>
          <w:rFonts w:cs="Times New Roman"/>
          <w:color w:val="FF0000"/>
          <w:szCs w:val="24"/>
          <w:lang w:eastAsia="zh-CN"/>
        </w:rPr>
        <w:t>were found in microalgae,</w:t>
      </w:r>
      <w:r w:rsidR="00B01D51" w:rsidRPr="00B01D51">
        <w:rPr>
          <w:rFonts w:cs="Times New Roman"/>
          <w:color w:val="FF0000"/>
          <w:szCs w:val="24"/>
          <w:lang w:eastAsia="zh-CN"/>
        </w:rPr>
        <w:t xml:space="preserve"> bacteria have been shown to induce the production of microalgal </w:t>
      </w:r>
      <w:r w:rsidR="005E001F" w:rsidRPr="00B01D51">
        <w:rPr>
          <w:rFonts w:cs="Times New Roman"/>
          <w:color w:val="FF0000"/>
          <w:szCs w:val="24"/>
          <w:lang w:eastAsia="zh-CN"/>
        </w:rPr>
        <w:t xml:space="preserve">extracellular vesicles </w:t>
      </w:r>
      <w:r w:rsidR="00B01D51" w:rsidRPr="00B01D51">
        <w:rPr>
          <w:rFonts w:cs="Times New Roman"/>
          <w:color w:val="FF0000"/>
          <w:szCs w:val="24"/>
          <w:lang w:eastAsia="zh-CN"/>
        </w:rPr>
        <w:t xml:space="preserve">that can mediate </w:t>
      </w:r>
      <w:r w:rsidR="00D0612F" w:rsidRPr="00B01D51">
        <w:rPr>
          <w:rFonts w:cs="Times New Roman"/>
          <w:color w:val="FF0000"/>
          <w:szCs w:val="24"/>
          <w:lang w:eastAsia="zh-CN"/>
        </w:rPr>
        <w:t xml:space="preserve">aging </w:t>
      </w:r>
      <w:r w:rsidR="00B01D51" w:rsidRPr="00B01D51">
        <w:rPr>
          <w:rFonts w:cs="Times New Roman"/>
          <w:color w:val="FF0000"/>
          <w:szCs w:val="24"/>
          <w:lang w:eastAsia="zh-CN"/>
        </w:rPr>
        <w:t xml:space="preserve">effects in </w:t>
      </w:r>
      <w:r w:rsidR="00D0612F" w:rsidRPr="00B01D51">
        <w:rPr>
          <w:rFonts w:cs="Times New Roman"/>
          <w:color w:val="FF0000"/>
          <w:szCs w:val="24"/>
          <w:lang w:eastAsia="zh-CN"/>
        </w:rPr>
        <w:t>algae cells under limited nutrients by removing harmful metabolites from the cells</w:t>
      </w:r>
      <w:r w:rsidR="00D128FD" w:rsidRPr="00B01D51">
        <w:rPr>
          <w:rFonts w:cs="Times New Roman"/>
          <w:color w:val="FF0000"/>
          <w:szCs w:val="24"/>
          <w:lang w:eastAsia="zh-CN"/>
        </w:rPr>
        <w:t xml:space="preserve"> </w:t>
      </w:r>
      <w:r w:rsidR="00D128FD" w:rsidRPr="00CA0CF2">
        <w:rPr>
          <w:rFonts w:cs="Times New Roman"/>
          <w:szCs w:val="24"/>
          <w:lang w:eastAsia="zh-CN"/>
        </w:rPr>
        <w:fldChar w:fldCharType="begin"/>
      </w:r>
      <w:r w:rsidR="00D128FD" w:rsidRPr="00CA0CF2">
        <w:rPr>
          <w:rFonts w:cs="Times New Roman"/>
          <w:szCs w:val="24"/>
          <w:lang w:eastAsia="zh-CN"/>
        </w:rPr>
        <w:instrText xml:space="preserve"> ADDIN ZOTERO_ITEM CSL_CITATION {"citationID":"5iedH3WN","properties":{"formattedCitation":"(Deng et al., 2024)","plainCitation":"(Deng et al., 2024)","noteIndex":0},"citationItems":[{"id":9376,"uris":["http://zotero.org/users/764524/items/IZXQJ4XX"],"itemData":{"id":9376,"type":"article-journal","abstract":"The bloom and bust patterns of microalgae in aquatic systems contribute massively to global biogeochemical cycles. The decline of algal blooms is mainly caused by nutrient limitation resulting in cell death, the arrest of cell division and the aging of surviving cells. Nutrient intake can re-initiate proliferation, but the processes involved are poorly understood. Here we characterize how the bloom-forming diatom Coscinodiscus radiatus recovers from starvation after nutrient influx. Rejuvenation is mediated by extracellular vesicles that shuttle reactive oxygen species, oxylipins and other harmful metabolites out of the old cells, thereby re-enabling their proliferation. By administering nutrient pulses to aged cells and metabolomic monitoring of the response, we show that regulated pathways are centred around the methionine cycle in C. radiatus. Co-incubation experiments show that bacteria mediate aging processes and trigger vesicle production using chemical signalling. This work opens new perspectives on cellular aging and rejuvenation in complex microbial communities.","container-title":"Nature Microbiology","DOI":"10.1038/s41564-024-01746-2","ISSN":"2058-5276","issue":"9","journalAbbreviation":"Nat. Microbiol.","language":"en","license":"2024 The Author(s)","note":"publisher: Nature Publishing Group","page":"2356-2368","source":"www.nature.com","title":"Bacteria modulate microalgal aging physiology through the induction of extracellular vesicle production to remove harmful metabolites","volume":"9","author":[{"family":"Deng","given":"Yun"},{"family":"Yu","given":"Ruyi"},{"family":"Grabe","given":"Veit"},{"family":"Sommermann","given":"Thomas"},{"family":"Werner","given":"Markus"},{"family":"Vallet","given":"Marine"},{"family":"Zerfaß","given":"Christian"},{"family":"Werz","given":"Oliver"},{"family":"Pohnert","given":"Georg"}],"issued":{"date-parts":[["2024",9]]}}}],"schema":"https://github.com/citation-style-language/schema/raw/master/csl-citation.json"} </w:instrText>
      </w:r>
      <w:r w:rsidR="00D128FD" w:rsidRPr="00CA0CF2">
        <w:rPr>
          <w:rFonts w:cs="Times New Roman"/>
          <w:szCs w:val="24"/>
          <w:lang w:eastAsia="zh-CN"/>
        </w:rPr>
        <w:fldChar w:fldCharType="separate"/>
      </w:r>
      <w:r w:rsidR="00D128FD" w:rsidRPr="00CA0CF2">
        <w:rPr>
          <w:rFonts w:cs="Times New Roman"/>
        </w:rPr>
        <w:t>(Deng et al., 2024)</w:t>
      </w:r>
      <w:r w:rsidR="00D128FD" w:rsidRPr="00CA0CF2">
        <w:rPr>
          <w:rFonts w:cs="Times New Roman"/>
          <w:szCs w:val="24"/>
          <w:lang w:eastAsia="zh-CN"/>
        </w:rPr>
        <w:fldChar w:fldCharType="end"/>
      </w:r>
      <w:r w:rsidR="00D0612F" w:rsidRPr="00CA0CF2">
        <w:rPr>
          <w:rFonts w:cs="Times New Roman"/>
          <w:szCs w:val="24"/>
          <w:lang w:eastAsia="zh-CN"/>
        </w:rPr>
        <w:t xml:space="preserve">.  </w:t>
      </w:r>
      <w:r w:rsidR="00CA0CF2" w:rsidRPr="00CA0CF2">
        <w:rPr>
          <w:rFonts w:cs="Times New Roman"/>
          <w:szCs w:val="24"/>
          <w:lang w:eastAsia="zh-CN"/>
        </w:rPr>
        <w:t>The d</w:t>
      </w:r>
      <w:r w:rsidR="00D0612F" w:rsidRPr="00CA0CF2">
        <w:rPr>
          <w:rFonts w:cs="Times New Roman"/>
          <w:szCs w:val="24"/>
          <w:lang w:eastAsia="zh-CN"/>
        </w:rPr>
        <w:t xml:space="preserve">iatom </w:t>
      </w:r>
      <w:r w:rsidR="00D0612F" w:rsidRPr="00CA0CF2">
        <w:rPr>
          <w:rFonts w:cs="Times New Roman"/>
          <w:i/>
          <w:iCs/>
          <w:szCs w:val="24"/>
          <w:lang w:eastAsia="zh-CN"/>
        </w:rPr>
        <w:t>Coscinodiscus radiatus</w:t>
      </w:r>
      <w:r w:rsidR="00D0612F" w:rsidRPr="00CA0CF2">
        <w:rPr>
          <w:rFonts w:cs="Times New Roman"/>
          <w:szCs w:val="24"/>
          <w:lang w:eastAsia="zh-CN"/>
        </w:rPr>
        <w:t xml:space="preserve"> with two </w:t>
      </w:r>
      <w:r w:rsidR="00CA0CF2" w:rsidRPr="00CA0CF2">
        <w:rPr>
          <w:rFonts w:cs="Times New Roman"/>
          <w:szCs w:val="24"/>
          <w:lang w:eastAsia="zh-CN"/>
        </w:rPr>
        <w:t xml:space="preserve">associated </w:t>
      </w:r>
      <w:r w:rsidR="00D0612F" w:rsidRPr="00CA0CF2">
        <w:rPr>
          <w:rFonts w:cs="Times New Roman"/>
          <w:szCs w:val="24"/>
          <w:lang w:eastAsia="zh-CN"/>
        </w:rPr>
        <w:t xml:space="preserve">bacteria, </w:t>
      </w:r>
      <w:proofErr w:type="spellStart"/>
      <w:r w:rsidR="00D0612F" w:rsidRPr="00CA0CF2">
        <w:rPr>
          <w:rFonts w:cs="Times New Roman"/>
          <w:i/>
          <w:iCs/>
          <w:szCs w:val="24"/>
          <w:lang w:eastAsia="zh-CN"/>
        </w:rPr>
        <w:t>Mameliella</w:t>
      </w:r>
      <w:proofErr w:type="spellEnd"/>
      <w:r w:rsidR="00D0612F" w:rsidRPr="00CA0CF2">
        <w:rPr>
          <w:rFonts w:cs="Times New Roman"/>
          <w:szCs w:val="24"/>
          <w:lang w:eastAsia="zh-CN"/>
        </w:rPr>
        <w:t xml:space="preserve"> sp. CS4 and </w:t>
      </w:r>
      <w:proofErr w:type="spellStart"/>
      <w:r w:rsidR="00D0612F" w:rsidRPr="00CA0CF2">
        <w:rPr>
          <w:rFonts w:cs="Times New Roman"/>
          <w:i/>
          <w:iCs/>
          <w:szCs w:val="24"/>
          <w:lang w:eastAsia="zh-CN"/>
        </w:rPr>
        <w:t>Marinobacter</w:t>
      </w:r>
      <w:proofErr w:type="spellEnd"/>
      <w:r w:rsidR="00D0612F" w:rsidRPr="00CA0CF2">
        <w:rPr>
          <w:rFonts w:cs="Times New Roman"/>
          <w:szCs w:val="24"/>
          <w:lang w:eastAsia="zh-CN"/>
        </w:rPr>
        <w:t xml:space="preserve"> sp. CS1</w:t>
      </w:r>
      <w:r w:rsidR="00CA0CF2" w:rsidRPr="00CA0CF2">
        <w:rPr>
          <w:rFonts w:cs="Times New Roman"/>
          <w:szCs w:val="24"/>
          <w:lang w:eastAsia="zh-CN"/>
        </w:rPr>
        <w:t xml:space="preserve">, has demonstrated a </w:t>
      </w:r>
      <w:r w:rsidR="00D0612F" w:rsidRPr="00CA0CF2">
        <w:rPr>
          <w:rFonts w:cs="Times New Roman"/>
          <w:szCs w:val="24"/>
          <w:lang w:eastAsia="zh-CN"/>
        </w:rPr>
        <w:t xml:space="preserve">methionine cycle </w:t>
      </w:r>
      <w:r w:rsidR="00CA0CF2" w:rsidRPr="00CA0CF2">
        <w:rPr>
          <w:rFonts w:cs="Times New Roman"/>
          <w:szCs w:val="24"/>
          <w:lang w:eastAsia="zh-CN"/>
        </w:rPr>
        <w:t xml:space="preserve">mediated by </w:t>
      </w:r>
      <w:r w:rsidR="00D0612F" w:rsidRPr="00CA0CF2">
        <w:rPr>
          <w:rFonts w:cs="Times New Roman"/>
          <w:szCs w:val="24"/>
          <w:lang w:eastAsia="zh-CN"/>
        </w:rPr>
        <w:t>bacterial signalling</w:t>
      </w:r>
      <w:r w:rsidR="00CA0CF2" w:rsidRPr="00CA0CF2">
        <w:rPr>
          <w:rFonts w:cs="Times New Roman"/>
          <w:szCs w:val="24"/>
          <w:lang w:eastAsia="zh-CN"/>
        </w:rPr>
        <w:t xml:space="preserve">.  While these results have only recently </w:t>
      </w:r>
      <w:r w:rsidR="001D767C">
        <w:rPr>
          <w:rFonts w:cs="Times New Roman"/>
          <w:szCs w:val="24"/>
          <w:lang w:eastAsia="zh-CN"/>
        </w:rPr>
        <w:t xml:space="preserve">been </w:t>
      </w:r>
      <w:r w:rsidR="00CA0CF2" w:rsidRPr="00CA0CF2">
        <w:rPr>
          <w:rFonts w:cs="Times New Roman"/>
          <w:szCs w:val="24"/>
          <w:lang w:eastAsia="zh-CN"/>
        </w:rPr>
        <w:t xml:space="preserve">described, they suggest a potential role for extracellular vesicles in cross-kingdom signalling that may </w:t>
      </w:r>
      <w:r w:rsidR="00220D28">
        <w:rPr>
          <w:rFonts w:cs="Times New Roman"/>
          <w:szCs w:val="24"/>
          <w:lang w:eastAsia="zh-CN"/>
        </w:rPr>
        <w:t>constitute</w:t>
      </w:r>
      <w:r w:rsidR="00CA0CF2">
        <w:rPr>
          <w:rFonts w:cs="Times New Roman"/>
          <w:szCs w:val="24"/>
          <w:lang w:eastAsia="zh-CN"/>
        </w:rPr>
        <w:t xml:space="preserve"> a</w:t>
      </w:r>
      <w:r w:rsidR="00CA0CF2" w:rsidRPr="00CA0CF2">
        <w:rPr>
          <w:rFonts w:cs="Times New Roman"/>
          <w:szCs w:val="24"/>
          <w:lang w:eastAsia="zh-CN"/>
        </w:rPr>
        <w:t xml:space="preserve"> </w:t>
      </w:r>
      <w:r w:rsidR="00CA0CF2">
        <w:rPr>
          <w:rFonts w:cs="Times New Roman"/>
          <w:szCs w:val="24"/>
          <w:lang w:eastAsia="zh-CN"/>
        </w:rPr>
        <w:t xml:space="preserve">key aspect of </w:t>
      </w:r>
      <w:r w:rsidR="00CA0CF2" w:rsidRPr="00CA0CF2">
        <w:rPr>
          <w:rFonts w:cs="Times New Roman"/>
          <w:szCs w:val="24"/>
          <w:lang w:eastAsia="zh-CN"/>
        </w:rPr>
        <w:t xml:space="preserve">the </w:t>
      </w:r>
      <w:r w:rsidR="00CA0CF2">
        <w:rPr>
          <w:rFonts w:cs="Times New Roman"/>
          <w:szCs w:val="24"/>
          <w:lang w:eastAsia="zh-CN"/>
        </w:rPr>
        <w:t xml:space="preserve">mutualistic interactions in the </w:t>
      </w:r>
      <w:proofErr w:type="spellStart"/>
      <w:r w:rsidR="00CA0CF2">
        <w:rPr>
          <w:rFonts w:cs="Times New Roman"/>
          <w:szCs w:val="24"/>
          <w:lang w:eastAsia="zh-CN"/>
        </w:rPr>
        <w:t>phycosphere</w:t>
      </w:r>
      <w:proofErr w:type="spellEnd"/>
      <w:r w:rsidR="00CA0CF2">
        <w:rPr>
          <w:rFonts w:cs="Times New Roman"/>
          <w:szCs w:val="24"/>
          <w:lang w:eastAsia="zh-CN"/>
        </w:rPr>
        <w:t>.</w:t>
      </w:r>
    </w:p>
    <w:p w14:paraId="4812B8F3" w14:textId="77777777" w:rsidR="00600AFE" w:rsidRDefault="00600AFE" w:rsidP="00442883">
      <w:pPr>
        <w:snapToGrid w:val="0"/>
        <w:spacing w:line="360" w:lineRule="auto"/>
        <w:jc w:val="both"/>
        <w:rPr>
          <w:rFonts w:cs="Times New Roman"/>
          <w:szCs w:val="24"/>
          <w:lang w:eastAsia="zh-CN"/>
        </w:rPr>
      </w:pPr>
    </w:p>
    <w:p w14:paraId="479CCAC5" w14:textId="77777777" w:rsidR="007B15D1" w:rsidRDefault="007B15D1" w:rsidP="00CF193D">
      <w:pPr>
        <w:snapToGrid w:val="0"/>
        <w:spacing w:line="360" w:lineRule="auto"/>
        <w:jc w:val="center"/>
        <w:rPr>
          <w:rFonts w:cs="Times New Roman"/>
          <w:szCs w:val="24"/>
          <w:lang w:eastAsia="zh-CN"/>
        </w:rPr>
      </w:pPr>
    </w:p>
    <w:p w14:paraId="75A01320" w14:textId="208305EB" w:rsidR="00E11422" w:rsidRDefault="00E11422" w:rsidP="00CF193D">
      <w:pPr>
        <w:snapToGrid w:val="0"/>
        <w:spacing w:line="360" w:lineRule="auto"/>
        <w:jc w:val="center"/>
        <w:rPr>
          <w:rFonts w:cs="Times New Roman"/>
          <w:b/>
          <w:bCs/>
          <w:szCs w:val="24"/>
          <w:lang w:eastAsia="zh-CN"/>
        </w:rPr>
      </w:pPr>
      <w:r>
        <w:rPr>
          <w:noProof/>
        </w:rPr>
        <w:lastRenderedPageBreak/>
        <w:drawing>
          <wp:inline distT="0" distB="0" distL="0" distR="0" wp14:anchorId="608EA912" wp14:editId="066E835E">
            <wp:extent cx="5918632" cy="4237892"/>
            <wp:effectExtent l="0" t="0" r="6350" b="0"/>
            <wp:docPr id="662140612" name="Picture 1" descr="Fi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7"/>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26556" cy="4243566"/>
                    </a:xfrm>
                    <a:prstGeom prst="rect">
                      <a:avLst/>
                    </a:prstGeom>
                    <a:noFill/>
                    <a:ln>
                      <a:noFill/>
                    </a:ln>
                  </pic:spPr>
                </pic:pic>
              </a:graphicData>
            </a:graphic>
          </wp:inline>
        </w:drawing>
      </w:r>
    </w:p>
    <w:p w14:paraId="751F7EA7" w14:textId="3F6E494B" w:rsidR="00E11422" w:rsidRPr="007B15D1" w:rsidRDefault="004479D5" w:rsidP="002449DC">
      <w:pPr>
        <w:snapToGrid w:val="0"/>
        <w:spacing w:line="276" w:lineRule="auto"/>
        <w:jc w:val="both"/>
        <w:rPr>
          <w:rFonts w:cs="Times New Roman"/>
          <w:b/>
          <w:bCs/>
          <w:color w:val="FF0000"/>
          <w:szCs w:val="24"/>
        </w:rPr>
      </w:pPr>
      <w:r>
        <w:rPr>
          <w:rFonts w:cs="Times New Roman"/>
          <w:b/>
          <w:bCs/>
          <w:szCs w:val="24"/>
          <w:lang w:eastAsia="zh-CN"/>
        </w:rPr>
        <w:t>Figure</w:t>
      </w:r>
      <w:r w:rsidR="00E11422">
        <w:rPr>
          <w:rFonts w:cs="Times New Roman"/>
          <w:b/>
          <w:bCs/>
          <w:szCs w:val="24"/>
          <w:lang w:eastAsia="zh-CN"/>
        </w:rPr>
        <w:t xml:space="preserve"> </w:t>
      </w:r>
      <w:r w:rsidR="00483F08">
        <w:rPr>
          <w:rFonts w:cs="Times New Roman"/>
          <w:b/>
          <w:bCs/>
          <w:szCs w:val="24"/>
          <w:lang w:eastAsia="zh-CN"/>
        </w:rPr>
        <w:t>6</w:t>
      </w:r>
      <w:r>
        <w:rPr>
          <w:rFonts w:cs="Times New Roman"/>
          <w:b/>
          <w:bCs/>
          <w:szCs w:val="24"/>
          <w:lang w:eastAsia="zh-CN"/>
        </w:rPr>
        <w:t xml:space="preserve">: </w:t>
      </w:r>
      <w:r>
        <w:rPr>
          <w:rFonts w:cs="Times New Roman"/>
          <w:szCs w:val="24"/>
          <w:lang w:eastAsia="zh-CN"/>
        </w:rPr>
        <w:t>B</w:t>
      </w:r>
      <w:r w:rsidRPr="004479D5">
        <w:rPr>
          <w:rFonts w:cs="Times New Roman"/>
          <w:szCs w:val="24"/>
          <w:lang w:eastAsia="zh-CN"/>
        </w:rPr>
        <w:t xml:space="preserve">acterial extracellular vesicles and their effects on </w:t>
      </w:r>
      <w:proofErr w:type="spellStart"/>
      <w:r w:rsidRPr="004479D5">
        <w:rPr>
          <w:rFonts w:cs="Times New Roman"/>
          <w:i/>
          <w:iCs/>
          <w:szCs w:val="24"/>
          <w:lang w:eastAsia="zh-CN"/>
        </w:rPr>
        <w:t>Haematococcus</w:t>
      </w:r>
      <w:proofErr w:type="spellEnd"/>
      <w:r w:rsidR="0007403F">
        <w:rPr>
          <w:rFonts w:cs="Times New Roman"/>
          <w:i/>
          <w:iCs/>
          <w:szCs w:val="24"/>
          <w:lang w:eastAsia="zh-CN"/>
        </w:rPr>
        <w:t xml:space="preserve">. </w:t>
      </w:r>
      <w:r>
        <w:rPr>
          <w:rFonts w:cs="Times New Roman"/>
          <w:b/>
          <w:bCs/>
          <w:szCs w:val="24"/>
          <w:lang w:eastAsia="zh-CN"/>
        </w:rPr>
        <w:t xml:space="preserve"> </w:t>
      </w:r>
      <w:r w:rsidR="002449DC" w:rsidRPr="00F50D0B">
        <w:t>Reproduced from</w:t>
      </w:r>
      <w:r w:rsidR="002449DC">
        <w:t xml:space="preserve"> </w:t>
      </w:r>
      <w:r w:rsidR="002449DC" w:rsidRPr="00833CE8">
        <w:rPr>
          <w:rFonts w:cs="Times New Roman"/>
          <w:szCs w:val="24"/>
          <w:lang w:eastAsia="zh-CN"/>
        </w:rPr>
        <w:fldChar w:fldCharType="begin"/>
      </w:r>
      <w:r w:rsidR="00AA6E6C">
        <w:rPr>
          <w:rFonts w:cs="Times New Roman"/>
          <w:szCs w:val="24"/>
          <w:lang w:eastAsia="zh-CN"/>
        </w:rPr>
        <w:instrText xml:space="preserve"> ADDIN ZOTERO_ITEM CSL_CITATION {"citationID":"V2FXRn18","properties":{"formattedCitation":"(Hu et al., 2024)","plainCitation":"(Hu et al., 2024)","noteIndex":0},"citationItems":[{"id":4630,"uris":["http://zotero.org/users/764524/items/EM3RNGTT"],"itemData":{"id":4630,"type":"article-journal","abstract":"Microalgae-derived extracellular vesicles (EVs), which transfer their cargos to the extracellular environment to affect recipient cells, play important roles in microalgal growth and environmental adaptation. And, they are also considered as sustainable and renewable bioresources of delivery nanocarrier for bioactive molecules and/or artificial drug molecules. However, their molecular composition and functions remain poorly understood.","container-title":"Biotechnology for Biofuels and Bioproducts","DOI":"10.1186/s13068-024-02462-z","ISSN":"2731-3654","issue":"1","journalAbbreviation":"Biotechnol. Biofuels Bioprod.","page":"15","source":"BioMed Central","title":"Extracellular vesicles involved in growth regulation and metabolic modulation in &lt;i&gt;Haematococcus pluvialis&lt;/i&gt;","volume":"17","author":[{"family":"Hu","given":"Qunju"},{"family":"Hu","given":"Zhangli"},{"family":"Yan","given":"Xiaojun"},{"family":"Lu","given":"Jun"},{"family":"Wang","given":"Chaogang"}],"issued":{"date-parts":[["2024",1,28]]}}}],"schema":"https://github.com/citation-style-language/schema/raw/master/csl-citation.json"} </w:instrText>
      </w:r>
      <w:r w:rsidR="002449DC" w:rsidRPr="00833CE8">
        <w:rPr>
          <w:rFonts w:cs="Times New Roman"/>
          <w:szCs w:val="24"/>
          <w:lang w:eastAsia="zh-CN"/>
        </w:rPr>
        <w:fldChar w:fldCharType="separate"/>
      </w:r>
      <w:r w:rsidR="002449DC" w:rsidRPr="00833CE8">
        <w:rPr>
          <w:rFonts w:cs="Times New Roman"/>
        </w:rPr>
        <w:t>(Hu et al., 2024)</w:t>
      </w:r>
      <w:r w:rsidR="002449DC" w:rsidRPr="00833CE8">
        <w:rPr>
          <w:rFonts w:cs="Times New Roman"/>
          <w:szCs w:val="24"/>
          <w:lang w:eastAsia="zh-CN"/>
        </w:rPr>
        <w:fldChar w:fldCharType="end"/>
      </w:r>
      <w:r w:rsidR="002449DC">
        <w:rPr>
          <w:rFonts w:cs="Times New Roman"/>
          <w:szCs w:val="24"/>
        </w:rPr>
        <w:t xml:space="preserve">, </w:t>
      </w:r>
      <w:hyperlink r:id="rId14" w:history="1">
        <w:r w:rsidR="002449DC" w:rsidRPr="00050659">
          <w:rPr>
            <w:rStyle w:val="Hyperlink"/>
            <w:rFonts w:cs="Times New Roman"/>
            <w:szCs w:val="24"/>
          </w:rPr>
          <w:t>https://doi.org/10.1186/s13068-024-02462-z</w:t>
        </w:r>
      </w:hyperlink>
      <w:r w:rsidR="002449DC">
        <w:t>,</w:t>
      </w:r>
      <w:r w:rsidR="002449DC" w:rsidRPr="00F50D0B">
        <w:t xml:space="preserve"> under the terms of the CC BY 4.0 license, </w:t>
      </w:r>
      <w:hyperlink r:id="rId15" w:history="1">
        <w:r w:rsidR="002449DC" w:rsidRPr="00F50D0B">
          <w:rPr>
            <w:rStyle w:val="Hyperlink"/>
          </w:rPr>
          <w:t>https://creativecommons.org/licenses/by/4.0/</w:t>
        </w:r>
      </w:hyperlink>
    </w:p>
    <w:p w14:paraId="0BF7E043" w14:textId="77777777" w:rsidR="00224491" w:rsidRPr="00833CE8" w:rsidRDefault="00224491" w:rsidP="008C6C7E">
      <w:pPr>
        <w:snapToGrid w:val="0"/>
        <w:spacing w:line="360" w:lineRule="auto"/>
        <w:jc w:val="both"/>
        <w:rPr>
          <w:rFonts w:cs="Times New Roman"/>
          <w:szCs w:val="24"/>
          <w:lang w:eastAsia="zh-CN"/>
        </w:rPr>
      </w:pPr>
    </w:p>
    <w:p w14:paraId="5538BB71" w14:textId="195A89F1" w:rsidR="00700947" w:rsidRPr="00833CE8" w:rsidRDefault="00700947" w:rsidP="006A2B4C">
      <w:pPr>
        <w:pStyle w:val="ListParagraph"/>
        <w:numPr>
          <w:ilvl w:val="1"/>
          <w:numId w:val="9"/>
        </w:numPr>
        <w:snapToGrid w:val="0"/>
        <w:spacing w:line="360" w:lineRule="auto"/>
        <w:rPr>
          <w:rFonts w:cs="Times New Roman"/>
          <w:b/>
          <w:bCs/>
          <w:szCs w:val="24"/>
        </w:rPr>
      </w:pPr>
      <w:bookmarkStart w:id="19" w:name="_Hlk178077641"/>
      <w:r w:rsidRPr="00833CE8">
        <w:rPr>
          <w:rFonts w:cs="Times New Roman"/>
          <w:b/>
          <w:bCs/>
          <w:szCs w:val="24"/>
        </w:rPr>
        <w:t>Biotechnological Applications</w:t>
      </w:r>
      <w:bookmarkEnd w:id="19"/>
      <w:r w:rsidR="00CA6ED0" w:rsidRPr="00833CE8">
        <w:rPr>
          <w:rFonts w:cs="Times New Roman"/>
          <w:b/>
          <w:bCs/>
          <w:color w:val="FF0000"/>
          <w:szCs w:val="24"/>
        </w:rPr>
        <w:t xml:space="preserve">  </w:t>
      </w:r>
    </w:p>
    <w:p w14:paraId="7C7BB3FD" w14:textId="0B52D14D" w:rsidR="00700947" w:rsidRDefault="006B0CAB" w:rsidP="000F0B06">
      <w:pPr>
        <w:snapToGrid w:val="0"/>
        <w:spacing w:line="360" w:lineRule="auto"/>
        <w:ind w:firstLine="284"/>
        <w:jc w:val="both"/>
        <w:rPr>
          <w:rFonts w:cs="Times New Roman"/>
          <w:szCs w:val="24"/>
        </w:rPr>
      </w:pPr>
      <w:r w:rsidRPr="00833CE8">
        <w:rPr>
          <w:rFonts w:cs="Times New Roman"/>
          <w:szCs w:val="24"/>
        </w:rPr>
        <w:t xml:space="preserve">The growth of microalgae in </w:t>
      </w:r>
      <w:r w:rsidR="00220D28">
        <w:rPr>
          <w:rFonts w:cs="Times New Roman"/>
          <w:szCs w:val="24"/>
        </w:rPr>
        <w:t xml:space="preserve">engineered </w:t>
      </w:r>
      <w:r w:rsidRPr="00833CE8">
        <w:rPr>
          <w:rFonts w:cs="Times New Roman"/>
          <w:szCs w:val="24"/>
        </w:rPr>
        <w:t xml:space="preserve">biotechnological environments is dependent on a number of environmental conditions </w:t>
      </w:r>
      <w:r w:rsidRPr="00833CE8">
        <w:rPr>
          <w:rFonts w:cs="Times New Roman"/>
          <w:szCs w:val="24"/>
        </w:rPr>
        <w:fldChar w:fldCharType="begin"/>
      </w:r>
      <w:r w:rsidR="001B155B" w:rsidRPr="00833CE8">
        <w:rPr>
          <w:rFonts w:cs="Times New Roman"/>
          <w:szCs w:val="24"/>
        </w:rPr>
        <w:instrText xml:space="preserve"> ADDIN ZOTERO_ITEM CSL_CITATION {"citationID":"il0Avnt7","properties":{"formattedCitation":"(Kumar et al., 2024)","plainCitation":"(Kumar et al., 2024)","noteIndex":0},"citationItems":[{"id":4666,"uris":["http://zotero.org/users/764524/items/I68Z9EW2"],"itemData":{"id":4666,"type":"article-journal","abstract":"Globally, over more than 40,000 microalgal strains have been recorded so far and only 10% of them being investigated for application purposes. The microalgae attract much interest due to their biotechnological applications, as they serve as reservoirs for aqua feed, biofuel, and biomedical compounds. They are also more sensitive to environmental variables and have the ability adapt (to the environmental changes). Their growth rate can be enhanced when their culture conditions are changed or stressed. The present review focuses on how the stimulants (pH, salinity, temperature, photoperiod, light intensity, nitrogen, phosphate, mutants, substrate, sound) are altering/enhancing the growth and fatty acid production of various microalgae. And this baseline information would be helpful to the researchers, policymakers, and industrialists who are working in the field of microalgal energy. The reaction to stimulants may vary from species to species and is not the same for all microalgal strains. Hence, the present review also discusses how the stimulants’ roles vary from species to species. Furthermore, this review also addresses the known challenges and research gaps in the upstream process of microalgal research, recommending the present and future needs for microalgal research.","container-title":"Biomass Conversion and Biorefinery","DOI":"10.1007/s13399-022-03033-8","ISSN":"2190-6823","issue":"6","journalAbbreviation":"Biomass Conv. Bioref.","language":"en","page":"7239-7253","source":"Springer Link","title":"Stimulator matters: an overview on stimulants used in microalgal culture for the growth and fatty acid enhancement","title-short":"Stimulator matters","volume":"14","author":[{"family":"Kumar","given":"S. Dinesh"},{"family":"Devi","given":"K. Nanthini"},{"family":"Krishnaveni","given":"N."},{"family":"Santhanam","given":"P."},{"family":"Perumal","given":"P."},{"family":"Aravinth","given":"A."}],"issued":{"date-parts":[["2024",3,1]]}}}],"schema":"https://github.com/citation-style-language/schema/raw/master/csl-citation.json"} </w:instrText>
      </w:r>
      <w:r w:rsidRPr="00833CE8">
        <w:rPr>
          <w:rFonts w:cs="Times New Roman"/>
          <w:szCs w:val="24"/>
        </w:rPr>
        <w:fldChar w:fldCharType="separate"/>
      </w:r>
      <w:r w:rsidR="001B155B" w:rsidRPr="00833CE8">
        <w:rPr>
          <w:rFonts w:cs="Times New Roman"/>
        </w:rPr>
        <w:t>(Kumar et al., 2024)</w:t>
      </w:r>
      <w:r w:rsidRPr="00833CE8">
        <w:rPr>
          <w:rFonts w:cs="Times New Roman"/>
          <w:szCs w:val="24"/>
        </w:rPr>
        <w:fldChar w:fldCharType="end"/>
      </w:r>
      <w:r w:rsidR="002343D3" w:rsidRPr="00833CE8">
        <w:rPr>
          <w:rFonts w:cs="Times New Roman"/>
          <w:szCs w:val="24"/>
        </w:rPr>
        <w:t>.</w:t>
      </w:r>
      <w:r w:rsidRPr="00833CE8">
        <w:rPr>
          <w:rFonts w:cs="Times New Roman"/>
          <w:szCs w:val="24"/>
        </w:rPr>
        <w:t xml:space="preserve">  As a result, these microalgal-bacterial relationships have not only provided insight into the co-evolution of these microbes but can also be exploited for their use in various applications</w:t>
      </w:r>
      <w:r w:rsidR="008C4021" w:rsidRPr="00833CE8">
        <w:rPr>
          <w:rFonts w:cs="Times New Roman"/>
          <w:szCs w:val="24"/>
        </w:rPr>
        <w:t xml:space="preserve"> </w:t>
      </w:r>
      <w:r w:rsidRPr="00833CE8">
        <w:rPr>
          <w:rFonts w:cs="Times New Roman"/>
          <w:szCs w:val="24"/>
        </w:rPr>
        <w:fldChar w:fldCharType="begin"/>
      </w:r>
      <w:r w:rsidR="009F150C" w:rsidRPr="00833CE8">
        <w:rPr>
          <w:rFonts w:cs="Times New Roman"/>
          <w:szCs w:val="24"/>
        </w:rPr>
        <w:instrText xml:space="preserve"> ADDIN ZOTERO_ITEM CSL_CITATION {"citationID":"rfyyP2Bz","properties":{"formattedCitation":"(Abate et al., 2024; Kadri et al., 2023)","plainCitation":"(Abate et al., 2024; Kadri et al., 2023)","noteIndex":0},"citationItems":[{"id":4334,"uris":["http://zotero.org/users/764524/items/KMZQ2XBP"],"itemData":{"id":4334,"type":"article-journal","abstract":"Advanced sustainable bioremediation is gaining importance with rising global pollution. This review examines microalgae's potential for sustainable bioremediation and process enhancement using multi-omics approaches. Recently, microalgae-bacterial consortia have emerged for synergistic nutrient removal, allowing complex metabolite exchanges. Advanced bioremediation requires effective consortium design or pure culture based on the treatment stage and specific roles. The strain potential must be screened using modern omics approaches aligning wastewater composition. The review highlights crucial research gaps in microalgal bioremediation. It discusses multi-omics advantages for understanding microalgal fitness concerning wastewater composition and facilitating the design of microalgal consortia based on bioremediation skills. Metagenomics enables strain identification, thereby monitoring microbial dynamics during the treatment process. Transcriptomics and metabolomics encourage the algal cell response toward nutrients and pollutants in wastewater. Multi-omics role is also summarized for product enhancement to make algal treatment sustainable and fit for sustainable development goals and growing circular bioeconomy scenario.","container-title":"Bioresource Technology","DOI":"10.1016/j.biortech.2023.129636","ISSN":"0960-8524","journalAbbreviation":"Bioresour. Technol.","page":"129636","source":"ScienceDirect","title":"Advances in Algomics technology: Application in wastewater treatment and biofuel production","title-short":"Advances in Algomics technology","volume":"387","author":[{"family":"Kadri","given":"Mohammad Sibtain"},{"family":"Singhania","given":"Reeta Rani"},{"family":"Haldar","given":"Dibyajyoti"},{"family":"Patel","given":"Anil Kumar"},{"family":"Bhatia","given":"Shashi Kant"},{"family":"Saratale","given":"Ganesh"},{"family":"Parameswaran","given":"Binod"},{"family":"Chang","given":"Jo-Shu"}],"issued":{"date-parts":[["2023",11,1]]}}},{"id":4541,"uris":["http://zotero.org/users/764524/items/I8JESPDP"],"itemData":{"id":4541,"type":"article-journal","abstract":"&lt;h2&gt;Abstract&lt;/h2&gt;&lt;p&gt;Microalgae and bacteria, known for their resilience, rapid growth, and proximate ecological partnerships, play fundamental roles in environmental and biotechnological advancements. This comprehensive review explores the synergistic interactions between microalgae and bacteria as an innovative approach to address some of the most pressing environmental issues and the demands of clean and renewable freshwater and energy sources. Studies indicated that microalgae-bacteria consortia can considerably enhance the output of biotechnological applications; for instance, various reports showed during wastewater treatment the COD removal efficiency increased by 40%–90.5 % due to microalgae-bacteria consortia, suggesting its great potential amenability in biotechnology. This review critically synthesizes research works on the microalgae and bacteria nexus applied in the advancements of renewable energy generation, with a special focus on biohydrogen, reclamation of wastewater and desalination processes. The mechanisms of underlying interactions, the environmental factors influencing consortia performance, and the challenges and benefits of employing these bio-complexes over traditional methods are also discussed in detail. This paper also evaluates the biotechnological applications of these microorganism consortia for the augmentation of biomass production and the synthesis of valuable biochemicals. Furthermore, the review sheds light on the integration of microalgae-bacteria systems in microbial fuel cells for concurrent energy production, waste treatment, and resource recovery. This review postulates microalgae-bacteria consortia as a sustainable and efficient solution for clean water and energy, providing insights into future research directions and the potential for industrial-scale applications.&lt;/p&gt;","container-title":"Heliyon","DOI":"10.1016/j.heliyon.2024.e31170","ISSN":"2405-8440","issue":"10","journalAbbreviation":"Heliyon","language":"English","note":"publisher: Elsevier","source":"www.cell.com","title":"Microalgae-bacteria nexus for environmental remediation and renewable energy resources: Advances, mechanisms and biotechnological applications","title-short":"Microalgae-bacteria nexus for environmental remediation and renewable energy resources","URL":"https://www.cell.com/heliyon/abstract/S2405-8440(24)07201-3","volume":"10","author":[{"family":"Abate","given":"Rediat"},{"family":"Oon","given":"Yoong-Sin"},{"family":"Oon","given":"Yoong-Ling"},{"family":"Bi","given":"Yonghong"}],"accessed":{"date-parts":[["2024",6,17]]},"issued":{"date-parts":[["2024",5,30]]}}}],"schema":"https://github.com/citation-style-language/schema/raw/master/csl-citation.json"} </w:instrText>
      </w:r>
      <w:r w:rsidRPr="00833CE8">
        <w:rPr>
          <w:rFonts w:cs="Times New Roman"/>
          <w:szCs w:val="24"/>
        </w:rPr>
        <w:fldChar w:fldCharType="separate"/>
      </w:r>
      <w:r w:rsidR="009F150C" w:rsidRPr="00833CE8">
        <w:rPr>
          <w:rFonts w:cs="Times New Roman"/>
        </w:rPr>
        <w:t>(Abate et al., 2024; Kadri et al., 2023)</w:t>
      </w:r>
      <w:r w:rsidRPr="00833CE8">
        <w:rPr>
          <w:rFonts w:cs="Times New Roman"/>
          <w:szCs w:val="24"/>
        </w:rPr>
        <w:fldChar w:fldCharType="end"/>
      </w:r>
      <w:r w:rsidR="008C4021" w:rsidRPr="00833CE8">
        <w:rPr>
          <w:rFonts w:cs="Times New Roman"/>
          <w:szCs w:val="24"/>
        </w:rPr>
        <w:t>.</w:t>
      </w:r>
      <w:r w:rsidR="00D30020" w:rsidRPr="00833CE8">
        <w:rPr>
          <w:rFonts w:cs="Times New Roman"/>
          <w:szCs w:val="24"/>
        </w:rPr>
        <w:t xml:space="preserve">  </w:t>
      </w:r>
      <w:r w:rsidR="00FE47FA">
        <w:rPr>
          <w:rFonts w:cs="Times New Roman"/>
          <w:szCs w:val="24"/>
        </w:rPr>
        <w:t xml:space="preserve">Consortia of microalgae and bacteria have been developed, using various co-culture approaches.  The method with the most efficient biomass production is simply </w:t>
      </w:r>
      <w:r w:rsidR="00FE47FA" w:rsidRPr="00900495">
        <w:rPr>
          <w:rFonts w:cs="Times New Roman"/>
          <w:szCs w:val="24"/>
        </w:rPr>
        <w:t xml:space="preserve">growing </w:t>
      </w:r>
      <w:r w:rsidR="00900495" w:rsidRPr="00900495">
        <w:rPr>
          <w:rFonts w:cs="Times New Roman"/>
          <w:szCs w:val="24"/>
        </w:rPr>
        <w:t xml:space="preserve">the symbiotic </w:t>
      </w:r>
      <w:r w:rsidR="00FE47FA" w:rsidRPr="00900495">
        <w:rPr>
          <w:rFonts w:cs="Times New Roman"/>
          <w:szCs w:val="24"/>
        </w:rPr>
        <w:t xml:space="preserve">organisms in the </w:t>
      </w:r>
      <w:r w:rsidR="000E3F0F" w:rsidRPr="00900495">
        <w:rPr>
          <w:rFonts w:cs="Times New Roman"/>
          <w:szCs w:val="24"/>
        </w:rPr>
        <w:t>same liquid media</w:t>
      </w:r>
      <w:r w:rsidR="00FE47FA" w:rsidRPr="00900495">
        <w:rPr>
          <w:rFonts w:cs="Times New Roman"/>
          <w:szCs w:val="24"/>
        </w:rPr>
        <w:t>, referred to as communal liquid medium growth.</w:t>
      </w:r>
      <w:r w:rsidR="00900495" w:rsidRPr="00900495">
        <w:rPr>
          <w:rFonts w:cs="Times New Roman"/>
          <w:szCs w:val="24"/>
        </w:rPr>
        <w:t xml:space="preserve">  Conversely, </w:t>
      </w:r>
      <w:r w:rsidR="00FE47FA" w:rsidRPr="00900495">
        <w:rPr>
          <w:rFonts w:cs="Times New Roman"/>
          <w:szCs w:val="24"/>
        </w:rPr>
        <w:t xml:space="preserve"> solid–liquid interface systems </w:t>
      </w:r>
      <w:r w:rsidR="00900495" w:rsidRPr="00900495">
        <w:rPr>
          <w:rFonts w:cs="Times New Roman"/>
          <w:szCs w:val="24"/>
        </w:rPr>
        <w:t>separate the organisms by placing one or more into a porous vessel such as beads or droplets</w:t>
      </w:r>
      <w:r w:rsidR="00FE47FA" w:rsidRPr="00900495">
        <w:rPr>
          <w:rFonts w:cs="Times New Roman"/>
          <w:szCs w:val="24"/>
        </w:rPr>
        <w:t xml:space="preserve">.  Another method of co-culture is to separate the organisms via a </w:t>
      </w:r>
      <w:r w:rsidR="000E3F0F" w:rsidRPr="00900495">
        <w:rPr>
          <w:rFonts w:cs="Times New Roman"/>
          <w:szCs w:val="24"/>
        </w:rPr>
        <w:t>membrane</w:t>
      </w:r>
      <w:r w:rsidR="00FE47FA" w:rsidRPr="00900495">
        <w:rPr>
          <w:rFonts w:cs="Times New Roman"/>
          <w:szCs w:val="24"/>
        </w:rPr>
        <w:t xml:space="preserve">, preventing any adverse effects by direct contact, while maintaining the same extracellular environment.  </w:t>
      </w:r>
      <w:r w:rsidR="00FE47FA" w:rsidRPr="00900495">
        <w:rPr>
          <w:rFonts w:cs="Times New Roman"/>
          <w:szCs w:val="24"/>
        </w:rPr>
        <w:lastRenderedPageBreak/>
        <w:t xml:space="preserve">Similarly, </w:t>
      </w:r>
      <w:r w:rsidR="000E3F0F" w:rsidRPr="00900495">
        <w:rPr>
          <w:rFonts w:cs="Times New Roman"/>
          <w:szCs w:val="24"/>
        </w:rPr>
        <w:t xml:space="preserve">spatial separation </w:t>
      </w:r>
      <w:r w:rsidR="00FE47FA" w:rsidRPr="00900495">
        <w:rPr>
          <w:rFonts w:cs="Times New Roman"/>
          <w:szCs w:val="24"/>
        </w:rPr>
        <w:t>prevents direct interactions but allows for diffusion of molecules, using gas exchange, immobilizatio</w:t>
      </w:r>
      <w:r w:rsidR="00FE47FA" w:rsidRPr="005658B9">
        <w:rPr>
          <w:rFonts w:cs="Times New Roman"/>
          <w:szCs w:val="24"/>
        </w:rPr>
        <w:t xml:space="preserve">n on a matrix, or growth on solid agar plates.  Finally, </w:t>
      </w:r>
      <w:r w:rsidR="000E3F0F" w:rsidRPr="005658B9">
        <w:rPr>
          <w:rFonts w:cs="Times New Roman"/>
          <w:szCs w:val="24"/>
        </w:rPr>
        <w:t xml:space="preserve">microfluidics </w:t>
      </w:r>
      <w:r w:rsidR="00157067" w:rsidRPr="005658B9">
        <w:rPr>
          <w:rFonts w:cs="Times New Roman"/>
          <w:szCs w:val="24"/>
        </w:rPr>
        <w:t>uses controlled fluid flow, which</w:t>
      </w:r>
      <w:r w:rsidR="00FF40F3" w:rsidRPr="005658B9">
        <w:rPr>
          <w:rFonts w:cs="Times New Roman"/>
          <w:szCs w:val="24"/>
        </w:rPr>
        <w:t xml:space="preserve"> allows for better monitoring </w:t>
      </w:r>
      <w:r w:rsidR="00FE09D8">
        <w:rPr>
          <w:rFonts w:cs="Times New Roman"/>
          <w:szCs w:val="24"/>
        </w:rPr>
        <w:t xml:space="preserve">of intercellular </w:t>
      </w:r>
      <w:r w:rsidR="00FF40F3" w:rsidRPr="005658B9">
        <w:rPr>
          <w:rFonts w:cs="Times New Roman"/>
          <w:szCs w:val="24"/>
        </w:rPr>
        <w:t>communication instead of relying on diffusion</w:t>
      </w:r>
      <w:r w:rsidR="005B7946" w:rsidRPr="005658B9">
        <w:rPr>
          <w:rFonts w:cs="Times New Roman"/>
          <w:szCs w:val="24"/>
        </w:rPr>
        <w:t xml:space="preserve"> </w:t>
      </w:r>
      <w:r w:rsidR="000F0B06" w:rsidRPr="00AF7DCA">
        <w:rPr>
          <w:rFonts w:cs="Times New Roman"/>
          <w:szCs w:val="24"/>
        </w:rPr>
        <w:fldChar w:fldCharType="begin"/>
      </w:r>
      <w:r w:rsidR="000F0B06" w:rsidRPr="00AF7DCA">
        <w:rPr>
          <w:rFonts w:cs="Times New Roman"/>
          <w:szCs w:val="24"/>
        </w:rPr>
        <w:instrText xml:space="preserve"> ADDIN ZOTERO_ITEM CSL_CITATION {"citationID":"G9SVc2uj","properties":{"formattedCitation":"(Kapoore et al., 2022)","plainCitation":"(Kapoore et al., 2022)","noteIndex":0},"citationItems":[{"id":9354,"uris":["http://zotero.org/users/764524/items/HSIIMPGU"],"itemData":{"id":9354,"type":"article-journal","abstract":"The application of microbial co-cultures is now recognized in the fields of biotechnology, ecology, and medicine. Understanding the biological interactions that govern the association of microorganisms would shape the way in which artificial/synthetic co-cultures or consortia are developed. The ability to accurately predict and control cell-to-cell interactions fully would be a significant enabler in synthetic biology. Co-culturing method development holds the key to strategically engineer environments in which the co-cultured microorganism can be monitored. Various approaches have been employed which aim to emulate the natural environment and gain access to the untapped natural resources emerging from cross-talk between partners. Amongst these methods are the use of a communal liquid medium for growth, use of a solid–liquid interface, membrane separation, spatial separation, and use of microfluidics systems. Maximizing the information content of interactions monitored is one of the major challenges that needs to be addressed by these designs. This review critically evaluates the significance and drawbacks of the co-culturing approaches used to this day in biotechnological applications, relevant to biomanufacturing. It is recommended that experimental results for a co-cultured species should be validated with different co-culture approaches due to variations in interactions that could exist as a result of the culturing method selected.","container-title":"Critical Reviews in Biotechnology","DOI":"10.1080/07388551.2021.1921691","ISSN":"0738-8551","issue":"1","journalAbbreviation":"Crit. Rev. Biotechnol.","note":"publisher: Taylor &amp; Francis\n_eprint: https://doi.org/10.1080/07388551.2021.1921691\nPMID: 33980092","page":"46-72","source":"Taylor and Francis+NEJM","title":"Co-culturing microbial consortia: approaches for applications in biomanufacturing and bioprocessing","title-short":"Co-culturing microbial consortia","volume":"42","author":[{"family":"Kapoore","given":"Rahul Vijay"},{"family":"Padmaperuma","given":"Gloria"},{"family":"Maneein","given":"Supattra"},{"family":"Vaidyanathan","given":"Seetharaman"}],"issued":{"date-parts":[["2022",1,2]]}}}],"schema":"https://github.com/citation-style-language/schema/raw/master/csl-citation.json"} </w:instrText>
      </w:r>
      <w:r w:rsidR="000F0B06" w:rsidRPr="00AF7DCA">
        <w:rPr>
          <w:rFonts w:cs="Times New Roman"/>
          <w:szCs w:val="24"/>
        </w:rPr>
        <w:fldChar w:fldCharType="separate"/>
      </w:r>
      <w:r w:rsidR="000F0B06" w:rsidRPr="00AF7DCA">
        <w:rPr>
          <w:rFonts w:cs="Times New Roman"/>
        </w:rPr>
        <w:t>(Kapoore et al., 2022)</w:t>
      </w:r>
      <w:r w:rsidR="000F0B06" w:rsidRPr="00AF7DCA">
        <w:rPr>
          <w:rFonts w:cs="Times New Roman"/>
          <w:szCs w:val="24"/>
        </w:rPr>
        <w:fldChar w:fldCharType="end"/>
      </w:r>
      <w:r w:rsidR="000F0B06" w:rsidRPr="00AF7DCA">
        <w:rPr>
          <w:rFonts w:cs="Times New Roman"/>
          <w:szCs w:val="24"/>
        </w:rPr>
        <w:t xml:space="preserve">.  </w:t>
      </w:r>
      <w:r w:rsidR="0011319E" w:rsidRPr="00AF7DCA">
        <w:rPr>
          <w:rFonts w:cs="Times New Roman"/>
          <w:szCs w:val="24"/>
        </w:rPr>
        <w:t>Two mai</w:t>
      </w:r>
      <w:r w:rsidR="0011319E" w:rsidRPr="00093632">
        <w:rPr>
          <w:rFonts w:cs="Times New Roman"/>
          <w:szCs w:val="24"/>
        </w:rPr>
        <w:t xml:space="preserve">n classes of applications include environmental applications, such as bioremediation of wastewater </w:t>
      </w:r>
      <w:r w:rsidR="0011319E" w:rsidRPr="00093632">
        <w:rPr>
          <w:rFonts w:cs="Times New Roman"/>
          <w:szCs w:val="24"/>
        </w:rPr>
        <w:fldChar w:fldCharType="begin"/>
      </w:r>
      <w:r w:rsidR="0011319E" w:rsidRPr="00093632">
        <w:rPr>
          <w:rFonts w:cs="Times New Roman"/>
          <w:szCs w:val="24"/>
        </w:rPr>
        <w:instrText xml:space="preserve"> ADDIN ZOTERO_ITEM CSL_CITATION {"citationID":"ABXAEfun","properties":{"formattedCitation":"(Liang et al., 2022)","plainCitation":"(Liang et al., 2022)","noteIndex":0},"citationItems":[{"id":9318,"uris":["http://zotero.org/users/764524/items/DESPHJND"],"itemData":{"id":9318,"type":"article-journal","abstract":"&lt;p&gt;In synthetic biology, engineering principles are applied to system design. The development of synthetic microbial consortia represents the intersection of synthetic biology and microbiology. Synthetic community systems are constructed by co-cultivating two or more microorganisms under certain environmental conditions, with broad applications in many fields including ecological restoration and ecological theory. Synthetic microbial consortia tend to have high biological processing efficiencies, because the division of labor reduces the metabolic burden of individual members. In this review, we focus on the environmental applications of synthetic microbial consortia. Although there are many strategies for the construction of synthetic microbial consortia, we mainly introduce the most widely used construction principles based on cross-feeding. Additionally, we propose methods for constructing synthetic microbial consortia based on traits and spatial structure from the perspective of ecology to provide a basis for future work.&lt;/p&gt;","container-title":"Frontiers in Microbiology","DOI":"10.3389/fmicb.2022.829717","ISSN":"1664-302X","journalAbbreviation":"Front. Microbiol.","language":"English","note":"publisher: Frontiers","page":"829717","source":"Frontiers","title":"Construction of Environmental Synthetic Microbial Consortia: Based on Engineering and Ecological Principles","title-short":"Construction of Environmental Synthetic Microbial Consortia","volume":"13","author":[{"family":"Liang","given":"Yu"},{"family":"Ma","given":"Anzhou"},{"family":"Zhuang","given":"Guoqiang"}],"issued":{"date-parts":[["2022",2,23]]}}}],"schema":"https://github.com/citation-style-language/schema/raw/master/csl-citation.json"} </w:instrText>
      </w:r>
      <w:r w:rsidR="0011319E" w:rsidRPr="00093632">
        <w:rPr>
          <w:rFonts w:cs="Times New Roman"/>
          <w:szCs w:val="24"/>
        </w:rPr>
        <w:fldChar w:fldCharType="separate"/>
      </w:r>
      <w:r w:rsidR="0011319E" w:rsidRPr="00093632">
        <w:rPr>
          <w:rFonts w:cs="Times New Roman"/>
        </w:rPr>
        <w:t>(Liang et al., 2022)</w:t>
      </w:r>
      <w:r w:rsidR="0011319E" w:rsidRPr="00093632">
        <w:rPr>
          <w:rFonts w:cs="Times New Roman"/>
          <w:szCs w:val="24"/>
        </w:rPr>
        <w:fldChar w:fldCharType="end"/>
      </w:r>
      <w:r w:rsidR="0011319E" w:rsidRPr="00093632">
        <w:rPr>
          <w:rFonts w:cs="Times New Roman"/>
          <w:szCs w:val="24"/>
        </w:rPr>
        <w:t xml:space="preserve"> and biomass production for </w:t>
      </w:r>
      <w:r w:rsidR="00220D28">
        <w:rPr>
          <w:rFonts w:cs="Times New Roman"/>
          <w:szCs w:val="24"/>
        </w:rPr>
        <w:t xml:space="preserve">a </w:t>
      </w:r>
      <w:r w:rsidR="0011319E" w:rsidRPr="00093632">
        <w:rPr>
          <w:rFonts w:cs="Times New Roman"/>
          <w:szCs w:val="24"/>
        </w:rPr>
        <w:t>biorefinery</w:t>
      </w:r>
      <w:r w:rsidR="00220D28">
        <w:rPr>
          <w:rFonts w:cs="Times New Roman"/>
          <w:szCs w:val="24"/>
        </w:rPr>
        <w:t xml:space="preserve"> platform</w:t>
      </w:r>
      <w:r w:rsidR="00AA6E6C">
        <w:rPr>
          <w:rFonts w:cs="Times New Roman"/>
          <w:szCs w:val="24"/>
        </w:rPr>
        <w:t xml:space="preserve"> </w:t>
      </w:r>
      <w:r w:rsidR="00AA6E6C" w:rsidRPr="00093632">
        <w:rPr>
          <w:rFonts w:cs="Times New Roman"/>
          <w:szCs w:val="24"/>
        </w:rPr>
        <w:fldChar w:fldCharType="begin"/>
      </w:r>
      <w:r w:rsidR="00AA6E6C" w:rsidRPr="00093632">
        <w:rPr>
          <w:rFonts w:cs="Times New Roman"/>
          <w:szCs w:val="24"/>
        </w:rPr>
        <w:instrText xml:space="preserve"> ADDIN ZOTERO_ITEM CSL_CITATION {"citationID":"ifTGTPw7","properties":{"formattedCitation":"(Conteratto et al., 2021)","plainCitation":"(Conteratto et al., 2021)","noteIndex":0},"citationItems":[{"id":9316,"uris":["http://zotero.org/users/764524/items/224DHJJ3"],"itemData":{"id":9316,"type":"article-journal","abstract":"Bioeconomy has been presented as an alternative for sustainable development. Public policies and national bioeconomy programs have reserved an essential role for biorefineries. However, the misinterpretation of what a biorefinery might be can lead to the adoption of biased public policies, restricting its potential. Therefore, the concept of biorefinery requires a conceptual definition appropriate for the context of bioeconomy. This article aims to propose a contemporary concept for biorefinery, adjusted to the bioeconomy perspective. An epistemological review of the prefix “bio” and the base “refine” was carried out. The biorefinery concepts established in the literature were revisited and grouped by their focus on inputs, processes, or bioproducts. The required concept of biorefinery in the bioeconomy context is discussed. Our updated concept defines biorefinery as “a physical, chemical, or biological process which purifies, separates, refines, or transforms elements constituting biological assets from the kingdoms Monera, Protista, Plantae, Animalia, or Fungi, originating from the terrestrial or oceanic environment, in bioproducts for final use or that serve as raw material for other bioproducts.” Adopting this concept can promote appropriate public policies for a broader set of biorefineries and pave the way for the sociotechnical transition toward bioeconomy.","container-title":"Renewable and Sustainable Energy Reviews","DOI":"10.1016/j.rser.2021.111527","ISSN":"1364-0321","journalAbbreviation":"Renewable and Sustainable Energy Reviews","page":"111527","source":"ScienceDirect","title":"Biorefinery: A comprehensive concept for the sociotechnical transition toward bioeconomy","title-short":"Biorefinery","volume":"151","author":[{"family":"Conteratto","given":"Caroline"},{"family":"Artuzo","given":"Felipe Dalzotto"},{"family":"Benedetti Santos","given":"Omar Inácio"},{"family":"Talamini","given":"Edson"}],"issued":{"date-parts":[["2021",11,1]]}}}],"schema":"https://github.com/citation-style-language/schema/raw/master/csl-citation.json"} </w:instrText>
      </w:r>
      <w:r w:rsidR="00AA6E6C" w:rsidRPr="00093632">
        <w:rPr>
          <w:rFonts w:cs="Times New Roman"/>
          <w:szCs w:val="24"/>
        </w:rPr>
        <w:fldChar w:fldCharType="separate"/>
      </w:r>
      <w:r w:rsidR="00AA6E6C" w:rsidRPr="00093632">
        <w:rPr>
          <w:rFonts w:cs="Times New Roman"/>
        </w:rPr>
        <w:t>(Conteratto et al., 2021)</w:t>
      </w:r>
      <w:r w:rsidR="00AA6E6C" w:rsidRPr="00093632">
        <w:rPr>
          <w:rFonts w:cs="Times New Roman"/>
          <w:szCs w:val="24"/>
        </w:rPr>
        <w:fldChar w:fldCharType="end"/>
      </w:r>
      <w:r w:rsidR="00AA6E6C">
        <w:rPr>
          <w:rFonts w:cs="Times New Roman"/>
          <w:szCs w:val="24"/>
        </w:rPr>
        <w:t xml:space="preserve">.  </w:t>
      </w:r>
      <w:r w:rsidR="00700947" w:rsidRPr="00833CE8">
        <w:rPr>
          <w:rFonts w:cs="Times New Roman"/>
          <w:szCs w:val="24"/>
        </w:rPr>
        <w:t>Some of these applications will be described below.</w:t>
      </w:r>
    </w:p>
    <w:p w14:paraId="5C413867" w14:textId="59BCA3E0" w:rsidR="00445000" w:rsidRPr="00833CE8" w:rsidRDefault="00445000" w:rsidP="00445000">
      <w:pPr>
        <w:snapToGrid w:val="0"/>
        <w:spacing w:line="360" w:lineRule="auto"/>
        <w:ind w:firstLine="284"/>
        <w:jc w:val="both"/>
        <w:rPr>
          <w:rFonts w:cs="Times New Roman"/>
          <w:szCs w:val="24"/>
        </w:rPr>
      </w:pPr>
      <w:r w:rsidRPr="00833CE8">
        <w:rPr>
          <w:rFonts w:cs="Times New Roman"/>
          <w:szCs w:val="24"/>
        </w:rPr>
        <w:t>The biomass produced from consortia of microalgae and bacteria have also been investigated for potential applications in bioproducts such as biofuel</w:t>
      </w:r>
      <w:r>
        <w:rPr>
          <w:rFonts w:cs="Times New Roman"/>
          <w:szCs w:val="24"/>
        </w:rPr>
        <w:t>s</w:t>
      </w:r>
      <w:r w:rsidRPr="00833CE8">
        <w:rPr>
          <w:rFonts w:cs="Times New Roman"/>
          <w:szCs w:val="24"/>
        </w:rPr>
        <w:t xml:space="preserve"> and biomolecules for medicine and nutrition </w:t>
      </w:r>
      <w:r w:rsidRPr="00833CE8">
        <w:rPr>
          <w:rFonts w:cs="Times New Roman"/>
          <w:szCs w:val="24"/>
        </w:rPr>
        <w:fldChar w:fldCharType="begin"/>
      </w:r>
      <w:r>
        <w:rPr>
          <w:rFonts w:cs="Times New Roman"/>
          <w:szCs w:val="24"/>
        </w:rPr>
        <w:instrText xml:space="preserve"> ADDIN ZOTERO_ITEM CSL_CITATION {"citationID":"Pxjs4Mh3","properties":{"unsorted":true,"formattedCitation":"(Yao et al., 2019; Santo et al., 2022; Zhang et al., 2023; Dai and Wang, 2024; Zhang et al., 2024)","plainCitation":"(Yao et al., 2019; Santo et al., 2022; Zhang et al., 2023; Dai and Wang, 2024; Zhang et al., 2024)","noteIndex":0},"citationItems":[{"id":4378,"uris":["http://zotero.org/users/764524/items/RZQH7UB8"],"itemData":{"id":4378,"type":"article-journal","abstract":"Photosynthetic microalgae can capture solar energy and convert it to bioenergy and biochemical products. In nature or industrial processes, microalgae live together with bacterial communities and may...","container-title":"Journal of Applied Microbiology","DOI":"10.1111/jam.14095","ISSN":"1365-2672","issue":"2","journalAbbreviation":"J. App. Microbiol.","language":"en","note":"publisher: John Wiley &amp; Sons, Ltd","page":"359-368","source":"enviromicro-journals.onlinelibrary.wiley.com","title":"Microalgae–bacteria symbiosis in microalgal growth and biofuel production: a review","title-short":"Microalgae–bacteria symbiosis in microalgal growth and biofuel production","volume":"126","author":[{"family":"Yao","given":"S."},{"family":"Lyu","given":"S."},{"family":"An","given":"Y."},{"family":"Lu","given":"J."},{"family":"Gjermansen","given":"C."},{"family":"Schramm","given":"A."}],"issued":{"date-parts":[["2019",2,1]]}}},{"id":4539,"uris":["http://zotero.org/users/764524/items/QBZ9JNB5"],"itemData":{"id":4539,"type":"article-journal","abstract":"The applications of microalgae biomass have been widely studied worldwide. The classical processes used in outdoor cultivations of microalgae, in closed or open photobioreactors, occur in the presence of bacteria. Understanding how communication between cells occurs through quorum sensing and evaluating co-cultures allows the production of microalgae and cyanobacteria to be positively impacted by bacteria, in order to guarantee safety and profitability in the production process. In addition, the definition of the effects that occur during an interaction, promotes insights to improve the production of biomolecules, and to develop innovative products. This review presents the interactions between microalgae and bacteria, including compounds exchanges and communication, and addresses the development of new pharmaceutical, cosmetic and food bioproducts from microalgae based on these evaluations, such as prebiotics, vegan skincare products, antimicrobial compounds, and culture media with animal free protein for producing vaccines and other biopharmaceutical products. The use of microalgae as raw biomass or in biotechnological platforms is in line with the fulfillment of the 2030 Agenda related to the Sustainable Development Goals (SDGs).","container-title":"Microorganisms","DOI":"10.3390/microorganisms10102029","ISSN":"2076-2607","issue":"10","language":"en","license":"http://creativecommons.org/licenses/by/3.0/","note":"number: 10\npublisher: Multidisciplinary Digital Publishing Institute","page":"2029","source":"www.mdpi.com","title":"Obtaining Bioproducts from the Studies of Signals and Interactions between Microalgae and Bacteria","volume":"10","author":[{"family":"Santo","given":"Évellin do Espirito"},{"family":"Ishii","given":"Marina"},{"family":"Pinto","given":"Uelinton Manoel"},{"family":"Matsudo","given":"Marcelo Chuei"},{"family":"Carvalho","given":"João Carlos Monteiro","dropping-particle":"de"}],"issued":{"date-parts":[["2022",10]]}}},{"id":9242,"uris":["http://zotero.org/users/764524/items/ZLPUXJZD"],"itemData":{"id":9242,"type":"article-journal","abstract":"Conventional biological treatment usually cannot achieve the same high water quality as advanced treatment when conducted under varied temperatures. Here, satisfactory wastewater treatment efficiency was observed in a microalgae-bacteria consortia (MBC) over a wide temperature range because of the predominance of microalgae. Microalgae contributed more toward wastewater treatment at low temperature because of the unsatisfactory performance of the accompanying bacteria, which experienced cold stress (e.g., bacterial abundance below 3000 sequences) and executed defensive strategies (e.g., enrichment of cold-shock proteins). A low abundance of amoA-C and hao indicated that conventional nitrogen removal was replaced through the involvement of microalgae. Diverse heterotrophic bacteria for nitrogen removal were identified at medium and high temperatures, implying this microbial niche treatment contained diverse flexible consortia with temperature variation. Additionally, pathogenic bacteria were eliminated through microalgal photosynthesis. After fitting the neutral community model and calculating the ecological niche, microalgae achieved a maximum niche breadth of 5.21 and the lowest niche overlap of 0.38, while the accompanying bacterial community in the consortia were shaped through deterministic processes. Finally, the maximum energy yield of 87.4 kJ L−1 and lipid production of 1.9 g L−1 were achieved at medium temperature. Altogether, this study demonstrates that advanced treatment and energy reclamation can be achieved through microalgae-bacteria niche strategies.","container-title":"Environmental Science and Ecotechnology","DOI":"10.1016/j.ese.2022.100230","ISSN":"2666-4984","journalAbbreviation":"Environ. Sci. Ecotechnol.","page":"100230","source":"ScienceDirect","title":"Revealing the role of microalgae-bacteria niche for boosting wastewater treatment and energy reclamation in response to temperature","volume":"14","author":[{"family":"Zhang","given":"Chaofan"},{"family":"Chen","given":"Xi"},{"family":"Han","given":"Meina"},{"family":"Li","given":"Xue"},{"family":"Chang","given":"Haixing"},{"family":"Ren","given":"Nanqi"},{"family":"Ho","given":"Shih-Hsin"}],"issued":{"date-parts":[["2023",4,1]]}}},{"id":4461,"uris":["http://zotero.org/users/764524/items/EQNVP4QU"],"itemData":{"id":4461,"type":"article-journal","abstract":"The use of microalgae–bacteria consortia (MBC) for wastewater treatment has garnered attention as their interactions impart greater environmental adaptability and stability compared with that obtained by only microalgae or bacteria use, thereby improving the efficiency of pollutant removal and bio-product productivity. Additionally, the value-added bio-products produced via biorefineries can improve economic competitiveness and environmental sustainability. Therefore, this review focuses on the interaction between microalgae and bacteria that leads to nutrient exchange, gene transfer and signal transduction to comprehensively understand the interaction mechanisms underlying their strong adaptability. In addition, it includes recent research in which MBC has been efficiently used to treat various wastewater. Moreover, the review summarizes the use of MBC-produced biomass in a biorefining context to produce biofuel, biomaterial, high-value bio-products and bio-fertilizer. Overall, more effort is needed to identify the symbiotic mechanism in MBC to provide a foundation for circular bio-economy and environmentally friendly development programmes.","container-title":"Bioresource Technology","DOI":"10.1016/j.biortech.2023.130019","ISSN":"0960-8524","journalAbbreviation":"Bioresour. Technol.","page":"130019","source":"ScienceDirect","title":"Potential applications of microalgae–bacteria consortia in wastewater treatment and biorefinery","volume":"393","author":[{"family":"Dai","given":"Chenming"},{"family":"Wang","given":"Feifei"}],"issued":{"date-parts":[["2024",2,1]]}}},{"id":4323,"uris":["http://zotero.org/users/764524/items/I5IPUTIE"],"itemData":{"id":4323,"type":"article-journal","abstract":"Microalgae, known for rapid growth and lipid richness, hold potential in biofuels and high-value biomolecules. The symbiotic link with bacteria is crucial in large-scale open cultures. This study explores algal-bacterial interactions using a symbiotic model, evaluating acid-resistant Lactic acid bacteria (LAB), stress-resilient Bacillus subtilis and Bacillus licheniformis, and various Escherichia col</w:instrText>
      </w:r>
      <w:r w:rsidRPr="005B6FAD">
        <w:rPr>
          <w:rFonts w:cs="Times New Roman"/>
          <w:szCs w:val="24"/>
          <w:lang w:val="fr-BE"/>
        </w:rPr>
        <w:instrText xml:space="preserve">i strains in the Aurantiochytrium sp. SW1 system. It was observed that E. coli SUC significantly enhanced the growth and lipid production of Aurantiochytrium sp. SW1 by increasing enzyme activity (NAD-IDH, NAD-ME, G6PDH) while maintaining sustained succinic acid release. Optimal co-culture conditions included temperature 28 °C, a 1:10 algae-to-bacteria ratio, and pH 8. Under these conditions, Aurantiochytrium sp. SW1 biomass increased 3.17-fold to 27.83 g/L, and total lipid content increased 2.63-fold to 4.87 g/L. These findings have implications for more efficient microalgal lipid production and large-scale cultivation.","container-title":"Bioresource Technology","DOI":"10.1016/j.biortech.2023.130232","ISSN":"0960-8524","journalAbbreviation":"Bioresour. Technol.","page":"130232","source":"ScienceDirect","title":"Mechanism of enhanced microalgal biomass and lipid accumulation through symbiosis between a highly succinic acid-producing strain of &lt;i&gt;Escherichia coli&lt;/i&gt; SUC and &lt;i&gt;Aurantiochytrium&lt;/i&gt; sp. SW1","volume":"394","author":[{"family":"Zhang","given":"Mei-Yu"},{"family":"Xu","given":"Xin-Ru"},{"family":"Zhao","given":"Ru-Ping"},{"family":"Huang","given":"Chao"},{"family":"Song","given":"Yuan-Da"},{"family":"Zhao","given":"Zi-Tong"},{"family":"Zhao","given":"Yu-Bin"},{"family":"Ren","given":"Xiao-Jie"},{"family":"Zhao","given":"Xin-He"}],"issued":{"date-parts":[["2024",2,1]]}}}],"schema":"https://github.com/citation-style-language/schema/raw/master/csl-citation.json"} </w:instrText>
      </w:r>
      <w:r w:rsidRPr="00833CE8">
        <w:rPr>
          <w:rFonts w:cs="Times New Roman"/>
          <w:szCs w:val="24"/>
        </w:rPr>
        <w:fldChar w:fldCharType="separate"/>
      </w:r>
      <w:r w:rsidRPr="005B6FAD">
        <w:rPr>
          <w:rFonts w:cs="Times New Roman"/>
          <w:lang w:val="fr-BE"/>
        </w:rPr>
        <w:t xml:space="preserve">(Yao et al., 2019; Santo et al., 2022; Zhang et al., 2023; </w:t>
      </w:r>
      <w:proofErr w:type="spellStart"/>
      <w:r w:rsidRPr="005B6FAD">
        <w:rPr>
          <w:rFonts w:cs="Times New Roman"/>
          <w:lang w:val="fr-BE"/>
        </w:rPr>
        <w:t>Dai</w:t>
      </w:r>
      <w:proofErr w:type="spellEnd"/>
      <w:r w:rsidRPr="005B6FAD">
        <w:rPr>
          <w:rFonts w:cs="Times New Roman"/>
          <w:lang w:val="fr-BE"/>
        </w:rPr>
        <w:t xml:space="preserve"> and Wang, 2024; Zhang et al., 2024)</w:t>
      </w:r>
      <w:r w:rsidRPr="00833CE8">
        <w:rPr>
          <w:rFonts w:cs="Times New Roman"/>
          <w:szCs w:val="24"/>
        </w:rPr>
        <w:fldChar w:fldCharType="end"/>
      </w:r>
      <w:r w:rsidRPr="000E543F">
        <w:rPr>
          <w:rFonts w:cs="Times New Roman"/>
          <w:szCs w:val="24"/>
          <w:lang w:val="fr-BE"/>
        </w:rPr>
        <w:t>.</w:t>
      </w:r>
      <w:r w:rsidRPr="005B6FAD">
        <w:rPr>
          <w:rFonts w:cs="Times New Roman"/>
          <w:szCs w:val="24"/>
          <w:lang w:val="fr-BE"/>
        </w:rPr>
        <w:t xml:space="preserve"> </w:t>
      </w:r>
      <w:r w:rsidRPr="005B6FAD">
        <w:rPr>
          <w:rFonts w:cs="Times New Roman"/>
          <w:b/>
          <w:bCs/>
          <w:color w:val="FF0000"/>
          <w:szCs w:val="24"/>
          <w:lang w:val="fr-BE"/>
        </w:rPr>
        <w:t xml:space="preserve"> </w:t>
      </w:r>
      <w:r w:rsidRPr="002B7CB7">
        <w:rPr>
          <w:rFonts w:cs="Times New Roman"/>
          <w:szCs w:val="24"/>
        </w:rPr>
        <w:t>A succinic acid-producing strain</w:t>
      </w:r>
      <w:r w:rsidRPr="00833CE8">
        <w:rPr>
          <w:rFonts w:cs="Times New Roman"/>
          <w:szCs w:val="24"/>
        </w:rPr>
        <w:t xml:space="preserve"> of </w:t>
      </w:r>
      <w:r w:rsidRPr="00833CE8">
        <w:rPr>
          <w:rFonts w:cs="Times New Roman"/>
          <w:i/>
          <w:iCs/>
          <w:szCs w:val="24"/>
        </w:rPr>
        <w:t>E. coli</w:t>
      </w:r>
      <w:r w:rsidRPr="00833CE8">
        <w:rPr>
          <w:rFonts w:cs="Times New Roman"/>
          <w:szCs w:val="24"/>
        </w:rPr>
        <w:t xml:space="preserve"> has been used to enhance lipid production</w:t>
      </w:r>
      <w:r w:rsidRPr="003064C9">
        <w:t xml:space="preserve"> </w:t>
      </w:r>
      <w:r>
        <w:t xml:space="preserve">by the marine microalga </w:t>
      </w:r>
      <w:proofErr w:type="spellStart"/>
      <w:r w:rsidRPr="00E60907">
        <w:rPr>
          <w:rFonts w:cs="Times New Roman"/>
          <w:i/>
          <w:iCs/>
          <w:szCs w:val="24"/>
        </w:rPr>
        <w:t>Aurantiochytrium</w:t>
      </w:r>
      <w:proofErr w:type="spellEnd"/>
      <w:r w:rsidRPr="003064C9">
        <w:rPr>
          <w:rFonts w:cs="Times New Roman"/>
          <w:szCs w:val="24"/>
        </w:rPr>
        <w:t xml:space="preserve"> sp. SW1</w:t>
      </w:r>
      <w:r w:rsidRPr="00833CE8">
        <w:rPr>
          <w:rFonts w:cs="Times New Roman"/>
          <w:szCs w:val="24"/>
        </w:rPr>
        <w:t xml:space="preserve">, </w:t>
      </w:r>
      <w:r>
        <w:rPr>
          <w:rFonts w:cs="Times New Roman"/>
          <w:szCs w:val="24"/>
        </w:rPr>
        <w:t xml:space="preserve">leading to </w:t>
      </w:r>
      <w:r w:rsidRPr="00833CE8">
        <w:rPr>
          <w:rFonts w:cs="Times New Roman"/>
          <w:szCs w:val="24"/>
        </w:rPr>
        <w:t xml:space="preserve">high-value compounds such as polyunsaturated fatty acids (PUFAs) </w:t>
      </w:r>
      <w:r>
        <w:rPr>
          <w:rFonts w:cs="Times New Roman"/>
          <w:szCs w:val="24"/>
        </w:rPr>
        <w:t>such as</w:t>
      </w:r>
      <w:r w:rsidRPr="00242225">
        <w:rPr>
          <w:rFonts w:cs="Times New Roman"/>
          <w:color w:val="FF0000"/>
          <w:szCs w:val="24"/>
        </w:rPr>
        <w:t xml:space="preserve"> </w:t>
      </w:r>
      <w:r>
        <w:rPr>
          <w:rFonts w:cs="Times New Roman"/>
          <w:color w:val="FF0000"/>
          <w:szCs w:val="24"/>
        </w:rPr>
        <w:t>d</w:t>
      </w:r>
      <w:r w:rsidRPr="00E01ADD">
        <w:rPr>
          <w:rFonts w:cs="Times New Roman"/>
          <w:color w:val="FF0000"/>
          <w:szCs w:val="24"/>
        </w:rPr>
        <w:t xml:space="preserve">ocosahexaenoic acid (DHA) </w:t>
      </w:r>
      <w:r>
        <w:rPr>
          <w:rFonts w:cs="Times New Roman"/>
          <w:szCs w:val="24"/>
        </w:rPr>
        <w:t xml:space="preserve"> </w:t>
      </w:r>
      <w:r w:rsidRPr="00833CE8">
        <w:rPr>
          <w:rFonts w:cs="Times New Roman"/>
          <w:szCs w:val="24"/>
        </w:rPr>
        <w:t>or b</w:t>
      </w:r>
      <w:r w:rsidRPr="00E01ADD">
        <w:rPr>
          <w:rFonts w:cs="Times New Roman"/>
          <w:szCs w:val="24"/>
        </w:rPr>
        <w:t xml:space="preserve">iofuels </w:t>
      </w:r>
      <w:r w:rsidRPr="00E01ADD">
        <w:rPr>
          <w:rFonts w:cs="Times New Roman"/>
          <w:szCs w:val="24"/>
        </w:rPr>
        <w:fldChar w:fldCharType="begin"/>
      </w:r>
      <w:r w:rsidRPr="00E01ADD">
        <w:rPr>
          <w:rFonts w:cs="Times New Roman"/>
          <w:szCs w:val="24"/>
        </w:rPr>
        <w:instrText xml:space="preserve"> ADDIN ZOTERO_ITEM CSL_CITATION {"citationID":"8JuUxUMj","properties":{"formattedCitation":"(Zhang et al., 2024)","plainCitation":"(Zhang et al., 2024)","noteIndex":0},"citationItems":[{"id":4323,"uris":["http://zotero.org/users/764524/items/I5IPUTIE"],"itemData":{"id":4323,"type":"article-journal","abstract":"Microalgae, known for rapid growth and lipid richness, hold potential in biofuels and high-value biomolecules. The symbiotic link with bacteria is crucial in large-scale open cultures. This study explores algal-bacterial interactions using a symbiotic model, evaluating acid-resistant Lactic acid bacteria (LAB), stress-resilient Bacillus subtilis and Bacillus licheniformis, and various Escherichia coli strains in the Aurantiochytrium sp. SW1 system. It was observed that E. coli SUC significantly enhanced the growth and lipid production of Aurantiochytrium sp. SW1 by increasing enzyme activity (NAD-IDH, NAD-ME, G6PDH) while maintaining sustained succinic acid release. Optimal co-culture conditions included temperature 28 °C, a 1:10 algae-to-bacteria ratio, and pH 8. Under these conditions, Aurantiochytrium sp. SW1 biomass increased 3.17-fold to 27.83 g/L, and total lipid content increased 2.63-fold to 4.87 g/L. These findings have implications for more efficient microalgal lipid production and large-scale cultivation.","container-title":"Bioresource Technology","DOI":"10.1016/j.biortech.2023.130232","ISSN":"0960-8524","journalAbbreviation":"Bioresour. Technol.","page":"130232","source":"ScienceDirect","title":"Mechanism of enhanced microalgal biomass and lipid accumulation through symbiosis between a highly succinic acid-producing strain of &lt;i&gt;Escherichia coli&lt;/i&gt; SUC and &lt;i&gt;Aurantiochytrium&lt;/i&gt; sp. SW1","volume":"394","author":[{"family":"Zhang","given":"Mei-Yu"},{"family":"Xu","given":"Xin-Ru"},{"family":"Zhao","given":"Ru-Ping"},{"family":"Huang","given":"Chao"},{"family":"Song","given":"Yuan-Da"},{"family":"Zhao","given":"Zi-Tong"},{"family":"Zhao","given":"Yu-Bin"},{"family":"Ren","given":"Xiao-Jie"},{"family":"Zhao","given":"Xin-He"}],"issued":{"date-parts":[["2024",2,1]]}}}],"schema":"https://github.com/citation-style-language/schema/raw/master/csl-citation.json"} </w:instrText>
      </w:r>
      <w:r w:rsidRPr="00E01ADD">
        <w:rPr>
          <w:rFonts w:cs="Times New Roman"/>
          <w:szCs w:val="24"/>
        </w:rPr>
        <w:fldChar w:fldCharType="separate"/>
      </w:r>
      <w:r w:rsidRPr="00E01ADD">
        <w:rPr>
          <w:rFonts w:cs="Times New Roman"/>
        </w:rPr>
        <w:t>(Zhang et al., 2024)</w:t>
      </w:r>
      <w:r w:rsidRPr="00E01ADD">
        <w:rPr>
          <w:rFonts w:cs="Times New Roman"/>
          <w:szCs w:val="24"/>
        </w:rPr>
        <w:fldChar w:fldCharType="end"/>
      </w:r>
      <w:r w:rsidRPr="00E01ADD">
        <w:rPr>
          <w:rFonts w:cs="Times New Roman"/>
          <w:szCs w:val="24"/>
        </w:rPr>
        <w:t xml:space="preserve">.  </w:t>
      </w:r>
      <w:bookmarkStart w:id="20" w:name="_Hlk191634573"/>
      <w:r w:rsidRPr="00E01ADD">
        <w:rPr>
          <w:rFonts w:cs="Times New Roman"/>
          <w:color w:val="FF0000"/>
          <w:szCs w:val="24"/>
        </w:rPr>
        <w:t xml:space="preserve">The total lipid content </w:t>
      </w:r>
      <w:r w:rsidR="00BB26F6">
        <w:rPr>
          <w:rFonts w:cs="Times New Roman"/>
          <w:color w:val="FF0000"/>
          <w:szCs w:val="24"/>
        </w:rPr>
        <w:t xml:space="preserve">of </w:t>
      </w:r>
      <w:proofErr w:type="spellStart"/>
      <w:r w:rsidRPr="00E01ADD">
        <w:rPr>
          <w:rFonts w:cs="Times New Roman"/>
          <w:i/>
          <w:iCs/>
          <w:color w:val="FF0000"/>
          <w:szCs w:val="24"/>
        </w:rPr>
        <w:t>Aurantiochytrium</w:t>
      </w:r>
      <w:proofErr w:type="spellEnd"/>
      <w:r w:rsidRPr="00E01ADD">
        <w:rPr>
          <w:rFonts w:cs="Times New Roman"/>
          <w:color w:val="FF0000"/>
          <w:szCs w:val="24"/>
        </w:rPr>
        <w:t xml:space="preserve"> increased 2.63-fold</w:t>
      </w:r>
      <w:r>
        <w:rPr>
          <w:rFonts w:cs="Times New Roman"/>
          <w:color w:val="FF0000"/>
          <w:szCs w:val="24"/>
        </w:rPr>
        <w:t xml:space="preserve"> while the </w:t>
      </w:r>
      <w:r w:rsidRPr="00E01ADD">
        <w:rPr>
          <w:rFonts w:cs="Times New Roman"/>
          <w:color w:val="FF0000"/>
          <w:szCs w:val="24"/>
        </w:rPr>
        <w:t xml:space="preserve">biomass increased 3.17-fold.  </w:t>
      </w:r>
      <w:r>
        <w:rPr>
          <w:rFonts w:cs="Times New Roman"/>
          <w:color w:val="FF0000"/>
          <w:szCs w:val="24"/>
        </w:rPr>
        <w:t xml:space="preserve">The DHA </w:t>
      </w:r>
      <w:r w:rsidRPr="00E01ADD">
        <w:rPr>
          <w:rFonts w:cs="Times New Roman"/>
          <w:color w:val="FF0000"/>
          <w:szCs w:val="24"/>
        </w:rPr>
        <w:t xml:space="preserve">content was determined to be 42.69% </w:t>
      </w:r>
      <w:r>
        <w:rPr>
          <w:rFonts w:cs="Times New Roman"/>
          <w:color w:val="FF0000"/>
          <w:szCs w:val="24"/>
        </w:rPr>
        <w:t xml:space="preserve">of total fatty acids </w:t>
      </w:r>
      <w:r w:rsidRPr="00E01ADD">
        <w:rPr>
          <w:rFonts w:cs="Times New Roman"/>
          <w:color w:val="FF0000"/>
          <w:szCs w:val="24"/>
        </w:rPr>
        <w:t>in</w:t>
      </w:r>
      <w:r>
        <w:rPr>
          <w:rFonts w:cs="Times New Roman"/>
          <w:color w:val="FF0000"/>
          <w:szCs w:val="24"/>
        </w:rPr>
        <w:t xml:space="preserve"> the</w:t>
      </w:r>
      <w:r w:rsidRPr="00E01ADD">
        <w:rPr>
          <w:rFonts w:cs="Times New Roman"/>
          <w:color w:val="FF0000"/>
          <w:szCs w:val="24"/>
        </w:rPr>
        <w:t xml:space="preserve"> co</w:t>
      </w:r>
      <w:r>
        <w:rPr>
          <w:rFonts w:cs="Times New Roman"/>
          <w:color w:val="FF0000"/>
          <w:szCs w:val="24"/>
        </w:rPr>
        <w:t>-</w:t>
      </w:r>
      <w:r w:rsidRPr="00E01ADD">
        <w:rPr>
          <w:rFonts w:cs="Times New Roman"/>
          <w:color w:val="FF0000"/>
          <w:szCs w:val="24"/>
        </w:rPr>
        <w:t>culture compared to 25.26% in axenic algal culture.  The addition of succinate</w:t>
      </w:r>
      <w:r>
        <w:rPr>
          <w:rFonts w:cs="Times New Roman"/>
          <w:color w:val="FF0000"/>
          <w:szCs w:val="24"/>
        </w:rPr>
        <w:t xml:space="preserve"> to the axenic culture</w:t>
      </w:r>
      <w:r w:rsidRPr="00E01ADD">
        <w:rPr>
          <w:rFonts w:cs="Times New Roman"/>
          <w:color w:val="FF0000"/>
          <w:szCs w:val="24"/>
        </w:rPr>
        <w:t xml:space="preserve"> was also capable of increasing the DHA content, but only up to 38.13%, demonstrating the superior effect of the co</w:t>
      </w:r>
      <w:r>
        <w:rPr>
          <w:rFonts w:cs="Times New Roman"/>
          <w:color w:val="FF0000"/>
          <w:szCs w:val="24"/>
        </w:rPr>
        <w:t>-</w:t>
      </w:r>
      <w:r w:rsidRPr="00E01ADD">
        <w:rPr>
          <w:rFonts w:cs="Times New Roman"/>
          <w:color w:val="FF0000"/>
          <w:szCs w:val="24"/>
        </w:rPr>
        <w:t xml:space="preserve">culture. </w:t>
      </w:r>
      <w:bookmarkEnd w:id="20"/>
      <w:r w:rsidRPr="00833CE8">
        <w:rPr>
          <w:rFonts w:cs="Times New Roman"/>
          <w:szCs w:val="24"/>
        </w:rPr>
        <w:t xml:space="preserve">Indeed, enhancement </w:t>
      </w:r>
      <w:r>
        <w:rPr>
          <w:rFonts w:cs="Times New Roman"/>
          <w:szCs w:val="24"/>
        </w:rPr>
        <w:t xml:space="preserve">of potential </w:t>
      </w:r>
      <w:r w:rsidRPr="00833CE8">
        <w:rPr>
          <w:rFonts w:cs="Times New Roman"/>
          <w:szCs w:val="24"/>
        </w:rPr>
        <w:t xml:space="preserve">biofuel production by microalgae has been a target of study for microalgae-bacteria </w:t>
      </w:r>
      <w:r w:rsidRPr="00E60907">
        <w:rPr>
          <w:rFonts w:cs="Times New Roman"/>
          <w:szCs w:val="24"/>
        </w:rPr>
        <w:t>consortia</w:t>
      </w:r>
      <w:r w:rsidRPr="00833CE8">
        <w:rPr>
          <w:rFonts w:cs="Times New Roman"/>
          <w:szCs w:val="24"/>
        </w:rPr>
        <w:t xml:space="preserve"> </w:t>
      </w:r>
      <w:r w:rsidRPr="00833CE8">
        <w:rPr>
          <w:rFonts w:cs="Times New Roman"/>
          <w:szCs w:val="24"/>
        </w:rPr>
        <w:fldChar w:fldCharType="begin"/>
      </w:r>
      <w:r w:rsidRPr="00833CE8">
        <w:rPr>
          <w:rFonts w:cs="Times New Roman"/>
          <w:szCs w:val="24"/>
        </w:rPr>
        <w:instrText xml:space="preserve"> ADDIN ZOTERO_ITEM CSL_CITATION {"citationID":"t5sUkCdw","properties":{"formattedCitation":"(Yao et al., 2019)","plainCitation":"(Yao et al., 2019)","noteIndex":0},"citationItems":[{"id":4378,"uris":["http://zotero.org/users/764524/items/RZQH7UB8"],"itemData":{"id":4378,"type":"article-journal","abstract":"Photosynthetic microalgae can capture solar energy and convert it to bioenergy and biochemical products. In nature or industrial processes, microalgae live together with bacterial communities and may...","container-title":"Journal of Applied Microbiology","DOI":"10.1111/jam.14095","ISSN":"1365-2672","issue":"2","journalAbbreviation":"J. App. Microbiol.","language":"en","note":"publisher: John Wiley &amp; Sons, Ltd","page":"359-368","source":"enviromicro-journals.onlinelibrary.wiley.com","title":"Microalgae–bacteria symbiosis in microalgal growth and biofuel production: a review","title-short":"Microalgae–bacteria symbiosis in microalgal growth and biofuel production","volume":"126","author":[{"family":"Yao","given":"S."},{"family":"Lyu","given":"S."},{"family":"An","given":"Y."},{"family":"Lu","given":"J."},{"family":"Gjermansen","given":"C."},{"family":"Schramm","given":"A."}],"issued":{"date-parts":[["2019",2,1]]}}}],"schema":"https://github.com/citation-style-language/schema/raw/master/csl-citation.json"} </w:instrText>
      </w:r>
      <w:r w:rsidRPr="00833CE8">
        <w:rPr>
          <w:rFonts w:cs="Times New Roman"/>
          <w:szCs w:val="24"/>
        </w:rPr>
        <w:fldChar w:fldCharType="separate"/>
      </w:r>
      <w:r w:rsidRPr="00833CE8">
        <w:rPr>
          <w:rFonts w:cs="Times New Roman"/>
        </w:rPr>
        <w:t>(Yao et al., 2019)</w:t>
      </w:r>
      <w:r w:rsidRPr="00833CE8">
        <w:rPr>
          <w:rFonts w:cs="Times New Roman"/>
          <w:szCs w:val="24"/>
        </w:rPr>
        <w:fldChar w:fldCharType="end"/>
      </w:r>
      <w:r w:rsidRPr="00833CE8">
        <w:rPr>
          <w:rFonts w:cs="Times New Roman"/>
          <w:szCs w:val="24"/>
        </w:rPr>
        <w:t xml:space="preserve">.   </w:t>
      </w:r>
      <w:r>
        <w:rPr>
          <w:rFonts w:cs="Times New Roman"/>
          <w:szCs w:val="24"/>
        </w:rPr>
        <w:t>Communities</w:t>
      </w:r>
      <w:r w:rsidRPr="00833CE8">
        <w:rPr>
          <w:rFonts w:cs="Times New Roman"/>
          <w:szCs w:val="24"/>
        </w:rPr>
        <w:t xml:space="preserve"> of microalgae and bacteria</w:t>
      </w:r>
      <w:r w:rsidRPr="00833CE8">
        <w:rPr>
          <w:rFonts w:cs="Times New Roman"/>
          <w:b/>
          <w:bCs/>
          <w:szCs w:val="24"/>
        </w:rPr>
        <w:t xml:space="preserve"> </w:t>
      </w:r>
      <w:r w:rsidRPr="00833CE8">
        <w:rPr>
          <w:rFonts w:cs="Times New Roman"/>
          <w:szCs w:val="24"/>
        </w:rPr>
        <w:t>have also been used for wastewater</w:t>
      </w:r>
      <w:r w:rsidRPr="00833CE8">
        <w:rPr>
          <w:rFonts w:cs="Times New Roman"/>
          <w:b/>
          <w:bCs/>
          <w:szCs w:val="24"/>
        </w:rPr>
        <w:t xml:space="preserve"> </w:t>
      </w:r>
      <w:r w:rsidRPr="00833CE8">
        <w:rPr>
          <w:rFonts w:cs="Times New Roman"/>
          <w:szCs w:val="24"/>
        </w:rPr>
        <w:t xml:space="preserve">bioremediation </w:t>
      </w:r>
      <w:r w:rsidRPr="00833CE8">
        <w:rPr>
          <w:rFonts w:cs="Times New Roman"/>
          <w:szCs w:val="24"/>
        </w:rPr>
        <w:fldChar w:fldCharType="begin"/>
      </w:r>
      <w:r w:rsidRPr="00833CE8">
        <w:rPr>
          <w:rFonts w:cs="Times New Roman"/>
          <w:szCs w:val="24"/>
        </w:rPr>
        <w:instrText xml:space="preserve"> ADDIN ZOTERO_ITEM CSL_CITATION {"citationID":"9UhhbHeH","properties":{"formattedCitation":"(Dai and Wang, 2024; Zhang et al., 2023)","plainCitation":"(Dai and Wang, 2024; Zhang et al., 2023)","noteIndex":0},"citationItems":[{"id":4461,"uris":["http://zotero.org/users/764524/items/EQNVP4QU"],"itemData":{"id":4461,"type":"article-journal","abstract":"The use of microalgae–bacteria consortia (MBC) for wastewater treatment has garnered attention as their interactions impart greater environmental adaptability and stability compared with that obtained by only microalgae or bacteria use, thereby improving the efficiency of pollutant removal and bio-product productivity. Additionally, the value-added bio-products produced via biorefineries can improve economic competitiveness and environmental sustainability. Therefore, this review focuses on the interaction between microalgae and bacteria that leads to nutrient exchange, gene transfer and signal transduction to comprehensively understand the interaction mechanisms underlying their strong adaptability. In addition, it includes recent research in which MBC has been efficiently used to treat various wastewater. Moreover, the review summarizes the use of MBC-produced biomass in a biorefining context to produce biofuel, biomaterial, high-value bio-products and bio-fertilizer. Overall, more effort is needed to identify the symbiotic mechanism in MBC to provide a foundation for circular bio-economy and environmentally friendly development programmes.","container-title":"Bioresource Technology","DOI":"10.1016/j.biortech.2023.130019","ISSN":"0960-8524","journalAbbreviation":"Bioresour. Technol.","page":"130019","source":"ScienceDirect","title":"Potential applications of microalgae–bacteria consortia in wastewater treatment and biorefinery","volume":"393","author":[{"family":"Dai","given":"Chenming"},{"family":"Wang","given":"Feifei"}],"issued":{"date-parts":[["2024",2,1]]}}},{"id":9242,"uris":["http://zotero.org/users/764524/items/ZLPUXJZD"],"itemData":{"id":9242,"type":"article-journal","abstract":"Conventional biological treatment usually cannot achieve the same high water quality as advanced treatment when conducted under varied temperatures. Here, satisfactory wastewater treatment efficiency was observed in a microalgae-bacteria consortia (MBC) over a wide temperature range because of the predominance of microalgae. Microalgae contributed more toward wastewater treatment at low temperature because of the unsatisfactory performance of the accompanying bacteria, which experienced cold stress (e.g., bacterial abundance below 3000 sequences) and executed defensive strategies (e.g., enrichment of cold-shock proteins). A low abundance of amoA-C and hao indicated that conventional nitrogen removal was replaced through the involvement of microalgae. Diverse heterotrophic bacteria for nitrogen removal were identified at medium and high temperatures, implying this microbial niche treatment contained diverse flexible consortia with temperature variation. Additionally, pathogenic bacteria were eliminated through microalgal photosynthesis. After fitting the neutral community model and calculating the ecological niche, microalgae achieved a maximum niche breadth of 5.21 and the lowest niche overlap of 0.38, while the accompanying bacterial community in the consortia were shaped through deterministic processes. Finally, the maximum energy yield of 87.4 kJ L−1 and lipid production of 1.9 g L−1 were achieved at medium temperature. Altogether, this study demonstrates that advanced treatment and energy reclamation can be achieved through microalgae-bacteria niche strategies.","container-title":"Environmental Science and Ecotechnology","DOI":"10.1016/j.ese.2022.100230","ISSN":"2666-4984","journalAbbreviation":"Environ. Sci. Ecotechnol.","page":"100230","source":"ScienceDirect","title":"Revealing the role of microalgae-bacteria niche for boosting wastewater treatment and energy reclamation in response to temperature","volume":"14","author":[{"family":"Zhang","given":"Chaofan"},{"family":"Chen","given":"Xi"},{"family":"Han","given":"Meina"},{"family":"Li","given":"Xue"},{"family":"Chang","given":"Haixing"},{"family":"Ren","given":"Nanqi"},{"family":"Ho","given":"Shih-Hsin"}],"issued":{"date-parts":[["2023",4,1]]}}}],"schema":"https://github.com/citation-style-language/schema/raw/master/csl-citation.json"} </w:instrText>
      </w:r>
      <w:r w:rsidRPr="00833CE8">
        <w:rPr>
          <w:rFonts w:cs="Times New Roman"/>
          <w:szCs w:val="24"/>
        </w:rPr>
        <w:fldChar w:fldCharType="separate"/>
      </w:r>
      <w:r w:rsidRPr="00833CE8">
        <w:rPr>
          <w:rFonts w:cs="Times New Roman"/>
        </w:rPr>
        <w:t>(Dai and Wang, 2024; Zhang et al., 2023)</w:t>
      </w:r>
      <w:r w:rsidRPr="00833CE8">
        <w:rPr>
          <w:rFonts w:cs="Times New Roman"/>
          <w:szCs w:val="24"/>
        </w:rPr>
        <w:fldChar w:fldCharType="end"/>
      </w:r>
      <w:r w:rsidRPr="00833CE8">
        <w:rPr>
          <w:rFonts w:cs="Times New Roman"/>
          <w:szCs w:val="24"/>
        </w:rPr>
        <w:t xml:space="preserve">. Finally, these </w:t>
      </w:r>
      <w:r w:rsidRPr="00E60907">
        <w:rPr>
          <w:rFonts w:cs="Times New Roman"/>
          <w:szCs w:val="24"/>
        </w:rPr>
        <w:t>consortia</w:t>
      </w:r>
      <w:r w:rsidRPr="00833CE8">
        <w:rPr>
          <w:rFonts w:cs="Times New Roman"/>
          <w:szCs w:val="24"/>
        </w:rPr>
        <w:t xml:space="preserve"> can be used in the synthesis of bioproducts such as prebiotics, cosmetics, and antibiotics </w:t>
      </w:r>
      <w:r w:rsidRPr="00833CE8">
        <w:rPr>
          <w:rFonts w:cs="Times New Roman"/>
          <w:szCs w:val="24"/>
        </w:rPr>
        <w:fldChar w:fldCharType="begin"/>
      </w:r>
      <w:r w:rsidRPr="00833CE8">
        <w:rPr>
          <w:rFonts w:cs="Times New Roman"/>
          <w:szCs w:val="24"/>
        </w:rPr>
        <w:instrText xml:space="preserve"> ADDIN ZOTERO_ITEM CSL_CITATION {"citationID":"voH4IFY3","properties":{"formattedCitation":"(Santo et al., 2022)","plainCitation":"(Santo et al., 2022)","noteIndex":0},"citationItems":[{"id":4539,"uris":["http://zotero.org/users/764524/items/QBZ9JNB5"],"itemData":{"id":4539,"type":"article-journal","abstract":"The applications of microalgae biomass have been widely studied worldwide. The classical processes used in outdoor cultivations of microalgae, in closed or open photobioreactors, occur in the presence of bacteria. Understanding how communication between cells occurs through quorum sensing and evaluating co-cultures allows the production of microalgae and cyanobacteria to be positively impacted by bacteria, in order to guarantee safety and profitability in the production process. In addition, the definition of the effects that occur during an interaction, promotes insights to improve the production of biomolecules, and to develop innovative products. This review presents the interactions between microalgae and bacteria, including compounds exchanges and communication, and addresses the development of new pharmaceutical, cosmetic and food bioproducts from microalgae based on these evaluations, such as prebiotics, vegan skincare products, antimicrobial compounds, and culture media with animal free protein for producing vaccines and other biopharmaceutical products. The use of microalgae as raw biomass or in biotechnological platforms is in line with the fulfillment of the 2030 Agenda related to the Sustainable Development Goals (SDGs).","container-title":"Microorganisms","DOI":"10.3390/microorganisms10102029","ISSN":"2076-2607","issue":"10","language":"en","license":"http://creativecommons.org/licenses/by/3.0/","note":"number: 10\npublisher: Multidisciplinary Digital Publishing Institute","page":"2029","source":"www.mdpi.com","title":"Obtaining Bioproducts from the Studies of Signals and Interactions between Microalgae and Bacteria","volume":"10","author":[{"family":"Santo","given":"Évellin do Espirito"},{"family":"Ishii","given":"Marina"},{"family":"Pinto","given":"Uelinton Manoel"},{"family":"Matsudo","given":"Marcelo Chuei"},{"family":"Carvalho","given":"João Carlos Monteiro","dropping-particle":"de"}],"issued":{"date-parts":[["2022",10]]}}}],"schema":"https://github.com/citation-style-language/schema/raw/master/csl-citation.json"} </w:instrText>
      </w:r>
      <w:r w:rsidRPr="00833CE8">
        <w:rPr>
          <w:rFonts w:cs="Times New Roman"/>
          <w:szCs w:val="24"/>
        </w:rPr>
        <w:fldChar w:fldCharType="separate"/>
      </w:r>
      <w:r w:rsidRPr="00833CE8">
        <w:rPr>
          <w:rFonts w:cs="Times New Roman"/>
        </w:rPr>
        <w:t>(Santo et al., 2022)</w:t>
      </w:r>
      <w:r w:rsidRPr="00833CE8">
        <w:rPr>
          <w:rFonts w:cs="Times New Roman"/>
          <w:szCs w:val="24"/>
        </w:rPr>
        <w:fldChar w:fldCharType="end"/>
      </w:r>
      <w:r w:rsidRPr="00833CE8">
        <w:rPr>
          <w:rFonts w:cs="Times New Roman"/>
          <w:szCs w:val="24"/>
        </w:rPr>
        <w:t xml:space="preserve">.  Porous </w:t>
      </w:r>
      <w:r>
        <w:rPr>
          <w:rFonts w:cs="Times New Roman"/>
          <w:szCs w:val="24"/>
        </w:rPr>
        <w:t>support</w:t>
      </w:r>
      <w:r w:rsidRPr="00833CE8">
        <w:rPr>
          <w:rFonts w:cs="Times New Roman"/>
          <w:szCs w:val="24"/>
        </w:rPr>
        <w:t xml:space="preserve">-based bioreactors have been used for monocultures of microalgae, but recent research has </w:t>
      </w:r>
      <w:r>
        <w:rPr>
          <w:rFonts w:cs="Times New Roman"/>
          <w:szCs w:val="24"/>
        </w:rPr>
        <w:t xml:space="preserve">also </w:t>
      </w:r>
      <w:r w:rsidRPr="00833CE8">
        <w:rPr>
          <w:rFonts w:cs="Times New Roman"/>
          <w:szCs w:val="24"/>
        </w:rPr>
        <w:t>shown the potential for their application with microalgae-bacteria consortia</w:t>
      </w:r>
      <w:r>
        <w:rPr>
          <w:rFonts w:cs="Times New Roman"/>
          <w:szCs w:val="24"/>
        </w:rPr>
        <w:t xml:space="preserve">.  </w:t>
      </w:r>
      <w:bookmarkStart w:id="21" w:name="_Hlk191634607"/>
      <w:r w:rsidRPr="00C62697">
        <w:rPr>
          <w:rFonts w:cs="Times New Roman"/>
          <w:color w:val="FF0000"/>
          <w:szCs w:val="24"/>
        </w:rPr>
        <w:t xml:space="preserve">For example, consortia of freshwater </w:t>
      </w:r>
      <w:r w:rsidRPr="00C62697">
        <w:rPr>
          <w:rFonts w:cs="Times New Roman"/>
          <w:i/>
          <w:iCs/>
          <w:color w:val="FF0000"/>
          <w:szCs w:val="24"/>
        </w:rPr>
        <w:t>C. vulgaris</w:t>
      </w:r>
      <w:r w:rsidRPr="00C62697">
        <w:rPr>
          <w:rFonts w:cs="Times New Roman"/>
          <w:color w:val="FF0000"/>
          <w:szCs w:val="24"/>
        </w:rPr>
        <w:t xml:space="preserve"> or marine </w:t>
      </w:r>
      <w:proofErr w:type="spellStart"/>
      <w:r w:rsidRPr="00C62697">
        <w:rPr>
          <w:rFonts w:cs="Times New Roman"/>
          <w:i/>
          <w:iCs/>
          <w:color w:val="FF0000"/>
          <w:szCs w:val="24"/>
        </w:rPr>
        <w:t>Cylindrotheca</w:t>
      </w:r>
      <w:proofErr w:type="spellEnd"/>
      <w:r w:rsidRPr="00C62697">
        <w:rPr>
          <w:rFonts w:cs="Times New Roman"/>
          <w:i/>
          <w:iCs/>
          <w:color w:val="FF0000"/>
          <w:szCs w:val="24"/>
        </w:rPr>
        <w:t xml:space="preserve"> fusiformis</w:t>
      </w:r>
      <w:r w:rsidRPr="00C62697">
        <w:rPr>
          <w:rFonts w:cs="Times New Roman"/>
          <w:color w:val="FF0000"/>
          <w:szCs w:val="24"/>
        </w:rPr>
        <w:t xml:space="preserve"> microalgae with </w:t>
      </w:r>
      <w:r w:rsidRPr="00C62697">
        <w:rPr>
          <w:rFonts w:cs="Times New Roman"/>
          <w:i/>
          <w:iCs/>
          <w:color w:val="FF0000"/>
          <w:szCs w:val="24"/>
        </w:rPr>
        <w:t xml:space="preserve">E. coli </w:t>
      </w:r>
      <w:r w:rsidRPr="00C62697">
        <w:rPr>
          <w:rFonts w:cs="Times New Roman"/>
          <w:color w:val="FF0000"/>
          <w:szCs w:val="24"/>
        </w:rPr>
        <w:t>have been designed</w:t>
      </w:r>
      <w:r w:rsidRPr="00833CE8">
        <w:rPr>
          <w:rFonts w:cs="Times New Roman"/>
          <w:szCs w:val="24"/>
        </w:rPr>
        <w:t xml:space="preserve"> </w:t>
      </w:r>
      <w:r w:rsidRPr="00833CE8">
        <w:rPr>
          <w:rFonts w:cs="Times New Roman"/>
          <w:szCs w:val="24"/>
        </w:rPr>
        <w:fldChar w:fldCharType="begin"/>
      </w:r>
      <w:r w:rsidRPr="00833CE8">
        <w:rPr>
          <w:rFonts w:cs="Times New Roman"/>
          <w:szCs w:val="24"/>
        </w:rPr>
        <w:instrText xml:space="preserve"> ADDIN ZOTERO_ITEM CSL_CITATION {"citationID":"b319iHCv","properties":{"formattedCitation":"(Tong et al., 2024)","plainCitation":"(Tong et al., 2024)","noteIndex":0},"citationItems":[{"id":4324,"uris":["http://zotero.org/users/764524/items/LHL5JKZ7"],"itemData":{"id":4324,"type":"article-journal","abstract":"Research on renewable energy from microalgae has led to a growing interest in porous substrate photobioreactors, but their widespread adoption is currently limited to pure microalgal biofilm cultures. The behavior of microalgal-bacterial biofilms immobilized on microporous substrates remains as a research challenge, particularly in uncovering their mutualistic interactions in environment enriched with dissolved organic matter. Therefore, this study established a novel culture platform by introducing microalgal-derived bio-coating that preconditioned hydrophilic polyvinylidene fluoride membranes for the microalgal-bacterial biofilm growth of freshwater microalgae, Chlorella vulgaris ESP 31 and marine microalgae, Cylindrotheca fusiformis with bacteria, Escherichia coli. In the attached co-culture mode, the bio-coating we proposed demonstrated the ability to enhance microalgal growth for both studied species by a range of 2.5 % to 19 % starting from day 10 onwards. Additionally, when compared to co-culture on uncoated membranes, the bio-coating exhibited a significant bacterial growth promotion effect, increasing bacterial growth by at least 2.35 times for the C. vulgaris-E. coli co-culture after an initial adaptation phase. A significant increase of at least 72 % in intracellular biochemical compounds (including chlorophyll, polysaccharides, proteins, and lipids) was observed within just five days, primarily due to the high concentration of pre-coated organic matter, mainly sourced from the internal organic matter (IOM) of C. fusiformis. Higher accumulation of organic compounds in the bio-coating indirectly triggers a competition between microalgae and bacteria which potentially stimulate the production of additional intra−/extra-organic substances as a defensive response. In short, insight gained from this study may represent a paradigm shift in the ways that symbiotic interactions are promoted to increase the yield of specific bio-compounds with the presence of bio-coating.","container-title":"Science of The Total Environment","DOI":"10.1016/j.scitotenv.2023.167576","ISSN":"0048-9697","journalAbbreviation":"Sci. Total Environ.","page":"167576","source":"ScienceDirect","title":"Enhancing organic matter productivity in microalgal-bacterial biofilm using novel bio-coating","volume":"906","author":[{"family":"Tong","given":"C. Y."},{"family":"Honda","given":"Kohsuke"},{"family":"Derek","given":"C. J. C."}],"issued":{"date-parts":[["2024",1,1]]}}}],"schema":"https://github.com/citation-style-language/schema/raw/master/csl-citation.json"} </w:instrText>
      </w:r>
      <w:r w:rsidRPr="00833CE8">
        <w:rPr>
          <w:rFonts w:cs="Times New Roman"/>
          <w:szCs w:val="24"/>
        </w:rPr>
        <w:fldChar w:fldCharType="separate"/>
      </w:r>
      <w:r w:rsidRPr="00833CE8">
        <w:rPr>
          <w:rFonts w:cs="Times New Roman"/>
        </w:rPr>
        <w:t>(Tong et al., 2024)</w:t>
      </w:r>
      <w:r w:rsidRPr="00833CE8">
        <w:rPr>
          <w:rFonts w:cs="Times New Roman"/>
          <w:szCs w:val="24"/>
        </w:rPr>
        <w:fldChar w:fldCharType="end"/>
      </w:r>
      <w:r>
        <w:rPr>
          <w:rFonts w:cs="Times New Roman"/>
          <w:szCs w:val="24"/>
        </w:rPr>
        <w:t xml:space="preserve">.  </w:t>
      </w:r>
      <w:r w:rsidRPr="00D867AD">
        <w:rPr>
          <w:rFonts w:cs="Times New Roman"/>
          <w:szCs w:val="24"/>
        </w:rPr>
        <w:t xml:space="preserve">For the </w:t>
      </w:r>
      <w:r w:rsidRPr="00D867AD">
        <w:rPr>
          <w:rFonts w:cs="Times New Roman"/>
          <w:i/>
          <w:iCs/>
          <w:color w:val="FF0000"/>
          <w:szCs w:val="24"/>
        </w:rPr>
        <w:t xml:space="preserve">C. vulgaris </w:t>
      </w:r>
      <w:r w:rsidRPr="00D867AD">
        <w:rPr>
          <w:rFonts w:cs="Times New Roman"/>
          <w:color w:val="FF0000"/>
          <w:szCs w:val="24"/>
        </w:rPr>
        <w:t>consortia</w:t>
      </w:r>
      <w:r w:rsidRPr="00D867AD">
        <w:rPr>
          <w:rFonts w:cs="Times New Roman"/>
          <w:i/>
          <w:iCs/>
          <w:color w:val="FF0000"/>
          <w:szCs w:val="24"/>
        </w:rPr>
        <w:t>,</w:t>
      </w:r>
      <w:r w:rsidRPr="00D867AD">
        <w:rPr>
          <w:rFonts w:cs="Times New Roman"/>
          <w:color w:val="FF0000"/>
          <w:szCs w:val="24"/>
        </w:rPr>
        <w:t xml:space="preserve"> polysaccharide levels were significantly increased on day 5, with 190.6±20.5 mg/m</w:t>
      </w:r>
      <w:r w:rsidRPr="00D867AD">
        <w:rPr>
          <w:rFonts w:cs="Times New Roman"/>
          <w:color w:val="FF0000"/>
          <w:szCs w:val="24"/>
          <w:vertAlign w:val="superscript"/>
        </w:rPr>
        <w:t>2</w:t>
      </w:r>
      <w:r w:rsidRPr="00D867AD">
        <w:rPr>
          <w:rFonts w:cs="Times New Roman"/>
          <w:color w:val="FF0000"/>
          <w:szCs w:val="24"/>
        </w:rPr>
        <w:t xml:space="preserve"> obtained from cultures grown on membranes coated with internal organic matter (IOM) of the algae compared to the control 140.3±5.3 mg m</w:t>
      </w:r>
      <w:r w:rsidRPr="00D867AD">
        <w:rPr>
          <w:rFonts w:cs="Times New Roman"/>
          <w:color w:val="FF0000"/>
          <w:szCs w:val="24"/>
          <w:vertAlign w:val="superscript"/>
        </w:rPr>
        <w:t>−2</w:t>
      </w:r>
      <w:r w:rsidRPr="00D867AD">
        <w:rPr>
          <w:rFonts w:cs="Times New Roman"/>
          <w:color w:val="FF0000"/>
          <w:szCs w:val="24"/>
        </w:rPr>
        <w:t>) obtained from the axenic group</w:t>
      </w:r>
      <w:r>
        <w:rPr>
          <w:rFonts w:cs="Times New Roman"/>
          <w:color w:val="FF0000"/>
          <w:szCs w:val="24"/>
        </w:rPr>
        <w:t>, although the overall polysaccharide content on day 15 showed  no significant differences</w:t>
      </w:r>
      <w:r w:rsidRPr="00D867AD">
        <w:rPr>
          <w:rFonts w:cs="Times New Roman"/>
          <w:color w:val="FF0000"/>
          <w:szCs w:val="24"/>
        </w:rPr>
        <w:t>.</w:t>
      </w:r>
      <w:r w:rsidRPr="00D867AD">
        <w:rPr>
          <w:rFonts w:cs="Times New Roman"/>
          <w:i/>
          <w:iCs/>
          <w:color w:val="FF0000"/>
          <w:szCs w:val="24"/>
        </w:rPr>
        <w:t xml:space="preserve">  </w:t>
      </w:r>
      <w:r w:rsidRPr="00D867AD">
        <w:rPr>
          <w:rFonts w:cs="Times New Roman"/>
          <w:color w:val="FF0000"/>
          <w:szCs w:val="24"/>
        </w:rPr>
        <w:t xml:space="preserve">While the </w:t>
      </w:r>
      <w:r w:rsidRPr="00D867AD">
        <w:rPr>
          <w:rFonts w:cs="Times New Roman"/>
          <w:i/>
          <w:iCs/>
          <w:color w:val="FF0000"/>
          <w:szCs w:val="24"/>
        </w:rPr>
        <w:t>C. vulgaris</w:t>
      </w:r>
      <w:r w:rsidRPr="00D867AD">
        <w:rPr>
          <w:rFonts w:cs="Times New Roman"/>
          <w:color w:val="FF0000"/>
          <w:szCs w:val="24"/>
        </w:rPr>
        <w:t xml:space="preserve"> system showed no significant changes to lipid production, the lipid content of </w:t>
      </w:r>
      <w:r w:rsidRPr="00D867AD">
        <w:rPr>
          <w:rFonts w:cs="Times New Roman"/>
          <w:i/>
          <w:iCs/>
          <w:color w:val="FF0000"/>
          <w:szCs w:val="24"/>
        </w:rPr>
        <w:t>C. fusiformis</w:t>
      </w:r>
      <w:r w:rsidRPr="00D867AD">
        <w:rPr>
          <w:rFonts w:cs="Times New Roman"/>
          <w:color w:val="FF0000"/>
          <w:szCs w:val="24"/>
        </w:rPr>
        <w:t xml:space="preserve"> was higher in cultures grown on IOM-treated membranes compared </w:t>
      </w:r>
      <w:r w:rsidRPr="00D867AD">
        <w:rPr>
          <w:rFonts w:cs="Times New Roman"/>
          <w:color w:val="FF0000"/>
          <w:szCs w:val="24"/>
        </w:rPr>
        <w:lastRenderedPageBreak/>
        <w:t>to the untreated membrane co-culture group, with an increase of 126% by day 5 and 22% by day 10.</w:t>
      </w:r>
      <w:r w:rsidRPr="00175FB2">
        <w:rPr>
          <w:rFonts w:cs="Times New Roman"/>
          <w:i/>
          <w:iCs/>
          <w:color w:val="FF0000"/>
          <w:szCs w:val="24"/>
        </w:rPr>
        <w:t xml:space="preserve">  </w:t>
      </w:r>
      <w:bookmarkEnd w:id="21"/>
    </w:p>
    <w:p w14:paraId="4D1DB32A" w14:textId="207F242D" w:rsidR="00445000" w:rsidRDefault="00445000" w:rsidP="00445000">
      <w:pPr>
        <w:snapToGrid w:val="0"/>
        <w:spacing w:line="360" w:lineRule="auto"/>
        <w:ind w:firstLine="284"/>
        <w:jc w:val="both"/>
        <w:rPr>
          <w:rFonts w:cs="Times New Roman"/>
          <w:szCs w:val="24"/>
        </w:rPr>
      </w:pPr>
      <w:r w:rsidRPr="00833CE8">
        <w:rPr>
          <w:rFonts w:cs="Times New Roman"/>
          <w:szCs w:val="24"/>
        </w:rPr>
        <w:t xml:space="preserve">Co-cultures of bacteria and microalgae have also been investigated for growth of microalgae under mixotrophic conditions.  While the microalgae and bacteria may be competing for organic nutrients, unlike in a system with autotrophic microalgae, added nutrients in the culture media can overcome this effect.  It should be noted that this change is not necessarily positive, as the addition of extra nutrients can allow for </w:t>
      </w:r>
      <w:r>
        <w:rPr>
          <w:rFonts w:cs="Times New Roman"/>
          <w:szCs w:val="24"/>
        </w:rPr>
        <w:t>more extensive</w:t>
      </w:r>
      <w:r w:rsidRPr="00833CE8">
        <w:rPr>
          <w:rFonts w:cs="Times New Roman"/>
          <w:szCs w:val="24"/>
        </w:rPr>
        <w:t xml:space="preserve"> interactions of the bacteria with microalgae, not all of which would be positive.  </w:t>
      </w:r>
      <w:bookmarkStart w:id="22" w:name="_Hlk191368059"/>
      <w:bookmarkStart w:id="23" w:name="_Hlk191634248"/>
      <w:r w:rsidRPr="008B4D33">
        <w:rPr>
          <w:rFonts w:cs="Times New Roman"/>
          <w:color w:val="FF0000"/>
          <w:szCs w:val="24"/>
        </w:rPr>
        <w:t xml:space="preserve">However, a mutualistic relationship such as that between the alga </w:t>
      </w:r>
      <w:r w:rsidRPr="008B4D33">
        <w:rPr>
          <w:rFonts w:cs="Times New Roman"/>
          <w:i/>
          <w:iCs/>
          <w:color w:val="FF0000"/>
          <w:szCs w:val="24"/>
        </w:rPr>
        <w:t>C. fusiformis</w:t>
      </w:r>
      <w:r w:rsidRPr="008B4D33">
        <w:rPr>
          <w:color w:val="FF0000"/>
        </w:rPr>
        <w:t xml:space="preserve"> and the bacterium </w:t>
      </w:r>
      <w:proofErr w:type="spellStart"/>
      <w:r w:rsidRPr="008B4D33">
        <w:rPr>
          <w:rFonts w:cs="Times New Roman"/>
          <w:i/>
          <w:iCs/>
          <w:color w:val="FF0000"/>
          <w:szCs w:val="24"/>
        </w:rPr>
        <w:t>Muricauda</w:t>
      </w:r>
      <w:proofErr w:type="spellEnd"/>
      <w:r w:rsidRPr="008B4D33">
        <w:rPr>
          <w:rFonts w:cs="Times New Roman"/>
          <w:color w:val="FF0000"/>
          <w:szCs w:val="24"/>
        </w:rPr>
        <w:t xml:space="preserve"> in mixotrophic conditions has been shown to improve the growth of both microorganisms, as shown for two strains of </w:t>
      </w:r>
      <w:proofErr w:type="spellStart"/>
      <w:r w:rsidRPr="008B4D33">
        <w:rPr>
          <w:rFonts w:cs="Times New Roman"/>
          <w:i/>
          <w:iCs/>
          <w:color w:val="FF0000"/>
          <w:szCs w:val="24"/>
        </w:rPr>
        <w:t>Muricauda</w:t>
      </w:r>
      <w:proofErr w:type="spellEnd"/>
      <w:r w:rsidRPr="008B4D33">
        <w:rPr>
          <w:rFonts w:cs="Times New Roman"/>
          <w:color w:val="FF0000"/>
          <w:szCs w:val="24"/>
        </w:rPr>
        <w:t xml:space="preserve"> (Mur1 and Mur2) </w:t>
      </w:r>
      <w:bookmarkEnd w:id="22"/>
      <w:r w:rsidRPr="00833CE8">
        <w:rPr>
          <w:rFonts w:cs="Times New Roman"/>
          <w:szCs w:val="24"/>
        </w:rPr>
        <w:fldChar w:fldCharType="begin"/>
      </w:r>
      <w:r w:rsidRPr="00833CE8">
        <w:rPr>
          <w:rFonts w:cs="Times New Roman"/>
          <w:szCs w:val="24"/>
        </w:rPr>
        <w:instrText xml:space="preserve"> ADDIN ZOTERO_ITEM CSL_CITATION {"citationID":"J3Mg4kWC","properties":{"formattedCitation":"(Han et al., 2016)","plainCitation":"(Han et al., 2016)","noteIndex":0},"citationItems":[{"id":4661,"uris":["http://zotero.org/users/764524/items/PZHLEMDK"],"itemData":{"id":4661,"type":"article-journal","abstract":"Microalgae frequently grow in natural environment and long-term laboratory cultures in association with bacteria. Bacteria benefit the oxygen and extracellular substances generated by microalgae, and reimburse microalgae with carbon dioxide, vitamins and so on. Such synergistic relationship has aided in establishing an efficient microalga-bacterium co-culturing mode. Obviously, the mutually beneficial relationship can be strengthened with the increase of the densities of microalgae and bacteria. However, nearly all of the early co-cultures were performed under photoautotrophic conditions, thus both microalgae and bacteria were at relatively low densities. In this study, the feasibility of bacteria-microalgae co-cultured under mixotrophic conditions was studied.","container-title":"Journal of Biological Research-Thessaloniki","DOI":"10.1186/s40709-016-0047-6","ISSN":"2241-5793","issue":"1","journalAbbreviation":"J. Biol. Res.-Thessalon.","page":"8","source":"BioMed Central","title":"Co-culturing bacteria and microalgae in organic carbon containing medium","volume":"23","author":[{"family":"Han","given":"Jichang"},{"family":"Zhang","given":"Lin"},{"family":"Wang","given":"Song"},{"family":"Yang","given":"Guanpin"},{"family":"Zhao","given":"Lu"},{"family":"Pan","given":"Kehou"}],"issued":{"date-parts":[["2016",4,26]]}}}],"schema":"https://github.com/citation-style-language/schema/raw/master/csl-citation.json"} </w:instrText>
      </w:r>
      <w:r w:rsidRPr="00833CE8">
        <w:rPr>
          <w:rFonts w:cs="Times New Roman"/>
          <w:szCs w:val="24"/>
        </w:rPr>
        <w:fldChar w:fldCharType="separate"/>
      </w:r>
      <w:r w:rsidRPr="00833CE8">
        <w:rPr>
          <w:rFonts w:cs="Times New Roman"/>
        </w:rPr>
        <w:t>(Han et al., 2016)</w:t>
      </w:r>
      <w:r w:rsidRPr="00833CE8">
        <w:rPr>
          <w:rFonts w:cs="Times New Roman"/>
          <w:szCs w:val="24"/>
        </w:rPr>
        <w:fldChar w:fldCharType="end"/>
      </w:r>
      <w:r w:rsidRPr="00833CE8">
        <w:rPr>
          <w:rFonts w:cs="Times New Roman"/>
          <w:szCs w:val="24"/>
        </w:rPr>
        <w:t>.</w:t>
      </w:r>
      <w:r>
        <w:rPr>
          <w:rFonts w:cs="Times New Roman"/>
          <w:szCs w:val="24"/>
        </w:rPr>
        <w:t xml:space="preserve">  </w:t>
      </w:r>
      <w:r w:rsidRPr="00BD7EC9">
        <w:rPr>
          <w:rFonts w:cs="Times New Roman"/>
          <w:color w:val="FF0000"/>
          <w:szCs w:val="24"/>
        </w:rPr>
        <w:t>The co-culture</w:t>
      </w:r>
      <w:r>
        <w:rPr>
          <w:rFonts w:cs="Times New Roman"/>
          <w:color w:val="FF0000"/>
          <w:szCs w:val="24"/>
        </w:rPr>
        <w:t>s</w:t>
      </w:r>
      <w:r w:rsidRPr="00BD7EC9">
        <w:rPr>
          <w:rFonts w:cs="Times New Roman"/>
          <w:color w:val="FF0000"/>
          <w:szCs w:val="24"/>
        </w:rPr>
        <w:t xml:space="preserve"> demonstrated enhanced growth for both bacterial strains with </w:t>
      </w:r>
      <w:r w:rsidRPr="00BD7EC9">
        <w:rPr>
          <w:rFonts w:cs="Times New Roman"/>
          <w:i/>
          <w:iCs/>
          <w:color w:val="FF0000"/>
          <w:szCs w:val="24"/>
        </w:rPr>
        <w:t>C. fusiformis</w:t>
      </w:r>
      <w:r w:rsidRPr="00BD7EC9">
        <w:rPr>
          <w:rFonts w:cs="Times New Roman"/>
          <w:color w:val="FF0000"/>
          <w:szCs w:val="24"/>
        </w:rPr>
        <w:t xml:space="preserve"> cell density values after 33 days</w:t>
      </w:r>
      <w:r>
        <w:rPr>
          <w:rFonts w:cs="Times New Roman"/>
          <w:color w:val="FF0000"/>
          <w:szCs w:val="24"/>
        </w:rPr>
        <w:t>, with no significant differences observed based on the initial bacterial inoculation (addition of 1</w:t>
      </w:r>
      <w:r w:rsidR="00152573">
        <w:rPr>
          <w:rFonts w:cs="Times New Roman"/>
          <w:color w:val="FF0000"/>
          <w:szCs w:val="24"/>
        </w:rPr>
        <w:t xml:space="preserve"> </w:t>
      </w:r>
      <w:r>
        <w:rPr>
          <w:rFonts w:cs="Times New Roman"/>
          <w:color w:val="FF0000"/>
          <w:szCs w:val="24"/>
        </w:rPr>
        <w:t>mL, 3</w:t>
      </w:r>
      <w:r w:rsidR="00152573">
        <w:rPr>
          <w:rFonts w:cs="Times New Roman"/>
          <w:color w:val="FF0000"/>
          <w:szCs w:val="24"/>
        </w:rPr>
        <w:t xml:space="preserve"> </w:t>
      </w:r>
      <w:r>
        <w:rPr>
          <w:rFonts w:cs="Times New Roman"/>
          <w:color w:val="FF0000"/>
          <w:szCs w:val="24"/>
        </w:rPr>
        <w:t>mL, or 5</w:t>
      </w:r>
      <w:r w:rsidR="00152573">
        <w:rPr>
          <w:rFonts w:cs="Times New Roman"/>
          <w:color w:val="FF0000"/>
          <w:szCs w:val="24"/>
        </w:rPr>
        <w:t xml:space="preserve"> </w:t>
      </w:r>
      <w:r>
        <w:rPr>
          <w:rFonts w:cs="Times New Roman"/>
          <w:color w:val="FF0000"/>
          <w:szCs w:val="24"/>
        </w:rPr>
        <w:t>mL of Mur1 or Mur2)</w:t>
      </w:r>
      <w:r w:rsidRPr="00BD7EC9">
        <w:rPr>
          <w:rFonts w:cs="Times New Roman"/>
          <w:color w:val="FF0000"/>
          <w:szCs w:val="24"/>
        </w:rPr>
        <w:t>.  Mur1 resulted in a maximum cell density of 9.62 × 10</w:t>
      </w:r>
      <w:r w:rsidRPr="00BD7EC9">
        <w:rPr>
          <w:rFonts w:cs="Times New Roman"/>
          <w:color w:val="FF0000"/>
          <w:szCs w:val="24"/>
          <w:vertAlign w:val="superscript"/>
        </w:rPr>
        <w:t>6</w:t>
      </w:r>
      <w:r w:rsidRPr="00BD7EC9">
        <w:rPr>
          <w:rFonts w:cs="Times New Roman"/>
          <w:color w:val="FF0000"/>
          <w:szCs w:val="24"/>
        </w:rPr>
        <w:t xml:space="preserve"> cells</w:t>
      </w:r>
      <w:r>
        <w:rPr>
          <w:rFonts w:cs="Times New Roman"/>
          <w:color w:val="FF0000"/>
          <w:szCs w:val="24"/>
        </w:rPr>
        <w:t>/</w:t>
      </w:r>
      <w:r w:rsidRPr="00BD7EC9">
        <w:rPr>
          <w:rFonts w:cs="Times New Roman"/>
          <w:color w:val="FF0000"/>
          <w:szCs w:val="24"/>
        </w:rPr>
        <w:t>mL, representing an increase of 65.42% compared to the axenic algal control and Mur2 resulted in a maximum cell density of 8.73 × 10</w:t>
      </w:r>
      <w:r w:rsidRPr="00BD7EC9">
        <w:rPr>
          <w:rFonts w:cs="Times New Roman"/>
          <w:color w:val="FF0000"/>
          <w:szCs w:val="24"/>
          <w:vertAlign w:val="superscript"/>
        </w:rPr>
        <w:t>6</w:t>
      </w:r>
      <w:r w:rsidRPr="00BD7EC9">
        <w:rPr>
          <w:rFonts w:cs="Times New Roman"/>
          <w:color w:val="FF0000"/>
          <w:szCs w:val="24"/>
        </w:rPr>
        <w:t xml:space="preserve"> cells</w:t>
      </w:r>
      <w:r>
        <w:rPr>
          <w:rFonts w:cs="Times New Roman"/>
          <w:color w:val="FF0000"/>
          <w:szCs w:val="24"/>
        </w:rPr>
        <w:t>/</w:t>
      </w:r>
      <w:r w:rsidRPr="00BD7EC9">
        <w:rPr>
          <w:rFonts w:cs="Times New Roman"/>
          <w:color w:val="FF0000"/>
          <w:szCs w:val="24"/>
        </w:rPr>
        <w:t>mL, representing an increase of 83.47%.</w:t>
      </w:r>
      <w:r w:rsidRPr="00BD7EC9">
        <w:rPr>
          <w:color w:val="FF0000"/>
        </w:rPr>
        <w:t xml:space="preserve"> </w:t>
      </w:r>
      <w:r>
        <w:rPr>
          <w:color w:val="FF0000"/>
        </w:rPr>
        <w:t xml:space="preserve"> </w:t>
      </w:r>
    </w:p>
    <w:bookmarkEnd w:id="23"/>
    <w:p w14:paraId="076F33BE" w14:textId="77777777" w:rsidR="00445000" w:rsidRDefault="00445000" w:rsidP="00445000">
      <w:pPr>
        <w:snapToGrid w:val="0"/>
        <w:spacing w:line="360" w:lineRule="auto"/>
        <w:ind w:firstLine="284"/>
        <w:jc w:val="both"/>
      </w:pPr>
      <w:r w:rsidRPr="00833CE8">
        <w:rPr>
          <w:rFonts w:cs="Times New Roman"/>
          <w:szCs w:val="24"/>
        </w:rPr>
        <w:t xml:space="preserve">The relationships between microalgae and bacteria can be used to take advantage of the flocculation effects.  Flocculation of microalgal cells can allow for easier </w:t>
      </w:r>
      <w:r>
        <w:rPr>
          <w:rFonts w:cs="Times New Roman"/>
          <w:szCs w:val="24"/>
        </w:rPr>
        <w:t>harvesting</w:t>
      </w:r>
      <w:r w:rsidRPr="00833CE8">
        <w:rPr>
          <w:rFonts w:cs="Times New Roman"/>
          <w:szCs w:val="24"/>
        </w:rPr>
        <w:t xml:space="preserve"> of biomass, which can then be used for extraction of bioproducts, or to remove harmful bacteria from wastewater </w:t>
      </w:r>
      <w:bookmarkStart w:id="24" w:name="_Hlk191459166"/>
      <w:r w:rsidRPr="005656A2">
        <w:fldChar w:fldCharType="begin"/>
      </w:r>
      <w:r w:rsidRPr="005656A2">
        <w:instrText xml:space="preserve"> ADDIN ZOTERO_ITEM CSL_CITATION {"citationID":"z8t5E2BY","properties":{"formattedCitation":"(de Morais et al., 2023; Ogbonna and Nwoba, 2021)","plainCitation":"(de Morais et al., 2023; Ogbonna and Nwoba, 2021)","noteIndex":0},"citationItems":[{"id":9368,"uris":["http://zotero.org/users/764524/items/6RYFLDRT"],"itemData":{"id":9368,"type":"article-journal","abstract":"Microalgae-based wastewater treatment has been conceived to obtain reclaimed water and produce microalgal biomass for bio-based products and biofuels generation. However, microalgal biomass harvesting is challenging and expensive, hence one of the main bottlenecks for full-scale implementation. Finding an integrated approach that covers concepts of engineering, green chemistry and the application of microbial anabolism driven towards the harvesting processes, is mandatory for the widespread establishment of full-scale microalgae wastewater treatment plants. By using nature-based substances and applying concepts of chemical functionalization in already established harvesting methods, the costs of harvesting processes could be reduced while preventing microalgae biomass contamination. Moreover, microalgae produced during wastewater treatment have unique culture characteristics, such as the consortia, which are primarily composed of microalgae and bacteria, that should be accounted for prior to downstream processing. The aim of this review is to examine recent advances in microalgal biomass harvesting and recovery in wastewater treatment systems, considering the impact of consortia variability. The costs of available harvesting technologies, such as coagulation/flocculation, coupled to sedimentation and differential air flotation, are provided. Additionally, promising technologies are discussed, including autoflocculation, bioflocculation, new filtration materials, nanotechnology, microfluidic and magnetic methods.","container-title":"New Biotechnology","DOI":"10.1016/j.nbt.2023.10.002","ISSN":"1871-6784","journalAbbreviation":"New Biotechnol.","page":"84-94","source":"ScienceDirect","title":"Microalgae harvesting for wastewater treatment and resources recovery: A review","title-short":"Microalgae harvesting for wastewater treatment and resources recovery","volume":"78","author":[{"family":"Morais","given":"Etiele Greque","non-dropping-particle":"de"},{"family":"Sampaio","given":"Igor Carvalho Fontes"},{"family":"Gonzalez-Flo","given":"Eva"},{"family":"Ferrer","given":"Ivet"},{"family":"Uggetti","given":"Enrica"},{"family":"García","given":"Joan"}],"issued":{"date-parts":[["2023",12,25]]}}},{"id":9369,"uris":["http://zotero.org/users/764524/items/ZUPRB7GN"],"itemData":{"id":9369,"type":"article-journal","abstract":"Energy is indispensable to human existence and sustains economic and individual activities globally. The rising environmental challenges of global warming and other climate changes due to increasing dependence on fossil fuels (coal, petroleum, natural gas) as the primary energy source requires innovation away from carbon-based fossil fuel sources. Hence, the development of renewable and low-emission energy sources becomes imperative to guarantee sustainable economic and human population growth and fuel security. In this context, microalgae biofuels are increasingly appreciated as viable alternative to fossil-based fuels because their biomass can be transformed into various clean fuel commodities such as biodiesel, biogas, and bioethanol in an environmentally-friendly and sustainable manner. However, high energy and financial costs of harvesting microalgal biomass for biofuel production constitute a substantial bottleneck in the industry. Bio-based flocculation methods have recently received increased research attention due to their high efficiency, sustainability, and environmentally-friendly attributes. In this review, the feasibility and performance of bio-based technologies for large-scale, cost-effective and sustainable harvesting of microalgal biomass for biofuel production were evaluated. The review shows that the harvesting efficiencies of bio-based processes are not significantly different from those achieved with energy-intensive traditional biomass separation methods such as centrifugation and membrane filtration. Harvested biomass met the moisture content metrics for biofuel feedstocks. The utilization of natural coagulants in algal biomass recovery is associated with low energy consumption, low environmental impacts and reduced effect on the chemistry of recycled medium. Production of recombinant bioflocculants are emerging but the application in algal biomass harvesting is yet to be reported. Bioflocculation approaches provide opportunities for the integration of photosynthetic biorefineries with bioremediation of wastewaters, and this enhances the potential of microalgae biotechnology for biofuel production.","container-title":"Renewable and Sustainable Energy Reviews","DOI":"10.1016/j.rser.2020.110690","ISSN":"1364-0321","journalAbbreviation":"Renew. Sustain. Energy Rev.","page":"110690","source":"ScienceDirect","title":"Bio-based flocculants for sustainable harvesting of microalgae for biofuel production. A review","volume":"139","author":[{"family":"Ogbonna","given":"Christiana N."},{"family":"Nwoba","given":"Emeka G."}],"issued":{"date-parts":[["2021",4,1]]}}}],"schema":"https://github.com/citation-style-language/schema/raw/master/csl-citation.json"} </w:instrText>
      </w:r>
      <w:r w:rsidRPr="005656A2">
        <w:fldChar w:fldCharType="separate"/>
      </w:r>
      <w:r w:rsidRPr="005656A2">
        <w:rPr>
          <w:rFonts w:cs="Times New Roman"/>
        </w:rPr>
        <w:t>(de Morais et al., 2023; Ogbonna and Nwoba, 2021)</w:t>
      </w:r>
      <w:r w:rsidRPr="005656A2">
        <w:fldChar w:fldCharType="end"/>
      </w:r>
      <w:bookmarkEnd w:id="24"/>
      <w:r w:rsidRPr="005656A2">
        <w:t>.</w:t>
      </w:r>
      <w:r>
        <w:t xml:space="preserve">  </w:t>
      </w:r>
      <w:proofErr w:type="spellStart"/>
      <w:r>
        <w:t>Bioflocculati</w:t>
      </w:r>
      <w:r w:rsidRPr="007944B8">
        <w:t>on</w:t>
      </w:r>
      <w:proofErr w:type="spellEnd"/>
      <w:r w:rsidRPr="007944B8">
        <w:t xml:space="preserve"> also improves the environmental sustainability of these techniques compared with chemical flocculants.  However, flocculation with bacteria may require additional energy sources as well as increasing the likelihood of bacterial contamination in the final product.  As a result, other techniques such as using naturally flocculating algae have been investigated for </w:t>
      </w:r>
      <w:proofErr w:type="spellStart"/>
      <w:r w:rsidRPr="007944B8">
        <w:t>bioflocculation</w:t>
      </w:r>
      <w:proofErr w:type="spellEnd"/>
      <w:r w:rsidRPr="007944B8">
        <w:t xml:space="preserve">.  For example, a co-culture of the non-flocculating microalgae </w:t>
      </w:r>
      <w:r w:rsidRPr="007944B8">
        <w:rPr>
          <w:i/>
          <w:iCs/>
        </w:rPr>
        <w:t>C. vulgaris</w:t>
      </w:r>
      <w:r w:rsidRPr="007944B8">
        <w:t xml:space="preserve"> with the flocculating al</w:t>
      </w:r>
      <w:r>
        <w:t xml:space="preserve">gae </w:t>
      </w:r>
      <w:proofErr w:type="spellStart"/>
      <w:r w:rsidRPr="005656A2">
        <w:rPr>
          <w:i/>
          <w:iCs/>
        </w:rPr>
        <w:t>Scotelliopsis</w:t>
      </w:r>
      <w:proofErr w:type="spellEnd"/>
      <w:r w:rsidRPr="005656A2">
        <w:rPr>
          <w:i/>
          <w:iCs/>
        </w:rPr>
        <w:t xml:space="preserve"> reticulata</w:t>
      </w:r>
      <w:r w:rsidRPr="005656A2">
        <w:t xml:space="preserve"> increased the flocculation efficiency to 60% compared to </w:t>
      </w:r>
      <w:r w:rsidRPr="00E87E81">
        <w:rPr>
          <w:i/>
          <w:iCs/>
        </w:rPr>
        <w:t>C. vulgaris</w:t>
      </w:r>
      <w:r>
        <w:t xml:space="preserve"> </w:t>
      </w:r>
      <w:r w:rsidRPr="005656A2">
        <w:t>alone (8%)</w:t>
      </w:r>
      <w:r>
        <w:t xml:space="preserve"> due to the presence of extracellular polymeric substances </w:t>
      </w:r>
      <w:r>
        <w:fldChar w:fldCharType="begin"/>
      </w:r>
      <w:r>
        <w:instrText xml:space="preserve"> ADDIN ZOTERO_ITEM CSL_CITATION {"citationID":"l5T4qvv8","properties":{"formattedCitation":"(Spain and Funk, 2024)","plainCitation":"(Spain and Funk, 2024)","noteIndex":0},"citationItems":[{"id":9405,"uris":["http://zotero.org/users/764524/items/4BVFZEIM"],"itemData":{"id":9405,"type":"article-journal","abstract":"Flocculation is often regarded as a cost-effective and reliable method for microalgal harvesting. However, the traditional method often requires the addition of chemical agents to induce flocculation. This carries certain disadvantages including the chemical contamination of the biomass and the subsequent need to remove the flocculants from the medium. To address these issues, this study aimed to induce flocculation in a naturally non-flocculating strain (Chlorella vulgaris 13-1) without resorting to chemical additives, with the ultimate goal of increasing harvesting efficiency. Scanning electron microscopy showed that Scotelliopsis reticulata UFA-2, a naturally flocculating strain, produces extracellular polymeric substances (EPS) whereas 13-1 does not. As a result, two methods were used to induce flocculation in 13-1: co-cultivation of UFA-2 and 13-1, and insertion of EPS produced by UFA-2 into the growth medium of 13-1. The co-cultivation of 13-1 with UFA-2 significantly increased the flocculation efficiency compared to that of 13-1 alone (30 % higher flocculation efficiency after one hour of settling and 52 % higher after three hours of settling). Alternatively, the insertion of dry tightly-bound (TB) UFA-2 EPS into 13-1 cultures also improved flocculation efficiency (by 19 % compared to the control), while addition of soluble or loosely-bound (LB) EPS was less efficient (less than 1 % and 10 %, respectively). FTIR results showed that the composition of TB-EPS was different to that of LB and soluble EPS. TB-EPS contained higher proportions of proteins and different types of carbohydrates, potentially contributing to its increased efficacy in inducing flocculation in microalgae.","container-title":"Algal Research","DOI":"10.1016/j.algal.2024.103450","ISSN":"2211-9264","journalAbbreviation":"Algal Res.","page":"103450","source":"ScienceDirect","title":"A step towards more eco-friendly and efficient microalgal harvesting: Inducing flocculation in the non-naturally flocculating strain &lt;i&gt;Chlorella vulgaris&lt;/i&gt; (13-1) without chemical additives","title-short":"A step towards more eco-friendly and efficient microalgal harvesting","volume":"79","author":[{"family":"Spain","given":"Olivia"},{"family":"Funk","given":"Christiane"}],"issued":{"date-parts":[["2024",4,1]]}}}],"schema":"https://github.com/citation-style-language/schema/raw/master/csl-citation.json"} </w:instrText>
      </w:r>
      <w:r>
        <w:fldChar w:fldCharType="separate"/>
      </w:r>
      <w:r w:rsidRPr="001B5D53">
        <w:rPr>
          <w:rFonts w:cs="Times New Roman"/>
        </w:rPr>
        <w:t>(Spain and Funk, 2024)</w:t>
      </w:r>
      <w:r>
        <w:fldChar w:fldCharType="end"/>
      </w:r>
      <w:r>
        <w:t xml:space="preserve">.  </w:t>
      </w:r>
    </w:p>
    <w:p w14:paraId="20A05883" w14:textId="77777777" w:rsidR="006A2B4C" w:rsidRPr="005656A2" w:rsidRDefault="006A2B4C" w:rsidP="00445000">
      <w:pPr>
        <w:snapToGrid w:val="0"/>
        <w:spacing w:line="360" w:lineRule="auto"/>
        <w:ind w:firstLine="284"/>
        <w:jc w:val="both"/>
        <w:rPr>
          <w:b/>
          <w:bCs/>
          <w:i/>
          <w:iCs/>
          <w:color w:val="FF0000"/>
        </w:rPr>
      </w:pPr>
    </w:p>
    <w:p w14:paraId="54CCF64D" w14:textId="67176220" w:rsidR="00445000" w:rsidRPr="00445000" w:rsidRDefault="00445000" w:rsidP="006A2B4C">
      <w:pPr>
        <w:pStyle w:val="ListParagraph"/>
        <w:numPr>
          <w:ilvl w:val="2"/>
          <w:numId w:val="9"/>
        </w:numPr>
        <w:snapToGrid w:val="0"/>
        <w:spacing w:line="360" w:lineRule="auto"/>
        <w:jc w:val="both"/>
        <w:rPr>
          <w:rFonts w:cs="Times New Roman"/>
          <w:b/>
          <w:bCs/>
          <w:szCs w:val="24"/>
        </w:rPr>
      </w:pPr>
      <w:r w:rsidRPr="00445000">
        <w:rPr>
          <w:rFonts w:cs="Times New Roman"/>
          <w:b/>
          <w:bCs/>
          <w:szCs w:val="24"/>
        </w:rPr>
        <w:t>Bioprod</w:t>
      </w:r>
      <w:r>
        <w:rPr>
          <w:rFonts w:cs="Times New Roman"/>
          <w:b/>
          <w:bCs/>
          <w:szCs w:val="24"/>
        </w:rPr>
        <w:t>uct</w:t>
      </w:r>
      <w:r w:rsidR="005B2BBF">
        <w:rPr>
          <w:rFonts w:cs="Times New Roman"/>
          <w:b/>
          <w:bCs/>
          <w:szCs w:val="24"/>
        </w:rPr>
        <w:t xml:space="preserve"> synthesis</w:t>
      </w:r>
    </w:p>
    <w:p w14:paraId="68755EE8" w14:textId="77777777" w:rsidR="00445000" w:rsidRPr="00833CE8" w:rsidRDefault="00445000" w:rsidP="00445000">
      <w:pPr>
        <w:snapToGrid w:val="0"/>
        <w:spacing w:line="360" w:lineRule="auto"/>
        <w:ind w:firstLine="284"/>
        <w:jc w:val="both"/>
        <w:rPr>
          <w:rFonts w:cs="Times New Roman"/>
          <w:szCs w:val="24"/>
        </w:rPr>
      </w:pPr>
      <w:r w:rsidRPr="00833CE8">
        <w:rPr>
          <w:rFonts w:cs="Times New Roman"/>
          <w:szCs w:val="24"/>
        </w:rPr>
        <w:t>The biomass produced from consortia of microalgae and bacteria have also been investigated for potential applications in bioproducts such as biofuel</w:t>
      </w:r>
      <w:r>
        <w:rPr>
          <w:rFonts w:cs="Times New Roman"/>
          <w:szCs w:val="24"/>
        </w:rPr>
        <w:t>s</w:t>
      </w:r>
      <w:r w:rsidRPr="00833CE8">
        <w:rPr>
          <w:rFonts w:cs="Times New Roman"/>
          <w:szCs w:val="24"/>
        </w:rPr>
        <w:t xml:space="preserve"> and biomolecules for medicine and </w:t>
      </w:r>
      <w:r w:rsidRPr="00833CE8">
        <w:rPr>
          <w:rFonts w:cs="Times New Roman"/>
          <w:szCs w:val="24"/>
        </w:rPr>
        <w:lastRenderedPageBreak/>
        <w:t xml:space="preserve">nutrition </w:t>
      </w:r>
      <w:r w:rsidRPr="00833CE8">
        <w:rPr>
          <w:rFonts w:cs="Times New Roman"/>
          <w:szCs w:val="24"/>
        </w:rPr>
        <w:fldChar w:fldCharType="begin"/>
      </w:r>
      <w:r>
        <w:rPr>
          <w:rFonts w:cs="Times New Roman"/>
          <w:szCs w:val="24"/>
        </w:rPr>
        <w:instrText xml:space="preserve"> ADDIN ZOTERO_ITEM CSL_CITATION {"citationID":"Pxjs4Mh3","properties":{"unsorted":true,"formattedCitation":"(Yao et al., 2019; Santo et al., 2022; Zhang et al., 2023; Dai and Wang, 2024; Zhang et al., 2024)","plainCitation":"(Yao et al., 2019; Santo et al., 2022; Zhang et al., 2023; Dai and Wang, 2024; Zhang et al., 2024)","noteIndex":0},"citationItems":[{"id":4378,"uris":["http://zotero.org/users/764524/items/RZQH7UB8"],"itemData":{"id":4378,"type":"article-journal","abstract":"Photosynthetic microalgae can capture solar energy and convert it to bioenergy and biochemical products. In nature or industrial processes, microalgae live together with bacterial communities and may...","container-title":"Journal of Applied Microbiology","DOI":"10.1111/jam.14095","ISSN":"1365-2672","issue":"2","journalAbbreviation":"J. App. Microbiol.","language":"en","note":"publisher: John Wiley &amp; Sons, Ltd","page":"359-368","source":"enviromicro-journals.onlinelibrary.wiley.com","title":"Microalgae–bacteria symbiosis in microalgal growth and biofuel production: a review","title-short":"Microalgae–bacteria symbiosis in microalgal growth and biofuel production","volume":"126","author":[{"family":"Yao","given":"S."},{"family":"Lyu","given":"S."},{"family":"An","given":"Y."},{"family":"Lu","given":"J."},{"family":"Gjermansen","given":"C."},{"family":"Schramm","given":"A."}],"issued":{"date-parts":[["2019",2,1]]}}},{"id":4539,"uris":["http://zotero.org/users/764524/items/QBZ9JNB5"],"itemData":{"id":4539,"type":"article-journal","abstract":"The applications of microalgae biomass have been widely studied worldwide. The classical processes used in outdoor cultivations of microalgae, in closed or open photobioreactors, occur in the presence of bacteria. Understanding how communication between cells occurs through quorum sensing and evaluating co-cultures allows the production of microalgae and cyanobacteria to be positively impacted by bacteria, in order to guarantee safety and profitability in the production process. In addition, the definition of the effects that occur during an interaction, promotes insights to improve the production of biomolecules, and to develop innovative products. This review presents the interactions between microalgae and bacteria, including compounds exchanges and communication, and addresses the development of new pharmaceutical, cosmetic and food bioproducts from microalgae based on these evaluations, such as prebiotics, vegan skincare products, antimicrobial compounds, and culture media with animal free protein for producing vaccines and other biopharmaceutical products. The use of microalgae as raw biomass or in biotechnological platforms is in line with the fulfillment of the 2030 Agenda related to the Sustainable Development Goals (SDGs).","container-title":"Microorganisms","DOI":"10.3390/microorganisms10102029","ISSN":"2076-2607","issue":"10","language":"en","license":"http://creativecommons.org/licenses/by/3.0/","note":"number: 10\npublisher: Multidisciplinary Digital Publishing Institute","page":"2029","source":"www.mdpi.com","title":"Obtaining Bioproducts from the Studies of Signals and Interactions between Microalgae and Bacteria","volume":"10","author":[{"family":"Santo","given":"Évellin do Espirito"},{"family":"Ishii","given":"Marina"},{"family":"Pinto","given":"Uelinton Manoel"},{"family":"Matsudo","given":"Marcelo Chuei"},{"family":"Carvalho","given":"João Carlos Monteiro","dropping-particle":"de"}],"issued":{"date-parts":[["2022",10]]}}},{"id":9242,"uris":["http://zotero.org/users/764524/items/ZLPUXJZD"],"itemData":{"id":9242,"type":"article-journal","abstract":"Conventional biological treatment usually cannot achieve the same high water quality as advanced treatment when conducted under varied temperatures. Here, satisfactory wastewater treatment efficiency was observed in a microalgae-bacteria consortia (MBC) over a wide temperature range because of the predominance of microalgae. Microalgae contributed more toward wastewater treatment at low temperature because of the unsatisfactory performance of the accompanying bacteria, which experienced cold stress (e.g., bacterial abundance below 3000 sequences) and executed defensive strategies (e.g., enrichment of cold-shock proteins). A low abundance of amoA-C and hao indicated that conventional nitrogen removal was replaced through the involvement of microalgae. Diverse heterotrophic bacteria for nitrogen removal were identified at medium and high temperatures, implying this microbial niche treatment contained diverse flexible consortia with temperature variation. Additionally, pathogenic bacteria were eliminated through microalgal photosynthesis. After fitting the neutral community model and calculating the ecological niche, microalgae achieved a maximum niche breadth of 5.21 and the lowest niche overlap of 0.38, while the accompanying bacterial community in the consortia were shaped through deterministic processes. Finally, the maximum energy yield of 87.4 kJ L−1 and lipid production of 1.9 g L−1 were achieved at medium temperature. Altogether, this study demonstrates that advanced treatment and energy reclamation can be achieved through microalgae-bacteria niche strategies.","container-title":"Environmental Science and Ecotechnology","DOI":"10.1016/j.ese.2022.100230","ISSN":"2666-4984","journalAbbreviation":"Environ. Sci. Ecotechnol.","page":"100230","source":"ScienceDirect","title":"Revealing the role of microalgae-bacteria niche for boosting wastewater treatment and energy reclamation in response to temperature","volume":"14","author":[{"family":"Zhang","given":"Chaofan"},{"family":"Chen","given":"Xi"},{"family":"Han","given":"Meina"},{"family":"Li","given":"Xue"},{"family":"Chang","given":"Haixing"},{"family":"Ren","given":"Nanqi"},{"family":"Ho","given":"Shih-Hsin"}],"issued":{"date-parts":[["2023",4,1]]}}},{"id":4461,"uris":["http://zotero.org/users/764524/items/EQNVP4QU"],"itemData":{"id":4461,"type":"article-journal","abstract":"The use of microalgae–bacteria consortia (MBC) for wastewater treatment has garnered attention as their interactions impart greater environmental adaptability and stability compared with that obtained by only microalgae or bacteria use, thereby improving the efficiency of pollutant removal and bio-product productivity. Additionally, the value-added bio-products produced via biorefineries can improve economic competitiveness and environmental sustainability. Therefore, this review focuses on the interaction between microalgae and bacteria that leads to nutrient exchange, gene transfer and signal transduction to comprehensively understand the interaction mechanisms underlying their strong adaptability. In addition, it includes recent research in which MBC has been efficiently used to treat various wastewater. Moreover, the review summarizes the use of MBC-produced biomass in a biorefining context to produce biofuel, biomaterial, high-value bio-products and bio-fertilizer. Overall, more effort is needed to identify the symbiotic mechanism in MBC to provide a foundation for circular bio-economy and environmentally friendly development programmes.","container-title":"Bioresource Technology","DOI":"10.1016/j.biortech.2023.130019","ISSN":"0960-8524","journalAbbreviation":"Bioresour. Technol.","page":"130019","source":"ScienceDirect","title":"Potential applications of microalgae–bacteria consortia in wastewater treatment and biorefinery","volume":"393","author":[{"family":"Dai","given":"Chenming"},{"family":"Wang","given":"Feifei"}],"issued":{"date-parts":[["2024",2,1]]}}},{"id":4323,"uris":["http://zotero.org/users/764524/items/I5IPUTIE"],"itemData":{"id":4323,"type":"article-journal","abstract":"Microalgae, known for rapid growth and lipid richness, hold potential in biofuels and high-value biomolecules. The symbiotic link with bacteria is crucial in large-scale open cultures. This study explores algal-bacterial interactions using a symbiotic model, evaluating acid-resistant Lactic acid bacteria (LAB), stress-resilient Bacillus subtilis and Bacillus licheniformis, and various Escherichia col</w:instrText>
      </w:r>
      <w:r w:rsidRPr="005B6FAD">
        <w:rPr>
          <w:rFonts w:cs="Times New Roman"/>
          <w:szCs w:val="24"/>
          <w:lang w:val="fr-BE"/>
        </w:rPr>
        <w:instrText xml:space="preserve">i strains in the Aurantiochytrium sp. SW1 system. It was observed that E. coli SUC significantly enhanced the growth and lipid production of Aurantiochytrium sp. SW1 by increasing enzyme activity (NAD-IDH, NAD-ME, G6PDH) while maintaining sustained succinic acid release. Optimal co-culture conditions included temperature 28 °C, a 1:10 algae-to-bacteria ratio, and pH 8. Under these conditions, Aurantiochytrium sp. SW1 biomass increased 3.17-fold to 27.83 g/L, and total lipid content increased 2.63-fold to 4.87 g/L. These findings have implications for more efficient microalgal lipid production and large-scale cultivation.","container-title":"Bioresource Technology","DOI":"10.1016/j.biortech.2023.130232","ISSN":"0960-8524","journalAbbreviation":"Bioresour. Technol.","page":"130232","source":"ScienceDirect","title":"Mechanism of enhanced microalgal biomass and lipid accumulation through symbiosis between a highly succinic acid-producing strain of &lt;i&gt;Escherichia coli&lt;/i&gt; SUC and &lt;i&gt;Aurantiochytrium&lt;/i&gt; sp. SW1","volume":"394","author":[{"family":"Zhang","given":"Mei-Yu"},{"family":"Xu","given":"Xin-Ru"},{"family":"Zhao","given":"Ru-Ping"},{"family":"Huang","given":"Chao"},{"family":"Song","given":"Yuan-Da"},{"family":"Zhao","given":"Zi-Tong"},{"family":"Zhao","given":"Yu-Bin"},{"family":"Ren","given":"Xiao-Jie"},{"family":"Zhao","given":"Xin-He"}],"issued":{"date-parts":[["2024",2,1]]}}}],"schema":"https://github.com/citation-style-language/schema/raw/master/csl-citation.json"} </w:instrText>
      </w:r>
      <w:r w:rsidRPr="00833CE8">
        <w:rPr>
          <w:rFonts w:cs="Times New Roman"/>
          <w:szCs w:val="24"/>
        </w:rPr>
        <w:fldChar w:fldCharType="separate"/>
      </w:r>
      <w:r w:rsidRPr="005B6FAD">
        <w:rPr>
          <w:rFonts w:cs="Times New Roman"/>
          <w:lang w:val="fr-BE"/>
        </w:rPr>
        <w:t xml:space="preserve">(Yao et al., 2019; Santo et al., 2022; Zhang et al., 2023; </w:t>
      </w:r>
      <w:proofErr w:type="spellStart"/>
      <w:r w:rsidRPr="005B6FAD">
        <w:rPr>
          <w:rFonts w:cs="Times New Roman"/>
          <w:lang w:val="fr-BE"/>
        </w:rPr>
        <w:t>Dai</w:t>
      </w:r>
      <w:proofErr w:type="spellEnd"/>
      <w:r w:rsidRPr="005B6FAD">
        <w:rPr>
          <w:rFonts w:cs="Times New Roman"/>
          <w:lang w:val="fr-BE"/>
        </w:rPr>
        <w:t xml:space="preserve"> and Wang, 2024; Zhang et al., 2024)</w:t>
      </w:r>
      <w:r w:rsidRPr="00833CE8">
        <w:rPr>
          <w:rFonts w:cs="Times New Roman"/>
          <w:szCs w:val="24"/>
        </w:rPr>
        <w:fldChar w:fldCharType="end"/>
      </w:r>
      <w:r w:rsidRPr="000E543F">
        <w:rPr>
          <w:rFonts w:cs="Times New Roman"/>
          <w:szCs w:val="24"/>
          <w:lang w:val="fr-BE"/>
        </w:rPr>
        <w:t>.</w:t>
      </w:r>
      <w:r w:rsidRPr="005B6FAD">
        <w:rPr>
          <w:rFonts w:cs="Times New Roman"/>
          <w:szCs w:val="24"/>
          <w:lang w:val="fr-BE"/>
        </w:rPr>
        <w:t xml:space="preserve"> </w:t>
      </w:r>
      <w:r w:rsidRPr="005B6FAD">
        <w:rPr>
          <w:rFonts w:cs="Times New Roman"/>
          <w:b/>
          <w:bCs/>
          <w:color w:val="FF0000"/>
          <w:szCs w:val="24"/>
          <w:lang w:val="fr-BE"/>
        </w:rPr>
        <w:t xml:space="preserve"> </w:t>
      </w:r>
      <w:r w:rsidRPr="002B7CB7">
        <w:rPr>
          <w:rFonts w:cs="Times New Roman"/>
          <w:szCs w:val="24"/>
        </w:rPr>
        <w:t>A succinic acid-producing strain</w:t>
      </w:r>
      <w:r w:rsidRPr="00833CE8">
        <w:rPr>
          <w:rFonts w:cs="Times New Roman"/>
          <w:szCs w:val="24"/>
        </w:rPr>
        <w:t xml:space="preserve"> of </w:t>
      </w:r>
      <w:r w:rsidRPr="00833CE8">
        <w:rPr>
          <w:rFonts w:cs="Times New Roman"/>
          <w:i/>
          <w:iCs/>
          <w:szCs w:val="24"/>
        </w:rPr>
        <w:t>E. coli</w:t>
      </w:r>
      <w:r w:rsidRPr="00833CE8">
        <w:rPr>
          <w:rFonts w:cs="Times New Roman"/>
          <w:szCs w:val="24"/>
        </w:rPr>
        <w:t xml:space="preserve"> has been used to enhance lipid production</w:t>
      </w:r>
      <w:r w:rsidRPr="003064C9">
        <w:t xml:space="preserve"> </w:t>
      </w:r>
      <w:r>
        <w:t xml:space="preserve">by the marine microalga </w:t>
      </w:r>
      <w:proofErr w:type="spellStart"/>
      <w:r w:rsidRPr="00E60907">
        <w:rPr>
          <w:rFonts w:cs="Times New Roman"/>
          <w:i/>
          <w:iCs/>
          <w:szCs w:val="24"/>
        </w:rPr>
        <w:t>Aurantiochytrium</w:t>
      </w:r>
      <w:proofErr w:type="spellEnd"/>
      <w:r w:rsidRPr="003064C9">
        <w:rPr>
          <w:rFonts w:cs="Times New Roman"/>
          <w:szCs w:val="24"/>
        </w:rPr>
        <w:t xml:space="preserve"> sp. SW1</w:t>
      </w:r>
      <w:r w:rsidRPr="00833CE8">
        <w:rPr>
          <w:rFonts w:cs="Times New Roman"/>
          <w:szCs w:val="24"/>
        </w:rPr>
        <w:t xml:space="preserve">, </w:t>
      </w:r>
      <w:r>
        <w:rPr>
          <w:rFonts w:cs="Times New Roman"/>
          <w:szCs w:val="24"/>
        </w:rPr>
        <w:t xml:space="preserve">leading to </w:t>
      </w:r>
      <w:r w:rsidRPr="00833CE8">
        <w:rPr>
          <w:rFonts w:cs="Times New Roman"/>
          <w:szCs w:val="24"/>
        </w:rPr>
        <w:t xml:space="preserve">high-value compounds such as polyunsaturated fatty acids (PUFAs) </w:t>
      </w:r>
      <w:r>
        <w:rPr>
          <w:rFonts w:cs="Times New Roman"/>
          <w:szCs w:val="24"/>
        </w:rPr>
        <w:t>such as</w:t>
      </w:r>
      <w:r w:rsidRPr="00242225">
        <w:rPr>
          <w:rFonts w:cs="Times New Roman"/>
          <w:color w:val="FF0000"/>
          <w:szCs w:val="24"/>
        </w:rPr>
        <w:t xml:space="preserve"> </w:t>
      </w:r>
      <w:r>
        <w:rPr>
          <w:rFonts w:cs="Times New Roman"/>
          <w:color w:val="FF0000"/>
          <w:szCs w:val="24"/>
        </w:rPr>
        <w:t>d</w:t>
      </w:r>
      <w:r w:rsidRPr="00E01ADD">
        <w:rPr>
          <w:rFonts w:cs="Times New Roman"/>
          <w:color w:val="FF0000"/>
          <w:szCs w:val="24"/>
        </w:rPr>
        <w:t xml:space="preserve">ocosahexaenoic acid (DHA) </w:t>
      </w:r>
      <w:r>
        <w:rPr>
          <w:rFonts w:cs="Times New Roman"/>
          <w:szCs w:val="24"/>
        </w:rPr>
        <w:t xml:space="preserve"> </w:t>
      </w:r>
      <w:r w:rsidRPr="00833CE8">
        <w:rPr>
          <w:rFonts w:cs="Times New Roman"/>
          <w:szCs w:val="24"/>
        </w:rPr>
        <w:t>or b</w:t>
      </w:r>
      <w:r w:rsidRPr="00E01ADD">
        <w:rPr>
          <w:rFonts w:cs="Times New Roman"/>
          <w:szCs w:val="24"/>
        </w:rPr>
        <w:t xml:space="preserve">iofuels </w:t>
      </w:r>
      <w:r w:rsidRPr="00E01ADD">
        <w:rPr>
          <w:rFonts w:cs="Times New Roman"/>
          <w:szCs w:val="24"/>
        </w:rPr>
        <w:fldChar w:fldCharType="begin"/>
      </w:r>
      <w:r w:rsidRPr="00E01ADD">
        <w:rPr>
          <w:rFonts w:cs="Times New Roman"/>
          <w:szCs w:val="24"/>
        </w:rPr>
        <w:instrText xml:space="preserve"> ADDIN ZOTERO_ITEM CSL_CITATION {"citationID":"8JuUxUMj","properties":{"formattedCitation":"(Zhang et al., 2024)","plainCitation":"(Zhang et al., 2024)","noteIndex":0},"citationItems":[{"id":4323,"uris":["http://zotero.org/users/764524/items/I5IPUTIE"],"itemData":{"id":4323,"type":"article-journal","abstract":"Microalgae, known for rapid growth and lipid richness, hold potential in biofuels and high-value biomolecules. The symbiotic link with bacteria is crucial in large-scale open cultures. This study explores algal-bacterial interactions using a symbiotic model, evaluating acid-resistant Lactic acid bacteria (LAB), stress-resilient Bacillus subtilis and Bacillus licheniformis, and various Escherichia coli strains in the Aurantiochytrium sp. SW1 system. It was observed that E. coli SUC significantly enhanced the growth and lipid production of Aurantiochytrium sp. SW1 by increasing enzyme activity (NAD-IDH, NAD-ME, G6PDH) while maintaining sustained succinic acid release. Optimal co-culture conditions included temperature 28 °C, a 1:10 algae-to-bacteria ratio, and pH 8. Under these conditions, Aurantiochytrium sp. SW1 biomass increased 3.17-fold to 27.83 g/L, and total lipid content increased 2.63-fold to 4.87 g/L. These findings have implications for more efficient microalgal lipid production and large-scale cultivation.","container-title":"Bioresource Technology","DOI":"10.1016/j.biortech.2023.130232","ISSN":"0960-8524","journalAbbreviation":"Bioresour. Technol.","page":"130232","source":"ScienceDirect","title":"Mechanism of enhanced microalgal biomass and lipid accumulation through symbiosis between a highly succinic acid-producing strain of &lt;i&gt;Escherichia coli&lt;/i&gt; SUC and &lt;i&gt;Aurantiochytrium&lt;/i&gt; sp. SW1","volume":"394","author":[{"family":"Zhang","given":"Mei-Yu"},{"family":"Xu","given":"Xin-Ru"},{"family":"Zhao","given":"Ru-Ping"},{"family":"Huang","given":"Chao"},{"family":"Song","given":"Yuan-Da"},{"family":"Zhao","given":"Zi-Tong"},{"family":"Zhao","given":"Yu-Bin"},{"family":"Ren","given":"Xiao-Jie"},{"family":"Zhao","given":"Xin-He"}],"issued":{"date-parts":[["2024",2,1]]}}}],"schema":"https://github.com/citation-style-language/schema/raw/master/csl-citation.json"} </w:instrText>
      </w:r>
      <w:r w:rsidRPr="00E01ADD">
        <w:rPr>
          <w:rFonts w:cs="Times New Roman"/>
          <w:szCs w:val="24"/>
        </w:rPr>
        <w:fldChar w:fldCharType="separate"/>
      </w:r>
      <w:r w:rsidRPr="00E01ADD">
        <w:rPr>
          <w:rFonts w:cs="Times New Roman"/>
        </w:rPr>
        <w:t>(Zhang et al., 2024)</w:t>
      </w:r>
      <w:r w:rsidRPr="00E01ADD">
        <w:rPr>
          <w:rFonts w:cs="Times New Roman"/>
          <w:szCs w:val="24"/>
        </w:rPr>
        <w:fldChar w:fldCharType="end"/>
      </w:r>
      <w:r w:rsidRPr="00E01ADD">
        <w:rPr>
          <w:rFonts w:cs="Times New Roman"/>
          <w:szCs w:val="24"/>
        </w:rPr>
        <w:t xml:space="preserve">.  </w:t>
      </w:r>
      <w:r w:rsidRPr="00E01ADD">
        <w:rPr>
          <w:rFonts w:cs="Times New Roman"/>
          <w:color w:val="FF0000"/>
          <w:szCs w:val="24"/>
        </w:rPr>
        <w:t xml:space="preserve">The total lipid content </w:t>
      </w:r>
      <w:proofErr w:type="spellStart"/>
      <w:r w:rsidRPr="00E01ADD">
        <w:rPr>
          <w:rFonts w:cs="Times New Roman"/>
          <w:i/>
          <w:iCs/>
          <w:color w:val="FF0000"/>
          <w:szCs w:val="24"/>
        </w:rPr>
        <w:t>Aurantiochytrium</w:t>
      </w:r>
      <w:proofErr w:type="spellEnd"/>
      <w:r w:rsidRPr="00E01ADD">
        <w:rPr>
          <w:rFonts w:cs="Times New Roman"/>
          <w:color w:val="FF0000"/>
          <w:szCs w:val="24"/>
        </w:rPr>
        <w:t xml:space="preserve"> increased 2.63-fold</w:t>
      </w:r>
      <w:r>
        <w:rPr>
          <w:rFonts w:cs="Times New Roman"/>
          <w:color w:val="FF0000"/>
          <w:szCs w:val="24"/>
        </w:rPr>
        <w:t xml:space="preserve"> while the </w:t>
      </w:r>
      <w:r w:rsidRPr="00E01ADD">
        <w:rPr>
          <w:rFonts w:cs="Times New Roman"/>
          <w:color w:val="FF0000"/>
          <w:szCs w:val="24"/>
        </w:rPr>
        <w:t xml:space="preserve">biomass increased 3.17-fold.  </w:t>
      </w:r>
      <w:r>
        <w:rPr>
          <w:rFonts w:cs="Times New Roman"/>
          <w:color w:val="FF0000"/>
          <w:szCs w:val="24"/>
        </w:rPr>
        <w:t xml:space="preserve">The DHA </w:t>
      </w:r>
      <w:r w:rsidRPr="00E01ADD">
        <w:rPr>
          <w:rFonts w:cs="Times New Roman"/>
          <w:color w:val="FF0000"/>
          <w:szCs w:val="24"/>
        </w:rPr>
        <w:t xml:space="preserve">content was determined to be 42.69% </w:t>
      </w:r>
      <w:r>
        <w:rPr>
          <w:rFonts w:cs="Times New Roman"/>
          <w:color w:val="FF0000"/>
          <w:szCs w:val="24"/>
        </w:rPr>
        <w:t xml:space="preserve">of total fatty acids </w:t>
      </w:r>
      <w:r w:rsidRPr="00E01ADD">
        <w:rPr>
          <w:rFonts w:cs="Times New Roman"/>
          <w:color w:val="FF0000"/>
          <w:szCs w:val="24"/>
        </w:rPr>
        <w:t>in</w:t>
      </w:r>
      <w:r>
        <w:rPr>
          <w:rFonts w:cs="Times New Roman"/>
          <w:color w:val="FF0000"/>
          <w:szCs w:val="24"/>
        </w:rPr>
        <w:t xml:space="preserve"> the</w:t>
      </w:r>
      <w:r w:rsidRPr="00E01ADD">
        <w:rPr>
          <w:rFonts w:cs="Times New Roman"/>
          <w:color w:val="FF0000"/>
          <w:szCs w:val="24"/>
        </w:rPr>
        <w:t xml:space="preserve"> co</w:t>
      </w:r>
      <w:r>
        <w:rPr>
          <w:rFonts w:cs="Times New Roman"/>
          <w:color w:val="FF0000"/>
          <w:szCs w:val="24"/>
        </w:rPr>
        <w:t>-</w:t>
      </w:r>
      <w:r w:rsidRPr="00E01ADD">
        <w:rPr>
          <w:rFonts w:cs="Times New Roman"/>
          <w:color w:val="FF0000"/>
          <w:szCs w:val="24"/>
        </w:rPr>
        <w:t>culture compared to 25.26% in axenic algal culture.  The addition of succinate</w:t>
      </w:r>
      <w:r>
        <w:rPr>
          <w:rFonts w:cs="Times New Roman"/>
          <w:color w:val="FF0000"/>
          <w:szCs w:val="24"/>
        </w:rPr>
        <w:t xml:space="preserve"> to the axenic culture</w:t>
      </w:r>
      <w:r w:rsidRPr="00E01ADD">
        <w:rPr>
          <w:rFonts w:cs="Times New Roman"/>
          <w:color w:val="FF0000"/>
          <w:szCs w:val="24"/>
        </w:rPr>
        <w:t xml:space="preserve"> was also capable of increasing the DHA content, but only up to 38.13%, demonstrating the superior effect of the co</w:t>
      </w:r>
      <w:r>
        <w:rPr>
          <w:rFonts w:cs="Times New Roman"/>
          <w:color w:val="FF0000"/>
          <w:szCs w:val="24"/>
        </w:rPr>
        <w:t>-</w:t>
      </w:r>
      <w:r w:rsidRPr="00E01ADD">
        <w:rPr>
          <w:rFonts w:cs="Times New Roman"/>
          <w:color w:val="FF0000"/>
          <w:szCs w:val="24"/>
        </w:rPr>
        <w:t xml:space="preserve">culture. </w:t>
      </w:r>
      <w:r w:rsidRPr="00833CE8">
        <w:rPr>
          <w:rFonts w:cs="Times New Roman"/>
          <w:szCs w:val="24"/>
        </w:rPr>
        <w:t xml:space="preserve">Indeed, enhancement </w:t>
      </w:r>
      <w:r>
        <w:rPr>
          <w:rFonts w:cs="Times New Roman"/>
          <w:szCs w:val="24"/>
        </w:rPr>
        <w:t xml:space="preserve">of potential </w:t>
      </w:r>
      <w:r w:rsidRPr="00833CE8">
        <w:rPr>
          <w:rFonts w:cs="Times New Roman"/>
          <w:szCs w:val="24"/>
        </w:rPr>
        <w:t xml:space="preserve">biofuel production by microalgae has been a target of study for microalgae-bacteria </w:t>
      </w:r>
      <w:r w:rsidRPr="00E60907">
        <w:rPr>
          <w:rFonts w:cs="Times New Roman"/>
          <w:szCs w:val="24"/>
        </w:rPr>
        <w:t>consortia</w:t>
      </w:r>
      <w:r w:rsidRPr="00833CE8">
        <w:rPr>
          <w:rFonts w:cs="Times New Roman"/>
          <w:szCs w:val="24"/>
        </w:rPr>
        <w:t xml:space="preserve"> </w:t>
      </w:r>
      <w:r w:rsidRPr="00833CE8">
        <w:rPr>
          <w:rFonts w:cs="Times New Roman"/>
          <w:szCs w:val="24"/>
        </w:rPr>
        <w:fldChar w:fldCharType="begin"/>
      </w:r>
      <w:r w:rsidRPr="00833CE8">
        <w:rPr>
          <w:rFonts w:cs="Times New Roman"/>
          <w:szCs w:val="24"/>
        </w:rPr>
        <w:instrText xml:space="preserve"> ADDIN ZOTERO_ITEM CSL_CITATION {"citationID":"t5sUkCdw","properties":{"formattedCitation":"(Yao et al., 2019)","plainCitation":"(Yao et al., 2019)","noteIndex":0},"citationItems":[{"id":4378,"uris":["http://zotero.org/users/764524/items/RZQH7UB8"],"itemData":{"id":4378,"type":"article-journal","abstract":"Photosynthetic microalgae can capture solar energy and convert it to bioenergy and biochemical products. In nature or industrial processes, microalgae live together with bacterial communities and may...","container-title":"Journal of Applied Microbiology","DOI":"10.1111/jam.14095","ISSN":"1365-2672","issue":"2","journalAbbreviation":"J. App. Microbiol.","language":"en","note":"publisher: John Wiley &amp; Sons, Ltd","page":"359-368","source":"enviromicro-journals.onlinelibrary.wiley.com","title":"Microalgae–bacteria symbiosis in microalgal growth and biofuel production: a review","title-short":"Microalgae–bacteria symbiosis in microalgal growth and biofuel production","volume":"126","author":[{"family":"Yao","given":"S."},{"family":"Lyu","given":"S."},{"family":"An","given":"Y."},{"family":"Lu","given":"J."},{"family":"Gjermansen","given":"C."},{"family":"Schramm","given":"A."}],"issued":{"date-parts":[["2019",2,1]]}}}],"schema":"https://github.com/citation-style-language/schema/raw/master/csl-citation.json"} </w:instrText>
      </w:r>
      <w:r w:rsidRPr="00833CE8">
        <w:rPr>
          <w:rFonts w:cs="Times New Roman"/>
          <w:szCs w:val="24"/>
        </w:rPr>
        <w:fldChar w:fldCharType="separate"/>
      </w:r>
      <w:r w:rsidRPr="00833CE8">
        <w:rPr>
          <w:rFonts w:cs="Times New Roman"/>
        </w:rPr>
        <w:t>(Yao et al., 2019)</w:t>
      </w:r>
      <w:r w:rsidRPr="00833CE8">
        <w:rPr>
          <w:rFonts w:cs="Times New Roman"/>
          <w:szCs w:val="24"/>
        </w:rPr>
        <w:fldChar w:fldCharType="end"/>
      </w:r>
      <w:r w:rsidRPr="00833CE8">
        <w:rPr>
          <w:rFonts w:cs="Times New Roman"/>
          <w:szCs w:val="24"/>
        </w:rPr>
        <w:t xml:space="preserve">.   </w:t>
      </w:r>
      <w:r>
        <w:rPr>
          <w:rFonts w:cs="Times New Roman"/>
          <w:szCs w:val="24"/>
        </w:rPr>
        <w:t>Communities</w:t>
      </w:r>
      <w:r w:rsidRPr="00833CE8">
        <w:rPr>
          <w:rFonts w:cs="Times New Roman"/>
          <w:szCs w:val="24"/>
        </w:rPr>
        <w:t xml:space="preserve"> of microalgae and bacteria</w:t>
      </w:r>
      <w:r w:rsidRPr="00833CE8">
        <w:rPr>
          <w:rFonts w:cs="Times New Roman"/>
          <w:b/>
          <w:bCs/>
          <w:szCs w:val="24"/>
        </w:rPr>
        <w:t xml:space="preserve"> </w:t>
      </w:r>
      <w:r w:rsidRPr="00833CE8">
        <w:rPr>
          <w:rFonts w:cs="Times New Roman"/>
          <w:szCs w:val="24"/>
        </w:rPr>
        <w:t>have also been used for wastewater</w:t>
      </w:r>
      <w:r w:rsidRPr="00833CE8">
        <w:rPr>
          <w:rFonts w:cs="Times New Roman"/>
          <w:b/>
          <w:bCs/>
          <w:szCs w:val="24"/>
        </w:rPr>
        <w:t xml:space="preserve"> </w:t>
      </w:r>
      <w:r w:rsidRPr="00833CE8">
        <w:rPr>
          <w:rFonts w:cs="Times New Roman"/>
          <w:szCs w:val="24"/>
        </w:rPr>
        <w:t xml:space="preserve">bioremediation </w:t>
      </w:r>
      <w:r w:rsidRPr="00833CE8">
        <w:rPr>
          <w:rFonts w:cs="Times New Roman"/>
          <w:szCs w:val="24"/>
        </w:rPr>
        <w:fldChar w:fldCharType="begin"/>
      </w:r>
      <w:r w:rsidRPr="00833CE8">
        <w:rPr>
          <w:rFonts w:cs="Times New Roman"/>
          <w:szCs w:val="24"/>
        </w:rPr>
        <w:instrText xml:space="preserve"> ADDIN ZOTERO_ITEM CSL_CITATION {"citationID":"9UhhbHeH","properties":{"formattedCitation":"(Dai and Wang, 2024; Zhang et al., 2023)","plainCitation":"(Dai and Wang, 2024; Zhang et al., 2023)","noteIndex":0},"citationItems":[{"id":4461,"uris":["http://zotero.org/users/764524/items/EQNVP4QU"],"itemData":{"id":4461,"type":"article-journal","abstract":"The use of microalgae–bacteria consortia (MBC) for wastewater treatment has garnered attention as their interactions impart greater environmental adaptability and stability compared with that obtained by only microalgae or bacteria use, thereby improving the efficiency of pollutant removal and bio-product productivity. Additionally, the value-added bio-products produced via biorefineries can improve economic competitiveness and environmental sustainability. Therefore, this review focuses on the interaction between microalgae and bacteria that leads to nutrient exchange, gene transfer and signal transduction to comprehensively understand the interaction mechanisms underlying their strong adaptability. In addition, it includes recent research in which MBC has been efficiently used to treat various wastewater. Moreover, the review summarizes the use of MBC-produced biomass in a biorefining context to produce biofuel, biomaterial, high-value bio-products and bio-fertilizer. Overall, more effort is needed to identify the symbiotic mechanism in MBC to provide a foundation for circular bio-economy and environmentally friendly development programmes.","container-title":"Bioresource Technology","DOI":"10.1016/j.biortech.2023.130019","ISSN":"0960-8524","journalAbbreviation":"Bioresour. Technol.","page":"130019","source":"ScienceDirect","title":"Potential applications of microalgae–bacteria consortia in wastewater treatment and biorefinery","volume":"393","author":[{"family":"Dai","given":"Chenming"},{"family":"Wang","given":"Feifei"}],"issued":{"date-parts":[["2024",2,1]]}}},{"id":9242,"uris":["http://zotero.org/users/764524/items/ZLPUXJZD"],"itemData":{"id":9242,"type":"article-journal","abstract":"Conventional biological treatment usually cannot achieve the same high water quality as advanced treatment when conducted under varied temperatures. Here, satisfactory wastewater treatment efficiency was observed in a microalgae-bacteria consortia (MBC) over a wide temperature range because of the predominance of microalgae. Microalgae contributed more toward wastewater treatment at low temperature because of the unsatisfactory performance of the accompanying bacteria, which experienced cold stress (e.g., bacterial abundance below 3000 sequences) and executed defensive strategies (e.g., enrichment of cold-shock proteins). A low abundance of amoA-C and hao indicated that conventional nitrogen removal was replaced through the involvement of microalgae. Diverse heterotrophic bacteria for nitrogen removal were identified at medium and high temperatures, implying this microbial niche treatment contained diverse flexible consortia with temperature variation. Additionally, pathogenic bacteria were eliminated through microalgal photosynthesis. After fitting the neutral community model and calculating the ecological niche, microalgae achieved a maximum niche breadth of 5.21 and the lowest niche overlap of 0.38, while the accompanying bacterial community in the consortia were shaped through deterministic processes. Finally, the maximum energy yield of 87.4 kJ L−1 and lipid production of 1.9 g L−1 were achieved at medium temperature. Altogether, this study demonstrates that advanced treatment and energy reclamation can be achieved through microalgae-bacteria niche strategies.","container-title":"Environmental Science and Ecotechnology","DOI":"10.1016/j.ese.2022.100230","ISSN":"2666-4984","journalAbbreviation":"Environ. Sci. Ecotechnol.","page":"100230","source":"ScienceDirect","title":"Revealing the role of microalgae-bacteria niche for boosting wastewater treatment and energy reclamation in response to temperature","volume":"14","author":[{"family":"Zhang","given":"Chaofan"},{"family":"Chen","given":"Xi"},{"family":"Han","given":"Meina"},{"family":"Li","given":"Xue"},{"family":"Chang","given":"Haixing"},{"family":"Ren","given":"Nanqi"},{"family":"Ho","given":"Shih-Hsin"}],"issued":{"date-parts":[["2023",4,1]]}}}],"schema":"https://github.com/citation-style-language/schema/raw/master/csl-citation.json"} </w:instrText>
      </w:r>
      <w:r w:rsidRPr="00833CE8">
        <w:rPr>
          <w:rFonts w:cs="Times New Roman"/>
          <w:szCs w:val="24"/>
        </w:rPr>
        <w:fldChar w:fldCharType="separate"/>
      </w:r>
      <w:r w:rsidRPr="00833CE8">
        <w:rPr>
          <w:rFonts w:cs="Times New Roman"/>
        </w:rPr>
        <w:t>(Dai and Wang, 2024; Zhang et al., 2023)</w:t>
      </w:r>
      <w:r w:rsidRPr="00833CE8">
        <w:rPr>
          <w:rFonts w:cs="Times New Roman"/>
          <w:szCs w:val="24"/>
        </w:rPr>
        <w:fldChar w:fldCharType="end"/>
      </w:r>
      <w:r w:rsidRPr="00833CE8">
        <w:rPr>
          <w:rFonts w:cs="Times New Roman"/>
          <w:szCs w:val="24"/>
        </w:rPr>
        <w:t xml:space="preserve">. Finally, these </w:t>
      </w:r>
      <w:r w:rsidRPr="00E60907">
        <w:rPr>
          <w:rFonts w:cs="Times New Roman"/>
          <w:szCs w:val="24"/>
        </w:rPr>
        <w:t>consortia</w:t>
      </w:r>
      <w:r w:rsidRPr="00833CE8">
        <w:rPr>
          <w:rFonts w:cs="Times New Roman"/>
          <w:szCs w:val="24"/>
        </w:rPr>
        <w:t xml:space="preserve"> can be used in the synthesis of bioproducts such as prebiotics, cosmetics, and antibiotics </w:t>
      </w:r>
      <w:r w:rsidRPr="00833CE8">
        <w:rPr>
          <w:rFonts w:cs="Times New Roman"/>
          <w:szCs w:val="24"/>
        </w:rPr>
        <w:fldChar w:fldCharType="begin"/>
      </w:r>
      <w:r w:rsidRPr="00833CE8">
        <w:rPr>
          <w:rFonts w:cs="Times New Roman"/>
          <w:szCs w:val="24"/>
        </w:rPr>
        <w:instrText xml:space="preserve"> ADDIN ZOTERO_ITEM CSL_CITATION {"citationID":"voH4IFY3","properties":{"formattedCitation":"(Santo et al., 2022)","plainCitation":"(Santo et al., 2022)","noteIndex":0},"citationItems":[{"id":4539,"uris":["http://zotero.org/users/764524/items/QBZ9JNB5"],"itemData":{"id":4539,"type":"article-journal","abstract":"The applications of microalgae biomass have been widely studied worldwide. The classical processes used in outdoor cultivations of microalgae, in closed or open photobioreactors, occur in the presence of bacteria. Understanding how communication between cells occurs through quorum sensing and evaluating co-cultures allows the production of microalgae and cyanobacteria to be positively impacted by bacteria, in order to guarantee safety and profitability in the production process. In addition, the definition of the effects that occur during an interaction, promotes insights to improve the production of biomolecules, and to develop innovative products. This review presents the interactions between microalgae and bacteria, including compounds exchanges and communication, and addresses the development of new pharmaceutical, cosmetic and food bioproducts from microalgae based on these evaluations, such as prebiotics, vegan skincare products, antimicrobial compounds, and culture media with animal free protein for producing vaccines and other biopharmaceutical products. The use of microalgae as raw biomass or in biotechnological platforms is in line with the fulfillment of the 2030 Agenda related to the Sustainable Development Goals (SDGs).","container-title":"Microorganisms","DOI":"10.3390/microorganisms10102029","ISSN":"2076-2607","issue":"10","language":"en","license":"http://creativecommons.org/licenses/by/3.0/","note":"number: 10\npublisher: Multidisciplinary Digital Publishing Institute","page":"2029","source":"www.mdpi.com","title":"Obtaining Bioproducts from the Studies of Signals and Interactions between Microalgae and Bacteria","volume":"10","author":[{"family":"Santo","given":"Évellin do Espirito"},{"family":"Ishii","given":"Marina"},{"family":"Pinto","given":"Uelinton Manoel"},{"family":"Matsudo","given":"Marcelo Chuei"},{"family":"Carvalho","given":"João Carlos Monteiro","dropping-particle":"de"}],"issued":{"date-parts":[["2022",10]]}}}],"schema":"https://github.com/citation-style-language/schema/raw/master/csl-citation.json"} </w:instrText>
      </w:r>
      <w:r w:rsidRPr="00833CE8">
        <w:rPr>
          <w:rFonts w:cs="Times New Roman"/>
          <w:szCs w:val="24"/>
        </w:rPr>
        <w:fldChar w:fldCharType="separate"/>
      </w:r>
      <w:r w:rsidRPr="00833CE8">
        <w:rPr>
          <w:rFonts w:cs="Times New Roman"/>
        </w:rPr>
        <w:t>(Santo et al., 2022)</w:t>
      </w:r>
      <w:r w:rsidRPr="00833CE8">
        <w:rPr>
          <w:rFonts w:cs="Times New Roman"/>
          <w:szCs w:val="24"/>
        </w:rPr>
        <w:fldChar w:fldCharType="end"/>
      </w:r>
      <w:r w:rsidRPr="00833CE8">
        <w:rPr>
          <w:rFonts w:cs="Times New Roman"/>
          <w:szCs w:val="24"/>
        </w:rPr>
        <w:t xml:space="preserve">.  Porous </w:t>
      </w:r>
      <w:r>
        <w:rPr>
          <w:rFonts w:cs="Times New Roman"/>
          <w:szCs w:val="24"/>
        </w:rPr>
        <w:t>support</w:t>
      </w:r>
      <w:r w:rsidRPr="00833CE8">
        <w:rPr>
          <w:rFonts w:cs="Times New Roman"/>
          <w:szCs w:val="24"/>
        </w:rPr>
        <w:t xml:space="preserve">-based bioreactors have been used for monocultures of microalgae, but recent research has </w:t>
      </w:r>
      <w:r>
        <w:rPr>
          <w:rFonts w:cs="Times New Roman"/>
          <w:szCs w:val="24"/>
        </w:rPr>
        <w:t xml:space="preserve">also </w:t>
      </w:r>
      <w:r w:rsidRPr="00833CE8">
        <w:rPr>
          <w:rFonts w:cs="Times New Roman"/>
          <w:szCs w:val="24"/>
        </w:rPr>
        <w:t>shown the potential for their application with microalgae-bacteria consortia</w:t>
      </w:r>
      <w:r>
        <w:rPr>
          <w:rFonts w:cs="Times New Roman"/>
          <w:szCs w:val="24"/>
        </w:rPr>
        <w:t xml:space="preserve">.  </w:t>
      </w:r>
      <w:r w:rsidRPr="00C62697">
        <w:rPr>
          <w:rFonts w:cs="Times New Roman"/>
          <w:color w:val="FF0000"/>
          <w:szCs w:val="24"/>
        </w:rPr>
        <w:t xml:space="preserve">For example, consortia of freshwater </w:t>
      </w:r>
      <w:r w:rsidRPr="00C62697">
        <w:rPr>
          <w:rFonts w:cs="Times New Roman"/>
          <w:i/>
          <w:iCs/>
          <w:color w:val="FF0000"/>
          <w:szCs w:val="24"/>
        </w:rPr>
        <w:t>C. vulgaris</w:t>
      </w:r>
      <w:r w:rsidRPr="00C62697">
        <w:rPr>
          <w:rFonts w:cs="Times New Roman"/>
          <w:color w:val="FF0000"/>
          <w:szCs w:val="24"/>
        </w:rPr>
        <w:t xml:space="preserve"> or marine </w:t>
      </w:r>
      <w:proofErr w:type="spellStart"/>
      <w:r w:rsidRPr="00C62697">
        <w:rPr>
          <w:rFonts w:cs="Times New Roman"/>
          <w:i/>
          <w:iCs/>
          <w:color w:val="FF0000"/>
          <w:szCs w:val="24"/>
        </w:rPr>
        <w:t>Cylindrotheca</w:t>
      </w:r>
      <w:proofErr w:type="spellEnd"/>
      <w:r w:rsidRPr="00C62697">
        <w:rPr>
          <w:rFonts w:cs="Times New Roman"/>
          <w:i/>
          <w:iCs/>
          <w:color w:val="FF0000"/>
          <w:szCs w:val="24"/>
        </w:rPr>
        <w:t xml:space="preserve"> fusiformis</w:t>
      </w:r>
      <w:r w:rsidRPr="00C62697">
        <w:rPr>
          <w:rFonts w:cs="Times New Roman"/>
          <w:color w:val="FF0000"/>
          <w:szCs w:val="24"/>
        </w:rPr>
        <w:t xml:space="preserve"> microalgae with </w:t>
      </w:r>
      <w:r w:rsidRPr="00C62697">
        <w:rPr>
          <w:rFonts w:cs="Times New Roman"/>
          <w:i/>
          <w:iCs/>
          <w:color w:val="FF0000"/>
          <w:szCs w:val="24"/>
        </w:rPr>
        <w:t xml:space="preserve">E. coli </w:t>
      </w:r>
      <w:r w:rsidRPr="00C62697">
        <w:rPr>
          <w:rFonts w:cs="Times New Roman"/>
          <w:color w:val="FF0000"/>
          <w:szCs w:val="24"/>
        </w:rPr>
        <w:t>have been designed</w:t>
      </w:r>
      <w:r w:rsidRPr="00833CE8">
        <w:rPr>
          <w:rFonts w:cs="Times New Roman"/>
          <w:szCs w:val="24"/>
        </w:rPr>
        <w:t xml:space="preserve"> </w:t>
      </w:r>
      <w:r w:rsidRPr="00833CE8">
        <w:rPr>
          <w:rFonts w:cs="Times New Roman"/>
          <w:szCs w:val="24"/>
        </w:rPr>
        <w:fldChar w:fldCharType="begin"/>
      </w:r>
      <w:r w:rsidRPr="00833CE8">
        <w:rPr>
          <w:rFonts w:cs="Times New Roman"/>
          <w:szCs w:val="24"/>
        </w:rPr>
        <w:instrText xml:space="preserve"> ADDIN ZOTERO_ITEM CSL_CITATION {"citationID":"b319iHCv","properties":{"formattedCitation":"(Tong et al., 2024)","plainCitation":"(Tong et al., 2024)","noteIndex":0},"citationItems":[{"id":4324,"uris":["http://zotero.org/users/764524/items/LHL5JKZ7"],"itemData":{"id":4324,"type":"article-journal","abstract":"Research on renewable energy from microalgae has led to a growing interest in porous substrate photobioreactors, but their widespread adoption is currently limited to pure microalgal biofilm cultures. The behavior of microalgal-bacterial biofilms immobilized on microporous substrates remains as a research challenge, particularly in uncovering their mutualistic interactions in environment enriched with dissolved organic matter. Therefore, this study established a novel culture platform by introducing microalgal-derived bio-coating that preconditioned hydrophilic polyvinylidene fluoride membranes for the microalgal-bacterial biofilm growth of freshwater microalgae, Chlorella vulgaris ESP 31 and marine microalgae, Cylindrotheca fusiformis with bacteria, Escherichia coli. In the attached co-culture mode, the bio-coating we proposed demonstrated the ability to enhance microalgal growth for both studied species by a range of 2.5 % to 19 % starting from day 10 onwards. Additionally, when compared to co-culture on uncoated membranes, the bio-coating exhibited a significant bacterial growth promotion effect, increasing bacterial growth by at least 2.35 times for the C. vulgaris-E. coli co-culture after an initial adaptation phase. A significant increase of at least 72 % in intracellular biochemical compounds (including chlorophyll, polysaccharides, proteins, and lipids) was observed within just five days, primarily due to the high concentration of pre-coated organic matter, mainly sourced from the internal organic matter (IOM) of C. fusiformis. Higher accumulation of organic compounds in the bio-coating indirectly triggers a competition between microalgae and bacteria which potentially stimulate the production of additional intra−/extra-organic substances as a defensive response. In short, insight gained from this study may represent a paradigm shift in the ways that symbiotic interactions are promoted to increase the yield of specific bio-compounds with the presence of bio-coating.","container-title":"Science of The Total Environment","DOI":"10.1016/j.scitotenv.2023.167576","ISSN":"0048-9697","journalAbbreviation":"Sci. Total Environ.","page":"167576","source":"ScienceDirect","title":"Enhancing organic matter productivity in microalgal-bacterial biofilm using novel bio-coating","volume":"906","author":[{"family":"Tong","given":"C. Y."},{"family":"Honda","given":"Kohsuke"},{"family":"Derek","given":"C. J. C."}],"issued":{"date-parts":[["2024",1,1]]}}}],"schema":"https://github.com/citation-style-language/schema/raw/master/csl-citation.json"} </w:instrText>
      </w:r>
      <w:r w:rsidRPr="00833CE8">
        <w:rPr>
          <w:rFonts w:cs="Times New Roman"/>
          <w:szCs w:val="24"/>
        </w:rPr>
        <w:fldChar w:fldCharType="separate"/>
      </w:r>
      <w:r w:rsidRPr="00833CE8">
        <w:rPr>
          <w:rFonts w:cs="Times New Roman"/>
        </w:rPr>
        <w:t>(Tong et al., 2024)</w:t>
      </w:r>
      <w:r w:rsidRPr="00833CE8">
        <w:rPr>
          <w:rFonts w:cs="Times New Roman"/>
          <w:szCs w:val="24"/>
        </w:rPr>
        <w:fldChar w:fldCharType="end"/>
      </w:r>
      <w:r>
        <w:rPr>
          <w:rFonts w:cs="Times New Roman"/>
          <w:szCs w:val="24"/>
        </w:rPr>
        <w:t xml:space="preserve">.  </w:t>
      </w:r>
      <w:r w:rsidRPr="00D867AD">
        <w:rPr>
          <w:rFonts w:cs="Times New Roman"/>
          <w:szCs w:val="24"/>
        </w:rPr>
        <w:t xml:space="preserve">For the </w:t>
      </w:r>
      <w:r w:rsidRPr="00D867AD">
        <w:rPr>
          <w:rFonts w:cs="Times New Roman"/>
          <w:i/>
          <w:iCs/>
          <w:color w:val="FF0000"/>
          <w:szCs w:val="24"/>
        </w:rPr>
        <w:t xml:space="preserve">C. vulgaris </w:t>
      </w:r>
      <w:r w:rsidRPr="00D867AD">
        <w:rPr>
          <w:rFonts w:cs="Times New Roman"/>
          <w:color w:val="FF0000"/>
          <w:szCs w:val="24"/>
        </w:rPr>
        <w:t>consortia</w:t>
      </w:r>
      <w:r w:rsidRPr="00D867AD">
        <w:rPr>
          <w:rFonts w:cs="Times New Roman"/>
          <w:i/>
          <w:iCs/>
          <w:color w:val="FF0000"/>
          <w:szCs w:val="24"/>
        </w:rPr>
        <w:t>,</w:t>
      </w:r>
      <w:r w:rsidRPr="00D867AD">
        <w:rPr>
          <w:rFonts w:cs="Times New Roman"/>
          <w:color w:val="FF0000"/>
          <w:szCs w:val="24"/>
        </w:rPr>
        <w:t xml:space="preserve"> polysaccharide levels were significantly increased on day 5, with 190.6±20.5 mg/m</w:t>
      </w:r>
      <w:r w:rsidRPr="00D867AD">
        <w:rPr>
          <w:rFonts w:cs="Times New Roman"/>
          <w:color w:val="FF0000"/>
          <w:szCs w:val="24"/>
          <w:vertAlign w:val="superscript"/>
        </w:rPr>
        <w:t>2</w:t>
      </w:r>
      <w:r w:rsidRPr="00D867AD">
        <w:rPr>
          <w:rFonts w:cs="Times New Roman"/>
          <w:color w:val="FF0000"/>
          <w:szCs w:val="24"/>
        </w:rPr>
        <w:t xml:space="preserve"> obtained from cultures grown on membranes coated with internal organic matter (IOM) of the algae compared to the control 140.3±5.3 mg m</w:t>
      </w:r>
      <w:r w:rsidRPr="00D867AD">
        <w:rPr>
          <w:rFonts w:cs="Times New Roman"/>
          <w:color w:val="FF0000"/>
          <w:szCs w:val="24"/>
          <w:vertAlign w:val="superscript"/>
        </w:rPr>
        <w:t>−2</w:t>
      </w:r>
      <w:r w:rsidRPr="00D867AD">
        <w:rPr>
          <w:rFonts w:cs="Times New Roman"/>
          <w:color w:val="FF0000"/>
          <w:szCs w:val="24"/>
        </w:rPr>
        <w:t>) obtained from the axenic group</w:t>
      </w:r>
      <w:r>
        <w:rPr>
          <w:rFonts w:cs="Times New Roman"/>
          <w:color w:val="FF0000"/>
          <w:szCs w:val="24"/>
        </w:rPr>
        <w:t>, although the overall polysaccharide content on day 15 showed  no significant differences</w:t>
      </w:r>
      <w:r w:rsidRPr="00D867AD">
        <w:rPr>
          <w:rFonts w:cs="Times New Roman"/>
          <w:color w:val="FF0000"/>
          <w:szCs w:val="24"/>
        </w:rPr>
        <w:t>.</w:t>
      </w:r>
      <w:r w:rsidRPr="00D867AD">
        <w:rPr>
          <w:rFonts w:cs="Times New Roman"/>
          <w:i/>
          <w:iCs/>
          <w:color w:val="FF0000"/>
          <w:szCs w:val="24"/>
        </w:rPr>
        <w:t xml:space="preserve">  </w:t>
      </w:r>
      <w:r w:rsidRPr="00D867AD">
        <w:rPr>
          <w:rFonts w:cs="Times New Roman"/>
          <w:color w:val="FF0000"/>
          <w:szCs w:val="24"/>
        </w:rPr>
        <w:t xml:space="preserve">While the </w:t>
      </w:r>
      <w:r w:rsidRPr="00D867AD">
        <w:rPr>
          <w:rFonts w:cs="Times New Roman"/>
          <w:i/>
          <w:iCs/>
          <w:color w:val="FF0000"/>
          <w:szCs w:val="24"/>
        </w:rPr>
        <w:t>C. vulgaris</w:t>
      </w:r>
      <w:r w:rsidRPr="00D867AD">
        <w:rPr>
          <w:rFonts w:cs="Times New Roman"/>
          <w:color w:val="FF0000"/>
          <w:szCs w:val="24"/>
        </w:rPr>
        <w:t xml:space="preserve"> system showed no significant changes to lipid production, the lipid content of </w:t>
      </w:r>
      <w:r w:rsidRPr="00D867AD">
        <w:rPr>
          <w:rFonts w:cs="Times New Roman"/>
          <w:i/>
          <w:iCs/>
          <w:color w:val="FF0000"/>
          <w:szCs w:val="24"/>
        </w:rPr>
        <w:t>C. fusiformis</w:t>
      </w:r>
      <w:r w:rsidRPr="00D867AD">
        <w:rPr>
          <w:rFonts w:cs="Times New Roman"/>
          <w:color w:val="FF0000"/>
          <w:szCs w:val="24"/>
        </w:rPr>
        <w:t xml:space="preserve"> was higher in cultures grown on IOM-treated membranes compared to the untreated membrane co-culture group, with an increase of 126% by day 5 and 22% by day 10.</w:t>
      </w:r>
      <w:r w:rsidRPr="00175FB2">
        <w:rPr>
          <w:rFonts w:cs="Times New Roman"/>
          <w:i/>
          <w:iCs/>
          <w:color w:val="FF0000"/>
          <w:szCs w:val="24"/>
        </w:rPr>
        <w:t xml:space="preserve">  </w:t>
      </w:r>
    </w:p>
    <w:p w14:paraId="79C6D4E7" w14:textId="62ED5179" w:rsidR="00445000" w:rsidRDefault="00445000" w:rsidP="00445000">
      <w:pPr>
        <w:snapToGrid w:val="0"/>
        <w:spacing w:line="360" w:lineRule="auto"/>
        <w:ind w:firstLine="284"/>
        <w:jc w:val="both"/>
        <w:rPr>
          <w:rFonts w:cs="Times New Roman"/>
          <w:szCs w:val="24"/>
        </w:rPr>
      </w:pPr>
      <w:r w:rsidRPr="00833CE8">
        <w:rPr>
          <w:rFonts w:cs="Times New Roman"/>
          <w:szCs w:val="24"/>
        </w:rPr>
        <w:t xml:space="preserve">Co-cultures of bacteria and microalgae have also been investigated for growth of microalgae under mixotrophic conditions.  While the microalgae and bacteria may be competing for organic nutrients, unlike in a system with autotrophic microalgae, added nutrients in the culture media can overcome this effect.  It should be noted that this change is not necessarily positive, as the addition of extra nutrients can allow for </w:t>
      </w:r>
      <w:r>
        <w:rPr>
          <w:rFonts w:cs="Times New Roman"/>
          <w:szCs w:val="24"/>
        </w:rPr>
        <w:t>more extensive</w:t>
      </w:r>
      <w:r w:rsidRPr="00833CE8">
        <w:rPr>
          <w:rFonts w:cs="Times New Roman"/>
          <w:szCs w:val="24"/>
        </w:rPr>
        <w:t xml:space="preserve"> interactions of the bacteria with microalgae, not all of which would be positive.  </w:t>
      </w:r>
      <w:r w:rsidRPr="008B4D33">
        <w:rPr>
          <w:rFonts w:cs="Times New Roman"/>
          <w:color w:val="FF0000"/>
          <w:szCs w:val="24"/>
        </w:rPr>
        <w:t xml:space="preserve">However, a mutualistic relationship such as that between the alga </w:t>
      </w:r>
      <w:r w:rsidRPr="008B4D33">
        <w:rPr>
          <w:rFonts w:cs="Times New Roman"/>
          <w:i/>
          <w:iCs/>
          <w:color w:val="FF0000"/>
          <w:szCs w:val="24"/>
        </w:rPr>
        <w:t>C. fusiformis</w:t>
      </w:r>
      <w:r w:rsidRPr="008B4D33">
        <w:rPr>
          <w:color w:val="FF0000"/>
        </w:rPr>
        <w:t xml:space="preserve"> and the bacterium </w:t>
      </w:r>
      <w:proofErr w:type="spellStart"/>
      <w:r w:rsidRPr="008B4D33">
        <w:rPr>
          <w:rFonts w:cs="Times New Roman"/>
          <w:i/>
          <w:iCs/>
          <w:color w:val="FF0000"/>
          <w:szCs w:val="24"/>
        </w:rPr>
        <w:t>Muricauda</w:t>
      </w:r>
      <w:proofErr w:type="spellEnd"/>
      <w:r w:rsidRPr="008B4D33">
        <w:rPr>
          <w:rFonts w:cs="Times New Roman"/>
          <w:color w:val="FF0000"/>
          <w:szCs w:val="24"/>
        </w:rPr>
        <w:t xml:space="preserve"> in mixotrophic conditions has been shown to improve the </w:t>
      </w:r>
      <w:r w:rsidRPr="008B4D33">
        <w:rPr>
          <w:rFonts w:cs="Times New Roman"/>
          <w:color w:val="FF0000"/>
          <w:szCs w:val="24"/>
        </w:rPr>
        <w:lastRenderedPageBreak/>
        <w:t xml:space="preserve">growth of both microorganisms, as shown for two strains of </w:t>
      </w:r>
      <w:proofErr w:type="spellStart"/>
      <w:r w:rsidRPr="008B4D33">
        <w:rPr>
          <w:rFonts w:cs="Times New Roman"/>
          <w:i/>
          <w:iCs/>
          <w:color w:val="FF0000"/>
          <w:szCs w:val="24"/>
        </w:rPr>
        <w:t>Muricauda</w:t>
      </w:r>
      <w:proofErr w:type="spellEnd"/>
      <w:r w:rsidRPr="008B4D33">
        <w:rPr>
          <w:rFonts w:cs="Times New Roman"/>
          <w:color w:val="FF0000"/>
          <w:szCs w:val="24"/>
        </w:rPr>
        <w:t xml:space="preserve"> (Mur1 and Mur2) </w:t>
      </w:r>
      <w:r w:rsidRPr="00833CE8">
        <w:rPr>
          <w:rFonts w:cs="Times New Roman"/>
          <w:szCs w:val="24"/>
        </w:rPr>
        <w:fldChar w:fldCharType="begin"/>
      </w:r>
      <w:r w:rsidRPr="00833CE8">
        <w:rPr>
          <w:rFonts w:cs="Times New Roman"/>
          <w:szCs w:val="24"/>
        </w:rPr>
        <w:instrText xml:space="preserve"> ADDIN ZOTERO_ITEM CSL_CITATION {"citationID":"J3Mg4kWC","properties":{"formattedCitation":"(Han et al., 2016)","plainCitation":"(Han et al., 2016)","noteIndex":0},"citationItems":[{"id":4661,"uris":["http://zotero.org/users/764524/items/PZHLEMDK"],"itemData":{"id":4661,"type":"article-journal","abstract":"Microalgae frequently grow in natural environment and long-term laboratory cultures in association with bacteria. Bacteria benefit the oxygen and extracellular substances generated by microalgae, and reimburse microalgae with carbon dioxide, vitamins and so on. Such synergistic relationship has aided in establishing an efficient microalga-bacterium co-culturing mode. Obviously, the mutually beneficial relationship can be strengthened with the increase of the densities of microalgae and bacteria. However, nearly all of the early co-cultures were performed under photoautotrophic conditions, thus both microalgae and bacteria were at relatively low densities. In this study, the feasibility of bacteria-microalgae co-cultured under mixotrophic conditions was studied.","container-title":"Journal of Biological Research-Thessaloniki","DOI":"10.1186/s40709-016-0047-6","ISSN":"2241-5793","issue":"1","journalAbbreviation":"J. Biol. Res.-Thessalon.","page":"8","source":"BioMed Central","title":"Co-culturing bacteria and microalgae in organic carbon containing medium","volume":"23","author":[{"family":"Han","given":"Jichang"},{"family":"Zhang","given":"Lin"},{"family":"Wang","given":"Song"},{"family":"Yang","given":"Guanpin"},{"family":"Zhao","given":"Lu"},{"family":"Pan","given":"Kehou"}],"issued":{"date-parts":[["2016",4,26]]}}}],"schema":"https://github.com/citation-style-language/schema/raw/master/csl-citation.json"} </w:instrText>
      </w:r>
      <w:r w:rsidRPr="00833CE8">
        <w:rPr>
          <w:rFonts w:cs="Times New Roman"/>
          <w:szCs w:val="24"/>
        </w:rPr>
        <w:fldChar w:fldCharType="separate"/>
      </w:r>
      <w:r w:rsidRPr="00833CE8">
        <w:rPr>
          <w:rFonts w:cs="Times New Roman"/>
        </w:rPr>
        <w:t>(Han et al., 2016)</w:t>
      </w:r>
      <w:r w:rsidRPr="00833CE8">
        <w:rPr>
          <w:rFonts w:cs="Times New Roman"/>
          <w:szCs w:val="24"/>
        </w:rPr>
        <w:fldChar w:fldCharType="end"/>
      </w:r>
      <w:r w:rsidRPr="00833CE8">
        <w:rPr>
          <w:rFonts w:cs="Times New Roman"/>
          <w:szCs w:val="24"/>
        </w:rPr>
        <w:t>.</w:t>
      </w:r>
      <w:r>
        <w:rPr>
          <w:rFonts w:cs="Times New Roman"/>
          <w:szCs w:val="24"/>
        </w:rPr>
        <w:t xml:space="preserve">  </w:t>
      </w:r>
      <w:r w:rsidRPr="00BD7EC9">
        <w:rPr>
          <w:rFonts w:cs="Times New Roman"/>
          <w:color w:val="FF0000"/>
          <w:szCs w:val="24"/>
        </w:rPr>
        <w:t>The co-culture</w:t>
      </w:r>
      <w:r>
        <w:rPr>
          <w:rFonts w:cs="Times New Roman"/>
          <w:color w:val="FF0000"/>
          <w:szCs w:val="24"/>
        </w:rPr>
        <w:t>s</w:t>
      </w:r>
      <w:r w:rsidRPr="00BD7EC9">
        <w:rPr>
          <w:rFonts w:cs="Times New Roman"/>
          <w:color w:val="FF0000"/>
          <w:szCs w:val="24"/>
        </w:rPr>
        <w:t xml:space="preserve"> demonstrated enhanced growth for both bacterial strains with </w:t>
      </w:r>
      <w:r w:rsidRPr="00BD7EC9">
        <w:rPr>
          <w:rFonts w:cs="Times New Roman"/>
          <w:i/>
          <w:iCs/>
          <w:color w:val="FF0000"/>
          <w:szCs w:val="24"/>
        </w:rPr>
        <w:t>C. fusiformis</w:t>
      </w:r>
      <w:r w:rsidRPr="00BD7EC9">
        <w:rPr>
          <w:rFonts w:cs="Times New Roman"/>
          <w:color w:val="FF0000"/>
          <w:szCs w:val="24"/>
        </w:rPr>
        <w:t xml:space="preserve"> cell density values after 33 days</w:t>
      </w:r>
      <w:r>
        <w:rPr>
          <w:rFonts w:cs="Times New Roman"/>
          <w:color w:val="FF0000"/>
          <w:szCs w:val="24"/>
        </w:rPr>
        <w:t>, with no significant differences observed based on the initial bacterial inoculation (addition of 1</w:t>
      </w:r>
      <w:r w:rsidR="00152573">
        <w:rPr>
          <w:rFonts w:cs="Times New Roman"/>
          <w:color w:val="FF0000"/>
          <w:szCs w:val="24"/>
        </w:rPr>
        <w:t xml:space="preserve"> </w:t>
      </w:r>
      <w:r>
        <w:rPr>
          <w:rFonts w:cs="Times New Roman"/>
          <w:color w:val="FF0000"/>
          <w:szCs w:val="24"/>
        </w:rPr>
        <w:t>mL, 3</w:t>
      </w:r>
      <w:r w:rsidR="00152573">
        <w:rPr>
          <w:rFonts w:cs="Times New Roman"/>
          <w:color w:val="FF0000"/>
          <w:szCs w:val="24"/>
        </w:rPr>
        <w:t xml:space="preserve"> </w:t>
      </w:r>
      <w:r>
        <w:rPr>
          <w:rFonts w:cs="Times New Roman"/>
          <w:color w:val="FF0000"/>
          <w:szCs w:val="24"/>
        </w:rPr>
        <w:t>mL, or 5</w:t>
      </w:r>
      <w:r w:rsidR="00152573">
        <w:rPr>
          <w:rFonts w:cs="Times New Roman"/>
          <w:color w:val="FF0000"/>
          <w:szCs w:val="24"/>
        </w:rPr>
        <w:t xml:space="preserve"> </w:t>
      </w:r>
      <w:r>
        <w:rPr>
          <w:rFonts w:cs="Times New Roman"/>
          <w:color w:val="FF0000"/>
          <w:szCs w:val="24"/>
        </w:rPr>
        <w:t>mL of Mur1 or Mur2)</w:t>
      </w:r>
      <w:r w:rsidRPr="00BD7EC9">
        <w:rPr>
          <w:rFonts w:cs="Times New Roman"/>
          <w:color w:val="FF0000"/>
          <w:szCs w:val="24"/>
        </w:rPr>
        <w:t>.  Mur1 resulted in a maximum cell density of 9.62 × 10</w:t>
      </w:r>
      <w:r w:rsidRPr="00BD7EC9">
        <w:rPr>
          <w:rFonts w:cs="Times New Roman"/>
          <w:color w:val="FF0000"/>
          <w:szCs w:val="24"/>
          <w:vertAlign w:val="superscript"/>
        </w:rPr>
        <w:t>6</w:t>
      </w:r>
      <w:r w:rsidRPr="00BD7EC9">
        <w:rPr>
          <w:rFonts w:cs="Times New Roman"/>
          <w:color w:val="FF0000"/>
          <w:szCs w:val="24"/>
        </w:rPr>
        <w:t xml:space="preserve"> cells</w:t>
      </w:r>
      <w:r>
        <w:rPr>
          <w:rFonts w:cs="Times New Roman"/>
          <w:color w:val="FF0000"/>
          <w:szCs w:val="24"/>
        </w:rPr>
        <w:t>/</w:t>
      </w:r>
      <w:r w:rsidRPr="00BD7EC9">
        <w:rPr>
          <w:rFonts w:cs="Times New Roman"/>
          <w:color w:val="FF0000"/>
          <w:szCs w:val="24"/>
        </w:rPr>
        <w:t>mL, representing an increase of 65.42% compared to the axenic algal control and Mur2 resulted in a maximum cell density of 8.73 × 10</w:t>
      </w:r>
      <w:r w:rsidRPr="00BD7EC9">
        <w:rPr>
          <w:rFonts w:cs="Times New Roman"/>
          <w:color w:val="FF0000"/>
          <w:szCs w:val="24"/>
          <w:vertAlign w:val="superscript"/>
        </w:rPr>
        <w:t>6</w:t>
      </w:r>
      <w:r w:rsidRPr="00BD7EC9">
        <w:rPr>
          <w:rFonts w:cs="Times New Roman"/>
          <w:color w:val="FF0000"/>
          <w:szCs w:val="24"/>
        </w:rPr>
        <w:t xml:space="preserve"> cells</w:t>
      </w:r>
      <w:r>
        <w:rPr>
          <w:rFonts w:cs="Times New Roman"/>
          <w:color w:val="FF0000"/>
          <w:szCs w:val="24"/>
        </w:rPr>
        <w:t>/</w:t>
      </w:r>
      <w:r w:rsidRPr="00BD7EC9">
        <w:rPr>
          <w:rFonts w:cs="Times New Roman"/>
          <w:color w:val="FF0000"/>
          <w:szCs w:val="24"/>
        </w:rPr>
        <w:t>mL, representing an increase of 83.47%.</w:t>
      </w:r>
      <w:r w:rsidRPr="00BD7EC9">
        <w:rPr>
          <w:color w:val="FF0000"/>
        </w:rPr>
        <w:t xml:space="preserve"> </w:t>
      </w:r>
      <w:r>
        <w:rPr>
          <w:color w:val="FF0000"/>
        </w:rPr>
        <w:t xml:space="preserve"> </w:t>
      </w:r>
    </w:p>
    <w:p w14:paraId="5BE28DF7" w14:textId="77777777" w:rsidR="00445000" w:rsidRDefault="00445000" w:rsidP="00445000">
      <w:pPr>
        <w:snapToGrid w:val="0"/>
        <w:spacing w:line="360" w:lineRule="auto"/>
        <w:ind w:firstLine="284"/>
        <w:jc w:val="both"/>
      </w:pPr>
      <w:r w:rsidRPr="00833CE8">
        <w:rPr>
          <w:rFonts w:cs="Times New Roman"/>
          <w:szCs w:val="24"/>
        </w:rPr>
        <w:t xml:space="preserve">The relationships between microalgae and bacteria can be used to take advantage of the flocculation effects.  Flocculation of microalgal cells can allow for easier </w:t>
      </w:r>
      <w:r>
        <w:rPr>
          <w:rFonts w:cs="Times New Roman"/>
          <w:szCs w:val="24"/>
        </w:rPr>
        <w:t>harvesting</w:t>
      </w:r>
      <w:r w:rsidRPr="00833CE8">
        <w:rPr>
          <w:rFonts w:cs="Times New Roman"/>
          <w:szCs w:val="24"/>
        </w:rPr>
        <w:t xml:space="preserve"> of biomass, which can then be used for extraction of bioproducts, or to remove harmful bacteria from wastewater </w:t>
      </w:r>
      <w:r w:rsidRPr="005656A2">
        <w:fldChar w:fldCharType="begin"/>
      </w:r>
      <w:r w:rsidRPr="005656A2">
        <w:instrText xml:space="preserve"> ADDIN ZOTERO_ITEM CSL_CITATION {"citationID":"z8t5E2BY","properties":{"formattedCitation":"(de Morais et al., 2023; Ogbonna and Nwoba, 2021)","plainCitation":"(de Morais et al., 2023; Ogbonna and Nwoba, 2021)","noteIndex":0},"citationItems":[{"id":9368,"uris":["http://zotero.org/users/764524/items/6RYFLDRT"],"itemData":{"id":9368,"type":"article-journal","abstract":"Microalgae-based wastewater treatment has been conceived to obtain reclaimed water and produce microalgal biomass for bio-based products and biofuels generation. However, microalgal biomass harvesting is challenging and expensive, hence one of the main bottlenecks for full-scale implementation. Finding an integrated approach that covers concepts of engineering, green chemistry and the application of microbial anabolism driven towards the harvesting processes, is mandatory for the widespread establishment of full-scale microalgae wastewater treatment plants. By using nature-based substances and applying concepts of chemical functionalization in already established harvesting methods, the costs of harvesting processes could be reduced while preventing microalgae biomass contamination. Moreover, microalgae produced during wastewater treatment have unique culture characteristics, such as the consortia, which are primarily composed of microalgae and bacteria, that should be accounted for prior to downstream processing. The aim of this review is to examine recent advances in microalgal biomass harvesting and recovery in wastewater treatment systems, considering the impact of consortia variability. The costs of available harvesting technologies, such as coagulation/flocculation, coupled to sedimentation and differential air flotation, are provided. Additionally, promising technologies are discussed, including autoflocculation, bioflocculation, new filtration materials, nanotechnology, microfluidic and magnetic methods.","container-title":"New Biotechnology","DOI":"10.1016/j.nbt.2023.10.002","ISSN":"1871-6784","journalAbbreviation":"New Biotechnol.","page":"84-94","source":"ScienceDirect","title":"Microalgae harvesting for wastewater treatment and resources recovery: A review","title-short":"Microalgae harvesting for wastewater treatment and resources recovery","volume":"78","author":[{"family":"Morais","given":"Etiele Greque","non-dropping-particle":"de"},{"family":"Sampaio","given":"Igor Carvalho Fontes"},{"family":"Gonzalez-Flo","given":"Eva"},{"family":"Ferrer","given":"Ivet"},{"family":"Uggetti","given":"Enrica"},{"family":"García","given":"Joan"}],"issued":{"date-parts":[["2023",12,25]]}}},{"id":9369,"uris":["http://zotero.org/users/764524/items/ZUPRB7GN"],"itemData":{"id":9369,"type":"article-journal","abstract":"Energy is indispensable to human existence and sustains economic and individual activities globally. The rising environmental challenges of global warming and other climate changes due to increasing dependence on fossil fuels (coal, petroleum, natural gas) as the primary energy source requires innovation away from carbon-based fossil fuel sources. Hence, the development of renewable and low-emission energy sources becomes imperative to guarantee sustainable economic and human population growth and fuel security. In this context, microalgae biofuels are increasingly appreciated as viable alternative to fossil-based fuels because their biomass can be transformed into various clean fuel commodities such as biodiesel, biogas, and bioethanol in an environmentally-friendly and sustainable manner. However, high energy and financial costs of harvesting microalgal biomass for biofuel production constitute a substantial bottleneck in the industry. Bio-based flocculation methods have recently received increased research attention due to their high efficiency, sustainability, and environmentally-friendly attributes. In this review, the feasibility and performance of bio-based technologies for large-scale, cost-effective and sustainable harvesting of microalgal biomass for biofuel production were evaluated. The review shows that the harvesting efficiencies of bio-based processes are not significantly different from those achieved with energy-intensive traditional biomass separation methods such as centrifugation and membrane filtration. Harvested biomass met the moisture content metrics for biofuel feedstocks. The utilization of natural coagulants in algal biomass recovery is associated with low energy consumption, low environmental impacts and reduced effect on the chemistry of recycled medium. Production of recombinant bioflocculants are emerging but the application in algal biomass harvesting is yet to be reported. Bioflocculation approaches provide opportunities for the integration of photosynthetic biorefineries with bioremediation of wastewaters, and this enhances the potential of microalgae biotechnology for biofuel production.","container-title":"Renewable and Sustainable Energy Reviews","DOI":"10.1016/j.rser.2020.110690","ISSN":"1364-0321","journalAbbreviation":"Renew. Sustain. Energy Rev.","page":"110690","source":"ScienceDirect","title":"Bio-based flocculants for sustainable harvesting of microalgae for biofuel production. A review","volume":"139","author":[{"family":"Ogbonna","given":"Christiana N."},{"family":"Nwoba","given":"Emeka G."}],"issued":{"date-parts":[["2021",4,1]]}}}],"schema":"https://github.com/citation-style-language/schema/raw/master/csl-citation.json"} </w:instrText>
      </w:r>
      <w:r w:rsidRPr="005656A2">
        <w:fldChar w:fldCharType="separate"/>
      </w:r>
      <w:r w:rsidRPr="005656A2">
        <w:rPr>
          <w:rFonts w:cs="Times New Roman"/>
        </w:rPr>
        <w:t>(de Morais et al., 2023; Ogbonna and Nwoba, 2021)</w:t>
      </w:r>
      <w:r w:rsidRPr="005656A2">
        <w:fldChar w:fldCharType="end"/>
      </w:r>
      <w:r w:rsidRPr="005656A2">
        <w:t>.</w:t>
      </w:r>
      <w:r>
        <w:t xml:space="preserve">  </w:t>
      </w:r>
      <w:proofErr w:type="spellStart"/>
      <w:r>
        <w:t>Bioflocculati</w:t>
      </w:r>
      <w:r w:rsidRPr="007944B8">
        <w:t>on</w:t>
      </w:r>
      <w:proofErr w:type="spellEnd"/>
      <w:r w:rsidRPr="007944B8">
        <w:t xml:space="preserve"> also improves the environmental sustainability of these techniques compared with chemical flocculants.  However, flocculation with bacteria may require additional energy sources as well as increasing the likelihood of bacterial contamination in the final product.  As a result, other techniques such as using naturally flocculating algae have been investigated for </w:t>
      </w:r>
      <w:proofErr w:type="spellStart"/>
      <w:r w:rsidRPr="007944B8">
        <w:t>bioflocculation</w:t>
      </w:r>
      <w:proofErr w:type="spellEnd"/>
      <w:r w:rsidRPr="007944B8">
        <w:t xml:space="preserve">.  For example, a co-culture of the non-flocculating microalgae </w:t>
      </w:r>
      <w:r w:rsidRPr="007944B8">
        <w:rPr>
          <w:i/>
          <w:iCs/>
        </w:rPr>
        <w:t>C. vulgaris</w:t>
      </w:r>
      <w:r w:rsidRPr="007944B8">
        <w:t xml:space="preserve"> with the flocculating al</w:t>
      </w:r>
      <w:r>
        <w:t xml:space="preserve">gae </w:t>
      </w:r>
      <w:proofErr w:type="spellStart"/>
      <w:r w:rsidRPr="005656A2">
        <w:rPr>
          <w:i/>
          <w:iCs/>
        </w:rPr>
        <w:t>Scotelliopsis</w:t>
      </w:r>
      <w:proofErr w:type="spellEnd"/>
      <w:r w:rsidRPr="005656A2">
        <w:rPr>
          <w:i/>
          <w:iCs/>
        </w:rPr>
        <w:t xml:space="preserve"> reticulata</w:t>
      </w:r>
      <w:r w:rsidRPr="005656A2">
        <w:t xml:space="preserve"> increased the flocculation efficiency to 60% compared to </w:t>
      </w:r>
      <w:r w:rsidRPr="00E87E81">
        <w:rPr>
          <w:i/>
          <w:iCs/>
        </w:rPr>
        <w:t>C. vulgaris</w:t>
      </w:r>
      <w:r>
        <w:t xml:space="preserve"> </w:t>
      </w:r>
      <w:r w:rsidRPr="005656A2">
        <w:t>alone (8%)</w:t>
      </w:r>
      <w:r>
        <w:t xml:space="preserve"> due to the presence of extracellular polymeric substances </w:t>
      </w:r>
      <w:r>
        <w:fldChar w:fldCharType="begin"/>
      </w:r>
      <w:r>
        <w:instrText xml:space="preserve"> ADDIN ZOTERO_ITEM CSL_CITATION {"citationID":"l5T4qvv8","properties":{"formattedCitation":"(Spain and Funk, 2024)","plainCitation":"(Spain and Funk, 2024)","noteIndex":0},"citationItems":[{"id":9405,"uris":["http://zotero.org/users/764524/items/4BVFZEIM"],"itemData":{"id":9405,"type":"article-journal","abstract":"Flocculation is often regarded as a cost-effective and reliable method for microalgal harvesting. However, the traditional method often requires the addition of chemical agents to induce flocculation. This carries certain disadvantages including the chemical contamination of the biomass and the subsequent need to remove the flocculants from the medium. To address these issues, this study aimed to induce flocculation in a naturally non-flocculating strain (Chlorella vulgaris 13-1) without resorting to chemical additives, with the ultimate goal of increasing harvesting efficiency. Scanning electron microscopy showed that Scotelliopsis reticulata UFA-2, a naturally flocculating strain, produces extracellular polymeric substances (EPS) whereas 13-1 does not. As a result, two methods were used to induce flocculation in 13-1: co-cultivation of UFA-2 and 13-1, and insertion of EPS produced by UFA-2 into the growth medium of 13-1. The co-cultivation of 13-1 with UFA-2 significantly increased the flocculation efficiency compared to that of 13-1 alone (30 % higher flocculation efficiency after one hour of settling and 52 % higher after three hours of settling). Alternatively, the insertion of dry tightly-bound (TB) UFA-2 EPS into 13-1 cultures also improved flocculation efficiency (by 19 % compared to the control), while addition of soluble or loosely-bound (LB) EPS was less efficient (less than 1 % and 10 %, respectively). FTIR results showed that the composition of TB-EPS was different to that of LB and soluble EPS. TB-EPS contained higher proportions of proteins and different types of carbohydrates, potentially contributing to its increased efficacy in inducing flocculation in microalgae.","container-title":"Algal Research","DOI":"10.1016/j.algal.2024.103450","ISSN":"2211-9264","journalAbbreviation":"Algal Res.","page":"103450","source":"ScienceDirect","title":"A step towards more eco-friendly and efficient microalgal harvesting: Inducing flocculation in the non-naturally flocculating strain &lt;i&gt;Chlorella vulgaris&lt;/i&gt; (13-1) without chemical additives","title-short":"A step towards more eco-friendly and efficient microalgal harvesting","volume":"79","author":[{"family":"Spain","given":"Olivia"},{"family":"Funk","given":"Christiane"}],"issued":{"date-parts":[["2024",4,1]]}}}],"schema":"https://github.com/citation-style-language/schema/raw/master/csl-citation.json"} </w:instrText>
      </w:r>
      <w:r>
        <w:fldChar w:fldCharType="separate"/>
      </w:r>
      <w:r w:rsidRPr="001B5D53">
        <w:rPr>
          <w:rFonts w:cs="Times New Roman"/>
        </w:rPr>
        <w:t>(Spain and Funk, 2024)</w:t>
      </w:r>
      <w:r>
        <w:fldChar w:fldCharType="end"/>
      </w:r>
      <w:r>
        <w:t xml:space="preserve">.  </w:t>
      </w:r>
    </w:p>
    <w:p w14:paraId="433C2EC4" w14:textId="77777777" w:rsidR="006A2B4C" w:rsidRPr="00D12302" w:rsidRDefault="006A2B4C" w:rsidP="006A2B4C">
      <w:pPr>
        <w:snapToGrid w:val="0"/>
        <w:spacing w:line="360" w:lineRule="auto"/>
        <w:ind w:firstLine="284"/>
        <w:jc w:val="both"/>
        <w:rPr>
          <w:rFonts w:cs="Times New Roman"/>
          <w:b/>
          <w:bCs/>
          <w:szCs w:val="24"/>
        </w:rPr>
      </w:pPr>
      <w:r w:rsidRPr="008C4F48">
        <w:rPr>
          <w:rFonts w:cs="Times New Roman"/>
          <w:szCs w:val="24"/>
        </w:rPr>
        <w:t>Algae-lysing bacteria have also been utilized to treat microalgal biomass with the goal of achieving efficient low-cost cell wall disruption</w:t>
      </w:r>
      <w:r w:rsidRPr="008C4F48">
        <w:rPr>
          <w:rFonts w:cs="Times New Roman"/>
          <w:b/>
          <w:bCs/>
          <w:szCs w:val="24"/>
        </w:rPr>
        <w:t xml:space="preserve"> </w:t>
      </w:r>
      <w:r w:rsidRPr="008C4F48">
        <w:rPr>
          <w:rFonts w:cs="Times New Roman"/>
          <w:szCs w:val="24"/>
        </w:rPr>
        <w:fldChar w:fldCharType="begin"/>
      </w:r>
      <w:r w:rsidRPr="008C4F48">
        <w:rPr>
          <w:rFonts w:cs="Times New Roman"/>
          <w:szCs w:val="24"/>
        </w:rPr>
        <w:instrText xml:space="preserve"> ADDIN ZOTERO_ITEM CSL_CITATION {"citationID":"f9ZEwEK9","properties":{"formattedCitation":"(Wang et al., 2020)","plainCitation":"(Wang et al., 2020)","noteIndex":0},"citationItems":[{"id":9301,"uris":["http://zotero.org/users/764524/items/GCHICNL3"],"itemData":{"id":9301,"type":"article-journal","abstract":"The lysis or disruption of eukaryotic, unicellular algae by bacteria and other conventional methods is important for both algal bloom control and biofuel production. This study was aimed to synthesize and analyze the current knowledge and research about algal cell lysis, with a special emphasis on bacteria-algae interactions. A brief review of algal lysis by conventional methods including mechanical and non-mechanical methods was first introduced, then the current knowledge about the isolation and classification of algicidal bacteria, the possible algicidal mechanisms, prey preferences, and potential applications were summarized. Approximately 70% of the algicidal bacteria lyse algae by indirect attack, with the rest requiring direct contact with the target prey, and algae species specificity is not evident among various algicidal bacteria. Mechanistic knowledge about the lysis effects of algicidal bacteria on their prey is still deficient, owing to the limitations of current techniques for identifying the interactions of algae and algicidal bacteria at various levels, from molecular to cellular and population scales. The advantages and disadvantages of algicidal bacterial cell lysis versus conventional non-biological methods were discussed. Potential ways to address the drawbacks of bacteria-based algal cell lysis for biofuel production were proposed.","container-title":"Algal Research","DOI":"10.1016/j.algal.2020.101794","ISSN":"2211-9264","journalAbbreviation":"Algal Res.","page":"101794","source":"ScienceDirect","title":"Algal cell lysis by bacteria: A review and comparison to conventional methods","title-short":"Algal cell lysis by bacteria","volume":"46","author":[{"family":"Wang","given":"Meng"},{"family":"Chen","given":"Shibao"},{"family":"Zhou","given":"Wenguang"},{"family":"Yuan","given":"Wenqiao"},{"family":"Wang","given":"Duo"}],"issued":{"date-parts":[["2020",3,1]]}}}],"schema":"https://github.com/citation-style-language/schema/raw/master/csl-citation.json"} </w:instrText>
      </w:r>
      <w:r w:rsidRPr="008C4F48">
        <w:rPr>
          <w:rFonts w:cs="Times New Roman"/>
          <w:szCs w:val="24"/>
        </w:rPr>
        <w:fldChar w:fldCharType="separate"/>
      </w:r>
      <w:r w:rsidRPr="008C4F48">
        <w:rPr>
          <w:rFonts w:cs="Times New Roman"/>
        </w:rPr>
        <w:t>(Wang et al., 2020)</w:t>
      </w:r>
      <w:r w:rsidRPr="008C4F48">
        <w:rPr>
          <w:rFonts w:cs="Times New Roman"/>
          <w:szCs w:val="24"/>
        </w:rPr>
        <w:fldChar w:fldCharType="end"/>
      </w:r>
      <w:r w:rsidRPr="008C4F48">
        <w:rPr>
          <w:rFonts w:cs="Times New Roman"/>
          <w:szCs w:val="24"/>
        </w:rPr>
        <w:t>.</w:t>
      </w:r>
      <w:r w:rsidRPr="00833CE8">
        <w:rPr>
          <w:rFonts w:cs="Times New Roman"/>
          <w:szCs w:val="24"/>
        </w:rPr>
        <w:t xml:space="preserve">  The lysis of cell walls is necessary for extracting microalgal compounds produced for bioproducts and biofuels, which is difficult using other methods due to variations in algal cell wall structure.</w:t>
      </w:r>
      <w:r w:rsidRPr="00833CE8">
        <w:rPr>
          <w:rFonts w:cs="Times New Roman"/>
          <w:b/>
          <w:bCs/>
          <w:szCs w:val="24"/>
        </w:rPr>
        <w:t xml:space="preserve">  </w:t>
      </w:r>
      <w:r w:rsidRPr="009832E1">
        <w:rPr>
          <w:rFonts w:cs="Times New Roman"/>
          <w:szCs w:val="24"/>
        </w:rPr>
        <w:t xml:space="preserve">An example of this process was reported by Muñoz </w:t>
      </w:r>
      <w:r w:rsidRPr="009832E1">
        <w:rPr>
          <w:rFonts w:cs="Times New Roman"/>
          <w:i/>
          <w:iCs/>
          <w:szCs w:val="24"/>
        </w:rPr>
        <w:t>et al.</w:t>
      </w:r>
      <w:r w:rsidRPr="009832E1">
        <w:rPr>
          <w:rFonts w:cs="Times New Roman"/>
          <w:szCs w:val="24"/>
        </w:rPr>
        <w:t xml:space="preserve">, who observed a 158.68% increase in methane production from </w:t>
      </w:r>
      <w:proofErr w:type="spellStart"/>
      <w:r w:rsidRPr="009832E1">
        <w:rPr>
          <w:rFonts w:cs="Times New Roman"/>
          <w:i/>
          <w:iCs/>
          <w:szCs w:val="24"/>
        </w:rPr>
        <w:t>Nannochloropsis</w:t>
      </w:r>
      <w:proofErr w:type="spellEnd"/>
      <w:r w:rsidRPr="009832E1">
        <w:rPr>
          <w:rFonts w:cs="Times New Roman"/>
          <w:i/>
          <w:iCs/>
          <w:szCs w:val="24"/>
        </w:rPr>
        <w:t xml:space="preserve"> </w:t>
      </w:r>
      <w:proofErr w:type="spellStart"/>
      <w:r w:rsidRPr="009832E1">
        <w:rPr>
          <w:rFonts w:cs="Times New Roman"/>
          <w:i/>
          <w:iCs/>
          <w:szCs w:val="24"/>
        </w:rPr>
        <w:t>gaditana</w:t>
      </w:r>
      <w:proofErr w:type="spellEnd"/>
      <w:r w:rsidRPr="009832E1">
        <w:rPr>
          <w:rFonts w:cs="Times New Roman"/>
          <w:i/>
          <w:iCs/>
          <w:szCs w:val="24"/>
        </w:rPr>
        <w:t xml:space="preserve"> </w:t>
      </w:r>
      <w:r w:rsidRPr="009832E1">
        <w:rPr>
          <w:rFonts w:cs="Times New Roman"/>
          <w:szCs w:val="24"/>
        </w:rPr>
        <w:t>algal biomass</w:t>
      </w:r>
      <w:r>
        <w:rPr>
          <w:rFonts w:cs="Times New Roman"/>
          <w:szCs w:val="24"/>
        </w:rPr>
        <w:t xml:space="preserve"> after pretreatment with </w:t>
      </w:r>
      <w:proofErr w:type="spellStart"/>
      <w:r w:rsidRPr="009832E1">
        <w:rPr>
          <w:rFonts w:cs="Times New Roman"/>
          <w:i/>
          <w:iCs/>
          <w:szCs w:val="24"/>
        </w:rPr>
        <w:t>Raoultella</w:t>
      </w:r>
      <w:proofErr w:type="spellEnd"/>
      <w:r w:rsidRPr="009832E1">
        <w:rPr>
          <w:rFonts w:cs="Times New Roman"/>
          <w:i/>
          <w:iCs/>
          <w:szCs w:val="24"/>
        </w:rPr>
        <w:t xml:space="preserve"> </w:t>
      </w:r>
      <w:proofErr w:type="spellStart"/>
      <w:r w:rsidRPr="009832E1">
        <w:rPr>
          <w:rFonts w:cs="Times New Roman"/>
          <w:i/>
          <w:iCs/>
          <w:szCs w:val="24"/>
        </w:rPr>
        <w:t>ornithinolytica</w:t>
      </w:r>
      <w:proofErr w:type="spellEnd"/>
      <w:r>
        <w:rPr>
          <w:rFonts w:cs="Times New Roman"/>
          <w:szCs w:val="24"/>
        </w:rPr>
        <w:t xml:space="preserve"> isolated from marine mollusks </w:t>
      </w:r>
      <w:r>
        <w:rPr>
          <w:rFonts w:cs="Times New Roman"/>
          <w:szCs w:val="24"/>
        </w:rPr>
        <w:fldChar w:fldCharType="begin"/>
      </w:r>
      <w:r>
        <w:rPr>
          <w:rFonts w:cs="Times New Roman"/>
          <w:szCs w:val="24"/>
        </w:rPr>
        <w:instrText xml:space="preserve"> ADDIN ZOTERO_ITEM CSL_CITATION {"citationID":"sl82gTTW","properties":{"formattedCitation":"(Mu\\uc0\\u241{}oz et al., 2014)","plainCitation":"(Muñoz et al., 2014)","noteIndex":0},"citationItems":[{"id":9478,"uris":["http://zotero.org/users/764524/items/SU4XUGZB"],"itemData":{"id":9478,"type":"article-journal","abstract":"In this study, we designed and evaluated a microalgal pretreatment method using cellulolytic bacteria that naturally degrades microalgae in their native habitat. Bacterial strains were isolated from each of two mollusk species in a medium containing 1% carboxymethyl cellulose agar. We selected nine bacterial strains that had endoglucanase activity: five strains from Mytilus chilensis, a Chilean mussel, and four strains from Mesodesma donacium, a clam found in the Southern Pacific. These strains were identified phylogenetically as belonging to the genera Aeromonas, Pseudomonas, Chryseobacterium, and Raoultella. The cellulase-producing capacities of these strains were characterized, and the degradation of cell walls in Botryococcus braunii and Nannochloropsis gaditana was tested with “whole-cell” cellulolytic experiments. Aeromonas bivalvium MA2, Raoultella ornithinolytica MA5, and Aeromonas salmonicida MC25 degraded B. braunii, and R. ornithinolytica MC3 and MA5 degraded N. gaditana. In addition, N. gaditana was pretreated with R. ornithinolytica strains MC3 and MA5 and was then subjected to an anaerobic digestion process, which increased the yield of methane by 140.32% and 158.68%, respectively, over that from nonpretreated microalgae. Therefore, a “whole-cell” cellulolytic pretreatment can increase the performance and efficiency of biogas production.","container-title":"Applied and Environmental Microbiology","DOI":"10.1128/AEM.00827-14","issue":"14","journalAbbreviation":"Appl. Environ. Microbiol.","note":"publisher: American Society for Microbiology","page":"4199-4206","source":"journals.asm.org (Atypon)","title":"Use of Cellulolytic Marine Bacteria for Enzymatic Pretreatment in Microalgal Biogas Production","volume":"80","author":[{"family":"Muñoz","given":"Camilo"},{"family":"Hidalgo","given":"Catalina"},{"family":"Zapata","given":"Manuel"},{"family":"Jeison","given":"David"},{"family":"Riquelme","given":"Carlos"},{"family":"Rivas","given":"Mariella"}],"issued":{"date-parts":[["2014",7,15]]}}}],"schema":"https://github.com/citation-style-language/schema/raw/master/csl-citation.json"} </w:instrText>
      </w:r>
      <w:r>
        <w:rPr>
          <w:rFonts w:cs="Times New Roman"/>
          <w:szCs w:val="24"/>
        </w:rPr>
        <w:fldChar w:fldCharType="separate"/>
      </w:r>
      <w:r w:rsidRPr="00375F84">
        <w:rPr>
          <w:rFonts w:cs="Times New Roman"/>
          <w:kern w:val="0"/>
        </w:rPr>
        <w:t>(Muñoz et al., 2014)</w:t>
      </w:r>
      <w:r>
        <w:rPr>
          <w:rFonts w:cs="Times New Roman"/>
          <w:szCs w:val="24"/>
        </w:rPr>
        <w:fldChar w:fldCharType="end"/>
      </w:r>
      <w:r w:rsidRPr="009832E1">
        <w:rPr>
          <w:rFonts w:cs="Times New Roman"/>
          <w:szCs w:val="24"/>
        </w:rPr>
        <w:t>.</w:t>
      </w:r>
      <w:r>
        <w:rPr>
          <w:rFonts w:cs="Times New Roman"/>
          <w:szCs w:val="24"/>
        </w:rPr>
        <w:t xml:space="preserve">  The cell wall disruption was attributed to </w:t>
      </w:r>
      <w:r w:rsidRPr="009832E1">
        <w:rPr>
          <w:rFonts w:cs="Times New Roman"/>
          <w:szCs w:val="24"/>
        </w:rPr>
        <w:t>endoglucanase</w:t>
      </w:r>
      <w:r>
        <w:rPr>
          <w:rFonts w:cs="Times New Roman"/>
          <w:szCs w:val="24"/>
        </w:rPr>
        <w:t xml:space="preserve"> </w:t>
      </w:r>
      <w:r w:rsidRPr="009832E1">
        <w:rPr>
          <w:rFonts w:cs="Times New Roman"/>
          <w:szCs w:val="24"/>
        </w:rPr>
        <w:t>and ꞵ-galactosidase activity</w:t>
      </w:r>
      <w:r>
        <w:rPr>
          <w:rFonts w:cs="Times New Roman"/>
          <w:szCs w:val="24"/>
        </w:rPr>
        <w:t>.</w:t>
      </w:r>
      <w:r w:rsidRPr="009832E1">
        <w:rPr>
          <w:rFonts w:cs="Times New Roman"/>
          <w:szCs w:val="24"/>
        </w:rPr>
        <w:t xml:space="preserve"> </w:t>
      </w:r>
      <w:r>
        <w:rPr>
          <w:rFonts w:cs="Times New Roman"/>
          <w:b/>
          <w:bCs/>
          <w:i/>
          <w:iCs/>
          <w:color w:val="FF0000"/>
          <w:szCs w:val="24"/>
        </w:rPr>
        <w:t xml:space="preserve"> </w:t>
      </w:r>
      <w:r w:rsidRPr="00093632">
        <w:rPr>
          <w:rFonts w:cs="Times New Roman"/>
          <w:szCs w:val="24"/>
        </w:rPr>
        <w:t xml:space="preserve">Using bacterial lysis </w:t>
      </w:r>
      <w:r>
        <w:rPr>
          <w:rFonts w:cs="Times New Roman"/>
          <w:szCs w:val="24"/>
        </w:rPr>
        <w:t>has advantages such as</w:t>
      </w:r>
      <w:r w:rsidRPr="00093632">
        <w:rPr>
          <w:rFonts w:cs="Times New Roman"/>
          <w:szCs w:val="24"/>
        </w:rPr>
        <w:t xml:space="preserve"> lower cost, less energy required, easy to scale, sustainable, and produce few toxic wastes.  However, </w:t>
      </w:r>
      <w:r>
        <w:rPr>
          <w:rFonts w:cs="Times New Roman"/>
          <w:szCs w:val="24"/>
        </w:rPr>
        <w:t xml:space="preserve">it remains a challenge to ensure </w:t>
      </w:r>
      <w:r w:rsidRPr="00093632">
        <w:rPr>
          <w:rFonts w:cs="Times New Roman"/>
          <w:szCs w:val="24"/>
        </w:rPr>
        <w:t xml:space="preserve">bacteria do not take up or consume microalgal proteins/lipids or bioproducts of interest after lysing the cells.  </w:t>
      </w:r>
    </w:p>
    <w:p w14:paraId="38477057" w14:textId="77777777" w:rsidR="00445000" w:rsidRPr="005656A2" w:rsidRDefault="00445000" w:rsidP="00445000">
      <w:pPr>
        <w:snapToGrid w:val="0"/>
        <w:spacing w:line="360" w:lineRule="auto"/>
        <w:jc w:val="both"/>
        <w:rPr>
          <w:b/>
          <w:bCs/>
          <w:i/>
          <w:iCs/>
          <w:color w:val="FF0000"/>
        </w:rPr>
      </w:pPr>
    </w:p>
    <w:p w14:paraId="5304B499" w14:textId="6682C89D" w:rsidR="00445000" w:rsidRPr="00445000" w:rsidRDefault="00445000" w:rsidP="006A2B4C">
      <w:pPr>
        <w:pStyle w:val="ListParagraph"/>
        <w:numPr>
          <w:ilvl w:val="2"/>
          <w:numId w:val="9"/>
        </w:numPr>
        <w:snapToGrid w:val="0"/>
        <w:spacing w:line="360" w:lineRule="auto"/>
        <w:jc w:val="both"/>
        <w:rPr>
          <w:rFonts w:cs="Times New Roman"/>
          <w:b/>
          <w:bCs/>
          <w:szCs w:val="24"/>
        </w:rPr>
      </w:pPr>
      <w:r w:rsidRPr="00445000">
        <w:rPr>
          <w:rFonts w:cs="Times New Roman"/>
          <w:b/>
          <w:bCs/>
          <w:szCs w:val="24"/>
        </w:rPr>
        <w:t>Wastewater</w:t>
      </w:r>
      <w:r w:rsidR="005B2BBF">
        <w:rPr>
          <w:rFonts w:cs="Times New Roman"/>
          <w:b/>
          <w:bCs/>
          <w:szCs w:val="24"/>
        </w:rPr>
        <w:t xml:space="preserve"> Treatment</w:t>
      </w:r>
    </w:p>
    <w:p w14:paraId="30B4FE3A" w14:textId="411FD536" w:rsidR="00700947" w:rsidRDefault="00700947" w:rsidP="00C31A9C">
      <w:pPr>
        <w:snapToGrid w:val="0"/>
        <w:spacing w:line="360" w:lineRule="auto"/>
        <w:ind w:firstLine="284"/>
        <w:jc w:val="both"/>
        <w:rPr>
          <w:rFonts w:cs="Times New Roman"/>
          <w:szCs w:val="24"/>
        </w:rPr>
      </w:pPr>
      <w:r w:rsidRPr="00833CE8">
        <w:rPr>
          <w:rFonts w:cs="Times New Roman"/>
          <w:szCs w:val="24"/>
        </w:rPr>
        <w:lastRenderedPageBreak/>
        <w:t>Consortia of microalgae and bacteria have been studied for their applications in wastewater treatment</w:t>
      </w:r>
      <w:r w:rsidR="003E1073" w:rsidRPr="00833CE8">
        <w:rPr>
          <w:rFonts w:cs="Times New Roman"/>
          <w:szCs w:val="24"/>
        </w:rPr>
        <w:t xml:space="preserve">, especially agricultural or </w:t>
      </w:r>
      <w:r w:rsidR="003E1073" w:rsidRPr="00417B46">
        <w:rPr>
          <w:rFonts w:cs="Times New Roman"/>
          <w:szCs w:val="24"/>
        </w:rPr>
        <w:t xml:space="preserve">aquacultural wastewater high in </w:t>
      </w:r>
      <w:r w:rsidR="00F11B86" w:rsidRPr="00417B46">
        <w:rPr>
          <w:rFonts w:cs="Times New Roman"/>
          <w:szCs w:val="24"/>
        </w:rPr>
        <w:t xml:space="preserve">nitrogen </w:t>
      </w:r>
      <w:r w:rsidR="003E1073" w:rsidRPr="00417B46">
        <w:rPr>
          <w:rFonts w:cs="Times New Roman"/>
          <w:szCs w:val="24"/>
        </w:rPr>
        <w:t>and phosphorous</w:t>
      </w:r>
      <w:r w:rsidR="000115A8" w:rsidRPr="00417B46">
        <w:rPr>
          <w:rFonts w:cs="Times New Roman"/>
          <w:szCs w:val="24"/>
        </w:rPr>
        <w:t xml:space="preserve"> </w:t>
      </w:r>
      <w:r w:rsidRPr="00417B46">
        <w:rPr>
          <w:rFonts w:cs="Times New Roman"/>
          <w:szCs w:val="24"/>
        </w:rPr>
        <w:fldChar w:fldCharType="begin"/>
      </w:r>
      <w:r w:rsidR="009F150C" w:rsidRPr="00417B46">
        <w:rPr>
          <w:rFonts w:cs="Times New Roman"/>
          <w:szCs w:val="24"/>
        </w:rPr>
        <w:instrText xml:space="preserve"> ADDIN ZOTERO_ITEM CSL_CITATION {"citationID":"kHl39Lz8","properties":{"unsorted":true,"formattedCitation":"(Liu et al., 2023)","plainCitation":"(Liu et al., 2023)","noteIndex":0},"citationItems":[{"id":4325,"uris":["http://zotero.org/users/764524/items/ZH7E4HPC"],"itemData":{"id":4325,"type":"article-journal","abstract":"Microalgal-bacterial consortium (MBC) is an effective way to meet increasingly stringent standards in wastewater treatment, with advantages in nutrient removal, resource recovery, and energy conservation. The efficient and stable operation of the MBC sewage treatment system is generally limited by the insufficient and unstable carbon source in the influent. In this study, a calcium peroxide-mediated anaerobic fermenter was configured to transfer the MBC sludge into the preferred carbon source, short-chain fatty acids (SCFAs) in-situ, to alleviate the limitations. Experimental results showed that after 4-day 0.15 g/g VS calcium peroxide mediated anaerobic fermentation, the production of SCFAs and the proportion of acetic acid reached 514.8 mg COD/g VS and 59 %, respectively. Scanning electron microscopy, COD mass balance analysis, and lactate dehydrogenase assays jointly showed that calcium peroxide effectively promoted the breakdown of MBC sludge cells, which led to the release of large amounts of organic matter and could be attributed to the released OH–, ·OH and ·O2– from calcium peroxide, thereby providing more bioavailable substrates for SCFAs production. Microbial community analysis indicated that the anaerobes associated with hydrolysis and degradation of refractory organic matters were enriched in the mediated fermenter and had positive correlation with SCFAs production. Using such fermentation liquid as an additional carbon source for influent sewage, the MBC process performance was significantly promoted, with phosphorus and COD removal and sludge settleability reaching 84.7 %, 96.1 %, and 33 %, respectively. Configuring calcium peroxide-mediated anaerobic fermentation may thus become a sustainable strategy to strengthen the MBC sewage treatment system, thus providing new ideas for wastewater treatment to reduce inputs and improve performance.","container-title":"Chemical Engineering Journal","DOI":"10.1016/j.cej.2023.146807","ISSN":"1385-8947","journalAbbreviation":"Chem. Eng. J.","page":"146807","source":"ScienceDirect","title":"Calcium peroxide mediated sustainable microalgal-bacterial consortium system: Role and significance of configured anaerobic fermentation","title-short":"Calcium peroxide mediated sustainable microalgal-bacterial consortium system","volume":"476","author":[{"family":"Liu","given":"Xuran"},{"family":"Xu","given":"Qing"},{"family":"Du","given":"Mingting"},{"family":"Yang","given":"Jingnan"},{"family":"Lu","given":"Qi"},{"family":"Pan","given":"Min"},{"family":"Zhong","given":"Hua"},{"family":"Wang","given":"Dongbo"},{"family":"Ni","given":"Bing-Jie"}],"issued":{"date-parts":[["2023",11,15]]}}}],"schema":"https://github.com/citation-style-language/schema/raw/master/csl-citation.json"} </w:instrText>
      </w:r>
      <w:r w:rsidRPr="00417B46">
        <w:rPr>
          <w:rFonts w:cs="Times New Roman"/>
          <w:szCs w:val="24"/>
        </w:rPr>
        <w:fldChar w:fldCharType="separate"/>
      </w:r>
      <w:r w:rsidR="009F150C" w:rsidRPr="00417B46">
        <w:rPr>
          <w:rFonts w:cs="Times New Roman"/>
        </w:rPr>
        <w:t>(Liu et al., 2023)</w:t>
      </w:r>
      <w:r w:rsidRPr="00417B46">
        <w:rPr>
          <w:rFonts w:cs="Times New Roman"/>
          <w:szCs w:val="24"/>
        </w:rPr>
        <w:fldChar w:fldCharType="end"/>
      </w:r>
      <w:r w:rsidR="000115A8" w:rsidRPr="00417B46">
        <w:rPr>
          <w:rFonts w:cs="Times New Roman"/>
          <w:szCs w:val="24"/>
        </w:rPr>
        <w:t>.</w:t>
      </w:r>
      <w:r w:rsidR="00AF7DCA" w:rsidRPr="00417B46">
        <w:rPr>
          <w:rFonts w:cs="Times New Roman"/>
          <w:szCs w:val="24"/>
        </w:rPr>
        <w:t xml:space="preserve">  </w:t>
      </w:r>
      <w:bookmarkStart w:id="25" w:name="_Hlk191634532"/>
      <w:r w:rsidR="00822C15" w:rsidRPr="00417B46">
        <w:rPr>
          <w:rFonts w:cs="Times New Roman"/>
          <w:color w:val="FF0000"/>
          <w:szCs w:val="24"/>
        </w:rPr>
        <w:t xml:space="preserve">As an example, to investigate the role of ecological niches in nutrient removal, a consortium of </w:t>
      </w:r>
      <w:r w:rsidR="00822C15" w:rsidRPr="00417B46">
        <w:rPr>
          <w:rFonts w:cs="Times New Roman"/>
          <w:i/>
          <w:iCs/>
          <w:color w:val="FF0000"/>
          <w:szCs w:val="24"/>
        </w:rPr>
        <w:t>Chlamydomonas</w:t>
      </w:r>
      <w:r w:rsidR="00822C15" w:rsidRPr="00417B46">
        <w:rPr>
          <w:rFonts w:cs="Times New Roman"/>
          <w:color w:val="FF0000"/>
          <w:szCs w:val="24"/>
        </w:rPr>
        <w:t xml:space="preserve"> and bacteria present in wastewater was employed</w:t>
      </w:r>
      <w:r w:rsidR="00C62697" w:rsidRPr="00417B46">
        <w:rPr>
          <w:rFonts w:cs="Times New Roman"/>
          <w:color w:val="FF0000"/>
          <w:szCs w:val="24"/>
        </w:rPr>
        <w:t>.</w:t>
      </w:r>
      <w:r w:rsidR="00C62697" w:rsidRPr="00417B46">
        <w:rPr>
          <w:rFonts w:cs="Times New Roman"/>
          <w:b/>
          <w:bCs/>
          <w:color w:val="FF0000"/>
          <w:szCs w:val="24"/>
        </w:rPr>
        <w:t xml:space="preserve"> </w:t>
      </w:r>
      <w:r w:rsidR="00822C15" w:rsidRPr="00417B46">
        <w:rPr>
          <w:rFonts w:cs="Times New Roman"/>
          <w:b/>
          <w:bCs/>
          <w:color w:val="FF0000"/>
          <w:szCs w:val="24"/>
        </w:rPr>
        <w:t xml:space="preserve"> </w:t>
      </w:r>
      <w:r w:rsidR="00C62697" w:rsidRPr="001E00B6">
        <w:rPr>
          <w:rFonts w:cs="Times New Roman"/>
          <w:color w:val="FF0000"/>
          <w:szCs w:val="24"/>
        </w:rPr>
        <w:t xml:space="preserve">Removal of nitrogen was temperature-dependent, but at 30-40°C, 100% removal was observed at day 4.  Conversely, </w:t>
      </w:r>
      <w:r w:rsidR="00C62697" w:rsidRPr="00AA58BD">
        <w:rPr>
          <w:rFonts w:cs="Times New Roman"/>
          <w:b/>
          <w:bCs/>
          <w:color w:val="FF0000"/>
          <w:szCs w:val="24"/>
        </w:rPr>
        <w:t>phosphorus</w:t>
      </w:r>
      <w:r w:rsidR="00C62697" w:rsidRPr="001E00B6">
        <w:rPr>
          <w:rFonts w:cs="Times New Roman"/>
          <w:color w:val="FF0000"/>
          <w:szCs w:val="24"/>
        </w:rPr>
        <w:t xml:space="preserve"> </w:t>
      </w:r>
      <w:r w:rsidR="005905EA" w:rsidRPr="001E00B6">
        <w:rPr>
          <w:rFonts w:cs="Times New Roman"/>
          <w:color w:val="FF0000"/>
          <w:szCs w:val="24"/>
        </w:rPr>
        <w:t xml:space="preserve">and COD </w:t>
      </w:r>
      <w:r w:rsidR="001E00B6" w:rsidRPr="001E00B6">
        <w:rPr>
          <w:rFonts w:cs="Times New Roman"/>
          <w:color w:val="FF0000"/>
          <w:szCs w:val="24"/>
        </w:rPr>
        <w:t xml:space="preserve">were </w:t>
      </w:r>
      <w:r w:rsidR="00C62697" w:rsidRPr="001E00B6">
        <w:rPr>
          <w:rFonts w:cs="Times New Roman"/>
          <w:color w:val="FF0000"/>
          <w:szCs w:val="24"/>
        </w:rPr>
        <w:t xml:space="preserve">completely removed on day </w:t>
      </w:r>
      <w:r w:rsidR="005905EA" w:rsidRPr="001E00B6">
        <w:rPr>
          <w:rFonts w:cs="Times New Roman"/>
          <w:color w:val="FF0000"/>
          <w:szCs w:val="24"/>
        </w:rPr>
        <w:t xml:space="preserve">2 and </w:t>
      </w:r>
      <w:r w:rsidR="00C62697" w:rsidRPr="001E00B6">
        <w:rPr>
          <w:rFonts w:cs="Times New Roman"/>
          <w:color w:val="FF0000"/>
          <w:szCs w:val="24"/>
        </w:rPr>
        <w:t xml:space="preserve">day </w:t>
      </w:r>
      <w:r w:rsidR="005905EA" w:rsidRPr="001E00B6">
        <w:rPr>
          <w:rFonts w:cs="Times New Roman"/>
          <w:color w:val="FF0000"/>
          <w:szCs w:val="24"/>
        </w:rPr>
        <w:t>5</w:t>
      </w:r>
      <w:r w:rsidR="00C62697" w:rsidRPr="001E00B6">
        <w:rPr>
          <w:rFonts w:cs="Times New Roman"/>
          <w:color w:val="FF0000"/>
          <w:szCs w:val="24"/>
        </w:rPr>
        <w:t xml:space="preserve">, respectively </w:t>
      </w:r>
      <w:r w:rsidR="00C62697" w:rsidRPr="002B7CB7">
        <w:rPr>
          <w:rFonts w:cs="Times New Roman"/>
          <w:szCs w:val="24"/>
        </w:rPr>
        <w:fldChar w:fldCharType="begin"/>
      </w:r>
      <w:r w:rsidR="00C62697" w:rsidRPr="002B7CB7">
        <w:rPr>
          <w:rFonts w:cs="Times New Roman"/>
          <w:szCs w:val="24"/>
        </w:rPr>
        <w:instrText xml:space="preserve"> ADDIN ZOTERO_ITEM CSL_CITATION {"citationID":"oruClpFO","properties":{"unsorted":true,"formattedCitation":"(Zhang et al., 2023)","plainCitation":"(Zhang et al., 2023)","noteIndex":0},"citationItems":[{"id":9242,"uris":["http://zotero.org/users/764524/items/ZLPUXJZD"],"itemData":{"id":9242,"type":"article-journal","abstract":"Conventional biological treatment usually cannot achieve the same high water quality as advanced treatment when conducted under varied temperatures. Here, satisfactory wastewater treatment efficiency was observed in a microalgae-bacteria consortia (MBC) over a wide temperature range because of the predominance of microalgae. Microalgae contributed more toward wastewater treatment at low temperature because of the unsatisfactory performance of the accompanying bacteria, which experienced cold stress (e.g., bacterial abundance below 3000 sequences) and executed defensive strategies (e.g., enrichment of cold-shock proteins). A low abundance of amoA-C and hao indicated that conventional nitrogen removal was replaced through the involvement of microalgae. Diverse heterotrophic bacteria for nitrogen removal were identified at medium and high temperatures, implying this microbial niche treatment contained diverse flexible consortia with temperature variation. Additionally, pathogenic bacteria were eliminated through microalgal photosynthesis. After fitting the neutral community model and calculating the ecological niche, microalgae achieved a maximum niche breadth of 5.21 and the lowest niche overlap of 0.38, while the accompanying bacterial community in the consortia were shaped through deterministic processes. Finally, the maximum energy yield of 87.4 kJ L−1 and lipid production of 1.9 g L−1 were achieved at medium temperature. Altogether, this study demonstrates that advanced treatment and energy reclamation can be achieved through microalgae-bacteria niche strategies.","container-title":"Environmental Science and Ecotechnology","DOI":"10.1016/j.ese.2022.100230","ISSN":"2666-4984","journalAbbreviation":"Environ. Sci. Ecotechnol.","page":"100230","source":"ScienceDirect","title":"Revealing the role of microalgae-bacteria niche for boosting wastewater treatment and energy reclamation in response to temperature","volume":"14","author":[{"family":"Zhang","given":"Chaofan"},{"family":"Chen","given":"Xi"},{"family":"Han","given":"Meina"},{"family":"Li","given":"Xue"},{"family":"Chang","given":"Haixing"},{"family":"Ren","given":"Nanqi"},{"family":"Ho","given":"Shih-Hsin"}],"issued":{"date-parts":[["2023",4,1]]}}}],"schema":"https://github.com/citation-style-language/schema/raw/master/csl-citation.json"} </w:instrText>
      </w:r>
      <w:r w:rsidR="00C62697" w:rsidRPr="002B7CB7">
        <w:rPr>
          <w:rFonts w:cs="Times New Roman"/>
          <w:szCs w:val="24"/>
        </w:rPr>
        <w:fldChar w:fldCharType="separate"/>
      </w:r>
      <w:r w:rsidR="00C62697" w:rsidRPr="002B7CB7">
        <w:rPr>
          <w:rFonts w:cs="Times New Roman"/>
        </w:rPr>
        <w:t>(Zhang et al., 2023)</w:t>
      </w:r>
      <w:r w:rsidR="00C62697" w:rsidRPr="002B7CB7">
        <w:rPr>
          <w:rFonts w:cs="Times New Roman"/>
          <w:szCs w:val="24"/>
        </w:rPr>
        <w:fldChar w:fldCharType="end"/>
      </w:r>
      <w:r w:rsidR="00C62697" w:rsidRPr="002B7CB7">
        <w:rPr>
          <w:rFonts w:cs="Times New Roman"/>
          <w:color w:val="FF0000"/>
          <w:szCs w:val="24"/>
        </w:rPr>
        <w:t xml:space="preserve">. </w:t>
      </w:r>
      <w:bookmarkEnd w:id="25"/>
      <w:r w:rsidR="00C62697" w:rsidRPr="002B7CB7">
        <w:rPr>
          <w:rFonts w:cs="Times New Roman"/>
          <w:color w:val="FF0000"/>
          <w:szCs w:val="24"/>
        </w:rPr>
        <w:t xml:space="preserve"> </w:t>
      </w:r>
      <w:r w:rsidRPr="00833CE8">
        <w:rPr>
          <w:rFonts w:cs="Times New Roman"/>
          <w:szCs w:val="24"/>
        </w:rPr>
        <w:t xml:space="preserve">Due to the enhancement of algal growth, these consortia are low-cost and less harmful to the environment, as they do not have the energy requirements of physical methods or production of secondary toxins from chemical treatments </w:t>
      </w:r>
      <w:r w:rsidRPr="00833CE8">
        <w:rPr>
          <w:rFonts w:cs="Times New Roman"/>
          <w:szCs w:val="24"/>
        </w:rPr>
        <w:fldChar w:fldCharType="begin"/>
      </w:r>
      <w:r w:rsidR="009F150C" w:rsidRPr="00833CE8">
        <w:rPr>
          <w:rFonts w:cs="Times New Roman"/>
          <w:szCs w:val="24"/>
        </w:rPr>
        <w:instrText xml:space="preserve"> ADDIN ZOTERO_ITEM CSL_CITATION {"citationID":"c42pawsv","properties":{"formattedCitation":"(Phyu et al., 2024)","plainCitation":"(Phyu et al., 2024)","noteIndex":0},"citationItems":[{"id":4328,"uris":["http://zotero.org/users/764524/items/ZNM9ZGG3"],"itemData":{"id":4328,"type":"article-journal","abstract":"The livestock sector is responsible for a significant amount of wastewater globally. The microalgal-bacterial consortium (MBC) treatment has gained increasing attention as it is able to eliminate pollutants to yield value-added microalgal products. This review offers a critical discussion of the source of pollutants from livestock wastewater and the environmental impact of these pollutants. It also discusses the interactions between microalgae and bacteria in treatment systems and natural habitats in detail. The effects on MBC on the removal of various pollutants (conventional and emerging) are highlighted, focusing specifically on analysis of the removal mechanisms. Notably, the various influencing factors are classified into internal, external, and operating factors, and the mutual feedback relationships between them and the target (removal efficiency and biomass) have been thoroughly analysed. Finally, a wastewater recycling treatment model based on MBC is proposed for the construction of a green livestock farm, and the application value of various microalgal products has been analysed. The overall aim was to indicate that the use of MBC can provide cost-effective and eco-friendly approaches for the treatment of livestock wastewater, thereby advancing the path toward a promising microalgal-bacterial-based technology.","container-title":"Environmental Pollution","DOI":"10.1016/j.envpol.2024.123864","ISSN":"0269-7491","journalAbbreviation":"Environ. Pollut.","page":"123864","source":"ScienceDirect","title":"Microalgal-bacterial consortia for the treatment of livestock wastewater: Removal of pollutants, interaction mechanisms, influencing factors, and prospects for application","title-short":"Microalgal-bacterial consortia for the treatment of livestock wastewater","volume":"349","author":[{"family":"Phyu","given":"KhinKhin"},{"family":"Zhi","given":"Suli"},{"family":"Liang","given":"Junfeng"},{"family":"Chang","given":"Chein-Chi"},{"family":"Liu","given":"Jiahua"},{"family":"Cao","given":"Yuang"},{"family":"Wang","given":"Han"},{"family":"Zhang","given":"Keqiang"}],"issued":{"date-parts":[["2024",5,15]]}}}],"schema":"https://github.com/citation-style-language/schema/raw/master/csl-citation.json"} </w:instrText>
      </w:r>
      <w:r w:rsidRPr="00833CE8">
        <w:rPr>
          <w:rFonts w:cs="Times New Roman"/>
          <w:szCs w:val="24"/>
        </w:rPr>
        <w:fldChar w:fldCharType="separate"/>
      </w:r>
      <w:r w:rsidR="009F150C" w:rsidRPr="00833CE8">
        <w:rPr>
          <w:rFonts w:cs="Times New Roman"/>
        </w:rPr>
        <w:t>(Phyu et al., 2024)</w:t>
      </w:r>
      <w:r w:rsidRPr="00833CE8">
        <w:rPr>
          <w:rFonts w:cs="Times New Roman"/>
          <w:szCs w:val="24"/>
        </w:rPr>
        <w:fldChar w:fldCharType="end"/>
      </w:r>
      <w:r w:rsidRPr="00833CE8">
        <w:rPr>
          <w:rFonts w:cs="Times New Roman"/>
          <w:szCs w:val="24"/>
        </w:rPr>
        <w:t>.  However, further information on signaling processes between microalgae and bacteria would be needed in order to optimize this process</w:t>
      </w:r>
      <w:r w:rsidR="00645ED0">
        <w:rPr>
          <w:rFonts w:cs="Times New Roman"/>
          <w:szCs w:val="24"/>
        </w:rPr>
        <w:t xml:space="preserve"> </w:t>
      </w:r>
      <w:r w:rsidRPr="00833CE8">
        <w:rPr>
          <w:rFonts w:cs="Times New Roman"/>
          <w:szCs w:val="24"/>
        </w:rPr>
        <w:fldChar w:fldCharType="begin"/>
      </w:r>
      <w:r w:rsidR="005522CA" w:rsidRPr="00833CE8">
        <w:rPr>
          <w:rFonts w:cs="Times New Roman"/>
          <w:szCs w:val="24"/>
        </w:rPr>
        <w:instrText xml:space="preserve"> ADDIN ZOTERO_ITEM CSL_CITATION {"citationID":"fhlXtBzO","properties":{"formattedCitation":"(Gon\\uc0\\u231{}alves et al., 2024; S.-N. Li et al., 2023)","plainCitation":"(Gonçalves et al., 2024; S.-N. Li et al., 2023)","noteIndex":0},"citationItems":[{"id":9284,"uris":["http://zotero.org/users/764524/items/XK3YCR96"],"itemData":{"id":9284,"type":"article-journal","abstract":"Microalgae offer distinct advantages as a nutritional source for aquaculture and as a means of wastewater bioremediation. Studying the phycosphere bacteria and understanding their complex interactions is essential to optimizing high-quality biomass growth. This study aimed to isolate, characterize, and identify bacteria from the phycosphere of marine microalgae and to determine their potential to enhance growth, metabolism, and bioremediation capabilities of Chaetoceros calcitrans in stress nutrient-poor media simulating aquaculture wastewater enriched with nitrate, nitrite, or phosphorus. Bacterial characterization included tests for auxin and siderophore production, biofilm formation, amylase activity, phosphate solubilization, mobility, and antagonism evaluation. When Alteromonas macleodii, Bacillus cereus, and Marinobacter sp. were selected and then enriched (107 CFU/mL) in co-culture with C. calcitrans, growth levels significantly increased in four of six Synthetic Aquaculture Wastewater (SAW) media. Pigment levels were higher in five of six SAW media, and lipid levels were higher in SAW rich in nitrite (SAWni50) and phosphorus (SAWpho50). In addition, C. calcitrans with or without the bacterial consortium demonstrated excellent phosphorus bioremediation, achieving 67.6% average removal in SAWpho50. Nitrate and nitrite assimilation rates were approximately 10% in SAWna and SAWni50. This study marks the inaugural identification of these bacteria as microalga growth-promoting bacteria (MGPB) for enhancing growth and lipid and pigment production in C. calcitrans, and it also documents a maximum of 69.13% phosphorus removal.","container-title":"Resources","DOI":"10.3390/resources13090116","ISSN":"2079-9276","issue":"9","language":"en","license":"http://creativecommons.org/licenses/by/3.0/","note":"number: 9\npublisher: Multidisciplinary Digital Publishing Institute","page":"116","source":"www.mdpi.com","title":"Impact of Phycosphere-Isolated Marine Bacteria on Nutritional Value, Growth, and Nutrient Uptake of Co-Cultured Chaetoceros calcitrans","volume":"13","author":[{"family":"Gonçalves","given":"Mélissa Angeline Liberia"},{"family":"López-Vela","given":"Melissa"},{"family":"Palacios-Espinosa","given":"Alejandro"},{"family":"Romero-Bastidas","given":"Mirella"},{"family":"Rojas-Contreras","given":"Maurilia"},{"family":"Magallón-Servín","given":"Paola"}],"issued":{"date-parts":[["2024",9]]}}},{"id":4455,"uris":["http://zotero.org/users/764524/items/GR28MJWV"],"itemData":{"id":4455,"type":"article-journal","abstract":"Algae-bacteria consortia treatment has been found to be a promising method for the remediation of aqueous systems. Given the scope of previous reviews on algae-bacteria interactions, the sections on chemical signaling between algae and bacteria don’t cover the current knowledge gap, and recent advances of algae-bacteria consortia in aqueous remediation don’t explore the full depth. Accordingly, the specific aim of this review was to thoroughly screen and summarize recent peer-reviewed literature on (1) the mechanism of algal selection and enrichment in wastewater treatment; (2) interactions between algae and bacteria in ecological niche environments; (3) chemical signaling between algae and bacteria; (4) aqueous remediation using the algae-bacteria consortia; and (5) advanced treatment techniques combined with algae-bacteria systems for improved aqueous remediation. The main current challenges and future perspectives in algae-bacteria consortia wastewater treatment are proposed, including: (i) comprehensively establishing the network of interactions between algae and bacteria, especially quorum sensing and phycospheric interactions; (ii) developing a detailed understanding of the chemical exchange between microbial species based on molecular diffusion processes; (iii) tracking complex algae-bacteria interactions in aquatic environments using machine learning (ML), providing a potential tool for the design of beneficial and customizable synthetic microbial communities for wastewater treatment; (iv) integrating advanced treatment techniques (e.g., MBRs, UV photolysis and biological activated carbon) with algae-bacteria consortia systems, increasing the sustainability and applicability of treatment processes. Therefore, this review provides guidance and insights on the future development of algae-bacteria consortia treatment systems and their potential application for aqueous remediation.","container-title":"Critical Reviews in Environmental Science and Technology","DOI":"10.1080/10643389.2022.2052704","ISSN":"1064-3389","issue":"3","journalAbbreviation":"Crit. Rev. Environ. Sci. Technol.","note":"publisher: Taylor &amp; Francis\n_eprint: https://doi.org/10.1080/10643389.2022.2052704","page":"315–339","source":"Taylor and Francis+NEJM","title":"Recent advances of algae-bacteria consortia in aquatic remediation","volume":"53","author":[{"family":"Li","given":"Sheng-Nan"},{"family":"Zhang","given":"Chaofan"},{"family":"Li","given":"Fanghua"},{"family":"Ren","given":"Nan-Qi"},{"family":"Ho","given":"Shih-Hsin"}],"issued":{"date-parts":[["2023",2,1]]}}}],"schema":"https://github.com/citation-style-language/schema/raw/master/csl-citation.json"} </w:instrText>
      </w:r>
      <w:r w:rsidRPr="00833CE8">
        <w:rPr>
          <w:rFonts w:cs="Times New Roman"/>
          <w:szCs w:val="24"/>
        </w:rPr>
        <w:fldChar w:fldCharType="separate"/>
      </w:r>
      <w:r w:rsidR="009F150C" w:rsidRPr="00833CE8">
        <w:rPr>
          <w:rFonts w:cs="Times New Roman"/>
          <w:kern w:val="0"/>
        </w:rPr>
        <w:t>(Gonçalves et al., 2024; S.-N. Li et al., 2023)</w:t>
      </w:r>
      <w:r w:rsidRPr="00833CE8">
        <w:rPr>
          <w:rFonts w:cs="Times New Roman"/>
          <w:szCs w:val="24"/>
        </w:rPr>
        <w:fldChar w:fldCharType="end"/>
      </w:r>
      <w:r w:rsidR="000115A8" w:rsidRPr="00833CE8">
        <w:rPr>
          <w:rFonts w:cs="Times New Roman"/>
          <w:szCs w:val="24"/>
        </w:rPr>
        <w:t>.</w:t>
      </w:r>
      <w:r w:rsidR="007715A5" w:rsidRPr="00833CE8">
        <w:rPr>
          <w:rFonts w:cs="Times New Roman"/>
          <w:szCs w:val="24"/>
        </w:rPr>
        <w:t xml:space="preserve">  </w:t>
      </w:r>
      <w:r w:rsidR="00E047A0">
        <w:rPr>
          <w:rFonts w:cs="Times New Roman"/>
          <w:szCs w:val="24"/>
        </w:rPr>
        <w:t xml:space="preserve">Further, a majority of the modelling studies performed focus on the role of the algae and not the complex interactions with bacteria </w:t>
      </w:r>
      <w:r w:rsidR="00E047A0">
        <w:rPr>
          <w:rFonts w:cs="Times New Roman"/>
          <w:szCs w:val="24"/>
        </w:rPr>
        <w:fldChar w:fldCharType="begin"/>
      </w:r>
      <w:r w:rsidR="00E047A0">
        <w:rPr>
          <w:rFonts w:cs="Times New Roman"/>
          <w:szCs w:val="24"/>
        </w:rPr>
        <w:instrText xml:space="preserve"> ADDIN ZOTERO_ITEM CSL_CITATION {"citationID":"PzydWbNY","properties":{"formattedCitation":"(Oruganti et al., 2022)","plainCitation":"(Oruganti et al., 2022)","noteIndex":0},"citationItems":[{"id":9421,"uris":["http://zotero.org/users/764524/items/U4U8VXL3"],"itemData":{"id":9421,"type":"article-journal","abstract":"The scarcity of water resources and environmental pollution have highlighted the need for sustainable wastewater treatment. Existing conventional treatment systems are energy-intensive and not always able to meet stringent disposal standards. Recently, algal-bacterial systems have emerged as environmentally friendly sustainable processes for wastewater treatment and resource recovery. The algal-bacterial systems work on the principle of the symbiotic relationship between algae and bacteria. This paper comprehensively discusses the most recent studies on algal-bacterial systems for wastewater treatment, factors affecting the treatment, and aspects of resource recovery from the biomass. The algal-bacterial interaction includes cell-to-cell communication, substrate exchange, and horizontal gene transfer. The quorum sensing (QS) molecules and their effects on algal–bacterial interactions are briefly discussed. The effect of the factors such as pH, temperature, C/N/P ratio, light intensity, and external aeration on the algal-bacterial systems have been discussed. An overview of the modeling aspects of algal-bacterial systems has been provided. The algal-bacterial systems have the potential for removing micropollutants because of the diverse possible interactions between algae-bacteria. The removal mechanisms of micropollutants – sorption, biodegradation, and photodegradation, have been reviewed. The harvesting methods and resource recovery aspects have been presented. The major challenges associated with algal-bacterial systems for real scale implementation and future perspectives have been discussed. Integrating wastewater treatment with the algal biorefinery concept reduces the overall waste component in a wastewater treatment system by converting the biomass into a useful product, resulting in a sustainable system that contributes to the circular bioeconomy.","container-title":"Bioengineered","DOI":"10.1080/21655979.2022.2056823","ISSN":"2165-5979","issue":"4","note":"publisher: Taylor &amp; Francis\n_eprint: https://doi.org/10.1080/21655979.2022.2056823\nPMID: 35441582","page":"10412-10453","source":"Taylor and Francis+NEJM","title":"A comprehensive review on the use of algal-bacterial systems for wastewater treatment with emphasis on nutrient and micropollutant removal","volume":"13","author":[{"family":"Oruganti","given":"Raj Kumar"},{"family":"Katam","given":"Keerthi"},{"family":"Show","given":"Pau Loke"},{"family":"Gadhamshetty","given":"Venkataramana"},{"family":"Upadhyayula","given":"Venkata Krishna Kumar"},{"family":"Bhattacharyya","given":"Debraj"}],"issued":{"date-parts":[["2022",4,1]]}}}],"schema":"https://github.com/citation-style-language/schema/raw/master/csl-citation.json"} </w:instrText>
      </w:r>
      <w:r w:rsidR="00E047A0">
        <w:rPr>
          <w:rFonts w:cs="Times New Roman"/>
          <w:szCs w:val="24"/>
        </w:rPr>
        <w:fldChar w:fldCharType="separate"/>
      </w:r>
      <w:r w:rsidR="00E047A0" w:rsidRPr="00AF7DCA">
        <w:rPr>
          <w:rFonts w:cs="Times New Roman"/>
        </w:rPr>
        <w:t>(Oruganti et al., 2022)</w:t>
      </w:r>
      <w:r w:rsidR="00E047A0">
        <w:rPr>
          <w:rFonts w:cs="Times New Roman"/>
          <w:szCs w:val="24"/>
        </w:rPr>
        <w:fldChar w:fldCharType="end"/>
      </w:r>
      <w:r w:rsidR="00E047A0">
        <w:rPr>
          <w:rFonts w:cs="Times New Roman"/>
          <w:szCs w:val="24"/>
        </w:rPr>
        <w:t xml:space="preserve">.  </w:t>
      </w:r>
      <w:r w:rsidR="000342DE" w:rsidRPr="00E047A0">
        <w:rPr>
          <w:rFonts w:cs="Times New Roman"/>
          <w:szCs w:val="24"/>
        </w:rPr>
        <w:t xml:space="preserve">Challenges include </w:t>
      </w:r>
      <w:r w:rsidR="00E60907">
        <w:rPr>
          <w:rFonts w:cs="Times New Roman"/>
          <w:szCs w:val="24"/>
        </w:rPr>
        <w:t xml:space="preserve">availability of </w:t>
      </w:r>
      <w:r w:rsidR="000342DE" w:rsidRPr="00E60907">
        <w:rPr>
          <w:rFonts w:cs="Times New Roman"/>
          <w:szCs w:val="24"/>
        </w:rPr>
        <w:t xml:space="preserve">light </w:t>
      </w:r>
      <w:r w:rsidR="000342DE" w:rsidRPr="00E047A0">
        <w:rPr>
          <w:rFonts w:cs="Times New Roman"/>
          <w:szCs w:val="24"/>
        </w:rPr>
        <w:t>for photosynthesis, which</w:t>
      </w:r>
      <w:r w:rsidR="00E047A0">
        <w:rPr>
          <w:rFonts w:cs="Times New Roman"/>
          <w:szCs w:val="24"/>
        </w:rPr>
        <w:t xml:space="preserve"> causes decreased efficiency in</w:t>
      </w:r>
      <w:r w:rsidR="000342DE" w:rsidRPr="00E047A0">
        <w:rPr>
          <w:rFonts w:cs="Times New Roman"/>
          <w:szCs w:val="24"/>
        </w:rPr>
        <w:t xml:space="preserve"> outdoor environments</w:t>
      </w:r>
      <w:r w:rsidR="00E047A0">
        <w:rPr>
          <w:rFonts w:cs="Times New Roman"/>
          <w:szCs w:val="24"/>
        </w:rPr>
        <w:t xml:space="preserve"> with variable </w:t>
      </w:r>
      <w:r w:rsidR="00E047A0" w:rsidRPr="00E60907">
        <w:rPr>
          <w:rFonts w:cs="Times New Roman"/>
          <w:szCs w:val="24"/>
        </w:rPr>
        <w:t>light intensity</w:t>
      </w:r>
      <w:r w:rsidR="000342DE" w:rsidRPr="00E047A0">
        <w:rPr>
          <w:rFonts w:cs="Times New Roman"/>
          <w:szCs w:val="24"/>
        </w:rPr>
        <w:t xml:space="preserve">, </w:t>
      </w:r>
      <w:r w:rsidR="00E047A0">
        <w:rPr>
          <w:rFonts w:cs="Times New Roman"/>
          <w:szCs w:val="24"/>
        </w:rPr>
        <w:t xml:space="preserve">as well as </w:t>
      </w:r>
      <w:r w:rsidR="000342DE" w:rsidRPr="00E047A0">
        <w:rPr>
          <w:rFonts w:cs="Times New Roman"/>
          <w:szCs w:val="24"/>
        </w:rPr>
        <w:t xml:space="preserve">scaling up from </w:t>
      </w:r>
      <w:r w:rsidR="00546209" w:rsidRPr="00E047A0">
        <w:rPr>
          <w:rFonts w:cs="Times New Roman"/>
          <w:szCs w:val="24"/>
        </w:rPr>
        <w:t xml:space="preserve">the </w:t>
      </w:r>
      <w:r w:rsidR="000342DE" w:rsidRPr="00E047A0">
        <w:rPr>
          <w:rFonts w:cs="Times New Roman"/>
          <w:szCs w:val="24"/>
        </w:rPr>
        <w:t xml:space="preserve">laboratory to industrial </w:t>
      </w:r>
      <w:r w:rsidR="00AD5249" w:rsidRPr="00E047A0">
        <w:rPr>
          <w:rFonts w:cs="Times New Roman"/>
          <w:szCs w:val="24"/>
        </w:rPr>
        <w:t>scale</w:t>
      </w:r>
      <w:r w:rsidR="00E047A0">
        <w:rPr>
          <w:rFonts w:cs="Times New Roman"/>
          <w:szCs w:val="24"/>
        </w:rPr>
        <w:t>s</w:t>
      </w:r>
      <w:r w:rsidR="00AD5249" w:rsidRPr="00E047A0">
        <w:rPr>
          <w:rFonts w:cs="Times New Roman"/>
          <w:szCs w:val="24"/>
        </w:rPr>
        <w:t>.</w:t>
      </w:r>
      <w:r w:rsidR="00B51C99" w:rsidRPr="00E047A0">
        <w:rPr>
          <w:rFonts w:cs="Times New Roman"/>
          <w:szCs w:val="24"/>
        </w:rPr>
        <w:t xml:space="preserve">  </w:t>
      </w:r>
    </w:p>
    <w:p w14:paraId="7778A97E" w14:textId="77777777" w:rsidR="006A2B4C" w:rsidRPr="008C4F48" w:rsidRDefault="006A2B4C" w:rsidP="006A2B4C">
      <w:pPr>
        <w:spacing w:line="360" w:lineRule="auto"/>
        <w:ind w:firstLine="284"/>
        <w:jc w:val="both"/>
        <w:rPr>
          <w:rFonts w:eastAsia="Aptos" w:cs="Times New Roman"/>
          <w:b/>
          <w:bCs/>
          <w:lang w:val="en-US"/>
        </w:rPr>
      </w:pPr>
      <w:r w:rsidRPr="003844CA">
        <w:rPr>
          <w:rFonts w:eastAsia="Aptos" w:cs="Times New Roman"/>
        </w:rPr>
        <w:t xml:space="preserve">An additional and timely niche for algal-bacterial symbiotic systems is their application in livestock and aquaculture wastewater treatment for the removal of emerging pollutants like antibiotics.  The overuse of antibiotics can lead to negative impacts on ecology as well as animal and human health, as well as the development of antimicrobial resistance, making their removal from wastewater highly desirable.  Algae and bacteria can remove and digest antibiotics through </w:t>
      </w:r>
      <w:proofErr w:type="spellStart"/>
      <w:r w:rsidRPr="003844CA">
        <w:rPr>
          <w:rFonts w:eastAsia="Aptos" w:cs="Times New Roman"/>
        </w:rPr>
        <w:t>bioadsorption</w:t>
      </w:r>
      <w:proofErr w:type="spellEnd"/>
      <w:r w:rsidRPr="003844CA">
        <w:rPr>
          <w:rFonts w:eastAsia="Aptos" w:cs="Times New Roman"/>
        </w:rPr>
        <w:t xml:space="preserve">, bioaccumulation, and biodegradation </w:t>
      </w:r>
      <w:r w:rsidRPr="003844CA">
        <w:rPr>
          <w:rFonts w:eastAsia="Aptos" w:cs="Times New Roman"/>
        </w:rPr>
        <w:fldChar w:fldCharType="begin"/>
      </w:r>
      <w:r w:rsidRPr="003844CA">
        <w:rPr>
          <w:rFonts w:eastAsia="Aptos" w:cs="Times New Roman"/>
        </w:rPr>
        <w:instrText xml:space="preserve"> ADDIN ZOTERO_ITEM CSL_CITATION {"citationID":"jmghtzOB","properties":{"formattedCitation":"(Eheneden et al., 2023)","plainCitation":"(Eheneden et al., 2023)","noteIndex":0},"citationItems":[{"id":9505,"uris":["http://zotero.org/users/764524/items/INUKICK5"],"itemData":{"id":9505,"type":"article-journal","abstract":"The proliferation of antibiotic-resistance genes is a result of the rise in the discharge of residual antibiotics into waterbodies from a variety of sources. Antibiotic removal by microalgae-bacteria consortium has been shown to be effective, therefore, there is a need to understand the involved microbial processes. This review summarizes the microbiological removal mechanisms of antibiotics by the microalgae-bacteria consortium, such as biosorption, bioaccumulation, and biodegradation. Factors that influence antibiotic removal are discussed. Co-metabolism of nutrients and antibiotics in the microalgae-bacteria consortium and the metabolic pathways revealed by omics technologies are also highlighted. Furthermore, the responses of microalgae and bacteria to antibiotic stress are elaborated, including reactive oxidizing species (ROS) generation and its effects on photosynthesis machinery, antibiotic stress tolerance, microbial community shift, and the emergence of antibiotic resistance genes (ARGs). Finally, we offer a prospective solutions for the optimization and applications of microalgae-bacteria symbiotic systems for antibiotic removal.","container-title":"Science of The Total Environment","DOI":"10.1016/j.scitotenv.2023.164489","ISSN":"0048-9697","journalAbbreviation":"Sci. Total Environ.","page":"164489","source":"ScienceDirect","title":"Antibiotic removal by microalgae-bacteria consortium: Metabolic pathways and microbial responses","title-short":"Antibiotic removal by microalgae-bacteria consortium","volume":"891","author":[{"family":"Eheneden","given":"Iyobosa"},{"family":"Wang","given":"Rongchang"},{"family":"Zhao","given":"Jianfu"}],"issued":{"date-parts":[["2023",9,15]]}}}],"schema":"https://github.com/citation-style-language/schema/raw/master/csl-citation.json"} </w:instrText>
      </w:r>
      <w:r w:rsidRPr="003844CA">
        <w:rPr>
          <w:rFonts w:eastAsia="Aptos" w:cs="Times New Roman"/>
        </w:rPr>
        <w:fldChar w:fldCharType="separate"/>
      </w:r>
      <w:r w:rsidRPr="003844CA">
        <w:rPr>
          <w:rFonts w:cs="Times New Roman"/>
        </w:rPr>
        <w:t>(Eheneden et al., 2023)</w:t>
      </w:r>
      <w:r w:rsidRPr="003844CA">
        <w:rPr>
          <w:rFonts w:eastAsia="Aptos" w:cs="Times New Roman"/>
        </w:rPr>
        <w:fldChar w:fldCharType="end"/>
      </w:r>
      <w:r w:rsidRPr="003844CA">
        <w:rPr>
          <w:rFonts w:eastAsia="Aptos" w:cs="Times New Roman"/>
        </w:rPr>
        <w:t>.</w:t>
      </w:r>
      <w:r>
        <w:rPr>
          <w:rFonts w:eastAsia="Aptos" w:cs="Times New Roman"/>
        </w:rPr>
        <w:t xml:space="preserve">  </w:t>
      </w:r>
      <w:r w:rsidRPr="003844CA">
        <w:rPr>
          <w:rFonts w:eastAsia="Aptos" w:cs="Times New Roman"/>
        </w:rPr>
        <w:t xml:space="preserve">Consortia of algae and bacteria enhance these effects via several mechanisms, </w:t>
      </w:r>
      <w:proofErr w:type="spellStart"/>
      <w:r w:rsidRPr="003844CA">
        <w:rPr>
          <w:rFonts w:eastAsia="Aptos" w:cs="Times New Roman"/>
        </w:rPr>
        <w:t>includi</w:t>
      </w:r>
      <w:proofErr w:type="spellEnd"/>
      <w:r w:rsidRPr="008C4F48">
        <w:rPr>
          <w:rFonts w:eastAsia="Aptos" w:cs="Times New Roman"/>
          <w:lang w:val="en-US"/>
        </w:rPr>
        <w:t xml:space="preserve">ng  co-metabolism of nutrients and antibiotics, increased EPS secretion enhancing uptake, and increased gene expression of proteins responsible for the transport and degradation of antibiotics </w:t>
      </w:r>
      <w:bookmarkStart w:id="26" w:name="_Hlk191459251"/>
      <w:r w:rsidRPr="008C4F48">
        <w:rPr>
          <w:rFonts w:eastAsia="Aptos" w:cs="Times New Roman"/>
          <w:lang w:val="en-US"/>
        </w:rPr>
        <w:fldChar w:fldCharType="begin"/>
      </w:r>
      <w:r>
        <w:rPr>
          <w:rFonts w:eastAsia="Aptos" w:cs="Times New Roman"/>
          <w:lang w:val="en-US"/>
        </w:rPr>
        <w:instrText xml:space="preserve"> ADDIN ZOTERO_ITEM CSL_CITATION {"citationID":"cT9Eqn3v","properties":{"formattedCitation":"(Xiao et al., 2024)","plainCitation":"(Xiao et al., 2024)","noteIndex":0},"citationItems":[{"id":9511,"uris":["http://zotero.org/users/764524/items/H77TY5RN"],"itemData":{"id":9511,"type":"article-journal","abstract":"With the burgeoning growth of the livestock and aquaculture industries, antibiotic residues in treated wastewater have become a serious ecological threat. Traditional biological wastewater treatment technologies—while effective for removing conventional pollutants, such as organic carbon, ammonia and phosphate—struggle to eliminate emerging contaminants, notably antibiotics. Recently, the use of microalgae has emerged as a sustainable and promising approach for the removal of antibiotics due to their non-target status, rapid growth and carbon recovery capabilities. This review aims to analyse the current state of antibiotic removal from wastewater using algae–bacteria symbiosis systems and provide valuable recommendations for the development of livestock/aquaculture wastewater treatment technologies. It (1) summarises the biological removal mechanisms of typical antibiotics, including bioadsorption, bioaccumulation, biodegradation and co-metabolism; (2) discusses the roles of intracellular regulation, involving extracellular polymeric substances, pigments, antioxidant enzyme systems, signalling molecules and metabolic pathways; (3) analyses the role of treatment facilities in facilitating algae–bacteria symbiosis, such as sequencing batch reactors, stabilisation ponds, membrane bioreactors and bioelectrochemical systems; and (4) provides insights into bottlenecks and potential solutions. This review offers valuable information on the mechanisms and strategies involved in the removal of antibiotics from livestock/aquaculture wastewater through the symbiosis of microalgae and bacteria.","container-title":"Environmental Research","DOI":"10.1016/j.envres.2024.119326","ISSN":"0013-9351","journalAbbreviation":"Environ. Res.","page":"119326","source":"ScienceDirect","title":"Insights into the removal of antibiotics from livestock and aquaculture wastewater by algae-bacteria symbiosis systems","volume":"257","author":[{"family":"Xiao","given":"Zhihua"},{"family":"Meng","given":"Hao"},{"family":"Li","given":"Shengnan"},{"family":"Ning","given":"Weihao"},{"family":"Song","given":"Youliang"},{"family":"Han","given":"Jinglong"},{"family":"Chang","given":"Jo-Shu"},{"family":"Wang","given":"Yue"},{"family":"Ho","given":"Shih-Hsin"}],"issued":{"date-parts":[["2024",9,15]]}}}],"schema":"https://github.com/citation-style-language/schema/raw/master/csl-citation.json"} </w:instrText>
      </w:r>
      <w:r w:rsidRPr="008C4F48">
        <w:rPr>
          <w:rFonts w:eastAsia="Aptos" w:cs="Times New Roman"/>
          <w:lang w:val="en-US"/>
        </w:rPr>
        <w:fldChar w:fldCharType="separate"/>
      </w:r>
      <w:r w:rsidRPr="008C4F48">
        <w:rPr>
          <w:rFonts w:cs="Times New Roman"/>
        </w:rPr>
        <w:t>(Xiao et al., 2024)</w:t>
      </w:r>
      <w:r w:rsidRPr="008C4F48">
        <w:rPr>
          <w:rFonts w:eastAsia="Aptos" w:cs="Times New Roman"/>
          <w:lang w:val="en-US"/>
        </w:rPr>
        <w:fldChar w:fldCharType="end"/>
      </w:r>
      <w:r w:rsidRPr="008C4F48">
        <w:rPr>
          <w:rFonts w:eastAsia="Aptos" w:cs="Times New Roman"/>
          <w:lang w:val="en-US"/>
        </w:rPr>
        <w:t>.</w:t>
      </w:r>
      <w:bookmarkEnd w:id="26"/>
      <w:r w:rsidRPr="00FF3487">
        <w:rPr>
          <w:rFonts w:eastAsia="Aptos" w:cs="Times New Roman"/>
          <w:color w:val="FF0000"/>
          <w:lang w:val="en-US"/>
        </w:rPr>
        <w:t xml:space="preserve"> </w:t>
      </w:r>
      <w:r w:rsidRPr="00580929">
        <w:rPr>
          <w:rFonts w:eastAsia="Aptos" w:cs="Times New Roman"/>
          <w:color w:val="FF0000"/>
          <w:lang w:val="en-US"/>
        </w:rPr>
        <w:t>For example,</w:t>
      </w:r>
      <w:r>
        <w:rPr>
          <w:rFonts w:eastAsia="Aptos" w:cs="Times New Roman"/>
          <w:color w:val="FF0000"/>
          <w:lang w:val="en-US"/>
        </w:rPr>
        <w:t xml:space="preserve"> a co-culture system </w:t>
      </w:r>
      <w:r w:rsidRPr="001D4EDD">
        <w:rPr>
          <w:rFonts w:eastAsia="Aptos" w:cs="Times New Roman"/>
          <w:color w:val="FF0000"/>
          <w:lang w:val="en-US"/>
        </w:rPr>
        <w:t xml:space="preserve">of </w:t>
      </w:r>
      <w:r w:rsidRPr="001D4EDD">
        <w:rPr>
          <w:rFonts w:eastAsia="Aptos" w:cs="Times New Roman"/>
          <w:i/>
          <w:iCs/>
          <w:color w:val="FF0000"/>
          <w:lang w:val="en-US"/>
        </w:rPr>
        <w:t xml:space="preserve">Scenedesmus obliquus </w:t>
      </w:r>
      <w:r>
        <w:rPr>
          <w:rFonts w:eastAsia="Aptos" w:cs="Times New Roman"/>
          <w:color w:val="FF0000"/>
          <w:lang w:val="en-US"/>
        </w:rPr>
        <w:t>with bacteria</w:t>
      </w:r>
      <w:r w:rsidRPr="001D4EDD">
        <w:rPr>
          <w:rFonts w:eastAsia="Aptos" w:cs="Times New Roman"/>
          <w:color w:val="FF0000"/>
          <w:lang w:val="en-US"/>
        </w:rPr>
        <w:t xml:space="preserve"> </w:t>
      </w:r>
      <w:r>
        <w:rPr>
          <w:rFonts w:eastAsia="Aptos" w:cs="Times New Roman"/>
          <w:color w:val="FF0000"/>
          <w:lang w:val="en-US"/>
        </w:rPr>
        <w:t xml:space="preserve">isolated from lake mud resulted in </w:t>
      </w:r>
      <w:proofErr w:type="spellStart"/>
      <w:r w:rsidRPr="001D4EDD">
        <w:rPr>
          <w:rFonts w:eastAsia="Aptos" w:cs="Times New Roman"/>
          <w:color w:val="FF0000"/>
          <w:lang w:val="en-US"/>
        </w:rPr>
        <w:t>bioadsorption</w:t>
      </w:r>
      <w:proofErr w:type="spellEnd"/>
      <w:r w:rsidRPr="001D4EDD">
        <w:rPr>
          <w:rFonts w:eastAsia="Aptos" w:cs="Times New Roman"/>
          <w:color w:val="FF0000"/>
          <w:lang w:val="en-US"/>
        </w:rPr>
        <w:t xml:space="preserve"> </w:t>
      </w:r>
      <w:r>
        <w:rPr>
          <w:rFonts w:eastAsia="Aptos" w:cs="Times New Roman"/>
          <w:color w:val="FF0000"/>
          <w:lang w:val="en-US"/>
        </w:rPr>
        <w:t xml:space="preserve">of </w:t>
      </w:r>
      <w:r w:rsidRPr="001D4EDD">
        <w:rPr>
          <w:rFonts w:eastAsia="Aptos" w:cs="Times New Roman"/>
          <w:color w:val="FF0000"/>
          <w:lang w:val="en-US"/>
        </w:rPr>
        <w:t xml:space="preserve">27.19% and </w:t>
      </w:r>
      <w:r w:rsidRPr="001B0DB4">
        <w:rPr>
          <w:rFonts w:eastAsia="Aptos" w:cs="Times New Roman"/>
          <w:color w:val="FF0000"/>
          <w:lang w:val="en-US"/>
        </w:rPr>
        <w:t>bioaccumulation of</w:t>
      </w:r>
      <w:r>
        <w:rPr>
          <w:rFonts w:eastAsia="Aptos" w:cs="Times New Roman"/>
          <w:b/>
          <w:bCs/>
          <w:color w:val="FF0000"/>
          <w:lang w:val="en-US"/>
        </w:rPr>
        <w:t xml:space="preserve"> </w:t>
      </w:r>
      <w:r w:rsidRPr="001D4EDD">
        <w:rPr>
          <w:rFonts w:eastAsia="Aptos" w:cs="Times New Roman"/>
          <w:color w:val="FF0000"/>
          <w:lang w:val="en-US"/>
        </w:rPr>
        <w:t xml:space="preserve">30.58% of ciprofloxacin (CIP) </w:t>
      </w:r>
      <w:bookmarkStart w:id="27" w:name="_Hlk191628492"/>
      <w:r>
        <w:rPr>
          <w:rFonts w:eastAsia="Aptos" w:cs="Times New Roman"/>
          <w:b/>
          <w:bCs/>
          <w:color w:val="FF0000"/>
          <w:lang w:val="en-US"/>
        </w:rPr>
        <w:fldChar w:fldCharType="begin"/>
      </w:r>
      <w:r>
        <w:rPr>
          <w:rFonts w:eastAsia="Aptos" w:cs="Times New Roman"/>
          <w:b/>
          <w:bCs/>
          <w:color w:val="FF0000"/>
          <w:lang w:val="en-US"/>
        </w:rPr>
        <w:instrText xml:space="preserve"> ADDIN ZOTERO_ITEM CSL_CITATION {"citationID":"uOBBD3Lv","properties":{"formattedCitation":"(Wang et al., 2023)","plainCitation":"(Wang et al., 2023)","noteIndex":0},"citationItems":[{"id":9694,"uris":["http://zotero.org/users/764524/items/CRCHSAEB"],"itemData":{"id":9694,"type":"article-journal","abstract":"The ciprofloxacin treating via microalga and its microalgae-bacteria consortium was investigated for discussing the potential application of microalgae-mediated bioremediation. As results, the maximum removal efficiency of ciprofloxacin by pure microalgae and the consortium was 87.5 ± 3.5 % (5 mg/L) and 96.1 ± 0.07 % (40 mg/L), respectively. The consortium enhanced the degradation rate to 0.81 d−1 compared with the pure microalgae (0.27 d−1). To reveal the symbiotic mechanism, extracellular polymeric substances, pigments contents, antioxidant enzymes and symbiotic bacterial community were analyzed. The malondialdehyde content in the pure microalgae (1622.6 ± 38.7 nmol/mg protein) was higher than that in the consortium (298.34 ± 2.4 nmol/mg protein), and there were obvious chlorophyll b accumulations (approximately 90 %) in consortium. In addition, the symbiotic bacteria had a positive effect on microalgal secretion of fulvic acid-type components. As mechanism, symbiotic bacteria improved ciprofloxacin biodegradation by reducing cell damage and secreting fulvic acid. The presence of Phycisphaeraceae and Rhizobiaceae, nitrogen fixation bacteria, in the consortium suggest that improvement of ciprofloxacin biodegradation might be associated with nitrogen co-metabolism as well. Collectively, this work elucidates the mechanism of enhancing elimination of ciprofloxacin via microalgae-bacteria consortium and accelerates development of microalgae-mediated aquaculture tailwater bioremediation.","container-title":"Algal Research","DOI":"10.1016/j.algal.2023.103062","ISSN":"2211-9264","journalAbbreviation":"Algal Res.","page":"103062","source":"ScienceDirect","title":"Algae-mediated bioremediation of ciprofloxacin through a symbiotic microalgae-bacteria consortium","volume":"71","author":[{"family":"Wang","given":"Yue"},{"family":"Ning","given":"Weihao"},{"family":"Han","given":"Meina"},{"family":"Gao","given":"Changfei"},{"family":"Guo","given":"Wanqian"},{"family":"Chang","given":"Jo-Shu"},{"family":"Ho","given":"Shih-Hsin"}],"issued":{"date-parts":[["2023",4,1]]}}}],"schema":"https://github.com/citation-style-language/schema/raw/master/csl-citation.json"} </w:instrText>
      </w:r>
      <w:r>
        <w:rPr>
          <w:rFonts w:eastAsia="Aptos" w:cs="Times New Roman"/>
          <w:b/>
          <w:bCs/>
          <w:color w:val="FF0000"/>
          <w:lang w:val="en-US"/>
        </w:rPr>
        <w:fldChar w:fldCharType="separate"/>
      </w:r>
      <w:r w:rsidRPr="00FF3487">
        <w:rPr>
          <w:rFonts w:cs="Times New Roman"/>
        </w:rPr>
        <w:t>(Wang et al., 2023)</w:t>
      </w:r>
      <w:r>
        <w:rPr>
          <w:rFonts w:eastAsia="Aptos" w:cs="Times New Roman"/>
          <w:b/>
          <w:bCs/>
          <w:color w:val="FF0000"/>
          <w:lang w:val="en-US"/>
        </w:rPr>
        <w:fldChar w:fldCharType="end"/>
      </w:r>
      <w:r w:rsidRPr="001D4EDD">
        <w:rPr>
          <w:rFonts w:eastAsia="Aptos" w:cs="Times New Roman"/>
          <w:color w:val="FF0000"/>
          <w:lang w:val="en-US"/>
        </w:rPr>
        <w:t>.</w:t>
      </w:r>
      <w:r>
        <w:rPr>
          <w:rFonts w:eastAsia="Aptos" w:cs="Times New Roman"/>
          <w:i/>
          <w:iCs/>
          <w:color w:val="FF0000"/>
          <w:lang w:val="en-US"/>
        </w:rPr>
        <w:t xml:space="preserve"> </w:t>
      </w:r>
      <w:r w:rsidRPr="00580929">
        <w:rPr>
          <w:rFonts w:eastAsia="Aptos" w:cs="Times New Roman"/>
          <w:i/>
          <w:iCs/>
          <w:color w:val="FF0000"/>
          <w:lang w:val="en-US"/>
        </w:rPr>
        <w:t xml:space="preserve"> </w:t>
      </w:r>
      <w:bookmarkEnd w:id="27"/>
    </w:p>
    <w:p w14:paraId="51424168" w14:textId="77777777" w:rsidR="00445000" w:rsidRDefault="00445000" w:rsidP="00C31A9C">
      <w:pPr>
        <w:snapToGrid w:val="0"/>
        <w:spacing w:line="360" w:lineRule="auto"/>
        <w:ind w:firstLine="284"/>
        <w:jc w:val="both"/>
        <w:rPr>
          <w:rFonts w:cs="Times New Roman"/>
          <w:szCs w:val="24"/>
        </w:rPr>
      </w:pPr>
    </w:p>
    <w:p w14:paraId="031D42CF" w14:textId="788D5DBB" w:rsidR="00445000" w:rsidRPr="00445000" w:rsidRDefault="00445000" w:rsidP="006A2B4C">
      <w:pPr>
        <w:pStyle w:val="ListParagraph"/>
        <w:numPr>
          <w:ilvl w:val="2"/>
          <w:numId w:val="9"/>
        </w:numPr>
        <w:snapToGrid w:val="0"/>
        <w:spacing w:line="360" w:lineRule="auto"/>
        <w:jc w:val="both"/>
        <w:rPr>
          <w:rFonts w:cs="Times New Roman"/>
          <w:b/>
          <w:bCs/>
          <w:szCs w:val="24"/>
        </w:rPr>
      </w:pPr>
      <w:r w:rsidRPr="00445000">
        <w:rPr>
          <w:rFonts w:cs="Times New Roman"/>
          <w:b/>
          <w:bCs/>
          <w:szCs w:val="24"/>
        </w:rPr>
        <w:t xml:space="preserve">Circular Economy </w:t>
      </w:r>
    </w:p>
    <w:p w14:paraId="01B36841" w14:textId="5F2709BC" w:rsidR="00700947" w:rsidRPr="00833CE8" w:rsidRDefault="00700947" w:rsidP="00C31A9C">
      <w:pPr>
        <w:snapToGrid w:val="0"/>
        <w:spacing w:line="360" w:lineRule="auto"/>
        <w:ind w:firstLine="284"/>
        <w:jc w:val="both"/>
        <w:rPr>
          <w:rFonts w:cs="Times New Roman"/>
          <w:szCs w:val="24"/>
        </w:rPr>
      </w:pPr>
      <w:r w:rsidRPr="00833CE8">
        <w:rPr>
          <w:rFonts w:cs="Times New Roman"/>
          <w:szCs w:val="24"/>
        </w:rPr>
        <w:t xml:space="preserve">A unique advantage of bioremediation using consortia of microalgae and bacteria is the possibility of </w:t>
      </w:r>
      <w:r w:rsidR="003064C9">
        <w:rPr>
          <w:rFonts w:cs="Times New Roman"/>
          <w:szCs w:val="24"/>
        </w:rPr>
        <w:t xml:space="preserve">implementing them in </w:t>
      </w:r>
      <w:r w:rsidRPr="00833CE8">
        <w:rPr>
          <w:rFonts w:cs="Times New Roman"/>
          <w:szCs w:val="24"/>
        </w:rPr>
        <w:t xml:space="preserve">multifunctional systems; namely, treating wastewater, then </w:t>
      </w:r>
      <w:r w:rsidRPr="00833CE8">
        <w:rPr>
          <w:rFonts w:cs="Times New Roman"/>
          <w:szCs w:val="24"/>
        </w:rPr>
        <w:lastRenderedPageBreak/>
        <w:t>using the resulting biomass to produce fuel or bioproducts</w:t>
      </w:r>
      <w:r w:rsidR="00973ADA">
        <w:rPr>
          <w:rFonts w:cs="Times New Roman"/>
          <w:szCs w:val="24"/>
        </w:rPr>
        <w:t xml:space="preserve"> </w:t>
      </w:r>
      <w:r w:rsidR="00973ADA" w:rsidRPr="00833CE8">
        <w:rPr>
          <w:rFonts w:cs="Times New Roman"/>
          <w:szCs w:val="24"/>
        </w:rPr>
        <w:fldChar w:fldCharType="begin"/>
      </w:r>
      <w:r w:rsidR="00973ADA" w:rsidRPr="00833CE8">
        <w:rPr>
          <w:rFonts w:cs="Times New Roman"/>
          <w:szCs w:val="24"/>
        </w:rPr>
        <w:instrText xml:space="preserve"> ADDIN ZOTERO_ITEM CSL_CITATION {"citationID":"XNnS0wVd","properties":{"formattedCitation":"(Zhu et al., 2023)","plainCitation":"(Zhu et al., 2023)","noteIndex":0},"citationItems":[{"id":4463,"uris":["http://zotero.org/users/764524/items/KELS2BGG"],"itemData":{"id":4463,"type":"article-journal","abstract":"Microalgae have been considered a promising and sustainable candidate for wastewater treatment and valuable bioproducts, such as feedstocks for food, nutrients, and energy. However, many challenging bottlenecks, such as low biomass productivity, expensive biomass harvesting techniques, and inefficient extraction of biofuels restrict its large-scale commercial production. Symbiotic relationships between microalgae and bacteria, also known as microalgal consortia, have proven to be effective solutions for mitigating technical and economic limitations. The natural and artificial symbiotic microalgal consortia combine microorganisms with various metabolic activities, which leads to valuable biomass production and the removal of nutrients, pharmaceuticals, and personal care products (PPCP) from wastewater. Many microalgal consortia have been applied for various wastewater treatments with reduced energy costs and higher efficiency in recovering valuable resources. In this study we review the present research status and prospects of microalgal consortia, emphasizing the associated mechanism of microalgae consortia cooperative symbiosis and its studies on diverse environmental and biotechnological applications.","container-title":"Energies","DOI":"10.3390/en16020884","ISSN":"1996-1073","issue":"2","language":"en","license":"http://creativecommons.org/licenses/by/3.0/","note":"number: 2\npublisher: Multidisciplinary Digital Publishing Institute","page":"884","source":"www.mdpi.com","title":"Microalgal Consortia for Waste Treatment and Valuable Bioproducts","volume":"16","author":[{"family":"Zhu","given":"Shousong"},{"family":"Higa","given":"Lauren"},{"family":"Barela","given":"Antonia"},{"family":"Lee","given":"Caitlyn"},{"family":"Chen","given":"Yinhua"},{"family":"Du","given":"Zhi-Yan"}],"issued":{"date-parts":[["2023",1]]}}}],"schema":"https://github.com/citation-style-language/schema/raw/master/csl-citation.json"} </w:instrText>
      </w:r>
      <w:r w:rsidR="00973ADA" w:rsidRPr="00833CE8">
        <w:rPr>
          <w:rFonts w:cs="Times New Roman"/>
          <w:szCs w:val="24"/>
        </w:rPr>
        <w:fldChar w:fldCharType="separate"/>
      </w:r>
      <w:r w:rsidR="00973ADA" w:rsidRPr="00833CE8">
        <w:rPr>
          <w:rFonts w:cs="Times New Roman"/>
        </w:rPr>
        <w:t>(Zhu et al., 2023)</w:t>
      </w:r>
      <w:r w:rsidR="00973ADA" w:rsidRPr="00833CE8">
        <w:rPr>
          <w:rFonts w:cs="Times New Roman"/>
          <w:szCs w:val="24"/>
        </w:rPr>
        <w:fldChar w:fldCharType="end"/>
      </w:r>
      <w:r w:rsidRPr="00833CE8">
        <w:rPr>
          <w:rFonts w:cs="Times New Roman"/>
          <w:szCs w:val="24"/>
        </w:rPr>
        <w:t xml:space="preserve">.  An example of this concept was recently proposed by </w:t>
      </w:r>
      <w:r w:rsidR="00973ADA">
        <w:rPr>
          <w:rFonts w:cs="Times New Roman"/>
          <w:szCs w:val="24"/>
        </w:rPr>
        <w:t>Yu</w:t>
      </w:r>
      <w:r w:rsidRPr="00833CE8">
        <w:rPr>
          <w:rFonts w:cs="Times New Roman"/>
          <w:szCs w:val="24"/>
        </w:rPr>
        <w:t xml:space="preserve"> </w:t>
      </w:r>
      <w:r w:rsidRPr="00833CE8">
        <w:rPr>
          <w:rFonts w:cs="Times New Roman"/>
          <w:i/>
          <w:iCs/>
          <w:szCs w:val="24"/>
        </w:rPr>
        <w:t>et al.</w:t>
      </w:r>
      <w:r w:rsidRPr="00833CE8">
        <w:rPr>
          <w:rFonts w:cs="Times New Roman"/>
          <w:szCs w:val="24"/>
        </w:rPr>
        <w:t xml:space="preserve"> for swine wastewater </w:t>
      </w:r>
      <w:r w:rsidR="00973ADA">
        <w:rPr>
          <w:rFonts w:cs="Times New Roman"/>
          <w:szCs w:val="24"/>
        </w:rPr>
        <w:fldChar w:fldCharType="begin"/>
      </w:r>
      <w:r w:rsidR="00973ADA">
        <w:rPr>
          <w:rFonts w:cs="Times New Roman"/>
          <w:szCs w:val="24"/>
        </w:rPr>
        <w:instrText xml:space="preserve"> ADDIN ZOTERO_ITEM CSL_CITATION {"citationID":"TX5Y5BzJ","properties":{"formattedCitation":"(Yu et al., 2024)","plainCitation":"(Yu et al., 2024)","noteIndex":0},"citationItems":[{"id":4612,"uris":["http://zotero.org/users/764524/items/ZYNDJ6AV"],"itemData":{"id":4612,"type":"article-journal","abstract":"Indigenous microalgae-bacteria consortium (IMBC) offers significant advantages for swine wastewater (SW) treatment including enhanced adaptability and resource recovery. In this review, the approaches for enriching IMBC both in situ and ex situ were comprehensively described, followed by symbiotic mechanisms for IMBC which involve metabolic cross-feeding and signal transmission. Strategies for enhancing treatment efficiencies of SW-originated IMBC were then introduced, including improving SW quality, optimizing system operating conditions, and adjusting microbial activities. Recommendations for maximizing treatment efficiencies were particularly proposed using a decision tree approach. Moreover, removal/recovery mechanisms for typical pollutants in SW using IMBC were critically discussed. Ultimately, a technical route termed SW-IMBC-Crop-Pig was proposed, to achieve a closed-loop economy for pig farms by integrating SW treatment with crop cultivation. This review provides a deeper understanding of the mechanism and strategies for IMBC’s resource recovery from SW.","container-title":"Bioresource Technology","DOI":"10.1016/j.biortech.2024.131055","ISSN":"0960-8524","journalAbbreviation":"Bioresour. Technol.","page":"131055","source":"ScienceDirect","title":"Principles, Challenges, and optimization of Indigenous Microalgae-Bacteria consortium for sustainable swine wastewater treatment","author":[{"family":"Yu","given":"Sheng"},{"family":"Chen","given":"Zhipeng"},{"family":"Li","given":"Mengting"},{"family":"Qiu","given":"Shuang"},{"family":"Lv","given":"Zhe"},{"family":"Ge","given":"Shijian"}],"issued":{"date-parts":[["2024",6,27]]}}}],"schema":"https://github.com/citation-style-language/schema/raw/master/csl-citation.json"} </w:instrText>
      </w:r>
      <w:r w:rsidR="00973ADA">
        <w:rPr>
          <w:rFonts w:cs="Times New Roman"/>
          <w:szCs w:val="24"/>
        </w:rPr>
        <w:fldChar w:fldCharType="separate"/>
      </w:r>
      <w:r w:rsidR="00973ADA" w:rsidRPr="00973ADA">
        <w:rPr>
          <w:rFonts w:cs="Times New Roman"/>
        </w:rPr>
        <w:t>(Yu et al., 2024)</w:t>
      </w:r>
      <w:r w:rsidR="00973ADA">
        <w:rPr>
          <w:rFonts w:cs="Times New Roman"/>
          <w:szCs w:val="24"/>
        </w:rPr>
        <w:fldChar w:fldCharType="end"/>
      </w:r>
      <w:r w:rsidRPr="00833CE8">
        <w:rPr>
          <w:rFonts w:cs="Times New Roman"/>
          <w:szCs w:val="24"/>
        </w:rPr>
        <w:t xml:space="preserve">.  </w:t>
      </w:r>
      <w:r w:rsidR="00AA6E6C">
        <w:rPr>
          <w:rFonts w:cs="Times New Roman"/>
          <w:szCs w:val="24"/>
        </w:rPr>
        <w:t>T</w:t>
      </w:r>
      <w:r w:rsidRPr="00833CE8">
        <w:rPr>
          <w:rFonts w:cs="Times New Roman"/>
          <w:szCs w:val="24"/>
        </w:rPr>
        <w:t>his approach would use the wastewater from a pig farm, which would undergo anaerobic digestion to yield biogas and nutrients with high carbon, nitrogen, and phosphorous content.  This would be followed by treatment with an indigenous microalgae-bacteria consortium (IMBC) that would use the biogas and nutrients to grow, resulting in biomass that could be harvested for use as biological fertilizer.  The fertilizer could then be used to grow crops for pig feed, restarting the cycle with swine wastewater.  However, the interactions between the microalgae and bacteria would need to be carefully tuned to maximize the biomass produced and recycling rate for the wastewater.</w:t>
      </w:r>
      <w:r w:rsidR="00E219E6" w:rsidRPr="00833CE8">
        <w:rPr>
          <w:rFonts w:cs="Times New Roman"/>
          <w:szCs w:val="24"/>
        </w:rPr>
        <w:t xml:space="preserve">  </w:t>
      </w:r>
      <w:r w:rsidR="00E016D5">
        <w:rPr>
          <w:rFonts w:cs="Times New Roman"/>
          <w:szCs w:val="24"/>
        </w:rPr>
        <w:t xml:space="preserve">A general illustration of the </w:t>
      </w:r>
      <w:r w:rsidR="00E256AC">
        <w:rPr>
          <w:rFonts w:cs="Times New Roman"/>
          <w:szCs w:val="24"/>
        </w:rPr>
        <w:t>design of a circular economy</w:t>
      </w:r>
      <w:r w:rsidR="00E016D5">
        <w:rPr>
          <w:rFonts w:cs="Times New Roman"/>
          <w:szCs w:val="24"/>
        </w:rPr>
        <w:t xml:space="preserve"> </w:t>
      </w:r>
      <w:r w:rsidR="00E256AC">
        <w:rPr>
          <w:rFonts w:cs="Times New Roman"/>
          <w:szCs w:val="24"/>
        </w:rPr>
        <w:t xml:space="preserve">using </w:t>
      </w:r>
      <w:r w:rsidR="00AD5E5D">
        <w:rPr>
          <w:rFonts w:cs="Times New Roman"/>
          <w:szCs w:val="24"/>
        </w:rPr>
        <w:t>a microalgae-bacteria</w:t>
      </w:r>
      <w:r w:rsidR="00E016D5">
        <w:rPr>
          <w:rFonts w:cs="Times New Roman"/>
          <w:szCs w:val="24"/>
        </w:rPr>
        <w:t xml:space="preserve"> </w:t>
      </w:r>
      <w:r w:rsidR="00AD5E5D">
        <w:rPr>
          <w:rFonts w:cs="Times New Roman"/>
          <w:szCs w:val="24"/>
        </w:rPr>
        <w:t xml:space="preserve">consortium </w:t>
      </w:r>
      <w:r w:rsidR="00E016D5">
        <w:rPr>
          <w:rFonts w:cs="Times New Roman"/>
          <w:szCs w:val="24"/>
        </w:rPr>
        <w:t xml:space="preserve">is shown in </w:t>
      </w:r>
      <w:r w:rsidR="00A06CC4">
        <w:rPr>
          <w:rFonts w:cs="Times New Roman"/>
          <w:szCs w:val="24"/>
        </w:rPr>
        <w:t xml:space="preserve">Figure </w:t>
      </w:r>
      <w:r w:rsidR="00483F08">
        <w:rPr>
          <w:rFonts w:cs="Times New Roman"/>
          <w:szCs w:val="24"/>
        </w:rPr>
        <w:t>7</w:t>
      </w:r>
      <w:r w:rsidR="00E016D5">
        <w:rPr>
          <w:rFonts w:cs="Times New Roman"/>
          <w:szCs w:val="24"/>
        </w:rPr>
        <w:t>.</w:t>
      </w:r>
      <w:r w:rsidR="00A06CC4">
        <w:rPr>
          <w:rFonts w:cs="Times New Roman"/>
          <w:szCs w:val="24"/>
        </w:rPr>
        <w:t xml:space="preserve"> </w:t>
      </w:r>
      <w:r w:rsidR="00E016D5">
        <w:rPr>
          <w:rFonts w:cs="Times New Roman"/>
          <w:szCs w:val="24"/>
        </w:rPr>
        <w:t xml:space="preserve"> </w:t>
      </w:r>
    </w:p>
    <w:p w14:paraId="19C23901" w14:textId="77777777" w:rsidR="004D781F" w:rsidRDefault="004D781F" w:rsidP="004D781F">
      <w:pPr>
        <w:snapToGrid w:val="0"/>
        <w:spacing w:line="360" w:lineRule="auto"/>
        <w:jc w:val="both"/>
        <w:rPr>
          <w:rFonts w:cs="Times New Roman"/>
          <w:szCs w:val="24"/>
        </w:rPr>
      </w:pPr>
    </w:p>
    <w:p w14:paraId="6351A832" w14:textId="08FC6322" w:rsidR="004D781F" w:rsidRDefault="004D781F" w:rsidP="004D781F">
      <w:pPr>
        <w:snapToGrid w:val="0"/>
        <w:spacing w:line="360" w:lineRule="auto"/>
        <w:jc w:val="center"/>
        <w:rPr>
          <w:rFonts w:cs="Times New Roman"/>
          <w:szCs w:val="24"/>
        </w:rPr>
      </w:pPr>
      <w:r>
        <w:rPr>
          <w:rFonts w:cs="Times New Roman"/>
          <w:noProof/>
          <w:szCs w:val="24"/>
        </w:rPr>
        <w:drawing>
          <wp:inline distT="0" distB="0" distL="0" distR="0" wp14:anchorId="2711B00E" wp14:editId="6BDDC1E7">
            <wp:extent cx="5931877" cy="3350238"/>
            <wp:effectExtent l="0" t="0" r="0" b="3175"/>
            <wp:docPr id="1377561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96542" cy="3386760"/>
                    </a:xfrm>
                    <a:prstGeom prst="rect">
                      <a:avLst/>
                    </a:prstGeom>
                    <a:noFill/>
                  </pic:spPr>
                </pic:pic>
              </a:graphicData>
            </a:graphic>
          </wp:inline>
        </w:drawing>
      </w:r>
    </w:p>
    <w:p w14:paraId="17B2F49B" w14:textId="18FB001A" w:rsidR="00E016D5" w:rsidRPr="00833CE8" w:rsidRDefault="00E016D5" w:rsidP="00E016D5">
      <w:pPr>
        <w:snapToGrid w:val="0"/>
        <w:spacing w:line="360" w:lineRule="auto"/>
        <w:jc w:val="both"/>
        <w:rPr>
          <w:rFonts w:cs="Times New Roman"/>
          <w:szCs w:val="24"/>
        </w:rPr>
      </w:pPr>
      <w:r w:rsidRPr="00833CE8">
        <w:rPr>
          <w:rFonts w:cs="Times New Roman"/>
          <w:b/>
          <w:bCs/>
          <w:szCs w:val="24"/>
        </w:rPr>
        <w:t xml:space="preserve">Figure </w:t>
      </w:r>
      <w:r w:rsidR="00483F08">
        <w:rPr>
          <w:rFonts w:cs="Times New Roman"/>
          <w:b/>
          <w:bCs/>
          <w:szCs w:val="24"/>
        </w:rPr>
        <w:t>7</w:t>
      </w:r>
      <w:r w:rsidRPr="00833CE8">
        <w:rPr>
          <w:rFonts w:cs="Times New Roman"/>
          <w:b/>
          <w:bCs/>
          <w:szCs w:val="24"/>
        </w:rPr>
        <w:t xml:space="preserve">. </w:t>
      </w:r>
      <w:r w:rsidRPr="00833CE8">
        <w:rPr>
          <w:rFonts w:cs="Times New Roman"/>
          <w:szCs w:val="24"/>
        </w:rPr>
        <w:t xml:space="preserve"> </w:t>
      </w:r>
      <w:r w:rsidR="003A25E8">
        <w:rPr>
          <w:rFonts w:cs="Times New Roman"/>
          <w:szCs w:val="24"/>
        </w:rPr>
        <w:t>A general circular economy design for agriculture wastewater treatment using a m</w:t>
      </w:r>
      <w:r w:rsidR="003A25E8" w:rsidRPr="00833CE8">
        <w:rPr>
          <w:rFonts w:cs="Times New Roman"/>
          <w:szCs w:val="24"/>
        </w:rPr>
        <w:t>icroalgae</w:t>
      </w:r>
      <w:r w:rsidRPr="00833CE8">
        <w:rPr>
          <w:rFonts w:cs="Times New Roman"/>
          <w:szCs w:val="24"/>
        </w:rPr>
        <w:t>-</w:t>
      </w:r>
      <w:r>
        <w:rPr>
          <w:rFonts w:cs="Times New Roman"/>
          <w:szCs w:val="24"/>
        </w:rPr>
        <w:t>b</w:t>
      </w:r>
      <w:r w:rsidRPr="00833CE8">
        <w:rPr>
          <w:rFonts w:cs="Times New Roman"/>
          <w:szCs w:val="24"/>
        </w:rPr>
        <w:t xml:space="preserve">acteria consortium </w:t>
      </w:r>
      <w:r w:rsidR="00BC7221">
        <w:rPr>
          <w:rFonts w:cs="Times New Roman"/>
          <w:szCs w:val="24"/>
        </w:rPr>
        <w:t>(</w:t>
      </w:r>
      <w:r w:rsidR="00483F08">
        <w:rPr>
          <w:rFonts w:cs="Times New Roman"/>
          <w:szCs w:val="24"/>
        </w:rPr>
        <w:t>g</w:t>
      </w:r>
      <w:r w:rsidR="00BC7221">
        <w:rPr>
          <w:rFonts w:cs="Times New Roman"/>
          <w:szCs w:val="24"/>
        </w:rPr>
        <w:t>reen represents microalgae cells, blue represent</w:t>
      </w:r>
      <w:r w:rsidR="00483F08">
        <w:rPr>
          <w:rFonts w:cs="Times New Roman"/>
          <w:szCs w:val="24"/>
        </w:rPr>
        <w:t>s</w:t>
      </w:r>
      <w:r w:rsidR="00BC7221">
        <w:rPr>
          <w:rFonts w:cs="Times New Roman"/>
          <w:szCs w:val="24"/>
        </w:rPr>
        <w:t xml:space="preserve"> bacteria</w:t>
      </w:r>
      <w:r w:rsidR="00483F08">
        <w:rPr>
          <w:rFonts w:cs="Times New Roman"/>
          <w:szCs w:val="24"/>
        </w:rPr>
        <w:t>l cells</w:t>
      </w:r>
      <w:r w:rsidR="00B01F5D">
        <w:rPr>
          <w:rFonts w:cs="Times New Roman"/>
          <w:szCs w:val="24"/>
        </w:rPr>
        <w:t xml:space="preserve">; </w:t>
      </w:r>
      <w:r w:rsidR="004F40B8">
        <w:rPr>
          <w:rFonts w:cs="Times New Roman"/>
          <w:szCs w:val="24"/>
        </w:rPr>
        <w:t xml:space="preserve">COD = </w:t>
      </w:r>
      <w:r w:rsidR="004F40B8" w:rsidRPr="004F40B8">
        <w:rPr>
          <w:rFonts w:cs="Times New Roman"/>
          <w:szCs w:val="24"/>
        </w:rPr>
        <w:t>chemical oxygen demand</w:t>
      </w:r>
      <w:r w:rsidR="004F40B8">
        <w:rPr>
          <w:rFonts w:cs="Times New Roman"/>
          <w:szCs w:val="24"/>
        </w:rPr>
        <w:t>).</w:t>
      </w:r>
    </w:p>
    <w:p w14:paraId="6072EE8A" w14:textId="77777777" w:rsidR="0072715B" w:rsidRDefault="0072715B" w:rsidP="00C31A9C">
      <w:pPr>
        <w:snapToGrid w:val="0"/>
        <w:spacing w:line="360" w:lineRule="auto"/>
        <w:rPr>
          <w:rFonts w:cs="Times New Roman"/>
          <w:szCs w:val="24"/>
        </w:rPr>
      </w:pPr>
    </w:p>
    <w:p w14:paraId="1FA8E619" w14:textId="480BC869" w:rsidR="00AE566F" w:rsidRPr="00833CE8" w:rsidRDefault="00C27DF8" w:rsidP="00AE566F">
      <w:pPr>
        <w:snapToGrid w:val="0"/>
        <w:spacing w:line="360" w:lineRule="auto"/>
        <w:ind w:firstLine="284"/>
        <w:jc w:val="both"/>
        <w:rPr>
          <w:rFonts w:cs="Times New Roman"/>
          <w:szCs w:val="24"/>
        </w:rPr>
      </w:pPr>
      <w:bookmarkStart w:id="28" w:name="_Hlk191634715"/>
      <w:r w:rsidRPr="00D76D72">
        <w:rPr>
          <w:rFonts w:cs="Times New Roman"/>
          <w:color w:val="FF0000"/>
          <w:szCs w:val="24"/>
        </w:rPr>
        <w:t xml:space="preserve">A similar multifunctional system was evaluated for treatment of </w:t>
      </w:r>
      <w:r w:rsidR="00AE566F" w:rsidRPr="00D76D72">
        <w:rPr>
          <w:rFonts w:cs="Times New Roman"/>
          <w:color w:val="FF0000"/>
          <w:szCs w:val="24"/>
        </w:rPr>
        <w:t xml:space="preserve">wastewater from the ice cream industry using </w:t>
      </w:r>
      <w:r w:rsidRPr="00D76D72">
        <w:rPr>
          <w:rFonts w:cs="Times New Roman"/>
          <w:color w:val="FF0000"/>
          <w:szCs w:val="24"/>
        </w:rPr>
        <w:t>the</w:t>
      </w:r>
      <w:r>
        <w:rPr>
          <w:rFonts w:cs="Times New Roman"/>
          <w:color w:val="FF0000"/>
          <w:szCs w:val="24"/>
        </w:rPr>
        <w:t xml:space="preserve"> bacteria </w:t>
      </w:r>
      <w:proofErr w:type="spellStart"/>
      <w:r w:rsidR="00AE566F" w:rsidRPr="00935E3C">
        <w:rPr>
          <w:rFonts w:cs="Times New Roman"/>
          <w:i/>
          <w:iCs/>
          <w:color w:val="FF0000"/>
          <w:szCs w:val="24"/>
        </w:rPr>
        <w:t>Novosphingobium</w:t>
      </w:r>
      <w:proofErr w:type="spellEnd"/>
      <w:r w:rsidR="00AE566F" w:rsidRPr="00935E3C">
        <w:rPr>
          <w:rFonts w:cs="Times New Roman"/>
          <w:color w:val="FF0000"/>
          <w:szCs w:val="24"/>
        </w:rPr>
        <w:t xml:space="preserve"> sp. ICW1 </w:t>
      </w:r>
      <w:r>
        <w:rPr>
          <w:rFonts w:cs="Times New Roman"/>
          <w:color w:val="FF0000"/>
          <w:szCs w:val="24"/>
        </w:rPr>
        <w:t xml:space="preserve">(isolated from the wastewater itself) </w:t>
      </w:r>
      <w:r w:rsidR="00AE566F" w:rsidRPr="00935E3C">
        <w:rPr>
          <w:rFonts w:cs="Times New Roman"/>
          <w:color w:val="FF0000"/>
          <w:szCs w:val="24"/>
        </w:rPr>
        <w:t xml:space="preserve">and </w:t>
      </w:r>
      <w:r w:rsidR="00AE566F" w:rsidRPr="00935E3C">
        <w:rPr>
          <w:rFonts w:cs="Times New Roman"/>
          <w:color w:val="FF0000"/>
          <w:szCs w:val="24"/>
        </w:rPr>
        <w:lastRenderedPageBreak/>
        <w:t xml:space="preserve">the microalga </w:t>
      </w:r>
      <w:proofErr w:type="spellStart"/>
      <w:r w:rsidR="00AE566F" w:rsidRPr="00935E3C">
        <w:rPr>
          <w:rFonts w:cs="Times New Roman"/>
          <w:i/>
          <w:iCs/>
          <w:color w:val="FF0000"/>
          <w:szCs w:val="24"/>
        </w:rPr>
        <w:t>Vischeria</w:t>
      </w:r>
      <w:proofErr w:type="spellEnd"/>
      <w:r w:rsidR="00AE566F" w:rsidRPr="00935E3C">
        <w:rPr>
          <w:rFonts w:cs="Times New Roman"/>
          <w:color w:val="FF0000"/>
          <w:szCs w:val="24"/>
        </w:rPr>
        <w:t xml:space="preserve"> sp. WL1</w:t>
      </w:r>
      <w:r>
        <w:rPr>
          <w:rFonts w:cs="Times New Roman"/>
          <w:color w:val="FF0000"/>
          <w:szCs w:val="24"/>
        </w:rPr>
        <w:t xml:space="preserve">.  </w:t>
      </w:r>
      <w:r w:rsidR="007E2804">
        <w:rPr>
          <w:rFonts w:cs="Times New Roman"/>
          <w:color w:val="FF0000"/>
          <w:szCs w:val="24"/>
        </w:rPr>
        <w:t xml:space="preserve">After treatment with the algal-bacterial consortium, total </w:t>
      </w:r>
      <w:r>
        <w:rPr>
          <w:rFonts w:cs="Times New Roman"/>
          <w:color w:val="FF0000"/>
          <w:szCs w:val="24"/>
        </w:rPr>
        <w:t xml:space="preserve">carbon </w:t>
      </w:r>
      <w:r w:rsidR="007E2804">
        <w:rPr>
          <w:rFonts w:cs="Times New Roman"/>
          <w:color w:val="FF0000"/>
          <w:szCs w:val="24"/>
        </w:rPr>
        <w:t xml:space="preserve">was </w:t>
      </w:r>
      <w:r w:rsidR="007E2804" w:rsidRPr="00D76D72">
        <w:rPr>
          <w:rFonts w:cs="Times New Roman"/>
          <w:color w:val="FF0000"/>
          <w:szCs w:val="24"/>
        </w:rPr>
        <w:t xml:space="preserve">reduced by up to 74.5%, while the COD was </w:t>
      </w:r>
      <w:r w:rsidRPr="00D76D72">
        <w:rPr>
          <w:rFonts w:cs="Times New Roman"/>
          <w:color w:val="FF0000"/>
          <w:szCs w:val="24"/>
        </w:rPr>
        <w:t xml:space="preserve">reduced by </w:t>
      </w:r>
      <w:r w:rsidR="007E2804" w:rsidRPr="00D76D72">
        <w:rPr>
          <w:rFonts w:cs="Times New Roman"/>
          <w:color w:val="FF0000"/>
          <w:szCs w:val="24"/>
        </w:rPr>
        <w:t>up to 60.4%</w:t>
      </w:r>
      <w:r w:rsidR="00491EAE" w:rsidRPr="00D76D72">
        <w:rPr>
          <w:rFonts w:cs="Times New Roman"/>
          <w:color w:val="FF0000"/>
          <w:szCs w:val="24"/>
        </w:rPr>
        <w:t xml:space="preserve"> </w:t>
      </w:r>
      <w:r w:rsidR="00491EAE" w:rsidRPr="00D76D72">
        <w:rPr>
          <w:rFonts w:cs="Times New Roman"/>
          <w:szCs w:val="24"/>
        </w:rPr>
        <w:fldChar w:fldCharType="begin"/>
      </w:r>
      <w:r w:rsidR="00491EAE" w:rsidRPr="00D76D72">
        <w:rPr>
          <w:rFonts w:cs="Times New Roman"/>
          <w:szCs w:val="24"/>
        </w:rPr>
        <w:instrText xml:space="preserve"> ADDIN ZOTERO_ITEM CSL_CITATION {"citationID":"V1KHaqkk","properties":{"formattedCitation":"(Gao et al., 2024)","plainCitation":"(Gao et al., 2024)","noteIndex":0},"citationItems":[{"id":9692,"uris":["http://zotero.org/users/764524/items/JFTA5BMR"],"itemData":{"id":9692,"type":"article-journal","abstract":"The diversity of microalgae and bacteria allows them to form beneficial consortia for efficient wastewater treatment and nutrient recovery. This study aimed to evaluate the feasibility of a new microalgal-bacterial combination in the treatment of ice cream wastewater for biomass harvest. The bacterium Novosphingobium sp. ICW1 was natively isolated from ice cream wastewater and the microalga Vischeria sp. WL1 was a terrestrial oil-producing strain of Eustigmatophyceae. The ice cream wastewater was diluted 4 folds for co-cultivation, which was relatively less inhibitory for the growth of Vischeria sp. WL1. Four initial algal–bacterial combinations (v:v) of 150:0 (single algal cultivation), 150:1, 150:2, and 150:4 were assessed. During 24 days of co-cultivation, algal pigmentation was dynamically changed, particularly at the algal–bacterial combination of 150:4. Algal growth (in terms of cell number) was slightly promoted during the late phase of co-cultivation at the combinations of 150:2 and 150:4, while in the former the cellular oil yield was obviously elevated. Treated by these algal–bacterial combinations, total carbon was reduced by 67.5 ~ 74.5% and chemical oxygen demand was reduced by 55.0 ~ 60.4%. Although single bacterial treatment was still effective for removing organic nutrients, the removal efficiency was obviously enhanced at the algal–bacterial combination of 150:4. In addition, the harvested oils contained 87.1 ~ 88.3% monounsaturated fatty acids. In general, this study enriches the biotechnological solutions for the sustainable treatment of organic matter-rich food wastewater.","container-title":"Environmental Science and Pollution Research","DOI":"10.1007/s11356-024-33472-x","ISSN":"1614-7499","issue":"21","journalAbbreviation":"Environ. Sci. Pollut. Res.","language":"en","page":"31646-31655","source":"Springer Link","title":"Microalgal-bacterial treatment of ice-cream wastewater to remove organic waste and harvest oil-rich biomass","volume":"31","author":[{"family":"Gao","given":"Xiang"},{"family":"Liu","given":"Chang"},{"family":"Jing","given":"Xin"},{"family":"Guo","given":"Min"},{"family":"Liu","given":"Kaihui"},{"family":"Zhu","given":"Derui"}],"issued":{"date-parts":[["2024",5,1]]}}}],"schema":"https://github.com/citation-style-language/schema/raw/master/csl-citation.json"} </w:instrText>
      </w:r>
      <w:r w:rsidR="00491EAE" w:rsidRPr="00D76D72">
        <w:rPr>
          <w:rFonts w:cs="Times New Roman"/>
          <w:szCs w:val="24"/>
        </w:rPr>
        <w:fldChar w:fldCharType="separate"/>
      </w:r>
      <w:r w:rsidR="00491EAE" w:rsidRPr="00D76D72">
        <w:rPr>
          <w:rFonts w:cs="Times New Roman"/>
        </w:rPr>
        <w:t>(Gao et al., 2024)</w:t>
      </w:r>
      <w:r w:rsidR="00491EAE" w:rsidRPr="00D76D72">
        <w:rPr>
          <w:rFonts w:cs="Times New Roman"/>
          <w:szCs w:val="24"/>
        </w:rPr>
        <w:fldChar w:fldCharType="end"/>
      </w:r>
      <w:r w:rsidR="00491EAE" w:rsidRPr="00D76D72">
        <w:rPr>
          <w:rFonts w:cs="Times New Roman"/>
          <w:szCs w:val="24"/>
        </w:rPr>
        <w:t xml:space="preserve">.    </w:t>
      </w:r>
      <w:r w:rsidR="007E2804" w:rsidRPr="00D76D72">
        <w:rPr>
          <w:rFonts w:cs="Times New Roman"/>
          <w:color w:val="FF0000"/>
          <w:szCs w:val="24"/>
        </w:rPr>
        <w:t xml:space="preserve">  The resulting biomass was harvested, and the oils extracted from it showed 87.1 </w:t>
      </w:r>
      <w:r w:rsidR="00491EAE" w:rsidRPr="00D76D72">
        <w:rPr>
          <w:rFonts w:cs="Times New Roman"/>
          <w:color w:val="FF0000"/>
          <w:szCs w:val="24"/>
        </w:rPr>
        <w:t>-</w:t>
      </w:r>
      <w:r w:rsidR="007E2804" w:rsidRPr="00D76D72">
        <w:rPr>
          <w:rFonts w:cs="Times New Roman"/>
          <w:color w:val="FF0000"/>
          <w:szCs w:val="24"/>
        </w:rPr>
        <w:t> 88.3% monounsaturated fatty acid content, primarily palmitoleic acid and oleic acid</w:t>
      </w:r>
      <w:r w:rsidR="00491EAE" w:rsidRPr="00D76D72">
        <w:rPr>
          <w:rFonts w:cs="Times New Roman"/>
          <w:color w:val="FF0000"/>
          <w:szCs w:val="24"/>
        </w:rPr>
        <w:t>, which have applications both in health and</w:t>
      </w:r>
      <w:r w:rsidR="00491EAE">
        <w:rPr>
          <w:rFonts w:cs="Times New Roman"/>
          <w:color w:val="FF0000"/>
          <w:szCs w:val="24"/>
        </w:rPr>
        <w:t xml:space="preserve"> as feedstocks for biodiesel </w:t>
      </w:r>
      <w:r w:rsidR="00D76D72">
        <w:rPr>
          <w:rFonts w:cs="Times New Roman"/>
          <w:color w:val="FF0000"/>
          <w:szCs w:val="24"/>
        </w:rPr>
        <w:fldChar w:fldCharType="begin"/>
      </w:r>
      <w:r w:rsidR="00D76D72">
        <w:rPr>
          <w:rFonts w:cs="Times New Roman"/>
          <w:color w:val="FF0000"/>
          <w:szCs w:val="24"/>
        </w:rPr>
        <w:instrText xml:space="preserve"> ADDIN ZOTERO_ITEM CSL_CITATION {"citationID":"eBx2VwLi","properties":{"unsorted":true,"formattedCitation":"(Wang et al., 2018; Lotfi et al., 2021)","plainCitation":"(Wang et al., 2018; Lotfi et al., 2021)","noteIndex":0},"citationItems":[{"id":9701,"uris":["http://zotero.org/users/764524/items/NJWBJ35L"],"itemData":{"id":9701,"type":"article-journal","abstract":"This study aimed to evaluate the potential of six oleaginous eustigmatophytes for use as biorefinery feedstock for the co-production of palmitoleic acid (PA) and biodiesel under different initial nitrogen concentrations (INCs). Six eustigmatophytes were studied, the nitrogen deficiency strategy significantly stimulated the simultaneous hyper-accumulation of PA and lipids, and led to a desirable fatty acid profile (FAP), except in Vacuoliviride sp. and Nannochloropsis oculata. Particularly, Eustigmatos cf. polyphem exhibited great potential when supplied with 1 mM INC and yielded the highest PA (29.71% of dry weight (DW)) and lipid (72.01% of DW) contents, as their productivities increased to 96.26 and 232.79 mg/L/d, respectively. Furthermore, neutral lipids accounted for 91.82% of the total lipids and were rich in PA, and the favourable FAPs of C16-C18 (87.95%) and monounsaturated FAs (70.10%) ensured good biodiesel properties including the cetane number (55.69) and iodine value (92.81 gI2/100 g), and all met the standard requirements.","container-title":"Bioresource Technology","DOI":"10.1016/j.biortech.2018.09.016","ISSN":"0960-8524","journalAbbreviation":"Bioresour. Technol.","page":"30-37","source":"ScienceDirect","title":"Evaluation of oleaginous eustigmatophycean microalgae as potential biorefinery feedstock for the production of palmitoleic acid and biodiesel","volume":"270","author":[{"family":"Wang","given":"Feifei"},{"family":"Gao","given":"Baoyan"},{"family":"Huang","given":"Loudong"},{"family":"Su","given":"Min"},{"family":"Dai","given":"Chenming"},{"family":"Zhang","given":"Chengwu"}],"issued":{"date-parts":[["2018",12,1]]}}},{"id":9699,"uris":["http://zotero.org/users/764524/items/T4FQLWI5"],"itemData":{"id":9699,"type":"article-journal","abstract":"Background\nFindings on the link between dietary intakes of monounsaturated fatty acids (MUFA) and risk of mortality are conflicting. This study aimed to summarize existing literature regarding the association between MUFA intake and risk of mortality from all causes, cardiovascular diseases (CVDs), and cancer.\nMethods\nPubMed, Scopus, and ISI Web of Science was systematically searched up to December 2020. Prospective cohort studies which investigated MUFA intake in relation to mortality from all causes, CVD, or cancer were eligible for this systematic review. Publications that had reported risk ratios (RRs) or hazard ratios (HRs) and 9</w:instrText>
      </w:r>
      <w:r w:rsidR="00D76D72">
        <w:rPr>
          <w:rFonts w:cs="Times New Roman" w:hint="eastAsia"/>
          <w:color w:val="FF0000"/>
          <w:szCs w:val="24"/>
        </w:rPr>
        <w:instrText xml:space="preserve">5% confidence intervals (CIs) as effect size, were considered.\nResults\nA total of 17 prospective cohort studies were included. These studies included 1022,321 participants aged </w:instrText>
      </w:r>
      <w:r w:rsidR="00D76D72">
        <w:rPr>
          <w:rFonts w:cs="Times New Roman" w:hint="eastAsia"/>
          <w:color w:val="FF0000"/>
          <w:szCs w:val="24"/>
        </w:rPr>
        <w:instrText>≥</w:instrText>
      </w:r>
      <w:r w:rsidR="00D76D72">
        <w:rPr>
          <w:rFonts w:cs="Times New Roman" w:hint="eastAsia"/>
          <w:color w:val="FF0000"/>
          <w:szCs w:val="24"/>
        </w:rPr>
        <w:instrText> 20 years in total, and 191,283 all-cause deaths, 55,437 CVD deaths, and 64</w:instrText>
      </w:r>
      <w:r w:rsidR="00D76D72">
        <w:rPr>
          <w:rFonts w:cs="Times New Roman"/>
          <w:color w:val="FF0000"/>
          <w:szCs w:val="24"/>
        </w:rPr>
        <w:instrText xml:space="preserve">,448 cancer deaths were totally reported. Combining 15 effect sizes from 11 studies, MUFA intake was inversely associated with risk of all-cause mortality (RR: 0.94; 95% CI: 0.90, 0.98; I2 =55.5; P = 0.005). Based on 17 effect sizes from 11 studies, we found no significant association between MUFA intake and risk of CVD mortality (RR: 0.95; 95% CI: 0.89, 1.01; I2 =37.0; P = 0.06). Combining 10 effect sizes from 6 studies, MUFA intake was not significantly associated with cancer mortality (RR: 0.99; 95% CI: 0.96, 1.03, I2 =13.3%, P = 0.32). Also, an additional 5% of energy from MUFA was associated with a 3% reduced risk of all-cause mortality (RR: 0.97; 95%CI: 0.96, 0.98), but not with CVD (RR: 0.98; 95%CI: 0.95, 1.01) and cancer mortality (RR: 0.99; 95%CI: 0.97, 1.01).\nConclusions\nMUFA intake was found to be inversely associated with risk of all-cause mortality. However, no link was found between MUFA consumption and mortality from CVD or cancer.","container-title":"Ageing Research Reviews","DOI":"10.1016/j.arr.2021.101467","ISSN":"1568-1637","journalAbbreviation":"Ageing Res. Rev.","page":"101467","source":"ScienceDirect","title":"Dietary intakes of monounsaturated fatty acids and risk of mortality from all causes, cardiovascular disease and cancer: A systematic review and dose-response meta-analysis of prospective cohort studies","title-short":"Dietary intakes of monounsaturated fatty acids and risk of mortality from all causes, cardiovascular disease and cancer","volume":"72","author":[{"family":"Lotfi","given":"Keyhan"},{"family":"Salari-Moghaddam","given":"Asma"},{"family":"Yousefinia","given":"Mahsa"},{"family":"Larijani","given":"Bagher"},{"family":"Esmaillzadeh","given":"Ahmad"}],"issued":{"date-parts":[["2021",12,1]]}}}],"schema":"https://github.com/citation-style-language/schema/raw/master/csl-citation.json"} </w:instrText>
      </w:r>
      <w:r w:rsidR="00D76D72">
        <w:rPr>
          <w:rFonts w:cs="Times New Roman"/>
          <w:color w:val="FF0000"/>
          <w:szCs w:val="24"/>
        </w:rPr>
        <w:fldChar w:fldCharType="separate"/>
      </w:r>
      <w:r w:rsidR="00D76D72" w:rsidRPr="00D76D72">
        <w:rPr>
          <w:rFonts w:cs="Times New Roman"/>
        </w:rPr>
        <w:t>(Wang et al., 2018; Lotfi et al., 2021)</w:t>
      </w:r>
      <w:r w:rsidR="00D76D72">
        <w:rPr>
          <w:rFonts w:cs="Times New Roman"/>
          <w:color w:val="FF0000"/>
          <w:szCs w:val="24"/>
        </w:rPr>
        <w:fldChar w:fldCharType="end"/>
      </w:r>
      <w:r w:rsidR="00491EAE">
        <w:rPr>
          <w:rFonts w:cs="Times New Roman"/>
          <w:color w:val="FF0000"/>
          <w:szCs w:val="24"/>
        </w:rPr>
        <w:t>.</w:t>
      </w:r>
      <w:r w:rsidR="007E2804">
        <w:rPr>
          <w:rFonts w:cs="Times New Roman"/>
          <w:color w:val="FF0000"/>
          <w:szCs w:val="24"/>
        </w:rPr>
        <w:t xml:space="preserve"> </w:t>
      </w:r>
      <w:bookmarkEnd w:id="28"/>
      <w:r w:rsidR="00AE566F" w:rsidRPr="00833CE8">
        <w:rPr>
          <w:rFonts w:cs="Times New Roman"/>
          <w:szCs w:val="24"/>
        </w:rPr>
        <w:t xml:space="preserve">As these multifunctional approaches reduce waste byproducts and energy use in the treatment process, they are also </w:t>
      </w:r>
      <w:r w:rsidR="00AE566F" w:rsidRPr="00AE566F">
        <w:rPr>
          <w:rFonts w:cs="Times New Roman"/>
          <w:color w:val="FF0000"/>
          <w:szCs w:val="24"/>
        </w:rPr>
        <w:t xml:space="preserve">more sustainable than conventional techniques </w:t>
      </w:r>
      <w:r w:rsidR="00AE566F" w:rsidRPr="00833CE8">
        <w:rPr>
          <w:rFonts w:cs="Times New Roman"/>
          <w:szCs w:val="24"/>
        </w:rPr>
        <w:t xml:space="preserve">and have been an area of significant research </w:t>
      </w:r>
      <w:r w:rsidR="00AE566F" w:rsidRPr="00833CE8">
        <w:rPr>
          <w:rFonts w:cs="Times New Roman"/>
          <w:szCs w:val="24"/>
        </w:rPr>
        <w:fldChar w:fldCharType="begin"/>
      </w:r>
      <w:r w:rsidR="00AE566F" w:rsidRPr="00833CE8">
        <w:rPr>
          <w:rFonts w:cs="Times New Roman"/>
          <w:szCs w:val="24"/>
        </w:rPr>
        <w:instrText xml:space="preserve"> ADDIN ZOTERO_ITEM CSL_CITATION {"citationID":"k7i5Qpv9","properties":{"formattedCitation":"(Anand et al., 2023)","plainCitation":"(Anand et al., 2023)","noteIndex":0},"citationItems":[{"id":9332,"uris":["http://zotero.org/users/764524/items/B4E8ZE9Q"],"itemData":{"id":9332,"type":"article-journal","abstract":"Traditional wastewater treatment has been aimed solely at sanitation by removing contaminants, yet actual issues of climate change and depletion of natural resources are calling for methods that both remove contaminants and convert waste into chemicals and fuels. In particular, biological treatments with synergic coupling of microalgae and bacteria appear promising to remove organic, inorganic, and pathogen contaminants and to generate biofuels. Here, we review the use of algae and bacteria in the treatment and valorization of wastewater with focus on cell-to-cell adhesion, wastewater properties, and techniques for algae harvesting and production of biodiesel, bioethanol, biohydrogen, exopolysaccarides, biofertilizers, and animal feeds.","container-title":"Environmental Chemistry Letters","DOI":"10.1007/s10311-023-01562-w","ISSN":"1610-3661","issue":"3","journalAbbreviation":"Environ. Chem. Lett.","language":"en","page":"1585-1609","source":"Springer Link","title":"Algae and bacteria consortia for wastewater decontamination and transformation into biodiesel, bioethanol, biohydrogen, biofertilizers and animal feed: a review","title-short":"Algae and bacteria consortia for wastewater decontamination and transformation into biodiesel, bioethanol, biohydrogen, biofertilizers and animal feed","volume":"21","author":[{"family":"Anand","given":"Uttpal"},{"family":"Dey","given":"Satarupa"},{"family":"Parial","given":"Dipannita"},{"family":"Federici","given":"Stefania"},{"family":"Ducoli","given":"Serena"},{"family":"Bolan","given":"Nanthi S."},{"family":"Dey","given":"Abhijit"},{"family":"Bontempi","given":"Elza"}],"issued":{"date-parts":[["2023",6,1]]}}}],"schema":"https://github.com/citation-style-language/schema/raw/master/csl-citation.json"} </w:instrText>
      </w:r>
      <w:r w:rsidR="00AE566F" w:rsidRPr="00833CE8">
        <w:rPr>
          <w:rFonts w:cs="Times New Roman"/>
          <w:szCs w:val="24"/>
        </w:rPr>
        <w:fldChar w:fldCharType="separate"/>
      </w:r>
      <w:r w:rsidR="00AE566F" w:rsidRPr="00833CE8">
        <w:rPr>
          <w:rFonts w:cs="Times New Roman"/>
        </w:rPr>
        <w:t>(Anand et al., 2023)</w:t>
      </w:r>
      <w:r w:rsidR="00AE566F" w:rsidRPr="00833CE8">
        <w:rPr>
          <w:rFonts w:cs="Times New Roman"/>
          <w:szCs w:val="24"/>
        </w:rPr>
        <w:fldChar w:fldCharType="end"/>
      </w:r>
      <w:r w:rsidR="00AE566F" w:rsidRPr="00833CE8">
        <w:rPr>
          <w:rFonts w:cs="Times New Roman"/>
          <w:szCs w:val="24"/>
        </w:rPr>
        <w:t>.</w:t>
      </w:r>
    </w:p>
    <w:p w14:paraId="14080FA6" w14:textId="684D2A39" w:rsidR="00090A4D" w:rsidRPr="00754FFB" w:rsidRDefault="00D12302" w:rsidP="00754FFB">
      <w:pPr>
        <w:spacing w:line="360" w:lineRule="auto"/>
        <w:ind w:firstLine="284"/>
        <w:jc w:val="both"/>
        <w:rPr>
          <w:rFonts w:eastAsia="Aptos" w:cs="Times New Roman"/>
          <w:b/>
          <w:bCs/>
          <w:color w:val="FF0000"/>
        </w:rPr>
      </w:pPr>
      <w:r w:rsidRPr="00F03166">
        <w:rPr>
          <w:rFonts w:cs="Times New Roman"/>
          <w:szCs w:val="24"/>
          <w:lang w:val="en-US"/>
        </w:rPr>
        <w:t>Similarly, wastewater treatment with microalgae-bacteria consortia has been investigated for the production of</w:t>
      </w:r>
      <w:r w:rsidRPr="00F03166">
        <w:rPr>
          <w:rFonts w:eastAsia="Aptos" w:cs="Times New Roman"/>
          <w:lang w:val="en-US"/>
        </w:rPr>
        <w:t xml:space="preserve"> </w:t>
      </w:r>
      <w:proofErr w:type="spellStart"/>
      <w:r w:rsidRPr="00F03166">
        <w:rPr>
          <w:rFonts w:eastAsia="Aptos" w:cs="Times New Roman"/>
          <w:lang w:val="en-US"/>
        </w:rPr>
        <w:t>biostimulants</w:t>
      </w:r>
      <w:proofErr w:type="spellEnd"/>
      <w:r w:rsidRPr="00F03166">
        <w:rPr>
          <w:rFonts w:eastAsia="Aptos" w:cs="Times New Roman"/>
          <w:lang w:val="en-US"/>
        </w:rPr>
        <w:t xml:space="preserve">, namely compounds that stimulate growth or nutrient efficiency, </w:t>
      </w:r>
      <w:r w:rsidR="00895E1D" w:rsidRPr="00895E1D">
        <w:rPr>
          <w:rFonts w:eastAsia="Aptos" w:cs="Times New Roman"/>
          <w:color w:val="FF0000"/>
          <w:lang w:val="en-US"/>
        </w:rPr>
        <w:t>as well as</w:t>
      </w:r>
      <w:r w:rsidRPr="00895E1D">
        <w:rPr>
          <w:rFonts w:eastAsia="Aptos" w:cs="Times New Roman"/>
          <w:color w:val="FF0000"/>
          <w:lang w:val="en-US"/>
        </w:rPr>
        <w:t xml:space="preserve"> biofertilizers</w:t>
      </w:r>
      <w:r w:rsidRPr="00F03166">
        <w:rPr>
          <w:rFonts w:eastAsia="Aptos" w:cs="Times New Roman"/>
          <w:lang w:val="en-US"/>
        </w:rPr>
        <w:t xml:space="preserve">, which are living </w:t>
      </w:r>
      <w:r w:rsidRPr="003844CA">
        <w:rPr>
          <w:rFonts w:eastAsia="Aptos" w:cs="Times New Roman"/>
        </w:rPr>
        <w:t xml:space="preserve">organisms with similar effects </w:t>
      </w:r>
      <w:r w:rsidR="003609FA">
        <w:rPr>
          <w:rFonts w:eastAsia="Aptos" w:cs="Times New Roman"/>
        </w:rPr>
        <w:fldChar w:fldCharType="begin"/>
      </w:r>
      <w:r w:rsidR="00562073">
        <w:rPr>
          <w:rFonts w:eastAsia="Aptos" w:cs="Times New Roman"/>
        </w:rPr>
        <w:instrText xml:space="preserve"> ADDIN ZOTERO_ITEM CSL_CITATION {"citationID":"qqJ0d5bG","properties":{"formattedCitation":"(Adoko et al., 2021; Kapoore et al., 2021; Solomon et al., 2023)","plainCitation":"(Adoko et al., 2021; Kapoore et al., 2021; Solomon et al., 2023)","noteIndex":0},"citationItems":[{"id":9412,"uris":["http://zotero.org/users/764524/items/WUZP8VXZ"],"itemData":{"id":9412,"type":"article-journal","abstract":"Integrated production in sustainable agriculture aims to improve the efficiency of biological inputs through plant-based bioformulations or microorganisms, which are an excellent source of natural fertilisers. A variety of plant stimulants are increasingly used in crop production for environmentally sustainable agriculture. These products have different names and the designations are confusing. The aim of this work is to clarify what is meant by biofertilizer and biostimulant. A biofertilizer is a bacterial or fungal inoculant applied to plants with the aim of increasing the availability of nutrients and their use by plants, regardless of the nutrient content of the inoculant itself. A plant biostimulant is substance or microorganism applied to plants for the purpose of improving the nutritional efficiency, abiotic stress tolerance and/or quality characteristics of crops, regardless of its nutrient content. By extension, plant biostimulants also refer to commercial products containing mixtures of these substances and/or microorganisms. Plant Growth Promoting Rhizobacteria (PGPR) can be called biofertilisers or biostimulants; PGPR formulations are biostimulants. It can be noted that biofertilisers are included in biostimulants.\n\n\tKey words: Biostimulant, biofertilizer, Plant Growth Promoting Rhizobacteria (PGPR), bioformulation, sustainable agriculture.","container-title":"African Journal of Agricultural Research","DOI":"10.5897/AJAR2021.15756","ISSN":"1991-637X","issue":"9","journalAbbreviation":"AJAR","language":"en","note":"publisher: Academic Journals","page":"1256-1260","source":"academicjournals.org","title":"Bioformulations based on plant growth promoting rhizobacteria for sustainable agriculture: Biofertilizer or Biostimulant?","title-short":"Bioformulations based on plant growth promoting rhizobacteria for sustainable agriculture","volume":"17","author":[{"family":"Adoko","given":"Marcel Y&amp;evèdo"},{"family":"Agbodjato","given":"Nadège Adoukè"},{"family":"Noumavo","given":"Agossou Pacôme"},{"family":"Amogou","given":"Olar&amp;ewadjou"},{"family":"Adjanohoun","given":"Adolphe"},{"family":"Baba-Moussa","given":"Lamine"}],"issued":{"date-parts":[["2021",9,30]]}}},{"id":9427,"uris":["http://zotero.org/users/764524/items/PXC848J4"],"itemData":{"id":9427,"type":"article-journal","abstract":"For the growing human population to be sustained during present climatic changes, enhanced quality and quantity of crops are essential to enable food security worldwide. The current consensus is that we need to make a transition from a petroleum-based to a bio-based economy via the development of a sustainable circular economy and biorefinery approaches. Both macroalgae (seaweeds) and microalgae have been long considered a rich source of plant biostimulants with an attractive business opportunity in agronomy and agro-industries. To date, macroalgae biostimulants have been well explored. In contrast, microalgal biostimulants whilst known to have positive effects on development, growth and yields of crops, their commercial implementation is constrained by lack of research and cost of production. The present review highlights the current knowledge on potential biostimulatory compounds, key sources and their quantitative information from algae. Specifically, we provide an overview on the prospects of microalgal biostimulants to advance crop production and quality. Key aspects such as specific biostimulant effects caused by extracts of microalgae, feasibility and potential of co-cultures and later co-application with other biostimulants/biofertilizers are highlighted. An overview of the current knowledge, recent advances and achievements on extraction techniques, application type, application timing, current market and regulatory aspects are also discussed. Moreover, aspects involved in circular economy and biorefinery approaches are also covered, such as: integration of waste resources and implementation of high-throughput phenotyping and -omics tools in isolating novel strains, exploring synergistic interactions and illustrating the underlying mode of microalgal biostimulant action. Overall, this review highlights the current and future potential of microalgal biostimulants, algal biochemical components behind these traits and finally bottlenecks and prospects involved in the successful commercialisation of microalgal biostimulants for sustainable agricultural practices.","container-title":"Biotechnology Advances","DOI":"10.1016/j.biotechadv.2021.107754","ISSN":"0734-9750","journalAbbreviation":"Biotechnol. Adv.","page":"107754","source":"ScienceDirect","title":"Algae biostimulants: A critical look at microalgal biostimulants for sustainable agricultural practices","title-short":"Algae biostimulants","volume":"49","author":[{"family":"Kapoore","given":"Rahul Vijay"},{"family":"Wood","given":"Eleanor E."},{"family":"Llewellyn","given":"Carole A."}],"issued":{"date-parts":[["2021",7,1]]}}},{"id":4562,"uris":["http://zotero.org/users/764524/items/VCZ9NNJN"],"itemData":{"id":4562,"type":"article-journal","abstract":"Agriculture is undergoing a paradigm shift as it moves away from relying only on agrochemicals toward natural-based product to enhance plant growth and productivity while sustainably maintaining soil quality and productivity. In this sense, microalgae and bacteria offer a unique potential due to the growing use of novel and eco-friendly products such as biofertilizers, biostimulants, and biopesticides. Microalgae improve crop growth and health by fixing nitrogen, releasing soil trace elements, solubilizing potassium, and phosphorus, producing exopolysaccharides, and converting organic matter into utilizable nutrients. They also release bioactive substances including, carbohydrates, proteins, enzymes, vitamins, and hormones, to promote plant growth, control pests, and mitigate plant stress responses. Even though it has long been known that microalgae produce various bioactive and signaling molecules (like phytohormones, polysaccharides, lipids, carotenoids, phycobilins, and amino acids) which are effective in crop production, the targeted applications of these molecules in plant science are still in the very early stages of development. Microalgae are beneficial to bacteria because they produce oxygen and extracellular chemicals, and bacteria, in turn, provide microalgae with carbon dioxide, vitamins, and other nutrients in exchange. This review discusses the possible role of microalgae in increasing crop yield, protecting crops, and maintaining soil fertility and stability, and it points out that interactions of microalgae and bacteria may have a better enhancement of crop production in a sustainable way than using either of them alone.","container-title":"Plant Growth Regulation","DOI":"10.1007/s10725-023-01019-8","ISSN":"1573-5087","issue":"1","journalAbbreviation":"Plant Growth Regul.","language":"en","page":"53-65","source":"Springer Link","title":"Potential benefit of microalgae and their interaction with bacteria to sustainable crop production","volume":"101","author":[{"family":"Solomon","given":"Wogene"},{"family":"Mutum","given":"Lamnganbi"},{"family":"Janda","given":"Tibor"},{"family":"Molnár","given":"Zoltán"}],"issued":{"date-parts":[["2023",9,1]]}}}],"schema":"https://github.com/citation-style-language/schema/raw/master/csl-citation.json"} </w:instrText>
      </w:r>
      <w:r w:rsidR="003609FA">
        <w:rPr>
          <w:rFonts w:eastAsia="Aptos" w:cs="Times New Roman"/>
        </w:rPr>
        <w:fldChar w:fldCharType="separate"/>
      </w:r>
      <w:r w:rsidR="00562073" w:rsidRPr="00562073">
        <w:rPr>
          <w:rFonts w:cs="Times New Roman"/>
        </w:rPr>
        <w:t>(Adoko et al., 2021; Kapoore et al., 2021; Solomon et al., 2023)</w:t>
      </w:r>
      <w:r w:rsidR="003609FA">
        <w:rPr>
          <w:rFonts w:eastAsia="Aptos" w:cs="Times New Roman"/>
        </w:rPr>
        <w:fldChar w:fldCharType="end"/>
      </w:r>
      <w:r w:rsidR="003609FA">
        <w:rPr>
          <w:rFonts w:cs="Times New Roman"/>
          <w:szCs w:val="24"/>
        </w:rPr>
        <w:t xml:space="preserve">.  </w:t>
      </w:r>
      <w:proofErr w:type="spellStart"/>
      <w:r w:rsidR="000C7655" w:rsidRPr="003844CA">
        <w:rPr>
          <w:rFonts w:eastAsia="Aptos" w:cs="Times New Roman"/>
        </w:rPr>
        <w:t>B</w:t>
      </w:r>
      <w:r w:rsidRPr="003844CA">
        <w:rPr>
          <w:rFonts w:eastAsia="Aptos" w:cs="Times New Roman"/>
        </w:rPr>
        <w:t>iostimulants</w:t>
      </w:r>
      <w:proofErr w:type="spellEnd"/>
      <w:r w:rsidRPr="003844CA">
        <w:rPr>
          <w:rFonts w:eastAsia="Aptos" w:cs="Times New Roman"/>
        </w:rPr>
        <w:t xml:space="preserve"> from microalgae</w:t>
      </w:r>
      <w:r w:rsidR="000C7655" w:rsidRPr="003844CA">
        <w:rPr>
          <w:rFonts w:eastAsia="Aptos" w:cs="Times New Roman"/>
        </w:rPr>
        <w:t xml:space="preserve"> that improve plant growth</w:t>
      </w:r>
      <w:r w:rsidRPr="003844CA">
        <w:rPr>
          <w:rFonts w:eastAsia="Aptos" w:cs="Times New Roman"/>
        </w:rPr>
        <w:t xml:space="preserve"> include phytohormones </w:t>
      </w:r>
      <w:r w:rsidR="000C7655" w:rsidRPr="003844CA">
        <w:rPr>
          <w:rFonts w:eastAsia="Aptos" w:cs="Times New Roman"/>
        </w:rPr>
        <w:t xml:space="preserve">that enhance plant growth and root development such as </w:t>
      </w:r>
      <w:r w:rsidRPr="003844CA">
        <w:rPr>
          <w:rFonts w:eastAsia="Aptos" w:cs="Times New Roman"/>
        </w:rPr>
        <w:t xml:space="preserve">auxins, </w:t>
      </w:r>
      <w:proofErr w:type="spellStart"/>
      <w:r w:rsidRPr="003844CA">
        <w:rPr>
          <w:rFonts w:eastAsia="Aptos" w:cs="Times New Roman"/>
        </w:rPr>
        <w:t>cytokinins</w:t>
      </w:r>
      <w:proofErr w:type="spellEnd"/>
      <w:r w:rsidRPr="003844CA">
        <w:rPr>
          <w:rFonts w:eastAsia="Aptos" w:cs="Times New Roman"/>
        </w:rPr>
        <w:t>, and gibberellins</w:t>
      </w:r>
      <w:r w:rsidR="000C7655" w:rsidRPr="003844CA">
        <w:rPr>
          <w:rFonts w:eastAsia="Aptos" w:cs="Times New Roman"/>
        </w:rPr>
        <w:t xml:space="preserve">.  Other  </w:t>
      </w:r>
      <w:proofErr w:type="spellStart"/>
      <w:r w:rsidR="000C7655" w:rsidRPr="003844CA">
        <w:rPr>
          <w:rFonts w:eastAsia="Aptos" w:cs="Times New Roman"/>
        </w:rPr>
        <w:t>biostimulants</w:t>
      </w:r>
      <w:proofErr w:type="spellEnd"/>
      <w:r w:rsidR="000C7655" w:rsidRPr="003844CA">
        <w:rPr>
          <w:rFonts w:eastAsia="Aptos" w:cs="Times New Roman"/>
        </w:rPr>
        <w:t xml:space="preserve"> produced by algae include </w:t>
      </w:r>
      <w:r w:rsidRPr="003844CA">
        <w:rPr>
          <w:rFonts w:eastAsia="Aptos" w:cs="Times New Roman"/>
        </w:rPr>
        <w:t xml:space="preserve">amino acids which promote stress tolerance and improve metabolic functions in plants, polysaccharides </w:t>
      </w:r>
      <w:r w:rsidR="000C7655" w:rsidRPr="003844CA">
        <w:rPr>
          <w:rFonts w:eastAsia="Aptos" w:cs="Times New Roman"/>
        </w:rPr>
        <w:t>that</w:t>
      </w:r>
      <w:r w:rsidRPr="003844CA">
        <w:rPr>
          <w:rFonts w:eastAsia="Aptos" w:cs="Times New Roman"/>
        </w:rPr>
        <w:t xml:space="preserve"> improv</w:t>
      </w:r>
      <w:r w:rsidR="000C7655" w:rsidRPr="003844CA">
        <w:rPr>
          <w:rFonts w:eastAsia="Aptos" w:cs="Times New Roman"/>
        </w:rPr>
        <w:t>e</w:t>
      </w:r>
      <w:r w:rsidRPr="003844CA">
        <w:rPr>
          <w:rFonts w:eastAsia="Aptos" w:cs="Times New Roman"/>
        </w:rPr>
        <w:t xml:space="preserve"> water retention and microbial activity, antioxidants </w:t>
      </w:r>
      <w:r w:rsidR="000C7655" w:rsidRPr="003844CA">
        <w:rPr>
          <w:rFonts w:eastAsia="Aptos" w:cs="Times New Roman"/>
        </w:rPr>
        <w:t xml:space="preserve">to </w:t>
      </w:r>
      <w:r w:rsidRPr="003844CA">
        <w:rPr>
          <w:rFonts w:eastAsia="Aptos" w:cs="Times New Roman"/>
        </w:rPr>
        <w:t xml:space="preserve">protect plants from oxidative stress, </w:t>
      </w:r>
      <w:r w:rsidR="000C7655" w:rsidRPr="003844CA">
        <w:rPr>
          <w:rFonts w:eastAsia="Aptos" w:cs="Times New Roman"/>
        </w:rPr>
        <w:t xml:space="preserve">and </w:t>
      </w:r>
      <w:r w:rsidRPr="003844CA">
        <w:rPr>
          <w:rFonts w:eastAsia="Aptos" w:cs="Times New Roman"/>
        </w:rPr>
        <w:t xml:space="preserve">micronutrients </w:t>
      </w:r>
      <w:r w:rsidR="000C7655" w:rsidRPr="003844CA">
        <w:rPr>
          <w:rFonts w:eastAsia="Aptos" w:cs="Times New Roman"/>
        </w:rPr>
        <w:t xml:space="preserve">such as </w:t>
      </w:r>
      <w:r w:rsidRPr="003844CA">
        <w:rPr>
          <w:rFonts w:eastAsia="Aptos" w:cs="Times New Roman"/>
        </w:rPr>
        <w:t xml:space="preserve">iron, magnesium, and zinc </w:t>
      </w:r>
      <w:r w:rsidRPr="003844CA">
        <w:rPr>
          <w:rFonts w:eastAsia="Aptos" w:cs="Times New Roman"/>
        </w:rPr>
        <w:fldChar w:fldCharType="begin"/>
      </w:r>
      <w:r w:rsidRPr="003844CA">
        <w:rPr>
          <w:rFonts w:eastAsia="Aptos" w:cs="Times New Roman"/>
        </w:rPr>
        <w:instrText xml:space="preserve"> ADDIN ZOTERO_ITEM CSL_CITATION {"citationID":"9SwuiFn2","properties":{"formattedCitation":"(Baltazar et al., 2021; Gonz\\uc0\\u225{}lez-P\\uc0\\u233{}rez et al., 2021; Johnson et al., 2024)","plainCitation":"(Baltazar et al., 2021; González-Pérez et al., 2021; Johnson et al., 2024)","noteIndex":0},"citationItems":[{"id":9436,"uris":["http://zotero.org/users/764524/items/XZMMRK5X"],"itemData":{"id":9436,"type":"article-journal","abstract":"As the world develops and population increases, so too does the demand for higher agricultural output with lower resources. Plant biostimulants appear to be one of the more prominent sustainable solutions, given their natural origin and their potential to substitute conventional methods in agriculture. Classified based on their source rather than constitution, biostimulants such as humic substances (HS), protein hydrolysates (PHs), seaweed extracts (SWE) and microorganisms have a proven potential in improving plant growth, increasing crop production and quality, as well as ameliorating stress effects. However, the multi-molecular nature and varying composition of commercially available biostimulants presents challenges when attempting to elucidate their underlying mechanisms. While most research has focused on the broad effects of biostimulants in crops, recent studies at the molecular level have started to unravel the pathways triggered by certain products at the cellular and gene level. Understanding the molecular influences involved could lead to further refinement of these treatments. This review comprises the most recent findings regarding the use of biostimulants in plants, with particular focus on reports of their molecular influence.","container-title":"Biomolecules","DOI":"10.3390/biom11081096","ISSN":"2218-273X","issue":"8","language":"en","license":"http://creativecommons.org/licenses/by/3.0/","note":"number: 8\npublisher: Multidisciplinary Digital Publishing Institute","page":"1096","source":"www.mdpi.com","title":"Recent Advances in the Molecular Effects of Biostimulants in Plants: An Overview","title-short":"Recent Advances in the Molecular Effects of Biostimulants in Plants","volume":"11","author":[{"family":"Baltazar","given":"Miguel"},{"family":"Correia","given":"Sofia"},{"family":"Guinan","given":"Kieran J."},{"family":"Sujeeth","given":"Neerakkal"},{"family":"Bragança","given":"Radek"},{"family":"Gonçalves","given":"Berta"}],"issued":{"date-parts":[["2021",8]]}}},{"id":9434,"uris":["http://zotero.org/users/764524/items/QN29ZU9C"],"itemData":{"id":9434,"type":"article-journal","abstract":"This review aims to elucidate the state of the art of microalgae-based biostimulants as a tool in agriculture by summarizing the biologically active compounds factors that influence the use of microalgae biostimulants and their application methods in the field. Additionally, we examined the factors that support the use of microalgal biostimulants to face abiotic and biotic stress in crop plants. The use of microalgae in crop production and the benefits of seed preparation, foliar application, soil drenching, and hydroponic treatments were discussed. Furthermore, the use of these biostimulants in crop plants and their multiple benefits such as, better rooting, higher crop, fruit yields, drought and salinity tolerance, photosynthetic activity and pathogen resistance was thoroughly presented. The present situation of microalgal biostimulants and their difficulties in the market was analyzed, as well as the perspectives of their use. However, data shows that microalgal derived biostimulants can be used as an alternative for the protection of crops and plant growth regulators and play a significant key role in increasing the levels of production, yield and health of crops. Special interest needs to focus on investigating more microalgae species and their biological active compound factors, due to the largely untapped field. Perspectives regarding future research lines and development priorities were included.","container-title":"World Journal of Microbiology and Biotechnology","DOI":"10.1007/s11274-021-03192-2","ISSN":"1573-0972","issue":"1","journalAbbreviation":"World J Microbiol Biotechnol","language":"en","page":"4","source":"Springer Link","title":"Microalgae as biostimulants: a new approach in agriculture","title-short":"Microalgae as biostimulants","volume":"38","author":[{"family":"González-Pérez","given":"Brenda Karen"},{"family":"Rivas-Castillo","given":"Andrea Margarita"},{"family":"Valdez-Calderón","given":"Alejandro"},{"family":"Gayosso-Morales","given":"Manuel Aaron"}],"issued":{"date-parts":[["2021",11,26]]}}},{"id":9435,"uris":["http://zotero.org/users/764524/items/ZBEMWU82"],"itemData":{"id":9435,"type":"article-journal","abstract":"Anthropogenic activities have led to a surge in the use of synthetic chemical compounds in agriculture, elevating environmental toxicity levels. As a response to this concern, there is a growing demand for environmentally friendly solutions. In recent times, the focus has shifted towards the development of cost-effective and ecologically sound organic products known as biostimulants. These innovative products play a pivotal role in enhancing agricultural productivity by fostering comprehensive plant growth and development. Biostimulants encompass a diverse range of natural and synthetic substances, categorized into microbial, non-microbial, and waste-derived sources. When judiciously applied to crops, these substances exhibit the remarkable ability to enhance plant metabolism, bolster productivity, and enhance resilience to adverse environmental conditions. Through modulation of molecular mechanisms and</w:instrText>
      </w:r>
      <w:r w:rsidRPr="005B6FAD">
        <w:rPr>
          <w:rFonts w:eastAsia="Aptos" w:cs="Times New Roman"/>
          <w:lang w:val="fr-BE"/>
        </w:rPr>
        <w:instrText xml:space="preserve"> epigenetic alterations, biostimulants achieve this by influencing critical signalling molecules, transcription factors, and hormonal levels, which collectively contribute to stress tolerance. This review paper delves into the burgeoning industrial interest surrounding biostimulants. It sheds light on their intricate modes and mechanisms of action, encompassing both physiochemical and molecular aspects. Furthermore, the paper underscores the captivating potential of biostimulants to induce trans-generational plasticity and metabolite accumulation within plants, a phenomenon warranting deeper exploration through metabolomics. This review paper focusses on valuable insights into the transformative influence of biostimulants on agricultural practices, showcasing their capacity to usher in a new era of sustainable and resilient crop cultivation.","container-title":"Journal of Plant Growth Regulation","DOI":"10.1007/s00344-023-11144-3","ISSN":"1435-8107","issue":"3","journalAbbreviation":"J Plant Growth Regul","language":"en","page":"659-674","source":"Springer Link","title":"Biostimulants: The Futuristic Sustainable Approach for Alleviating Crop Productivity and Abiotic Stress Tolerance","title-short":"Biostimulants","volume":"43","author":[{"family":"Johnson","given":"Riya"},{"family":"Joel","given":"Joy M."},{"family":"Puthur","given":"Jos T."}],"issued":{"date-parts":[["2024",3,1]]}}}],"schema":"https://github.com/citation-style-language/schema/raw/master/csl-citation.json"} </w:instrText>
      </w:r>
      <w:r w:rsidRPr="003844CA">
        <w:rPr>
          <w:rFonts w:eastAsia="Aptos" w:cs="Times New Roman"/>
        </w:rPr>
        <w:fldChar w:fldCharType="separate"/>
      </w:r>
      <w:r w:rsidRPr="005B6FAD">
        <w:rPr>
          <w:rFonts w:cs="Times New Roman"/>
          <w:lang w:val="fr-BE"/>
        </w:rPr>
        <w:t>(Baltazar et al., 2021; González-Pérez et al., 2021; Johnson et al., 2024)</w:t>
      </w:r>
      <w:r w:rsidRPr="003844CA">
        <w:rPr>
          <w:rFonts w:eastAsia="Aptos" w:cs="Times New Roman"/>
        </w:rPr>
        <w:fldChar w:fldCharType="end"/>
      </w:r>
      <w:r w:rsidRPr="005B6FAD">
        <w:rPr>
          <w:rFonts w:eastAsia="Aptos" w:cs="Times New Roman"/>
          <w:lang w:val="fr-BE"/>
        </w:rPr>
        <w:t>.</w:t>
      </w:r>
      <w:r w:rsidR="00935E3C" w:rsidRPr="005B6FAD">
        <w:rPr>
          <w:rFonts w:eastAsia="Aptos" w:cs="Times New Roman"/>
          <w:lang w:val="fr-BE"/>
        </w:rPr>
        <w:t xml:space="preserve"> </w:t>
      </w:r>
      <w:r w:rsidR="00D76D72" w:rsidRPr="005B6FAD">
        <w:rPr>
          <w:rFonts w:eastAsia="Aptos" w:cs="Times New Roman"/>
          <w:lang w:val="fr-BE"/>
        </w:rPr>
        <w:t xml:space="preserve"> </w:t>
      </w:r>
      <w:bookmarkStart w:id="29" w:name="_Hlk191634965"/>
      <w:r w:rsidR="00895E1D" w:rsidRPr="00866760">
        <w:rPr>
          <w:rFonts w:eastAsia="Aptos" w:cs="Times New Roman"/>
          <w:color w:val="FF0000"/>
        </w:rPr>
        <w:t xml:space="preserve">A microalgae-bacteria </w:t>
      </w:r>
      <w:r w:rsidR="00957A55" w:rsidRPr="00866760">
        <w:rPr>
          <w:rFonts w:eastAsia="Aptos" w:cs="Times New Roman"/>
          <w:color w:val="FF0000"/>
        </w:rPr>
        <w:t xml:space="preserve">consortium </w:t>
      </w:r>
      <w:r w:rsidR="00895E1D" w:rsidRPr="00866760">
        <w:rPr>
          <w:rFonts w:eastAsia="Aptos" w:cs="Times New Roman"/>
          <w:color w:val="FF0000"/>
        </w:rPr>
        <w:t>was employed to produce a biofertilizer using a mixture of</w:t>
      </w:r>
      <w:r w:rsidR="00895E1D">
        <w:rPr>
          <w:rFonts w:eastAsia="Aptos" w:cs="Times New Roman"/>
          <w:b/>
          <w:bCs/>
          <w:color w:val="FF0000"/>
        </w:rPr>
        <w:t xml:space="preserve"> </w:t>
      </w:r>
      <w:r w:rsidR="00DA4070" w:rsidRPr="00424F73">
        <w:rPr>
          <w:rFonts w:cs="Times New Roman"/>
          <w:color w:val="FF0000"/>
          <w:szCs w:val="24"/>
        </w:rPr>
        <w:t>PGPB</w:t>
      </w:r>
      <w:r w:rsidR="00DA4070" w:rsidRPr="00424F73">
        <w:rPr>
          <w:rFonts w:eastAsia="Aptos" w:cs="Times New Roman"/>
          <w:color w:val="FF0000"/>
        </w:rPr>
        <w:t xml:space="preserve"> </w:t>
      </w:r>
      <w:r w:rsidR="009D04C5" w:rsidRPr="00424F73">
        <w:rPr>
          <w:rFonts w:eastAsia="Aptos" w:cs="Times New Roman"/>
          <w:color w:val="FF0000"/>
        </w:rPr>
        <w:t>(</w:t>
      </w:r>
      <w:r w:rsidR="00CE232C" w:rsidRPr="00424F73">
        <w:rPr>
          <w:rFonts w:eastAsia="Aptos" w:cs="Times New Roman"/>
          <w:i/>
          <w:iCs/>
          <w:color w:val="FF0000"/>
        </w:rPr>
        <w:t>B.</w:t>
      </w:r>
      <w:r w:rsidR="009D04C5" w:rsidRPr="00424F73">
        <w:rPr>
          <w:rFonts w:eastAsia="Aptos" w:cs="Times New Roman"/>
          <w:i/>
          <w:iCs/>
          <w:color w:val="FF0000"/>
        </w:rPr>
        <w:t xml:space="preserve"> licheniformis</w:t>
      </w:r>
      <w:r w:rsidR="009D04C5" w:rsidRPr="00424F73">
        <w:rPr>
          <w:rFonts w:eastAsia="Aptos" w:cs="Times New Roman"/>
          <w:color w:val="FF0000"/>
        </w:rPr>
        <w:t xml:space="preserve">, </w:t>
      </w:r>
      <w:r w:rsidR="009D04C5" w:rsidRPr="00424F73">
        <w:rPr>
          <w:rFonts w:eastAsia="Aptos" w:cs="Times New Roman"/>
          <w:i/>
          <w:iCs/>
          <w:color w:val="FF0000"/>
        </w:rPr>
        <w:t>Bacillus megatherium</w:t>
      </w:r>
      <w:r w:rsidR="009D04C5" w:rsidRPr="00424F73">
        <w:rPr>
          <w:rFonts w:eastAsia="Aptos" w:cs="Times New Roman"/>
          <w:color w:val="FF0000"/>
        </w:rPr>
        <w:t xml:space="preserve">, </w:t>
      </w:r>
      <w:r w:rsidR="009D04C5" w:rsidRPr="00424F73">
        <w:rPr>
          <w:rFonts w:eastAsia="Aptos" w:cs="Times New Roman"/>
          <w:i/>
          <w:iCs/>
          <w:color w:val="FF0000"/>
        </w:rPr>
        <w:t>Azotobacter sp.</w:t>
      </w:r>
      <w:r w:rsidR="009D04C5" w:rsidRPr="00424F73">
        <w:rPr>
          <w:rFonts w:eastAsia="Aptos" w:cs="Times New Roman"/>
          <w:color w:val="FF0000"/>
        </w:rPr>
        <w:t xml:space="preserve">, </w:t>
      </w:r>
      <w:proofErr w:type="spellStart"/>
      <w:r w:rsidR="009D04C5" w:rsidRPr="00424F73">
        <w:rPr>
          <w:rFonts w:eastAsia="Aptos" w:cs="Times New Roman"/>
          <w:i/>
          <w:iCs/>
          <w:color w:val="FF0000"/>
        </w:rPr>
        <w:t>Azospirillum</w:t>
      </w:r>
      <w:proofErr w:type="spellEnd"/>
      <w:r w:rsidR="009D04C5" w:rsidRPr="00424F73">
        <w:rPr>
          <w:rFonts w:eastAsia="Aptos" w:cs="Times New Roman"/>
          <w:i/>
          <w:iCs/>
          <w:color w:val="FF0000"/>
        </w:rPr>
        <w:t xml:space="preserve"> sp.</w:t>
      </w:r>
      <w:r w:rsidR="009D04C5" w:rsidRPr="00424F73">
        <w:rPr>
          <w:rFonts w:eastAsia="Aptos" w:cs="Times New Roman"/>
          <w:color w:val="FF0000"/>
        </w:rPr>
        <w:t xml:space="preserve">, </w:t>
      </w:r>
      <w:r w:rsidR="00895E1D">
        <w:rPr>
          <w:rFonts w:eastAsia="Aptos" w:cs="Times New Roman"/>
          <w:color w:val="FF0000"/>
        </w:rPr>
        <w:t>and</w:t>
      </w:r>
      <w:r w:rsidR="009D04C5" w:rsidRPr="00424F73">
        <w:rPr>
          <w:rFonts w:eastAsia="Aptos" w:cs="Times New Roman"/>
          <w:i/>
          <w:iCs/>
          <w:color w:val="FF0000"/>
        </w:rPr>
        <w:t xml:space="preserve"> </w:t>
      </w:r>
      <w:proofErr w:type="spellStart"/>
      <w:r w:rsidR="009D04C5" w:rsidRPr="00424F73">
        <w:rPr>
          <w:rFonts w:eastAsia="Aptos" w:cs="Times New Roman"/>
          <w:i/>
          <w:iCs/>
          <w:color w:val="FF0000"/>
        </w:rPr>
        <w:t>Herbaspirillum</w:t>
      </w:r>
      <w:proofErr w:type="spellEnd"/>
      <w:r w:rsidR="009D04C5" w:rsidRPr="00424F73">
        <w:rPr>
          <w:rFonts w:eastAsia="Aptos" w:cs="Times New Roman"/>
          <w:i/>
          <w:iCs/>
          <w:color w:val="FF0000"/>
        </w:rPr>
        <w:t xml:space="preserve"> sp.</w:t>
      </w:r>
      <w:r w:rsidR="009D04C5" w:rsidRPr="00424F73">
        <w:rPr>
          <w:rFonts w:eastAsia="Aptos" w:cs="Times New Roman"/>
          <w:color w:val="FF0000"/>
        </w:rPr>
        <w:t xml:space="preserve">) and </w:t>
      </w:r>
      <w:r w:rsidR="00DA4070" w:rsidRPr="00424F73">
        <w:rPr>
          <w:rFonts w:eastAsia="Aptos" w:cs="Times New Roman"/>
          <w:i/>
          <w:iCs/>
          <w:color w:val="FF0000"/>
        </w:rPr>
        <w:t>C. vulgaris</w:t>
      </w:r>
      <w:r w:rsidR="00DA4070" w:rsidRPr="00424F73">
        <w:rPr>
          <w:rFonts w:eastAsia="Aptos" w:cs="Times New Roman"/>
          <w:color w:val="FF0000"/>
        </w:rPr>
        <w:t xml:space="preserve"> </w:t>
      </w:r>
      <w:r w:rsidR="009D04C5" w:rsidRPr="00424F73">
        <w:rPr>
          <w:rFonts w:eastAsia="Aptos" w:cs="Times New Roman"/>
          <w:color w:val="FF0000"/>
        </w:rPr>
        <w:t>algae</w:t>
      </w:r>
      <w:r w:rsidR="00866760">
        <w:rPr>
          <w:rFonts w:eastAsia="Aptos" w:cs="Times New Roman"/>
          <w:color w:val="FF0000"/>
        </w:rPr>
        <w:t xml:space="preserve"> </w:t>
      </w:r>
      <w:bookmarkStart w:id="30" w:name="_Hlk191628017"/>
      <w:bookmarkStart w:id="31" w:name="_Hlk191628481"/>
      <w:r w:rsidR="00866760" w:rsidRPr="00B62190">
        <w:rPr>
          <w:rFonts w:eastAsia="Aptos" w:cs="Times New Roman"/>
          <w:color w:val="FF0000"/>
        </w:rPr>
        <w:fldChar w:fldCharType="begin"/>
      </w:r>
      <w:r w:rsidR="00866760" w:rsidRPr="00B62190">
        <w:rPr>
          <w:rFonts w:eastAsia="Aptos" w:cs="Times New Roman"/>
          <w:color w:val="FF0000"/>
        </w:rPr>
        <w:instrText xml:space="preserve"> ADDIN ZOTERO_ITEM CSL_CITATION {"citationID":"LwMRkX3B","properties":{"formattedCitation":"(Kopta et al., 2018)","plainCitation":"(Kopta et al., 2018)","noteIndex":0},"citationItems":[{"id":9703,"uris":["http://zotero.org/users/764524/items/VNQTN495"],"itemData":{"id":9703,"type":"article-journal","container-title":"Notulae Botanicae Horti Agrobotanici Cluj-Napoca","DOI":"10.15835/nbha46211110","ISSN":"1842-4309","issue":"2","language":"en","page":"615-621","source":"www.notulaebotanicae.ro","title":"Effect of Bacterial-algal Biostimulant on the Yield and Internal Quality of Lettuce (Lactuca sativa L.) Produced for Spring and Summer Crop","volume":"46","author":[{"family":"Kopta","given":"Tomáš"},{"family":"Pavlíková","given":"Marcela"},{"family":"Sękara","given":"Agnieszka"},{"family":"Pokluda","given":"Robert"},{"family":"Maršálek","given":"Blahoslav"}],"issued":{"date-parts":[["2018",3,8]]}}}],"schema":"https://github.com/citation-style-language/schema/raw/master/csl-citation.json"} </w:instrText>
      </w:r>
      <w:r w:rsidR="00866760" w:rsidRPr="00B62190">
        <w:rPr>
          <w:rFonts w:eastAsia="Aptos" w:cs="Times New Roman"/>
          <w:color w:val="FF0000"/>
        </w:rPr>
        <w:fldChar w:fldCharType="separate"/>
      </w:r>
      <w:r w:rsidR="00866760" w:rsidRPr="00B62190">
        <w:rPr>
          <w:rFonts w:cs="Times New Roman"/>
        </w:rPr>
        <w:t>(Kopta et al., 2018)</w:t>
      </w:r>
      <w:r w:rsidR="00866760" w:rsidRPr="00B62190">
        <w:rPr>
          <w:rFonts w:eastAsia="Aptos" w:cs="Times New Roman"/>
          <w:color w:val="FF0000"/>
        </w:rPr>
        <w:fldChar w:fldCharType="end"/>
      </w:r>
      <w:bookmarkEnd w:id="30"/>
      <w:r w:rsidR="00866760" w:rsidRPr="00B62190">
        <w:rPr>
          <w:rFonts w:eastAsia="Aptos" w:cs="Times New Roman"/>
          <w:color w:val="FF0000"/>
        </w:rPr>
        <w:t>.</w:t>
      </w:r>
      <w:r w:rsidR="00866760">
        <w:rPr>
          <w:rFonts w:eastAsia="Aptos" w:cs="Times New Roman"/>
          <w:color w:val="FF0000"/>
        </w:rPr>
        <w:t xml:space="preserve">  </w:t>
      </w:r>
      <w:bookmarkEnd w:id="31"/>
      <w:r w:rsidR="00895E1D">
        <w:rPr>
          <w:rFonts w:eastAsia="Aptos" w:cs="Times New Roman"/>
          <w:color w:val="FF0000"/>
        </w:rPr>
        <w:t>The a</w:t>
      </w:r>
      <w:r w:rsidR="00DA4070" w:rsidRPr="00424F73">
        <w:rPr>
          <w:rFonts w:eastAsia="Aptos" w:cs="Times New Roman"/>
          <w:color w:val="FF0000"/>
        </w:rPr>
        <w:t xml:space="preserve">pplication of </w:t>
      </w:r>
      <w:r w:rsidR="00895E1D">
        <w:rPr>
          <w:rFonts w:eastAsia="Aptos" w:cs="Times New Roman"/>
          <w:color w:val="FF0000"/>
        </w:rPr>
        <w:t xml:space="preserve">the resulting harvested biomass </w:t>
      </w:r>
      <w:r w:rsidR="00866760">
        <w:rPr>
          <w:rFonts w:eastAsia="Aptos" w:cs="Times New Roman"/>
          <w:color w:val="FF0000"/>
        </w:rPr>
        <w:t xml:space="preserve">to </w:t>
      </w:r>
      <w:r w:rsidR="00866760" w:rsidRPr="00424F73">
        <w:rPr>
          <w:rFonts w:eastAsia="Aptos" w:cs="Times New Roman"/>
          <w:color w:val="FF0000"/>
        </w:rPr>
        <w:t xml:space="preserve">lettuce </w:t>
      </w:r>
      <w:r w:rsidR="00866760">
        <w:rPr>
          <w:rFonts w:eastAsia="Aptos" w:cs="Times New Roman"/>
          <w:color w:val="FF0000"/>
        </w:rPr>
        <w:t xml:space="preserve">crops </w:t>
      </w:r>
      <w:r w:rsidR="00DA4070" w:rsidRPr="00424F73">
        <w:rPr>
          <w:rFonts w:eastAsia="Aptos" w:cs="Times New Roman"/>
          <w:color w:val="FF0000"/>
        </w:rPr>
        <w:t>resulted in increase</w:t>
      </w:r>
      <w:r w:rsidR="007104C7" w:rsidRPr="00424F73">
        <w:rPr>
          <w:rFonts w:eastAsia="Aptos" w:cs="Times New Roman"/>
          <w:color w:val="FF0000"/>
        </w:rPr>
        <w:t>s</w:t>
      </w:r>
      <w:r w:rsidR="00DA4070" w:rsidRPr="00424F73">
        <w:rPr>
          <w:rFonts w:eastAsia="Aptos" w:cs="Times New Roman"/>
          <w:color w:val="FF0000"/>
        </w:rPr>
        <w:t xml:space="preserve"> in weight</w:t>
      </w:r>
      <w:r w:rsidR="00866760">
        <w:rPr>
          <w:rFonts w:eastAsia="Aptos" w:cs="Times New Roman"/>
          <w:b/>
          <w:bCs/>
          <w:color w:val="FF0000"/>
        </w:rPr>
        <w:t xml:space="preserve">, </w:t>
      </w:r>
      <w:r w:rsidR="00866760" w:rsidRPr="00866760">
        <w:rPr>
          <w:rFonts w:eastAsia="Aptos" w:cs="Times New Roman"/>
          <w:color w:val="FF0000"/>
        </w:rPr>
        <w:t>with the largest differences observed</w:t>
      </w:r>
      <w:r w:rsidR="00AA58BD">
        <w:rPr>
          <w:rFonts w:eastAsia="Aptos" w:cs="Times New Roman"/>
          <w:color w:val="FF0000"/>
        </w:rPr>
        <w:t xml:space="preserve"> </w:t>
      </w:r>
      <w:r w:rsidR="00AA58BD" w:rsidRPr="00AA58BD">
        <w:rPr>
          <w:rFonts w:eastAsia="Aptos" w:cs="Times New Roman"/>
          <w:b/>
          <w:bCs/>
          <w:color w:val="FF0000"/>
        </w:rPr>
        <w:t>being</w:t>
      </w:r>
      <w:r w:rsidR="00DA4070" w:rsidRPr="00866760">
        <w:rPr>
          <w:rFonts w:eastAsia="Aptos" w:cs="Times New Roman"/>
          <w:color w:val="FF0000"/>
        </w:rPr>
        <w:t xml:space="preserve"> 18.9% for romaine lettuce</w:t>
      </w:r>
      <w:r w:rsidR="00895E1D" w:rsidRPr="00866760">
        <w:rPr>
          <w:rFonts w:eastAsia="Aptos" w:cs="Times New Roman"/>
          <w:color w:val="FF0000"/>
        </w:rPr>
        <w:t xml:space="preserve"> </w:t>
      </w:r>
      <w:r w:rsidR="00E44267" w:rsidRPr="00866760">
        <w:rPr>
          <w:rFonts w:eastAsia="Aptos" w:cs="Times New Roman"/>
          <w:color w:val="FF0000"/>
        </w:rPr>
        <w:t xml:space="preserve">in </w:t>
      </w:r>
      <w:r w:rsidR="00866760" w:rsidRPr="00866760">
        <w:rPr>
          <w:rFonts w:eastAsia="Aptos" w:cs="Times New Roman"/>
          <w:color w:val="FF0000"/>
        </w:rPr>
        <w:t xml:space="preserve">the </w:t>
      </w:r>
      <w:r w:rsidR="00E44267" w:rsidRPr="00866760">
        <w:rPr>
          <w:rFonts w:eastAsia="Aptos" w:cs="Times New Roman"/>
          <w:color w:val="FF0000"/>
        </w:rPr>
        <w:t>summer</w:t>
      </w:r>
      <w:r w:rsidR="00895E1D" w:rsidRPr="00866760">
        <w:rPr>
          <w:rFonts w:eastAsia="Aptos" w:cs="Times New Roman"/>
          <w:color w:val="FF0000"/>
        </w:rPr>
        <w:t xml:space="preserve"> </w:t>
      </w:r>
      <w:r w:rsidR="00866760" w:rsidRPr="00866760">
        <w:rPr>
          <w:rFonts w:eastAsia="Aptos" w:cs="Times New Roman"/>
          <w:color w:val="FF0000"/>
        </w:rPr>
        <w:t xml:space="preserve">season </w:t>
      </w:r>
      <w:r w:rsidR="00895E1D" w:rsidRPr="00866760">
        <w:rPr>
          <w:rFonts w:eastAsia="Aptos" w:cs="Times New Roman"/>
          <w:color w:val="FF0000"/>
        </w:rPr>
        <w:t>and</w:t>
      </w:r>
      <w:r w:rsidR="00DA4070" w:rsidRPr="00866760">
        <w:rPr>
          <w:rFonts w:eastAsia="Aptos" w:cs="Times New Roman"/>
          <w:color w:val="FF0000"/>
        </w:rPr>
        <w:t xml:space="preserve"> 22.7% for leaf lettuce</w:t>
      </w:r>
      <w:r w:rsidR="00895E1D" w:rsidRPr="00866760">
        <w:rPr>
          <w:rFonts w:eastAsia="Aptos" w:cs="Times New Roman"/>
          <w:color w:val="FF0000"/>
        </w:rPr>
        <w:t xml:space="preserve"> </w:t>
      </w:r>
      <w:r w:rsidR="00866760" w:rsidRPr="00866760">
        <w:rPr>
          <w:rFonts w:eastAsia="Aptos" w:cs="Times New Roman"/>
          <w:color w:val="FF0000"/>
        </w:rPr>
        <w:t>in the spring season</w:t>
      </w:r>
      <w:r w:rsidR="00895E1D" w:rsidRPr="00866760">
        <w:rPr>
          <w:rFonts w:eastAsia="Aptos" w:cs="Times New Roman"/>
          <w:color w:val="FF0000"/>
        </w:rPr>
        <w:t>.</w:t>
      </w:r>
      <w:r w:rsidR="00DA4070" w:rsidRPr="00DA4070">
        <w:rPr>
          <w:rFonts w:eastAsia="Aptos" w:cs="Times New Roman"/>
          <w:color w:val="FF0000"/>
        </w:rPr>
        <w:t xml:space="preserve"> </w:t>
      </w:r>
      <w:r w:rsidR="00895E1D">
        <w:rPr>
          <w:rFonts w:eastAsia="Aptos" w:cs="Times New Roman"/>
          <w:color w:val="FF0000"/>
        </w:rPr>
        <w:t>Further, for romaine lettuce</w:t>
      </w:r>
      <w:r w:rsidR="00E44267">
        <w:rPr>
          <w:rFonts w:eastAsia="Aptos" w:cs="Times New Roman"/>
          <w:color w:val="FF0000"/>
        </w:rPr>
        <w:t xml:space="preserve"> grown in the summer season</w:t>
      </w:r>
      <w:r w:rsidR="00895E1D">
        <w:rPr>
          <w:rFonts w:eastAsia="Aptos" w:cs="Times New Roman"/>
          <w:color w:val="FF0000"/>
        </w:rPr>
        <w:t>,</w:t>
      </w:r>
      <w:r w:rsidR="00E44267">
        <w:rPr>
          <w:rFonts w:eastAsia="Aptos" w:cs="Times New Roman"/>
          <w:color w:val="FF0000"/>
        </w:rPr>
        <w:t xml:space="preserve"> the total carotenoid content was increased by 26.7%, </w:t>
      </w:r>
      <w:r w:rsidR="00E44267" w:rsidRPr="00866760">
        <w:rPr>
          <w:rFonts w:eastAsia="Aptos" w:cs="Times New Roman"/>
          <w:color w:val="FF0000"/>
        </w:rPr>
        <w:t xml:space="preserve">from ~33 </w:t>
      </w:r>
      <w:proofErr w:type="spellStart"/>
      <w:r w:rsidR="00E44267" w:rsidRPr="00866760">
        <w:rPr>
          <w:rFonts w:eastAsia="Aptos" w:cs="Times New Roman"/>
          <w:color w:val="FF0000"/>
        </w:rPr>
        <w:t>μg</w:t>
      </w:r>
      <w:proofErr w:type="spellEnd"/>
      <w:r w:rsidR="00E44267" w:rsidRPr="00866760">
        <w:rPr>
          <w:rFonts w:eastAsia="Aptos" w:cs="Times New Roman"/>
          <w:color w:val="FF0000"/>
        </w:rPr>
        <w:t>/g to ~</w:t>
      </w:r>
      <w:r w:rsidR="00866760" w:rsidRPr="00866760">
        <w:rPr>
          <w:rFonts w:eastAsia="Aptos" w:cs="Times New Roman"/>
          <w:color w:val="FF0000"/>
        </w:rPr>
        <w:t>42</w:t>
      </w:r>
      <w:r w:rsidR="00E44267" w:rsidRPr="00866760">
        <w:rPr>
          <w:rFonts w:eastAsia="Aptos" w:cs="Times New Roman"/>
          <w:color w:val="FF0000"/>
        </w:rPr>
        <w:t xml:space="preserve"> </w:t>
      </w:r>
      <w:proofErr w:type="spellStart"/>
      <w:r w:rsidR="00E44267" w:rsidRPr="00866760">
        <w:rPr>
          <w:rFonts w:eastAsia="Aptos" w:cs="Times New Roman"/>
          <w:color w:val="FF0000"/>
        </w:rPr>
        <w:t>μg</w:t>
      </w:r>
      <w:proofErr w:type="spellEnd"/>
      <w:r w:rsidR="00E44267" w:rsidRPr="00866760">
        <w:rPr>
          <w:rFonts w:eastAsia="Aptos" w:cs="Times New Roman"/>
          <w:color w:val="FF0000"/>
        </w:rPr>
        <w:t>/g fresh weight</w:t>
      </w:r>
      <w:r w:rsidR="00E44267">
        <w:rPr>
          <w:rFonts w:eastAsia="Aptos" w:cs="Times New Roman"/>
          <w:color w:val="FF0000"/>
        </w:rPr>
        <w:t xml:space="preserve">, which may have been a heat stress response to the higher temperatures of summer (mean temperature of </w:t>
      </w:r>
      <w:r w:rsidR="00866760">
        <w:rPr>
          <w:rFonts w:eastAsia="Aptos" w:cs="Times New Roman"/>
          <w:color w:val="FF0000"/>
        </w:rPr>
        <w:t>26.44°C</w:t>
      </w:r>
      <w:r w:rsidR="00E44267">
        <w:rPr>
          <w:rFonts w:eastAsia="Aptos" w:cs="Times New Roman"/>
          <w:color w:val="FF0000"/>
        </w:rPr>
        <w:t xml:space="preserve">) compared to spring (mean temperature of </w:t>
      </w:r>
      <w:r w:rsidR="00E44267" w:rsidRPr="00E44267">
        <w:rPr>
          <w:rFonts w:eastAsia="Aptos" w:cs="Times New Roman"/>
          <w:color w:val="FF0000"/>
        </w:rPr>
        <w:t>16.24</w:t>
      </w:r>
      <w:r w:rsidR="00D72E15">
        <w:rPr>
          <w:rFonts w:eastAsia="Aptos" w:cs="Times New Roman"/>
          <w:color w:val="FF0000"/>
        </w:rPr>
        <w:t>°C</w:t>
      </w:r>
      <w:r w:rsidR="00E44267">
        <w:rPr>
          <w:rFonts w:eastAsia="Aptos" w:cs="Times New Roman"/>
          <w:color w:val="FF0000"/>
        </w:rPr>
        <w:t>).  This suggests that the biofertilizer may help to reduce heat stress as well as improving the yield.</w:t>
      </w:r>
      <w:r w:rsidR="00895E1D">
        <w:rPr>
          <w:rFonts w:eastAsia="Aptos" w:cs="Times New Roman"/>
          <w:color w:val="FF0000"/>
        </w:rPr>
        <w:t xml:space="preserve">  </w:t>
      </w:r>
      <w:r w:rsidR="00724432" w:rsidRPr="00B62190">
        <w:rPr>
          <w:rFonts w:eastAsia="Aptos" w:cs="Times New Roman"/>
          <w:color w:val="FF0000"/>
        </w:rPr>
        <w:t xml:space="preserve">  </w:t>
      </w:r>
      <w:bookmarkEnd w:id="29"/>
      <w:r w:rsidRPr="003844CA">
        <w:rPr>
          <w:rFonts w:eastAsia="Aptos" w:cs="Times New Roman"/>
        </w:rPr>
        <w:t xml:space="preserve">A particular advantage to producing </w:t>
      </w:r>
      <w:proofErr w:type="spellStart"/>
      <w:r w:rsidRPr="003844CA">
        <w:rPr>
          <w:rFonts w:eastAsia="Aptos" w:cs="Times New Roman"/>
        </w:rPr>
        <w:t>biostimulants</w:t>
      </w:r>
      <w:proofErr w:type="spellEnd"/>
      <w:r w:rsidRPr="003844CA">
        <w:rPr>
          <w:rFonts w:eastAsia="Aptos" w:cs="Times New Roman"/>
        </w:rPr>
        <w:t xml:space="preserve"> from wastewater treatment, compared to biofertilizers produced using the same consortia, is that biofertilizers require higher doses to have the same effect, while the </w:t>
      </w:r>
      <w:proofErr w:type="spellStart"/>
      <w:r w:rsidRPr="003844CA">
        <w:rPr>
          <w:rFonts w:eastAsia="Aptos" w:cs="Times New Roman"/>
        </w:rPr>
        <w:t>biostimulant</w:t>
      </w:r>
      <w:proofErr w:type="spellEnd"/>
      <w:r w:rsidRPr="003844CA">
        <w:rPr>
          <w:rFonts w:eastAsia="Aptos" w:cs="Times New Roman"/>
        </w:rPr>
        <w:t xml:space="preserve"> molecules can have significant effects at low doses </w:t>
      </w:r>
      <w:bookmarkStart w:id="32" w:name="_Hlk191459221"/>
      <w:r w:rsidRPr="003844CA">
        <w:rPr>
          <w:rFonts w:eastAsia="Aptos" w:cs="Times New Roman"/>
        </w:rPr>
        <w:fldChar w:fldCharType="begin"/>
      </w:r>
      <w:r w:rsidRPr="003844CA">
        <w:rPr>
          <w:rFonts w:eastAsia="Aptos" w:cs="Times New Roman"/>
        </w:rPr>
        <w:instrText xml:space="preserve"> ADDIN ZOTERO_ITEM CSL_CITATION {"citationID":"ULepzWsU","properties":{"formattedCitation":"(Rouphael and Colla, 2020)","plainCitation":"(Rouphael and Colla, 2020)","noteIndex":0},"citationItems":[{"id":9438,"uris":["http://zotero.org/users/764524/items/JTM9G5RD"],"itemData":{"id":9438,"type":"article-journal","abstract":"PLANT BIOSTIMULANTS: RATIONALE, STATE OF THE ART AND EVOLUTIONRecently, the agricultural sector is facing concomitant challenges of rising the productivity to feed the growing global population and increasing the resources use efficiency, while reducing the environmental impact on the ecosystems and human health. In fact, fertilizers and pesticides play a crucial role in agriculture, representing a powerful tool for growers to increase yield and guarantee continuous productivity throughout the seasons under both optimal and suboptimal conditions. In the last three decades, several technological innovations have been proposed to enhance the sustainability of agricultural production systems, through a significant reduction of synthetic agrochemicals like pesticides and fertilizers. A promising and environmental-friendly innovation would be the use of natural plant biostimulants (PBs) that enhance flowering, plant growth, fruit set, crop productivity and nutrient use efficiency (NUE), and are able also to improve the tolerance against a wide range of abiotic stressors (Colla and Rouphael, 2015). PBs were initially defined by excluding some functionalities like fertilizers or plant protection products. In 1997, in Grounds Maintenance web-journal, Zhang and Schmidt from the Department of Crop and Soil Environmental Sciences of the Virginia Polytechnic Institute and State University, defined PBs as “materials that, in minute quantities, promote plant growth”. By using the statement “minute quantities” for describing PBs, the authors implicitly wanted to discriminate biostimulants from nutrients and soil amendments, which also promote plant growth, but are clearly applied in larger quantities. The PBs mentioned in this web article were two important categories such as humic acids and seaweed extracts, and their action on plants was proposed to be essentially hormonal. In 2012, the European Commission has assigned an ad hoc study on plant biostimulants to evaluate the substances and materials involved, which was published by du Jardin (2012) as: ‘The Science of Plant Biostimulants - A bibliographic Analysis’. Based on the scientific literature (250 scientific articles using the term ‘biostimulant’ in their titles and/or abstracts), the following definition was proposed: “Plant biostimulants are substances and materials, with the exception of nutrients and pesticides, which, when applied to plant, seeds or growing substrates in specific formulations, have the capacity to modify physiological processes of plants in a way that provides potential benefits to growth, development and/or stress responses”. du Jardin (2012) concluded that PBs are very heterogeneous materials, and proposed in his study eight categories of substances that acts as biostimulants: humic substances, complex organic materials (obtained from agro-industrial and urban waste products, sewage sludge extracts, composts and manure), beneficial chemical elements (Al, Co, Na, Se and Si), inorganic salts including phosphite, seaweed extracts (brown, red and green macroalgae), chitin and chitosan derivates, antitranspirants (kaolin and polyacrylamide), and free amino acids and N-containing substances (peptides, polyamines and betaines); but did not include any microbial biostimulants. Three years later in the frame of a special issue on ‘Biostimulants in Horticulture’ conducted by Colla and Rouphael (2015), a new definition was proposed by du Jardin (2015), which was supported by scientific evidence about the mode of action, nature and types of effects of PBs on agricultural and horticultural crops. PBs were defined by du Jardin (2015) as follows: “A plant biostimulant is any substance or microorganism applied to plants with the aim to enhance nutrition efficiency, abiotic stress tolerance and/or crop quality traits, regardless of its nutrient content”. This definition could be completed by “By extension plant biostimulants also designate commercial products containing mixtures of such substances and/or microorganisms”. In their special issue Colla and Rouphael (2015) proposed 6 non-microbial and 3 microbial categories of PBs: i) chitosan (Pichyangkura and Chadchawan, 2015), ii) humic and fulvic acids (Canellas et al., 2015), iii) protein hydrolysates (Colla et al., 2015), iv) phosphites (G&amp;#243;mez-Merino and Trej-T&amp;#233;llez, 2015), v) seaweed extracts (Battacharyya et al., 2015), vi) silicon (Savvas and Ntatsi, 2015), vii) arbuscular mycorrhizal fungi (AMF; Rouphael et al., 2015), viii) plant growth-promoting rhizobacteria (PGPR; Ruzzi and Aroca, 2015) and ix) Trichoderma spp. (L&amp;#243;pez-Bucio et al., 2015).The definition of PBs has been rigorously debated over the last decade, and recently under the new Regulation (EU) 2019/1009, which led to the following: “A plant biostimulant shall be an EU fertilising product the function of which is to stimulate plant nutrition processes independently of the product’s nutrient content with the sole aim of improving one or more of the following characteristics of the plant or the plant rhizosphere: i) nutrient use efficiency, ii) tolerance to abiotic stress, iii) quality traits, or iv) availability of confined nutrients in the soil or rhizosphere” (EU, 2019). Based on this definition, PBs are specified on the basis of agricultural functions claims, and include diverse bioactive natural substances: i) humic and fulvic acids, ii) animal and vegetal protein hydrolysates, iii) macroalgae seaweeds extracts and iv) silicon, as well as beneficial microorganisms: i) arbuscular mycorrhizal fungi (AMF) and ii) N-fixing bacteria of strains belonging to the genera Rhizobium, Azotobacter and Azospirillum. However, the justification of agricultural claims of a given microbial or non-microbial biostimulant, is considered an important element to allow PBs to be placed on the European Union market; thus members of the European Biostimulant Industry Council (Ricci et al.) proposed general principles and guidelines for trials and assays to follow when justifying PBs claims, that were outlined in details in their policy and practice review article .More than 700 scientific papers were published in the last 10 years (2009-2019) on ‘plant biostimulants’ (www.scopus.com), where several researchers were able to demonstrate that microbial and non-microbial PBs are capable of inducing an array of morpho-anatomical, biochemical, physiological and molecular plant responses such as boosting crop productivity, NUE and increasing tolerance against abiotic stresses (Calvo et al., 2014; Halpern et al., 2015; Nardi et al., 2016; De Pascale et al., 2017; Rouphael et al., 2017a,b,c 2018a; Yakhin et al., 2017).This research topic collected 50 scientific contributions from high qualified research groups working on PBs and covering the molecular, cellular and physiological mechanisms underlying plant-biostimulant interactions under different environment and management strategies. Moreover, the present research topic compiles many aspects that are helpful to the scientific community, extension specialists and commercial enterprises to better elucidate the causal/functional mechanism of microbial and non-microbial biostimulants. The elucidation of the agricultural function (i.e. improve nutrient use efficiency, quality and tolerance to abiotic stresses) and action mechanisms of PBs will permit to develop a second generation of biostimulants where synergies and complementary mechanism can be functionally designed.NON-MICROBIAL AND MICROBIAL PLANT BIOSTIMULANTSProtein hydrolysates (PHs) which contain mainly signaling peptides and free amino acids have gained prominence as non-microbial PBs because of their potential to enhance germination, seedling growth, plant growth, fruits and vegetables quality as well as crop productivity especially under environmental stress conditions (Colla et al.). In their review paper, the authors aimed at uncovering the physiological and molecular mechanisms behind the biostimulant action of animal or vegetal-based PHs on a wide range of agricultural and horticultural crops. Interestingly, the authors also provided for the first-time evidence that plant microbiomes are modified by the application of PHs, and some of the benefits derived from these products might be due in part to changes in the quanti-qualitative composition and activity of these microbial communities. According to Battacharyya et al. (2015) seaweed extracts (SWE) represent another important category of organic non-microbial PBs; however red, green and brown macroalgae are the most common SWE used in agriculture and horticulture with several commercial products present on the market. Macroalgae are typically harvested from seas and oceans, which hampers the chemical composition and quality of its raw material, leading to difficulties in standardization and getting reliable performance of the extracted products. Therefore, searching for controlled production of in-house algae is an urgent need for the scientific community and private companies. Chiaiese et al. proposed microalgae as a renewable source of PBs. In their review paper, the authors described the extraction techniques and the bioactive compounds (carbohydrates, proteins and amino acids) as well as the biostimulatory action of microalgal extracts belonging to the following species: Chlorella vulgaris, Acutodesmus dimorphus, S. platensis, Scenedesmus Quadricauda, Dunaliella salina, Chlorella ellipsoida, Spirulina maxima and Calothrix elenkinii. On the other hand, developing PBs from agro-food and industrial by-products could also open new opportunities in a full circular economy approach. Xu and Geelen reviewed examples of PBs derived from agricultural by-products and identified the important criteria to select potential by-products for developing efficient PBs. These criteria included: absence of pesticides and heavy metals, collection and storage at low cost and sufficient availability all year round. Several examples of PBs derived from agricultural and industrial by-products including vermicompost, composted urban waste, sewage sludge, PH, and chitin/chitosan derivatives were discussed in detail.In addition to non-microbial PBs, the use of microbial PBs such as PGPR and AMF are highly considered as sustainable and efficient tools for securing yield stability under low-input conditions in particular N and P deficiency (i.e., biofertilizer effects), but also as a innovative technology to improve crop tolerance to abiotic stressors in particular extreme temperatures, drought and salinity. In their review papers Backer et al., Granada et al. and Bitterlich et al. described the mechanisms of these beneficial microorganisms regarding nutrient uptake (especially N and P) and tolerance to environmental stress including signals exchange between plant roots and PGPR and AMF. Particularly, Granada et al. reported that the reduction of P-fertilization could be achieved with the use of high efficient P-solubilizing bacterial isolates as crop inoculants. Moreover, based on a long-term study (7 years), Lu et al. reported that no-tillage with straw return had a protective effect on AMF community structures compared to conventional moldboard-plowing or tillage without straw, thereby playing a crucial role in the development of agricultural sustainability in China. In line with Backer et al. and Bitterlich et al. reviews, Turrini et al. elucidated the functional complementarity of AMF and associated microbiota. Particularly, the authors revealed the functional roles of plant growth promoting bacteria (PGPB) and mycorrhizal helper bacteria (MHB), that promote AMF activity and development and thus boost crop productivity under both optimal and sub-optimal conditions. Similarly, Agnolucci et al. demonstrated by using a polyphasic approach (a combination of culture-dependent analyses and metagenomic sequencing.), that AMF inoculum (Rhizoglomus irregulare BEG72) is home of a large and diverse community of bacteria with important functional PGP traits (i.e., solubilizing phosphate and producing siderophores and indole acetic acid), and possibly acting in synergy with AMF and providing beneficial effects on crop performance. Finally, Woo and Pepe reported that designing and developing potential agricultural probiotics such as Trichoderma-Azotobacter consortia is a priority for the PBs sector and should be adopted as a sustainable crop management strategy to improve yield and its qualitative aspect. IMPLICATIONS OF BIOSTIMULANTS FOR AGRONOMIC AND PHYSIOLOGICAL TRAITS OF CROPSThe stimulation of germination, seedlings and plant growth as well as crop productivity in response to PBs application has been usually associated to the action of signaling bioactive molecules in the primary and secondary metabolisms (Calvo et al., 2014). Different types of hydrolyzed collagen, including granulated gelatin, gelatin hydrolysate and amino acid mixtures simulating gelatin composition, were evaluated in terms of plant growth on cucumber (Wilson et al.). In their study, the authors reported that gelatin hydrolysate treatment increased the expression of genes encoding for amino acid permeases (AAP3, AAP6) and transporters of amino acids and nitrogen. Therefore, they concluded that gelatin hydrolysate provided a sustained source of N and acted as a biostimulant. Furthermore, Luziatelli et al. conducted a greenhouse experiment on lettuce aiming to assess the effect of three commercial PBs: vegetal-derived PH, vegetal-derived PH enriched with copper and a tropical plant extract on plant growth and the epiphytic bacterial population. The three commercial PBs boosted the shoot fresh weight with no significant differences between the three organic PBs. The authors were also able to demonstrate that PBs can stimulate the growth of epiphytic bacteria (Pantoea, Pseudomonas, Acinetobacter, and Bacillus genus) with PGP and/or biological control activity against pathogens, thus acting synergistically with organic compounds to increase marketable fresh yield of lettuce. Similarly, Mahnert et al. showed the potential of organic biostimulants (containing vermicompost, malt sprouts, stone dust and organic herbs) to have a positive impact on plant growth and performance by shifting the microbiota on the aboveground parts of the plant as well as in the surrounding. Moreover, Lucini et al. carried out a short term experiment on melon to assess the physiological and metabolomic responses to a biopolymer–based biostimulant containing lateral root promoting peptides and lignosulphonates as well as micronutrients. The vegetal-based biostimulant was applied at four increasing concentrations (0, 0.3, 0.6, 1.2 or 2.4 L ha-1) two days after transplanting around the collar level. The substrate drench of a biopolymer-based biostimulant elicits dose-dependent (especially at 0.12 and 0.24 mL plant-1) increase of biomass production of melon transplants. The root trait characteristics (total root length and surface area) in biostimulant-treated plants were significantly higher at 0.24 mL plant -1 and to a lesser extent at 0.12 and 0.48 mL plant-1, in comparison to 0.06 mL plant-1 and untreated melon plants. Direct and indirect physiological mechanisms were responsible for better shoot and root biomass production of treated melon transplants. For instance, the signaling molecules in particular bioactive peptides and lignosulfonates may have elicited signal transduction pathway through biosynthesis stimulation of target endogenous phytohormones (Matsumiya and Kubo, 2011). On the other hand, Palumbo et al. reported that humic acids (applied at 0.5 mg and 1 mg C L-1 for 2 days) extracted from olive mill water filters and municipal solid waste could be used as valuable biostimulants in maize at both concentrations as demonstrated by their capacity to promote significantly plant growth, activity of marker enzymes and nutrient accumulation. While on maize, Ertani et al. evaluated the biostimulant effect of 6 seaweed extracts (one extract from Laminaria and five extracts from Ascophyllum nodosum) supplied for 2 days at 0.5 ml L-1. Thanks to a combination of morphological, chemical and biochemical approaches, the authors demonstrated that one of the A. nodosum extract was the most efficient in promoting root morphological traits, likely due to its elevated content in indole-3-acetic acid. Such findings illustrate the utility of a robust chemical characterization of commercial seaweed extracts, which predicts the metabolic targets of seaweed extracts-based biostimulants before their commercialization on the market.Additionally, a significant stimulation of plant growth parameters, yield and yield components of two greenhouse pepper cultivars was observed when seedlings were exposed to Cladosporium sphaerospermum (Li et al.). Result of the same study showed that tobacco plants exposed to C. sphaerospermum retained higher rates of growth, where it was associated with several putative physiological and molecular mechanisms including cell expansion and cycle, photosynthesis, phytohormone homeostasis and defense responses. Concerning flower crops, Cristiano et al. investigated the application effect of an animal-based PH as foliar spray or as substrate drench, applied at three doses (0, 0.1 and 0.2 g L-1) on the agronomical and physiological responses of two snapdragon hybrids. At both PB doses, the application of animal-based PH especially as substrate drench enhanced the performance parameters and ornamental quality traits of snapdragon in a cultivar-dependent manner, compared to untreated control treatment.In addition to the stimulation action of microbial and non-microbial PBs, the application of these natural substances or microorganisms can have a dual effect including tolerance to both biotic and abiotic stressors. For instance, Sharma et al. study, showed that the exogenous application of jasmonic acid can aid Brassica juncea seedlings in recovering from the negative impact of oxidative stress caused by pesticide toxicity, throughout the up-regulation of RUBISCO, NADH, CXE, and P450 and by triggering the antioxidative defense system of the plants. Similarly, Trichoderma erinaceum bio-priming modulated tomato defense transcriptome after the challenged conditions of Fusarium oxysporum f. sp. lycopersici, where the plants were accompanied by i) improved accumulation of defense-related WRKY (a class of DNA-binding proteins) transcripts, ii) increased antioxidative enzyme activities and iii) reinforced through a higher number of lignified cell layers, leading to a higher plant growth (Aamir et al.). Finally, Dal Cortivo et al. showed that sedaxane, a succinate dehydrogenase inhibitor with a well know fungicide action, exhibited also a significant hormone-like activity (i.e, auxin-like and gibberellin-like effects) when applied to maize seeds. The authors concluded that sedaxane application can facilitate root establishment and intensify N and phenylpropanoid metabolism in young maize, thus overcoming both biotic and abiotic pressure in early growth stages.IMPLICATIONS OF BIOSTIMULANTS FOR ABIOTIC STRESSES TOLERANCEUnfavorable environmental and soil conditions in particular drought, salinity and extreme temperature are responsible for 70% of yield gap dictated by global climatic changes (Wang et al., 2003). According to the actual climate change scenario, these abiotic stresses are expected to have an increased negative impact, posing serious concerns on crop productivity and thus food security worldwide (Rouphael et al., 2018b). In order to overcome this situation, the application of non-microbial and microbial PBs has been suggested as one of the most promising and efficient drivers toward further yield stability (Rouphael et al., 2018a). The application of a legume-based PH (containing amino acids and soluble peptides), as foliar and especially as drench substrate, was found to mitigate the negative effects of drought in tomato grown in controlled environment, by increasing transpiration use efficiency (Paul et al.). The metabolomic approach adopted in this study allowed the identification of the molecular mechanisms of improved drought tolerance following the biostimulant treatment, such as i) improved tolerance to ROS-mediated ii) modulation of phytohormones and lipids profiles. The hormonal effects of an animal-based PH (containing L-α amino acids, free amino acids, organic-nitrogen, iron and potassium) on water-stressed tomato plants were also assessed by a Spanish group (Casadesus et al.). Results of the greenhouse experiment showed that the application of animal-based PH benefited an antioxidant protection and exerted a major hormonal effect in tomato water-stressed leaves by increasing the endogenous content of auxin, cytokinin, and jasmonic acid. Microbial biostimulants based on AMF were also reported to promote tolerance of tomato plants toward drought stress. In the study of Volpe et al., the impact of two AMF strains Funneliformis mosseae and Rhizophagus intraradices on physiological and molecular responses of tomato were evaluated. The contribution of F. mosseae seems more effective on volatile organic compounds production, whereas R. intraradices exhibited the best performance traits, leading to a significant higher water use efficiency under severe drought stress. Additionally, R. intraradices was demonstrated to be effective against combined abiotic and biotic stress, the latter in terms of attraction toward aphids natural enemies. Moreover, in tomato cultures Bitterlich et al. showed that mycorrhizal plants indeed show higher water extraction rates per unit root length and biomass which was a consequence of AMF-mediated substrate hydraulic properties. The alleviation of substrate water flow resistances in AMF pots allowed for higher root extraction rates and maintenance of transpiration under progressive drought when the potential soil water flow to root systems were limiting transpiration rates (Bitterlich et al.). Because this study indicated that enhanced water extraction capacity in mycorrhizal pots was related to the flow of water from the bulk substrates to the root surface, the same group of authors carried out an additional study in order to see whether AMF substrate colonization under root exclusion is sufficient to alter substrate hydraulic properties (Bitterlich et al.). And, indeed, substrate colonization by AMF that engaged in a functional symbiosis stabilized water retention and enhanced unsaturated hydraulic conductivity of the substrate. Theoretically, enhanced hydraulic conductivity in AMF substrates constitutes an effective enlargement of the water depletion zone around roots. The authors concluded that further studies should investigate how this would quantitatively contribute to water acquisition by plants and the variability of the effect across different soils.Characterization of several halotolerant PGPR (Bacillus spp.) isolated from the rhizosphere of durum wheat cultivated in hypersaline environments, revealed several growth promoting traits (Verma et al.). Several combinations of these PGPR strains were able to boost plant growth traits of mungbean. The authors concluded that specific strains such as Bacillus sp. BHUJP-H1 and Bacillus sp. BHUJP-H2 can be used as drought tolerant PGPR under open field conditions.Non-microbial and microbial PBs can be also considered a possible way to enhance tolerance to salinity. Zou et al. reported that the application of crude polysaccharides from brown seaweed Lessonia nigrescens or the application of separated and fractionated acidic polysaccharides: LNP-1 at 40.2 kDa and especially LNP-2 at 63.9 kDa, improved the salinity tolerance of wheat seedlings. These beneficial effects were associated to several biochemical and physiological mechanisms such as i) decreased membrane lipid peroxidation, ii) increased chlorophyll content, iii) improved antioxidant activities, and iv) a better efflux and compartmentation of intracellular ion. The same group of authors, also demonstrated that not only polysaccharides deriving from brown algae but also those deriving from red algae (Pyropia yezoensis) can mitigate the negative effects of salinity on wheat seedlings grown under saline conditions (Zou et al.). In their second study, polysaccharides with different molecular weights (3.2, 10.5, 29.0, and 48.8 kDa) were prepared. The authors concluded that the lower-molecular weight samples (3.2 kDa) protected most effectively wheat seedlings against salt stress damage, by coordinating the efflux and compartmentation of NaCl and by enhancing antioxidant activities (Zou et al.). The use of a biostimulant product based on carboxylic acids, containing calcium oxide complexed by ammonium ligninsulfonate was tested on greenhouse lettuce, and it was proven to improve tolerance to nutrient solutions of high electrical conductivity (Bulgari et al.). Lettuce plants treated especially at the higher dose (0.2 ml/L), showed a significant increase in fresh biomass, which was associated to a better biochemical and physiological status (higher chlorophyll content and net photosynthetic rate). Similarly, Wu et al. demonstrated that exogenous 5-aminolevulinic acid application minimized NaCl toxicity on cucumber seedlings through improvement in chlorophyll synthesis, light harvesting capacity, photosynthesis capacity and retarded thylakoid degradation. Moreover, the beneficial role of small bioactive molecules (&amp;lt; 500 Da) such as omeprazole (OMP) a benzimidazole inhibitor of animal proton pumps was reported by Rouphael et al. Salt-stressed tomato plants treated with 10 or 100μM OMP as substrate drench modulated root system architecture in terms of total length and surface, leading to a higher nutrient uptake and biomass production. Hormonal network was strongly influenced by OMP, eliciting an increase in ABA, a decrease in auxins and cytokinin, as well as a tendency in GA down accumulation. Finally, Albdaiwi et al. selected several potential bacterial isolates possessing plant growth promoting traits including N fixation, auxin and siderophore production and inorganic phosphate solubilization. The authors showed that six halotolerant PGPR strains were able to enhance survival in inoculated plants under high salt stress conditions as reflected by higher agronomic performance (higher germination percentages and seedling root growth) of durum wheat in comparison with non-inoculated plants. IMPLICATIONS OF BIOSTIMULANTS FOR IMPROVING NUTRIENT USE EFFICIENCYThe use of bioactive natural substances and microbial inoculants can represent a valuable tool to enhance soil nutrient availability, plant nutrient uptake and assimilation (De Pascale et al., 2017). Increasing nutrient use efficiency in particular N and P is fundamental for both economical and environmental reasons. At both optimal and sub-optimal N regimens (112 and 7 mg L-1, respectively) the application of legume-derived PH especially as substrate drench improved leaf number, SPAD (Soil Plant Analysis Development) index and biomass production of greenhouse tomato (Sestilli et al.). The better agronomic responses of PH-treated tomato was associated to the stimulation of root apparatus that facilitated N uptake and translocation. Moreover, under sub-optimal N concentrations, PH application upregulated the expression of genes encoding for amino acid transporter and ferredoxin-glutamate synthases and glutamine synthetase in roots, which are known to be involved in N assimilation. Furthermore, the biostimulant action of two strains of Trichoderma (T. virens GV41 or T. harzianum T22), under suboptimal, optimal and supraoptimal levels of N in two leafy vegetables: lettuce and rocket was investigated by Fiorentino et al. The authors reported that T. virens GV41 improved Nitrogen Use Efficiency (NUE) of lettuce, and favored the uptake of native N present in the soil of both leafy vegetables. The beneficial effect of microbial-based biostimulants was species-dependent with more pronounced effects recorded on lettuce. The findings also demonstrated that Trichoderma inoculation strongly modulated the composition of eukaryotic populations in the rhizosphere, by exerting different effects with suboptimal N regimen compared to N fertilized treatments. In addition to beneficial fungi, bacterial inoculants could also improve the availability of nutrients and their utilization by plants. In Koskey et al. work, 41 rhizobia isolates from root nodules of mild altitudes climbing bean varieties were characterized from a morpho-cultural, biochemical and genetic point of view in order to select strains with potential biofertilizer properties able to perform under diverse environments. The use of multiple microbial inoculants (bacteria + fungi) containing Agrobacterium, Azotobacter, Azospirillum, Bacillus, Pseudomonas, Streptomyces, Trichoderma and R. irregularis was found effective for wheat production compared to the commercial mineral and chemical fertilizers applied at the recommended level for on-farm use in south-western Australia characterized by moderately N and P deficient soil (Assainar et al.). Zinc solubilization by PGPR is relatively a newer approach, thus a research group from Pakistan screened zinc solubilizing rhizobacteria isolated from wheat and sugarcane and analyzed their effects on wheat (Kamran et al.). The authors reported the potential of Pantoea, Enterobacter cloacae and especially Pseudomonas fragi to be used as microbial-based biostimulant to overcome zinc deficiency under low input scenario. IMPLICATIONS OF BIOSTIMULANTS FOR ENHANCING PRODUCE QUALITYThe application of microbial and non-microbial plant biostimulants are able to modify plant primary and secondary metabolism (Colla et al., 2015; Rouphael et al., 2015) leading to the synthesis and accumulation of antioxidant molecules (i.e., secondary metabolites) which are important for human diet. The application of earthworm grazed and Trichoderma harzianum biofortified spent mushroom substrate (SMS) induced a significant increase in tomato fruit quality in terms of antioxidant capacity, total soluble sugars, carotenoids (lycopene, lutein and β-carotene), total polyphenols and flavonoids contents as well as mineral composition (P, K, Ca, Mg, Fe, Mn and Zn) (Singh et al.). Moreover, Trejo-T&amp;#233;llez et al. investigated the effect of photosynthetically active radiation (low or high), phosphate (low or high) and phosphite (low, optimal or high) and their interactions on the concentrations of glucosinolates, flavonoids and nitrate in two Brassica species: Brassica campestris and Brassica juncea. The authors reported that the application of phosphite in the nutrient solution tends to increase phosphate deficiency; therefore, it favors the biosynthesis and accumulation of some target flavonoids and glucosinolates as a possible defense mechanism for coping with nutrient stress.Concerning fruit trees and grapevines, several authors (Soppelsa et al.; D’Amato et al.; Vergara et al.; Koyama et al.) investigated the application of PBs or exogenous molecules on nutritional and functional quality of fruits. Biostimulant products based on A. nodosum seaweed extract, PH and B-group vitamins had a minor impact on primary apple quality traits (size, flesh firmness, acidity and total sugars), whereas they induced an improvement of the intensity and extension of red coloration in ‘Jonathan’ apples at harvest in the two years trials (Soppelsa et al.). Moreover, the foliar application of Se on olive trees improved nutritional and functional qualities of Extra Virgin Olive Oil (EVOO); since besides the Se biofortification effect, an accumulation of antioxidants molecules was recorded by D’Amato et al. In their study, the biosynthesis and accumulation of key antioxidant molecules such as carotenoids and phenols may have brought advantages to EVOO itself, by improving its oxidative stability and consequently its shelf-life. In ‘Redglobe’ table grape, treatments with 3 brassinosteroids analogs (24-epibrassinolide, Triol, or Lactone at three concentrations 0.0, 0.4, or 0.8 mg L-1) or a commercial formulation (B-2000R at 0.06 mg L-1) at the onset of v&amp;#233;raison, improved total soluble solids, berries color and anthocyanins without altering yield (Vergara et al.). In line with the previous study, the exogenous application of abscisic acid at different timings (7 or 21 days after v&amp;#233;raison; DAV) and concentrations (200 or 400 mg L-1) modulated the biosynthesis of anthocyanins and flavonoids in Vitis vinifera &amp;#215; Vitis labrusca table grapes (Koyama et al.). The authors showed that two applications (at 7 and 21 DAV) of abscisic acid at 400 mg L-1, resulted in an increase in i) concentrations of the total and individual anthocyanin, ii) expression of the key biosynthetic genes CHI, DFR, F3H, and UFGT, and iii) expression of the transcription factors VvMYBA1 and VvMYBA2.OUTLOOK AND CHALLENGES AHEADPBs including natural substances and microbial inoculants appear as a novel and potential category of agricultural inputs, complementing agrochemicals including synthetic fertilizers, and improving tolerance to abiotic stresses, as well as enhancing the quality of agricultural and horticultural commodities. Characterizing the bioactive components of PBs and elucidating the molecular and physiological stimulation mechanisms are still of high interest for the scientific community and commercial enterprises. Due to the complex matrices with different groups of bioactive and signaling molecules, the use of small/medium/large high-throughput phenotyping is the most efficient technology to develop novel biostimulants (Rouphael et al.). Ugena et al. demonstrated that multi-trait high-throughput screening is suitable for identifying new potential biostimulants and characterizing their mode of action under both optimal and sub-optimal (i.e., salinity) conditions. Based on this novel technology, the authors concluded that the mode of action of PBs could be summarized in three groups: i) plant growth promotors/inhibitors, ii) stress alleviators and iii) combined action. Similarly, Paul et al. reported that the combined use of high-throughput phenotyping and metabolomics could facilitate the screening of new bioactive and signaling substances with biostimulant properties and could provide a biochemical, morpho-physiological and metabolomic gateway to the mode of actions, underlying PHs action on tomato. Finally, Rouphael and Colla suggested that in the near future the main players of PBs (scientists, private industries, legislators, and stakeholders) should focus on the development of a second generation of these products (biostimulant 2.0) with specific synergistic biostimulatory action through the application of both microbial and non-microbial PBs to render agriculture more sustainable and resilient.","container-title":"Frontiers in Plant Science","DOI":"10.3389/fpls.2020.00040","ISSN":"1664-462X","journalAbbreviation":"Front. Plant Sci.","language":"English","note":"publisher: Frontiers","source":"Frontiers","title":"Editorial: Biostimulants in Agriculture","title-short":"Editorial","URL":"https://www.frontiersin.org/journals/plant-science/articles/10.3389/fpls.2020.00040/full","volume":"11","author":[{"family":"Rouphael","given":"Youssef"},{"family":"Colla","given":"Giuseppe"}],"accessed":{"date-parts":[["2024",12,10]]},"issued":{"date-parts":[["2020",2,4]]}}}],"schema":"https://github.com/citation-style-language/schema/raw/master/csl-citation.json"} </w:instrText>
      </w:r>
      <w:r w:rsidRPr="003844CA">
        <w:rPr>
          <w:rFonts w:eastAsia="Aptos" w:cs="Times New Roman"/>
        </w:rPr>
        <w:fldChar w:fldCharType="separate"/>
      </w:r>
      <w:r w:rsidRPr="003844CA">
        <w:rPr>
          <w:rFonts w:cs="Times New Roman"/>
        </w:rPr>
        <w:t>(Rouphael and Colla, 2020)</w:t>
      </w:r>
      <w:r w:rsidRPr="003844CA">
        <w:rPr>
          <w:rFonts w:eastAsia="Aptos" w:cs="Times New Roman"/>
        </w:rPr>
        <w:fldChar w:fldCharType="end"/>
      </w:r>
      <w:bookmarkEnd w:id="32"/>
      <w:r w:rsidRPr="003844CA">
        <w:rPr>
          <w:rFonts w:eastAsia="Aptos" w:cs="Times New Roman"/>
        </w:rPr>
        <w:t xml:space="preserve">. </w:t>
      </w:r>
    </w:p>
    <w:p w14:paraId="082522FC" w14:textId="6B21045B" w:rsidR="001E190A" w:rsidRPr="00833CE8" w:rsidRDefault="001E190A" w:rsidP="001E190A">
      <w:pPr>
        <w:snapToGrid w:val="0"/>
        <w:spacing w:line="360" w:lineRule="auto"/>
        <w:ind w:firstLine="284"/>
        <w:jc w:val="both"/>
        <w:rPr>
          <w:rFonts w:cs="Times New Roman"/>
          <w:szCs w:val="24"/>
        </w:rPr>
      </w:pPr>
      <w:r w:rsidRPr="00833CE8">
        <w:rPr>
          <w:rFonts w:cs="Times New Roman"/>
          <w:szCs w:val="24"/>
        </w:rPr>
        <w:lastRenderedPageBreak/>
        <w:t>While these are some examples of biotechnological applications of microalgae/bacteria consortia, many of these systems are reliant on</w:t>
      </w:r>
      <w:r w:rsidR="00A46287" w:rsidRPr="00833CE8">
        <w:rPr>
          <w:rFonts w:cs="Times New Roman"/>
          <w:szCs w:val="24"/>
        </w:rPr>
        <w:t xml:space="preserve"> existing laboratory cultures or observed relationships between microbes in natural environments</w:t>
      </w:r>
      <w:r w:rsidRPr="00833CE8">
        <w:rPr>
          <w:rFonts w:cs="Times New Roman"/>
          <w:szCs w:val="24"/>
        </w:rPr>
        <w:t xml:space="preserve">.  </w:t>
      </w:r>
      <w:r w:rsidR="002C53EC" w:rsidRPr="00833CE8">
        <w:rPr>
          <w:rFonts w:cs="Times New Roman"/>
          <w:szCs w:val="24"/>
        </w:rPr>
        <w:t>A deeper</w:t>
      </w:r>
      <w:r w:rsidRPr="00833CE8">
        <w:rPr>
          <w:rFonts w:cs="Times New Roman"/>
          <w:szCs w:val="24"/>
        </w:rPr>
        <w:t xml:space="preserve"> understanding of the molecular interaction</w:t>
      </w:r>
      <w:r w:rsidR="0099525A">
        <w:rPr>
          <w:rFonts w:cs="Times New Roman"/>
          <w:szCs w:val="24"/>
        </w:rPr>
        <w:t xml:space="preserve"> mechanism</w:t>
      </w:r>
      <w:r w:rsidRPr="00833CE8">
        <w:rPr>
          <w:rFonts w:cs="Times New Roman"/>
          <w:szCs w:val="24"/>
        </w:rPr>
        <w:t xml:space="preserve">s involved in microalgae-bacteria co-cultures could provide both optimized conditions </w:t>
      </w:r>
      <w:r w:rsidR="00A46287" w:rsidRPr="00833CE8">
        <w:rPr>
          <w:rFonts w:cs="Times New Roman"/>
          <w:szCs w:val="24"/>
        </w:rPr>
        <w:t>for these systems a</w:t>
      </w:r>
      <w:r w:rsidRPr="00833CE8">
        <w:rPr>
          <w:rFonts w:cs="Times New Roman"/>
          <w:szCs w:val="24"/>
        </w:rPr>
        <w:t xml:space="preserve">s well as </w:t>
      </w:r>
      <w:r w:rsidR="00A46287" w:rsidRPr="00833CE8">
        <w:rPr>
          <w:rFonts w:cs="Times New Roman"/>
          <w:szCs w:val="24"/>
        </w:rPr>
        <w:t>new avenues of investigation.</w:t>
      </w:r>
      <w:r w:rsidR="000E3F0F" w:rsidRPr="000E3F0F">
        <w:rPr>
          <w:rFonts w:cs="Times New Roman"/>
          <w:szCs w:val="24"/>
        </w:rPr>
        <w:t xml:space="preserve"> </w:t>
      </w:r>
      <w:r w:rsidR="000E3F0F">
        <w:rPr>
          <w:rFonts w:cs="Times New Roman"/>
          <w:szCs w:val="24"/>
        </w:rPr>
        <w:t xml:space="preserve"> </w:t>
      </w:r>
      <w:r w:rsidR="002C3DCD">
        <w:rPr>
          <w:rFonts w:cs="Times New Roman"/>
          <w:szCs w:val="24"/>
        </w:rPr>
        <w:t>Synthetic</w:t>
      </w:r>
      <w:r w:rsidR="000E3F0F" w:rsidRPr="00833CE8">
        <w:rPr>
          <w:rFonts w:cs="Times New Roman"/>
          <w:szCs w:val="24"/>
        </w:rPr>
        <w:t xml:space="preserve"> ecology techniques could be used to design microbial consortia for specific biotechnological applications with optimized conditions</w:t>
      </w:r>
      <w:r w:rsidR="000E3F0F">
        <w:rPr>
          <w:rFonts w:cs="Times New Roman"/>
          <w:szCs w:val="24"/>
        </w:rPr>
        <w:t xml:space="preserve">, such as identifying molecular interactions that could provide enhanced biomass </w:t>
      </w:r>
      <w:r w:rsidR="0099525A">
        <w:rPr>
          <w:rFonts w:cs="Times New Roman"/>
          <w:szCs w:val="24"/>
        </w:rPr>
        <w:t xml:space="preserve">and/or metabolite </w:t>
      </w:r>
      <w:r w:rsidR="000E3F0F">
        <w:rPr>
          <w:rFonts w:cs="Times New Roman"/>
          <w:szCs w:val="24"/>
        </w:rPr>
        <w:t xml:space="preserve">production for a particular microalga.  </w:t>
      </w:r>
      <w:r w:rsidR="007114EA" w:rsidRPr="005B6FAD">
        <w:rPr>
          <w:rFonts w:cs="Times New Roman"/>
          <w:szCs w:val="24"/>
          <w:lang w:val="en-US"/>
        </w:rPr>
        <w:t>Fo</w:t>
      </w:r>
      <w:r w:rsidR="007114EA">
        <w:rPr>
          <w:rFonts w:cs="Times New Roman"/>
          <w:szCs w:val="24"/>
          <w:lang w:val="en-US"/>
        </w:rPr>
        <w:t xml:space="preserve">r instance, </w:t>
      </w:r>
      <w:r w:rsidR="007114EA">
        <w:rPr>
          <w:rFonts w:cs="Times New Roman"/>
          <w:szCs w:val="24"/>
        </w:rPr>
        <w:t>a</w:t>
      </w:r>
      <w:r w:rsidR="000E3F0F">
        <w:rPr>
          <w:rFonts w:cs="Times New Roman"/>
          <w:szCs w:val="24"/>
        </w:rPr>
        <w:t xml:space="preserve"> consortium using mutualistic bacteria that could provide the </w:t>
      </w:r>
      <w:r w:rsidR="007114EA">
        <w:rPr>
          <w:rFonts w:cs="Times New Roman"/>
          <w:szCs w:val="24"/>
        </w:rPr>
        <w:t xml:space="preserve">specific targeted </w:t>
      </w:r>
      <w:r w:rsidR="000E3F0F">
        <w:rPr>
          <w:rFonts w:cs="Times New Roman"/>
          <w:szCs w:val="24"/>
        </w:rPr>
        <w:t>interactions could then be used, rather than attempting to optimize an existing system from a natural environment.</w:t>
      </w:r>
    </w:p>
    <w:p w14:paraId="2A2E7372" w14:textId="77777777" w:rsidR="00700947" w:rsidRPr="00833CE8" w:rsidRDefault="00700947" w:rsidP="00C31A9C">
      <w:pPr>
        <w:snapToGrid w:val="0"/>
        <w:spacing w:line="360" w:lineRule="auto"/>
        <w:rPr>
          <w:rFonts w:cs="Times New Roman"/>
          <w:szCs w:val="24"/>
        </w:rPr>
      </w:pPr>
    </w:p>
    <w:p w14:paraId="3AAFAFD6" w14:textId="7C2DB148" w:rsidR="00205659" w:rsidRPr="00833CE8" w:rsidRDefault="00922827" w:rsidP="006A2B4C">
      <w:pPr>
        <w:pStyle w:val="ListParagraph"/>
        <w:numPr>
          <w:ilvl w:val="0"/>
          <w:numId w:val="9"/>
        </w:numPr>
        <w:snapToGrid w:val="0"/>
        <w:spacing w:line="360" w:lineRule="auto"/>
        <w:rPr>
          <w:rFonts w:cs="Times New Roman"/>
          <w:b/>
          <w:bCs/>
          <w:szCs w:val="24"/>
        </w:rPr>
      </w:pPr>
      <w:r w:rsidRPr="00833CE8">
        <w:rPr>
          <w:rFonts w:cs="Times New Roman"/>
          <w:b/>
          <w:bCs/>
          <w:szCs w:val="24"/>
        </w:rPr>
        <w:t xml:space="preserve">Conclusion and Future </w:t>
      </w:r>
      <w:r w:rsidR="004E5AA8" w:rsidRPr="00833CE8">
        <w:rPr>
          <w:rFonts w:cs="Times New Roman"/>
          <w:b/>
          <w:bCs/>
          <w:szCs w:val="24"/>
        </w:rPr>
        <w:t>D</w:t>
      </w:r>
      <w:r w:rsidRPr="00833CE8">
        <w:rPr>
          <w:rFonts w:cs="Times New Roman"/>
          <w:b/>
          <w:bCs/>
          <w:szCs w:val="24"/>
        </w:rPr>
        <w:t>irections</w:t>
      </w:r>
    </w:p>
    <w:p w14:paraId="0CE27563" w14:textId="0B71CE5B" w:rsidR="00F657B3" w:rsidRDefault="007F49BF" w:rsidP="002233FE">
      <w:pPr>
        <w:snapToGrid w:val="0"/>
        <w:spacing w:line="360" w:lineRule="auto"/>
        <w:ind w:firstLine="284"/>
        <w:jc w:val="both"/>
        <w:rPr>
          <w:rFonts w:cs="Times New Roman"/>
          <w:b/>
          <w:bCs/>
          <w:szCs w:val="24"/>
          <w:lang w:eastAsia="zh-CN"/>
        </w:rPr>
      </w:pPr>
      <w:r>
        <w:rPr>
          <w:rFonts w:cs="Times New Roman"/>
          <w:szCs w:val="24"/>
        </w:rPr>
        <w:t xml:space="preserve">The co-evolution of </w:t>
      </w:r>
      <w:r w:rsidR="00C85057" w:rsidRPr="00833CE8">
        <w:rPr>
          <w:rFonts w:cs="Times New Roman"/>
          <w:szCs w:val="24"/>
        </w:rPr>
        <w:t>microalgae</w:t>
      </w:r>
      <w:r w:rsidR="00C85057">
        <w:rPr>
          <w:rFonts w:cs="Times New Roman"/>
          <w:szCs w:val="24"/>
        </w:rPr>
        <w:t xml:space="preserve"> and </w:t>
      </w:r>
      <w:r w:rsidR="00C85057" w:rsidRPr="00833CE8">
        <w:rPr>
          <w:rFonts w:cs="Times New Roman"/>
          <w:szCs w:val="24"/>
        </w:rPr>
        <w:t>bacteria</w:t>
      </w:r>
      <w:r>
        <w:rPr>
          <w:rFonts w:cs="Times New Roman"/>
          <w:szCs w:val="24"/>
        </w:rPr>
        <w:t xml:space="preserve"> has led to s</w:t>
      </w:r>
      <w:r w:rsidRPr="00833CE8">
        <w:rPr>
          <w:rFonts w:cs="Times New Roman"/>
          <w:szCs w:val="24"/>
        </w:rPr>
        <w:t>ymbiotic relationships</w:t>
      </w:r>
      <w:r>
        <w:rPr>
          <w:rFonts w:cs="Times New Roman"/>
          <w:szCs w:val="24"/>
        </w:rPr>
        <w:t xml:space="preserve"> including</w:t>
      </w:r>
      <w:r w:rsidR="00C86215">
        <w:rPr>
          <w:rFonts w:cs="Times New Roman"/>
          <w:szCs w:val="24"/>
        </w:rPr>
        <w:t xml:space="preserve"> but not limited to</w:t>
      </w:r>
      <w:r w:rsidR="00AA7E26">
        <w:rPr>
          <w:rFonts w:cs="Times New Roman"/>
          <w:szCs w:val="24"/>
        </w:rPr>
        <w:t xml:space="preserve"> </w:t>
      </w:r>
      <w:r>
        <w:rPr>
          <w:rFonts w:cs="Times New Roman"/>
          <w:szCs w:val="24"/>
        </w:rPr>
        <w:t>mutualism</w:t>
      </w:r>
      <w:r w:rsidR="00C85057">
        <w:rPr>
          <w:rFonts w:cs="Times New Roman"/>
          <w:szCs w:val="24"/>
        </w:rPr>
        <w:t xml:space="preserve">. </w:t>
      </w:r>
      <w:r w:rsidR="00C85057" w:rsidRPr="00833CE8">
        <w:rPr>
          <w:rFonts w:cs="Times New Roman"/>
          <w:szCs w:val="24"/>
        </w:rPr>
        <w:t xml:space="preserve"> </w:t>
      </w:r>
      <w:r w:rsidR="004A10E7">
        <w:rPr>
          <w:rFonts w:cs="Times New Roman"/>
          <w:szCs w:val="24"/>
        </w:rPr>
        <w:t xml:space="preserve">The interactions governing </w:t>
      </w:r>
      <w:r>
        <w:rPr>
          <w:rFonts w:cs="Times New Roman"/>
          <w:szCs w:val="24"/>
        </w:rPr>
        <w:t>these relationships are therefore important to explore</w:t>
      </w:r>
      <w:r w:rsidR="00C86215">
        <w:rPr>
          <w:rFonts w:cs="Times New Roman"/>
          <w:szCs w:val="24"/>
        </w:rPr>
        <w:t xml:space="preserve"> further in depth</w:t>
      </w:r>
      <w:r>
        <w:rPr>
          <w:rFonts w:cs="Times New Roman"/>
          <w:szCs w:val="24"/>
        </w:rPr>
        <w:t xml:space="preserve">, both in natural and industrial settings. </w:t>
      </w:r>
      <w:r>
        <w:rPr>
          <w:rFonts w:cs="Times New Roman"/>
          <w:b/>
          <w:bCs/>
          <w:color w:val="FF0000"/>
          <w:szCs w:val="24"/>
        </w:rPr>
        <w:t xml:space="preserve"> </w:t>
      </w:r>
      <w:r w:rsidR="00205659" w:rsidRPr="00833CE8">
        <w:rPr>
          <w:rFonts w:cs="Times New Roman"/>
          <w:szCs w:val="24"/>
        </w:rPr>
        <w:t xml:space="preserve">The primary interactions </w:t>
      </w:r>
      <w:r w:rsidR="00C85057">
        <w:rPr>
          <w:rFonts w:cs="Times New Roman"/>
          <w:szCs w:val="24"/>
        </w:rPr>
        <w:t xml:space="preserve">that have been identified can be classified into </w:t>
      </w:r>
      <w:r w:rsidR="00205659" w:rsidRPr="00833CE8">
        <w:rPr>
          <w:rFonts w:cs="Times New Roman"/>
          <w:szCs w:val="24"/>
        </w:rPr>
        <w:t xml:space="preserve">nutrient exchange and </w:t>
      </w:r>
      <w:r w:rsidR="00C85057">
        <w:rPr>
          <w:rFonts w:cs="Times New Roman"/>
          <w:szCs w:val="24"/>
        </w:rPr>
        <w:t xml:space="preserve">signalling molecules such as </w:t>
      </w:r>
      <w:r w:rsidR="00C86215">
        <w:rPr>
          <w:rFonts w:cs="Times New Roman"/>
          <w:szCs w:val="24"/>
        </w:rPr>
        <w:t>QS</w:t>
      </w:r>
      <w:r w:rsidR="00C85057">
        <w:rPr>
          <w:rFonts w:cs="Times New Roman"/>
          <w:szCs w:val="24"/>
        </w:rPr>
        <w:t xml:space="preserve"> molecules and phytohormones</w:t>
      </w:r>
      <w:r w:rsidR="00205659" w:rsidRPr="00833CE8">
        <w:rPr>
          <w:rFonts w:cs="Times New Roman"/>
          <w:szCs w:val="24"/>
        </w:rPr>
        <w:t xml:space="preserve">.  </w:t>
      </w:r>
      <w:r w:rsidR="004E5217" w:rsidRPr="00833CE8">
        <w:rPr>
          <w:rFonts w:cs="Times New Roman"/>
          <w:szCs w:val="24"/>
        </w:rPr>
        <w:t>Some of t</w:t>
      </w:r>
      <w:r w:rsidR="00205659" w:rsidRPr="00833CE8">
        <w:rPr>
          <w:rFonts w:cs="Times New Roman"/>
          <w:szCs w:val="24"/>
        </w:rPr>
        <w:t xml:space="preserve">hese relationships have been well-established, although the exact nature of these interactions </w:t>
      </w:r>
      <w:r w:rsidR="00C86215">
        <w:rPr>
          <w:rFonts w:cs="Times New Roman"/>
          <w:szCs w:val="24"/>
        </w:rPr>
        <w:t>requires further elucidation</w:t>
      </w:r>
      <w:r w:rsidR="00205659" w:rsidRPr="00833CE8">
        <w:rPr>
          <w:rFonts w:cs="Times New Roman"/>
          <w:szCs w:val="24"/>
        </w:rPr>
        <w:t>, and the mechanism</w:t>
      </w:r>
      <w:r w:rsidR="00C85057">
        <w:rPr>
          <w:rFonts w:cs="Times New Roman"/>
          <w:szCs w:val="24"/>
        </w:rPr>
        <w:t>s</w:t>
      </w:r>
      <w:r w:rsidR="00205659" w:rsidRPr="00833CE8">
        <w:rPr>
          <w:rFonts w:cs="Times New Roman"/>
          <w:szCs w:val="24"/>
        </w:rPr>
        <w:t xml:space="preserve"> by which these dynamic interactions are controlled</w:t>
      </w:r>
      <w:r w:rsidR="00C85057">
        <w:rPr>
          <w:rFonts w:cs="Times New Roman"/>
          <w:szCs w:val="24"/>
        </w:rPr>
        <w:t xml:space="preserve"> are still not well understood</w:t>
      </w:r>
      <w:r w:rsidR="00205659" w:rsidRPr="00833CE8">
        <w:rPr>
          <w:rFonts w:cs="Times New Roman"/>
          <w:szCs w:val="24"/>
        </w:rPr>
        <w:t>.</w:t>
      </w:r>
      <w:r w:rsidR="004C5FEA">
        <w:rPr>
          <w:rFonts w:cs="Times New Roman"/>
          <w:szCs w:val="24"/>
        </w:rPr>
        <w:t xml:space="preserve">  </w:t>
      </w:r>
      <w:r w:rsidR="00C85057">
        <w:rPr>
          <w:rFonts w:cs="Times New Roman"/>
          <w:szCs w:val="24"/>
        </w:rPr>
        <w:t xml:space="preserve">Some </w:t>
      </w:r>
      <w:r w:rsidR="00E11544">
        <w:rPr>
          <w:rFonts w:cs="Times New Roman"/>
          <w:szCs w:val="24"/>
        </w:rPr>
        <w:t>examples</w:t>
      </w:r>
      <w:r w:rsidR="004C5FEA">
        <w:rPr>
          <w:rFonts w:cs="Times New Roman"/>
          <w:szCs w:val="24"/>
        </w:rPr>
        <w:t xml:space="preserve"> of these interactions are shown in Table 2.</w:t>
      </w:r>
      <w:r w:rsidR="004E5217" w:rsidRPr="00833CE8">
        <w:rPr>
          <w:rFonts w:cs="Times New Roman"/>
          <w:szCs w:val="24"/>
        </w:rPr>
        <w:t xml:space="preserve">  </w:t>
      </w:r>
      <w:r w:rsidR="00205659" w:rsidRPr="00833CE8">
        <w:rPr>
          <w:rFonts w:cs="Times New Roman"/>
          <w:szCs w:val="24"/>
        </w:rPr>
        <w:t xml:space="preserve">Consortia of these microorganisms have been investigated for environmental remediation and as </w:t>
      </w:r>
      <w:r w:rsidR="00C86215">
        <w:rPr>
          <w:rFonts w:cs="Times New Roman"/>
          <w:szCs w:val="24"/>
        </w:rPr>
        <w:t xml:space="preserve">core organisms in </w:t>
      </w:r>
      <w:r w:rsidR="00205659" w:rsidRPr="00833CE8">
        <w:rPr>
          <w:rFonts w:cs="Times New Roman"/>
          <w:szCs w:val="24"/>
        </w:rPr>
        <w:t>biorefineries for bioproducts including pharmaceuticals</w:t>
      </w:r>
      <w:r w:rsidR="00906834">
        <w:rPr>
          <w:rFonts w:cs="Times New Roman"/>
          <w:szCs w:val="24"/>
        </w:rPr>
        <w:t>, biofertilizers,</w:t>
      </w:r>
      <w:r w:rsidR="00205659" w:rsidRPr="00833CE8">
        <w:rPr>
          <w:rFonts w:cs="Times New Roman"/>
          <w:szCs w:val="24"/>
        </w:rPr>
        <w:t xml:space="preserve"> and biofuels. </w:t>
      </w:r>
      <w:r w:rsidR="00B82173" w:rsidRPr="00833CE8">
        <w:rPr>
          <w:rFonts w:cs="Times New Roman"/>
          <w:szCs w:val="24"/>
        </w:rPr>
        <w:t xml:space="preserve"> Additional research is </w:t>
      </w:r>
      <w:r w:rsidR="00C85057">
        <w:rPr>
          <w:rFonts w:cs="Times New Roman"/>
          <w:szCs w:val="24"/>
        </w:rPr>
        <w:t xml:space="preserve">therefore </w:t>
      </w:r>
      <w:r w:rsidR="00B82173" w:rsidRPr="00833CE8">
        <w:rPr>
          <w:rFonts w:cs="Times New Roman"/>
          <w:szCs w:val="24"/>
        </w:rPr>
        <w:t xml:space="preserve">required to describe </w:t>
      </w:r>
      <w:r w:rsidR="00C86215">
        <w:rPr>
          <w:rFonts w:cs="Times New Roman"/>
          <w:szCs w:val="24"/>
        </w:rPr>
        <w:t xml:space="preserve">in detail </w:t>
      </w:r>
      <w:r w:rsidR="00B82173" w:rsidRPr="00833CE8">
        <w:rPr>
          <w:rFonts w:cs="Times New Roman"/>
          <w:szCs w:val="24"/>
        </w:rPr>
        <w:t xml:space="preserve">the </w:t>
      </w:r>
      <w:r w:rsidR="00C85057">
        <w:rPr>
          <w:rFonts w:cs="Times New Roman"/>
          <w:szCs w:val="24"/>
        </w:rPr>
        <w:t xml:space="preserve">molecular </w:t>
      </w:r>
      <w:r w:rsidR="00B82173" w:rsidRPr="00833CE8">
        <w:rPr>
          <w:rFonts w:cs="Times New Roman"/>
          <w:szCs w:val="24"/>
        </w:rPr>
        <w:t xml:space="preserve">interactions between microalgae and bacteria, which would be necessary for both studying marine ecosystems and </w:t>
      </w:r>
      <w:r w:rsidR="00C85057">
        <w:rPr>
          <w:rFonts w:cs="Times New Roman"/>
          <w:szCs w:val="24"/>
        </w:rPr>
        <w:t xml:space="preserve">enhancing the </w:t>
      </w:r>
      <w:r w:rsidR="00C86215">
        <w:rPr>
          <w:rFonts w:cs="Times New Roman"/>
          <w:szCs w:val="24"/>
        </w:rPr>
        <w:t>design and implementation</w:t>
      </w:r>
      <w:r w:rsidR="00C85057">
        <w:rPr>
          <w:rFonts w:cs="Times New Roman"/>
          <w:szCs w:val="24"/>
        </w:rPr>
        <w:t xml:space="preserve"> </w:t>
      </w:r>
      <w:r w:rsidR="00C86215">
        <w:rPr>
          <w:rFonts w:cs="Times New Roman"/>
          <w:szCs w:val="24"/>
        </w:rPr>
        <w:t xml:space="preserve">of </w:t>
      </w:r>
      <w:r w:rsidR="00B82173" w:rsidRPr="00833CE8">
        <w:rPr>
          <w:rFonts w:cs="Times New Roman"/>
          <w:szCs w:val="24"/>
        </w:rPr>
        <w:t>industrial consortia</w:t>
      </w:r>
      <w:bookmarkStart w:id="33" w:name="_Hlk191915160"/>
      <w:r w:rsidR="00B82173" w:rsidRPr="00B91EAB">
        <w:rPr>
          <w:rFonts w:cs="Times New Roman"/>
          <w:color w:val="FF0000"/>
          <w:szCs w:val="24"/>
        </w:rPr>
        <w:t xml:space="preserve">.  </w:t>
      </w:r>
      <w:bookmarkStart w:id="34" w:name="_Hlk191917768"/>
      <w:r w:rsidR="00B91EAB" w:rsidRPr="00B91EAB">
        <w:rPr>
          <w:rFonts w:cs="Times New Roman"/>
          <w:color w:val="FF0000"/>
          <w:szCs w:val="24"/>
        </w:rPr>
        <w:t xml:space="preserve">Novel research strategies should </w:t>
      </w:r>
      <w:r w:rsidR="00B91EAB">
        <w:rPr>
          <w:rFonts w:cs="Times New Roman"/>
          <w:color w:val="FF0000"/>
          <w:szCs w:val="24"/>
        </w:rPr>
        <w:t xml:space="preserve">include the rational design of microalgae-bacteria communities towards specific technological applications. </w:t>
      </w:r>
      <w:r w:rsidR="00F10BBA">
        <w:rPr>
          <w:rFonts w:cs="Times New Roman"/>
          <w:color w:val="FF0000"/>
          <w:szCs w:val="24"/>
        </w:rPr>
        <w:t>The</w:t>
      </w:r>
      <w:r w:rsidR="002271CC">
        <w:rPr>
          <w:rFonts w:cs="Times New Roman"/>
          <w:color w:val="FF0000"/>
          <w:szCs w:val="24"/>
        </w:rPr>
        <w:t xml:space="preserve">se </w:t>
      </w:r>
      <w:r w:rsidR="002271CC" w:rsidRPr="002271CC">
        <w:rPr>
          <w:rFonts w:cs="Times New Roman"/>
          <w:i/>
          <w:iCs/>
          <w:color w:val="FF0000"/>
          <w:szCs w:val="24"/>
        </w:rPr>
        <w:t>ab initio</w:t>
      </w:r>
      <w:r w:rsidR="002271CC">
        <w:rPr>
          <w:rFonts w:cs="Times New Roman"/>
          <w:color w:val="FF0000"/>
          <w:szCs w:val="24"/>
        </w:rPr>
        <w:t xml:space="preserve"> synthesized microalgal-bacterial consortia</w:t>
      </w:r>
      <w:r w:rsidR="00F10BBA">
        <w:rPr>
          <w:rFonts w:cs="Times New Roman"/>
          <w:color w:val="FF0000"/>
          <w:szCs w:val="24"/>
        </w:rPr>
        <w:t xml:space="preserve"> </w:t>
      </w:r>
      <w:r w:rsidR="002271CC">
        <w:rPr>
          <w:rFonts w:cs="Times New Roman"/>
          <w:color w:val="FF0000"/>
          <w:szCs w:val="24"/>
        </w:rPr>
        <w:t xml:space="preserve">are exceptionally promising in the construction of photosynthetic biorefineries with </w:t>
      </w:r>
      <w:r w:rsidR="001804E8">
        <w:rPr>
          <w:rFonts w:cs="Times New Roman"/>
          <w:color w:val="FF0000"/>
          <w:szCs w:val="24"/>
        </w:rPr>
        <w:t xml:space="preserve">potential </w:t>
      </w:r>
      <w:r w:rsidR="002271CC">
        <w:rPr>
          <w:rFonts w:cs="Times New Roman"/>
          <w:color w:val="FF0000"/>
          <w:szCs w:val="24"/>
        </w:rPr>
        <w:t xml:space="preserve">benefits both upstream (production) and downstream (harvesting). The </w:t>
      </w:r>
      <w:r w:rsidR="00F10BBA">
        <w:rPr>
          <w:rFonts w:cs="Times New Roman"/>
          <w:color w:val="FF0000"/>
          <w:szCs w:val="24"/>
        </w:rPr>
        <w:t xml:space="preserve">recent recognition of </w:t>
      </w:r>
      <w:r w:rsidR="003531ED">
        <w:rPr>
          <w:rFonts w:cs="Times New Roman"/>
          <w:color w:val="FF0000"/>
          <w:szCs w:val="24"/>
        </w:rPr>
        <w:t xml:space="preserve">the broad </w:t>
      </w:r>
      <w:proofErr w:type="spellStart"/>
      <w:r w:rsidR="003531ED">
        <w:rPr>
          <w:rFonts w:cs="Times New Roman"/>
          <w:color w:val="FF0000"/>
          <w:szCs w:val="24"/>
        </w:rPr>
        <w:t>chemodiversity</w:t>
      </w:r>
      <w:proofErr w:type="spellEnd"/>
      <w:r w:rsidR="003531ED">
        <w:rPr>
          <w:rFonts w:cs="Times New Roman"/>
          <w:color w:val="FF0000"/>
          <w:szCs w:val="24"/>
        </w:rPr>
        <w:t xml:space="preserve"> among p</w:t>
      </w:r>
      <w:r w:rsidR="00703F36">
        <w:rPr>
          <w:rFonts w:cs="Times New Roman"/>
          <w:color w:val="FF0000"/>
          <w:szCs w:val="24"/>
        </w:rPr>
        <w:t>hyto</w:t>
      </w:r>
      <w:r w:rsidR="003531ED">
        <w:rPr>
          <w:rFonts w:cs="Times New Roman"/>
          <w:color w:val="FF0000"/>
          <w:szCs w:val="24"/>
        </w:rPr>
        <w:t>hormones</w:t>
      </w:r>
      <w:r w:rsidR="00B91EAB">
        <w:rPr>
          <w:rFonts w:cs="Times New Roman"/>
          <w:color w:val="FF0000"/>
          <w:szCs w:val="24"/>
        </w:rPr>
        <w:t xml:space="preserve"> </w:t>
      </w:r>
      <w:r w:rsidR="003531ED">
        <w:rPr>
          <w:rFonts w:cs="Times New Roman"/>
          <w:color w:val="FF0000"/>
          <w:szCs w:val="24"/>
        </w:rPr>
        <w:t xml:space="preserve">produced by marine bacteria suggests the </w:t>
      </w:r>
      <w:r w:rsidR="0051688C">
        <w:rPr>
          <w:rFonts w:cs="Times New Roman"/>
          <w:color w:val="FF0000"/>
          <w:szCs w:val="24"/>
        </w:rPr>
        <w:t xml:space="preserve">targeted </w:t>
      </w:r>
      <w:r w:rsidR="003531ED">
        <w:rPr>
          <w:rFonts w:cs="Times New Roman"/>
          <w:color w:val="FF0000"/>
          <w:szCs w:val="24"/>
        </w:rPr>
        <w:t xml:space="preserve">integration of such selected bacteria in </w:t>
      </w:r>
      <w:r w:rsidR="00AE370A">
        <w:rPr>
          <w:rFonts w:cs="Times New Roman"/>
          <w:color w:val="FF0000"/>
          <w:szCs w:val="24"/>
        </w:rPr>
        <w:t xml:space="preserve">innovative </w:t>
      </w:r>
      <w:r w:rsidR="00B91EAB">
        <w:rPr>
          <w:rFonts w:cs="Times New Roman"/>
          <w:color w:val="FF0000"/>
          <w:szCs w:val="24"/>
        </w:rPr>
        <w:t>s</w:t>
      </w:r>
      <w:r w:rsidR="003531ED">
        <w:rPr>
          <w:rFonts w:cs="Times New Roman"/>
          <w:color w:val="FF0000"/>
          <w:szCs w:val="24"/>
        </w:rPr>
        <w:t xml:space="preserve">ynthetic platforms with </w:t>
      </w:r>
      <w:r w:rsidR="0051688C">
        <w:rPr>
          <w:rFonts w:cs="Times New Roman"/>
          <w:color w:val="FF0000"/>
          <w:szCs w:val="24"/>
        </w:rPr>
        <w:t xml:space="preserve">productive </w:t>
      </w:r>
      <w:r w:rsidR="003531ED">
        <w:rPr>
          <w:rFonts w:cs="Times New Roman"/>
          <w:color w:val="FF0000"/>
          <w:szCs w:val="24"/>
        </w:rPr>
        <w:t xml:space="preserve">diatoms whose growth and biosynthetic potential could be </w:t>
      </w:r>
      <w:r w:rsidR="001804E8">
        <w:rPr>
          <w:rFonts w:cs="Times New Roman"/>
          <w:color w:val="FF0000"/>
          <w:szCs w:val="24"/>
        </w:rPr>
        <w:t xml:space="preserve">strongly </w:t>
      </w:r>
      <w:r w:rsidR="00AE370A">
        <w:rPr>
          <w:rFonts w:cs="Times New Roman"/>
          <w:color w:val="FF0000"/>
          <w:szCs w:val="24"/>
        </w:rPr>
        <w:t>enhanced</w:t>
      </w:r>
      <w:r w:rsidR="003531ED">
        <w:rPr>
          <w:rFonts w:cs="Times New Roman"/>
          <w:color w:val="FF0000"/>
          <w:szCs w:val="24"/>
        </w:rPr>
        <w:t xml:space="preserve"> </w:t>
      </w:r>
      <w:r w:rsidR="00AE370A">
        <w:rPr>
          <w:rFonts w:cs="Times New Roman"/>
          <w:color w:val="FF0000"/>
          <w:szCs w:val="24"/>
        </w:rPr>
        <w:t xml:space="preserve">in </w:t>
      </w:r>
      <w:r w:rsidR="00AE370A">
        <w:rPr>
          <w:rFonts w:cs="Times New Roman"/>
          <w:color w:val="FF0000"/>
          <w:szCs w:val="24"/>
        </w:rPr>
        <w:lastRenderedPageBreak/>
        <w:t xml:space="preserve">response to the specific bacterial signalling. </w:t>
      </w:r>
      <w:r w:rsidR="002271CC">
        <w:rPr>
          <w:rFonts w:cs="Times New Roman"/>
          <w:color w:val="FF0000"/>
          <w:szCs w:val="24"/>
        </w:rPr>
        <w:t xml:space="preserve">Similarly, the aggregative lifestyle of </w:t>
      </w:r>
      <w:r w:rsidR="0051688C">
        <w:rPr>
          <w:rFonts w:cs="Times New Roman"/>
          <w:color w:val="FF0000"/>
          <w:szCs w:val="24"/>
        </w:rPr>
        <w:t>specific</w:t>
      </w:r>
      <w:r w:rsidR="002271CC">
        <w:rPr>
          <w:rFonts w:cs="Times New Roman"/>
          <w:color w:val="FF0000"/>
          <w:szCs w:val="24"/>
        </w:rPr>
        <w:t xml:space="preserve"> bacteria </w:t>
      </w:r>
      <w:r w:rsidR="0051688C">
        <w:rPr>
          <w:rFonts w:cs="Times New Roman"/>
          <w:color w:val="FF0000"/>
          <w:szCs w:val="24"/>
        </w:rPr>
        <w:t xml:space="preserve">interacting with microalgae </w:t>
      </w:r>
      <w:r w:rsidR="00B3052E">
        <w:rPr>
          <w:rFonts w:cs="Times New Roman"/>
          <w:color w:val="FF0000"/>
          <w:szCs w:val="24"/>
        </w:rPr>
        <w:t>could</w:t>
      </w:r>
      <w:r w:rsidR="002271CC">
        <w:rPr>
          <w:rFonts w:cs="Times New Roman"/>
          <w:color w:val="FF0000"/>
          <w:szCs w:val="24"/>
        </w:rPr>
        <w:t xml:space="preserve"> emerg</w:t>
      </w:r>
      <w:r w:rsidR="00B3052E">
        <w:rPr>
          <w:rFonts w:cs="Times New Roman"/>
          <w:color w:val="FF0000"/>
          <w:szCs w:val="24"/>
        </w:rPr>
        <w:t>e</w:t>
      </w:r>
      <w:r w:rsidR="002271CC">
        <w:rPr>
          <w:rFonts w:cs="Times New Roman"/>
          <w:color w:val="FF0000"/>
          <w:szCs w:val="24"/>
        </w:rPr>
        <w:t xml:space="preserve"> as a key component in </w:t>
      </w:r>
      <w:r w:rsidR="0051688C" w:rsidRPr="0051688C">
        <w:rPr>
          <w:rFonts w:cs="Times New Roman"/>
          <w:color w:val="FF0000"/>
          <w:szCs w:val="24"/>
        </w:rPr>
        <w:t>algal flocculation</w:t>
      </w:r>
      <w:r w:rsidR="0051688C">
        <w:rPr>
          <w:rFonts w:cs="Times New Roman"/>
          <w:color w:val="FF0000"/>
          <w:szCs w:val="24"/>
        </w:rPr>
        <w:t xml:space="preserve">, a process </w:t>
      </w:r>
      <w:r w:rsidR="00B3052E">
        <w:rPr>
          <w:rFonts w:cs="Times New Roman"/>
          <w:color w:val="FF0000"/>
          <w:szCs w:val="24"/>
        </w:rPr>
        <w:t xml:space="preserve">with the potential of </w:t>
      </w:r>
      <w:r w:rsidR="0051688C">
        <w:rPr>
          <w:rFonts w:cs="Times New Roman"/>
          <w:color w:val="FF0000"/>
          <w:szCs w:val="24"/>
        </w:rPr>
        <w:t xml:space="preserve">vastly improving the </w:t>
      </w:r>
      <w:r w:rsidR="00F932F6">
        <w:rPr>
          <w:rFonts w:cs="Times New Roman"/>
          <w:color w:val="FF0000"/>
          <w:szCs w:val="24"/>
        </w:rPr>
        <w:t xml:space="preserve">yield and reducing the </w:t>
      </w:r>
      <w:r w:rsidR="0051688C">
        <w:rPr>
          <w:rFonts w:cs="Times New Roman"/>
          <w:color w:val="FF0000"/>
          <w:szCs w:val="24"/>
        </w:rPr>
        <w:t xml:space="preserve">harvesting </w:t>
      </w:r>
      <w:r w:rsidR="00F932F6">
        <w:rPr>
          <w:rFonts w:cs="Times New Roman"/>
          <w:color w:val="FF0000"/>
          <w:szCs w:val="24"/>
        </w:rPr>
        <w:t xml:space="preserve">cost </w:t>
      </w:r>
      <w:r w:rsidR="0051688C">
        <w:rPr>
          <w:rFonts w:cs="Times New Roman"/>
          <w:color w:val="FF0000"/>
          <w:szCs w:val="24"/>
        </w:rPr>
        <w:t xml:space="preserve">of </w:t>
      </w:r>
      <w:r w:rsidR="00B3052E">
        <w:rPr>
          <w:rFonts w:cs="Times New Roman"/>
          <w:color w:val="FF0000"/>
          <w:szCs w:val="24"/>
        </w:rPr>
        <w:t xml:space="preserve">biomass and of </w:t>
      </w:r>
      <w:r w:rsidR="0051688C">
        <w:rPr>
          <w:rFonts w:cs="Times New Roman"/>
          <w:color w:val="FF0000"/>
          <w:szCs w:val="24"/>
        </w:rPr>
        <w:t>intracellular microalgal products</w:t>
      </w:r>
      <w:r w:rsidR="00F932F6">
        <w:rPr>
          <w:rFonts w:cs="Times New Roman"/>
          <w:color w:val="FF0000"/>
          <w:szCs w:val="24"/>
        </w:rPr>
        <w:t xml:space="preserve">. </w:t>
      </w:r>
      <w:r w:rsidR="00F932F6" w:rsidRPr="00024D25">
        <w:rPr>
          <w:rFonts w:cs="Times New Roman"/>
          <w:color w:val="FF0000"/>
          <w:szCs w:val="24"/>
        </w:rPr>
        <w:t>T</w:t>
      </w:r>
      <w:r w:rsidR="00C85057" w:rsidRPr="00024D25">
        <w:rPr>
          <w:rFonts w:cs="Times New Roman"/>
          <w:color w:val="FF0000"/>
          <w:szCs w:val="24"/>
        </w:rPr>
        <w:t xml:space="preserve">he use of </w:t>
      </w:r>
      <w:r w:rsidR="00B82173" w:rsidRPr="00024D25">
        <w:rPr>
          <w:rFonts w:cs="Times New Roman"/>
          <w:color w:val="FF0000"/>
          <w:szCs w:val="24"/>
        </w:rPr>
        <w:t xml:space="preserve">synthetic </w:t>
      </w:r>
      <w:r w:rsidR="00524BF3" w:rsidRPr="00024D25">
        <w:rPr>
          <w:rFonts w:cs="Times New Roman"/>
          <w:color w:val="FF0000"/>
          <w:szCs w:val="24"/>
        </w:rPr>
        <w:t>ecolog</w:t>
      </w:r>
      <w:r w:rsidR="004143AC" w:rsidRPr="00024D25">
        <w:rPr>
          <w:rFonts w:cs="Times New Roman"/>
          <w:color w:val="FF0000"/>
          <w:szCs w:val="24"/>
        </w:rPr>
        <w:t>y premises with artificial algal-bacterial communities</w:t>
      </w:r>
      <w:r w:rsidR="00B82173" w:rsidRPr="00024D25">
        <w:rPr>
          <w:rFonts w:cs="Times New Roman"/>
          <w:color w:val="FF0000"/>
          <w:szCs w:val="24"/>
        </w:rPr>
        <w:t xml:space="preserve"> designed for specific </w:t>
      </w:r>
      <w:r w:rsidR="00024D25">
        <w:rPr>
          <w:rFonts w:cs="Times New Roman"/>
          <w:color w:val="FF0000"/>
          <w:szCs w:val="24"/>
        </w:rPr>
        <w:t>technological goal</w:t>
      </w:r>
      <w:r w:rsidR="00F932F6" w:rsidRPr="00024D25">
        <w:rPr>
          <w:rFonts w:cs="Times New Roman"/>
          <w:color w:val="FF0000"/>
          <w:szCs w:val="24"/>
        </w:rPr>
        <w:t>s</w:t>
      </w:r>
      <w:r w:rsidR="00B82173" w:rsidRPr="00024D25">
        <w:rPr>
          <w:rFonts w:cs="Times New Roman"/>
          <w:color w:val="FF0000"/>
          <w:szCs w:val="24"/>
        </w:rPr>
        <w:t xml:space="preserve">, instead of </w:t>
      </w:r>
      <w:r w:rsidR="00F932F6" w:rsidRPr="00024D25">
        <w:rPr>
          <w:rFonts w:cs="Times New Roman"/>
          <w:color w:val="FF0000"/>
          <w:szCs w:val="24"/>
        </w:rPr>
        <w:t xml:space="preserve">relying on </w:t>
      </w:r>
      <w:r w:rsidR="00B82173" w:rsidRPr="00024D25">
        <w:rPr>
          <w:rFonts w:cs="Times New Roman"/>
          <w:color w:val="FF0000"/>
          <w:szCs w:val="24"/>
        </w:rPr>
        <w:t xml:space="preserve">modified natural </w:t>
      </w:r>
      <w:r w:rsidR="00A0086D" w:rsidRPr="00024D25">
        <w:rPr>
          <w:rFonts w:cs="Times New Roman"/>
          <w:color w:val="FF0000"/>
          <w:szCs w:val="24"/>
        </w:rPr>
        <w:t>assemblages</w:t>
      </w:r>
      <w:r w:rsidR="00C85057" w:rsidRPr="00024D25">
        <w:rPr>
          <w:rFonts w:cs="Times New Roman"/>
          <w:color w:val="FF0000"/>
          <w:szCs w:val="24"/>
        </w:rPr>
        <w:t>, offers a</w:t>
      </w:r>
      <w:r w:rsidR="00B3052E" w:rsidRPr="00024D25">
        <w:rPr>
          <w:rFonts w:cs="Times New Roman"/>
          <w:color w:val="FF0000"/>
          <w:szCs w:val="24"/>
        </w:rPr>
        <w:t xml:space="preserve">n exciting new </w:t>
      </w:r>
      <w:r w:rsidR="004A10E7" w:rsidRPr="00024D25">
        <w:rPr>
          <w:rFonts w:cs="Times New Roman"/>
          <w:color w:val="FF0000"/>
          <w:szCs w:val="24"/>
        </w:rPr>
        <w:t xml:space="preserve">approach to the design of </w:t>
      </w:r>
      <w:r w:rsidR="001804E8">
        <w:rPr>
          <w:rFonts w:cs="Times New Roman"/>
          <w:color w:val="FF0000"/>
          <w:szCs w:val="24"/>
        </w:rPr>
        <w:t xml:space="preserve">customized </w:t>
      </w:r>
      <w:r w:rsidR="004A10E7" w:rsidRPr="00024D25">
        <w:rPr>
          <w:rFonts w:cs="Times New Roman"/>
          <w:color w:val="FF0000"/>
          <w:szCs w:val="24"/>
        </w:rPr>
        <w:t>microalgae-bacteria consortia</w:t>
      </w:r>
      <w:r w:rsidR="00024D25" w:rsidRPr="00024D25">
        <w:rPr>
          <w:rFonts w:cs="Times New Roman"/>
          <w:color w:val="FF0000"/>
          <w:szCs w:val="24"/>
        </w:rPr>
        <w:t xml:space="preserve"> for multifaceted applications</w:t>
      </w:r>
      <w:r w:rsidR="00B82173" w:rsidRPr="00833CE8">
        <w:rPr>
          <w:rFonts w:cs="Times New Roman"/>
          <w:szCs w:val="24"/>
        </w:rPr>
        <w:t>.</w:t>
      </w:r>
      <w:r w:rsidR="00955EC1" w:rsidRPr="00833CE8">
        <w:rPr>
          <w:rFonts w:cs="Times New Roman"/>
          <w:szCs w:val="24"/>
        </w:rPr>
        <w:t xml:space="preserve"> </w:t>
      </w:r>
      <w:r w:rsidR="00024D25" w:rsidRPr="007B6438">
        <w:rPr>
          <w:rFonts w:cs="Times New Roman"/>
          <w:color w:val="FF0000"/>
          <w:szCs w:val="24"/>
        </w:rPr>
        <w:t>For instance</w:t>
      </w:r>
      <w:r w:rsidR="007B6438" w:rsidRPr="007B6438">
        <w:rPr>
          <w:rFonts w:cs="Times New Roman"/>
          <w:color w:val="FF0000"/>
          <w:szCs w:val="24"/>
        </w:rPr>
        <w:t xml:space="preserve">, an advanced </w:t>
      </w:r>
      <w:r w:rsidR="007B6438">
        <w:rPr>
          <w:rFonts w:cs="Times New Roman"/>
          <w:color w:val="FF0000"/>
          <w:szCs w:val="24"/>
        </w:rPr>
        <w:t xml:space="preserve">design of a </w:t>
      </w:r>
      <w:r w:rsidR="00024D25" w:rsidRPr="007B6438">
        <w:rPr>
          <w:rFonts w:cs="Times New Roman"/>
          <w:color w:val="FF0000"/>
          <w:szCs w:val="24"/>
        </w:rPr>
        <w:t xml:space="preserve">microbial fuel cell </w:t>
      </w:r>
      <w:r w:rsidR="00B3052E" w:rsidRPr="007B6438">
        <w:rPr>
          <w:rFonts w:cs="Times New Roman"/>
          <w:color w:val="FF0000"/>
          <w:szCs w:val="24"/>
        </w:rPr>
        <w:t xml:space="preserve">ecosystem may </w:t>
      </w:r>
      <w:r w:rsidR="007B6438" w:rsidRPr="007B6438">
        <w:rPr>
          <w:rFonts w:cs="Times New Roman"/>
          <w:color w:val="FF0000"/>
          <w:szCs w:val="24"/>
        </w:rPr>
        <w:t>incorporate</w:t>
      </w:r>
      <w:r w:rsidR="00B3052E" w:rsidRPr="007B6438">
        <w:rPr>
          <w:rFonts w:cs="Times New Roman"/>
          <w:color w:val="FF0000"/>
          <w:szCs w:val="24"/>
        </w:rPr>
        <w:t xml:space="preserve"> </w:t>
      </w:r>
      <w:r w:rsidR="00024D25" w:rsidRPr="007B6438">
        <w:rPr>
          <w:rFonts w:cs="Times New Roman"/>
          <w:color w:val="FF0000"/>
          <w:szCs w:val="24"/>
        </w:rPr>
        <w:t xml:space="preserve">an electrogenic bacterial component </w:t>
      </w:r>
      <w:r w:rsidR="007B6438">
        <w:rPr>
          <w:rFonts w:cs="Times New Roman"/>
          <w:color w:val="FF0000"/>
          <w:szCs w:val="24"/>
        </w:rPr>
        <w:t xml:space="preserve">interacting with </w:t>
      </w:r>
      <w:r w:rsidR="00024D25" w:rsidRPr="007B6438">
        <w:rPr>
          <w:rFonts w:cs="Times New Roman"/>
          <w:color w:val="FF0000"/>
          <w:szCs w:val="24"/>
        </w:rPr>
        <w:t xml:space="preserve">a photosynthetic </w:t>
      </w:r>
      <w:r w:rsidR="007B6438" w:rsidRPr="007B6438">
        <w:rPr>
          <w:rFonts w:cs="Times New Roman"/>
          <w:color w:val="FF0000"/>
          <w:szCs w:val="24"/>
        </w:rPr>
        <w:t xml:space="preserve">algal </w:t>
      </w:r>
      <w:r w:rsidR="00024D25" w:rsidRPr="007B6438">
        <w:rPr>
          <w:rFonts w:cs="Times New Roman"/>
          <w:color w:val="FF0000"/>
          <w:szCs w:val="24"/>
        </w:rPr>
        <w:t xml:space="preserve">component for concurrent </w:t>
      </w:r>
      <w:r w:rsidR="00024D25" w:rsidRPr="007B6438">
        <w:rPr>
          <w:rFonts w:cs="Times New Roman"/>
          <w:color w:val="FF0000"/>
          <w:szCs w:val="24"/>
        </w:rPr>
        <w:t>electricity generation and effluent purification</w:t>
      </w:r>
      <w:r w:rsidR="007B6438" w:rsidRPr="007B6438">
        <w:rPr>
          <w:rFonts w:cs="Times New Roman"/>
          <w:color w:val="FF0000"/>
          <w:szCs w:val="24"/>
        </w:rPr>
        <w:t xml:space="preserve"> and/or high value-added bioproduct formation</w:t>
      </w:r>
      <w:r w:rsidR="00024D25" w:rsidRPr="007B6438">
        <w:rPr>
          <w:rFonts w:cs="Times New Roman"/>
          <w:color w:val="FF0000"/>
          <w:szCs w:val="24"/>
        </w:rPr>
        <w:t>.</w:t>
      </w:r>
      <w:bookmarkEnd w:id="33"/>
      <w:r w:rsidR="007B6438">
        <w:rPr>
          <w:rFonts w:cs="Times New Roman"/>
          <w:szCs w:val="24"/>
        </w:rPr>
        <w:t xml:space="preserve"> </w:t>
      </w:r>
      <w:r w:rsidR="00F807F1" w:rsidRPr="006460A2">
        <w:rPr>
          <w:rFonts w:cs="Times New Roman"/>
          <w:color w:val="FF0000"/>
          <w:szCs w:val="24"/>
        </w:rPr>
        <w:t xml:space="preserve">However, there are still </w:t>
      </w:r>
      <w:r w:rsidR="002233FE" w:rsidRPr="006460A2">
        <w:rPr>
          <w:rFonts w:cs="Times New Roman"/>
          <w:color w:val="FF0000"/>
          <w:szCs w:val="24"/>
        </w:rPr>
        <w:t>several</w:t>
      </w:r>
      <w:r w:rsidR="00F807F1" w:rsidRPr="006460A2">
        <w:rPr>
          <w:rFonts w:cs="Times New Roman"/>
          <w:color w:val="FF0000"/>
          <w:szCs w:val="24"/>
        </w:rPr>
        <w:t xml:space="preserve"> challenges for scaling up these systems for </w:t>
      </w:r>
      <w:r w:rsidR="00020687" w:rsidRPr="006460A2">
        <w:rPr>
          <w:rFonts w:cs="Times New Roman"/>
          <w:color w:val="FF0000"/>
          <w:szCs w:val="24"/>
        </w:rPr>
        <w:t>industrial use</w:t>
      </w:r>
      <w:r w:rsidR="00F807F1" w:rsidRPr="006460A2">
        <w:rPr>
          <w:rFonts w:cs="Times New Roman"/>
          <w:color w:val="FF0000"/>
          <w:szCs w:val="24"/>
        </w:rPr>
        <w:t xml:space="preserve">, </w:t>
      </w:r>
      <w:r w:rsidR="002233FE" w:rsidRPr="006460A2">
        <w:rPr>
          <w:rFonts w:cs="Times New Roman"/>
          <w:color w:val="FF0000"/>
          <w:szCs w:val="24"/>
        </w:rPr>
        <w:t xml:space="preserve">planktonic </w:t>
      </w:r>
      <w:r w:rsidR="00F807F1" w:rsidRPr="006460A2">
        <w:rPr>
          <w:rFonts w:cs="Times New Roman"/>
          <w:color w:val="FF0000"/>
          <w:szCs w:val="24"/>
        </w:rPr>
        <w:t>algal-bacterial communities</w:t>
      </w:r>
      <w:r w:rsidR="002233FE" w:rsidRPr="006460A2">
        <w:rPr>
          <w:rFonts w:cs="Times New Roman"/>
          <w:color w:val="FF0000"/>
          <w:szCs w:val="24"/>
        </w:rPr>
        <w:t xml:space="preserve"> in</w:t>
      </w:r>
      <w:r w:rsidR="00F807F1" w:rsidRPr="006460A2">
        <w:rPr>
          <w:rFonts w:cs="Times New Roman"/>
          <w:color w:val="FF0000"/>
          <w:szCs w:val="24"/>
        </w:rPr>
        <w:t xml:space="preserve"> </w:t>
      </w:r>
      <w:r w:rsidR="002233FE" w:rsidRPr="006460A2">
        <w:rPr>
          <w:rFonts w:cs="Times New Roman"/>
          <w:color w:val="FF0000"/>
          <w:szCs w:val="24"/>
        </w:rPr>
        <w:t xml:space="preserve">a </w:t>
      </w:r>
      <w:r w:rsidR="004C26E3" w:rsidRPr="006460A2">
        <w:rPr>
          <w:rFonts w:cs="Times New Roman"/>
          <w:color w:val="FF0000"/>
          <w:szCs w:val="24"/>
        </w:rPr>
        <w:t xml:space="preserve">laboratory </w:t>
      </w:r>
      <w:r w:rsidR="002233FE" w:rsidRPr="006460A2">
        <w:rPr>
          <w:rFonts w:cs="Times New Roman"/>
          <w:color w:val="FF0000"/>
          <w:szCs w:val="24"/>
        </w:rPr>
        <w:t xml:space="preserve">setting </w:t>
      </w:r>
      <w:r w:rsidR="00F807F1" w:rsidRPr="006460A2">
        <w:rPr>
          <w:rFonts w:cs="Times New Roman"/>
          <w:color w:val="FF0000"/>
          <w:szCs w:val="24"/>
        </w:rPr>
        <w:t>being too simple and homogen</w:t>
      </w:r>
      <w:r w:rsidR="004C26E3" w:rsidRPr="006460A2">
        <w:rPr>
          <w:rFonts w:cs="Times New Roman"/>
          <w:color w:val="FF0000"/>
          <w:szCs w:val="24"/>
        </w:rPr>
        <w:t>e</w:t>
      </w:r>
      <w:r w:rsidR="00F807F1" w:rsidRPr="006460A2">
        <w:rPr>
          <w:rFonts w:cs="Times New Roman"/>
          <w:color w:val="FF0000"/>
          <w:szCs w:val="24"/>
        </w:rPr>
        <w:t>ous</w:t>
      </w:r>
      <w:r w:rsidR="004C26E3" w:rsidRPr="006460A2">
        <w:rPr>
          <w:rFonts w:cs="Times New Roman"/>
          <w:color w:val="FF0000"/>
          <w:szCs w:val="24"/>
        </w:rPr>
        <w:t>, as well as the use of including artificial media that may not mirror a real-world environment</w:t>
      </w:r>
      <w:r w:rsidR="00F807F1" w:rsidRPr="006460A2">
        <w:rPr>
          <w:rFonts w:cs="Times New Roman"/>
          <w:color w:val="FF0000"/>
          <w:szCs w:val="24"/>
        </w:rPr>
        <w:t xml:space="preserve">.  The use of algae-bacteria biofilms </w:t>
      </w:r>
      <w:r w:rsidR="004C26E3" w:rsidRPr="006460A2">
        <w:rPr>
          <w:rFonts w:cs="Times New Roman"/>
          <w:color w:val="FF0000"/>
          <w:szCs w:val="24"/>
        </w:rPr>
        <w:t xml:space="preserve">as well as modelling and optimization </w:t>
      </w:r>
      <w:r w:rsidR="00F807F1" w:rsidRPr="006460A2">
        <w:rPr>
          <w:rFonts w:cs="Times New Roman"/>
          <w:color w:val="FF0000"/>
          <w:szCs w:val="24"/>
        </w:rPr>
        <w:t xml:space="preserve">tools may help to improve the use of these consortia in an industrial </w:t>
      </w:r>
      <w:r w:rsidR="00632910">
        <w:rPr>
          <w:rFonts w:cs="Times New Roman"/>
          <w:color w:val="FF0000"/>
          <w:szCs w:val="24"/>
        </w:rPr>
        <w:t>or site bioremediation setting</w:t>
      </w:r>
      <w:r w:rsidR="00F807F1" w:rsidRPr="006460A2">
        <w:rPr>
          <w:rFonts w:cs="Times New Roman"/>
          <w:color w:val="FF0000"/>
          <w:szCs w:val="24"/>
        </w:rPr>
        <w:t>.</w:t>
      </w:r>
      <w:r w:rsidR="002233FE" w:rsidRPr="006460A2">
        <w:rPr>
          <w:rFonts w:cs="Times New Roman"/>
          <w:color w:val="FF0000"/>
          <w:szCs w:val="24"/>
        </w:rPr>
        <w:t xml:space="preserve"> For example,</w:t>
      </w:r>
      <w:r w:rsidR="006460A2" w:rsidRPr="006460A2">
        <w:rPr>
          <w:rFonts w:cs="Times New Roman"/>
          <w:color w:val="FF0000"/>
          <w:szCs w:val="24"/>
        </w:rPr>
        <w:t xml:space="preserve"> a novel approach to address the daunting challenge of microplastics in the environment should consider the fact that t</w:t>
      </w:r>
      <w:r w:rsidR="006460A2" w:rsidRPr="006460A2">
        <w:rPr>
          <w:rFonts w:cs="Times New Roman"/>
          <w:color w:val="FF0000"/>
          <w:szCs w:val="24"/>
        </w:rPr>
        <w:t>he plastispheres (</w:t>
      </w:r>
      <w:r w:rsidR="006460A2">
        <w:rPr>
          <w:rFonts w:cs="Times New Roman"/>
          <w:color w:val="FF0000"/>
          <w:szCs w:val="24"/>
        </w:rPr>
        <w:t xml:space="preserve">biofilm-like </w:t>
      </w:r>
      <w:r w:rsidR="006460A2" w:rsidRPr="006460A2">
        <w:rPr>
          <w:rFonts w:cs="Times New Roman"/>
          <w:color w:val="FF0000"/>
          <w:szCs w:val="24"/>
        </w:rPr>
        <w:t xml:space="preserve">assemblages of organisms that naturally develop on plastics) rely on </w:t>
      </w:r>
      <w:r w:rsidR="006460A2">
        <w:rPr>
          <w:rFonts w:cs="Times New Roman"/>
          <w:color w:val="FF0000"/>
          <w:szCs w:val="24"/>
        </w:rPr>
        <w:t xml:space="preserve">ecological </w:t>
      </w:r>
      <w:r w:rsidR="006460A2" w:rsidRPr="006460A2">
        <w:rPr>
          <w:rFonts w:cs="Times New Roman"/>
          <w:color w:val="FF0000"/>
          <w:szCs w:val="24"/>
        </w:rPr>
        <w:t>interaction</w:t>
      </w:r>
      <w:r w:rsidR="006460A2">
        <w:rPr>
          <w:rFonts w:cs="Times New Roman"/>
          <w:color w:val="FF0000"/>
          <w:szCs w:val="24"/>
        </w:rPr>
        <w:t xml:space="preserve"> mechanism</w:t>
      </w:r>
      <w:r w:rsidR="006460A2" w:rsidRPr="006460A2">
        <w:rPr>
          <w:rFonts w:cs="Times New Roman"/>
          <w:color w:val="FF0000"/>
          <w:szCs w:val="24"/>
        </w:rPr>
        <w:t xml:space="preserve">s between </w:t>
      </w:r>
      <w:r w:rsidR="006460A2" w:rsidRPr="006460A2">
        <w:rPr>
          <w:rFonts w:cs="Times New Roman"/>
          <w:color w:val="FF0000"/>
          <w:szCs w:val="24"/>
        </w:rPr>
        <w:t>bacteria and microalgae.</w:t>
      </w:r>
      <w:bookmarkEnd w:id="34"/>
    </w:p>
    <w:p w14:paraId="0F61D430" w14:textId="4BAA43E4" w:rsidR="00887DFD" w:rsidRPr="006A2B4C" w:rsidRDefault="00887DFD" w:rsidP="006A2B4C">
      <w:pPr>
        <w:snapToGrid w:val="0"/>
        <w:spacing w:after="120" w:line="276" w:lineRule="auto"/>
        <w:jc w:val="both"/>
        <w:rPr>
          <w:rFonts w:cs="Times New Roman"/>
          <w:b/>
          <w:bCs/>
          <w:szCs w:val="24"/>
          <w:lang w:eastAsia="zh-CN"/>
        </w:rPr>
      </w:pPr>
      <w:r w:rsidRPr="00833CE8">
        <w:rPr>
          <w:rFonts w:cs="Times New Roman"/>
          <w:b/>
          <w:bCs/>
          <w:szCs w:val="24"/>
          <w:lang w:eastAsia="zh-CN"/>
        </w:rPr>
        <w:t xml:space="preserve">Table </w:t>
      </w:r>
      <w:r w:rsidR="004C5FEA">
        <w:rPr>
          <w:rFonts w:cs="Times New Roman"/>
          <w:b/>
          <w:bCs/>
          <w:szCs w:val="24"/>
          <w:lang w:eastAsia="zh-CN"/>
        </w:rPr>
        <w:t>2</w:t>
      </w:r>
      <w:r w:rsidRPr="00833CE8">
        <w:rPr>
          <w:rFonts w:cs="Times New Roman"/>
          <w:b/>
          <w:bCs/>
          <w:szCs w:val="24"/>
          <w:lang w:eastAsia="zh-CN"/>
        </w:rPr>
        <w:t xml:space="preserve">.  </w:t>
      </w:r>
      <w:r w:rsidRPr="00833CE8">
        <w:rPr>
          <w:rFonts w:cs="Times New Roman"/>
          <w:szCs w:val="24"/>
          <w:lang w:eastAsia="zh-CN"/>
        </w:rPr>
        <w:t>Se</w:t>
      </w:r>
      <w:r w:rsidR="00A664F5">
        <w:rPr>
          <w:rFonts w:cs="Times New Roman"/>
          <w:szCs w:val="24"/>
          <w:lang w:eastAsia="zh-CN"/>
        </w:rPr>
        <w:t>lected</w:t>
      </w:r>
      <w:r w:rsidRPr="00833CE8">
        <w:rPr>
          <w:rFonts w:cs="Times New Roman"/>
          <w:szCs w:val="24"/>
          <w:lang w:eastAsia="zh-CN"/>
        </w:rPr>
        <w:t xml:space="preserve"> examples of symbiotic relationships between microalgae and bacteria in marine environments</w:t>
      </w:r>
      <w:r w:rsidR="00222A63">
        <w:rPr>
          <w:rFonts w:cs="Times New Roman"/>
          <w:szCs w:val="24"/>
          <w:lang w:eastAsia="zh-CN"/>
        </w:rPr>
        <w:t>.</w:t>
      </w:r>
    </w:p>
    <w:tbl>
      <w:tblPr>
        <w:tblStyle w:val="GridTable5Dark-Accent1"/>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ECFF"/>
        <w:tblLayout w:type="fixed"/>
        <w:tblLook w:val="04A0" w:firstRow="1" w:lastRow="0" w:firstColumn="1" w:lastColumn="0" w:noHBand="0" w:noVBand="1"/>
      </w:tblPr>
      <w:tblGrid>
        <w:gridCol w:w="2122"/>
        <w:gridCol w:w="1842"/>
        <w:gridCol w:w="1985"/>
        <w:gridCol w:w="1843"/>
        <w:gridCol w:w="1558"/>
      </w:tblGrid>
      <w:tr w:rsidR="00013930" w:rsidRPr="00833CE8" w14:paraId="34E854F7" w14:textId="5FD35752" w:rsidTr="00901C44">
        <w:trPr>
          <w:cnfStyle w:val="100000000000" w:firstRow="1" w:lastRow="0" w:firstColumn="0" w:lastColumn="0" w:oddVBand="0" w:evenVBand="0" w:oddHBand="0" w:evenHBand="0" w:firstRowFirstColumn="0" w:firstRowLastColumn="0" w:lastRowFirstColumn="0" w:lastRowLastColumn="0"/>
          <w:trHeight w:val="558"/>
          <w:jc w:val="center"/>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0000FF"/>
              <w:left w:val="single" w:sz="4" w:space="0" w:color="0000FF"/>
              <w:bottom w:val="single" w:sz="4" w:space="0" w:color="auto"/>
            </w:tcBorders>
            <w:shd w:val="clear" w:color="auto" w:fill="0432FF"/>
            <w:vAlign w:val="center"/>
          </w:tcPr>
          <w:p w14:paraId="3715F3A1" w14:textId="77777777" w:rsidR="00013930" w:rsidRPr="00833CE8" w:rsidRDefault="00013930" w:rsidP="000434C8">
            <w:pPr>
              <w:snapToGrid w:val="0"/>
              <w:jc w:val="center"/>
              <w:rPr>
                <w:rFonts w:cs="Times New Roman"/>
                <w:lang w:val="en-CA"/>
              </w:rPr>
            </w:pPr>
            <w:r w:rsidRPr="00833CE8">
              <w:rPr>
                <w:rStyle w:val="html-italic"/>
                <w:rFonts w:cs="Times New Roman"/>
                <w:lang w:val="en-CA"/>
              </w:rPr>
              <w:t>Bacteria</w:t>
            </w:r>
          </w:p>
        </w:tc>
        <w:tc>
          <w:tcPr>
            <w:tcW w:w="1842" w:type="dxa"/>
            <w:tcBorders>
              <w:top w:val="single" w:sz="4" w:space="0" w:color="0000FF"/>
              <w:bottom w:val="single" w:sz="4" w:space="0" w:color="auto"/>
              <w:right w:val="single" w:sz="4" w:space="0" w:color="0000FF"/>
            </w:tcBorders>
            <w:shd w:val="clear" w:color="auto" w:fill="0432FF"/>
            <w:vAlign w:val="center"/>
          </w:tcPr>
          <w:p w14:paraId="6030382F" w14:textId="77777777" w:rsidR="00013930" w:rsidRPr="00833CE8" w:rsidRDefault="00013930" w:rsidP="000434C8">
            <w:pPr>
              <w:snapToGrid w:val="0"/>
              <w:jc w:val="center"/>
              <w:cnfStyle w:val="100000000000" w:firstRow="1" w:lastRow="0" w:firstColumn="0" w:lastColumn="0" w:oddVBand="0" w:evenVBand="0" w:oddHBand="0" w:evenHBand="0" w:firstRowFirstColumn="0" w:firstRowLastColumn="0" w:lastRowFirstColumn="0" w:lastRowLastColumn="0"/>
              <w:rPr>
                <w:rFonts w:cs="Times New Roman"/>
                <w:lang w:val="en-CA"/>
              </w:rPr>
            </w:pPr>
            <w:r w:rsidRPr="00833CE8">
              <w:rPr>
                <w:rStyle w:val="html-italic"/>
                <w:rFonts w:cs="Times New Roman"/>
                <w:lang w:val="en-CA"/>
              </w:rPr>
              <w:t>Algae</w:t>
            </w:r>
          </w:p>
        </w:tc>
        <w:tc>
          <w:tcPr>
            <w:tcW w:w="1985" w:type="dxa"/>
            <w:tcBorders>
              <w:top w:val="single" w:sz="4" w:space="0" w:color="0000FF"/>
              <w:bottom w:val="single" w:sz="4" w:space="0" w:color="auto"/>
              <w:right w:val="single" w:sz="4" w:space="0" w:color="0000FF"/>
            </w:tcBorders>
            <w:shd w:val="clear" w:color="auto" w:fill="0432FF"/>
            <w:vAlign w:val="center"/>
          </w:tcPr>
          <w:p w14:paraId="16777BDA" w14:textId="248A626B" w:rsidR="00013930" w:rsidRPr="00833CE8" w:rsidRDefault="00013930" w:rsidP="00887DFD">
            <w:pPr>
              <w:snapToGrid w:val="0"/>
              <w:jc w:val="center"/>
              <w:cnfStyle w:val="100000000000" w:firstRow="1" w:lastRow="0" w:firstColumn="0" w:lastColumn="0" w:oddVBand="0" w:evenVBand="0" w:oddHBand="0" w:evenHBand="0" w:firstRowFirstColumn="0" w:firstRowLastColumn="0" w:lastRowFirstColumn="0" w:lastRowLastColumn="0"/>
              <w:rPr>
                <w:rStyle w:val="html-italic"/>
                <w:rFonts w:cs="Times New Roman"/>
                <w:lang w:val="en-CA"/>
              </w:rPr>
            </w:pPr>
            <w:r>
              <w:rPr>
                <w:rStyle w:val="html-italic"/>
                <w:rFonts w:cs="Times New Roman"/>
                <w:lang w:val="en-CA"/>
              </w:rPr>
              <w:t xml:space="preserve">Bacterial </w:t>
            </w:r>
            <w:r w:rsidR="00901C44">
              <w:rPr>
                <w:rStyle w:val="html-italic"/>
                <w:rFonts w:cs="Times New Roman"/>
                <w:lang w:val="en-CA"/>
              </w:rPr>
              <w:t>Functions</w:t>
            </w:r>
          </w:p>
        </w:tc>
        <w:tc>
          <w:tcPr>
            <w:tcW w:w="1843" w:type="dxa"/>
            <w:tcBorders>
              <w:top w:val="single" w:sz="4" w:space="0" w:color="0000FF"/>
              <w:bottom w:val="single" w:sz="4" w:space="0" w:color="auto"/>
            </w:tcBorders>
            <w:shd w:val="clear" w:color="auto" w:fill="0432FF"/>
          </w:tcPr>
          <w:p w14:paraId="12C268A0" w14:textId="77777777" w:rsidR="00901C44" w:rsidRDefault="00013930" w:rsidP="00FC0005">
            <w:pPr>
              <w:snapToGrid w:val="0"/>
              <w:jc w:val="center"/>
              <w:cnfStyle w:val="100000000000" w:firstRow="1" w:lastRow="0" w:firstColumn="0" w:lastColumn="0" w:oddVBand="0" w:evenVBand="0" w:oddHBand="0" w:evenHBand="0" w:firstRowFirstColumn="0" w:firstRowLastColumn="0" w:lastRowFirstColumn="0" w:lastRowLastColumn="0"/>
              <w:rPr>
                <w:rStyle w:val="html-italic"/>
                <w:rFonts w:cs="Times New Roman"/>
                <w:b w:val="0"/>
                <w:bCs w:val="0"/>
                <w:lang w:val="en-CA"/>
              </w:rPr>
            </w:pPr>
            <w:r>
              <w:rPr>
                <w:rStyle w:val="html-italic"/>
                <w:rFonts w:cs="Times New Roman"/>
                <w:lang w:val="en-CA"/>
              </w:rPr>
              <w:t>Alga</w:t>
            </w:r>
            <w:r w:rsidR="00901C44">
              <w:rPr>
                <w:rStyle w:val="html-italic"/>
                <w:rFonts w:cs="Times New Roman"/>
                <w:lang w:val="en-CA"/>
              </w:rPr>
              <w:t>l</w:t>
            </w:r>
          </w:p>
          <w:p w14:paraId="35EBFA75" w14:textId="7285D17C" w:rsidR="00013930" w:rsidRPr="00833CE8" w:rsidRDefault="00901C44" w:rsidP="00FC0005">
            <w:pPr>
              <w:snapToGrid w:val="0"/>
              <w:jc w:val="center"/>
              <w:cnfStyle w:val="100000000000" w:firstRow="1" w:lastRow="0" w:firstColumn="0" w:lastColumn="0" w:oddVBand="0" w:evenVBand="0" w:oddHBand="0" w:evenHBand="0" w:firstRowFirstColumn="0" w:firstRowLastColumn="0" w:lastRowFirstColumn="0" w:lastRowLastColumn="0"/>
              <w:rPr>
                <w:rStyle w:val="html-italic"/>
                <w:rFonts w:cs="Times New Roman"/>
              </w:rPr>
            </w:pPr>
            <w:r>
              <w:rPr>
                <w:rStyle w:val="html-italic"/>
                <w:rFonts w:cs="Times New Roman"/>
                <w:lang w:val="en-CA"/>
              </w:rPr>
              <w:t>Functions</w:t>
            </w:r>
          </w:p>
        </w:tc>
        <w:tc>
          <w:tcPr>
            <w:tcW w:w="1558" w:type="dxa"/>
            <w:tcBorders>
              <w:top w:val="single" w:sz="4" w:space="0" w:color="0000FF"/>
              <w:bottom w:val="single" w:sz="4" w:space="0" w:color="auto"/>
              <w:right w:val="single" w:sz="4" w:space="0" w:color="0000FF"/>
            </w:tcBorders>
            <w:shd w:val="clear" w:color="auto" w:fill="0432FF"/>
            <w:vAlign w:val="center"/>
          </w:tcPr>
          <w:p w14:paraId="49C9DE06" w14:textId="3D1A52EC" w:rsidR="00013930" w:rsidRPr="00833CE8" w:rsidRDefault="00013930" w:rsidP="00FC0005">
            <w:pPr>
              <w:snapToGrid w:val="0"/>
              <w:jc w:val="center"/>
              <w:cnfStyle w:val="100000000000" w:firstRow="1" w:lastRow="0" w:firstColumn="0" w:lastColumn="0" w:oddVBand="0" w:evenVBand="0" w:oddHBand="0" w:evenHBand="0" w:firstRowFirstColumn="0" w:firstRowLastColumn="0" w:lastRowFirstColumn="0" w:lastRowLastColumn="0"/>
              <w:rPr>
                <w:rStyle w:val="html-italic"/>
                <w:rFonts w:cs="Times New Roman"/>
                <w:lang w:val="en-CA"/>
              </w:rPr>
            </w:pPr>
            <w:r w:rsidRPr="00833CE8">
              <w:rPr>
                <w:rStyle w:val="html-italic"/>
                <w:rFonts w:cs="Times New Roman"/>
                <w:lang w:val="en-CA"/>
              </w:rPr>
              <w:t>Reference</w:t>
            </w:r>
          </w:p>
        </w:tc>
      </w:tr>
      <w:tr w:rsidR="00013930" w:rsidRPr="00833CE8" w14:paraId="6657712B" w14:textId="605761F9"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1094EB1A" w14:textId="1A372395" w:rsidR="00013930" w:rsidRPr="00C77F31" w:rsidRDefault="00013930" w:rsidP="000434C8">
            <w:pPr>
              <w:snapToGrid w:val="0"/>
              <w:rPr>
                <w:rStyle w:val="html-italic"/>
                <w:rFonts w:cs="Times New Roman"/>
                <w:b w:val="0"/>
                <w:bCs w:val="0"/>
                <w:i/>
                <w:iCs/>
                <w:color w:val="auto"/>
                <w:sz w:val="22"/>
                <w:szCs w:val="22"/>
                <w:lang w:val="en-CA"/>
              </w:rPr>
            </w:pPr>
            <w:r w:rsidRPr="00C77F31">
              <w:rPr>
                <w:b w:val="0"/>
                <w:bCs w:val="0"/>
                <w:i/>
                <w:iCs/>
                <w:color w:val="auto"/>
                <w:sz w:val="22"/>
                <w:szCs w:val="22"/>
                <w:lang w:val="en-CA"/>
              </w:rPr>
              <w:t xml:space="preserve">Candidatus </w:t>
            </w:r>
            <w:proofErr w:type="spellStart"/>
            <w:r w:rsidRPr="00C77F31">
              <w:rPr>
                <w:b w:val="0"/>
                <w:bCs w:val="0"/>
                <w:i/>
                <w:iCs/>
                <w:color w:val="auto"/>
                <w:sz w:val="22"/>
                <w:szCs w:val="22"/>
                <w:lang w:val="en-CA"/>
              </w:rPr>
              <w:t>Atelocyanobacterium</w:t>
            </w:r>
            <w:proofErr w:type="spellEnd"/>
            <w:r w:rsidRPr="00C77F31">
              <w:rPr>
                <w:b w:val="0"/>
                <w:bCs w:val="0"/>
                <w:i/>
                <w:iCs/>
                <w:color w:val="auto"/>
                <w:sz w:val="22"/>
                <w:szCs w:val="22"/>
                <w:lang w:val="en-CA"/>
              </w:rPr>
              <w:t xml:space="preserve"> </w:t>
            </w:r>
            <w:proofErr w:type="spellStart"/>
            <w:r w:rsidRPr="00C77F31">
              <w:rPr>
                <w:b w:val="0"/>
                <w:bCs w:val="0"/>
                <w:i/>
                <w:iCs/>
                <w:color w:val="auto"/>
                <w:sz w:val="22"/>
                <w:szCs w:val="22"/>
                <w:lang w:val="en-CA"/>
              </w:rPr>
              <w:t>thalassa</w:t>
            </w:r>
            <w:proofErr w:type="spellEnd"/>
          </w:p>
        </w:tc>
        <w:tc>
          <w:tcPr>
            <w:tcW w:w="1842" w:type="dxa"/>
            <w:tcBorders>
              <w:left w:val="single" w:sz="4" w:space="0" w:color="auto"/>
            </w:tcBorders>
            <w:shd w:val="clear" w:color="auto" w:fill="D9ECFF"/>
            <w:vAlign w:val="center"/>
          </w:tcPr>
          <w:p w14:paraId="3C0BF7EC" w14:textId="7E65E4A7" w:rsidR="00013930" w:rsidRPr="00C77F31" w:rsidRDefault="00013930" w:rsidP="000434C8">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sz w:val="22"/>
                <w:szCs w:val="22"/>
                <w:lang w:val="en-CA"/>
              </w:rPr>
            </w:pPr>
            <w:r w:rsidRPr="00C77F31">
              <w:rPr>
                <w:rFonts w:cs="Times New Roman"/>
                <w:sz w:val="22"/>
                <w:szCs w:val="22"/>
                <w:lang w:val="en-CA"/>
              </w:rPr>
              <w:t xml:space="preserve">Unknown </w:t>
            </w:r>
            <w:proofErr w:type="spellStart"/>
            <w:r w:rsidRPr="00C77F31">
              <w:rPr>
                <w:rFonts w:cs="Times New Roman"/>
                <w:sz w:val="22"/>
                <w:szCs w:val="22"/>
                <w:lang w:val="en-CA"/>
              </w:rPr>
              <w:t>prymnesiophyte</w:t>
            </w:r>
            <w:proofErr w:type="spellEnd"/>
          </w:p>
        </w:tc>
        <w:tc>
          <w:tcPr>
            <w:tcW w:w="1985" w:type="dxa"/>
            <w:tcBorders>
              <w:left w:val="single" w:sz="4" w:space="0" w:color="auto"/>
            </w:tcBorders>
            <w:shd w:val="clear" w:color="auto" w:fill="D9ECFF"/>
            <w:vAlign w:val="center"/>
          </w:tcPr>
          <w:p w14:paraId="3232EA68" w14:textId="2E23AA37" w:rsidR="00013930" w:rsidRPr="00C77F31" w:rsidRDefault="00013930" w:rsidP="001B0B90">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sz w:val="22"/>
                <w:szCs w:val="22"/>
                <w:lang w:val="en-CA"/>
              </w:rPr>
            </w:pPr>
            <w:r w:rsidRPr="00C77F31">
              <w:rPr>
                <w:rStyle w:val="html-italic"/>
                <w:rFonts w:cs="Times New Roman"/>
                <w:sz w:val="22"/>
                <w:szCs w:val="22"/>
                <w:lang w:val="en-CA"/>
              </w:rPr>
              <w:t xml:space="preserve">Nitrogen fixing </w:t>
            </w:r>
          </w:p>
        </w:tc>
        <w:tc>
          <w:tcPr>
            <w:tcW w:w="1843" w:type="dxa"/>
            <w:tcBorders>
              <w:left w:val="single" w:sz="4" w:space="0" w:color="auto"/>
              <w:right w:val="single" w:sz="4" w:space="0" w:color="auto"/>
            </w:tcBorders>
            <w:shd w:val="clear" w:color="auto" w:fill="D9ECFF"/>
            <w:vAlign w:val="center"/>
          </w:tcPr>
          <w:p w14:paraId="08D704AF" w14:textId="74788A2C" w:rsidR="00013930" w:rsidRPr="00C77F31" w:rsidRDefault="00013930" w:rsidP="001B0B90">
            <w:pPr>
              <w:snapToGrid w:val="0"/>
              <w:cnfStyle w:val="000000100000" w:firstRow="0" w:lastRow="0" w:firstColumn="0" w:lastColumn="0" w:oddVBand="0" w:evenVBand="0" w:oddHBand="1" w:evenHBand="0" w:firstRowFirstColumn="0" w:firstRowLastColumn="0" w:lastRowFirstColumn="0" w:lastRowLastColumn="0"/>
              <w:rPr>
                <w:rFonts w:cs="Times New Roman"/>
                <w:sz w:val="22"/>
              </w:rPr>
            </w:pPr>
            <w:r>
              <w:rPr>
                <w:rStyle w:val="html-italic"/>
                <w:rFonts w:cs="Times New Roman"/>
                <w:sz w:val="22"/>
                <w:szCs w:val="22"/>
                <w:lang w:val="en-CA"/>
              </w:rPr>
              <w:t>C</w:t>
            </w:r>
            <w:r w:rsidRPr="00C77F31">
              <w:rPr>
                <w:rStyle w:val="html-italic"/>
                <w:rFonts w:cs="Times New Roman"/>
                <w:sz w:val="22"/>
                <w:szCs w:val="22"/>
                <w:lang w:val="en-CA"/>
              </w:rPr>
              <w:t>arbon fixing by algae</w:t>
            </w:r>
          </w:p>
        </w:tc>
        <w:tc>
          <w:tcPr>
            <w:tcW w:w="1558" w:type="dxa"/>
            <w:tcBorders>
              <w:left w:val="single" w:sz="4" w:space="0" w:color="auto"/>
            </w:tcBorders>
            <w:shd w:val="clear" w:color="auto" w:fill="D9ECFF"/>
            <w:vAlign w:val="center"/>
          </w:tcPr>
          <w:p w14:paraId="1356667A" w14:textId="38F4225C" w:rsidR="00013930" w:rsidRPr="00C77F31" w:rsidRDefault="00013930" w:rsidP="00FC0005">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r w:rsidRPr="00C77F31">
              <w:rPr>
                <w:rFonts w:cs="Times New Roman"/>
                <w:sz w:val="22"/>
              </w:rPr>
              <w:fldChar w:fldCharType="begin"/>
            </w:r>
            <w:r w:rsidRPr="00C77F31">
              <w:rPr>
                <w:rFonts w:cs="Times New Roman"/>
                <w:sz w:val="22"/>
                <w:szCs w:val="22"/>
                <w:lang w:val="en-CA"/>
              </w:rPr>
              <w:instrText xml:space="preserve"> ADDIN ZOTERO_ITEM CSL_CITATION {"citationID":"oPHKc8Rb","properties":{"formattedCitation":"(Thompson et al., 2012)","plainCitation":"(Thompson et al., 2012)","noteIndex":0},"citationItems":[{"id":9288,"uris":["http://zotero.org/users/764524/items/HB3L4QWP"],"itemData":{"id":9288,"type":"article-journal","abstract":"Symbioses between nitrogen (N)2–fixing prokaryotes and photosynthetic eukaryotes are important for nitrogen acquisition in N-limited environments. Recently, a widely distributed planktonic uncultured nitrogen-fixing cyanobacterium (UCYN-A) was found to have unprecedented genome reduction, including the lack of oxygen-evolving photosystem II and the tricarboxylic acid cycle, which suggested partnership in a symbiosis. We showed that UCYN-A has a symbiotic association with a unicellular prymnesiophyte, closely related to calcifying taxa present in the fossil record. The partnership is mutualistic, because the prymnesiophyte receives fixed N in exchange for transferring fixed carbon to UCYN-A. This unusual partnership between a cyanobacterium and a unicellular alga is a model for symbiosis and is analogous to plastid and organismal evolution, and if calcifying, may have important implications for past and present oceanic N2 fixation.","container-title":"Science","DOI":"10.1126/science.1222700","issue":"6101","note":"publisher: American Association for the Advancement of Science","page":"1546-1550","source":"science.org (Atypon)","title":"Unicellular Cyanobacterium Symbiotic with a Single-Celled Eukaryotic Alga","volume":"337","author":[{"family":"Thompson","given":"Anne W."},{"family":"Foster","given":"Rachel A."},{"family":"Krupke","given":"Andreas"},{"family":"Carter","given":"Brandon J."},{"family":"Musat","given":"Niculina"},{"family":"Vaulot","given":"Daniel"},{"family":"Kuypers","given":"Marcel M. M."},{"family":"Zehr","given":"Jonathan P."}],"issued":{"date-parts":[["2012",9,21]]}}}],"schema":"https://github.com/citation-style-language/schema/raw/master/csl-citation.json"} </w:instrText>
            </w:r>
            <w:r w:rsidRPr="00C77F31">
              <w:rPr>
                <w:rFonts w:cs="Times New Roman"/>
                <w:sz w:val="22"/>
              </w:rPr>
              <w:fldChar w:fldCharType="separate"/>
            </w:r>
            <w:r w:rsidRPr="00C77F31">
              <w:rPr>
                <w:rFonts w:cs="Times New Roman"/>
                <w:sz w:val="22"/>
                <w:szCs w:val="22"/>
                <w:lang w:val="en-CA"/>
              </w:rPr>
              <w:t>(Thompson et al., 2012)</w:t>
            </w:r>
            <w:r w:rsidRPr="00C77F31">
              <w:rPr>
                <w:rFonts w:cs="Times New Roman"/>
                <w:sz w:val="22"/>
              </w:rPr>
              <w:fldChar w:fldCharType="end"/>
            </w:r>
          </w:p>
        </w:tc>
      </w:tr>
      <w:tr w:rsidR="00013930" w:rsidRPr="00833CE8" w14:paraId="792C5E8D" w14:textId="74A601B3"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47701424" w14:textId="4931487B" w:rsidR="00013930" w:rsidRPr="00C77F31" w:rsidRDefault="00013930" w:rsidP="000434C8">
            <w:pPr>
              <w:snapToGrid w:val="0"/>
              <w:rPr>
                <w:rStyle w:val="html-italic"/>
                <w:rFonts w:cs="Times New Roman"/>
                <w:b w:val="0"/>
                <w:bCs w:val="0"/>
                <w:i/>
                <w:iCs/>
                <w:color w:val="auto"/>
                <w:sz w:val="22"/>
                <w:szCs w:val="22"/>
                <w:lang w:val="en-CA"/>
              </w:rPr>
            </w:pPr>
            <w:proofErr w:type="spellStart"/>
            <w:r w:rsidRPr="00C77F31">
              <w:rPr>
                <w:rStyle w:val="html-italic"/>
                <w:rFonts w:cs="Times New Roman"/>
                <w:b w:val="0"/>
                <w:bCs w:val="0"/>
                <w:i/>
                <w:iCs/>
                <w:color w:val="auto"/>
                <w:sz w:val="22"/>
                <w:szCs w:val="22"/>
                <w:lang w:val="en-CA"/>
              </w:rPr>
              <w:t>Methylobacterium</w:t>
            </w:r>
            <w:proofErr w:type="spellEnd"/>
            <w:r w:rsidRPr="00C77F31">
              <w:rPr>
                <w:rStyle w:val="html-italic"/>
                <w:rFonts w:cs="Times New Roman"/>
                <w:b w:val="0"/>
                <w:bCs w:val="0"/>
                <w:i/>
                <w:iCs/>
                <w:color w:val="auto"/>
                <w:sz w:val="22"/>
                <w:szCs w:val="22"/>
                <w:lang w:val="en-CA"/>
              </w:rPr>
              <w:t xml:space="preserve"> </w:t>
            </w:r>
            <w:r w:rsidRPr="00C77F31">
              <w:rPr>
                <w:rFonts w:cs="Times New Roman"/>
                <w:b w:val="0"/>
                <w:bCs w:val="0"/>
                <w:i/>
                <w:iCs/>
                <w:color w:val="auto"/>
                <w:sz w:val="22"/>
                <w:szCs w:val="22"/>
                <w:lang w:val="en-CA"/>
              </w:rPr>
              <w:t>aquaticum</w:t>
            </w:r>
          </w:p>
        </w:tc>
        <w:tc>
          <w:tcPr>
            <w:tcW w:w="1842" w:type="dxa"/>
            <w:tcBorders>
              <w:left w:val="single" w:sz="4" w:space="0" w:color="auto"/>
            </w:tcBorders>
            <w:shd w:val="clear" w:color="auto" w:fill="D9ECFF"/>
            <w:vAlign w:val="center"/>
          </w:tcPr>
          <w:p w14:paraId="31C17BF3" w14:textId="5ED018E6" w:rsidR="00013930" w:rsidRPr="00C77F31" w:rsidRDefault="00013930" w:rsidP="000434C8">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lang w:val="en-CA"/>
              </w:rPr>
            </w:pPr>
            <w:r w:rsidRPr="00C77F31">
              <w:rPr>
                <w:rStyle w:val="html-italic"/>
                <w:rFonts w:cs="Times New Roman"/>
                <w:i/>
                <w:iCs/>
                <w:sz w:val="22"/>
                <w:szCs w:val="22"/>
                <w:lang w:val="en-CA"/>
              </w:rPr>
              <w:t xml:space="preserve">Chlamydomonas </w:t>
            </w:r>
            <w:proofErr w:type="spellStart"/>
            <w:r w:rsidRPr="00C77F31">
              <w:rPr>
                <w:rStyle w:val="html-italic"/>
                <w:rFonts w:cs="Times New Roman"/>
                <w:i/>
                <w:iCs/>
                <w:sz w:val="22"/>
                <w:szCs w:val="22"/>
                <w:lang w:val="en-CA"/>
              </w:rPr>
              <w:t>reinhardtii</w:t>
            </w:r>
            <w:proofErr w:type="spellEnd"/>
          </w:p>
        </w:tc>
        <w:tc>
          <w:tcPr>
            <w:tcW w:w="1985" w:type="dxa"/>
            <w:tcBorders>
              <w:left w:val="single" w:sz="4" w:space="0" w:color="auto"/>
            </w:tcBorders>
            <w:shd w:val="clear" w:color="auto" w:fill="D9ECFF"/>
            <w:vAlign w:val="center"/>
          </w:tcPr>
          <w:p w14:paraId="66BCEF11" w14:textId="44BEFB7F" w:rsidR="00013930" w:rsidRPr="00C77F31" w:rsidRDefault="00013930" w:rsidP="001B0B90">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sz w:val="22"/>
                <w:szCs w:val="22"/>
                <w:lang w:val="en-CA"/>
              </w:rPr>
            </w:pPr>
            <w:r>
              <w:rPr>
                <w:rStyle w:val="html-italic"/>
                <w:rFonts w:cs="Times New Roman"/>
                <w:sz w:val="22"/>
                <w:szCs w:val="22"/>
                <w:lang w:val="en-CA"/>
              </w:rPr>
              <w:t>D</w:t>
            </w:r>
            <w:r w:rsidRPr="00C77F31">
              <w:rPr>
                <w:rStyle w:val="html-italic"/>
                <w:rFonts w:cs="Times New Roman"/>
                <w:sz w:val="22"/>
                <w:szCs w:val="22"/>
                <w:lang w:val="en-CA"/>
              </w:rPr>
              <w:t xml:space="preserve">egradation of IAA </w:t>
            </w:r>
          </w:p>
        </w:tc>
        <w:tc>
          <w:tcPr>
            <w:tcW w:w="1843" w:type="dxa"/>
            <w:tcBorders>
              <w:left w:val="single" w:sz="4" w:space="0" w:color="auto"/>
              <w:right w:val="single" w:sz="4" w:space="0" w:color="auto"/>
            </w:tcBorders>
            <w:shd w:val="clear" w:color="auto" w:fill="D9ECFF"/>
            <w:vAlign w:val="center"/>
          </w:tcPr>
          <w:p w14:paraId="68D3D0A7" w14:textId="4C9CC206" w:rsidR="00013930" w:rsidRPr="00C77F31" w:rsidRDefault="00013930" w:rsidP="001B0B90">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rPr>
            </w:pPr>
            <w:r w:rsidRPr="00C77F31">
              <w:rPr>
                <w:rStyle w:val="html-italic"/>
                <w:rFonts w:cs="Times New Roman"/>
                <w:sz w:val="22"/>
                <w:szCs w:val="22"/>
                <w:lang w:val="en-CA"/>
              </w:rPr>
              <w:t xml:space="preserve">Release of glycerol and IAA </w:t>
            </w:r>
          </w:p>
        </w:tc>
        <w:tc>
          <w:tcPr>
            <w:tcW w:w="1558" w:type="dxa"/>
            <w:tcBorders>
              <w:left w:val="single" w:sz="4" w:space="0" w:color="auto"/>
            </w:tcBorders>
            <w:shd w:val="clear" w:color="auto" w:fill="D9ECFF"/>
            <w:vAlign w:val="center"/>
          </w:tcPr>
          <w:p w14:paraId="1F9C36C0" w14:textId="3BDB5836" w:rsidR="00013930" w:rsidRPr="00C77F31" w:rsidRDefault="00013930" w:rsidP="00FC0005">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lang w:val="en-CA"/>
              </w:rPr>
            </w:pPr>
            <w:r w:rsidRPr="00C77F31">
              <w:rPr>
                <w:rStyle w:val="html-italic"/>
                <w:rFonts w:cs="Times New Roman"/>
                <w:i/>
                <w:iCs/>
                <w:sz w:val="22"/>
              </w:rPr>
              <w:fldChar w:fldCharType="begin"/>
            </w:r>
            <w:r w:rsidRPr="00C77F31">
              <w:rPr>
                <w:rStyle w:val="html-italic"/>
                <w:rFonts w:cs="Times New Roman"/>
                <w:i/>
                <w:iCs/>
                <w:sz w:val="22"/>
                <w:szCs w:val="22"/>
                <w:lang w:val="en-CA"/>
              </w:rPr>
              <w:instrText xml:space="preserve"> ADDIN ZOTERO_ITEM CSL_CITATION {"citationID":"K9dGv2Vb","properties":{"formattedCitation":"(Calatrava et al., 2024, 2018)","plainCitation":"(Calatrava et al., 2024, 2018)","noteIndex":0},"citationItems":[{"id":9471,"uris":["http://zotero.org/users/764524/items/SBCRDCQA"],"itemData":{"id":9471,"type":"article-journal","container-title":"iScience","DOI":"10.1016/j.isci.2023.108762","ISSN":"2589-0042","issue":"1","journalAbbreviation":"iScience","language":"English","note":"publisher: Elsevier\nPMID: 38269098","source":"www.cell.com","title":"Genetic evidence for algal auxin production in Chlamydomonas and its role in algal-bacterial mutualism","URL":"https://www.cell.com/iscience/abstract/S2589-0042(23)02839-0","volume":"27","author":[{"family":"Calatrava","given":"Victoria"},{"family":"Hom","given":"Erik F. Y."},{"family":"Guan","given":"Qijie"},{"family":"Llamas","given":"Angel"},{"family":"Fernández","given":"Emilio"},{"family":"Galván","given":"Aurora"}],"accessed":{"date-parts":[["2024",12,31]]},"issued":{"date-parts":[["2024",1,19]]}}},{"id":9462,"uris":["http://zotero.org/users/764524/items/MDX5442K"],"itemData":{"id":9462,"type":"article-journal","abstract":"Nitrogen is a key nutrient for land plants and phytoplankton in terrestrial and aquatic ecosystems. The model alga Chlamydomonas reinhardtii can grow efficiently on several inorganic nitrogen sources (e.g. ammonium, nitrate, nitrite) as well as many amino acids. In this study, we show that Chlamydomonas is unable to use proline, hydroxyproline and peptides that contain these amino acids. However, we discovered that algal growth on these substrates is supported in association with Methylobacterium spp., and that a mutualistic carbon–nitrogen metabolic exchange between Chlamydomonas and Methylobacterium spp. is established. Specifically, the mineralization of these amino acids and peptides by Methylobacterium spp. produces ammonium that can be assimilated by Chlamydomonas, and CO2 photosynthetically fixed by Chlamydomonas yields glycerol that can be assimilated by Methylobacterium. As Chlamydomonas is an algal ancestor to land plants and Methylobacterium is a plant growth-promoting bacterium, this new model of mutualism may facilitate insights into the ecology and evolution of plant–bacterial interactions and design principles of synthetic ecology.","container-title":"FEMS Microbiology Letters","DOI":"10.1093/femsle/fny021","ISSN":"0378-1097","issue":"7","journalAbbreviation":"FEMS Microbiol. Lett.","page":"fny021","source":"Silverchair","title":"OK, thanks! A new mutualism between Chlamydomonas and methylobacteria facilitates growth on amino acids and peptides","volume":"365","author":[{"family":"Calatrava","given":"Victoria"},{"family":"Hom","given":"Erik F Y"},{"family":"Llamas","given":"Ángel"},{"family":"Fernández","given":"Emilio"},{"family":"Galván","given":"Aurora"}],"issued":{"date-parts":[["2018",4,1]]}}}],"schema":"https://github.com/citation-style-language/schema/raw/master/csl-citation.json"} </w:instrText>
            </w:r>
            <w:r w:rsidRPr="00C77F31">
              <w:rPr>
                <w:rStyle w:val="html-italic"/>
                <w:rFonts w:cs="Times New Roman"/>
                <w:i/>
                <w:iCs/>
                <w:sz w:val="22"/>
              </w:rPr>
              <w:fldChar w:fldCharType="separate"/>
            </w:r>
            <w:r w:rsidRPr="00C77F31">
              <w:rPr>
                <w:rFonts w:cs="Times New Roman"/>
                <w:sz w:val="22"/>
                <w:szCs w:val="22"/>
              </w:rPr>
              <w:t>(Calatrava et al., 2024, 2018)</w:t>
            </w:r>
            <w:r w:rsidRPr="00C77F31">
              <w:rPr>
                <w:rStyle w:val="html-italic"/>
                <w:rFonts w:cs="Times New Roman"/>
                <w:i/>
                <w:iCs/>
                <w:sz w:val="22"/>
              </w:rPr>
              <w:fldChar w:fldCharType="end"/>
            </w:r>
          </w:p>
        </w:tc>
      </w:tr>
      <w:tr w:rsidR="00013930" w:rsidRPr="00833CE8" w14:paraId="17458524" w14:textId="7A055A2C"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41372D14" w14:textId="67FA1410" w:rsidR="00013930" w:rsidRPr="00C77F31" w:rsidRDefault="00013930" w:rsidP="000434C8">
            <w:pPr>
              <w:snapToGrid w:val="0"/>
              <w:rPr>
                <w:rFonts w:cs="Times New Roman"/>
                <w:b w:val="0"/>
                <w:bCs w:val="0"/>
                <w:i/>
                <w:iCs/>
                <w:noProof/>
                <w:color w:val="auto"/>
                <w:sz w:val="22"/>
                <w:szCs w:val="22"/>
                <w:lang w:val="en-CA"/>
              </w:rPr>
            </w:pPr>
            <w:r w:rsidRPr="00C77F31">
              <w:rPr>
                <w:rFonts w:cs="Times New Roman"/>
                <w:b w:val="0"/>
                <w:bCs w:val="0"/>
                <w:i/>
                <w:iCs/>
                <w:noProof/>
                <w:color w:val="auto"/>
                <w:sz w:val="22"/>
                <w:szCs w:val="22"/>
                <w:lang w:val="en-CA"/>
              </w:rPr>
              <w:t>Phaeobacter inhibens</w:t>
            </w:r>
          </w:p>
        </w:tc>
        <w:tc>
          <w:tcPr>
            <w:tcW w:w="1842" w:type="dxa"/>
            <w:tcBorders>
              <w:left w:val="single" w:sz="4" w:space="0" w:color="auto"/>
            </w:tcBorders>
            <w:shd w:val="clear" w:color="auto" w:fill="D9ECFF"/>
            <w:vAlign w:val="center"/>
          </w:tcPr>
          <w:p w14:paraId="7CC93FD0" w14:textId="6EDB54D3" w:rsidR="00013930" w:rsidRPr="00C77F31" w:rsidRDefault="00013930" w:rsidP="000434C8">
            <w:pPr>
              <w:snapToGrid w:val="0"/>
              <w:cnfStyle w:val="000000100000" w:firstRow="0" w:lastRow="0" w:firstColumn="0" w:lastColumn="0" w:oddVBand="0" w:evenVBand="0" w:oddHBand="1" w:evenHBand="0" w:firstRowFirstColumn="0" w:firstRowLastColumn="0" w:lastRowFirstColumn="0" w:lastRowLastColumn="0"/>
              <w:rPr>
                <w:rFonts w:cs="Times New Roman"/>
                <w:i/>
                <w:iCs/>
                <w:noProof/>
                <w:color w:val="000000" w:themeColor="text1"/>
                <w:sz w:val="22"/>
                <w:szCs w:val="22"/>
                <w:lang w:val="en-CA"/>
              </w:rPr>
            </w:pPr>
            <w:proofErr w:type="spellStart"/>
            <w:r w:rsidRPr="00C77F31">
              <w:rPr>
                <w:rStyle w:val="html-italic"/>
                <w:rFonts w:cs="Times New Roman"/>
                <w:i/>
                <w:iCs/>
                <w:sz w:val="22"/>
                <w:szCs w:val="22"/>
                <w:lang w:val="en-CA"/>
              </w:rPr>
              <w:t>Emiliania</w:t>
            </w:r>
            <w:proofErr w:type="spellEnd"/>
            <w:r w:rsidRPr="00C77F31">
              <w:rPr>
                <w:rStyle w:val="html-italic"/>
                <w:rFonts w:cs="Times New Roman"/>
                <w:i/>
                <w:iCs/>
                <w:sz w:val="22"/>
                <w:szCs w:val="22"/>
                <w:lang w:val="en-CA"/>
              </w:rPr>
              <w:t xml:space="preserve"> </w:t>
            </w:r>
            <w:proofErr w:type="spellStart"/>
            <w:r w:rsidRPr="00C77F31">
              <w:rPr>
                <w:rStyle w:val="html-italic"/>
                <w:rFonts w:cs="Times New Roman"/>
                <w:i/>
                <w:iCs/>
                <w:sz w:val="22"/>
                <w:szCs w:val="22"/>
                <w:lang w:val="en-CA"/>
              </w:rPr>
              <w:t>huxleyi</w:t>
            </w:r>
            <w:proofErr w:type="spellEnd"/>
          </w:p>
        </w:tc>
        <w:tc>
          <w:tcPr>
            <w:tcW w:w="1985" w:type="dxa"/>
            <w:tcBorders>
              <w:left w:val="single" w:sz="4" w:space="0" w:color="auto"/>
            </w:tcBorders>
            <w:shd w:val="clear" w:color="auto" w:fill="D9ECFF"/>
            <w:vAlign w:val="center"/>
          </w:tcPr>
          <w:p w14:paraId="4FA20FD0" w14:textId="30E83B2E" w:rsidR="001B0B90" w:rsidRPr="00C77F31" w:rsidRDefault="001B0B90" w:rsidP="001B0B90">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r>
              <w:rPr>
                <w:rStyle w:val="html-italic"/>
                <w:rFonts w:cs="Times New Roman"/>
                <w:sz w:val="22"/>
                <w:szCs w:val="22"/>
                <w:lang w:val="en-CA"/>
              </w:rPr>
              <w:t>A</w:t>
            </w:r>
            <w:r w:rsidR="00013930" w:rsidRPr="00C77F31">
              <w:rPr>
                <w:rStyle w:val="html-italic"/>
                <w:rFonts w:cs="Times New Roman"/>
                <w:sz w:val="22"/>
                <w:szCs w:val="22"/>
                <w:lang w:val="en-CA"/>
              </w:rPr>
              <w:t xml:space="preserve">lgicide release in the presence of </w:t>
            </w:r>
            <w:r w:rsidR="00013930" w:rsidRPr="00C77F31">
              <w:rPr>
                <w:rStyle w:val="html-italic"/>
                <w:rFonts w:cs="Times New Roman"/>
                <w:i/>
                <w:iCs/>
                <w:sz w:val="22"/>
                <w:szCs w:val="22"/>
                <w:lang w:val="en-CA"/>
              </w:rPr>
              <w:t xml:space="preserve">E. </w:t>
            </w:r>
            <w:proofErr w:type="spellStart"/>
            <w:r w:rsidR="00013930" w:rsidRPr="00C77F31">
              <w:rPr>
                <w:rStyle w:val="html-italic"/>
                <w:rFonts w:cs="Times New Roman"/>
                <w:i/>
                <w:iCs/>
                <w:sz w:val="22"/>
                <w:szCs w:val="22"/>
                <w:lang w:val="en-CA"/>
              </w:rPr>
              <w:t>huxleyi</w:t>
            </w:r>
            <w:proofErr w:type="spellEnd"/>
            <w:r w:rsidR="00013930" w:rsidRPr="00C77F31">
              <w:rPr>
                <w:rStyle w:val="html-italic"/>
                <w:rFonts w:cs="Times New Roman"/>
                <w:i/>
                <w:iCs/>
                <w:sz w:val="22"/>
                <w:szCs w:val="22"/>
                <w:lang w:val="en-CA"/>
              </w:rPr>
              <w:t xml:space="preserve"> </w:t>
            </w:r>
            <w:r w:rsidR="00013930" w:rsidRPr="00C77F31">
              <w:rPr>
                <w:rStyle w:val="html-italic"/>
                <w:rFonts w:cs="Times New Roman"/>
                <w:sz w:val="22"/>
                <w:szCs w:val="22"/>
                <w:lang w:val="en-CA"/>
              </w:rPr>
              <w:t>senescence signals</w:t>
            </w:r>
            <w:r>
              <w:rPr>
                <w:rStyle w:val="html-italic"/>
                <w:rFonts w:cs="Times New Roman"/>
                <w:sz w:val="22"/>
                <w:szCs w:val="22"/>
                <w:lang w:val="en-CA"/>
              </w:rPr>
              <w:t xml:space="preserve">, </w:t>
            </w:r>
            <w:r w:rsidR="00BB1DEA">
              <w:rPr>
                <w:rStyle w:val="html-italic"/>
                <w:rFonts w:cs="Times New Roman"/>
                <w:sz w:val="22"/>
                <w:szCs w:val="22"/>
                <w:lang w:val="en-CA"/>
              </w:rPr>
              <w:t>r</w:t>
            </w:r>
            <w:r>
              <w:rPr>
                <w:rStyle w:val="html-italic"/>
                <w:rFonts w:cs="Times New Roman"/>
                <w:sz w:val="22"/>
                <w:szCs w:val="22"/>
                <w:lang w:val="en-CA"/>
              </w:rPr>
              <w:t>elease of IAA</w:t>
            </w:r>
          </w:p>
        </w:tc>
        <w:tc>
          <w:tcPr>
            <w:tcW w:w="1843" w:type="dxa"/>
            <w:tcBorders>
              <w:left w:val="single" w:sz="4" w:space="0" w:color="auto"/>
              <w:right w:val="single" w:sz="4" w:space="0" w:color="auto"/>
            </w:tcBorders>
            <w:shd w:val="clear" w:color="auto" w:fill="D9ECFF"/>
            <w:vAlign w:val="center"/>
          </w:tcPr>
          <w:p w14:paraId="79D250ED" w14:textId="218B261C" w:rsidR="00013930" w:rsidRPr="00C77F31" w:rsidRDefault="00013930" w:rsidP="001B0B90">
            <w:pPr>
              <w:snapToGrid w:val="0"/>
              <w:cnfStyle w:val="000000100000" w:firstRow="0" w:lastRow="0" w:firstColumn="0" w:lastColumn="0" w:oddVBand="0" w:evenVBand="0" w:oddHBand="1" w:evenHBand="0" w:firstRowFirstColumn="0" w:firstRowLastColumn="0" w:lastRowFirstColumn="0" w:lastRowLastColumn="0"/>
              <w:rPr>
                <w:rFonts w:cs="Times New Roman"/>
                <w:i/>
                <w:iCs/>
                <w:sz w:val="22"/>
              </w:rPr>
            </w:pPr>
            <w:r w:rsidRPr="00C77F31">
              <w:rPr>
                <w:rStyle w:val="html-italic"/>
                <w:rFonts w:cs="Times New Roman"/>
                <w:sz w:val="22"/>
                <w:szCs w:val="22"/>
                <w:lang w:val="en-CA"/>
              </w:rPr>
              <w:t>Algal growth induced by IAA</w:t>
            </w:r>
          </w:p>
        </w:tc>
        <w:tc>
          <w:tcPr>
            <w:tcW w:w="1558" w:type="dxa"/>
            <w:tcBorders>
              <w:left w:val="single" w:sz="4" w:space="0" w:color="auto"/>
            </w:tcBorders>
            <w:shd w:val="clear" w:color="auto" w:fill="D9ECFF"/>
            <w:vAlign w:val="center"/>
          </w:tcPr>
          <w:p w14:paraId="3A613D60" w14:textId="20F889FC" w:rsidR="00013930" w:rsidRPr="00C77F31" w:rsidRDefault="00013930" w:rsidP="00FC0005">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b/>
                <w:bCs/>
                <w:sz w:val="22"/>
                <w:szCs w:val="22"/>
                <w:lang w:val="en-CA"/>
              </w:rPr>
            </w:pPr>
            <w:r w:rsidRPr="00C77F31">
              <w:rPr>
                <w:rFonts w:cs="Times New Roman"/>
                <w:i/>
                <w:iCs/>
                <w:sz w:val="22"/>
              </w:rPr>
              <w:fldChar w:fldCharType="begin"/>
            </w:r>
            <w:r w:rsidRPr="00C77F31">
              <w:rPr>
                <w:rFonts w:cs="Times New Roman"/>
                <w:i/>
                <w:iCs/>
                <w:sz w:val="22"/>
                <w:szCs w:val="22"/>
                <w:lang w:val="en-CA"/>
              </w:rPr>
              <w:instrText xml:space="preserve"> ADDIN ZOTERO_ITEM CSL_CITATION {"citationID":"5jCMWLfL","properties":{"formattedCitation":"(Segev et al., 2016)","plainCitation":"(Segev et al., 2016)","noteIndex":0},"citationItems":[{"id":4531,"uris":["http://zotero.org/users/764524/items/PFFHYZTQ"],"itemData":{"id":4531,"type":"article-journal","abstract":"Emiliania huxleyi is a model coccolithophore micro-alga that generates vast blooms in the ocean. Bacteria are not considered among the major factors influencing coccolithophore physiology. Here we show through a laboratory model system that the bacterium Phaeobacter inhibens, a well-studied member of the Roseobacter group, intimately interacts with E. huxleyi. While attached to the algal cell, bacteria initially promote algal growth but ultimately kill their algal host. Both algal growth enhancement and algal death are driven by the bacterially-produced phytohormone indole-3-acetic acid. Bacterial production of indole-3-acetic acid and attachment to algae are significantly increased by tryptophan, which is exuded from the algal cell. Algal death triggered by bacteria involves activation of pathways unique to oxidative stress response and programmed cell death. Our observations suggest that bacteria greatly influence the physiology and metabolism of E. huxleyi. Coccolithophore-bacteria interactions should be further studied in the environment to determine whether they impact micro-algal population dynamics on a global scale.","container-title":"eLife","DOI":"10.7554/eLife.17473","ISSN":"2050-084X","note":"publisher: eLife Sciences Publications, Ltd","page":"e17473","source":"eLife","title":"Dynamic metabolic exchange governs a marine algal-bacterial interaction","volume":"5","author":[{"family":"Segev","given":"Einat"},{"family":"Wyche","given":"Thomas P"},{"family":"Kim","given":"Ki Hyun"},{"family":"Petersen","given":"Jörn"},{"family":"Ellebrandt","given":"Claire"},{"family":"Vlamakis","given":"Hera"},{"family":"Barteneva","given":"Natasha"},{"family":"Paulson","given":"Joseph N"},{"family":"Chai","given":"Liraz"},{"family":"Clardy","given":"Jon"},{"family":"Kolter","given":"Roberto"}],"editor":[{"family":"Falkowski","given":"Paul G"}],"issued":{"date-parts":[["2016",11,18]]}}}],"schema":"https://github.com/citation-style-language/schema/raw/master/csl-citation.json"} </w:instrText>
            </w:r>
            <w:r w:rsidRPr="00C77F31">
              <w:rPr>
                <w:rFonts w:cs="Times New Roman"/>
                <w:i/>
                <w:iCs/>
                <w:sz w:val="22"/>
              </w:rPr>
              <w:fldChar w:fldCharType="separate"/>
            </w:r>
            <w:r w:rsidRPr="00C77F31">
              <w:rPr>
                <w:rFonts w:cs="Times New Roman"/>
                <w:sz w:val="22"/>
                <w:szCs w:val="22"/>
                <w:lang w:val="en-CA"/>
              </w:rPr>
              <w:t>(Segev et al., 2016)</w:t>
            </w:r>
            <w:r w:rsidRPr="00C77F31">
              <w:rPr>
                <w:rFonts w:cs="Times New Roman"/>
                <w:i/>
                <w:iCs/>
                <w:sz w:val="22"/>
              </w:rPr>
              <w:fldChar w:fldCharType="end"/>
            </w:r>
          </w:p>
        </w:tc>
      </w:tr>
      <w:tr w:rsidR="00013930" w:rsidRPr="00833CE8" w14:paraId="63F7960E" w14:textId="3F7C5B39"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338F82A5" w14:textId="07A3C92B" w:rsidR="00013930" w:rsidRPr="00C77F31" w:rsidRDefault="00013930" w:rsidP="00534084">
            <w:pPr>
              <w:snapToGrid w:val="0"/>
              <w:rPr>
                <w:rStyle w:val="html-italic"/>
                <w:rFonts w:cs="Times New Roman"/>
                <w:b w:val="0"/>
                <w:bCs w:val="0"/>
                <w:i/>
                <w:iCs/>
                <w:color w:val="auto"/>
                <w:sz w:val="22"/>
                <w:szCs w:val="22"/>
                <w:lang w:val="en-CA"/>
              </w:rPr>
            </w:pPr>
            <w:r w:rsidRPr="00C77F31">
              <w:rPr>
                <w:rStyle w:val="html-italic"/>
                <w:rFonts w:cs="Times New Roman"/>
                <w:b w:val="0"/>
                <w:bCs w:val="0"/>
                <w:i/>
                <w:iCs/>
                <w:color w:val="auto"/>
                <w:sz w:val="22"/>
                <w:szCs w:val="22"/>
                <w:lang w:val="en-CA"/>
              </w:rPr>
              <w:t xml:space="preserve">Candidatus </w:t>
            </w:r>
            <w:proofErr w:type="spellStart"/>
            <w:r w:rsidRPr="00C77F31">
              <w:rPr>
                <w:rStyle w:val="html-italic"/>
                <w:rFonts w:cs="Times New Roman"/>
                <w:b w:val="0"/>
                <w:bCs w:val="0"/>
                <w:i/>
                <w:iCs/>
                <w:color w:val="auto"/>
                <w:sz w:val="22"/>
                <w:szCs w:val="22"/>
                <w:lang w:val="en-CA"/>
              </w:rPr>
              <w:t>tectiglobus</w:t>
            </w:r>
            <w:proofErr w:type="spellEnd"/>
            <w:r w:rsidRPr="00C77F31">
              <w:rPr>
                <w:rStyle w:val="html-italic"/>
                <w:rFonts w:cs="Times New Roman"/>
                <w:b w:val="0"/>
                <w:bCs w:val="0"/>
                <w:i/>
                <w:iCs/>
                <w:color w:val="auto"/>
                <w:sz w:val="22"/>
                <w:szCs w:val="22"/>
                <w:lang w:val="en-CA"/>
              </w:rPr>
              <w:t xml:space="preserve"> </w:t>
            </w:r>
            <w:proofErr w:type="spellStart"/>
            <w:r w:rsidRPr="00C77F31">
              <w:rPr>
                <w:rStyle w:val="html-italic"/>
                <w:rFonts w:cs="Times New Roman"/>
                <w:b w:val="0"/>
                <w:bCs w:val="0"/>
                <w:i/>
                <w:iCs/>
                <w:color w:val="auto"/>
                <w:sz w:val="22"/>
                <w:szCs w:val="22"/>
                <w:lang w:val="en-CA"/>
              </w:rPr>
              <w:t>diatomicola</w:t>
            </w:r>
            <w:proofErr w:type="spellEnd"/>
          </w:p>
        </w:tc>
        <w:tc>
          <w:tcPr>
            <w:tcW w:w="1842" w:type="dxa"/>
            <w:tcBorders>
              <w:left w:val="single" w:sz="4" w:space="0" w:color="auto"/>
            </w:tcBorders>
            <w:shd w:val="clear" w:color="auto" w:fill="D9ECFF"/>
            <w:vAlign w:val="center"/>
          </w:tcPr>
          <w:p w14:paraId="2393C624" w14:textId="7D819226" w:rsidR="00013930" w:rsidRPr="00C77F31" w:rsidRDefault="00013930" w:rsidP="00534084">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sz w:val="22"/>
                <w:szCs w:val="22"/>
                <w:lang w:val="en-CA"/>
              </w:rPr>
            </w:pPr>
            <w:proofErr w:type="spellStart"/>
            <w:r w:rsidRPr="00C77F31">
              <w:rPr>
                <w:rStyle w:val="html-italic"/>
                <w:rFonts w:cs="Times New Roman"/>
                <w:i/>
                <w:iCs/>
                <w:sz w:val="22"/>
                <w:szCs w:val="22"/>
                <w:lang w:val="en-CA"/>
              </w:rPr>
              <w:t>Haslea</w:t>
            </w:r>
            <w:proofErr w:type="spellEnd"/>
            <w:r w:rsidRPr="00C77F31">
              <w:rPr>
                <w:rStyle w:val="html-italic"/>
                <w:rFonts w:cs="Times New Roman"/>
                <w:i/>
                <w:iCs/>
                <w:sz w:val="22"/>
                <w:szCs w:val="22"/>
                <w:lang w:val="en-CA"/>
              </w:rPr>
              <w:t xml:space="preserve"> spp.</w:t>
            </w:r>
            <w:r w:rsidRPr="00C77F31">
              <w:rPr>
                <w:rStyle w:val="html-italic"/>
                <w:rFonts w:cs="Times New Roman"/>
                <w:sz w:val="22"/>
                <w:szCs w:val="22"/>
                <w:lang w:val="en-CA"/>
              </w:rPr>
              <w:t xml:space="preserve"> </w:t>
            </w:r>
          </w:p>
        </w:tc>
        <w:tc>
          <w:tcPr>
            <w:tcW w:w="1985" w:type="dxa"/>
            <w:tcBorders>
              <w:left w:val="single" w:sz="4" w:space="0" w:color="auto"/>
            </w:tcBorders>
            <w:shd w:val="clear" w:color="auto" w:fill="D9ECFF"/>
            <w:vAlign w:val="center"/>
          </w:tcPr>
          <w:p w14:paraId="77251084" w14:textId="544F3D61" w:rsidR="00013930" w:rsidRPr="00C77F31" w:rsidRDefault="00013930" w:rsidP="001B0B90">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sz w:val="22"/>
                <w:szCs w:val="22"/>
                <w:lang w:val="en-CA"/>
              </w:rPr>
            </w:pPr>
            <w:r w:rsidRPr="00C77F31">
              <w:rPr>
                <w:rStyle w:val="html-italic"/>
                <w:rFonts w:cs="Times New Roman"/>
                <w:sz w:val="22"/>
                <w:szCs w:val="22"/>
                <w:lang w:val="en-CA"/>
              </w:rPr>
              <w:t xml:space="preserve">Nitrogen fixing </w:t>
            </w:r>
          </w:p>
        </w:tc>
        <w:tc>
          <w:tcPr>
            <w:tcW w:w="1843" w:type="dxa"/>
            <w:tcBorders>
              <w:left w:val="single" w:sz="4" w:space="0" w:color="auto"/>
              <w:right w:val="single" w:sz="4" w:space="0" w:color="auto"/>
            </w:tcBorders>
            <w:shd w:val="clear" w:color="auto" w:fill="D9ECFF"/>
            <w:vAlign w:val="center"/>
          </w:tcPr>
          <w:p w14:paraId="476D8328" w14:textId="5928EA9B" w:rsidR="00013930" w:rsidRPr="00C77F31" w:rsidRDefault="001B0B90" w:rsidP="001B0B90">
            <w:pPr>
              <w:snapToGrid w:val="0"/>
              <w:cnfStyle w:val="000000000000" w:firstRow="0" w:lastRow="0" w:firstColumn="0" w:lastColumn="0" w:oddVBand="0" w:evenVBand="0" w:oddHBand="0" w:evenHBand="0" w:firstRowFirstColumn="0" w:firstRowLastColumn="0" w:lastRowFirstColumn="0" w:lastRowLastColumn="0"/>
              <w:rPr>
                <w:rFonts w:cs="Times New Roman"/>
                <w:sz w:val="22"/>
              </w:rPr>
            </w:pPr>
            <w:r>
              <w:rPr>
                <w:rStyle w:val="html-italic"/>
                <w:rFonts w:cs="Times New Roman"/>
                <w:sz w:val="22"/>
                <w:szCs w:val="22"/>
                <w:lang w:val="en-CA"/>
              </w:rPr>
              <w:t>C</w:t>
            </w:r>
            <w:r w:rsidRPr="00C77F31">
              <w:rPr>
                <w:rStyle w:val="html-italic"/>
                <w:rFonts w:cs="Times New Roman"/>
                <w:sz w:val="22"/>
                <w:szCs w:val="22"/>
                <w:lang w:val="en-CA"/>
              </w:rPr>
              <w:t>arbon fixing</w:t>
            </w:r>
          </w:p>
        </w:tc>
        <w:tc>
          <w:tcPr>
            <w:tcW w:w="1558" w:type="dxa"/>
            <w:tcBorders>
              <w:left w:val="single" w:sz="4" w:space="0" w:color="auto"/>
            </w:tcBorders>
            <w:shd w:val="clear" w:color="auto" w:fill="D9ECFF"/>
            <w:vAlign w:val="center"/>
          </w:tcPr>
          <w:p w14:paraId="20C48143" w14:textId="14777FC6" w:rsidR="00013930" w:rsidRPr="00C77F31" w:rsidRDefault="00013930" w:rsidP="00FC0005">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sz w:val="22"/>
                <w:szCs w:val="22"/>
                <w:lang w:val="en-CA"/>
              </w:rPr>
            </w:pPr>
            <w:r w:rsidRPr="00C77F31">
              <w:rPr>
                <w:rFonts w:cs="Times New Roman"/>
                <w:sz w:val="22"/>
              </w:rPr>
              <w:fldChar w:fldCharType="begin"/>
            </w:r>
            <w:r w:rsidRPr="00C77F31">
              <w:rPr>
                <w:rFonts w:cs="Times New Roman"/>
                <w:sz w:val="22"/>
                <w:szCs w:val="22"/>
                <w:lang w:val="en-CA"/>
              </w:rPr>
              <w:instrText xml:space="preserve"> ADDIN ZOTERO_ITEM CSL_CITATION {"citationID":"k45tcKne","properties":{"formattedCitation":"(Tschitschko et al., 2024)","plainCitation":"(Tschitschko et al., 2024)","noteIndex":0},"citationItems":[{"id":4224,"uris":["http://zotero.org/users/764524/items/RJSM2ZMW"],"itemData":{"id":4224,"type":"article-journal","abstract":"Nitrogen (N2) fixation in oligotrophic surface waters is the main source of new nitrogen (N) to the ocean1 and plays a key role in fueling the biological carbon pump2. Oceanic N2 fixation is almost exclusively attributed to cyanobacteria, even though genes encoding nitrogenase, the enzyme fixing N2 into ammonia, are widespread among marine bacteria and archaea3-5. Little is known about these non-cyanobacterial N2-fixers and direct proof that they can fix N in the ocean is missing. Here we report the discovery of a non-cyanobacterial N2-fixing symbiont, Candidatus Tectiglobus diatomicola, which provides its diatom host with fixed-N in return for photosynthetic carbon. The N2-fixing symbiont belongs to the order Rhizobiales and its association with a unicellular diatom expands the known hosts for this order beyond the well-known N2-fixing rhizobia-legume symbioses on land6. Our results show that the rhizobia-diatom symbiosis can contribute as much fixed-N as cyanobacterial N2-fixers in the tropical North Atlantic, and that they may be responsible for N2 fixation in the vast regions of the ocean where cyanobacteria are too rare to account for the measured rates.","container-title":"Nature","DOI":"10.1038/s41586-024-07495-w","ISSN":"1476-4687","language":"en","license":"2024 The Author(s), under exclusive licence to Springer Nature Limited","note":"publisher: Nature Publishing Group","page":"1-3","source":"www.nature.com","title":"Rhizobia–diatom symbiosis fixes missing nitrogen in the ocean","author":[{"family":"Tschitschko","given":"Bernhard"},{"family":"Esti","given":"Mertcan"},{"family":"Philippi","given":"Miriam"},{"family":"Kidane","given":"Abiel T."},{"family":"Littmann","given":"Sten"},{"family":"Kitzinger","given":"Katharina"},{"family":"Speth","given":"Daan R."},{"family":"Li","given":"Shengjie"},{"family":"Kraberg","given":"Alexandra"},{"family":"Tienken","given":"Daniela"},{"family":"Marchant","given":"Hannah K."},{"family":"Kartal","given":"Boran"},{"family":"Milucka","given":"Jana"},{"family":"Mohr","given":"Wiebke"},{"family":"Kuypers","given":"Marcel M. M."}],"issued":{"date-parts":[["2024",5,9]]}}}],"schema":"https://github.com/citation-style-language/schema/raw/master/csl-citation.json"} </w:instrText>
            </w:r>
            <w:r w:rsidRPr="00C77F31">
              <w:rPr>
                <w:rFonts w:cs="Times New Roman"/>
                <w:sz w:val="22"/>
              </w:rPr>
              <w:fldChar w:fldCharType="separate"/>
            </w:r>
            <w:r w:rsidRPr="00C77F31">
              <w:rPr>
                <w:rFonts w:cs="Times New Roman"/>
                <w:sz w:val="22"/>
                <w:szCs w:val="22"/>
                <w:lang w:val="en-CA"/>
              </w:rPr>
              <w:t>(Tschitschko et al., 2024)</w:t>
            </w:r>
            <w:r w:rsidRPr="00C77F31">
              <w:rPr>
                <w:rFonts w:cs="Times New Roman"/>
                <w:sz w:val="22"/>
              </w:rPr>
              <w:fldChar w:fldCharType="end"/>
            </w:r>
          </w:p>
        </w:tc>
      </w:tr>
      <w:tr w:rsidR="00013930" w:rsidRPr="00833CE8" w14:paraId="1BDD182C" w14:textId="2D9F9BDE"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25B9D027" w14:textId="0F64B72D" w:rsidR="00013930" w:rsidRPr="00C77F31" w:rsidRDefault="00013930" w:rsidP="00534084">
            <w:pPr>
              <w:snapToGrid w:val="0"/>
              <w:rPr>
                <w:rStyle w:val="html-italic"/>
                <w:rFonts w:cs="Times New Roman"/>
                <w:b w:val="0"/>
                <w:bCs w:val="0"/>
                <w:i/>
                <w:iCs/>
                <w:sz w:val="22"/>
                <w:szCs w:val="22"/>
                <w:lang w:val="en-CA"/>
              </w:rPr>
            </w:pPr>
            <w:proofErr w:type="spellStart"/>
            <w:r w:rsidRPr="00C77F31">
              <w:rPr>
                <w:rStyle w:val="html-italic"/>
                <w:rFonts w:cs="Times New Roman"/>
                <w:b w:val="0"/>
                <w:bCs w:val="0"/>
                <w:i/>
                <w:iCs/>
                <w:color w:val="auto"/>
                <w:sz w:val="22"/>
                <w:szCs w:val="22"/>
                <w:lang w:val="en-CA"/>
              </w:rPr>
              <w:t>Rhodobacteraceae</w:t>
            </w:r>
            <w:proofErr w:type="spellEnd"/>
            <w:r w:rsidRPr="00C77F31">
              <w:rPr>
                <w:rStyle w:val="html-italic"/>
                <w:rFonts w:cs="Times New Roman"/>
                <w:b w:val="0"/>
                <w:bCs w:val="0"/>
                <w:i/>
                <w:iCs/>
                <w:color w:val="auto"/>
                <w:sz w:val="22"/>
                <w:szCs w:val="22"/>
                <w:lang w:val="en-CA"/>
              </w:rPr>
              <w:t xml:space="preserve"> </w:t>
            </w:r>
            <w:r w:rsidRPr="00C77F31">
              <w:rPr>
                <w:rStyle w:val="html-italic"/>
                <w:rFonts w:cs="Times New Roman"/>
                <w:b w:val="0"/>
                <w:bCs w:val="0"/>
                <w:color w:val="auto"/>
                <w:sz w:val="22"/>
                <w:szCs w:val="22"/>
                <w:lang w:val="en-CA"/>
              </w:rPr>
              <w:t>strains</w:t>
            </w:r>
          </w:p>
        </w:tc>
        <w:tc>
          <w:tcPr>
            <w:tcW w:w="1842" w:type="dxa"/>
            <w:tcBorders>
              <w:left w:val="single" w:sz="4" w:space="0" w:color="auto"/>
            </w:tcBorders>
            <w:shd w:val="clear" w:color="auto" w:fill="D9ECFF"/>
            <w:vAlign w:val="center"/>
          </w:tcPr>
          <w:p w14:paraId="647331BF" w14:textId="173462BA" w:rsidR="00013930" w:rsidRPr="00C77F31" w:rsidRDefault="00013930" w:rsidP="00534084">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proofErr w:type="spellStart"/>
            <w:r w:rsidRPr="00C77F31">
              <w:rPr>
                <w:rFonts w:cs="Times New Roman"/>
                <w:i/>
                <w:iCs/>
                <w:sz w:val="22"/>
                <w:szCs w:val="22"/>
                <w:lang w:val="en-CA"/>
              </w:rPr>
              <w:t>Phaeodactylum</w:t>
            </w:r>
            <w:proofErr w:type="spellEnd"/>
            <w:r w:rsidRPr="00C77F31">
              <w:rPr>
                <w:rFonts w:cs="Times New Roman"/>
                <w:i/>
                <w:iCs/>
                <w:sz w:val="22"/>
                <w:szCs w:val="22"/>
                <w:lang w:val="en-CA"/>
              </w:rPr>
              <w:t xml:space="preserve"> </w:t>
            </w:r>
            <w:proofErr w:type="spellStart"/>
            <w:r w:rsidRPr="00C77F31">
              <w:rPr>
                <w:rFonts w:cs="Times New Roman"/>
                <w:i/>
                <w:iCs/>
                <w:sz w:val="22"/>
                <w:szCs w:val="22"/>
                <w:lang w:val="en-CA"/>
              </w:rPr>
              <w:t>tricornutum</w:t>
            </w:r>
            <w:proofErr w:type="spellEnd"/>
            <w:r w:rsidRPr="00C77F31">
              <w:rPr>
                <w:rFonts w:cs="Times New Roman"/>
                <w:i/>
                <w:iCs/>
                <w:sz w:val="22"/>
                <w:szCs w:val="22"/>
                <w:lang w:val="en-CA"/>
              </w:rPr>
              <w:t xml:space="preserve">, </w:t>
            </w:r>
            <w:r w:rsidRPr="00C77F31">
              <w:rPr>
                <w:rFonts w:cs="Times New Roman"/>
                <w:i/>
                <w:iCs/>
                <w:sz w:val="22"/>
                <w:szCs w:val="22"/>
                <w:lang w:val="en-CA"/>
              </w:rPr>
              <w:lastRenderedPageBreak/>
              <w:t xml:space="preserve">Amphora </w:t>
            </w:r>
            <w:proofErr w:type="spellStart"/>
            <w:r w:rsidRPr="00C77F31">
              <w:rPr>
                <w:rFonts w:cs="Times New Roman"/>
                <w:i/>
                <w:iCs/>
                <w:sz w:val="22"/>
                <w:szCs w:val="22"/>
                <w:lang w:val="en-CA"/>
              </w:rPr>
              <w:t>coffeaeformis</w:t>
            </w:r>
            <w:proofErr w:type="spellEnd"/>
            <w:r w:rsidRPr="00C77F31">
              <w:rPr>
                <w:rFonts w:cs="Times New Roman"/>
                <w:i/>
                <w:iCs/>
                <w:sz w:val="22"/>
                <w:szCs w:val="22"/>
                <w:lang w:val="en-CA"/>
              </w:rPr>
              <w:t xml:space="preserve">, </w:t>
            </w:r>
            <w:proofErr w:type="spellStart"/>
            <w:r w:rsidRPr="00C77F31">
              <w:rPr>
                <w:rFonts w:cs="Times New Roman"/>
                <w:i/>
                <w:iCs/>
                <w:sz w:val="22"/>
                <w:szCs w:val="22"/>
                <w:lang w:val="en-CA"/>
              </w:rPr>
              <w:t>Thalassiosira</w:t>
            </w:r>
            <w:proofErr w:type="spellEnd"/>
            <w:r w:rsidRPr="00C77F31">
              <w:rPr>
                <w:rFonts w:cs="Times New Roman"/>
                <w:i/>
                <w:iCs/>
                <w:sz w:val="22"/>
                <w:szCs w:val="22"/>
                <w:lang w:val="en-CA"/>
              </w:rPr>
              <w:t xml:space="preserve"> </w:t>
            </w:r>
            <w:proofErr w:type="spellStart"/>
            <w:r w:rsidRPr="00C77F31">
              <w:rPr>
                <w:rFonts w:cs="Times New Roman"/>
                <w:i/>
                <w:iCs/>
                <w:sz w:val="22"/>
                <w:szCs w:val="22"/>
                <w:lang w:val="en-CA"/>
              </w:rPr>
              <w:t>pseudonana</w:t>
            </w:r>
            <w:proofErr w:type="spellEnd"/>
          </w:p>
        </w:tc>
        <w:tc>
          <w:tcPr>
            <w:tcW w:w="1985" w:type="dxa"/>
            <w:tcBorders>
              <w:left w:val="single" w:sz="4" w:space="0" w:color="auto"/>
            </w:tcBorders>
            <w:shd w:val="clear" w:color="auto" w:fill="D9ECFF"/>
            <w:vAlign w:val="center"/>
          </w:tcPr>
          <w:p w14:paraId="32485477" w14:textId="6EA65EB3" w:rsidR="00013930" w:rsidRPr="00C77F31" w:rsidRDefault="001B0B90" w:rsidP="001B0B90">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sz w:val="22"/>
                <w:szCs w:val="22"/>
                <w:lang w:val="en-CA"/>
              </w:rPr>
            </w:pPr>
            <w:r>
              <w:rPr>
                <w:rFonts w:cs="Times New Roman"/>
                <w:sz w:val="22"/>
                <w:szCs w:val="22"/>
                <w:lang w:val="en-CA"/>
              </w:rPr>
              <w:lastRenderedPageBreak/>
              <w:t>D</w:t>
            </w:r>
            <w:r w:rsidR="00013930" w:rsidRPr="00C77F31">
              <w:rPr>
                <w:rFonts w:cs="Times New Roman"/>
                <w:sz w:val="22"/>
                <w:szCs w:val="22"/>
                <w:lang w:val="en-CA"/>
              </w:rPr>
              <w:t xml:space="preserve">igestion of methylamines </w:t>
            </w:r>
            <w:r w:rsidR="00013930" w:rsidRPr="00C77F31">
              <w:rPr>
                <w:rFonts w:cs="Times New Roman"/>
                <w:sz w:val="22"/>
                <w:szCs w:val="22"/>
                <w:lang w:val="en-CA"/>
              </w:rPr>
              <w:lastRenderedPageBreak/>
              <w:t xml:space="preserve">(MAs) and glycine betaine (GBT) to release ammonium </w:t>
            </w:r>
          </w:p>
        </w:tc>
        <w:tc>
          <w:tcPr>
            <w:tcW w:w="1843" w:type="dxa"/>
            <w:tcBorders>
              <w:left w:val="single" w:sz="4" w:space="0" w:color="auto"/>
              <w:right w:val="single" w:sz="4" w:space="0" w:color="auto"/>
            </w:tcBorders>
            <w:shd w:val="clear" w:color="auto" w:fill="D9ECFF"/>
            <w:vAlign w:val="center"/>
          </w:tcPr>
          <w:p w14:paraId="666EDB6F" w14:textId="67F9393F" w:rsidR="00013930" w:rsidRPr="00C77F31" w:rsidRDefault="001B0B90" w:rsidP="001B0B90">
            <w:pPr>
              <w:snapToGrid w:val="0"/>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szCs w:val="22"/>
                <w:lang w:val="en-CA"/>
              </w:rPr>
              <w:lastRenderedPageBreak/>
              <w:t xml:space="preserve">Use of </w:t>
            </w:r>
            <w:r w:rsidRPr="00C77F31">
              <w:rPr>
                <w:rFonts w:cs="Times New Roman"/>
                <w:sz w:val="22"/>
                <w:szCs w:val="22"/>
                <w:lang w:val="en-CA"/>
              </w:rPr>
              <w:t>ammonium</w:t>
            </w:r>
          </w:p>
        </w:tc>
        <w:tc>
          <w:tcPr>
            <w:tcW w:w="1558" w:type="dxa"/>
            <w:tcBorders>
              <w:left w:val="single" w:sz="4" w:space="0" w:color="auto"/>
            </w:tcBorders>
            <w:shd w:val="clear" w:color="auto" w:fill="D9ECFF"/>
            <w:vAlign w:val="center"/>
          </w:tcPr>
          <w:p w14:paraId="5F2B53C9" w14:textId="4F4D6029" w:rsidR="00013930" w:rsidRPr="00C77F31" w:rsidRDefault="00013930" w:rsidP="00FC0005">
            <w:pPr>
              <w:snapToGrid w:val="0"/>
              <w:cnfStyle w:val="000000100000" w:firstRow="0" w:lastRow="0" w:firstColumn="0" w:lastColumn="0" w:oddVBand="0" w:evenVBand="0" w:oddHBand="1" w:evenHBand="0" w:firstRowFirstColumn="0" w:firstRowLastColumn="0" w:lastRowFirstColumn="0" w:lastRowLastColumn="0"/>
              <w:rPr>
                <w:rFonts w:cs="Times New Roman"/>
                <w:sz w:val="22"/>
                <w:szCs w:val="22"/>
                <w:lang w:val="en-CA"/>
              </w:rPr>
            </w:pPr>
            <w:r w:rsidRPr="00C77F31">
              <w:rPr>
                <w:rFonts w:cs="Times New Roman"/>
                <w:sz w:val="22"/>
              </w:rPr>
              <w:fldChar w:fldCharType="begin"/>
            </w:r>
            <w:r>
              <w:rPr>
                <w:rFonts w:cs="Times New Roman"/>
                <w:sz w:val="22"/>
                <w:szCs w:val="22"/>
                <w:lang w:val="en-CA"/>
              </w:rPr>
              <w:instrText xml:space="preserve"> ADDIN ZOTERO_ITEM CSL_CITATION {"citationID":"Vyr8D8NU","properties":{"formattedCitation":"(Zecher et al., 2020)","plainCitation":"(Zecher et al., 2020)","noteIndex":0},"citationItems":[{"id":"ICWxQiKF/UUL1ZFgS","uris":["http://zotero.org/users/764524/items/BX2YK4QQ"],"itemData":{"id":4649,"type":"article-journal","abstract":"&lt;p&gt;Dissolved organic nitrogen (DON) compounds such as methylamines (MAs) and glycine betaine (GBT) occur at detectable concentrations in marine habitats and are also produced and released by microalgae. For many marine bacteria, these DON compounds can serve as carbon, energy, and nitrogen sources, but microalgae usually cannot metabolize them. Interestingly though, it was previously shown that &lt;italic&gt;Donghicola&lt;/italic&gt; sp. strain KarMa—a member of the marine &lt;italic&gt;Rhodobacteraceae&lt;/italic&gt;—can cross-feed ammonium such that the ammonium it produces upon degrading monomethylamine (MMA) then serves as nitrogen source for the diatom &lt;italic&gt;Phaeodactylum tricornutum&lt;/italic&gt;; thus, these organisms form a mutual metabolic interaction under photoautotrophic conditions. In the present study, we investigated whether this interaction plays a broader role in bacteria–diatom interactions in general. Results showed that cross-feeding between strain KarMa and &lt;italic&gt;P. tricornutum&lt;/italic&gt; was also possible with di- and trimethylamine as well as with GBT. Further, cross-feeding of strain KarMa was also observed in cocultures with the diatoms &lt;italic&gt;Amphora coffeaeformis&lt;/italic&gt; and &lt;italic&gt;Thalassiosira pseudonana&lt;/italic&gt; with MMA as the sole nitrogen source. Regarding cross-feeding involving other &lt;italic&gt;Rhodobacteraceae&lt;/italic&gt; strains, the &lt;italic&gt;in silico&lt;/italic&gt; analysis of MA and GBT degradation pathways indicated that algae-associated &lt;italic&gt;Rhodobacteraceae&lt;/italic&gt;-type strains likely interact with &lt;italic&gt;P. tricornutum&lt;/italic&gt; in a similar manner as the strain KarMa does. For these types of strains (such as &lt;italic&gt;Celeribacter halophilus&lt;/italic&gt;, &lt;italic&gt;Roseobacter denitrificans&lt;/italic&gt;, &lt;italic&gt;Roseovarius indicus&lt;/italic&gt;, &lt;italic&gt;Ruegeria pomeroyi&lt;/italic&gt;, and &lt;italic&gt;Sulfitobacter noctilucicola&lt;/italic&gt;), ammonium cross-feeding after methylamine degradation showed species-specific patterns, whereas bacterial GBT degradation always led to diatom growth. Overall, the degradation of DON compounds by the &lt;italic&gt;Rhodobacteraceae&lt;/italic&gt; family and the subsequent cross-feeding of ammonium may represent a widespread, organism-specific, and regulated metabolic interaction for establishing and stabilizing associations with photoautotrophic diatoms in the oceans.&lt;/p&gt;","container-title":"Frontiers in Microbiology","DOI":"10.3389/fmicb.2020.533894","ISSN":"1664-302X","journalAbbreviation":"Front. Microbiol.","language":"English","note":"publisher: Frontiers","page":"533894","source":"Frontiers","title":"Evidence of Interdomain Ammonium Cross-Feeding From Methylamine- and Glycine Betaine-Degrading Rhodobacteraceae to Diatoms as a Widespread Interaction in the Marine Phycosphere","volume":"11","author":[{"family":"Zecher","given":"Karsten"},{"family":"Hayes","given":"Kristiane Rebecca"},{"family":"Philipp","given":"Bodo"}],"issued":{"date-parts":[["2020",10,6]]}}}],"schema":"https://github.com/citation-style-language/schema/raw/master/csl-citation.json"} </w:instrText>
            </w:r>
            <w:r w:rsidRPr="00C77F31">
              <w:rPr>
                <w:rFonts w:cs="Times New Roman"/>
                <w:sz w:val="22"/>
              </w:rPr>
              <w:fldChar w:fldCharType="separate"/>
            </w:r>
            <w:r w:rsidRPr="00C77F31">
              <w:rPr>
                <w:rFonts w:cs="Times New Roman"/>
                <w:sz w:val="22"/>
                <w:szCs w:val="22"/>
                <w:lang w:val="en-CA"/>
              </w:rPr>
              <w:t>(Zecher et al., 2020)</w:t>
            </w:r>
            <w:r w:rsidRPr="00C77F31">
              <w:rPr>
                <w:rFonts w:cs="Times New Roman"/>
                <w:sz w:val="22"/>
              </w:rPr>
              <w:fldChar w:fldCharType="end"/>
            </w:r>
          </w:p>
        </w:tc>
      </w:tr>
      <w:tr w:rsidR="00013930" w:rsidRPr="00833CE8" w14:paraId="0E6FA59A" w14:textId="1C3A3271"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tcPr>
          <w:p w14:paraId="0A31A123" w14:textId="7AFD84AA" w:rsidR="00013930" w:rsidRPr="00C77F31" w:rsidRDefault="00013930" w:rsidP="00767941">
            <w:pPr>
              <w:snapToGrid w:val="0"/>
              <w:rPr>
                <w:rStyle w:val="html-italic"/>
                <w:rFonts w:cs="Times New Roman"/>
                <w:b w:val="0"/>
                <w:bCs w:val="0"/>
                <w:i/>
                <w:iCs/>
                <w:color w:val="auto"/>
                <w:sz w:val="22"/>
                <w:szCs w:val="22"/>
                <w:lang w:val="en-CA"/>
              </w:rPr>
            </w:pPr>
            <w:r w:rsidRPr="00C77F31">
              <w:rPr>
                <w:rFonts w:cs="Times New Roman"/>
                <w:b w:val="0"/>
                <w:bCs w:val="0"/>
                <w:i/>
                <w:iCs/>
                <w:color w:val="auto"/>
                <w:sz w:val="22"/>
                <w:szCs w:val="22"/>
                <w:lang w:val="en-CA"/>
              </w:rPr>
              <w:t>Azotobacter spp</w:t>
            </w:r>
            <w:r w:rsidRPr="00C77F31">
              <w:rPr>
                <w:rFonts w:cs="Times New Roman"/>
                <w:b w:val="0"/>
                <w:bCs w:val="0"/>
                <w:color w:val="auto"/>
                <w:sz w:val="22"/>
                <w:szCs w:val="22"/>
                <w:lang w:val="en-CA"/>
              </w:rPr>
              <w:t>.</w:t>
            </w:r>
            <w:r>
              <w:rPr>
                <w:rFonts w:cs="Times New Roman"/>
                <w:b w:val="0"/>
                <w:bCs w:val="0"/>
                <w:color w:val="auto"/>
                <w:sz w:val="22"/>
                <w:szCs w:val="22"/>
                <w:lang w:val="en-CA"/>
              </w:rPr>
              <w:t xml:space="preserve">, </w:t>
            </w:r>
            <w:proofErr w:type="spellStart"/>
            <w:r w:rsidRPr="00C77F31">
              <w:rPr>
                <w:rFonts w:cs="Times New Roman"/>
                <w:b w:val="0"/>
                <w:bCs w:val="0"/>
                <w:i/>
                <w:iCs/>
                <w:color w:val="auto"/>
                <w:sz w:val="22"/>
                <w:szCs w:val="22"/>
                <w:lang w:val="en-CA"/>
              </w:rPr>
              <w:t>Azospirillum</w:t>
            </w:r>
            <w:proofErr w:type="spellEnd"/>
            <w:r w:rsidRPr="00C77F31">
              <w:rPr>
                <w:rFonts w:cs="Times New Roman"/>
                <w:b w:val="0"/>
                <w:bCs w:val="0"/>
                <w:i/>
                <w:iCs/>
                <w:color w:val="auto"/>
                <w:sz w:val="22"/>
                <w:szCs w:val="22"/>
                <w:lang w:val="en-CA"/>
              </w:rPr>
              <w:t xml:space="preserve"> </w:t>
            </w:r>
            <w:proofErr w:type="spellStart"/>
            <w:r w:rsidRPr="00C77F31">
              <w:rPr>
                <w:rFonts w:cs="Times New Roman"/>
                <w:b w:val="0"/>
                <w:bCs w:val="0"/>
                <w:i/>
                <w:iCs/>
                <w:color w:val="auto"/>
                <w:sz w:val="22"/>
                <w:szCs w:val="22"/>
                <w:lang w:val="en-CA"/>
              </w:rPr>
              <w:t>spp</w:t>
            </w:r>
            <w:proofErr w:type="spellEnd"/>
          </w:p>
        </w:tc>
        <w:tc>
          <w:tcPr>
            <w:tcW w:w="1842" w:type="dxa"/>
            <w:tcBorders>
              <w:left w:val="single" w:sz="4" w:space="0" w:color="auto"/>
            </w:tcBorders>
            <w:shd w:val="clear" w:color="auto" w:fill="D9ECFF"/>
          </w:tcPr>
          <w:p w14:paraId="2CFF7064" w14:textId="5DC658BC" w:rsidR="00013930" w:rsidRPr="00C77F31" w:rsidRDefault="00013930" w:rsidP="00767941">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lang w:val="en-CA"/>
              </w:rPr>
            </w:pPr>
            <w:r w:rsidRPr="00C77F31">
              <w:rPr>
                <w:rFonts w:cs="Times New Roman"/>
                <w:i/>
                <w:iCs/>
                <w:sz w:val="22"/>
                <w:szCs w:val="22"/>
                <w:lang w:val="en-CA"/>
              </w:rPr>
              <w:t xml:space="preserve">Chlamydomonas </w:t>
            </w:r>
            <w:r w:rsidRPr="00C77F31">
              <w:rPr>
                <w:rFonts w:cs="Times New Roman"/>
                <w:sz w:val="22"/>
                <w:szCs w:val="22"/>
                <w:lang w:val="en-CA"/>
              </w:rPr>
              <w:t>sp.</w:t>
            </w:r>
            <w:r w:rsidRPr="00C77F31">
              <w:rPr>
                <w:rFonts w:cs="Times New Roman"/>
                <w:i/>
                <w:iCs/>
                <w:sz w:val="22"/>
                <w:szCs w:val="22"/>
                <w:lang w:val="en-CA"/>
              </w:rPr>
              <w:t>, Chlorella</w:t>
            </w:r>
            <w:r w:rsidRPr="00C77F31">
              <w:rPr>
                <w:rFonts w:cs="Times New Roman"/>
                <w:sz w:val="22"/>
                <w:szCs w:val="22"/>
                <w:lang w:val="en-CA"/>
              </w:rPr>
              <w:t xml:space="preserve"> sp.</w:t>
            </w:r>
          </w:p>
        </w:tc>
        <w:tc>
          <w:tcPr>
            <w:tcW w:w="1985" w:type="dxa"/>
            <w:tcBorders>
              <w:left w:val="single" w:sz="4" w:space="0" w:color="auto"/>
            </w:tcBorders>
            <w:shd w:val="clear" w:color="auto" w:fill="D9ECFF"/>
            <w:vAlign w:val="center"/>
          </w:tcPr>
          <w:p w14:paraId="5E877A67" w14:textId="63F4A2B2" w:rsidR="00013930" w:rsidRPr="00C77F31" w:rsidRDefault="00013930" w:rsidP="001B0B90">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sz w:val="22"/>
                <w:szCs w:val="22"/>
                <w:lang w:val="en-CA"/>
              </w:rPr>
            </w:pPr>
            <w:r w:rsidRPr="00C77F31">
              <w:rPr>
                <w:rStyle w:val="html-italic"/>
                <w:rFonts w:cs="Times New Roman"/>
                <w:sz w:val="22"/>
                <w:szCs w:val="22"/>
                <w:lang w:val="en-CA"/>
              </w:rPr>
              <w:t>Nitrogen fixing</w:t>
            </w:r>
          </w:p>
        </w:tc>
        <w:tc>
          <w:tcPr>
            <w:tcW w:w="1843" w:type="dxa"/>
            <w:tcBorders>
              <w:left w:val="single" w:sz="4" w:space="0" w:color="auto"/>
              <w:right w:val="single" w:sz="4" w:space="0" w:color="auto"/>
            </w:tcBorders>
            <w:shd w:val="clear" w:color="auto" w:fill="D9ECFF"/>
            <w:vAlign w:val="center"/>
          </w:tcPr>
          <w:p w14:paraId="037C074C" w14:textId="461D7C9F" w:rsidR="00013930" w:rsidRPr="00C77F31" w:rsidRDefault="001B0B90" w:rsidP="001B0B90">
            <w:pPr>
              <w:snapToGrid w:val="0"/>
              <w:cnfStyle w:val="000000000000" w:firstRow="0" w:lastRow="0" w:firstColumn="0" w:lastColumn="0" w:oddVBand="0" w:evenVBand="0" w:oddHBand="0" w:evenHBand="0" w:firstRowFirstColumn="0" w:firstRowLastColumn="0" w:lastRowFirstColumn="0" w:lastRowLastColumn="0"/>
              <w:rPr>
                <w:rFonts w:cs="Times New Roman"/>
                <w:sz w:val="22"/>
              </w:rPr>
            </w:pPr>
            <w:r>
              <w:rPr>
                <w:rStyle w:val="html-italic"/>
                <w:rFonts w:cs="Times New Roman"/>
                <w:sz w:val="22"/>
                <w:szCs w:val="22"/>
                <w:lang w:val="en-CA"/>
              </w:rPr>
              <w:t>C</w:t>
            </w:r>
            <w:r w:rsidRPr="00C77F31">
              <w:rPr>
                <w:rStyle w:val="html-italic"/>
                <w:rFonts w:cs="Times New Roman"/>
                <w:sz w:val="22"/>
                <w:szCs w:val="22"/>
                <w:lang w:val="en-CA"/>
              </w:rPr>
              <w:t xml:space="preserve">arbon fixing </w:t>
            </w:r>
          </w:p>
        </w:tc>
        <w:tc>
          <w:tcPr>
            <w:tcW w:w="1558" w:type="dxa"/>
            <w:tcBorders>
              <w:left w:val="single" w:sz="4" w:space="0" w:color="auto"/>
            </w:tcBorders>
            <w:shd w:val="clear" w:color="auto" w:fill="D9ECFF"/>
            <w:vAlign w:val="center"/>
          </w:tcPr>
          <w:p w14:paraId="7FADEC84" w14:textId="45E529A9" w:rsidR="00013930" w:rsidRPr="00C77F31" w:rsidRDefault="00013930" w:rsidP="00FC0005">
            <w:pPr>
              <w:snapToGrid w:val="0"/>
              <w:cnfStyle w:val="000000000000" w:firstRow="0" w:lastRow="0" w:firstColumn="0" w:lastColumn="0" w:oddVBand="0" w:evenVBand="0" w:oddHBand="0" w:evenHBand="0" w:firstRowFirstColumn="0" w:firstRowLastColumn="0" w:lastRowFirstColumn="0" w:lastRowLastColumn="0"/>
              <w:rPr>
                <w:rFonts w:cs="Times New Roman"/>
                <w:i/>
                <w:iCs/>
                <w:sz w:val="22"/>
                <w:szCs w:val="22"/>
                <w:lang w:val="en-CA"/>
              </w:rPr>
            </w:pPr>
            <w:r w:rsidRPr="00C77F31">
              <w:rPr>
                <w:rFonts w:cs="Times New Roman"/>
                <w:sz w:val="22"/>
              </w:rPr>
              <w:fldChar w:fldCharType="begin"/>
            </w:r>
            <w:r w:rsidRPr="00C77F31">
              <w:rPr>
                <w:rFonts w:cs="Times New Roman"/>
                <w:sz w:val="22"/>
                <w:szCs w:val="22"/>
                <w:lang w:val="en-CA"/>
              </w:rPr>
              <w:instrText xml:space="preserve"> ADDIN ZOTERO_ITEM CSL_CITATION {"citationID":"cV4u5QU0","properties":{"formattedCitation":"(Llamas et al., 2023)","plainCitation":"(Llamas et al., 2023)","noteIndex":0},"citationItems":[{"id":4326,"uris":["http://zotero.org/users/764524/items/G57GTBU2"],"itemData":{"id":4326,"type":"article-journal","abstract":"Microalgae are used in various biotechnological processes, such as biofuel production due to their high biomass yields, agriculture as biofertilizers, production of high-value-added products, decontamination of wastewater, or as biological models for carbon sequestration. The number of these biotechnological applications is increasing, and as such, any advances that contribute to reducing costs and increasing economic profitability can have a significant impact. Nitrogen fixing organisms, often called diazotroph, also have great biotechnological potential, mainly in agriculture as an alternative to chemical fertilizers. Microbial consortia typically perform more complex tasks than monocultures and can execute functions that are challenging or even impossible for individual strains or species. Interestingly, microalgae and diazotrophic organisms are capable to embrace different types of symbiotic associations. Certain corals and lichens exhibit this symbiotic relationship in nature, which enhances their fitness. However, this relationship can also be artificially created in laboratory conditions with the objective of enhancing some of the biotechnological processes that each organism carries out independently. As a result, the utilization of microalgae and diazotrophic organisms in consortia is garnering significant interest as a potential alternative for reducing production costs and increasing yields of microalgae biomass, as well as for producing derived products and serving biotechnological purposes. This review makes an effort to examine the associations of microalgae and diazotrophic organisms, with the aim of highlighting the potential of these associations in improving various biotechnological processes.","container-title":"Plants","DOI":"10.3390/plants12132476","ISSN":"2223-7747","issue":"13","language":"en","license":"http://creativecommons.org/licenses/by/3.0/","note":"number: 13\npublisher: Multidisciplinary Digital Publishing Institute","page":"2476","source":"www.mdpi.com","title":"Microalgal and Nitrogen-Fixing Bacterial Consortia: From Interaction to Biotechnological Potential","title-short":"Microalgal and Nitrogen-Fixing Bacterial Consortia","volume":"12","author":[{"family":"Llamas","given":"Angel"},{"family":"Leon-Miranda","given":"Esperanza"},{"family":"Tejada-Jimenez","given":"Manuel"}],"issued":{"date-parts":[["2023",1]]}}}],"schema":"https://github.com/citation-style-language/schema/raw/master/csl-citation.json"} </w:instrText>
            </w:r>
            <w:r w:rsidRPr="00C77F31">
              <w:rPr>
                <w:rFonts w:cs="Times New Roman"/>
                <w:sz w:val="22"/>
              </w:rPr>
              <w:fldChar w:fldCharType="separate"/>
            </w:r>
            <w:r w:rsidRPr="00C77F31">
              <w:rPr>
                <w:rFonts w:cs="Times New Roman"/>
                <w:sz w:val="22"/>
                <w:szCs w:val="22"/>
                <w:lang w:val="en-CA"/>
              </w:rPr>
              <w:t>(Llamas et al., 2023)</w:t>
            </w:r>
            <w:r w:rsidRPr="00C77F31">
              <w:rPr>
                <w:rFonts w:cs="Times New Roman"/>
                <w:sz w:val="22"/>
              </w:rPr>
              <w:fldChar w:fldCharType="end"/>
            </w:r>
          </w:p>
        </w:tc>
      </w:tr>
      <w:tr w:rsidR="00013930" w:rsidRPr="00833CE8" w14:paraId="2F6B68F7" w14:textId="4E57917E"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17EB023E" w14:textId="3B5D513A" w:rsidR="00013930" w:rsidRPr="00C77F31" w:rsidRDefault="00013930" w:rsidP="00FC0005">
            <w:pPr>
              <w:snapToGrid w:val="0"/>
              <w:rPr>
                <w:rFonts w:cs="Times New Roman"/>
                <w:b w:val="0"/>
                <w:bCs w:val="0"/>
                <w:color w:val="auto"/>
                <w:sz w:val="22"/>
                <w:szCs w:val="22"/>
                <w:lang w:val="en-CA"/>
              </w:rPr>
            </w:pPr>
            <w:r w:rsidRPr="00C77F31">
              <w:rPr>
                <w:rFonts w:cs="Times New Roman"/>
                <w:b w:val="0"/>
                <w:bCs w:val="0"/>
                <w:color w:val="auto"/>
                <w:sz w:val="22"/>
                <w:szCs w:val="22"/>
                <w:lang w:val="en-CA"/>
              </w:rPr>
              <w:t>Bacteria from activated sludge</w:t>
            </w:r>
          </w:p>
        </w:tc>
        <w:tc>
          <w:tcPr>
            <w:tcW w:w="1842" w:type="dxa"/>
            <w:tcBorders>
              <w:left w:val="single" w:sz="4" w:space="0" w:color="auto"/>
            </w:tcBorders>
            <w:shd w:val="clear" w:color="auto" w:fill="D9ECFF"/>
            <w:vAlign w:val="center"/>
          </w:tcPr>
          <w:p w14:paraId="2DC1B275" w14:textId="52019A47" w:rsidR="00013930" w:rsidRPr="00C77F31" w:rsidRDefault="00013930" w:rsidP="00FC0005">
            <w:pPr>
              <w:snapToGrid w:val="0"/>
              <w:cnfStyle w:val="000000100000" w:firstRow="0" w:lastRow="0" w:firstColumn="0" w:lastColumn="0" w:oddVBand="0" w:evenVBand="0" w:oddHBand="1" w:evenHBand="0" w:firstRowFirstColumn="0" w:firstRowLastColumn="0" w:lastRowFirstColumn="0" w:lastRowLastColumn="0"/>
              <w:rPr>
                <w:rFonts w:cs="Times New Roman"/>
                <w:i/>
                <w:iCs/>
                <w:sz w:val="22"/>
                <w:szCs w:val="22"/>
                <w:lang w:val="en-CA"/>
              </w:rPr>
            </w:pPr>
            <w:r w:rsidRPr="00C77F31">
              <w:rPr>
                <w:rFonts w:cs="Times New Roman"/>
                <w:i/>
                <w:iCs/>
                <w:sz w:val="22"/>
                <w:szCs w:val="22"/>
                <w:lang w:val="en-CA"/>
              </w:rPr>
              <w:t xml:space="preserve">Chlorella sp., Scenedesmus sp., Pediastrum sp., </w:t>
            </w:r>
            <w:proofErr w:type="spellStart"/>
            <w:r w:rsidRPr="00C77F31">
              <w:rPr>
                <w:rFonts w:cs="Times New Roman"/>
                <w:i/>
                <w:iCs/>
                <w:sz w:val="22"/>
                <w:szCs w:val="22"/>
                <w:lang w:val="en-CA"/>
              </w:rPr>
              <w:t>Phormidium</w:t>
            </w:r>
            <w:proofErr w:type="spellEnd"/>
            <w:r w:rsidRPr="00C77F31">
              <w:rPr>
                <w:rFonts w:cs="Times New Roman"/>
                <w:i/>
                <w:iCs/>
                <w:sz w:val="22"/>
                <w:szCs w:val="22"/>
                <w:lang w:val="en-CA"/>
              </w:rPr>
              <w:t xml:space="preserve"> sp.</w:t>
            </w:r>
          </w:p>
        </w:tc>
        <w:tc>
          <w:tcPr>
            <w:tcW w:w="1985" w:type="dxa"/>
            <w:tcBorders>
              <w:left w:val="single" w:sz="4" w:space="0" w:color="auto"/>
            </w:tcBorders>
            <w:shd w:val="clear" w:color="auto" w:fill="D9ECFF"/>
            <w:vAlign w:val="center"/>
          </w:tcPr>
          <w:p w14:paraId="7AE7F33D" w14:textId="5566D5DC" w:rsidR="00013930" w:rsidRPr="00C77F31" w:rsidRDefault="001B0B90" w:rsidP="001B0B90">
            <w:pPr>
              <w:snapToGrid w:val="0"/>
              <w:cnfStyle w:val="000000100000" w:firstRow="0" w:lastRow="0" w:firstColumn="0" w:lastColumn="0" w:oddVBand="0" w:evenVBand="0" w:oddHBand="1" w:evenHBand="0" w:firstRowFirstColumn="0" w:firstRowLastColumn="0" w:lastRowFirstColumn="0" w:lastRowLastColumn="0"/>
              <w:rPr>
                <w:rFonts w:cs="Times New Roman"/>
                <w:sz w:val="22"/>
                <w:szCs w:val="22"/>
                <w:lang w:val="en-CA"/>
              </w:rPr>
            </w:pPr>
            <w:r w:rsidRPr="001B0B90">
              <w:rPr>
                <w:rFonts w:cs="Times New Roman"/>
                <w:sz w:val="22"/>
                <w:szCs w:val="22"/>
                <w:lang w:val="en-CA"/>
              </w:rPr>
              <w:t>Bacteria enhancing growth of algae and preventing contamination</w:t>
            </w:r>
          </w:p>
        </w:tc>
        <w:tc>
          <w:tcPr>
            <w:tcW w:w="1843" w:type="dxa"/>
            <w:tcBorders>
              <w:left w:val="single" w:sz="4" w:space="0" w:color="auto"/>
              <w:right w:val="single" w:sz="4" w:space="0" w:color="auto"/>
            </w:tcBorders>
            <w:shd w:val="clear" w:color="auto" w:fill="D9ECFF"/>
            <w:vAlign w:val="center"/>
          </w:tcPr>
          <w:p w14:paraId="0E50C5F3" w14:textId="7FD71F65" w:rsidR="00013930" w:rsidRPr="00C77F31" w:rsidRDefault="001B0B90" w:rsidP="001B0B90">
            <w:pPr>
              <w:snapToGrid w:val="0"/>
              <w:cnfStyle w:val="000000100000" w:firstRow="0" w:lastRow="0" w:firstColumn="0" w:lastColumn="0" w:oddVBand="0" w:evenVBand="0" w:oddHBand="1" w:evenHBand="0" w:firstRowFirstColumn="0" w:firstRowLastColumn="0" w:lastRowFirstColumn="0" w:lastRowLastColumn="0"/>
              <w:rPr>
                <w:rFonts w:cs="Times New Roman"/>
                <w:sz w:val="22"/>
              </w:rPr>
            </w:pPr>
            <w:r w:rsidRPr="00C77F31">
              <w:rPr>
                <w:rFonts w:cs="Times New Roman"/>
                <w:sz w:val="22"/>
                <w:szCs w:val="22"/>
                <w:lang w:val="en-CA"/>
              </w:rPr>
              <w:t>CO</w:t>
            </w:r>
            <w:r w:rsidRPr="00C77F31">
              <w:rPr>
                <w:rFonts w:cs="Times New Roman"/>
                <w:sz w:val="22"/>
                <w:szCs w:val="22"/>
                <w:vertAlign w:val="subscript"/>
                <w:lang w:val="en-CA"/>
              </w:rPr>
              <w:t xml:space="preserve">2 </w:t>
            </w:r>
            <w:r w:rsidRPr="00C77F31">
              <w:rPr>
                <w:rFonts w:cs="Times New Roman"/>
                <w:sz w:val="22"/>
                <w:szCs w:val="22"/>
                <w:lang w:val="en-CA"/>
              </w:rPr>
              <w:t xml:space="preserve">fixation and nutrient removal from wastewater </w:t>
            </w:r>
          </w:p>
        </w:tc>
        <w:tc>
          <w:tcPr>
            <w:tcW w:w="1558" w:type="dxa"/>
            <w:tcBorders>
              <w:left w:val="single" w:sz="4" w:space="0" w:color="auto"/>
            </w:tcBorders>
            <w:shd w:val="clear" w:color="auto" w:fill="D9ECFF"/>
            <w:vAlign w:val="center"/>
          </w:tcPr>
          <w:p w14:paraId="10756D43" w14:textId="4830AC5A" w:rsidR="00013930" w:rsidRPr="00C77F31" w:rsidRDefault="00013930" w:rsidP="00FC0005">
            <w:pPr>
              <w:snapToGrid w:val="0"/>
              <w:cnfStyle w:val="000000100000" w:firstRow="0" w:lastRow="0" w:firstColumn="0" w:lastColumn="0" w:oddVBand="0" w:evenVBand="0" w:oddHBand="1" w:evenHBand="0" w:firstRowFirstColumn="0" w:firstRowLastColumn="0" w:lastRowFirstColumn="0" w:lastRowLastColumn="0"/>
              <w:rPr>
                <w:rFonts w:cs="Times New Roman"/>
                <w:i/>
                <w:iCs/>
                <w:sz w:val="22"/>
                <w:szCs w:val="22"/>
                <w:lang w:val="en-CA"/>
              </w:rPr>
            </w:pPr>
            <w:r w:rsidRPr="00C77F31">
              <w:rPr>
                <w:rFonts w:cs="Times New Roman"/>
                <w:sz w:val="22"/>
              </w:rPr>
              <w:fldChar w:fldCharType="begin"/>
            </w:r>
            <w:r w:rsidRPr="00C77F31">
              <w:rPr>
                <w:rFonts w:cs="Times New Roman"/>
                <w:sz w:val="22"/>
                <w:szCs w:val="22"/>
                <w:lang w:val="en-CA"/>
              </w:rPr>
              <w:instrText xml:space="preserve"> ADDIN ZOTERO_ITEM CSL_CITATION {"citationID":"72gNKD0I","properties":{"formattedCitation":"(Kong et al., 2024)","plainCitation":"(Kong et al., 2024)","noteIndex":0},"citationItems":[{"id":4345,"uris":["http://zotero.org/users/764524/items/4EYUDNRK"],"itemData":{"id":4345,"type":"article-journal","abstract":"The cultivation of microalgae and microalgae–bacteria consortia provide a potential efficient strategy to fix CO2 from waste gas, treat wastewater and produce value-added products subsequently. This paper reviews recent developments in CO2 fixation and wastewater treatment by single microalgae, mixed microalgae and microalgae–bacteria consortia, as well as compares and summarizes the differences in utilizing different microorganisms from different aspects. Compared to monoculture of microalgae, a mixed microalgae and microalgae–bacteria consortium may mitigate environmental risk, obtain high biomass, and improve the efficiency of nutrient removal. The applied microalgae include Chlorella sp., Scenedesmus sp., Pediastrum sp., and Phormidium sp. among others, and most strains belong to Chlorophyta and Cyanophyta. The bacteria in microalgae–bacteria consortia are mainly from activated sludge and specific sewage sources. Bioengineer in CBB cycle in microalgae cells provide effective strategy to achieve improvement of CO2 fixation or a high yield of high-value products. The mechanisms of CO2 fixation and nutrient removal by different microbial systems are also explored and concluded, the importance of microalgae in the technology is proven. After cultivation, microalgae biomass can be harvested through physical, chemical, biological and magnetic separation methods and used to produce high-value by-products, such as biofuel, feed, food, biochar, fertilizer, and pharmaceutical bio-compounds. Although this technology has brought many benefits, some challenging obstacles and limitation remain for industrialization and commercializing.","container-title":"Biotechnology for Biofuels and Bioproducts","DOI":"10.1186/s13068-023-02409-w","ISSN":"2731-3654","issue":"1","journalAbbreviation":"Biotechnol. Biofuels Bioprod.","page":"26","source":"BioMed Central","title":"Cultivation of microalgae–bacteria consortium by waste gas–waste water to achieve CO2 fixation, wastewater purification and bioproducts production","volume":"17","author":[{"family":"Kong","given":"Wenwen"},{"family":"Kong","given":"Jia"},{"family":"Feng","given":"Shuo"},{"family":"Yang","given":"TianTian"},{"family":"Xu","given":"Lianfei"},{"family":"Shen","given":"Boxiong"},{"family":"Bi","given":"Yonghong"},{"family":"Lyu","given":"Honghong"}],"issued":{"date-parts":[["2024",2,15]]}}}],"schema":"https://github.com/citation-style-language/schema/raw/master/csl-citation.json"} </w:instrText>
            </w:r>
            <w:r w:rsidRPr="00C77F31">
              <w:rPr>
                <w:rFonts w:cs="Times New Roman"/>
                <w:sz w:val="22"/>
              </w:rPr>
              <w:fldChar w:fldCharType="separate"/>
            </w:r>
            <w:r w:rsidRPr="00C77F31">
              <w:rPr>
                <w:rFonts w:cs="Times New Roman"/>
                <w:sz w:val="22"/>
                <w:szCs w:val="22"/>
                <w:lang w:val="en-CA"/>
              </w:rPr>
              <w:t>(Kong et al., 2024)</w:t>
            </w:r>
            <w:r w:rsidRPr="00C77F31">
              <w:rPr>
                <w:rFonts w:cs="Times New Roman"/>
                <w:sz w:val="22"/>
              </w:rPr>
              <w:fldChar w:fldCharType="end"/>
            </w:r>
          </w:p>
        </w:tc>
      </w:tr>
      <w:tr w:rsidR="00013930" w:rsidRPr="00833CE8" w14:paraId="5E38749A" w14:textId="77777777"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2BA1E5A9" w14:textId="7B7859D6" w:rsidR="00013930" w:rsidRPr="00C77F31" w:rsidRDefault="00013930" w:rsidP="00534084">
            <w:pPr>
              <w:snapToGrid w:val="0"/>
              <w:rPr>
                <w:rStyle w:val="html-italic"/>
                <w:rFonts w:cs="Times New Roman"/>
                <w:b w:val="0"/>
                <w:bCs w:val="0"/>
                <w:i/>
                <w:iCs/>
                <w:color w:val="auto"/>
                <w:sz w:val="22"/>
                <w:szCs w:val="22"/>
                <w:lang w:val="en-CA"/>
              </w:rPr>
            </w:pPr>
            <w:proofErr w:type="spellStart"/>
            <w:r w:rsidRPr="00C77F31">
              <w:rPr>
                <w:b w:val="0"/>
                <w:bCs w:val="0"/>
                <w:i/>
                <w:iCs/>
                <w:color w:val="auto"/>
                <w:sz w:val="22"/>
                <w:szCs w:val="22"/>
                <w:lang w:val="en-CA"/>
              </w:rPr>
              <w:t>Roseibium</w:t>
            </w:r>
            <w:proofErr w:type="spellEnd"/>
            <w:r w:rsidRPr="00C77F31">
              <w:rPr>
                <w:b w:val="0"/>
                <w:bCs w:val="0"/>
                <w:color w:val="auto"/>
                <w:sz w:val="22"/>
                <w:szCs w:val="22"/>
                <w:lang w:val="en-CA"/>
              </w:rPr>
              <w:t xml:space="preserve"> RMAR6-6 </w:t>
            </w:r>
            <w:r w:rsidRPr="00C77F31">
              <w:rPr>
                <w:rFonts w:cs="Times New Roman"/>
                <w:b w:val="0"/>
                <w:bCs w:val="0"/>
                <w:color w:val="auto"/>
                <w:sz w:val="22"/>
                <w:szCs w:val="22"/>
                <w:lang w:val="en-CA"/>
              </w:rPr>
              <w:t xml:space="preserve"> </w:t>
            </w:r>
          </w:p>
        </w:tc>
        <w:tc>
          <w:tcPr>
            <w:tcW w:w="1842" w:type="dxa"/>
            <w:tcBorders>
              <w:left w:val="single" w:sz="4" w:space="0" w:color="auto"/>
            </w:tcBorders>
            <w:shd w:val="clear" w:color="auto" w:fill="D9ECFF"/>
            <w:vAlign w:val="center"/>
          </w:tcPr>
          <w:p w14:paraId="7CF45C90" w14:textId="1DAB6C43" w:rsidR="00013930" w:rsidRPr="00C77F31" w:rsidRDefault="00013930" w:rsidP="00534084">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lang w:val="en-CA"/>
              </w:rPr>
            </w:pPr>
            <w:proofErr w:type="spellStart"/>
            <w:r w:rsidRPr="00C77F31">
              <w:rPr>
                <w:i/>
                <w:iCs/>
                <w:sz w:val="22"/>
                <w:szCs w:val="22"/>
                <w:lang w:val="en-CA"/>
              </w:rPr>
              <w:t>Porphyridium</w:t>
            </w:r>
            <w:proofErr w:type="spellEnd"/>
            <w:r w:rsidRPr="00C77F31">
              <w:rPr>
                <w:i/>
                <w:iCs/>
                <w:sz w:val="22"/>
                <w:szCs w:val="22"/>
                <w:lang w:val="en-CA"/>
              </w:rPr>
              <w:t xml:space="preserve"> purpureum</w:t>
            </w:r>
            <w:r w:rsidRPr="00C77F31">
              <w:rPr>
                <w:sz w:val="22"/>
                <w:szCs w:val="22"/>
                <w:lang w:val="en-CA"/>
              </w:rPr>
              <w:t xml:space="preserve"> CCMP1328</w:t>
            </w:r>
          </w:p>
        </w:tc>
        <w:tc>
          <w:tcPr>
            <w:tcW w:w="1985" w:type="dxa"/>
            <w:tcBorders>
              <w:left w:val="single" w:sz="4" w:space="0" w:color="auto"/>
            </w:tcBorders>
            <w:shd w:val="clear" w:color="auto" w:fill="D9ECFF"/>
            <w:vAlign w:val="center"/>
          </w:tcPr>
          <w:p w14:paraId="4590005D" w14:textId="21FA1C3D" w:rsidR="00013930" w:rsidRPr="00C77F31" w:rsidRDefault="00013930" w:rsidP="001B0B90">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Cs/>
                <w:sz w:val="22"/>
                <w:szCs w:val="22"/>
                <w:lang w:val="en-CA"/>
              </w:rPr>
            </w:pPr>
            <w:r w:rsidRPr="00C77F31">
              <w:rPr>
                <w:rStyle w:val="html-italic"/>
                <w:rFonts w:cs="Times New Roman"/>
                <w:iCs/>
                <w:sz w:val="22"/>
                <w:szCs w:val="22"/>
                <w:lang w:val="en-CA"/>
              </w:rPr>
              <w:t xml:space="preserve">Release of putrescine </w:t>
            </w:r>
          </w:p>
        </w:tc>
        <w:tc>
          <w:tcPr>
            <w:tcW w:w="1843" w:type="dxa"/>
            <w:tcBorders>
              <w:left w:val="single" w:sz="4" w:space="0" w:color="auto"/>
              <w:right w:val="single" w:sz="4" w:space="0" w:color="auto"/>
            </w:tcBorders>
            <w:shd w:val="clear" w:color="auto" w:fill="D9ECFF"/>
            <w:vAlign w:val="center"/>
          </w:tcPr>
          <w:p w14:paraId="21BA81D0" w14:textId="53736837" w:rsidR="00013930" w:rsidRPr="00C77F31" w:rsidRDefault="001B0B90" w:rsidP="001B0B90">
            <w:pPr>
              <w:snapToGrid w:val="0"/>
              <w:cnfStyle w:val="000000000000" w:firstRow="0" w:lastRow="0" w:firstColumn="0" w:lastColumn="0" w:oddVBand="0" w:evenVBand="0" w:oddHBand="0" w:evenHBand="0" w:firstRowFirstColumn="0" w:firstRowLastColumn="0" w:lastRowFirstColumn="0" w:lastRowLastColumn="0"/>
              <w:rPr>
                <w:rFonts w:cs="Times New Roman"/>
                <w:sz w:val="22"/>
              </w:rPr>
            </w:pPr>
            <w:r>
              <w:rPr>
                <w:rStyle w:val="html-italic"/>
                <w:rFonts w:cs="Times New Roman"/>
                <w:iCs/>
                <w:sz w:val="22"/>
                <w:szCs w:val="22"/>
                <w:lang w:val="en-CA"/>
              </w:rPr>
              <w:t>E</w:t>
            </w:r>
            <w:r w:rsidRPr="00C77F31">
              <w:rPr>
                <w:rStyle w:val="html-italic"/>
                <w:rFonts w:cs="Times New Roman"/>
                <w:iCs/>
                <w:sz w:val="22"/>
                <w:szCs w:val="22"/>
                <w:lang w:val="en-CA"/>
              </w:rPr>
              <w:t>nhancing microalgal growth</w:t>
            </w:r>
          </w:p>
        </w:tc>
        <w:tc>
          <w:tcPr>
            <w:tcW w:w="1558" w:type="dxa"/>
            <w:tcBorders>
              <w:left w:val="single" w:sz="4" w:space="0" w:color="auto"/>
            </w:tcBorders>
            <w:shd w:val="clear" w:color="auto" w:fill="D9ECFF"/>
            <w:vAlign w:val="center"/>
          </w:tcPr>
          <w:p w14:paraId="406AD9F5" w14:textId="4BC6B92B" w:rsidR="00013930" w:rsidRPr="00C77F31" w:rsidRDefault="00013930" w:rsidP="00FC0005">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lang w:val="en-CA"/>
              </w:rPr>
            </w:pPr>
            <w:r w:rsidRPr="00C77F31">
              <w:rPr>
                <w:rFonts w:cs="Times New Roman"/>
                <w:sz w:val="22"/>
              </w:rPr>
              <w:fldChar w:fldCharType="begin"/>
            </w:r>
            <w:r w:rsidRPr="00C77F31">
              <w:rPr>
                <w:rFonts w:cs="Times New Roman"/>
                <w:sz w:val="22"/>
                <w:szCs w:val="22"/>
                <w:lang w:val="en-CA"/>
              </w:rPr>
              <w:instrText xml:space="preserve"> ADDIN ZOTERO_ITEM CSL_CITATION {"citationID":"TP4cPTe0","properties":{"formattedCitation":"(Kim et al., 2024)","plainCitation":"(Kim et al., 2024)","noteIndex":0},"citationItems":[{"id":4533,"uris":["http://zotero.org/users/764524/items/YVRFJFUS"],"itemData":{"id":4533,"type":"article-journal","abstract":"Mutualistic interactions between marine phototrophs and associated bacteria are an important strategy for their successful survival in the ocean, but little is known about their metabolic relationships. Here, bacterial communities in the algal sphere (AS) and bulk solution (BS) of nine marine red algal cultures were analyzed, and Roseibium and Phycisphaera were identified significantly more abundantly in AS than in BS. The metabolic features of Roseibium RMAR6-6 (isolated and genome-sequenced), Phycisphaera MAG 12 (obtained by metagenomic sequencing), and a marine red alga, Porphyridium purpureum CCMP1328 (from GenBank), were analyzed bioinformatically. RMAR6-6 has the genetic capability to fix nitrogen and produce B vitamins (B1, B2, B5, B6, B9, and B12), bacterioferritin, dimethylsulfoniopropionate (DMSP), and phenylacetate that may enhance algal growth, whereas MAG 12 may have a limited metabolic capability, not producing vitamins B9 and B12, DMSP, phenylacetate, and siderophores, but with the ability to produce bacitracin, possibly modulating algal microbiome. P. purpureum CCMP1328 lacks the genetic capability to fix nitrogen and produce vitamin B12, DMSP, phenylacetate, and siderophore. It was shown that the nitrogen-fixing ability of RMAR6-6 promoted the growth of P. purpureum, and DMSP reduced the oxidative stress of P. purpureum. The metabolic interactions between strain RMAR6-6 and P. purpureum CCMP1328 were also investigated by the transcriptomic analyses of their monoculture and co-culture. Taken together, potential metabolic relationships between Roseibium and P. purpureum were proposed. This study provides a better understanding of the metabolic relationships between marine algae and algae-associated bacteria for successful growth.","container-title":"Marine Life Science &amp; Technology","DOI":"10.1007/s42995-024-00227-z","ISSN":"2662-1746","issue":"2","journalAbbreviation":"Mar. Life Sci. Technol.","language":"en","page":"298-314","source":"Springer Link","title":"Metabolic relationships between marine red algae and algae-associated bacteria","volume":"6","author":[{"family":"Kim","given":"Kyung Hyun"},{"family":"Kim","given":"Jeong Min"},{"family":"Baek","given":"Ju Hye"},{"family":"Jeong","given":"Sang Eun"},{"family":"Kim","given":"Hocheol"},{"family":"Yoon","given":"Hwan Su"},{"family":"Jeon","given":"Che Ok"}],"issued":{"date-parts":[["2024",5,1]]}}}],"schema":"https://github.com/citation-style-language/schema/raw/master/csl-citation.json"} </w:instrText>
            </w:r>
            <w:r w:rsidRPr="00C77F31">
              <w:rPr>
                <w:rFonts w:cs="Times New Roman"/>
                <w:sz w:val="22"/>
              </w:rPr>
              <w:fldChar w:fldCharType="separate"/>
            </w:r>
            <w:r w:rsidRPr="00C77F31">
              <w:rPr>
                <w:rFonts w:cs="Times New Roman"/>
                <w:sz w:val="22"/>
                <w:szCs w:val="22"/>
                <w:lang w:val="en-CA"/>
              </w:rPr>
              <w:t>(Kim et al., 2024)</w:t>
            </w:r>
            <w:r w:rsidRPr="00C77F31">
              <w:rPr>
                <w:rFonts w:cs="Times New Roman"/>
                <w:sz w:val="22"/>
              </w:rPr>
              <w:fldChar w:fldCharType="end"/>
            </w:r>
          </w:p>
        </w:tc>
      </w:tr>
      <w:tr w:rsidR="00013930" w:rsidRPr="00833CE8" w14:paraId="1E8F88AC" w14:textId="77777777"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49DE5A8B" w14:textId="6ACF03B2" w:rsidR="00013930" w:rsidRPr="00C77F31" w:rsidRDefault="00013930" w:rsidP="00534084">
            <w:pPr>
              <w:snapToGrid w:val="0"/>
              <w:rPr>
                <w:rStyle w:val="html-italic"/>
                <w:rFonts w:cs="Times New Roman"/>
                <w:b w:val="0"/>
                <w:bCs w:val="0"/>
                <w:i/>
                <w:iCs/>
                <w:color w:val="auto"/>
                <w:sz w:val="22"/>
                <w:szCs w:val="22"/>
                <w:lang w:val="en-CA"/>
              </w:rPr>
            </w:pPr>
            <w:proofErr w:type="spellStart"/>
            <w:r w:rsidRPr="00C77F31">
              <w:rPr>
                <w:rFonts w:cs="Times New Roman"/>
                <w:b w:val="0"/>
                <w:bCs w:val="0"/>
                <w:i/>
                <w:iCs/>
                <w:color w:val="auto"/>
                <w:sz w:val="22"/>
                <w:szCs w:val="22"/>
                <w:lang w:val="en-CA"/>
              </w:rPr>
              <w:t>Cupriavidus</w:t>
            </w:r>
            <w:proofErr w:type="spellEnd"/>
            <w:r w:rsidRPr="00C77F31">
              <w:rPr>
                <w:rFonts w:cs="Times New Roman"/>
                <w:b w:val="0"/>
                <w:bCs w:val="0"/>
                <w:i/>
                <w:iCs/>
                <w:color w:val="auto"/>
                <w:sz w:val="22"/>
                <w:szCs w:val="22"/>
                <w:lang w:val="en-CA"/>
              </w:rPr>
              <w:t xml:space="preserve"> </w:t>
            </w:r>
            <w:proofErr w:type="spellStart"/>
            <w:r w:rsidRPr="00C77F31">
              <w:rPr>
                <w:rFonts w:cs="Times New Roman"/>
                <w:b w:val="0"/>
                <w:bCs w:val="0"/>
                <w:i/>
                <w:iCs/>
                <w:color w:val="auto"/>
                <w:sz w:val="22"/>
                <w:szCs w:val="22"/>
                <w:lang w:val="en-CA"/>
              </w:rPr>
              <w:t>necator</w:t>
            </w:r>
            <w:proofErr w:type="spellEnd"/>
          </w:p>
        </w:tc>
        <w:tc>
          <w:tcPr>
            <w:tcW w:w="1842" w:type="dxa"/>
            <w:tcBorders>
              <w:left w:val="single" w:sz="4" w:space="0" w:color="auto"/>
            </w:tcBorders>
            <w:shd w:val="clear" w:color="auto" w:fill="D9ECFF"/>
            <w:vAlign w:val="center"/>
          </w:tcPr>
          <w:p w14:paraId="724458C4" w14:textId="3730EBB3" w:rsidR="00013930" w:rsidRPr="00C77F31" w:rsidRDefault="00013930" w:rsidP="00534084">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proofErr w:type="spellStart"/>
            <w:r w:rsidRPr="00C77F31">
              <w:rPr>
                <w:rFonts w:cs="Times New Roman"/>
                <w:i/>
                <w:iCs/>
                <w:sz w:val="22"/>
                <w:szCs w:val="22"/>
                <w:lang w:val="en-CA"/>
              </w:rPr>
              <w:t>Navicula</w:t>
            </w:r>
            <w:proofErr w:type="spellEnd"/>
            <w:r w:rsidRPr="00C77F31">
              <w:rPr>
                <w:rFonts w:cs="Times New Roman"/>
                <w:i/>
                <w:iCs/>
                <w:sz w:val="22"/>
                <w:szCs w:val="22"/>
                <w:lang w:val="en-CA"/>
              </w:rPr>
              <w:t xml:space="preserve"> </w:t>
            </w:r>
            <w:proofErr w:type="spellStart"/>
            <w:r w:rsidRPr="00C77F31">
              <w:rPr>
                <w:rFonts w:cs="Times New Roman"/>
                <w:i/>
                <w:iCs/>
                <w:sz w:val="22"/>
                <w:szCs w:val="22"/>
                <w:lang w:val="en-CA"/>
              </w:rPr>
              <w:t>pelliculosa</w:t>
            </w:r>
            <w:proofErr w:type="spellEnd"/>
          </w:p>
        </w:tc>
        <w:tc>
          <w:tcPr>
            <w:tcW w:w="1985" w:type="dxa"/>
            <w:tcBorders>
              <w:left w:val="single" w:sz="4" w:space="0" w:color="auto"/>
            </w:tcBorders>
            <w:shd w:val="clear" w:color="auto" w:fill="D9ECFF"/>
            <w:vAlign w:val="center"/>
          </w:tcPr>
          <w:p w14:paraId="430E41FA" w14:textId="5C876957" w:rsidR="00013930" w:rsidRPr="00C77F31" w:rsidRDefault="001B0B90" w:rsidP="001B0B90">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sz w:val="22"/>
                <w:szCs w:val="22"/>
                <w:lang w:val="en-CA"/>
              </w:rPr>
            </w:pPr>
            <w:r w:rsidRPr="00C77F31">
              <w:rPr>
                <w:rStyle w:val="html-italic"/>
                <w:rFonts w:cs="Times New Roman"/>
                <w:iCs/>
                <w:sz w:val="22"/>
                <w:szCs w:val="22"/>
                <w:lang w:val="en-CA"/>
              </w:rPr>
              <w:t>Release of</w:t>
            </w:r>
            <w:r>
              <w:rPr>
                <w:rStyle w:val="html-italic"/>
                <w:rFonts w:cs="Times New Roman"/>
                <w:iCs/>
                <w:sz w:val="22"/>
                <w:szCs w:val="22"/>
                <w:lang w:val="en-CA"/>
              </w:rPr>
              <w:t xml:space="preserve"> siderophores </w:t>
            </w:r>
            <w:r w:rsidR="007166C1">
              <w:rPr>
                <w:rStyle w:val="html-italic"/>
                <w:rFonts w:cs="Times New Roman"/>
                <w:iCs/>
                <w:sz w:val="22"/>
                <w:szCs w:val="22"/>
                <w:lang w:val="en-CA"/>
              </w:rPr>
              <w:t xml:space="preserve">for algal iron transport </w:t>
            </w:r>
          </w:p>
        </w:tc>
        <w:tc>
          <w:tcPr>
            <w:tcW w:w="1843" w:type="dxa"/>
            <w:tcBorders>
              <w:left w:val="single" w:sz="4" w:space="0" w:color="auto"/>
              <w:right w:val="single" w:sz="4" w:space="0" w:color="auto"/>
            </w:tcBorders>
            <w:shd w:val="clear" w:color="auto" w:fill="D9ECFF"/>
            <w:vAlign w:val="center"/>
          </w:tcPr>
          <w:p w14:paraId="6917F98D" w14:textId="618DD5D1" w:rsidR="00013930" w:rsidRPr="00C77F31" w:rsidRDefault="007166C1" w:rsidP="001B0B90">
            <w:pPr>
              <w:snapToGrid w:val="0"/>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Release of organic carbon</w:t>
            </w:r>
          </w:p>
        </w:tc>
        <w:tc>
          <w:tcPr>
            <w:tcW w:w="1558" w:type="dxa"/>
            <w:tcBorders>
              <w:left w:val="single" w:sz="4" w:space="0" w:color="auto"/>
            </w:tcBorders>
            <w:shd w:val="clear" w:color="auto" w:fill="D9ECFF"/>
            <w:vAlign w:val="center"/>
          </w:tcPr>
          <w:p w14:paraId="1505E785" w14:textId="0B12BE37" w:rsidR="00013930" w:rsidRPr="00C77F31" w:rsidRDefault="00013930" w:rsidP="00FC0005">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r w:rsidRPr="00C77F31">
              <w:rPr>
                <w:rFonts w:cs="Times New Roman"/>
                <w:sz w:val="22"/>
              </w:rPr>
              <w:fldChar w:fldCharType="begin"/>
            </w:r>
            <w:r w:rsidRPr="00C77F31">
              <w:rPr>
                <w:rFonts w:cs="Times New Roman"/>
                <w:sz w:val="22"/>
                <w:szCs w:val="22"/>
                <w:lang w:val="en-CA"/>
              </w:rPr>
              <w:instrText xml:space="preserve"> ADDIN ZOTERO_ITEM CSL_CITATION {"citationID":"rQKymbO7","properties":{"formattedCitation":"(Kurth et al., 2019)","plainCitation":"(Kurth et al., 2019)","noteIndex":0},"citationItems":[{"id":4478,"uris":["http://zotero.org/users/764524/items/M2GU2X3D"],"itemData":{"id":4478,"type":"article-journal","abstract":"Cupriachelin is a photoreactive lipopeptide siderophore produced by the freshwater bacterium Cupriavidus necator H16. In the presence of sunlight, the iron-loaded siderophore undergoes photolytic cleavage, thereby releasing solubilized iron into the environment. This iron is not only available to the siderophore producer, but also to the surrounding microbial community. In this study, the cupriachelin-based interaction between C. necator H16 and the freshwater diatom Navicula pelliculosa was investigated. A reporter strain of the bacterium was constructed to study differential expression levels of the cupriachelin biosynthesis gene cucJ in response to varying environmental conditions. Not only iron starvation, but also culture supernatants of N. pelliculosa were found to induce cupriachelin biosynthesis. The transcription factors involved in this differential gene expression were identified using DNA–protein pulldown assays. Besides the well-characterized ferric uptake regulator, a two-component system was found to tune the expression of cupriachelin biosynthesis genes in the presence of diatom supernatants.","container-title":"BioMetals","DOI":"10.1007/s10534-018-0159-6","ISSN":"1572-8773","issue":"1","journalAbbreviation":"Biometals","language":"en","page":"77-88","source":"Springer Link","title":"Algae induce siderophore biosynthesis in the freshwater bacterium Cupriavidus necator H16","volume":"32","author":[{"family":"Kurth","given":"Colette"},{"family":"Wasmuth","given":"Ina"},{"family":"Wichard","given":"Thomas"},{"family":"Pohnert","given":"Georg"},{"family":"Nett","given":"Markus"}],"issued":{"date-parts":[["2019",2,1]]}}}],"schema":"https://github.com/citation-style-language/schema/raw/master/csl-citation.json"} </w:instrText>
            </w:r>
            <w:r w:rsidRPr="00C77F31">
              <w:rPr>
                <w:rFonts w:cs="Times New Roman"/>
                <w:sz w:val="22"/>
              </w:rPr>
              <w:fldChar w:fldCharType="separate"/>
            </w:r>
            <w:r w:rsidRPr="00C77F31">
              <w:rPr>
                <w:rFonts w:cs="Times New Roman"/>
                <w:sz w:val="22"/>
                <w:szCs w:val="22"/>
                <w:lang w:val="en-CA"/>
              </w:rPr>
              <w:t>(Kurth et al., 2019)</w:t>
            </w:r>
            <w:r w:rsidRPr="00C77F31">
              <w:rPr>
                <w:rFonts w:cs="Times New Roman"/>
                <w:sz w:val="22"/>
              </w:rPr>
              <w:fldChar w:fldCharType="end"/>
            </w:r>
          </w:p>
        </w:tc>
      </w:tr>
      <w:tr w:rsidR="00013930" w:rsidRPr="00833CE8" w14:paraId="10714A06" w14:textId="77777777"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15F9CC39" w14:textId="6CCD042D" w:rsidR="00013930" w:rsidRPr="00C77F31" w:rsidRDefault="00013930" w:rsidP="00534084">
            <w:pPr>
              <w:snapToGrid w:val="0"/>
              <w:rPr>
                <w:rStyle w:val="html-italic"/>
                <w:rFonts w:cs="Times New Roman"/>
                <w:b w:val="0"/>
                <w:bCs w:val="0"/>
                <w:i/>
                <w:iCs/>
                <w:color w:val="auto"/>
                <w:sz w:val="22"/>
                <w:szCs w:val="22"/>
                <w:lang w:val="en-CA"/>
              </w:rPr>
            </w:pPr>
            <w:proofErr w:type="spellStart"/>
            <w:r w:rsidRPr="00C77F31">
              <w:rPr>
                <w:rStyle w:val="html-italic"/>
                <w:rFonts w:cs="Times New Roman"/>
                <w:b w:val="0"/>
                <w:bCs w:val="0"/>
                <w:i/>
                <w:iCs/>
                <w:color w:val="auto"/>
                <w:sz w:val="22"/>
                <w:szCs w:val="22"/>
                <w:lang w:val="en-CA"/>
              </w:rPr>
              <w:t>Sulfitobacter</w:t>
            </w:r>
            <w:proofErr w:type="spellEnd"/>
            <w:r w:rsidRPr="00C77F31">
              <w:rPr>
                <w:rStyle w:val="html-italic"/>
                <w:rFonts w:cs="Times New Roman"/>
                <w:b w:val="0"/>
                <w:bCs w:val="0"/>
                <w:i/>
                <w:iCs/>
                <w:color w:val="auto"/>
                <w:sz w:val="22"/>
                <w:szCs w:val="22"/>
                <w:lang w:val="en-CA"/>
              </w:rPr>
              <w:t xml:space="preserve"> spp.</w:t>
            </w:r>
          </w:p>
        </w:tc>
        <w:tc>
          <w:tcPr>
            <w:tcW w:w="1842" w:type="dxa"/>
            <w:tcBorders>
              <w:left w:val="single" w:sz="4" w:space="0" w:color="auto"/>
            </w:tcBorders>
            <w:shd w:val="clear" w:color="auto" w:fill="D9ECFF"/>
            <w:vAlign w:val="center"/>
          </w:tcPr>
          <w:p w14:paraId="2B1C558A" w14:textId="7926E9AC" w:rsidR="00013930" w:rsidRPr="00C77F31" w:rsidRDefault="00013930" w:rsidP="00534084">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lang w:val="en-CA"/>
              </w:rPr>
            </w:pPr>
            <w:r w:rsidRPr="00C77F31">
              <w:rPr>
                <w:rStyle w:val="html-italic"/>
                <w:rFonts w:cs="Times New Roman"/>
                <w:i/>
                <w:iCs/>
                <w:sz w:val="22"/>
                <w:szCs w:val="22"/>
                <w:lang w:val="en-CA"/>
              </w:rPr>
              <w:t>Pseudo-</w:t>
            </w:r>
            <w:proofErr w:type="spellStart"/>
            <w:r w:rsidRPr="00C77F31">
              <w:rPr>
                <w:rStyle w:val="html-italic"/>
                <w:rFonts w:cs="Times New Roman"/>
                <w:i/>
                <w:iCs/>
                <w:sz w:val="22"/>
                <w:szCs w:val="22"/>
                <w:lang w:val="en-CA"/>
              </w:rPr>
              <w:t>nitzschia</w:t>
            </w:r>
            <w:proofErr w:type="spellEnd"/>
            <w:r w:rsidRPr="00C77F31">
              <w:rPr>
                <w:rStyle w:val="html-italic"/>
                <w:rFonts w:cs="Times New Roman"/>
                <w:i/>
                <w:iCs/>
                <w:sz w:val="22"/>
                <w:szCs w:val="22"/>
                <w:lang w:val="en-CA"/>
              </w:rPr>
              <w:t xml:space="preserve"> spp.</w:t>
            </w:r>
          </w:p>
        </w:tc>
        <w:tc>
          <w:tcPr>
            <w:tcW w:w="1985" w:type="dxa"/>
            <w:tcBorders>
              <w:left w:val="single" w:sz="4" w:space="0" w:color="auto"/>
            </w:tcBorders>
            <w:shd w:val="clear" w:color="auto" w:fill="D9ECFF"/>
            <w:vAlign w:val="center"/>
          </w:tcPr>
          <w:p w14:paraId="790A56C3" w14:textId="50917683" w:rsidR="00013930" w:rsidRPr="007166C1" w:rsidRDefault="007166C1" w:rsidP="001B0B90">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sz w:val="22"/>
                <w:szCs w:val="22"/>
                <w:lang w:val="en-CA"/>
              </w:rPr>
            </w:pPr>
            <w:r w:rsidRPr="007166C1">
              <w:rPr>
                <w:rFonts w:cs="Times New Roman"/>
                <w:sz w:val="22"/>
              </w:rPr>
              <w:t>Release of tryptophan and ammonium</w:t>
            </w:r>
          </w:p>
        </w:tc>
        <w:tc>
          <w:tcPr>
            <w:tcW w:w="1843" w:type="dxa"/>
            <w:tcBorders>
              <w:left w:val="single" w:sz="4" w:space="0" w:color="auto"/>
              <w:right w:val="single" w:sz="4" w:space="0" w:color="auto"/>
            </w:tcBorders>
            <w:shd w:val="clear" w:color="auto" w:fill="D9ECFF"/>
            <w:vAlign w:val="center"/>
          </w:tcPr>
          <w:p w14:paraId="0455CDAE" w14:textId="7B548634" w:rsidR="00013930" w:rsidRPr="00C77F31" w:rsidRDefault="007166C1" w:rsidP="001B0B90">
            <w:pPr>
              <w:tabs>
                <w:tab w:val="center" w:pos="4822"/>
              </w:tabs>
              <w:snapToGrid w:val="0"/>
              <w:spacing w:line="276" w:lineRule="auto"/>
              <w:cnfStyle w:val="000000000000" w:firstRow="0" w:lastRow="0" w:firstColumn="0" w:lastColumn="0" w:oddVBand="0" w:evenVBand="0" w:oddHBand="0" w:evenHBand="0" w:firstRowFirstColumn="0" w:firstRowLastColumn="0" w:lastRowFirstColumn="0" w:lastRowLastColumn="0"/>
              <w:rPr>
                <w:rFonts w:cs="Times New Roman"/>
                <w:b/>
                <w:bCs/>
                <w:sz w:val="22"/>
              </w:rPr>
            </w:pPr>
            <w:r w:rsidRPr="00C77F31">
              <w:rPr>
                <w:rStyle w:val="html-italic"/>
                <w:rFonts w:cs="Times New Roman"/>
                <w:sz w:val="22"/>
                <w:szCs w:val="22"/>
                <w:lang w:val="en-CA"/>
              </w:rPr>
              <w:t>Release of IAA</w:t>
            </w:r>
            <w:r>
              <w:rPr>
                <w:rStyle w:val="html-italic"/>
                <w:rFonts w:cs="Times New Roman"/>
                <w:sz w:val="22"/>
                <w:szCs w:val="22"/>
                <w:lang w:val="en-CA"/>
              </w:rPr>
              <w:t xml:space="preserve"> and DMSP</w:t>
            </w:r>
          </w:p>
        </w:tc>
        <w:tc>
          <w:tcPr>
            <w:tcW w:w="1558" w:type="dxa"/>
            <w:tcBorders>
              <w:left w:val="single" w:sz="4" w:space="0" w:color="auto"/>
            </w:tcBorders>
            <w:shd w:val="clear" w:color="auto" w:fill="D9ECFF"/>
            <w:vAlign w:val="center"/>
          </w:tcPr>
          <w:p w14:paraId="1CAF698F" w14:textId="57CD918E" w:rsidR="00013930" w:rsidRPr="00C77F31" w:rsidRDefault="00013930" w:rsidP="001B33CD">
            <w:pPr>
              <w:tabs>
                <w:tab w:val="center" w:pos="4822"/>
              </w:tabs>
              <w:snapToGrid w:val="0"/>
              <w:spacing w:line="276" w:lineRule="auto"/>
              <w:cnfStyle w:val="000000000000" w:firstRow="0" w:lastRow="0" w:firstColumn="0" w:lastColumn="0" w:oddVBand="0" w:evenVBand="0" w:oddHBand="0" w:evenHBand="0" w:firstRowFirstColumn="0" w:firstRowLastColumn="0" w:lastRowFirstColumn="0" w:lastRowLastColumn="0"/>
              <w:rPr>
                <w:rStyle w:val="html-italic"/>
                <w:rFonts w:cs="Times New Roman"/>
                <w:sz w:val="22"/>
                <w:szCs w:val="22"/>
                <w:lang w:val="en-CA"/>
              </w:rPr>
            </w:pPr>
            <w:r w:rsidRPr="00C77F31">
              <w:rPr>
                <w:rFonts w:cs="Times New Roman"/>
                <w:b/>
                <w:bCs/>
                <w:sz w:val="22"/>
              </w:rPr>
              <w:fldChar w:fldCharType="begin"/>
            </w:r>
            <w:r w:rsidRPr="00C77F31">
              <w:rPr>
                <w:rFonts w:cs="Times New Roman"/>
                <w:b/>
                <w:bCs/>
                <w:sz w:val="22"/>
                <w:szCs w:val="22"/>
                <w:lang w:val="en-CA"/>
              </w:rPr>
              <w:instrText xml:space="preserve"> ADDIN ZOTERO_ITEM CSL_CITATION {"citationID":"9QHMJwGJ","properties":{"formattedCitation":"(Amin et al., 2015)","plainCitation":"(Amin et al., 2015)","noteIndex":0},"citationItems":[{"id":4529,"uris":["http://zotero.org/users/764524/items/8WMS58CS"],"itemData":{"id":4529,"type":"article-journal","abstract":"Molecular characterization of interactions between a globally distributed marine diatom and its bacterial consortium.","container-title":"Nature","DOI":"10.1038/nature14488","ISSN":"1476-4687","issue":"7554","language":"en","license":"2015 Springer Nature Limited","note":"publisher: Nature Publishing Group","page":"98-101","source":"www.nature.com","title":"Interaction and signalling between a cosmopolitan phytoplankton and associated bacteria","volume":"522","author":[{"family":"Amin","given":"S. A."},{"family":"Hmelo","given":"L. R."},{"family":"Tol","given":"H. M.","non-dropping-particle":"van"},{"family":"Durham","given":"B. P."},{"family":"Carlson","given":"L. T."},{"family":"Heal","given":"K. R."},{"family":"Morales","given":"R. L."},{"family":"Berthiaume","given":"C. T."},{"family":"Parker","given":"M. S."},{"family":"Djunaedi","given":"B."},{"family":"Ingalls","given":"A. E."},{"family":"Parsek","given":"M. R."},{"family":"Moran","given":"M. A."},{"family":"Armbrust","given":"E. V."}],"issued":{"date-parts":[["2015",6]]}}}],"schema":"https://github.com/citation-style-language/schema/raw/master/csl-citation.json"} </w:instrText>
            </w:r>
            <w:r w:rsidRPr="00C77F31">
              <w:rPr>
                <w:rFonts w:cs="Times New Roman"/>
                <w:b/>
                <w:bCs/>
                <w:sz w:val="22"/>
              </w:rPr>
              <w:fldChar w:fldCharType="separate"/>
            </w:r>
            <w:r w:rsidRPr="00C77F31">
              <w:rPr>
                <w:rFonts w:cs="Times New Roman"/>
                <w:sz w:val="22"/>
                <w:szCs w:val="22"/>
                <w:lang w:val="en-CA"/>
              </w:rPr>
              <w:t>(Amin et al., 2015)</w:t>
            </w:r>
            <w:r w:rsidRPr="00C77F31">
              <w:rPr>
                <w:rFonts w:cs="Times New Roman"/>
                <w:b/>
                <w:bCs/>
                <w:sz w:val="22"/>
              </w:rPr>
              <w:fldChar w:fldCharType="end"/>
            </w:r>
            <w:r w:rsidRPr="00C77F31">
              <w:rPr>
                <w:rFonts w:cs="Times New Roman"/>
                <w:sz w:val="22"/>
                <w:szCs w:val="22"/>
                <w:lang w:val="en-CA"/>
              </w:rPr>
              <w:t>.</w:t>
            </w:r>
            <w:r w:rsidRPr="00C77F31">
              <w:rPr>
                <w:rFonts w:cs="Times New Roman"/>
                <w:b/>
                <w:bCs/>
                <w:sz w:val="22"/>
                <w:szCs w:val="22"/>
                <w:lang w:val="en-CA"/>
              </w:rPr>
              <w:t xml:space="preserve"> </w:t>
            </w:r>
          </w:p>
        </w:tc>
      </w:tr>
      <w:tr w:rsidR="00013930" w:rsidRPr="002402DF" w14:paraId="6C697174" w14:textId="77777777"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18621DE8" w14:textId="1075F993" w:rsidR="00013930" w:rsidRPr="00C77F31" w:rsidRDefault="00013930" w:rsidP="00206676">
            <w:pPr>
              <w:snapToGrid w:val="0"/>
              <w:rPr>
                <w:rStyle w:val="html-italic"/>
                <w:rFonts w:cs="Times New Roman"/>
                <w:b w:val="0"/>
                <w:bCs w:val="0"/>
                <w:i/>
                <w:iCs/>
                <w:color w:val="000000" w:themeColor="text1"/>
                <w:sz w:val="22"/>
                <w:szCs w:val="22"/>
              </w:rPr>
            </w:pPr>
            <w:proofErr w:type="spellStart"/>
            <w:r w:rsidRPr="00C77F31">
              <w:rPr>
                <w:rFonts w:cs="Times New Roman"/>
                <w:b w:val="0"/>
                <w:bCs w:val="0"/>
                <w:i/>
                <w:iCs/>
                <w:color w:val="000000" w:themeColor="text1"/>
                <w:sz w:val="22"/>
                <w:szCs w:val="22"/>
                <w:lang w:val="en-CA"/>
              </w:rPr>
              <w:t>Dyadobacter</w:t>
            </w:r>
            <w:proofErr w:type="spellEnd"/>
            <w:r w:rsidRPr="00C77F31">
              <w:rPr>
                <w:rFonts w:cs="Times New Roman"/>
                <w:b w:val="0"/>
                <w:bCs w:val="0"/>
                <w:i/>
                <w:iCs/>
                <w:color w:val="000000" w:themeColor="text1"/>
                <w:sz w:val="22"/>
                <w:szCs w:val="22"/>
                <w:lang w:val="en-CA"/>
              </w:rPr>
              <w:t xml:space="preserve"> spp., </w:t>
            </w:r>
            <w:proofErr w:type="spellStart"/>
            <w:r w:rsidRPr="00C77F31">
              <w:rPr>
                <w:rFonts w:cs="Times New Roman"/>
                <w:b w:val="0"/>
                <w:bCs w:val="0"/>
                <w:i/>
                <w:iCs/>
                <w:color w:val="000000" w:themeColor="text1"/>
                <w:sz w:val="22"/>
                <w:szCs w:val="22"/>
                <w:lang w:val="en-CA"/>
              </w:rPr>
              <w:t>Porphyrobacter</w:t>
            </w:r>
            <w:proofErr w:type="spellEnd"/>
            <w:r w:rsidRPr="00C77F31">
              <w:rPr>
                <w:rFonts w:cs="Times New Roman"/>
                <w:b w:val="0"/>
                <w:bCs w:val="0"/>
                <w:i/>
                <w:iCs/>
                <w:color w:val="000000" w:themeColor="text1"/>
                <w:sz w:val="22"/>
                <w:szCs w:val="22"/>
                <w:lang w:val="en-CA"/>
              </w:rPr>
              <w:t xml:space="preserve"> spp.,  </w:t>
            </w:r>
            <w:proofErr w:type="spellStart"/>
            <w:r w:rsidRPr="00C77F31">
              <w:rPr>
                <w:rFonts w:cs="Times New Roman"/>
                <w:b w:val="0"/>
                <w:bCs w:val="0"/>
                <w:i/>
                <w:iCs/>
                <w:color w:val="000000" w:themeColor="text1"/>
                <w:sz w:val="22"/>
                <w:szCs w:val="22"/>
                <w:lang w:val="en-CA"/>
              </w:rPr>
              <w:t>Variovorax</w:t>
            </w:r>
            <w:proofErr w:type="spellEnd"/>
            <w:r w:rsidRPr="00C77F31">
              <w:rPr>
                <w:rFonts w:cs="Times New Roman"/>
                <w:b w:val="0"/>
                <w:bCs w:val="0"/>
                <w:i/>
                <w:iCs/>
                <w:color w:val="000000" w:themeColor="text1"/>
                <w:sz w:val="22"/>
                <w:szCs w:val="22"/>
                <w:lang w:val="en-CA"/>
              </w:rPr>
              <w:t xml:space="preserve"> spp. </w:t>
            </w:r>
          </w:p>
        </w:tc>
        <w:tc>
          <w:tcPr>
            <w:tcW w:w="1842" w:type="dxa"/>
            <w:tcBorders>
              <w:left w:val="single" w:sz="4" w:space="0" w:color="auto"/>
            </w:tcBorders>
            <w:shd w:val="clear" w:color="auto" w:fill="D9ECFF"/>
            <w:vAlign w:val="center"/>
          </w:tcPr>
          <w:p w14:paraId="07220D59" w14:textId="3F1752A7" w:rsidR="00013930" w:rsidRPr="00C77F31" w:rsidRDefault="00013930" w:rsidP="00206676">
            <w:pPr>
              <w:snapToGrid w:val="0"/>
              <w:cnfStyle w:val="000000100000" w:firstRow="0" w:lastRow="0" w:firstColumn="0" w:lastColumn="0" w:oddVBand="0" w:evenVBand="0" w:oddHBand="1" w:evenHBand="0" w:firstRowFirstColumn="0" w:firstRowLastColumn="0" w:lastRowFirstColumn="0" w:lastRowLastColumn="0"/>
              <w:rPr>
                <w:rFonts w:cs="Times New Roman"/>
                <w:i/>
                <w:iCs/>
                <w:color w:val="000000" w:themeColor="text1"/>
                <w:sz w:val="22"/>
                <w:szCs w:val="22"/>
              </w:rPr>
            </w:pPr>
            <w:r w:rsidRPr="00C77F31">
              <w:rPr>
                <w:rFonts w:cs="Times New Roman"/>
                <w:i/>
                <w:iCs/>
                <w:color w:val="000000" w:themeColor="text1"/>
                <w:sz w:val="22"/>
                <w:szCs w:val="22"/>
                <w:lang w:val="en-CA"/>
              </w:rPr>
              <w:t xml:space="preserve">Scenedesmus </w:t>
            </w:r>
            <w:proofErr w:type="spellStart"/>
            <w:r w:rsidRPr="00C77F31">
              <w:rPr>
                <w:rFonts w:cs="Times New Roman"/>
                <w:i/>
                <w:iCs/>
                <w:color w:val="000000" w:themeColor="text1"/>
                <w:sz w:val="22"/>
                <w:szCs w:val="22"/>
                <w:lang w:val="en-CA"/>
              </w:rPr>
              <w:t>quadricauda</w:t>
            </w:r>
            <w:proofErr w:type="spellEnd"/>
          </w:p>
        </w:tc>
        <w:tc>
          <w:tcPr>
            <w:tcW w:w="1985" w:type="dxa"/>
            <w:tcBorders>
              <w:left w:val="single" w:sz="4" w:space="0" w:color="auto"/>
            </w:tcBorders>
            <w:shd w:val="clear" w:color="auto" w:fill="D9ECFF"/>
            <w:vAlign w:val="center"/>
          </w:tcPr>
          <w:p w14:paraId="4066CE6C" w14:textId="71C55AFF" w:rsidR="00013930" w:rsidRPr="00C77F31" w:rsidRDefault="00013930" w:rsidP="001B0B90">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sz w:val="22"/>
                <w:szCs w:val="22"/>
              </w:rPr>
            </w:pPr>
            <w:r w:rsidRPr="00C77F31">
              <w:rPr>
                <w:rStyle w:val="html-italic"/>
                <w:rFonts w:cs="Times New Roman"/>
                <w:sz w:val="22"/>
                <w:szCs w:val="22"/>
              </w:rPr>
              <w:t>Production of B vitamins</w:t>
            </w:r>
            <w:r w:rsidR="007166C1">
              <w:rPr>
                <w:rStyle w:val="html-italic"/>
                <w:rFonts w:cs="Times New Roman"/>
                <w:sz w:val="22"/>
                <w:szCs w:val="22"/>
              </w:rPr>
              <w:t xml:space="preserve">, </w:t>
            </w:r>
            <w:r w:rsidRPr="00C77F31">
              <w:rPr>
                <w:rStyle w:val="html-italic"/>
                <w:rFonts w:cs="Times New Roman"/>
                <w:sz w:val="22"/>
                <w:szCs w:val="22"/>
              </w:rPr>
              <w:t xml:space="preserve">auxin </w:t>
            </w:r>
            <w:proofErr w:type="spellStart"/>
            <w:r w:rsidRPr="00C77F31">
              <w:rPr>
                <w:rStyle w:val="html-italic"/>
                <w:rFonts w:cs="Times New Roman"/>
                <w:sz w:val="22"/>
                <w:szCs w:val="22"/>
              </w:rPr>
              <w:t>signalling</w:t>
            </w:r>
            <w:proofErr w:type="spellEnd"/>
            <w:r w:rsidRPr="00C77F31">
              <w:rPr>
                <w:rStyle w:val="html-italic"/>
                <w:rFonts w:cs="Times New Roman"/>
                <w:sz w:val="22"/>
                <w:szCs w:val="22"/>
              </w:rPr>
              <w:t xml:space="preserve"> by </w:t>
            </w:r>
            <w:proofErr w:type="spellStart"/>
            <w:r w:rsidRPr="00C77F31">
              <w:rPr>
                <w:rStyle w:val="html-italic"/>
                <w:rFonts w:cs="Times New Roman"/>
                <w:i/>
                <w:iCs/>
                <w:sz w:val="22"/>
                <w:szCs w:val="22"/>
              </w:rPr>
              <w:t>Variovorax</w:t>
            </w:r>
            <w:proofErr w:type="spellEnd"/>
            <w:r w:rsidRPr="00C77F31">
              <w:rPr>
                <w:rStyle w:val="html-italic"/>
                <w:rFonts w:cs="Times New Roman"/>
                <w:i/>
                <w:iCs/>
                <w:sz w:val="22"/>
                <w:szCs w:val="22"/>
              </w:rPr>
              <w:t xml:space="preserve">, </w:t>
            </w:r>
            <w:r w:rsidRPr="00C77F31">
              <w:rPr>
                <w:rStyle w:val="html-italic"/>
                <w:rFonts w:cs="Times New Roman"/>
                <w:sz w:val="22"/>
                <w:szCs w:val="22"/>
              </w:rPr>
              <w:t xml:space="preserve">AHL </w:t>
            </w:r>
            <w:proofErr w:type="spellStart"/>
            <w:r w:rsidRPr="00C77F31">
              <w:rPr>
                <w:rStyle w:val="html-italic"/>
                <w:rFonts w:cs="Times New Roman"/>
                <w:sz w:val="22"/>
                <w:szCs w:val="22"/>
              </w:rPr>
              <w:t>signalling</w:t>
            </w:r>
            <w:proofErr w:type="spellEnd"/>
            <w:r w:rsidRPr="00C77F31">
              <w:rPr>
                <w:rStyle w:val="html-italic"/>
                <w:rFonts w:cs="Times New Roman"/>
                <w:sz w:val="22"/>
                <w:szCs w:val="22"/>
              </w:rPr>
              <w:t xml:space="preserve"> by</w:t>
            </w:r>
            <w:r w:rsidRPr="00C77F31">
              <w:rPr>
                <w:rStyle w:val="html-italic"/>
                <w:rFonts w:cs="Times New Roman"/>
                <w:i/>
                <w:iCs/>
                <w:sz w:val="22"/>
                <w:szCs w:val="22"/>
              </w:rPr>
              <w:t xml:space="preserve"> </w:t>
            </w:r>
            <w:proofErr w:type="spellStart"/>
            <w:r w:rsidRPr="00C77F31">
              <w:rPr>
                <w:rFonts w:cs="Times New Roman"/>
                <w:i/>
                <w:iCs/>
                <w:color w:val="000000" w:themeColor="text1"/>
                <w:sz w:val="22"/>
                <w:szCs w:val="22"/>
                <w:lang w:val="en-CA"/>
              </w:rPr>
              <w:t>Porphyrobacter</w:t>
            </w:r>
            <w:proofErr w:type="spellEnd"/>
            <w:r w:rsidRPr="00C77F31">
              <w:rPr>
                <w:rFonts w:cs="Times New Roman"/>
                <w:i/>
                <w:iCs/>
                <w:color w:val="000000" w:themeColor="text1"/>
                <w:sz w:val="22"/>
                <w:szCs w:val="22"/>
                <w:lang w:val="en-CA"/>
              </w:rPr>
              <w:t xml:space="preserve"> </w:t>
            </w:r>
            <w:r w:rsidRPr="00C77F31">
              <w:rPr>
                <w:rFonts w:cs="Times New Roman"/>
                <w:color w:val="000000" w:themeColor="text1"/>
                <w:sz w:val="22"/>
                <w:szCs w:val="22"/>
                <w:lang w:val="en-CA"/>
              </w:rPr>
              <w:t>and</w:t>
            </w:r>
            <w:r w:rsidRPr="00C77F31">
              <w:rPr>
                <w:rFonts w:cs="Times New Roman"/>
                <w:i/>
                <w:iCs/>
                <w:color w:val="000000" w:themeColor="text1"/>
                <w:sz w:val="22"/>
                <w:szCs w:val="22"/>
                <w:lang w:val="en-CA"/>
              </w:rPr>
              <w:t xml:space="preserve"> </w:t>
            </w:r>
            <w:proofErr w:type="spellStart"/>
            <w:r w:rsidRPr="00C77F31">
              <w:rPr>
                <w:rFonts w:cs="Times New Roman"/>
                <w:i/>
                <w:iCs/>
                <w:color w:val="000000" w:themeColor="text1"/>
                <w:sz w:val="22"/>
                <w:szCs w:val="22"/>
                <w:lang w:val="en-CA"/>
              </w:rPr>
              <w:t>Dyadobacter</w:t>
            </w:r>
            <w:proofErr w:type="spellEnd"/>
            <w:r w:rsidRPr="00C77F31">
              <w:rPr>
                <w:rFonts w:cs="Times New Roman"/>
                <w:i/>
                <w:iCs/>
                <w:color w:val="000000" w:themeColor="text1"/>
                <w:sz w:val="22"/>
                <w:szCs w:val="22"/>
                <w:lang w:val="en-CA"/>
              </w:rPr>
              <w:t xml:space="preserve">  </w:t>
            </w:r>
          </w:p>
        </w:tc>
        <w:tc>
          <w:tcPr>
            <w:tcW w:w="1843" w:type="dxa"/>
            <w:tcBorders>
              <w:left w:val="single" w:sz="4" w:space="0" w:color="auto"/>
              <w:right w:val="single" w:sz="4" w:space="0" w:color="auto"/>
            </w:tcBorders>
            <w:shd w:val="clear" w:color="auto" w:fill="D9ECFF"/>
            <w:vAlign w:val="center"/>
          </w:tcPr>
          <w:p w14:paraId="6C2CF68C" w14:textId="3791BFD7" w:rsidR="00013930" w:rsidRPr="00C77F31" w:rsidRDefault="007166C1" w:rsidP="001B0B90">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color w:val="000000" w:themeColor="text1"/>
                <w:sz w:val="22"/>
              </w:rPr>
            </w:pPr>
            <w:r>
              <w:rPr>
                <w:rFonts w:cs="Times New Roman"/>
                <w:sz w:val="22"/>
              </w:rPr>
              <w:t>Release of organic carbon</w:t>
            </w:r>
          </w:p>
        </w:tc>
        <w:tc>
          <w:tcPr>
            <w:tcW w:w="1558" w:type="dxa"/>
            <w:tcBorders>
              <w:left w:val="single" w:sz="4" w:space="0" w:color="auto"/>
            </w:tcBorders>
            <w:shd w:val="clear" w:color="auto" w:fill="D9ECFF"/>
            <w:vAlign w:val="center"/>
          </w:tcPr>
          <w:p w14:paraId="4309DCD3" w14:textId="6AC03E8F" w:rsidR="00013930" w:rsidRPr="00C77F31" w:rsidRDefault="00013930" w:rsidP="00206676">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color w:val="000000" w:themeColor="text1"/>
                <w:sz w:val="22"/>
                <w:szCs w:val="22"/>
              </w:rPr>
            </w:pPr>
            <w:r w:rsidRPr="00C77F31">
              <w:rPr>
                <w:rStyle w:val="html-italic"/>
                <w:rFonts w:cs="Times New Roman"/>
                <w:i/>
                <w:iCs/>
                <w:color w:val="000000" w:themeColor="text1"/>
                <w:sz w:val="22"/>
              </w:rPr>
              <w:fldChar w:fldCharType="begin"/>
            </w:r>
            <w:r w:rsidRPr="00C77F31">
              <w:rPr>
                <w:rStyle w:val="html-italic"/>
                <w:rFonts w:cs="Times New Roman"/>
                <w:i/>
                <w:iCs/>
                <w:color w:val="000000" w:themeColor="text1"/>
                <w:sz w:val="22"/>
                <w:szCs w:val="22"/>
              </w:rPr>
              <w:instrText xml:space="preserve"> ADDIN ZOTERO_ITEM CSL_CITATION {"citationID":"yBIoIyVp","properties":{"formattedCitation":"(Astafyeva et al., 2022)","plainCitation":"(Astafyeva et al., 2022)","noteIndex":0},"citationItems":[{"id":9474,"uris":["http://zotero.org/users/764524/items/LE7JILT4"],"itemData":{"id":9474,"type":"article-journal","abstract":"Microalgae are one of the most dominant forms of life on earth that is tightly associated with a distinct and specialized microbiota. We have previously shown that the microbiota of Scenedesmus quadricauda harbors less than 10 distinct microbial species. Here, we provide evidence that dominant species are affiliated with the genera of Variovorax, Porphyrobacter, and Dyadobacter. Experimental and transcriptome-based evidence implies that within this multispecies interaction, Dyadobacter is a key to alga growth and fitness and is highly adapted to live in the phycosphere. While presumably under light conditions the alga provides the energy source to the bacteria, Dyadobacter produces and releases mainly a large variety of polysaccharides modifying enzymes. This is coherent with high-level expression of the T9SS in alga cocultures. The transcriptome data further imply that quorum-quenching proteins (QQ) and biosynthesis of vitamins B1, B2, B5, B6, and B9 are expressed by Dyadobacter at high levels in comparison to Variovorax and Porphyrobacter. Notably, Dyadobacter produces a significant number of leucine-rich repeat (LRR) proteins and enzymes involved in bacterial reactive oxygen species (ROS) tolerance. Complementary to this, Variovorax expresses the genes of the biosynthesis of vitamins B2, B5, B6, B7, B9, and B12, and Porphyrobacter is specialized in the production of vitamins B2 and B6. Thus, the shared currency between partners are vitamins, microalgae growth-promoting substances, and dissolved carbon. This work significantly enlarges our knowledge on alga-bacteria interaction and demonstrates physiological investigations of microalgae and associated bacteria, using microscopy observations, photosynthetic activity measurements, and flow cytometry.\nIMPORTANCE The current study gives a detailed insight into mutualistic collaboration of microalgae and bacteria, including the involvement of competitive interplay between bacteria. We provide experimental evidence that Gram-negative bacteria belonging to the Dyadobacter, Porphyrobacter, and Variovorax are the key players in a Scenedesmus quadricauda alga-bacteria interaction. We impart strong evidence that Dyadobacter produces and releases polysaccharides degradation enzymes and leucine-rich repeat proteins; Variovorax supplies the consortium with auxins and vitamin B12, while Porphyrobacter produces a broad spectrum of B vitamins. We show not only that the microalgae collaborate with the bacteria and vice versa but also that the bacteria interact with each other via quorum-sensing and secretion system mechanisms. The shared currency between partners appears to be vitamins, microalgae growth-promoting substances, and dissolved carbon.","container-title":"Microbiology Spectrum","DOI":"10.1128/spectrum.00633-22","issue":"4","journalAbbreviation":"Microbiol. Spect.","note":"publisher: American Society for Microbiology","page":"e00633-22","source":"journals.asm.org (Atypon)","title":"Microalgae and Bacteria Interaction—Evidence for Division of Diligence in the Alga Microbiota","volume":"10","author":[{"family":"Astafyeva","given":"Yekaterina"},{"family":"Gurschke","given":"Marno"},{"family":"Qi","given":"Minyue"},{"family":"Bergmann","given":"Lutgardis"},{"family":"Indenbirken","given":"Daniela"},{"family":"Grahl","given":"Imke","non-dropping-particle":"de"},{"family":"Katzowitsch","given":"Elena"},{"family":"Reumann","given":"Sigrun"},{"family":"Hanelt","given":"Dieter"},{"family":"Alawi","given":"Malik"},{"family":"Streit","given":"Wolfgang R."},{"family":"Krohn","given":"Ines"}],"issued":{"date-parts":[["2022",8]]}}}],"schema":"https://github.com/citation-style-language/schema/raw/master/csl-citation.json"} </w:instrText>
            </w:r>
            <w:r w:rsidRPr="00C77F31">
              <w:rPr>
                <w:rStyle w:val="html-italic"/>
                <w:rFonts w:cs="Times New Roman"/>
                <w:i/>
                <w:iCs/>
                <w:color w:val="000000" w:themeColor="text1"/>
                <w:sz w:val="22"/>
              </w:rPr>
              <w:fldChar w:fldCharType="separate"/>
            </w:r>
            <w:r w:rsidRPr="00C77F31">
              <w:rPr>
                <w:rFonts w:cs="Times New Roman"/>
                <w:sz w:val="22"/>
                <w:szCs w:val="22"/>
              </w:rPr>
              <w:t>(Astafyeva et al., 2022)</w:t>
            </w:r>
            <w:r w:rsidRPr="00C77F31">
              <w:rPr>
                <w:rStyle w:val="html-italic"/>
                <w:rFonts w:cs="Times New Roman"/>
                <w:i/>
                <w:iCs/>
                <w:color w:val="000000" w:themeColor="text1"/>
                <w:sz w:val="22"/>
              </w:rPr>
              <w:fldChar w:fldCharType="end"/>
            </w:r>
          </w:p>
        </w:tc>
      </w:tr>
      <w:tr w:rsidR="00013930" w:rsidRPr="00107F65" w14:paraId="7A960CAD" w14:textId="44155B3D"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145E3D30" w14:textId="1E111871" w:rsidR="00013930" w:rsidRPr="00C77F31" w:rsidRDefault="00013930" w:rsidP="00206676">
            <w:pPr>
              <w:snapToGrid w:val="0"/>
              <w:rPr>
                <w:rStyle w:val="html-italic"/>
                <w:rFonts w:cs="Times New Roman"/>
                <w:b w:val="0"/>
                <w:bCs w:val="0"/>
                <w:i/>
                <w:iCs/>
                <w:color w:val="000000" w:themeColor="text1"/>
                <w:sz w:val="22"/>
                <w:szCs w:val="22"/>
                <w:lang w:val="en-CA"/>
              </w:rPr>
            </w:pPr>
            <w:r w:rsidRPr="00C77F31">
              <w:rPr>
                <w:rStyle w:val="html-italic"/>
                <w:rFonts w:cs="Times New Roman"/>
                <w:b w:val="0"/>
                <w:bCs w:val="0"/>
                <w:i/>
                <w:iCs/>
                <w:color w:val="000000" w:themeColor="text1"/>
                <w:sz w:val="22"/>
                <w:szCs w:val="22"/>
                <w:lang w:val="en-CA"/>
              </w:rPr>
              <w:t>Rhizobium</w:t>
            </w:r>
            <w:r w:rsidRPr="00C77F31">
              <w:rPr>
                <w:rFonts w:cs="Times New Roman"/>
                <w:b w:val="0"/>
                <w:bCs w:val="0"/>
                <w:i/>
                <w:iCs/>
                <w:color w:val="000000" w:themeColor="text1"/>
                <w:sz w:val="22"/>
                <w:szCs w:val="22"/>
                <w:lang w:val="en-CA"/>
              </w:rPr>
              <w:t xml:space="preserve"> sp.</w:t>
            </w:r>
          </w:p>
        </w:tc>
        <w:tc>
          <w:tcPr>
            <w:tcW w:w="1842" w:type="dxa"/>
            <w:tcBorders>
              <w:left w:val="single" w:sz="4" w:space="0" w:color="auto"/>
            </w:tcBorders>
            <w:shd w:val="clear" w:color="auto" w:fill="D9ECFF"/>
            <w:vAlign w:val="center"/>
          </w:tcPr>
          <w:p w14:paraId="7E5E169A" w14:textId="209169DD" w:rsidR="00013930" w:rsidRPr="00C77F31" w:rsidRDefault="00013930" w:rsidP="00206676">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color w:val="000000" w:themeColor="text1"/>
                <w:sz w:val="22"/>
                <w:szCs w:val="22"/>
                <w:lang w:val="en-CA"/>
              </w:rPr>
            </w:pPr>
            <w:proofErr w:type="spellStart"/>
            <w:r w:rsidRPr="00C77F31">
              <w:rPr>
                <w:rFonts w:cs="Times New Roman"/>
                <w:i/>
                <w:iCs/>
                <w:color w:val="000000" w:themeColor="text1"/>
                <w:sz w:val="22"/>
                <w:szCs w:val="22"/>
                <w:lang w:val="en-CA"/>
              </w:rPr>
              <w:t>Botryococcus</w:t>
            </w:r>
            <w:proofErr w:type="spellEnd"/>
            <w:r w:rsidRPr="00C77F31">
              <w:rPr>
                <w:rFonts w:cs="Times New Roman"/>
                <w:i/>
                <w:iCs/>
                <w:color w:val="000000" w:themeColor="text1"/>
                <w:sz w:val="22"/>
                <w:szCs w:val="22"/>
                <w:lang w:val="en-CA"/>
              </w:rPr>
              <w:t xml:space="preserve"> </w:t>
            </w:r>
            <w:proofErr w:type="spellStart"/>
            <w:r w:rsidRPr="00C77F31">
              <w:rPr>
                <w:rStyle w:val="html-italic"/>
                <w:rFonts w:cs="Times New Roman"/>
                <w:i/>
                <w:iCs/>
                <w:color w:val="000000" w:themeColor="text1"/>
                <w:sz w:val="22"/>
                <w:szCs w:val="22"/>
                <w:lang w:val="en-CA"/>
              </w:rPr>
              <w:t>braunii</w:t>
            </w:r>
            <w:proofErr w:type="spellEnd"/>
          </w:p>
        </w:tc>
        <w:tc>
          <w:tcPr>
            <w:tcW w:w="1985" w:type="dxa"/>
            <w:tcBorders>
              <w:left w:val="single" w:sz="4" w:space="0" w:color="auto"/>
            </w:tcBorders>
            <w:shd w:val="clear" w:color="auto" w:fill="D9ECFF"/>
            <w:vAlign w:val="center"/>
          </w:tcPr>
          <w:p w14:paraId="29A369E1" w14:textId="6E6B3DF3" w:rsidR="00013930" w:rsidRPr="00C77F31" w:rsidRDefault="00013930" w:rsidP="001B0B90">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color w:val="000000" w:themeColor="text1"/>
                <w:sz w:val="22"/>
                <w:szCs w:val="22"/>
                <w:lang w:val="en-CA"/>
              </w:rPr>
            </w:pPr>
            <w:r w:rsidRPr="00C77F31">
              <w:rPr>
                <w:rStyle w:val="html-italic"/>
                <w:rFonts w:cs="Times New Roman"/>
                <w:sz w:val="22"/>
                <w:szCs w:val="22"/>
                <w:lang w:val="en-CA"/>
              </w:rPr>
              <w:t>Enhanced algal growth by AHL signalling</w:t>
            </w:r>
          </w:p>
        </w:tc>
        <w:tc>
          <w:tcPr>
            <w:tcW w:w="1843" w:type="dxa"/>
            <w:tcBorders>
              <w:left w:val="single" w:sz="4" w:space="0" w:color="auto"/>
              <w:right w:val="single" w:sz="4" w:space="0" w:color="auto"/>
            </w:tcBorders>
            <w:shd w:val="clear" w:color="auto" w:fill="D9ECFF"/>
            <w:vAlign w:val="center"/>
          </w:tcPr>
          <w:p w14:paraId="2A474726" w14:textId="1FB5A170" w:rsidR="00013930" w:rsidRPr="00C77F31" w:rsidRDefault="00F45922" w:rsidP="001B0B90">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color w:val="000000" w:themeColor="text1"/>
                <w:sz w:val="22"/>
              </w:rPr>
            </w:pPr>
            <w:r>
              <w:rPr>
                <w:rFonts w:cs="Times New Roman"/>
                <w:sz w:val="22"/>
              </w:rPr>
              <w:t>Production of organic molecules for bacteria</w:t>
            </w:r>
          </w:p>
        </w:tc>
        <w:tc>
          <w:tcPr>
            <w:tcW w:w="1558" w:type="dxa"/>
            <w:tcBorders>
              <w:left w:val="single" w:sz="4" w:space="0" w:color="auto"/>
            </w:tcBorders>
            <w:shd w:val="clear" w:color="auto" w:fill="D9ECFF"/>
            <w:vAlign w:val="center"/>
          </w:tcPr>
          <w:p w14:paraId="025A0AC1" w14:textId="13FB49B4" w:rsidR="00013930" w:rsidRPr="00C77F31" w:rsidRDefault="00013930" w:rsidP="00206676">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color w:val="000000" w:themeColor="text1"/>
                <w:sz w:val="22"/>
                <w:szCs w:val="22"/>
                <w:lang w:val="en-CA"/>
              </w:rPr>
            </w:pPr>
            <w:r w:rsidRPr="00C77F31">
              <w:rPr>
                <w:rStyle w:val="html-italic"/>
                <w:rFonts w:cs="Times New Roman"/>
                <w:i/>
                <w:iCs/>
                <w:color w:val="000000" w:themeColor="text1"/>
                <w:sz w:val="22"/>
              </w:rPr>
              <w:fldChar w:fldCharType="begin"/>
            </w:r>
            <w:r w:rsidRPr="00C77F31">
              <w:rPr>
                <w:rStyle w:val="html-italic"/>
                <w:rFonts w:cs="Times New Roman"/>
                <w:i/>
                <w:iCs/>
                <w:color w:val="000000" w:themeColor="text1"/>
                <w:sz w:val="22"/>
                <w:szCs w:val="22"/>
                <w:lang w:val="en-CA"/>
              </w:rPr>
              <w:instrText xml:space="preserve"> ADDIN ZOTERO_ITEM CSL_CITATION {"citationID":"fpvIgPMZ","properties":{"formattedCitation":"(Rivas et al., 2010)","plainCitation":"(Rivas et al., 2010)","noteIndex":0},"citationItems":[{"id":9451,"uris":["http://zotero.org/users/764524/items/C8JTBWLL"],"itemData":{"id":9451,"type":"article-journal","abstract":"Unicellular microalgae generally grow in the presence of bacteria, particularly when they are farmed massively. This study analyzes the bacteria associated with mass culture of Botryococcus braunii: both the planktonic bacteria in the water column and those forming biofilms adhered to the surface of the microalgal cells (</w:instrText>
            </w:r>
            <w:r w:rsidRPr="00C77F31">
              <w:rPr>
                <w:rStyle w:val="html-italic"/>
                <w:rFonts w:ascii="Cambria Math" w:hAnsi="Cambria Math" w:cs="Cambria Math"/>
                <w:i/>
                <w:iCs/>
                <w:color w:val="000000" w:themeColor="text1"/>
                <w:sz w:val="22"/>
                <w:szCs w:val="22"/>
                <w:lang w:val="en-CA"/>
              </w:rPr>
              <w:instrText>∼</w:instrText>
            </w:r>
            <w:r w:rsidRPr="00C77F31">
              <w:rPr>
                <w:rStyle w:val="html-italic"/>
                <w:rFonts w:cs="Times New Roman"/>
                <w:i/>
                <w:iCs/>
                <w:color w:val="000000" w:themeColor="text1"/>
                <w:sz w:val="22"/>
                <w:szCs w:val="22"/>
                <w:lang w:val="en-CA"/>
              </w:rPr>
              <w:instrText xml:space="preserve">107–108 culturable cells per gram microalgae). Furthermore, we identified the culturable bacteria forming a biofilm in the microalgal cells by 16S rDNA sequencing. At least eight different culturable species of bacteria were detected in the biofilm and were evaluated for the presence of quorum-sensing signals in these bacteria. Few studies have considered the implications of this phenomenon as regards the interaction between bacteria and microalgae. Production of C4-AHL and C6-AHL were detected in two species, Pseudomonas sp. and Rhizobium sp., which are present in the bacterial biofilm associated with B. braunii. This type of signal was not detected in the planktonic bacteria isolated from the water. We also noted that the bacterium, Rhizobium sp., acted as a probiotic bacterium and significantly encouraged the growth of B. braunii. A direct application of these beneficial bacteria associated with B. braunii could be, to use them like inoculants for large-scale microalgal cultures. They could optimize biomass production by enhancing growth, particularly in this microalga that has a low growth rate.","container-title":"Microbial Ecology","DOI":"10.1007/s00248-010-9686-6","ISSN":"1432-184X","issue":"3","journalAbbreviation":"Microb. Ecol.","language":"en","page":"628-635","source":"Springer Link","title":"Interactions of &lt;i&gt;Botryococcus braunii&lt;/i&gt; Cultures with Bacterial Biofilms","volume":"60","author":[{"family":"Rivas","given":"Mariella O."},{"family":"Vargas","given":"Pedro"},{"family":"Riquelme","given":"Carlos E."}],"issued":{"date-parts":[["2010",10,1]]}}}],"schema":"https://github.com/citation-style-language/schema/raw/master/csl-citation.json"} </w:instrText>
            </w:r>
            <w:r w:rsidRPr="00C77F31">
              <w:rPr>
                <w:rStyle w:val="html-italic"/>
                <w:rFonts w:cs="Times New Roman"/>
                <w:i/>
                <w:iCs/>
                <w:color w:val="000000" w:themeColor="text1"/>
                <w:sz w:val="22"/>
              </w:rPr>
              <w:fldChar w:fldCharType="separate"/>
            </w:r>
            <w:r w:rsidRPr="00C77F31">
              <w:rPr>
                <w:rFonts w:cs="Times New Roman"/>
                <w:color w:val="000000" w:themeColor="text1"/>
                <w:sz w:val="22"/>
                <w:szCs w:val="22"/>
              </w:rPr>
              <w:t>(Rivas et al., 2010)</w:t>
            </w:r>
            <w:r w:rsidRPr="00C77F31">
              <w:rPr>
                <w:rStyle w:val="html-italic"/>
                <w:rFonts w:cs="Times New Roman"/>
                <w:i/>
                <w:iCs/>
                <w:color w:val="000000" w:themeColor="text1"/>
                <w:sz w:val="22"/>
              </w:rPr>
              <w:fldChar w:fldCharType="end"/>
            </w:r>
          </w:p>
        </w:tc>
      </w:tr>
      <w:tr w:rsidR="00F45922" w:rsidRPr="00E6269E" w14:paraId="22681B32" w14:textId="535B4E8D"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69713711" w14:textId="34140336" w:rsidR="00F45922" w:rsidRPr="00C77F31" w:rsidRDefault="00F45922" w:rsidP="00F45922">
            <w:pPr>
              <w:snapToGrid w:val="0"/>
              <w:rPr>
                <w:rStyle w:val="html-italic"/>
                <w:rFonts w:cs="Times New Roman"/>
                <w:b w:val="0"/>
                <w:bCs w:val="0"/>
                <w:i/>
                <w:iCs/>
                <w:color w:val="000000" w:themeColor="text1"/>
                <w:sz w:val="22"/>
                <w:szCs w:val="22"/>
                <w:lang w:val="en-CA"/>
              </w:rPr>
            </w:pPr>
            <w:proofErr w:type="spellStart"/>
            <w:r w:rsidRPr="00C77F31">
              <w:rPr>
                <w:rStyle w:val="html-italic"/>
                <w:rFonts w:cs="Times New Roman"/>
                <w:b w:val="0"/>
                <w:bCs w:val="0"/>
                <w:i/>
                <w:iCs/>
                <w:color w:val="000000" w:themeColor="text1"/>
                <w:sz w:val="22"/>
                <w:szCs w:val="22"/>
                <w:lang w:val="en-CA"/>
              </w:rPr>
              <w:t>Mesorhizobium</w:t>
            </w:r>
            <w:proofErr w:type="spellEnd"/>
            <w:r w:rsidRPr="00C77F31">
              <w:rPr>
                <w:rStyle w:val="html-italic"/>
                <w:rFonts w:cs="Times New Roman"/>
                <w:b w:val="0"/>
                <w:bCs w:val="0"/>
                <w:i/>
                <w:iCs/>
                <w:color w:val="000000" w:themeColor="text1"/>
                <w:sz w:val="22"/>
                <w:szCs w:val="22"/>
                <w:lang w:val="en-CA"/>
              </w:rPr>
              <w:t xml:space="preserve"> loti</w:t>
            </w:r>
          </w:p>
        </w:tc>
        <w:tc>
          <w:tcPr>
            <w:tcW w:w="1842" w:type="dxa"/>
            <w:tcBorders>
              <w:left w:val="single" w:sz="4" w:space="0" w:color="auto"/>
            </w:tcBorders>
            <w:shd w:val="clear" w:color="auto" w:fill="D9ECFF"/>
            <w:vAlign w:val="center"/>
          </w:tcPr>
          <w:p w14:paraId="375A6882" w14:textId="0596FD0F"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color w:val="000000" w:themeColor="text1"/>
                <w:sz w:val="22"/>
                <w:szCs w:val="22"/>
                <w:lang w:val="en-CA"/>
              </w:rPr>
            </w:pPr>
            <w:proofErr w:type="spellStart"/>
            <w:r w:rsidRPr="00C77F31">
              <w:rPr>
                <w:rFonts w:cs="Times New Roman"/>
                <w:i/>
                <w:iCs/>
                <w:color w:val="000000" w:themeColor="text1"/>
                <w:sz w:val="22"/>
                <w:szCs w:val="22"/>
                <w:lang w:val="en-CA"/>
              </w:rPr>
              <w:t>Lobomonas</w:t>
            </w:r>
            <w:proofErr w:type="spellEnd"/>
            <w:r w:rsidRPr="00C77F31">
              <w:rPr>
                <w:rFonts w:cs="Times New Roman"/>
                <w:i/>
                <w:iCs/>
                <w:color w:val="000000" w:themeColor="text1"/>
                <w:sz w:val="22"/>
                <w:szCs w:val="22"/>
                <w:lang w:val="en-CA"/>
              </w:rPr>
              <w:t xml:space="preserve"> rostrata</w:t>
            </w:r>
          </w:p>
        </w:tc>
        <w:tc>
          <w:tcPr>
            <w:tcW w:w="1985" w:type="dxa"/>
            <w:tcBorders>
              <w:left w:val="single" w:sz="4" w:space="0" w:color="auto"/>
            </w:tcBorders>
            <w:shd w:val="clear" w:color="auto" w:fill="D9ECFF"/>
            <w:vAlign w:val="center"/>
          </w:tcPr>
          <w:p w14:paraId="0C869591" w14:textId="77625322"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color w:val="000000" w:themeColor="text1"/>
                <w:sz w:val="22"/>
                <w:szCs w:val="22"/>
                <w:lang w:val="en-CA"/>
              </w:rPr>
            </w:pPr>
            <w:r w:rsidRPr="00C77F31">
              <w:rPr>
                <w:rStyle w:val="html-italic"/>
                <w:rFonts w:cs="Times New Roman"/>
                <w:color w:val="000000" w:themeColor="text1"/>
                <w:sz w:val="22"/>
                <w:szCs w:val="22"/>
                <w:lang w:val="en-CA"/>
              </w:rPr>
              <w:t xml:space="preserve">Release of vitamin B12 </w:t>
            </w:r>
          </w:p>
        </w:tc>
        <w:tc>
          <w:tcPr>
            <w:tcW w:w="1843" w:type="dxa"/>
            <w:tcBorders>
              <w:left w:val="single" w:sz="4" w:space="0" w:color="auto"/>
              <w:right w:val="single" w:sz="4" w:space="0" w:color="auto"/>
            </w:tcBorders>
            <w:shd w:val="clear" w:color="auto" w:fill="D9ECFF"/>
            <w:vAlign w:val="center"/>
          </w:tcPr>
          <w:p w14:paraId="784B1320" w14:textId="2E911C3A"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color w:val="000000" w:themeColor="text1"/>
                <w:sz w:val="22"/>
              </w:rPr>
            </w:pPr>
            <w:r>
              <w:rPr>
                <w:rFonts w:cs="Times New Roman"/>
                <w:sz w:val="22"/>
              </w:rPr>
              <w:t>Release of organic carbon</w:t>
            </w:r>
          </w:p>
        </w:tc>
        <w:tc>
          <w:tcPr>
            <w:tcW w:w="1558" w:type="dxa"/>
            <w:tcBorders>
              <w:left w:val="single" w:sz="4" w:space="0" w:color="auto"/>
            </w:tcBorders>
            <w:shd w:val="clear" w:color="auto" w:fill="D9ECFF"/>
            <w:vAlign w:val="center"/>
          </w:tcPr>
          <w:p w14:paraId="70E15927" w14:textId="0B813E98"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color w:val="000000" w:themeColor="text1"/>
                <w:sz w:val="22"/>
                <w:szCs w:val="22"/>
                <w:lang w:val="en-CA"/>
              </w:rPr>
            </w:pPr>
            <w:r w:rsidRPr="00C77F31">
              <w:rPr>
                <w:rStyle w:val="html-italic"/>
                <w:rFonts w:cs="Times New Roman"/>
                <w:i/>
                <w:iCs/>
                <w:color w:val="000000" w:themeColor="text1"/>
                <w:sz w:val="22"/>
              </w:rPr>
              <w:fldChar w:fldCharType="begin"/>
            </w:r>
            <w:r w:rsidRPr="00C77F31">
              <w:rPr>
                <w:rStyle w:val="html-italic"/>
                <w:rFonts w:cs="Times New Roman"/>
                <w:i/>
                <w:iCs/>
                <w:color w:val="000000" w:themeColor="text1"/>
                <w:sz w:val="22"/>
                <w:szCs w:val="22"/>
                <w:lang w:val="en-CA"/>
              </w:rPr>
              <w:instrText xml:space="preserve"> ADDIN ZOTERO_ITEM CSL_CITATION {"citationID":"hXfDJaEa","properties":{"formattedCitation":"(Kazamia et al., 2012a)","plainCitation":"(Kazamia et al., 2012a)","noteIndex":0},"citationItems":[{"id":4553,"uris":["http://zotero.org/users/764524/items/4BAYSV5A"],"itemData":{"id":4553,"type":"article-journal","abstract":"Algal biofuel production offers great potential as a sustainable source of bioenergy without competing for arable land with food crops. However, many challenges must be overcome to enable this to be done commercially at the scale required to produce biofuels. Here we explain how an understanding of algal ecology could lead to more reliable raceway-based microalgal cultivation, drawing from established principles of community ecology to highlight practices that could be applied to protect algal cultures from unwanted contaminants. Using theoretical concepts, we show how an understanding of local community dynamics at the species level might be used to enhance productivity by encouraging certain community structures over others.","collection-title":"Photosynthetic microorganisms for bio-fuel production from sun light","container-title":"Journal of Biotechnology","DOI":"10.1016/j.jbiotec.2012.03.022","ISSN":"0168-1656","issue":"1","journalAbbreviation":"J. Biotechnol.","page":"163-169","source":"ScienceDirect","title":"Synthetic ecology – A way forward for sustainable algal biofuel production?","volume":"162","author":[{"family":"Kazamia","given":"Elena"},{"family":"Aldridge","given":"David C."},{"family":"Smith","given":"Alison G."}],"issued":{"date-parts":[["2012",11,30]]}}}],"schema":"https://github.com/citation-style-language/schema/raw/master/csl-citation.json"} </w:instrText>
            </w:r>
            <w:r w:rsidRPr="00C77F31">
              <w:rPr>
                <w:rStyle w:val="html-italic"/>
                <w:rFonts w:cs="Times New Roman"/>
                <w:i/>
                <w:iCs/>
                <w:color w:val="000000" w:themeColor="text1"/>
                <w:sz w:val="22"/>
              </w:rPr>
              <w:fldChar w:fldCharType="separate"/>
            </w:r>
            <w:r w:rsidRPr="00C77F31">
              <w:rPr>
                <w:rFonts w:cs="Times New Roman"/>
                <w:sz w:val="22"/>
                <w:szCs w:val="22"/>
              </w:rPr>
              <w:t>(Kazamia et al., 2012a)</w:t>
            </w:r>
            <w:r w:rsidRPr="00C77F31">
              <w:rPr>
                <w:rStyle w:val="html-italic"/>
                <w:rFonts w:cs="Times New Roman"/>
                <w:i/>
                <w:iCs/>
                <w:color w:val="000000" w:themeColor="text1"/>
                <w:sz w:val="22"/>
              </w:rPr>
              <w:fldChar w:fldCharType="end"/>
            </w:r>
          </w:p>
        </w:tc>
      </w:tr>
      <w:tr w:rsidR="00F45922" w:rsidRPr="00E6269E" w14:paraId="477A3FDD" w14:textId="10262D86"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0EE80A16" w14:textId="7ECBF4AD" w:rsidR="00F45922" w:rsidRPr="00C77F31" w:rsidRDefault="00F45922" w:rsidP="00F45922">
            <w:pPr>
              <w:snapToGrid w:val="0"/>
              <w:rPr>
                <w:rStyle w:val="html-italic"/>
                <w:rFonts w:cs="Times New Roman"/>
                <w:b w:val="0"/>
                <w:bCs w:val="0"/>
                <w:i/>
                <w:iCs/>
                <w:color w:val="000000" w:themeColor="text1"/>
                <w:sz w:val="22"/>
                <w:szCs w:val="22"/>
                <w:lang w:val="en-CA"/>
              </w:rPr>
            </w:pPr>
            <w:proofErr w:type="spellStart"/>
            <w:r w:rsidRPr="00C77F31">
              <w:rPr>
                <w:rStyle w:val="html-italic"/>
                <w:rFonts w:cs="Times New Roman"/>
                <w:b w:val="0"/>
                <w:bCs w:val="0"/>
                <w:i/>
                <w:iCs/>
                <w:color w:val="000000" w:themeColor="text1"/>
                <w:sz w:val="22"/>
                <w:szCs w:val="22"/>
                <w:lang w:val="en-CA"/>
              </w:rPr>
              <w:t>Ruegeria</w:t>
            </w:r>
            <w:proofErr w:type="spellEnd"/>
            <w:r w:rsidRPr="00C77F31">
              <w:rPr>
                <w:rStyle w:val="html-italic"/>
                <w:rFonts w:cs="Times New Roman"/>
                <w:b w:val="0"/>
                <w:bCs w:val="0"/>
                <w:i/>
                <w:iCs/>
                <w:color w:val="000000" w:themeColor="text1"/>
                <w:sz w:val="22"/>
                <w:szCs w:val="22"/>
                <w:lang w:val="en-CA"/>
              </w:rPr>
              <w:t xml:space="preserve"> </w:t>
            </w:r>
            <w:proofErr w:type="spellStart"/>
            <w:r w:rsidRPr="00C77F31">
              <w:rPr>
                <w:rStyle w:val="html-italic"/>
                <w:rFonts w:cs="Times New Roman"/>
                <w:b w:val="0"/>
                <w:bCs w:val="0"/>
                <w:i/>
                <w:iCs/>
                <w:color w:val="000000" w:themeColor="text1"/>
                <w:sz w:val="22"/>
                <w:szCs w:val="22"/>
                <w:lang w:val="en-CA"/>
              </w:rPr>
              <w:t>pomeroyi</w:t>
            </w:r>
            <w:proofErr w:type="spellEnd"/>
            <w:r w:rsidRPr="00C77F31">
              <w:rPr>
                <w:rStyle w:val="html-italic"/>
                <w:rFonts w:cs="Times New Roman"/>
                <w:b w:val="0"/>
                <w:bCs w:val="0"/>
                <w:i/>
                <w:iCs/>
                <w:color w:val="000000" w:themeColor="text1"/>
                <w:sz w:val="22"/>
                <w:szCs w:val="22"/>
                <w:lang w:val="en-CA"/>
              </w:rPr>
              <w:t xml:space="preserve"> DSS-3</w:t>
            </w:r>
          </w:p>
        </w:tc>
        <w:tc>
          <w:tcPr>
            <w:tcW w:w="1842" w:type="dxa"/>
            <w:tcBorders>
              <w:left w:val="single" w:sz="4" w:space="0" w:color="auto"/>
            </w:tcBorders>
            <w:shd w:val="clear" w:color="auto" w:fill="D9ECFF"/>
            <w:vAlign w:val="center"/>
          </w:tcPr>
          <w:p w14:paraId="76D794F4" w14:textId="0C76DDA7"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color w:val="000000" w:themeColor="text1"/>
                <w:sz w:val="22"/>
                <w:szCs w:val="22"/>
                <w:lang w:val="en-CA"/>
              </w:rPr>
            </w:pPr>
            <w:proofErr w:type="spellStart"/>
            <w:r w:rsidRPr="00C77F31">
              <w:rPr>
                <w:rFonts w:cs="Times New Roman"/>
                <w:i/>
                <w:iCs/>
                <w:color w:val="000000" w:themeColor="text1"/>
                <w:sz w:val="22"/>
                <w:szCs w:val="22"/>
                <w:lang w:val="en-CA"/>
              </w:rPr>
              <w:t>Thalassiosira</w:t>
            </w:r>
            <w:proofErr w:type="spellEnd"/>
            <w:r w:rsidRPr="00C77F31">
              <w:rPr>
                <w:rFonts w:cs="Times New Roman"/>
                <w:i/>
                <w:iCs/>
                <w:color w:val="000000" w:themeColor="text1"/>
                <w:sz w:val="22"/>
                <w:szCs w:val="22"/>
                <w:lang w:val="en-CA"/>
              </w:rPr>
              <w:t xml:space="preserve"> </w:t>
            </w:r>
            <w:proofErr w:type="spellStart"/>
            <w:r w:rsidRPr="00C77F31">
              <w:rPr>
                <w:rStyle w:val="html-italic"/>
                <w:rFonts w:cs="Times New Roman"/>
                <w:i/>
                <w:iCs/>
                <w:color w:val="000000" w:themeColor="text1"/>
                <w:sz w:val="22"/>
                <w:szCs w:val="22"/>
                <w:lang w:val="en-CA"/>
              </w:rPr>
              <w:t>pseudonana</w:t>
            </w:r>
            <w:proofErr w:type="spellEnd"/>
            <w:r w:rsidRPr="00C77F31">
              <w:rPr>
                <w:rFonts w:cs="Times New Roman"/>
                <w:i/>
                <w:iCs/>
                <w:color w:val="000000" w:themeColor="text1"/>
                <w:sz w:val="22"/>
                <w:szCs w:val="22"/>
                <w:lang w:val="en-CA"/>
              </w:rPr>
              <w:t xml:space="preserve"> CCMP1335</w:t>
            </w:r>
          </w:p>
        </w:tc>
        <w:tc>
          <w:tcPr>
            <w:tcW w:w="1985" w:type="dxa"/>
            <w:tcBorders>
              <w:left w:val="single" w:sz="4" w:space="0" w:color="auto"/>
            </w:tcBorders>
            <w:shd w:val="clear" w:color="auto" w:fill="D9ECFF"/>
            <w:vAlign w:val="center"/>
          </w:tcPr>
          <w:p w14:paraId="7315747D" w14:textId="6774584C"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color w:val="000000" w:themeColor="text1"/>
                <w:sz w:val="22"/>
                <w:szCs w:val="22"/>
                <w:lang w:val="en-CA"/>
              </w:rPr>
            </w:pPr>
            <w:r w:rsidRPr="00C77F31">
              <w:rPr>
                <w:rFonts w:cs="Times New Roman"/>
                <w:color w:val="000000" w:themeColor="text1"/>
                <w:sz w:val="22"/>
                <w:szCs w:val="22"/>
                <w:lang w:val="en-CA"/>
              </w:rPr>
              <w:t xml:space="preserve">Catabolism of 2,3-dihydroxypropane-1-sulfonate (DHPS), </w:t>
            </w:r>
            <w:r w:rsidRPr="00C77F31">
              <w:rPr>
                <w:rStyle w:val="html-italic"/>
                <w:rFonts w:cs="Times New Roman"/>
                <w:color w:val="000000" w:themeColor="text1"/>
                <w:sz w:val="22"/>
                <w:szCs w:val="22"/>
                <w:lang w:val="en-CA"/>
              </w:rPr>
              <w:t>release of vitamin B12 from bacteria for the auxotrophic algae</w:t>
            </w:r>
          </w:p>
        </w:tc>
        <w:tc>
          <w:tcPr>
            <w:tcW w:w="1843" w:type="dxa"/>
            <w:tcBorders>
              <w:left w:val="single" w:sz="4" w:space="0" w:color="auto"/>
              <w:right w:val="single" w:sz="4" w:space="0" w:color="auto"/>
            </w:tcBorders>
            <w:shd w:val="clear" w:color="auto" w:fill="D9ECFF"/>
            <w:vAlign w:val="center"/>
          </w:tcPr>
          <w:p w14:paraId="1EB343BD" w14:textId="7EDD03BC" w:rsidR="00F45922" w:rsidRPr="00F45922" w:rsidRDefault="00F45922"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color w:val="000000" w:themeColor="text1"/>
                <w:sz w:val="22"/>
              </w:rPr>
            </w:pPr>
            <w:r w:rsidRPr="00F45922">
              <w:rPr>
                <w:rStyle w:val="html-italic"/>
                <w:rFonts w:cs="Times New Roman"/>
                <w:color w:val="000000" w:themeColor="text1"/>
                <w:sz w:val="22"/>
              </w:rPr>
              <w:t>Carbon fixing</w:t>
            </w:r>
          </w:p>
        </w:tc>
        <w:tc>
          <w:tcPr>
            <w:tcW w:w="1558" w:type="dxa"/>
            <w:tcBorders>
              <w:left w:val="single" w:sz="4" w:space="0" w:color="auto"/>
            </w:tcBorders>
            <w:shd w:val="clear" w:color="auto" w:fill="D9ECFF"/>
            <w:vAlign w:val="center"/>
          </w:tcPr>
          <w:p w14:paraId="23AD2700" w14:textId="73299E85"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color w:val="000000" w:themeColor="text1"/>
                <w:sz w:val="22"/>
                <w:szCs w:val="22"/>
                <w:lang w:val="en-CA"/>
              </w:rPr>
            </w:pPr>
            <w:r w:rsidRPr="00C77F31">
              <w:rPr>
                <w:rStyle w:val="html-italic"/>
                <w:rFonts w:cs="Times New Roman"/>
                <w:i/>
                <w:iCs/>
                <w:color w:val="000000" w:themeColor="text1"/>
                <w:sz w:val="22"/>
              </w:rPr>
              <w:fldChar w:fldCharType="begin"/>
            </w:r>
            <w:r w:rsidRPr="00C77F31">
              <w:rPr>
                <w:rStyle w:val="html-italic"/>
                <w:rFonts w:cs="Times New Roman"/>
                <w:i/>
                <w:iCs/>
                <w:color w:val="000000" w:themeColor="text1"/>
                <w:sz w:val="22"/>
                <w:szCs w:val="22"/>
                <w:lang w:val="en-CA"/>
              </w:rPr>
              <w:instrText xml:space="preserve"> ADDIN ZOTERO_ITEM CSL_CITATION {"citationID":"rKDx1vEs","properties":{"formattedCitation":"(Durham et al., 2015)","plainCitation":"(Durham et al., 2015)","noteIndex":0},"citationItems":[{"id":9453,"uris":["http://zotero.org/users/764524/items/B87CCFVL"],"itemData":{"id":9453,"type":"article-journal","abstract":"About half the carbon fixed by phytoplankton in the ocean is taken up and metabolized by marine bacteria, a transfer that is mediated through the seawater dissolved organic carbon (DOC) pool. The chemical complexity of marine DOC, along with a poor understanding of which compounds form the basis of trophic interactions between bacteria and phytoplankton, have impeded efforts to identify key currencies of this carbon cycle link. Here, we used transcriptional patterns in a bacterial-diatom model system based on vitamin B12 auxotrophy as a sensitive assay for metabolite exchange between marine plankton. The most highly up-regulated genes (up to 374-fold) by a marine Roseobacter clade bacterium when cocultured with the diatom Thalassiosira pseudonana were those encoding the transport and catabolism of 2,3-dihydroxypropane-1-sulfonate (DHPS). This compound has no currently recognized role in the marine microbial food web. As the genes for DHPS catabolism have limited distribution among bacterial taxa, T. pseudonana may use this sulfonate for targeted feeding of beneficial associates. Indeed, DHPS was both a major component of the T. pseudonana cytosol and an abundant microbial metabolite in a diatom bloom in the eastern North Pacific Ocean. Moreover, transcript analysis of the North Pacific samples provided evidence of DHPS catabolism by Roseobacter populations. Other such biogeochemically important metabolites may be common in the ocean but difficult to discriminate against the complex chemical background of seawater. Bacterial transformation of this diatom-derived sulfonate represents a previously unidentified and likely sizeable link in both the marine carbon and sulfur cycles.","container-title":"Proceedings of the National Academy of Sciences","DOI":"10.1073/pnas.1413137112","issue":"2","journalAbbreviation":"Proc. Natl. Acad. Sci. U.S.A.","note":"publisher: Proceedings of the National Academy of Sciences","page":"453-457","source":"pnas.org (Atypon)","title":"Cryptic carbon and sulfur cycling between surface ocean plankton","volume":"112","author":[{"family":"Durham","given":"Bryndan P."},{"family":"Sharma","given":"Shalabh"},{"family":"Luo","given":"Haiwei"},{"family":"Smith","given":"Christa B."},{"family":"Amin","given":"Shady A."},{"family":"Bender","given":"Sara J."},{"family":"Dearth","given":"Stephen P."},{"family":"Van Mooy","given":"Benjamin A. S."},{"family":"Campagna","given":"Shawn R."},{"family":"Kujawinski","given":"Elizabeth B."},{"family":"Armbrust","given":"E. Virginia"},{"family":"Moran","given":"Mary Ann"}],"issued":{"date-parts":[["2015",1,13]]}}}],"schema":"https://github.com/citation-style-language/schema/raw/master/csl-citation.json"} </w:instrText>
            </w:r>
            <w:r w:rsidRPr="00C77F31">
              <w:rPr>
                <w:rStyle w:val="html-italic"/>
                <w:rFonts w:cs="Times New Roman"/>
                <w:i/>
                <w:iCs/>
                <w:color w:val="000000" w:themeColor="text1"/>
                <w:sz w:val="22"/>
              </w:rPr>
              <w:fldChar w:fldCharType="separate"/>
            </w:r>
            <w:r w:rsidRPr="00C77F31">
              <w:rPr>
                <w:rFonts w:cs="Times New Roman"/>
                <w:color w:val="000000" w:themeColor="text1"/>
                <w:sz w:val="22"/>
                <w:szCs w:val="22"/>
              </w:rPr>
              <w:t>(Durham et al., 2015)</w:t>
            </w:r>
            <w:r w:rsidRPr="00C77F31">
              <w:rPr>
                <w:rStyle w:val="html-italic"/>
                <w:rFonts w:cs="Times New Roman"/>
                <w:i/>
                <w:iCs/>
                <w:color w:val="000000" w:themeColor="text1"/>
                <w:sz w:val="22"/>
              </w:rPr>
              <w:fldChar w:fldCharType="end"/>
            </w:r>
          </w:p>
        </w:tc>
      </w:tr>
      <w:tr w:rsidR="00F45922" w:rsidRPr="00206676" w14:paraId="2EB054F0" w14:textId="44BE031E"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37F0D86D" w14:textId="12074BDF" w:rsidR="00F45922" w:rsidRPr="00C77F31" w:rsidRDefault="00F45922" w:rsidP="00F45922">
            <w:pPr>
              <w:snapToGrid w:val="0"/>
              <w:rPr>
                <w:rStyle w:val="html-italic"/>
                <w:rFonts w:cs="Times New Roman"/>
                <w:i/>
                <w:iCs/>
                <w:sz w:val="22"/>
                <w:szCs w:val="22"/>
                <w:lang w:val="en-CA"/>
              </w:rPr>
            </w:pPr>
            <w:proofErr w:type="spellStart"/>
            <w:r w:rsidRPr="00C77F31">
              <w:rPr>
                <w:rStyle w:val="html-italic"/>
                <w:rFonts w:cs="Times New Roman"/>
                <w:b w:val="0"/>
                <w:bCs w:val="0"/>
                <w:i/>
                <w:iCs/>
                <w:color w:val="auto"/>
                <w:sz w:val="22"/>
                <w:szCs w:val="22"/>
                <w:lang w:val="en-CA"/>
              </w:rPr>
              <w:t>Marinobacter</w:t>
            </w:r>
            <w:proofErr w:type="spellEnd"/>
            <w:r w:rsidRPr="00C77F31">
              <w:rPr>
                <w:rStyle w:val="html-italic"/>
                <w:rFonts w:cs="Times New Roman"/>
                <w:b w:val="0"/>
                <w:bCs w:val="0"/>
                <w:i/>
                <w:iCs/>
                <w:color w:val="auto"/>
                <w:sz w:val="22"/>
                <w:szCs w:val="22"/>
                <w:lang w:val="en-CA"/>
              </w:rPr>
              <w:t xml:space="preserve">, </w:t>
            </w:r>
            <w:proofErr w:type="spellStart"/>
            <w:r w:rsidRPr="00C77F31">
              <w:rPr>
                <w:rStyle w:val="html-italic"/>
                <w:rFonts w:cs="Times New Roman"/>
                <w:b w:val="0"/>
                <w:bCs w:val="0"/>
                <w:i/>
                <w:iCs/>
                <w:color w:val="auto"/>
                <w:sz w:val="22"/>
                <w:szCs w:val="22"/>
                <w:lang w:val="en-CA"/>
              </w:rPr>
              <w:t>Roseobacter</w:t>
            </w:r>
            <w:proofErr w:type="spellEnd"/>
            <w:r w:rsidRPr="00C77F31">
              <w:rPr>
                <w:rStyle w:val="html-italic"/>
                <w:rFonts w:cs="Times New Roman"/>
                <w:b w:val="0"/>
                <w:bCs w:val="0"/>
                <w:i/>
                <w:iCs/>
                <w:color w:val="auto"/>
                <w:sz w:val="22"/>
                <w:szCs w:val="22"/>
                <w:lang w:val="en-CA"/>
              </w:rPr>
              <w:t xml:space="preserve"> </w:t>
            </w:r>
          </w:p>
        </w:tc>
        <w:tc>
          <w:tcPr>
            <w:tcW w:w="1842" w:type="dxa"/>
            <w:tcBorders>
              <w:left w:val="single" w:sz="4" w:space="0" w:color="auto"/>
            </w:tcBorders>
            <w:shd w:val="clear" w:color="auto" w:fill="D9ECFF"/>
            <w:vAlign w:val="center"/>
          </w:tcPr>
          <w:p w14:paraId="2DABB0F4" w14:textId="472201CB"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proofErr w:type="spellStart"/>
            <w:r w:rsidRPr="00C77F31">
              <w:rPr>
                <w:rFonts w:cs="Times New Roman"/>
                <w:i/>
                <w:iCs/>
                <w:sz w:val="22"/>
                <w:szCs w:val="22"/>
                <w:lang w:val="en-CA"/>
              </w:rPr>
              <w:t>Scrippsiella</w:t>
            </w:r>
            <w:proofErr w:type="spellEnd"/>
            <w:r w:rsidRPr="00C77F31">
              <w:rPr>
                <w:rFonts w:cs="Times New Roman"/>
                <w:i/>
                <w:iCs/>
                <w:sz w:val="22"/>
                <w:szCs w:val="22"/>
                <w:lang w:val="en-CA"/>
              </w:rPr>
              <w:t xml:space="preserve"> </w:t>
            </w:r>
            <w:proofErr w:type="spellStart"/>
            <w:r w:rsidRPr="00C77F31">
              <w:rPr>
                <w:rStyle w:val="html-italic"/>
                <w:rFonts w:cs="Times New Roman"/>
                <w:i/>
                <w:iCs/>
                <w:sz w:val="22"/>
                <w:szCs w:val="22"/>
                <w:lang w:val="en-CA"/>
              </w:rPr>
              <w:t>trochoidea</w:t>
            </w:r>
            <w:proofErr w:type="spellEnd"/>
          </w:p>
        </w:tc>
        <w:tc>
          <w:tcPr>
            <w:tcW w:w="1985" w:type="dxa"/>
            <w:tcBorders>
              <w:left w:val="single" w:sz="4" w:space="0" w:color="auto"/>
            </w:tcBorders>
            <w:shd w:val="clear" w:color="auto" w:fill="D9ECFF"/>
            <w:vAlign w:val="center"/>
          </w:tcPr>
          <w:p w14:paraId="66E13EB3" w14:textId="11555DF5"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sz w:val="22"/>
                <w:szCs w:val="22"/>
                <w:lang w:val="en-CA"/>
              </w:rPr>
            </w:pPr>
            <w:r w:rsidRPr="00C77F31">
              <w:rPr>
                <w:rStyle w:val="html-italic"/>
                <w:rFonts w:cs="Times New Roman"/>
                <w:iCs/>
                <w:sz w:val="22"/>
                <w:szCs w:val="22"/>
                <w:lang w:val="en-CA"/>
              </w:rPr>
              <w:t>Release of</w:t>
            </w:r>
            <w:r>
              <w:rPr>
                <w:rStyle w:val="html-italic"/>
                <w:rFonts w:cs="Times New Roman"/>
                <w:iCs/>
                <w:sz w:val="22"/>
                <w:szCs w:val="22"/>
                <w:lang w:val="en-CA"/>
              </w:rPr>
              <w:t xml:space="preserve"> siderophores for algal iron transport</w:t>
            </w:r>
          </w:p>
        </w:tc>
        <w:tc>
          <w:tcPr>
            <w:tcW w:w="1843" w:type="dxa"/>
            <w:tcBorders>
              <w:left w:val="single" w:sz="4" w:space="0" w:color="auto"/>
              <w:right w:val="single" w:sz="4" w:space="0" w:color="auto"/>
            </w:tcBorders>
            <w:shd w:val="clear" w:color="auto" w:fill="D9ECFF"/>
            <w:vAlign w:val="center"/>
          </w:tcPr>
          <w:p w14:paraId="00A952AA" w14:textId="59577AF7"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rPr>
            </w:pPr>
            <w:r w:rsidRPr="00F45922">
              <w:rPr>
                <w:rStyle w:val="html-italic"/>
                <w:rFonts w:cs="Times New Roman"/>
                <w:color w:val="000000" w:themeColor="text1"/>
                <w:sz w:val="22"/>
              </w:rPr>
              <w:t>Carbon fixing</w:t>
            </w:r>
          </w:p>
        </w:tc>
        <w:tc>
          <w:tcPr>
            <w:tcW w:w="1558" w:type="dxa"/>
            <w:tcBorders>
              <w:left w:val="single" w:sz="4" w:space="0" w:color="auto"/>
            </w:tcBorders>
            <w:shd w:val="clear" w:color="auto" w:fill="D9ECFF"/>
            <w:vAlign w:val="center"/>
          </w:tcPr>
          <w:p w14:paraId="488A60C0" w14:textId="5E3A6108"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r w:rsidRPr="00C77F31">
              <w:rPr>
                <w:rStyle w:val="html-italic"/>
                <w:rFonts w:cs="Times New Roman"/>
                <w:i/>
                <w:iCs/>
                <w:sz w:val="22"/>
              </w:rPr>
              <w:fldChar w:fldCharType="begin"/>
            </w:r>
            <w:r w:rsidRPr="00C77F31">
              <w:rPr>
                <w:rStyle w:val="html-italic"/>
                <w:rFonts w:cs="Times New Roman"/>
                <w:i/>
                <w:iCs/>
                <w:sz w:val="22"/>
                <w:szCs w:val="22"/>
                <w:lang w:val="en-CA"/>
              </w:rPr>
              <w:instrText xml:space="preserve"> ADDIN ZOTERO_ITEM CSL_CITATION {"citationID":"Qgos3Nmb","properties":{"formattedCitation":"(Amin et al., 2009)","plainCitation":"(Amin et al., 2009)","noteIndex":0},"citationItems":[{"id":9455,"uris":["http://zotero.org/users/764524/items/7VBT692J"],"itemData":{"id":9455,"type":"article-journal","abstract":"Marine microalgae support world fisheries production and influence climate through various mechanisms. They are also responsible for harmful blooms that adversely impact coastal ecosystems and economies. Optimal growth and survival of many bloom-forming microalgae, including climatically important dinoflagellates and coccolithophores, requires the close association of specific bacterial species, but the reasons for these associations are unknown. Here, we report that several clades of Marinobacter ubiquitously found in close association with dinoflagellates and coccolithophores produce an unusual lower-affinity dicitrate siderophore, vibrioferrin (VF). Fe-VF chelates undergo photolysis at rates that are 10–20 times higher than siderophores produced by free-living marine bacteria, and unlike the latter, the VF photoproduct has no measurable affinity for iron. While both an algal-associated bacterium and a representative dinoflagellate partner, Scrippsiella trochoidea, used iron from Fe-VF chelates in the dark, in situ photolysis of the chelates in the presence of attenuated sunlight increased bacterial iron uptake by 70% and algal uptake by &gt;20-fold. These results suggest that the bacteria promote algal assimilation of iron by facilitating photochemical redox cycling of this critical nutrient. Also, binary culture experiments and genomic evidence suggest that the algal cells release organic molecules that are used by the bacteria for growth. Such mutualistic sharing of iron and fixed carbon has important implications toward our understanding of the close beneficial interactions between marine bacteria and phytoplankton, and the effect of these interactions on algal blooms and climate.","container-title":"Proceedings of the National Academy of Sciences","DOI":"10.1073/pnas.0905512106","issue":"40","journalAbbreviation":"Proc. Natl. Acad. Sci. U.S.A.","note":"publisher: Proceedings of the National Academy of Sciences","page":"17071-17076","source":"pnas.org (Atypon)","title":"Photolysis of iron–siderophore chelates promotes bacterial–algal mutualism","volume":"106","author":[{"family":"Amin","given":"Shady A."},{"family":"Green","given":"David H."},{"family":"Hart","given":"Mark C."},{"family":"Küpper","given":"Frithjof C."},{"family":"Sunda","given":"William G."},{"family":"Carrano","given":"Carl J."}],"issued":{"date-parts":[["2009",10,6]]}}}],"schema":"https://github.com/citation-style-language/schema/raw/master/csl-citation.json"} </w:instrText>
            </w:r>
            <w:r w:rsidRPr="00C77F31">
              <w:rPr>
                <w:rStyle w:val="html-italic"/>
                <w:rFonts w:cs="Times New Roman"/>
                <w:i/>
                <w:iCs/>
                <w:sz w:val="22"/>
              </w:rPr>
              <w:fldChar w:fldCharType="separate"/>
            </w:r>
            <w:r w:rsidRPr="00C77F31">
              <w:rPr>
                <w:rFonts w:cs="Times New Roman"/>
                <w:sz w:val="22"/>
                <w:szCs w:val="22"/>
              </w:rPr>
              <w:t>(Amin et al., 2009)</w:t>
            </w:r>
            <w:r w:rsidRPr="00C77F31">
              <w:rPr>
                <w:rStyle w:val="html-italic"/>
                <w:rFonts w:cs="Times New Roman"/>
                <w:i/>
                <w:iCs/>
                <w:sz w:val="22"/>
              </w:rPr>
              <w:fldChar w:fldCharType="end"/>
            </w:r>
          </w:p>
        </w:tc>
      </w:tr>
      <w:tr w:rsidR="00F45922" w:rsidRPr="00206676" w14:paraId="767742D3" w14:textId="495569D0"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5D1768CF" w14:textId="02F4F4BD" w:rsidR="00F45922" w:rsidRPr="00C77F31" w:rsidRDefault="00F45922" w:rsidP="00F45922">
            <w:pPr>
              <w:snapToGrid w:val="0"/>
              <w:rPr>
                <w:rStyle w:val="html-italic"/>
                <w:rFonts w:cs="Times New Roman"/>
                <w:b w:val="0"/>
                <w:bCs w:val="0"/>
                <w:i/>
                <w:iCs/>
                <w:color w:val="auto"/>
                <w:sz w:val="22"/>
                <w:szCs w:val="22"/>
                <w:lang w:val="en-CA"/>
              </w:rPr>
            </w:pPr>
            <w:r w:rsidRPr="00C77F31">
              <w:rPr>
                <w:rFonts w:cs="Times New Roman"/>
                <w:b w:val="0"/>
                <w:bCs w:val="0"/>
                <w:i/>
                <w:iCs/>
                <w:color w:val="auto"/>
                <w:sz w:val="22"/>
                <w:szCs w:val="22"/>
                <w:lang w:val="en-CA"/>
              </w:rPr>
              <w:t xml:space="preserve">Azotobacter </w:t>
            </w:r>
            <w:proofErr w:type="spellStart"/>
            <w:r w:rsidRPr="00C77F31">
              <w:rPr>
                <w:rStyle w:val="html-italic"/>
                <w:rFonts w:cs="Times New Roman"/>
                <w:b w:val="0"/>
                <w:bCs w:val="0"/>
                <w:i/>
                <w:iCs/>
                <w:color w:val="auto"/>
                <w:sz w:val="22"/>
                <w:szCs w:val="22"/>
                <w:lang w:val="en-CA"/>
              </w:rPr>
              <w:t>vinelandii</w:t>
            </w:r>
            <w:proofErr w:type="spellEnd"/>
          </w:p>
        </w:tc>
        <w:tc>
          <w:tcPr>
            <w:tcW w:w="1842" w:type="dxa"/>
            <w:tcBorders>
              <w:left w:val="single" w:sz="4" w:space="0" w:color="auto"/>
            </w:tcBorders>
            <w:shd w:val="clear" w:color="auto" w:fill="D9ECFF"/>
            <w:vAlign w:val="center"/>
          </w:tcPr>
          <w:p w14:paraId="661CB5CC" w14:textId="1456395E"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lang w:val="en-CA"/>
              </w:rPr>
            </w:pPr>
            <w:proofErr w:type="spellStart"/>
            <w:r w:rsidRPr="00C77F31">
              <w:rPr>
                <w:rStyle w:val="html-italic"/>
                <w:rFonts w:cs="Times New Roman"/>
                <w:i/>
                <w:iCs/>
                <w:sz w:val="22"/>
                <w:szCs w:val="22"/>
                <w:lang w:val="en-CA"/>
              </w:rPr>
              <w:t>Neochloris</w:t>
            </w:r>
            <w:proofErr w:type="spellEnd"/>
            <w:r w:rsidRPr="00C77F31">
              <w:rPr>
                <w:rStyle w:val="html-italic"/>
                <w:rFonts w:cs="Times New Roman"/>
                <w:i/>
                <w:iCs/>
                <w:sz w:val="22"/>
                <w:szCs w:val="22"/>
                <w:lang w:val="en-CA"/>
              </w:rPr>
              <w:t xml:space="preserve"> </w:t>
            </w:r>
            <w:proofErr w:type="spellStart"/>
            <w:r w:rsidRPr="00C77F31">
              <w:rPr>
                <w:rStyle w:val="html-italic"/>
                <w:rFonts w:cs="Times New Roman"/>
                <w:i/>
                <w:iCs/>
                <w:sz w:val="22"/>
                <w:szCs w:val="22"/>
                <w:lang w:val="en-CA"/>
              </w:rPr>
              <w:t>oleoabundans</w:t>
            </w:r>
            <w:proofErr w:type="spellEnd"/>
            <w:r w:rsidRPr="00C77F31">
              <w:rPr>
                <w:rStyle w:val="html-italic"/>
                <w:rFonts w:cs="Times New Roman"/>
                <w:i/>
                <w:iCs/>
                <w:sz w:val="22"/>
                <w:szCs w:val="22"/>
                <w:lang w:val="en-CA"/>
              </w:rPr>
              <w:t>, Scenedesmus sp.</w:t>
            </w:r>
          </w:p>
        </w:tc>
        <w:tc>
          <w:tcPr>
            <w:tcW w:w="1985" w:type="dxa"/>
            <w:tcBorders>
              <w:left w:val="single" w:sz="4" w:space="0" w:color="auto"/>
            </w:tcBorders>
            <w:shd w:val="clear" w:color="auto" w:fill="D9ECFF"/>
            <w:vAlign w:val="center"/>
          </w:tcPr>
          <w:p w14:paraId="43588BFB" w14:textId="7711777D"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Fonts w:cs="Times New Roman"/>
                <w:sz w:val="22"/>
                <w:szCs w:val="22"/>
                <w:lang w:val="en-CA"/>
              </w:rPr>
            </w:pPr>
            <w:r w:rsidRPr="00C77F31">
              <w:rPr>
                <w:rFonts w:cs="Times New Roman"/>
                <w:sz w:val="22"/>
                <w:szCs w:val="22"/>
                <w:lang w:val="en-CA"/>
              </w:rPr>
              <w:t>Use of bacterial siderophores as an alternative nitrogen source for algae</w:t>
            </w:r>
          </w:p>
        </w:tc>
        <w:tc>
          <w:tcPr>
            <w:tcW w:w="1843" w:type="dxa"/>
            <w:tcBorders>
              <w:left w:val="single" w:sz="4" w:space="0" w:color="auto"/>
              <w:right w:val="single" w:sz="4" w:space="0" w:color="auto"/>
            </w:tcBorders>
            <w:shd w:val="clear" w:color="auto" w:fill="D9ECFF"/>
            <w:vAlign w:val="center"/>
          </w:tcPr>
          <w:p w14:paraId="596DAFD4" w14:textId="5E12A4C4"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Fonts w:cs="Times New Roman"/>
                <w:i/>
                <w:iCs/>
                <w:sz w:val="22"/>
              </w:rPr>
            </w:pPr>
            <w:r w:rsidRPr="00F45922">
              <w:rPr>
                <w:rStyle w:val="html-italic"/>
                <w:rFonts w:cs="Times New Roman"/>
                <w:color w:val="000000" w:themeColor="text1"/>
                <w:sz w:val="22"/>
              </w:rPr>
              <w:t>Carbon fixing</w:t>
            </w:r>
          </w:p>
        </w:tc>
        <w:tc>
          <w:tcPr>
            <w:tcW w:w="1558" w:type="dxa"/>
            <w:tcBorders>
              <w:left w:val="single" w:sz="4" w:space="0" w:color="auto"/>
            </w:tcBorders>
            <w:shd w:val="clear" w:color="auto" w:fill="D9ECFF"/>
            <w:vAlign w:val="center"/>
          </w:tcPr>
          <w:p w14:paraId="6CC93111" w14:textId="7AD506AA"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Fonts w:cs="Times New Roman"/>
                <w:i/>
                <w:iCs/>
                <w:sz w:val="22"/>
                <w:szCs w:val="22"/>
                <w:lang w:val="en-CA"/>
              </w:rPr>
            </w:pPr>
            <w:r w:rsidRPr="00C77F31">
              <w:rPr>
                <w:rFonts w:cs="Times New Roman"/>
                <w:i/>
                <w:iCs/>
                <w:sz w:val="22"/>
              </w:rPr>
              <w:fldChar w:fldCharType="begin"/>
            </w:r>
            <w:r w:rsidRPr="00C77F31">
              <w:rPr>
                <w:rFonts w:cs="Times New Roman"/>
                <w:i/>
                <w:iCs/>
                <w:sz w:val="22"/>
                <w:szCs w:val="22"/>
                <w:lang w:val="en-CA"/>
              </w:rPr>
              <w:instrText xml:space="preserve"> ADDIN ZOTERO_ITEM CSL_CITATION {"citationID":"YVxGnMBF","properties":{"formattedCitation":"(Santos and Reis, 2014; Villa et al., 2014)","plainCitation":"(Santos and Reis, 2014; Villa et al., 2014)","noteIndex":0},"citationItems":[{"id":9457,"uris":["http://zotero.org/users/764524/items/JTCGSFE2"],"itemData":{"id":9457,"type":"article-journal","abstract":"This review provides an analysis of recent published work on interactions between microorganisms, especially the ones involving mainly nutrient exchanges and at least with one microalga species. Examples of microbial partners are given, with a remark to the potential application of cultures of an autotroph and a heterotroph, which grow simultaneously, taking advantage of the complementary metabolisms. These are particularly interesting, either due to economic or sustainable aspects, and some applications have already reached the commercial stage of development. The added advantages of these symbiotic cultures are biomass, lipid, and other products productivity enhancement a better utilization of resources and the reduction or even elimination of process residues (including carbon dioxide and other greenhouse gases) to conduct an increasingly greener biotechnology. Among the several symbiotic partners referred, the microalgae and yeast cultures are the most used. The interaction between these two microorganisms shows how to enhance the lipid production for biodiesel purposes compared with separated (stand-alone) cultures.","container-title":"Applied Microbiology and Biotechnology","DOI":"10.1007/s00253-014-5764-x","ISSN":"1432-0614","issue":"13","journalAbbreviation":"Appl. Microbiol. Biotechnol.","language":"en","page":"5839-5846","source":"Springer Link","title":"Microalgal symbiosis in biotechnology","volume":"98","author":[{"family":"Santos","given":"Carla A."},{"family":"Reis","given":"Alberto"}],"issued":{"date-parts":[["2014",7,1]]}}},{"id":9468,"uris":["http://zotero.org/users/764524/items/8FNXETMH"],"itemData":{"id":9468,"type":"article-journal","abstract":"Microalgae are viewed as a potential future agricultural and biofuel feedstock and also provide an ideal biological means of carbon sequestration based on rapid growth rates and high biomass yields. Any potential improvement using high-yield microalgae to fix carbon will require additional fertilizer inputs to provide the necessary nitrogen required for protein and nucleotide biosynthesis. The free-living diazotroph Azotobacter vinelandii can fix nitrogen under aerobic conditions in the presence of reduced carbon sources such as sucrose or glycerol and is also known to produce a variety of siderophores to scavenge different metals from the environment. In this study, we identified two strains of green algae, Neochloris oleoabundans and Scenedesmus sp. BA032, that are able to utilize the A. vinelandii siderophore azotobactin as a source of nitrogen to support growth. When grown in a co-culture, S. sp. BA032 and N. oleoabundans obtained the nitrogen required for growth through the association with A. vinelandii. These results, indicating a commensalistic relationship, provide a proof of concept for developing a mutualistic or symbiotic relationship between these two species using siderophores as a nitrogen shuttle and might further indicate an additional fate of siderophores in the environment.","container-title":"FEMS Microbiology Letters","DOI":"10.1111/1574-6968.12347","ISSN":"0378-1097","issue":"1","journalAbbreviation":"FEMS Microbiology Lett.","page":"70-77","source":"Silverchair","title":"&lt;i&gt;Azotobacter vinelandii&lt;/i&gt; siderophore can provide nitrogen to support the culture of the green algae &lt;i&gt;Neochloris oleoabundans&lt;/i&gt; and &lt;i&gt;Scenedesmus&lt;/i&gt; sp. BA032","volume":"351","author":[{"family":"Villa","given":"Juan A."},{"family":"Ray","given":"Erin E."},{"family":"Barney","given":"Brett M."}],"issued":{"date-parts":[["2014",2,1]]}}}],"schema":"https://github.com/citation-style-language/schema/raw/master/csl-citation.json"} </w:instrText>
            </w:r>
            <w:r w:rsidRPr="00C77F31">
              <w:rPr>
                <w:rFonts w:cs="Times New Roman"/>
                <w:i/>
                <w:iCs/>
                <w:sz w:val="22"/>
              </w:rPr>
              <w:fldChar w:fldCharType="separate"/>
            </w:r>
            <w:r w:rsidRPr="00C77F31">
              <w:rPr>
                <w:rFonts w:cs="Times New Roman"/>
                <w:sz w:val="22"/>
                <w:szCs w:val="22"/>
              </w:rPr>
              <w:t>(Santos and Reis, 2014; Villa et al., 2014)</w:t>
            </w:r>
            <w:r w:rsidRPr="00C77F31">
              <w:rPr>
                <w:rFonts w:cs="Times New Roman"/>
                <w:i/>
                <w:iCs/>
                <w:sz w:val="22"/>
              </w:rPr>
              <w:fldChar w:fldCharType="end"/>
            </w:r>
          </w:p>
        </w:tc>
      </w:tr>
      <w:tr w:rsidR="00F45922" w:rsidRPr="005B6FAD" w14:paraId="012A97B1" w14:textId="0BAB499B"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bottom w:val="single" w:sz="4" w:space="0" w:color="auto"/>
            </w:tcBorders>
            <w:shd w:val="clear" w:color="auto" w:fill="D9ECFF"/>
            <w:vAlign w:val="center"/>
          </w:tcPr>
          <w:p w14:paraId="1698419E" w14:textId="5DFF56B8" w:rsidR="00F45922" w:rsidRPr="00C77F31" w:rsidRDefault="00F45922" w:rsidP="00F45922">
            <w:pPr>
              <w:snapToGrid w:val="0"/>
              <w:rPr>
                <w:rStyle w:val="html-italic"/>
                <w:rFonts w:cs="Times New Roman"/>
                <w:b w:val="0"/>
                <w:bCs w:val="0"/>
                <w:i/>
                <w:iCs/>
                <w:color w:val="auto"/>
                <w:sz w:val="22"/>
                <w:szCs w:val="22"/>
                <w:lang w:val="en-CA"/>
              </w:rPr>
            </w:pPr>
            <w:proofErr w:type="spellStart"/>
            <w:r w:rsidRPr="00C77F31">
              <w:rPr>
                <w:rStyle w:val="html-italic"/>
                <w:rFonts w:cs="Times New Roman"/>
                <w:b w:val="0"/>
                <w:bCs w:val="0"/>
                <w:i/>
                <w:iCs/>
                <w:color w:val="auto"/>
                <w:sz w:val="22"/>
                <w:szCs w:val="22"/>
                <w:lang w:val="en-CA"/>
              </w:rPr>
              <w:t>Azospirillum</w:t>
            </w:r>
            <w:proofErr w:type="spellEnd"/>
            <w:r w:rsidRPr="00C77F31">
              <w:rPr>
                <w:rStyle w:val="html-italic"/>
                <w:rFonts w:cs="Times New Roman"/>
                <w:b w:val="0"/>
                <w:bCs w:val="0"/>
                <w:i/>
                <w:iCs/>
                <w:color w:val="auto"/>
                <w:sz w:val="22"/>
                <w:szCs w:val="22"/>
                <w:lang w:val="en-CA"/>
              </w:rPr>
              <w:t xml:space="preserve"> </w:t>
            </w:r>
            <w:proofErr w:type="spellStart"/>
            <w:r w:rsidRPr="00C77F31">
              <w:rPr>
                <w:rStyle w:val="html-italic"/>
                <w:rFonts w:cs="Times New Roman"/>
                <w:b w:val="0"/>
                <w:bCs w:val="0"/>
                <w:i/>
                <w:iCs/>
                <w:color w:val="auto"/>
                <w:sz w:val="22"/>
                <w:szCs w:val="22"/>
                <w:lang w:val="en-CA"/>
              </w:rPr>
              <w:t>brasilense</w:t>
            </w:r>
            <w:proofErr w:type="spellEnd"/>
          </w:p>
        </w:tc>
        <w:tc>
          <w:tcPr>
            <w:tcW w:w="1842" w:type="dxa"/>
            <w:tcBorders>
              <w:left w:val="single" w:sz="4" w:space="0" w:color="auto"/>
              <w:bottom w:val="single" w:sz="4" w:space="0" w:color="auto"/>
            </w:tcBorders>
            <w:shd w:val="clear" w:color="auto" w:fill="D9ECFF"/>
            <w:vAlign w:val="center"/>
          </w:tcPr>
          <w:p w14:paraId="6A19F721" w14:textId="78FC11EE"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r w:rsidRPr="00C77F31">
              <w:rPr>
                <w:rFonts w:cs="Times New Roman"/>
                <w:i/>
                <w:iCs/>
                <w:sz w:val="22"/>
                <w:szCs w:val="22"/>
                <w:lang w:val="en-CA"/>
              </w:rPr>
              <w:t xml:space="preserve">Chlorella </w:t>
            </w:r>
            <w:r w:rsidRPr="00C77F31">
              <w:rPr>
                <w:rStyle w:val="html-italic"/>
                <w:rFonts w:cs="Times New Roman"/>
                <w:i/>
                <w:iCs/>
                <w:sz w:val="22"/>
                <w:szCs w:val="22"/>
                <w:lang w:val="en-CA"/>
              </w:rPr>
              <w:t>vulgaris</w:t>
            </w:r>
          </w:p>
        </w:tc>
        <w:tc>
          <w:tcPr>
            <w:tcW w:w="1985" w:type="dxa"/>
            <w:tcBorders>
              <w:left w:val="single" w:sz="4" w:space="0" w:color="auto"/>
              <w:bottom w:val="single" w:sz="4" w:space="0" w:color="auto"/>
            </w:tcBorders>
            <w:shd w:val="clear" w:color="auto" w:fill="D9ECFF"/>
            <w:vAlign w:val="center"/>
          </w:tcPr>
          <w:p w14:paraId="35F4F9EC" w14:textId="50DAD69F"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sz w:val="22"/>
                <w:szCs w:val="22"/>
              </w:rPr>
            </w:pPr>
            <w:r w:rsidRPr="00C77F31">
              <w:rPr>
                <w:rFonts w:cs="Times New Roman"/>
                <w:sz w:val="22"/>
                <w:szCs w:val="22"/>
              </w:rPr>
              <w:t xml:space="preserve">IAA synthesis </w:t>
            </w:r>
            <w:r>
              <w:rPr>
                <w:rFonts w:cs="Times New Roman"/>
                <w:sz w:val="22"/>
                <w:szCs w:val="22"/>
              </w:rPr>
              <w:t>and release</w:t>
            </w:r>
          </w:p>
        </w:tc>
        <w:tc>
          <w:tcPr>
            <w:tcW w:w="1843" w:type="dxa"/>
            <w:tcBorders>
              <w:left w:val="single" w:sz="4" w:space="0" w:color="auto"/>
              <w:bottom w:val="single" w:sz="4" w:space="0" w:color="auto"/>
              <w:right w:val="single" w:sz="4" w:space="0" w:color="auto"/>
            </w:tcBorders>
            <w:shd w:val="clear" w:color="auto" w:fill="D9ECFF"/>
            <w:vAlign w:val="center"/>
          </w:tcPr>
          <w:p w14:paraId="5D1425A0" w14:textId="4DE5BBAD"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rPr>
            </w:pPr>
            <w:r>
              <w:rPr>
                <w:rStyle w:val="html-italic"/>
                <w:rFonts w:cs="Times New Roman"/>
                <w:sz w:val="22"/>
                <w:szCs w:val="22"/>
                <w:lang w:val="en-CA"/>
              </w:rPr>
              <w:t xml:space="preserve">Release </w:t>
            </w:r>
            <w:r w:rsidRPr="00C77F31">
              <w:rPr>
                <w:rStyle w:val="html-italic"/>
                <w:rFonts w:cs="Times New Roman"/>
                <w:sz w:val="22"/>
                <w:szCs w:val="22"/>
                <w:lang w:val="en-CA"/>
              </w:rPr>
              <w:t xml:space="preserve">of </w:t>
            </w:r>
            <w:r w:rsidRPr="00C77F31">
              <w:rPr>
                <w:rFonts w:cs="Times New Roman"/>
                <w:sz w:val="22"/>
                <w:szCs w:val="22"/>
              </w:rPr>
              <w:t xml:space="preserve">tryptophan and thiamine </w:t>
            </w:r>
          </w:p>
        </w:tc>
        <w:tc>
          <w:tcPr>
            <w:tcW w:w="1558" w:type="dxa"/>
            <w:tcBorders>
              <w:left w:val="single" w:sz="4" w:space="0" w:color="auto"/>
              <w:bottom w:val="single" w:sz="4" w:space="0" w:color="auto"/>
            </w:tcBorders>
            <w:shd w:val="clear" w:color="auto" w:fill="D9ECFF"/>
            <w:vAlign w:val="center"/>
          </w:tcPr>
          <w:p w14:paraId="45338764" w14:textId="5FFF37FF"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fr-BE"/>
              </w:rPr>
            </w:pPr>
            <w:r w:rsidRPr="00C77F31">
              <w:rPr>
                <w:rStyle w:val="html-italic"/>
                <w:rFonts w:cs="Times New Roman"/>
                <w:i/>
                <w:iCs/>
                <w:sz w:val="22"/>
              </w:rPr>
              <w:fldChar w:fldCharType="begin"/>
            </w:r>
            <w:r w:rsidRPr="00C77F31">
              <w:rPr>
                <w:rStyle w:val="html-italic"/>
                <w:rFonts w:cs="Times New Roman"/>
                <w:i/>
                <w:iCs/>
                <w:sz w:val="22"/>
                <w:szCs w:val="22"/>
                <w:lang w:val="en-CA"/>
              </w:rPr>
              <w:instrText xml:space="preserve"> ADDIN ZOTERO_ITEM CSL_CITATION {"citationID":"fY7lylYI","properties":{"formattedCitation":"(Choix et al., 2012; Leyva et al., 2014; Palacios et al., 2016)","plainCitation":"(Choix et al., 2012; Leyva et al., 2014; Palacios et al., 2016)","noteIndex":0},"citationItems":[{"id":9459,"uris":["http://zotero.org/users/764524/items/CW53L7XJ"],"itemData":{"id":9459,"type":"article-journal","abstract":"The effect of the bacterium Azospirillum brasilense jointly immobilized with Chlorella vulgaris or C. sorokiniana in alginate beads on total carbohydrates and starch was studied under dark and heterotrophic conditions for 144h in synthetic growth medium supplemented with either d-glucose or Na-acetate as carbon sources. In all treatments, enhanced total carbohydrates and starch content per culture and per cell was obtained after 24h; only jointly immobilized C. vulgaris growing on d-glucose significantly increased total carbohydrates and starch content after 96h. Enhanced accumulation of carbohydrate and starch under jointly immobilized conditions was variable with time of sampling and substrate used. Similar results occurred when the microalgae was immobilized alone. In both microalgae growing on either carbon sources, the bacterium promoted accumulation of carbohydrates and starch; when the microalgae were immobilized alone, they used the carbon sources for cell multiplication. In jointly immobilized conditions with Chlorella spp., affinity to carbon source and volumetric productivity and yield were higher than when Chlorella spp. were immobilized alone; however, the growth rate was higher in microalgae immobilized alone. This study demonstrates that under heterotrophic conditions, A. brasilense promotes the accumulation of carbohydrates in two strains Chlorella spp. under certain time–substrate combinations, producing mainly starch. As such, this bacterium is a biological factor that can change the composition of compounds in microalgae in dark, heterotrophic conditions.","container-title":"Enzyme and Microbial Technology","DOI":"10.1016/j.enzmictec.2012.07.012","ISSN":"0141-0229","issue":"5","journalAbbreviation":"Enzyme Microb. Technol.","page":"300-309","source":"ScienceDirect","title":"Enhanced accumulation of starch and total carbohydrates in alginate-immobilized &lt;i&gt;Chlorella&lt;/i&gt; spp. induced by &lt;i&gt;Azospirillum brasilense&lt;/i&gt;: II. Heterotrophic conditions","title-short":"Enhanced accumulation of starch and total carbohydrates in alginate-immobilized &lt;i&gt;Chlorella&lt;/i&gt; spp. induced by &lt;i&gt;Azospirillum brasilense&lt;/i&gt;","volume":"51","author":[{"family":"Choix","given":"Francisco J."},{"family":"Bashan","given":"Luz E.","non-dropping-particle":"de-"},{"family":"Bashan","given":"Yoav"}],"issued":{"date-parts":[["2012",10,10]]}}},{"id":9458,"uris":["http://zotero.org/users/764524/items/8H6JSW2D"],"itemData":{"id":9458,"type":"article-journal","abstract":"The relation between fatty acid accumulation, activity of acetyl-CoA carboxylase (ACC), and consequently lipid accumulation was studied in the microalgae Chlorella vulgaris co-immobilized with the plant growth-promoting bacterium Azospirillum brasilense under dark heterotrophic conditions with Na acetate as a carbon source. In C. vulgaris immobilized alone, cultivation experiments for 6 days showed that ACC activity is directly related to fatty acid accumulation, especially in the last 3 days. In co-immobilization experiments, A. brasilense exerted a significant positive effect over ACC activity, increased the quantity in all nine main fatty acids, increased total lipid accumulation in C. vulgaris, and mitigated negative effects of nonoptimal temperature for growth. No correlation between ACC activity and lipid accumulation in the cells was established for three different temperatures. This study demonstrated that the interaction between A. brasilense and C. vulgaris has a significant effect on fatty acid and lipid accumulation in the microalgae.","container-title":"Naturwissenschaften","DOI":"10.1007/s00114-014-1223-x","ISSN":"1432-1904","issue":"10","journalAbbreviation":"Naturwissenschaften","language":"en","page":"819-830","source":"Springer Link","title":"Accumulation fatty acids in Chlorella vulgaris under heterotrophic conditions in relation to activity of acetyl-CoA carboxylase, temperature, and co-immobilization with Azospirillum brasilense","volume":"101","author":[{"family":"Leyva","given":"Luis A."},{"family":"Bashan","given":"Yoav"},{"family":"Mendoza","given":"Alberto"},{"family":"Bashan","given":"Luz E.","non-dropping-particle":"de-"}],"issued":{"date-parts":[["2014",10,1]]}}},{"id":9465,"uris":["http://zotero.org/users/764524/items/9GUQJ8JX"],"itemData":{"id":9465,"type":"article-journal","abstract":"During synthetic mutualistic interactions between the microalga Chlorella sorokiniana and the plant growth-promoting bacterium (PGPB) Azospirillum brasilense, mutual exchange of resources involved in producing and releasing the phytohormone indole-3-acetic acid (IAA) by the bacterium, using tryptophan and thiamine released by the microalga, were measured. Although increased activities of tryptophan synthase in C. sorokiniana and indole pyruvate decarboxylase (IPDC) in A. brasilense were observed, we could not detect tryptophan or IAA in the culture medium when both organisms were co-immobilized. This indicates that no extra tryptophan or IAA is produced, apart from the quantities required to sustain the interaction. Over-expression of the ipdC gene occurs at different incubation times: after 48 h, when A. brasilense was immobilized alone and grown in exudates of C. sorokiniana and at 96 h, when A. brasilense was co</w:instrText>
            </w:r>
            <w:r w:rsidRPr="005B6FAD">
              <w:rPr>
                <w:rStyle w:val="html-italic"/>
                <w:rFonts w:cs="Times New Roman"/>
                <w:i/>
                <w:iCs/>
                <w:sz w:val="22"/>
                <w:szCs w:val="22"/>
                <w:lang w:val="fr-BE"/>
              </w:rPr>
              <w:instrText xml:space="preserve">-immobilized with the microalga. When A. brasilense was cultured in exudates of C. sorokiniana, increased expression of the ipdC gene, corresponding increase in activity of IPDC encoded by the ipdC gene, and increase in IAA production were measured during the first 48 h of incubation. IAA production and release by A. brasilense was found only when tryptophan and thiamine were present in a synthetic growth medium (SGM). The absence of thiamine in SGM yielded no detectable IAA. In summary, this study demonstrates that C. sorokiniana can exude sufficient tryptophan and thiamine to allow IAA production by a PGPB during their interaction. Thiamine is essential for IAA production by A. brasilense and these three metabolites are part of a communication between the two microorganisms.","container-title":"FEMS Microbiology Ecology","DOI":"10.1093/femsec/fiw077","ISSN":"0168-6496","issue":"6","journalAbbreviation":"FEMS Microbiol. Ecol.","page":"fiw077","source":"Silverchair","title":"Tryptophan, thiamine and indole-3-acetic acid exchange between &lt;i&gt;Chlorella sorokiniana&lt;/i&gt; and the plant growth-promoting bacterium &lt;i&gt;Azospirillum brasilense&lt;/i&gt;","volume":"92","author":[{"family":"Palacios","given":"Oskar A."},{"family":"Gomez-Anduro","given":"Gracia"},{"family":"Bashan","given":"Yoav"},{"family":"Bashan","given":"Luz E.","non-dropping-particle":"de-"}],"issued":{"date-parts":[["2016",6,1]]}}}],"schema":"https://github.com/citation-style-language/schema/raw/master/csl-citation.json"} </w:instrText>
            </w:r>
            <w:r w:rsidRPr="00C77F31">
              <w:rPr>
                <w:rStyle w:val="html-italic"/>
                <w:rFonts w:cs="Times New Roman"/>
                <w:i/>
                <w:iCs/>
                <w:sz w:val="22"/>
              </w:rPr>
              <w:fldChar w:fldCharType="separate"/>
            </w:r>
            <w:r w:rsidRPr="00C77F31">
              <w:rPr>
                <w:rFonts w:cs="Times New Roman"/>
                <w:sz w:val="22"/>
                <w:szCs w:val="22"/>
                <w:lang w:val="fr-BE"/>
              </w:rPr>
              <w:t>(Choix et al., 2012; Leyva et al., 2014; Palacios et al., 2016)</w:t>
            </w:r>
            <w:r w:rsidRPr="00C77F31">
              <w:rPr>
                <w:rStyle w:val="html-italic"/>
                <w:rFonts w:cs="Times New Roman"/>
                <w:i/>
                <w:iCs/>
                <w:sz w:val="22"/>
              </w:rPr>
              <w:fldChar w:fldCharType="end"/>
            </w:r>
          </w:p>
        </w:tc>
      </w:tr>
      <w:tr w:rsidR="00F45922" w:rsidRPr="000A10F7" w14:paraId="0579C3A7" w14:textId="77777777"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bottom w:val="single" w:sz="4" w:space="0" w:color="auto"/>
            </w:tcBorders>
            <w:shd w:val="clear" w:color="auto" w:fill="D9ECFF"/>
            <w:vAlign w:val="center"/>
          </w:tcPr>
          <w:p w14:paraId="7AE0AF4A" w14:textId="27AEB89F" w:rsidR="00F45922" w:rsidRPr="00C77F31" w:rsidRDefault="00F45922" w:rsidP="00F45922">
            <w:pPr>
              <w:snapToGrid w:val="0"/>
              <w:rPr>
                <w:rFonts w:cs="Times New Roman"/>
                <w:b w:val="0"/>
                <w:bCs w:val="0"/>
                <w:i/>
                <w:iCs/>
                <w:color w:val="auto"/>
                <w:sz w:val="22"/>
                <w:szCs w:val="22"/>
                <w:lang w:val="fr-BE"/>
              </w:rPr>
            </w:pPr>
            <w:r w:rsidRPr="00C77F31">
              <w:rPr>
                <w:rFonts w:cs="Times New Roman"/>
                <w:b w:val="0"/>
                <w:bCs w:val="0"/>
                <w:i/>
                <w:iCs/>
                <w:color w:val="auto"/>
                <w:sz w:val="22"/>
                <w:szCs w:val="22"/>
                <w:lang w:val="fr-BE"/>
              </w:rPr>
              <w:lastRenderedPageBreak/>
              <w:t xml:space="preserve">Bacillus </w:t>
            </w:r>
            <w:proofErr w:type="spellStart"/>
            <w:r w:rsidRPr="00C77F31">
              <w:rPr>
                <w:rFonts w:cs="Times New Roman"/>
                <w:b w:val="0"/>
                <w:bCs w:val="0"/>
                <w:i/>
                <w:iCs/>
                <w:color w:val="auto"/>
                <w:sz w:val="22"/>
                <w:szCs w:val="22"/>
                <w:lang w:val="fr-BE"/>
              </w:rPr>
              <w:t>licheniformis</w:t>
            </w:r>
            <w:proofErr w:type="spellEnd"/>
          </w:p>
        </w:tc>
        <w:tc>
          <w:tcPr>
            <w:tcW w:w="1842" w:type="dxa"/>
            <w:tcBorders>
              <w:left w:val="single" w:sz="4" w:space="0" w:color="auto"/>
              <w:bottom w:val="single" w:sz="4" w:space="0" w:color="auto"/>
            </w:tcBorders>
            <w:shd w:val="clear" w:color="auto" w:fill="D9ECFF"/>
            <w:vAlign w:val="center"/>
          </w:tcPr>
          <w:p w14:paraId="18B1B447" w14:textId="7948DCE8"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lang w:val="fr-BE"/>
              </w:rPr>
            </w:pPr>
            <w:proofErr w:type="spellStart"/>
            <w:r w:rsidRPr="00C77F31">
              <w:rPr>
                <w:rFonts w:cs="Times New Roman"/>
                <w:i/>
                <w:iCs/>
                <w:sz w:val="22"/>
                <w:szCs w:val="22"/>
                <w:lang w:val="fr-BE"/>
              </w:rPr>
              <w:t>Chlorella</w:t>
            </w:r>
            <w:proofErr w:type="spellEnd"/>
            <w:r w:rsidRPr="00C77F31">
              <w:rPr>
                <w:rFonts w:cs="Times New Roman"/>
                <w:i/>
                <w:iCs/>
                <w:sz w:val="22"/>
                <w:szCs w:val="22"/>
                <w:lang w:val="fr-BE"/>
              </w:rPr>
              <w:t xml:space="preserve"> vulgaris</w:t>
            </w:r>
          </w:p>
        </w:tc>
        <w:tc>
          <w:tcPr>
            <w:tcW w:w="1985" w:type="dxa"/>
            <w:tcBorders>
              <w:left w:val="single" w:sz="4" w:space="0" w:color="auto"/>
              <w:bottom w:val="single" w:sz="4" w:space="0" w:color="auto"/>
            </w:tcBorders>
            <w:shd w:val="clear" w:color="auto" w:fill="D9ECFF"/>
            <w:vAlign w:val="center"/>
          </w:tcPr>
          <w:p w14:paraId="745DCE26" w14:textId="7FBEC9CD"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sz w:val="22"/>
                <w:szCs w:val="22"/>
                <w:lang w:val="fr-BE"/>
              </w:rPr>
            </w:pPr>
            <w:r w:rsidRPr="00C77F31">
              <w:rPr>
                <w:rStyle w:val="html-italic"/>
                <w:rFonts w:cs="Times New Roman"/>
                <w:sz w:val="22"/>
                <w:szCs w:val="22"/>
                <w:lang w:val="fr-BE"/>
              </w:rPr>
              <w:t xml:space="preserve">Quorum </w:t>
            </w:r>
            <w:proofErr w:type="spellStart"/>
            <w:r w:rsidRPr="00C77F31">
              <w:rPr>
                <w:rStyle w:val="html-italic"/>
                <w:rFonts w:cs="Times New Roman"/>
                <w:sz w:val="22"/>
                <w:szCs w:val="22"/>
                <w:lang w:val="fr-BE"/>
              </w:rPr>
              <w:t>sensing</w:t>
            </w:r>
            <w:proofErr w:type="spellEnd"/>
            <w:r w:rsidRPr="00C77F31">
              <w:rPr>
                <w:rStyle w:val="html-italic"/>
                <w:rFonts w:cs="Times New Roman"/>
                <w:sz w:val="22"/>
                <w:szCs w:val="22"/>
                <w:lang w:val="fr-BE"/>
              </w:rPr>
              <w:t xml:space="preserve"> via </w:t>
            </w:r>
            <w:proofErr w:type="spellStart"/>
            <w:r w:rsidRPr="00C77F31">
              <w:rPr>
                <w:rStyle w:val="html-italic"/>
                <w:rFonts w:cs="Times New Roman"/>
                <w:sz w:val="22"/>
                <w:szCs w:val="22"/>
                <w:lang w:val="fr-BE"/>
              </w:rPr>
              <w:t>autoinducers</w:t>
            </w:r>
            <w:proofErr w:type="spellEnd"/>
            <w:r w:rsidRPr="00C77F31">
              <w:rPr>
                <w:rStyle w:val="html-italic"/>
                <w:rFonts w:cs="Times New Roman"/>
                <w:sz w:val="22"/>
                <w:szCs w:val="22"/>
                <w:lang w:val="fr-BE"/>
              </w:rPr>
              <w:t xml:space="preserve"> and c-di-GMP </w:t>
            </w:r>
            <w:proofErr w:type="spellStart"/>
            <w:r w:rsidRPr="00C77F31">
              <w:rPr>
                <w:rStyle w:val="html-italic"/>
                <w:rFonts w:cs="Times New Roman"/>
                <w:sz w:val="22"/>
                <w:szCs w:val="22"/>
                <w:lang w:val="fr-BE"/>
              </w:rPr>
              <w:t>signalling</w:t>
            </w:r>
            <w:proofErr w:type="spellEnd"/>
          </w:p>
        </w:tc>
        <w:tc>
          <w:tcPr>
            <w:tcW w:w="1843" w:type="dxa"/>
            <w:tcBorders>
              <w:left w:val="single" w:sz="4" w:space="0" w:color="auto"/>
              <w:bottom w:val="single" w:sz="4" w:space="0" w:color="auto"/>
              <w:right w:val="single" w:sz="4" w:space="0" w:color="auto"/>
            </w:tcBorders>
            <w:shd w:val="clear" w:color="auto" w:fill="D9ECFF"/>
            <w:vAlign w:val="center"/>
          </w:tcPr>
          <w:p w14:paraId="7F0EFD80" w14:textId="348BC410" w:rsidR="00F45922" w:rsidRPr="005B6FAD" w:rsidRDefault="009952FF"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lang w:val="fr-BE"/>
              </w:rPr>
            </w:pPr>
            <w:r w:rsidRPr="005B6FAD">
              <w:rPr>
                <w:rStyle w:val="html-italic"/>
                <w:rFonts w:cs="Times New Roman"/>
                <w:color w:val="000000" w:themeColor="text1"/>
                <w:sz w:val="22"/>
                <w:lang w:val="fr-BE"/>
              </w:rPr>
              <w:t>Carbon fixing</w:t>
            </w:r>
          </w:p>
        </w:tc>
        <w:tc>
          <w:tcPr>
            <w:tcW w:w="1558" w:type="dxa"/>
            <w:tcBorders>
              <w:left w:val="single" w:sz="4" w:space="0" w:color="auto"/>
              <w:bottom w:val="single" w:sz="4" w:space="0" w:color="auto"/>
            </w:tcBorders>
            <w:shd w:val="clear" w:color="auto" w:fill="D9ECFF"/>
            <w:vAlign w:val="center"/>
          </w:tcPr>
          <w:p w14:paraId="4DBA7726" w14:textId="68F44BDB"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rPr>
            </w:pPr>
            <w:r w:rsidRPr="00C77F31">
              <w:rPr>
                <w:rStyle w:val="html-italic"/>
                <w:rFonts w:cs="Times New Roman"/>
                <w:i/>
                <w:iCs/>
                <w:sz w:val="22"/>
              </w:rPr>
              <w:fldChar w:fldCharType="begin"/>
            </w:r>
            <w:r w:rsidRPr="00C77F31">
              <w:rPr>
                <w:rStyle w:val="html-italic"/>
                <w:rFonts w:cs="Times New Roman"/>
                <w:i/>
                <w:iCs/>
                <w:sz w:val="22"/>
                <w:szCs w:val="22"/>
                <w:lang w:val="fr-BE"/>
              </w:rPr>
              <w:instrText xml:space="preserve"> ADDIN ZOTERO_ITEM CSL_CITATION {"citationID":"djkYgD2I","properties":{"formattedCitation":"(Ji et al., 2018)","plainCitation":"(Ji et al., 2018)","noteIndex":0},"citationItems":[{"id":9379,"uris":["http://zotero.org/users/764524/items/LE7M3ARV"],"itemData":{"id":9379,"type":"article-journal","abstract":"The ability of Chlorella vulgaris-Bacillus licheniformis and Microcystis aeruginosa-Bacillus licheniformis consortiums to eliminate total dissolved nitrogen (TDN), total dissolved phosphorus (TDP), and soluble chemical oxygen demand (sCOD) from synthetic wastewater was studied. The highest values of dry cell weight, chlorophyll-a, and chlorophyll metabolism related genes/bacterial rRNA gene copies were obtained in the Chlorella vulgaris-Bacillus licheniformis system at Chlorella vulgaris and Bacillus licheniformis ratio of 1:3. On the 10th day, the Chlorella vulgaris-Bacillus licheniformis system at this ratio removed 86.55%, 80.28% and 88.95% of sCOD, TDP and TDN, respectively. But, the Microcystis aeruginosa-Bacillus licheniformis system at this ratio only removed 65.62%, 70.82%, and 21.56% of sCOD, TDP and TDN, respectively. Chlorella vulgaris and Bacillus licheniformis could coexist as an algae-bacteria consortia and quorum sensing substances (autoind</w:instrText>
            </w:r>
            <w:r w:rsidRPr="00C77F31">
              <w:rPr>
                <w:rStyle w:val="html-italic"/>
                <w:rFonts w:cs="Times New Roman" w:hint="eastAsia"/>
                <w:i/>
                <w:iCs/>
                <w:sz w:val="22"/>
                <w:szCs w:val="22"/>
                <w:lang w:val="fr-BE"/>
              </w:rPr>
              <w:instrText>ucing peptides and bis (3</w:instrText>
            </w:r>
            <w:r w:rsidRPr="00C77F31">
              <w:rPr>
                <w:rStyle w:val="html-italic"/>
                <w:rFonts w:cs="Times New Roman" w:hint="eastAsia"/>
                <w:i/>
                <w:iCs/>
                <w:sz w:val="22"/>
                <w:szCs w:val="22"/>
                <w:lang w:val="fr-BE"/>
              </w:rPr>
              <w:instrText>′</w:instrText>
            </w:r>
            <w:r w:rsidRPr="00C77F31">
              <w:rPr>
                <w:rStyle w:val="html-italic"/>
                <w:rFonts w:cs="Times New Roman" w:hint="eastAsia"/>
                <w:i/>
                <w:iCs/>
                <w:sz w:val="22"/>
                <w:szCs w:val="22"/>
                <w:lang w:val="fr-BE"/>
              </w:rPr>
              <w:instrText>-5</w:instrText>
            </w:r>
            <w:r w:rsidRPr="00C77F31">
              <w:rPr>
                <w:rStyle w:val="html-italic"/>
                <w:rFonts w:cs="Times New Roman" w:hint="eastAsia"/>
                <w:i/>
                <w:iCs/>
                <w:sz w:val="22"/>
                <w:szCs w:val="22"/>
                <w:lang w:val="fr-BE"/>
              </w:rPr>
              <w:instrText>′</w:instrText>
            </w:r>
            <w:r w:rsidRPr="00C77F31">
              <w:rPr>
                <w:rStyle w:val="html-italic"/>
                <w:rFonts w:cs="Times New Roman" w:hint="eastAsia"/>
                <w:i/>
                <w:iCs/>
                <w:sz w:val="22"/>
                <w:szCs w:val="22"/>
                <w:lang w:val="fr-BE"/>
              </w:rPr>
              <w:instrText>) diguanylic acid) concentratio</w:instrText>
            </w:r>
            <w:r w:rsidRPr="00C77F31">
              <w:rPr>
                <w:rStyle w:val="html-italic"/>
                <w:rFonts w:cs="Times New Roman" w:hint="eastAsia"/>
                <w:i/>
                <w:iCs/>
                <w:sz w:val="22"/>
                <w:szCs w:val="22"/>
              </w:rPr>
              <w:instrText>ns were measured. Finally, the interactions and communication patterns between Chlorella vulgaris and Bacillus licheniformis were depicted.","container-title":"Bioresource Technology","DOI":"10.1</w:instrText>
            </w:r>
            <w:r w:rsidRPr="00C77F31">
              <w:rPr>
                <w:rStyle w:val="html-italic"/>
                <w:rFonts w:cs="Times New Roman"/>
                <w:i/>
                <w:iCs/>
                <w:sz w:val="22"/>
                <w:szCs w:val="22"/>
              </w:rPr>
              <w:instrText xml:space="preserve">016/j.biortech.2017.09.074","ISSN":"0960-8524","journalAbbreviation":"Bioresour. Technol.","page":"44-50","source":"ScienceDirect","title":"The interactions of algae-bacteria symbiotic system and its effects on nutrients removal from synthetic wastewater","volume":"247","author":[{"family":"Ji","given":"Xiyan"},{"family":"Jiang","given":"Mengqi"},{"family":"Zhang","given":"Jibiao"},{"family":"Jiang","given":"Xuyao"},{"family":"Zheng","given":"Zheng"}],"issued":{"date-parts":[["2018",1,1]]}}}],"schema":"https://github.com/citation-style-language/schema/raw/master/csl-citation.json"} </w:instrText>
            </w:r>
            <w:r w:rsidRPr="00C77F31">
              <w:rPr>
                <w:rStyle w:val="html-italic"/>
                <w:rFonts w:cs="Times New Roman"/>
                <w:i/>
                <w:iCs/>
                <w:sz w:val="22"/>
              </w:rPr>
              <w:fldChar w:fldCharType="separate"/>
            </w:r>
            <w:r w:rsidRPr="00C77F31">
              <w:rPr>
                <w:rFonts w:cs="Times New Roman"/>
                <w:sz w:val="22"/>
                <w:szCs w:val="22"/>
              </w:rPr>
              <w:t>(Ji et al., 2018)</w:t>
            </w:r>
            <w:r w:rsidRPr="00C77F31">
              <w:rPr>
                <w:rStyle w:val="html-italic"/>
                <w:rFonts w:cs="Times New Roman"/>
                <w:i/>
                <w:iCs/>
                <w:sz w:val="22"/>
              </w:rPr>
              <w:fldChar w:fldCharType="end"/>
            </w:r>
          </w:p>
        </w:tc>
      </w:tr>
      <w:tr w:rsidR="00F45922" w:rsidRPr="00833CE8" w14:paraId="0C2606D5" w14:textId="64DDD720"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49F5D375" w14:textId="77777777" w:rsidR="00446D19" w:rsidRDefault="00F45922" w:rsidP="00F45922">
            <w:pPr>
              <w:snapToGrid w:val="0"/>
              <w:rPr>
                <w:b w:val="0"/>
                <w:bCs w:val="0"/>
              </w:rPr>
            </w:pPr>
            <w:proofErr w:type="spellStart"/>
            <w:r w:rsidRPr="00C77F31">
              <w:rPr>
                <w:rStyle w:val="html-italic"/>
                <w:rFonts w:cs="Times New Roman"/>
                <w:b w:val="0"/>
                <w:bCs w:val="0"/>
                <w:i/>
                <w:iCs/>
                <w:color w:val="auto"/>
                <w:sz w:val="22"/>
                <w:szCs w:val="22"/>
                <w:lang w:val="en-CA"/>
              </w:rPr>
              <w:t>Azospirillum</w:t>
            </w:r>
            <w:proofErr w:type="spellEnd"/>
            <w:r w:rsidRPr="00C77F31">
              <w:rPr>
                <w:rStyle w:val="html-italic"/>
                <w:rFonts w:cs="Times New Roman"/>
                <w:b w:val="0"/>
                <w:bCs w:val="0"/>
                <w:i/>
                <w:iCs/>
                <w:color w:val="auto"/>
                <w:sz w:val="22"/>
                <w:szCs w:val="22"/>
                <w:lang w:val="en-CA"/>
              </w:rPr>
              <w:t xml:space="preserve"> </w:t>
            </w:r>
            <w:proofErr w:type="spellStart"/>
            <w:r w:rsidRPr="00C77F31">
              <w:rPr>
                <w:rStyle w:val="html-italic"/>
                <w:rFonts w:cs="Times New Roman"/>
                <w:b w:val="0"/>
                <w:bCs w:val="0"/>
                <w:i/>
                <w:iCs/>
                <w:color w:val="auto"/>
                <w:sz w:val="22"/>
                <w:szCs w:val="22"/>
                <w:lang w:val="en-CA"/>
              </w:rPr>
              <w:t>brasilense</w:t>
            </w:r>
            <w:proofErr w:type="spellEnd"/>
            <w:r w:rsidRPr="00C77F31">
              <w:rPr>
                <w:rStyle w:val="html-italic"/>
                <w:rFonts w:cs="Times New Roman"/>
                <w:b w:val="0"/>
                <w:bCs w:val="0"/>
                <w:i/>
                <w:iCs/>
                <w:color w:val="auto"/>
                <w:sz w:val="22"/>
                <w:szCs w:val="22"/>
                <w:lang w:val="en-CA"/>
              </w:rPr>
              <w:t>,</w:t>
            </w:r>
          </w:p>
          <w:p w14:paraId="5A0A0796" w14:textId="79479396" w:rsidR="00F45922" w:rsidRPr="00C77F31" w:rsidRDefault="00F45922" w:rsidP="00F45922">
            <w:pPr>
              <w:snapToGrid w:val="0"/>
              <w:rPr>
                <w:rStyle w:val="html-italic"/>
                <w:rFonts w:cs="Times New Roman"/>
                <w:b w:val="0"/>
                <w:bCs w:val="0"/>
                <w:i/>
                <w:iCs/>
                <w:color w:val="auto"/>
                <w:sz w:val="22"/>
                <w:szCs w:val="22"/>
                <w:lang w:val="en-CA"/>
              </w:rPr>
            </w:pPr>
            <w:r w:rsidRPr="00C77F31">
              <w:rPr>
                <w:b w:val="0"/>
                <w:bCs w:val="0"/>
                <w:i/>
                <w:iCs/>
                <w:color w:val="auto"/>
                <w:sz w:val="22"/>
                <w:szCs w:val="22"/>
              </w:rPr>
              <w:t>Bacillus pumilus</w:t>
            </w:r>
          </w:p>
        </w:tc>
        <w:tc>
          <w:tcPr>
            <w:tcW w:w="1842" w:type="dxa"/>
            <w:tcBorders>
              <w:left w:val="single" w:sz="4" w:space="0" w:color="auto"/>
            </w:tcBorders>
            <w:shd w:val="clear" w:color="auto" w:fill="D9ECFF"/>
            <w:vAlign w:val="center"/>
          </w:tcPr>
          <w:p w14:paraId="4DD1FEBA" w14:textId="20E87AC3"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r w:rsidRPr="00C77F31">
              <w:rPr>
                <w:rFonts w:cs="Times New Roman"/>
                <w:i/>
                <w:iCs/>
                <w:sz w:val="22"/>
                <w:szCs w:val="22"/>
                <w:lang w:val="en-CA"/>
              </w:rPr>
              <w:t xml:space="preserve">Chlorella </w:t>
            </w:r>
            <w:proofErr w:type="spellStart"/>
            <w:r w:rsidRPr="00C77F31">
              <w:rPr>
                <w:rStyle w:val="html-italic"/>
                <w:rFonts w:cs="Times New Roman"/>
                <w:i/>
                <w:iCs/>
                <w:sz w:val="22"/>
                <w:szCs w:val="22"/>
                <w:lang w:val="en-CA"/>
              </w:rPr>
              <w:t>sorokiniana</w:t>
            </w:r>
            <w:proofErr w:type="spellEnd"/>
          </w:p>
        </w:tc>
        <w:tc>
          <w:tcPr>
            <w:tcW w:w="1985" w:type="dxa"/>
            <w:tcBorders>
              <w:left w:val="single" w:sz="4" w:space="0" w:color="auto"/>
            </w:tcBorders>
            <w:shd w:val="clear" w:color="auto" w:fill="D9ECFF"/>
            <w:vAlign w:val="center"/>
          </w:tcPr>
          <w:p w14:paraId="255EFC2C" w14:textId="68E191CD" w:rsidR="00F45922" w:rsidRPr="00C77F31" w:rsidRDefault="009952FF"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sz w:val="22"/>
                <w:szCs w:val="22"/>
                <w:lang w:val="en-CA"/>
              </w:rPr>
            </w:pPr>
            <w:r>
              <w:rPr>
                <w:rStyle w:val="html-italic"/>
                <w:rFonts w:cs="Times New Roman"/>
                <w:sz w:val="22"/>
                <w:szCs w:val="22"/>
                <w:lang w:val="en-CA"/>
              </w:rPr>
              <w:t xml:space="preserve">Release of </w:t>
            </w:r>
            <w:r w:rsidR="00F45922" w:rsidRPr="00C77F31">
              <w:rPr>
                <w:rStyle w:val="html-italic"/>
                <w:rFonts w:cs="Times New Roman"/>
                <w:sz w:val="22"/>
                <w:szCs w:val="22"/>
                <w:lang w:val="en-CA"/>
              </w:rPr>
              <w:t>CO</w:t>
            </w:r>
            <w:r w:rsidR="00F45922" w:rsidRPr="00C77F31">
              <w:rPr>
                <w:rStyle w:val="html-italic"/>
                <w:rFonts w:cs="Times New Roman"/>
                <w:sz w:val="22"/>
                <w:szCs w:val="22"/>
                <w:vertAlign w:val="subscript"/>
                <w:lang w:val="en-CA"/>
              </w:rPr>
              <w:t>2</w:t>
            </w:r>
            <w:r w:rsidR="00F45922" w:rsidRPr="00C77F31">
              <w:rPr>
                <w:rStyle w:val="html-italic"/>
                <w:rFonts w:cs="Times New Roman"/>
                <w:sz w:val="22"/>
                <w:szCs w:val="22"/>
                <w:lang w:val="en-CA"/>
              </w:rPr>
              <w:t xml:space="preserve"> and VOCs </w:t>
            </w:r>
          </w:p>
        </w:tc>
        <w:tc>
          <w:tcPr>
            <w:tcW w:w="1843" w:type="dxa"/>
            <w:tcBorders>
              <w:left w:val="single" w:sz="4" w:space="0" w:color="auto"/>
              <w:right w:val="single" w:sz="4" w:space="0" w:color="auto"/>
            </w:tcBorders>
            <w:shd w:val="clear" w:color="auto" w:fill="D9ECFF"/>
            <w:vAlign w:val="center"/>
          </w:tcPr>
          <w:p w14:paraId="53D55F27" w14:textId="6A8958E8" w:rsidR="009952FF" w:rsidRPr="009952FF" w:rsidRDefault="009952FF"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color w:val="000000" w:themeColor="text1"/>
                <w:sz w:val="22"/>
              </w:rPr>
            </w:pPr>
            <w:r w:rsidRPr="00F45922">
              <w:rPr>
                <w:rStyle w:val="html-italic"/>
                <w:rFonts w:cs="Times New Roman"/>
                <w:color w:val="000000" w:themeColor="text1"/>
                <w:sz w:val="22"/>
              </w:rPr>
              <w:t>Carbon fixing</w:t>
            </w:r>
          </w:p>
        </w:tc>
        <w:tc>
          <w:tcPr>
            <w:tcW w:w="1558" w:type="dxa"/>
            <w:tcBorders>
              <w:left w:val="single" w:sz="4" w:space="0" w:color="auto"/>
            </w:tcBorders>
            <w:shd w:val="clear" w:color="auto" w:fill="D9ECFF"/>
            <w:vAlign w:val="center"/>
          </w:tcPr>
          <w:p w14:paraId="2D92D1A0" w14:textId="7D201BBF"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lang w:val="en-CA"/>
              </w:rPr>
            </w:pPr>
            <w:r w:rsidRPr="00C77F31">
              <w:rPr>
                <w:rStyle w:val="html-italic"/>
                <w:rFonts w:cs="Times New Roman"/>
                <w:i/>
                <w:iCs/>
                <w:sz w:val="22"/>
              </w:rPr>
              <w:fldChar w:fldCharType="begin"/>
            </w:r>
            <w:r w:rsidRPr="00C77F31">
              <w:rPr>
                <w:rStyle w:val="html-italic"/>
                <w:rFonts w:cs="Times New Roman"/>
                <w:i/>
                <w:iCs/>
                <w:sz w:val="22"/>
                <w:szCs w:val="22"/>
                <w:lang w:val="en-CA"/>
              </w:rPr>
              <w:instrText xml:space="preserve"> ADDIN ZOTERO_ITEM CSL_CITATION {"citationID":"D4HaoAqZ","properties":{"formattedCitation":"(Amavizca et al., 2017)","plainCitation":"(Amavizca et al., 2017)","noteIndex":0},"citationItems":[{"id":9280,"uris":["http://zotero.org/users/764524/items/QIFVLMX4"],"itemData":{"id":9280,"type":"article-journal","abstract":"Remote effects (occurring without physical contact) of two plant growth-promoting bacteria (PGPB) Azospirillum brasilense Cd and Bacilus pumilus ES4 on growth of the green microalga Chlorella sorokiniana UTEX 2714 were studied. The two PGPB remotely enhanced the growth of the microalga, up to six-fold, and its cell volume by about three-fold. In addition to phenotypic changes, both bacteria remotely induced increases in the amounts of total lipids, total carbohydrates, and chlorophyll a in the cells of the microalga, indicating an alteration of the microalga’s physiology. The two bacteria produced large amounts of volatile compounds, including CO2, and the known plant growth-promoting volatile 2,3-butanediol and acetoin. Several other volatiles having biological functions in other organisms, as well as numerous volatile compounds with undefined biological roles, were detected. Together, these bacteria-derived volatiles can positively affect growth and metabolic parameters in green microalgae without physical attachment of the bacteria to the microalgae. This is a new paradigm on how PGPB promote growth of microalgae which may serve to improve performance of Chlorella spp. for biotechnological applications.","container-title":"Scientific Reports","DOI":"10.1038/srep41310","ISSN":"2045-2322","issue":"1","journalAbbreviation":"Sci. Rep.","language":"en","license":"2017 The Author(s)","note":"publisher: Nature Publishing Group","page":"41310","source":"www.nature.com","title":"Enhanced performance of the microalga &lt;i&gt;Chlorella sorokiniana&lt;/i&gt; remotely induced by the plant growth-promoting bacteria &lt;i&gt;Azospirillum brasilense&lt;/i&gt; and &lt;i&gt;Bacillus pumilus&lt;/i&gt;","volume":"7","author":[{"family":"Amavizca","given":"Edgar"},{"family":"Bashan","given":"Yoav"},{"family":"Ryu","given":"Choong-Min"},{"family":"Farag","given":"Mohamed A."},{"family":"Bebout","given":"Brad M."},{"family":"Bashan","given":"Luz E.","non-dropping-particle":"de-"}],"issued":{"date-parts":[["2017",2,1]]}}}],"schema":"https://github.com/citation-style-language/schema/raw/master/csl-citation.json"} </w:instrText>
            </w:r>
            <w:r w:rsidRPr="00C77F31">
              <w:rPr>
                <w:rStyle w:val="html-italic"/>
                <w:rFonts w:cs="Times New Roman"/>
                <w:i/>
                <w:iCs/>
                <w:sz w:val="22"/>
              </w:rPr>
              <w:fldChar w:fldCharType="separate"/>
            </w:r>
            <w:r w:rsidRPr="00C77F31">
              <w:rPr>
                <w:rFonts w:cs="Times New Roman"/>
                <w:sz w:val="22"/>
                <w:szCs w:val="22"/>
              </w:rPr>
              <w:t>(Amavizca et al., 2017)</w:t>
            </w:r>
            <w:r w:rsidRPr="00C77F31">
              <w:rPr>
                <w:rStyle w:val="html-italic"/>
                <w:rFonts w:cs="Times New Roman"/>
                <w:i/>
                <w:iCs/>
                <w:sz w:val="22"/>
              </w:rPr>
              <w:fldChar w:fldCharType="end"/>
            </w:r>
          </w:p>
        </w:tc>
      </w:tr>
      <w:tr w:rsidR="00F45922" w:rsidRPr="00833CE8" w14:paraId="673B0BA0" w14:textId="77777777"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bottom w:val="single" w:sz="4" w:space="0" w:color="auto"/>
            </w:tcBorders>
            <w:shd w:val="clear" w:color="auto" w:fill="D9ECFF"/>
            <w:vAlign w:val="center"/>
          </w:tcPr>
          <w:p w14:paraId="4EF51103" w14:textId="4BC59556" w:rsidR="00F45922" w:rsidRPr="00C77F31" w:rsidRDefault="00F45922" w:rsidP="00F45922">
            <w:pPr>
              <w:snapToGrid w:val="0"/>
              <w:rPr>
                <w:rFonts w:cs="Times New Roman"/>
                <w:b w:val="0"/>
                <w:bCs w:val="0"/>
                <w:i/>
                <w:iCs/>
                <w:color w:val="auto"/>
                <w:sz w:val="22"/>
                <w:szCs w:val="22"/>
              </w:rPr>
            </w:pPr>
            <w:proofErr w:type="spellStart"/>
            <w:r w:rsidRPr="00C77F31">
              <w:rPr>
                <w:rFonts w:cs="Times New Roman"/>
                <w:b w:val="0"/>
                <w:bCs w:val="0"/>
                <w:i/>
                <w:iCs/>
                <w:color w:val="auto"/>
                <w:sz w:val="22"/>
                <w:szCs w:val="22"/>
              </w:rPr>
              <w:t>Mameliella</w:t>
            </w:r>
            <w:proofErr w:type="spellEnd"/>
            <w:r w:rsidRPr="00C77F31">
              <w:rPr>
                <w:rFonts w:cs="Times New Roman"/>
                <w:b w:val="0"/>
                <w:bCs w:val="0"/>
                <w:i/>
                <w:iCs/>
                <w:color w:val="auto"/>
                <w:sz w:val="22"/>
                <w:szCs w:val="22"/>
              </w:rPr>
              <w:t xml:space="preserve"> sp. CS4 and </w:t>
            </w:r>
            <w:proofErr w:type="spellStart"/>
            <w:r w:rsidRPr="00C77F31">
              <w:rPr>
                <w:rFonts w:cs="Times New Roman"/>
                <w:b w:val="0"/>
                <w:bCs w:val="0"/>
                <w:i/>
                <w:iCs/>
                <w:color w:val="auto"/>
                <w:sz w:val="22"/>
                <w:szCs w:val="22"/>
              </w:rPr>
              <w:t>Marinobacter</w:t>
            </w:r>
            <w:proofErr w:type="spellEnd"/>
            <w:r w:rsidRPr="00C77F31">
              <w:rPr>
                <w:rFonts w:cs="Times New Roman"/>
                <w:b w:val="0"/>
                <w:bCs w:val="0"/>
                <w:i/>
                <w:iCs/>
                <w:color w:val="auto"/>
                <w:sz w:val="22"/>
                <w:szCs w:val="22"/>
              </w:rPr>
              <w:t xml:space="preserve"> sp. CS1</w:t>
            </w:r>
          </w:p>
        </w:tc>
        <w:tc>
          <w:tcPr>
            <w:tcW w:w="1842" w:type="dxa"/>
            <w:tcBorders>
              <w:left w:val="single" w:sz="4" w:space="0" w:color="auto"/>
              <w:bottom w:val="single" w:sz="4" w:space="0" w:color="auto"/>
            </w:tcBorders>
            <w:shd w:val="clear" w:color="auto" w:fill="D9ECFF"/>
            <w:vAlign w:val="center"/>
          </w:tcPr>
          <w:p w14:paraId="2A9A7955" w14:textId="6403A35B"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Fonts w:cs="Times New Roman"/>
                <w:i/>
                <w:iCs/>
                <w:sz w:val="22"/>
                <w:szCs w:val="22"/>
              </w:rPr>
            </w:pPr>
            <w:r w:rsidRPr="00C77F31">
              <w:rPr>
                <w:rFonts w:cs="Times New Roman"/>
                <w:i/>
                <w:iCs/>
                <w:sz w:val="22"/>
                <w:szCs w:val="22"/>
                <w:lang w:eastAsia="zh-CN"/>
              </w:rPr>
              <w:t>Coscinodiscus radiatus</w:t>
            </w:r>
          </w:p>
        </w:tc>
        <w:tc>
          <w:tcPr>
            <w:tcW w:w="1985" w:type="dxa"/>
            <w:tcBorders>
              <w:left w:val="single" w:sz="4" w:space="0" w:color="auto"/>
              <w:bottom w:val="single" w:sz="4" w:space="0" w:color="auto"/>
            </w:tcBorders>
            <w:shd w:val="clear" w:color="auto" w:fill="D9ECFF"/>
            <w:vAlign w:val="center"/>
          </w:tcPr>
          <w:p w14:paraId="032D722C" w14:textId="3C4859F7" w:rsidR="00F45922" w:rsidRPr="00C77F31" w:rsidRDefault="00B01D51"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sz w:val="22"/>
                <w:szCs w:val="22"/>
              </w:rPr>
            </w:pPr>
            <w:r>
              <w:rPr>
                <w:rFonts w:cs="Times New Roman"/>
                <w:sz w:val="22"/>
                <w:szCs w:val="22"/>
                <w:lang w:eastAsia="zh-CN"/>
              </w:rPr>
              <w:t>B</w:t>
            </w:r>
            <w:r w:rsidR="00F45922" w:rsidRPr="00C77F31">
              <w:rPr>
                <w:rFonts w:cs="Times New Roman"/>
                <w:sz w:val="22"/>
                <w:szCs w:val="22"/>
                <w:lang w:eastAsia="zh-CN"/>
              </w:rPr>
              <w:t xml:space="preserve">acterial </w:t>
            </w:r>
            <w:proofErr w:type="spellStart"/>
            <w:r w:rsidR="00F45922" w:rsidRPr="00C77F31">
              <w:rPr>
                <w:rFonts w:cs="Times New Roman"/>
                <w:sz w:val="22"/>
                <w:szCs w:val="22"/>
                <w:lang w:eastAsia="zh-CN"/>
              </w:rPr>
              <w:t>signalling</w:t>
            </w:r>
            <w:proofErr w:type="spellEnd"/>
            <w:r w:rsidR="00F45922" w:rsidRPr="00C77F31">
              <w:rPr>
                <w:rFonts w:cs="Times New Roman"/>
                <w:sz w:val="22"/>
                <w:szCs w:val="22"/>
                <w:lang w:eastAsia="zh-CN"/>
              </w:rPr>
              <w:t xml:space="preserve"> </w:t>
            </w:r>
          </w:p>
        </w:tc>
        <w:tc>
          <w:tcPr>
            <w:tcW w:w="1843" w:type="dxa"/>
            <w:tcBorders>
              <w:left w:val="single" w:sz="4" w:space="0" w:color="auto"/>
              <w:bottom w:val="single" w:sz="4" w:space="0" w:color="auto"/>
              <w:right w:val="single" w:sz="4" w:space="0" w:color="auto"/>
            </w:tcBorders>
            <w:shd w:val="clear" w:color="auto" w:fill="D9ECFF"/>
            <w:vAlign w:val="center"/>
          </w:tcPr>
          <w:p w14:paraId="741086D3" w14:textId="25A6EF13" w:rsidR="00F45922" w:rsidRPr="00C77F31" w:rsidRDefault="00B01D51" w:rsidP="00F45922">
            <w:pPr>
              <w:snapToGrid w:val="0"/>
              <w:cnfStyle w:val="000000000000" w:firstRow="0" w:lastRow="0" w:firstColumn="0" w:lastColumn="0" w:oddVBand="0" w:evenVBand="0" w:oddHBand="0" w:evenHBand="0" w:firstRowFirstColumn="0" w:firstRowLastColumn="0" w:lastRowFirstColumn="0" w:lastRowLastColumn="0"/>
              <w:rPr>
                <w:rFonts w:cs="Times New Roman"/>
                <w:sz w:val="22"/>
                <w:lang w:eastAsia="zh-CN"/>
              </w:rPr>
            </w:pPr>
            <w:r>
              <w:rPr>
                <w:rFonts w:cs="Times New Roman"/>
                <w:sz w:val="22"/>
                <w:lang w:eastAsia="zh-CN"/>
              </w:rPr>
              <w:t>Production of extracellular vesicles to regulate the methionine cycle</w:t>
            </w:r>
          </w:p>
        </w:tc>
        <w:tc>
          <w:tcPr>
            <w:tcW w:w="1558" w:type="dxa"/>
            <w:tcBorders>
              <w:left w:val="single" w:sz="4" w:space="0" w:color="auto"/>
              <w:bottom w:val="single" w:sz="4" w:space="0" w:color="auto"/>
            </w:tcBorders>
            <w:shd w:val="clear" w:color="auto" w:fill="D9ECFF"/>
            <w:vAlign w:val="center"/>
          </w:tcPr>
          <w:p w14:paraId="0181AF9F" w14:textId="3BB0433E" w:rsidR="00F45922" w:rsidRPr="00C77F31" w:rsidRDefault="00F45922" w:rsidP="00F45922">
            <w:pPr>
              <w:snapToGrid w:val="0"/>
              <w:cnfStyle w:val="000000000000" w:firstRow="0" w:lastRow="0" w:firstColumn="0" w:lastColumn="0" w:oddVBand="0" w:evenVBand="0" w:oddHBand="0" w:evenHBand="0" w:firstRowFirstColumn="0" w:firstRowLastColumn="0" w:lastRowFirstColumn="0" w:lastRowLastColumn="0"/>
              <w:rPr>
                <w:rStyle w:val="html-italic"/>
                <w:rFonts w:cs="Times New Roman"/>
                <w:i/>
                <w:iCs/>
                <w:sz w:val="22"/>
                <w:szCs w:val="22"/>
              </w:rPr>
            </w:pPr>
            <w:r w:rsidRPr="00C77F31">
              <w:rPr>
                <w:rFonts w:cs="Times New Roman"/>
                <w:sz w:val="22"/>
                <w:lang w:eastAsia="zh-CN"/>
              </w:rPr>
              <w:fldChar w:fldCharType="begin"/>
            </w:r>
            <w:r w:rsidRPr="00C77F31">
              <w:rPr>
                <w:rFonts w:cs="Times New Roman"/>
                <w:sz w:val="22"/>
                <w:szCs w:val="22"/>
                <w:lang w:eastAsia="zh-CN"/>
              </w:rPr>
              <w:instrText xml:space="preserve"> ADDIN ZOTERO_ITEM CSL_CITATION {"citationID":"SkVznlyb","properties":{"formattedCitation":"(Deng et al., 2024)","plainCitation":"(Deng et al., 2024)","noteIndex":0},"citationItems":[{"id":9376,"uris":["http://zotero.org/users/764524/items/IZXQJ4XX"],"itemData":{"id":9376,"type":"article-journal","abstract":"The bloom and bust patterns of microalgae in aquatic systems contribute massively to global biogeochemical cycles. The decline of algal blooms is mainly caused by nutrient limitation resulting in cell death, the arrest of cell division and the aging of surviving cells. Nutrient intake can re-initiate proliferation, but the processes involved are poorly understood. Here we characterize how the bloom-forming diatom Coscinodiscus radiatus recovers from starvation after nutrient influx. Rejuvenation is mediated by extracellular vesicles that shuttle reactive oxygen species, oxylipins and other harmful metabolites out of the old cells, thereby re-enabling their proliferation. By administering nutrient pulses to aged cells and metabolomic monitoring of the response, we show that regulated pathways are centred around the methionine cycle in C. radiatus. Co-incubation experiments show that bacteria mediate aging processes and trigger vesicle production using chemical signalling. This work opens new perspectives on cellular aging and rejuvenation in complex microbial communities.","container-title":"Nature Microbiology","DOI":"10.1038/s41564-024-01746-2","ISSN":"2058-5276","issue":"9","journalAbbreviation":"Nat. Microbiol.","language":"en","license":"2024 The Author(s)","note":"publisher: Nature Publishing Group","page":"2356-2368","source":"www.nature.com","title":"Bacteria modulate microalgal aging physiology through the induction of extracellular vesicle production to remove harmful metabolites","volume":"9","author":[{"family":"Deng","given":"Yun"},{"family":"Yu","given":"Ruyi"},{"family":"Grabe","given":"Veit"},{"family":"Sommermann","given":"Thomas"},{"family":"Werner","given":"Markus"},{"family":"Vallet","given":"Marine"},{"family":"Zerfaß","given":"Christian"},{"family":"Werz","given":"Oliver"},{"family":"Pohnert","given":"Georg"}],"issued":{"date-parts":[["2024",9]]}}}],"schema":"https://github.com/citation-style-language/schema/raw/master/csl-citation.json"} </w:instrText>
            </w:r>
            <w:r w:rsidRPr="00C77F31">
              <w:rPr>
                <w:rFonts w:cs="Times New Roman"/>
                <w:sz w:val="22"/>
                <w:lang w:eastAsia="zh-CN"/>
              </w:rPr>
              <w:fldChar w:fldCharType="separate"/>
            </w:r>
            <w:r w:rsidRPr="00C77F31">
              <w:rPr>
                <w:rFonts w:cs="Times New Roman"/>
                <w:sz w:val="22"/>
                <w:szCs w:val="22"/>
              </w:rPr>
              <w:t>(Deng et al., 2024)</w:t>
            </w:r>
            <w:r w:rsidRPr="00C77F31">
              <w:rPr>
                <w:rFonts w:cs="Times New Roman"/>
                <w:sz w:val="22"/>
                <w:lang w:eastAsia="zh-CN"/>
              </w:rPr>
              <w:fldChar w:fldCharType="end"/>
            </w:r>
          </w:p>
        </w:tc>
      </w:tr>
      <w:tr w:rsidR="00F45922" w:rsidRPr="00003341" w14:paraId="5D4DC9E3" w14:textId="77777777"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1324B44E" w14:textId="39B6BAB1" w:rsidR="00F45922" w:rsidRPr="00C77F31" w:rsidRDefault="00F45922" w:rsidP="00F45922">
            <w:pPr>
              <w:snapToGrid w:val="0"/>
              <w:rPr>
                <w:rFonts w:cs="Times New Roman"/>
                <w:b w:val="0"/>
                <w:bCs w:val="0"/>
                <w:i/>
                <w:iCs/>
                <w:color w:val="auto"/>
                <w:sz w:val="22"/>
                <w:szCs w:val="22"/>
              </w:rPr>
            </w:pPr>
            <w:proofErr w:type="spellStart"/>
            <w:r w:rsidRPr="00C77F31">
              <w:rPr>
                <w:rFonts w:cs="Times New Roman"/>
                <w:b w:val="0"/>
                <w:bCs w:val="0"/>
                <w:i/>
                <w:iCs/>
                <w:color w:val="auto"/>
                <w:sz w:val="22"/>
                <w:szCs w:val="22"/>
              </w:rPr>
              <w:t>Muricauda</w:t>
            </w:r>
            <w:proofErr w:type="spellEnd"/>
            <w:r w:rsidRPr="00C77F31">
              <w:rPr>
                <w:rFonts w:cs="Times New Roman"/>
                <w:b w:val="0"/>
                <w:bCs w:val="0"/>
                <w:color w:val="auto"/>
                <w:sz w:val="22"/>
                <w:szCs w:val="22"/>
              </w:rPr>
              <w:t xml:space="preserve"> sp.</w:t>
            </w:r>
          </w:p>
        </w:tc>
        <w:tc>
          <w:tcPr>
            <w:tcW w:w="1842" w:type="dxa"/>
            <w:tcBorders>
              <w:left w:val="single" w:sz="4" w:space="0" w:color="auto"/>
            </w:tcBorders>
            <w:shd w:val="clear" w:color="auto" w:fill="D9ECFF"/>
            <w:vAlign w:val="center"/>
          </w:tcPr>
          <w:p w14:paraId="0225CDCF" w14:textId="4B8D21BA" w:rsidR="00F45922" w:rsidRPr="00A0038D" w:rsidRDefault="00F45922" w:rsidP="00F45922">
            <w:pPr>
              <w:snapToGrid w:val="0"/>
              <w:cnfStyle w:val="000000100000" w:firstRow="0" w:lastRow="0" w:firstColumn="0" w:lastColumn="0" w:oddVBand="0" w:evenVBand="0" w:oddHBand="1" w:evenHBand="0" w:firstRowFirstColumn="0" w:firstRowLastColumn="0" w:lastRowFirstColumn="0" w:lastRowLastColumn="0"/>
              <w:rPr>
                <w:rFonts w:cs="Times New Roman"/>
                <w:i/>
                <w:iCs/>
                <w:sz w:val="22"/>
                <w:szCs w:val="22"/>
              </w:rPr>
            </w:pPr>
            <w:proofErr w:type="spellStart"/>
            <w:r w:rsidRPr="00A0038D">
              <w:rPr>
                <w:rFonts w:cs="Times New Roman"/>
                <w:i/>
                <w:iCs/>
                <w:sz w:val="22"/>
                <w:szCs w:val="22"/>
              </w:rPr>
              <w:t>Cylindrotheca</w:t>
            </w:r>
            <w:proofErr w:type="spellEnd"/>
            <w:r w:rsidRPr="00A0038D">
              <w:rPr>
                <w:rFonts w:cs="Times New Roman"/>
                <w:i/>
                <w:iCs/>
                <w:sz w:val="22"/>
                <w:szCs w:val="22"/>
              </w:rPr>
              <w:t xml:space="preserve"> fusiformis</w:t>
            </w:r>
            <w:r w:rsidRPr="00A0038D">
              <w:rPr>
                <w:sz w:val="22"/>
                <w:szCs w:val="22"/>
              </w:rPr>
              <w:t xml:space="preserve"> </w:t>
            </w:r>
          </w:p>
        </w:tc>
        <w:tc>
          <w:tcPr>
            <w:tcW w:w="1985" w:type="dxa"/>
            <w:tcBorders>
              <w:left w:val="single" w:sz="4" w:space="0" w:color="auto"/>
            </w:tcBorders>
            <w:shd w:val="clear" w:color="auto" w:fill="D9ECFF"/>
            <w:vAlign w:val="center"/>
          </w:tcPr>
          <w:p w14:paraId="7F553DE2" w14:textId="42588BFC" w:rsidR="00F45922" w:rsidRPr="00A0038D"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sz w:val="22"/>
                <w:szCs w:val="22"/>
              </w:rPr>
            </w:pPr>
            <w:r w:rsidRPr="00A0038D">
              <w:rPr>
                <w:rFonts w:cs="Times New Roman"/>
                <w:sz w:val="22"/>
                <w:szCs w:val="22"/>
              </w:rPr>
              <w:t>Enhancement of microalgal growth under mixotrophic conditions</w:t>
            </w:r>
          </w:p>
        </w:tc>
        <w:tc>
          <w:tcPr>
            <w:tcW w:w="1843" w:type="dxa"/>
            <w:tcBorders>
              <w:left w:val="single" w:sz="4" w:space="0" w:color="auto"/>
              <w:right w:val="single" w:sz="4" w:space="0" w:color="auto"/>
            </w:tcBorders>
            <w:shd w:val="clear" w:color="auto" w:fill="D9ECFF"/>
            <w:vAlign w:val="center"/>
          </w:tcPr>
          <w:p w14:paraId="65515B3D" w14:textId="28F44E6C" w:rsidR="00F45922" w:rsidRPr="00C77F31" w:rsidRDefault="00A0038D" w:rsidP="00F45922">
            <w:pPr>
              <w:snapToGrid w:val="0"/>
              <w:cnfStyle w:val="000000100000" w:firstRow="0" w:lastRow="0" w:firstColumn="0" w:lastColumn="0" w:oddVBand="0" w:evenVBand="0" w:oddHBand="1" w:evenHBand="0" w:firstRowFirstColumn="0" w:firstRowLastColumn="0" w:lastRowFirstColumn="0" w:lastRowLastColumn="0"/>
              <w:rPr>
                <w:rFonts w:cs="Times New Roman"/>
                <w:sz w:val="22"/>
              </w:rPr>
            </w:pPr>
            <w:r w:rsidRPr="00A0038D">
              <w:rPr>
                <w:rStyle w:val="html-italic"/>
                <w:color w:val="000000" w:themeColor="text1"/>
                <w:sz w:val="22"/>
                <w:szCs w:val="22"/>
              </w:rPr>
              <w:t xml:space="preserve">Enhancement of bacterial growth </w:t>
            </w:r>
          </w:p>
        </w:tc>
        <w:tc>
          <w:tcPr>
            <w:tcW w:w="1558" w:type="dxa"/>
            <w:tcBorders>
              <w:left w:val="single" w:sz="4" w:space="0" w:color="auto"/>
            </w:tcBorders>
            <w:shd w:val="clear" w:color="auto" w:fill="D9ECFF"/>
            <w:vAlign w:val="center"/>
          </w:tcPr>
          <w:p w14:paraId="04341672" w14:textId="39113CAC" w:rsidR="00F45922" w:rsidRPr="00C77F31" w:rsidRDefault="00F45922" w:rsidP="00F45922">
            <w:pPr>
              <w:snapToGrid w:val="0"/>
              <w:cnfStyle w:val="000000100000" w:firstRow="0" w:lastRow="0" w:firstColumn="0" w:lastColumn="0" w:oddVBand="0" w:evenVBand="0" w:oddHBand="1" w:evenHBand="0" w:firstRowFirstColumn="0" w:firstRowLastColumn="0" w:lastRowFirstColumn="0" w:lastRowLastColumn="0"/>
              <w:rPr>
                <w:rStyle w:val="html-italic"/>
                <w:rFonts w:cs="Times New Roman"/>
                <w:i/>
                <w:iCs/>
                <w:sz w:val="22"/>
                <w:szCs w:val="22"/>
              </w:rPr>
            </w:pPr>
            <w:r w:rsidRPr="00C77F31">
              <w:rPr>
                <w:rFonts w:cs="Times New Roman"/>
                <w:sz w:val="22"/>
              </w:rPr>
              <w:fldChar w:fldCharType="begin"/>
            </w:r>
            <w:r w:rsidRPr="00C77F31">
              <w:rPr>
                <w:rFonts w:cs="Times New Roman"/>
                <w:sz w:val="22"/>
                <w:szCs w:val="22"/>
              </w:rPr>
              <w:instrText xml:space="preserve"> ADDIN ZOTERO_ITEM CSL_CITATION {"citationID":"Tj4qOeQf","properties":{"formattedCitation":"(Han et al., 2016)","plainCitation":"(Han et al., 2016)","noteIndex":0},"citationItems":[{"id":4661,"uris":["http://zotero.org/users/764524/items/PZHLEMDK"],"itemData":{"id":4661,"type":"article-journal","abstract":"Microalgae frequently grow in natural environment and long-term laboratory cultures in association with bacteria. Bacteria benefit the oxygen and extracellular substances generated by microalgae, and reimburse microalgae with carbon dioxide, vitamins and so on. Such synergistic relationship has aided in establishing an efficient microalga-bacterium co-culturing mode. Obviously, the mutually beneficial relationship can be strengthened with the increase of the densities of microalgae and bacteria. However, nearly all of the early co-cultures were performed under photoautotrophic conditions, thus both microalgae and bacteria were at relatively low densities. In this study, the feasibility of bacteria-microalgae co-cultured under mixotrophic conditions was studied.","container-title":"Journal of Biological Research-Thessaloniki","DOI":"10.1186/s40709-016-0047-6","ISSN":"2241-5793","issue":"1","journalAbbreviation":"J. Biol. Res.-Thessalon.","page":"8","source":"BioMed Central","title":"Co-culturing bacteria and microalgae in organic carbon containing medium","volume":"23","author":[{"family":"Han","given":"Jichang"},{"family":"Zhang","given":"Lin"},{"family":"Wang","given":"Song"},{"family":"Yang","given":"Guanpin"},{"family":"Zhao","given":"Lu"},{"family":"Pan","given":"Kehou"}],"issued":{"date-parts":[["2016",4,26]]}}}],"schema":"https://github.com/citation-style-language/schema/raw/master/csl-citation.json"} </w:instrText>
            </w:r>
            <w:r w:rsidRPr="00C77F31">
              <w:rPr>
                <w:rFonts w:cs="Times New Roman"/>
                <w:sz w:val="22"/>
              </w:rPr>
              <w:fldChar w:fldCharType="separate"/>
            </w:r>
            <w:r w:rsidRPr="00C77F31">
              <w:rPr>
                <w:rFonts w:cs="Times New Roman"/>
                <w:sz w:val="22"/>
                <w:szCs w:val="22"/>
              </w:rPr>
              <w:t>(Han et al., 2016)</w:t>
            </w:r>
            <w:r w:rsidRPr="00C77F31">
              <w:rPr>
                <w:rFonts w:cs="Times New Roman"/>
                <w:sz w:val="22"/>
              </w:rPr>
              <w:fldChar w:fldCharType="end"/>
            </w:r>
          </w:p>
        </w:tc>
      </w:tr>
      <w:tr w:rsidR="00A0038D" w:rsidRPr="00003341" w14:paraId="7F3C3680" w14:textId="77777777" w:rsidTr="00901C44">
        <w:trPr>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tcBorders>
            <w:shd w:val="clear" w:color="auto" w:fill="D9ECFF"/>
            <w:vAlign w:val="center"/>
          </w:tcPr>
          <w:p w14:paraId="0FF206E1" w14:textId="4427A059" w:rsidR="00A0038D" w:rsidRPr="00C77F31" w:rsidRDefault="00A0038D" w:rsidP="00A0038D">
            <w:pPr>
              <w:snapToGrid w:val="0"/>
              <w:rPr>
                <w:rFonts w:cs="Times New Roman"/>
                <w:b w:val="0"/>
                <w:bCs w:val="0"/>
                <w:i/>
                <w:iCs/>
                <w:sz w:val="22"/>
                <w:szCs w:val="22"/>
              </w:rPr>
            </w:pPr>
            <w:proofErr w:type="spellStart"/>
            <w:r w:rsidRPr="00C77F31">
              <w:rPr>
                <w:rFonts w:cs="Times New Roman"/>
                <w:b w:val="0"/>
                <w:bCs w:val="0"/>
                <w:i/>
                <w:iCs/>
                <w:color w:val="auto"/>
                <w:sz w:val="22"/>
                <w:szCs w:val="22"/>
                <w:lang w:val="en-CA"/>
              </w:rPr>
              <w:t>Novosphingobium</w:t>
            </w:r>
            <w:proofErr w:type="spellEnd"/>
            <w:r w:rsidRPr="00C77F31">
              <w:rPr>
                <w:rFonts w:cs="Times New Roman"/>
                <w:b w:val="0"/>
                <w:bCs w:val="0"/>
                <w:i/>
                <w:iCs/>
                <w:color w:val="auto"/>
                <w:sz w:val="22"/>
                <w:szCs w:val="22"/>
                <w:lang w:val="en-CA"/>
              </w:rPr>
              <w:t xml:space="preserve"> </w:t>
            </w:r>
            <w:r w:rsidRPr="00C77F31">
              <w:rPr>
                <w:rFonts w:cs="Times New Roman"/>
                <w:b w:val="0"/>
                <w:bCs w:val="0"/>
                <w:color w:val="auto"/>
                <w:sz w:val="22"/>
                <w:szCs w:val="22"/>
                <w:lang w:val="en-CA"/>
              </w:rPr>
              <w:t>sp. ICW1</w:t>
            </w:r>
            <w:r w:rsidRPr="00C77F31">
              <w:rPr>
                <w:rFonts w:cs="Times New Roman"/>
                <w:b w:val="0"/>
                <w:bCs w:val="0"/>
                <w:i/>
                <w:iCs/>
                <w:color w:val="auto"/>
                <w:sz w:val="22"/>
                <w:szCs w:val="22"/>
                <w:lang w:val="en-CA"/>
              </w:rPr>
              <w:t xml:space="preserve"> </w:t>
            </w:r>
          </w:p>
        </w:tc>
        <w:tc>
          <w:tcPr>
            <w:tcW w:w="1842" w:type="dxa"/>
            <w:tcBorders>
              <w:left w:val="single" w:sz="4" w:space="0" w:color="auto"/>
            </w:tcBorders>
            <w:shd w:val="clear" w:color="auto" w:fill="D9ECFF"/>
            <w:vAlign w:val="center"/>
          </w:tcPr>
          <w:p w14:paraId="52FE8F2C" w14:textId="36D5FB2C" w:rsidR="00A0038D" w:rsidRPr="00A0038D" w:rsidRDefault="00A0038D" w:rsidP="00A0038D">
            <w:pPr>
              <w:snapToGrid w:val="0"/>
              <w:cnfStyle w:val="000000000000" w:firstRow="0" w:lastRow="0" w:firstColumn="0" w:lastColumn="0" w:oddVBand="0" w:evenVBand="0" w:oddHBand="0" w:evenHBand="0" w:firstRowFirstColumn="0" w:firstRowLastColumn="0" w:lastRowFirstColumn="0" w:lastRowLastColumn="0"/>
              <w:rPr>
                <w:rFonts w:cs="Times New Roman"/>
                <w:i/>
                <w:iCs/>
                <w:sz w:val="22"/>
                <w:szCs w:val="22"/>
              </w:rPr>
            </w:pPr>
            <w:proofErr w:type="spellStart"/>
            <w:r w:rsidRPr="00A0038D">
              <w:rPr>
                <w:rFonts w:cs="Times New Roman"/>
                <w:i/>
                <w:iCs/>
                <w:sz w:val="22"/>
                <w:szCs w:val="22"/>
              </w:rPr>
              <w:t>Vischeria</w:t>
            </w:r>
            <w:proofErr w:type="spellEnd"/>
            <w:r w:rsidRPr="00A0038D">
              <w:rPr>
                <w:rFonts w:cs="Times New Roman"/>
                <w:i/>
                <w:iCs/>
                <w:sz w:val="22"/>
                <w:szCs w:val="22"/>
              </w:rPr>
              <w:t xml:space="preserve"> </w:t>
            </w:r>
            <w:r w:rsidRPr="00A0038D">
              <w:rPr>
                <w:rFonts w:cs="Times New Roman"/>
                <w:sz w:val="22"/>
                <w:szCs w:val="22"/>
              </w:rPr>
              <w:t>sp. WL1</w:t>
            </w:r>
          </w:p>
        </w:tc>
        <w:tc>
          <w:tcPr>
            <w:tcW w:w="1985" w:type="dxa"/>
            <w:tcBorders>
              <w:left w:val="single" w:sz="4" w:space="0" w:color="auto"/>
            </w:tcBorders>
            <w:shd w:val="clear" w:color="auto" w:fill="D9ECFF"/>
            <w:vAlign w:val="center"/>
          </w:tcPr>
          <w:p w14:paraId="0AC775FC" w14:textId="40EB425A" w:rsidR="00A0038D" w:rsidRPr="00A0038D" w:rsidRDefault="00A0038D" w:rsidP="00A0038D">
            <w:pPr>
              <w:snapToGrid w:val="0"/>
              <w:cnfStyle w:val="000000000000" w:firstRow="0" w:lastRow="0" w:firstColumn="0" w:lastColumn="0" w:oddVBand="0" w:evenVBand="0" w:oddHBand="0" w:evenHBand="0" w:firstRowFirstColumn="0" w:firstRowLastColumn="0" w:lastRowFirstColumn="0" w:lastRowLastColumn="0"/>
              <w:rPr>
                <w:rFonts w:cs="Times New Roman"/>
                <w:sz w:val="22"/>
                <w:szCs w:val="22"/>
              </w:rPr>
            </w:pPr>
            <w:r w:rsidRPr="00A0038D">
              <w:rPr>
                <w:rFonts w:cs="Times New Roman"/>
                <w:sz w:val="22"/>
                <w:szCs w:val="22"/>
              </w:rPr>
              <w:t xml:space="preserve">Enhancement of microalgal growth </w:t>
            </w:r>
          </w:p>
        </w:tc>
        <w:tc>
          <w:tcPr>
            <w:tcW w:w="1843" w:type="dxa"/>
            <w:tcBorders>
              <w:left w:val="single" w:sz="4" w:space="0" w:color="auto"/>
              <w:right w:val="single" w:sz="4" w:space="0" w:color="auto"/>
            </w:tcBorders>
            <w:shd w:val="clear" w:color="auto" w:fill="D9ECFF"/>
            <w:vAlign w:val="center"/>
          </w:tcPr>
          <w:p w14:paraId="39F291F9" w14:textId="569112E9" w:rsidR="00A0038D" w:rsidRPr="00C77F31" w:rsidRDefault="00A0038D" w:rsidP="00A0038D">
            <w:pPr>
              <w:snapToGrid w:val="0"/>
              <w:cnfStyle w:val="000000000000" w:firstRow="0" w:lastRow="0" w:firstColumn="0" w:lastColumn="0" w:oddVBand="0" w:evenVBand="0" w:oddHBand="0" w:evenHBand="0" w:firstRowFirstColumn="0" w:firstRowLastColumn="0" w:lastRowFirstColumn="0" w:lastRowLastColumn="0"/>
              <w:rPr>
                <w:rFonts w:cs="Times New Roman"/>
                <w:sz w:val="22"/>
              </w:rPr>
            </w:pPr>
            <w:r>
              <w:rPr>
                <w:rFonts w:cs="Times New Roman"/>
                <w:sz w:val="22"/>
                <w:szCs w:val="22"/>
              </w:rPr>
              <w:t>N</w:t>
            </w:r>
            <w:r w:rsidRPr="00A0038D">
              <w:rPr>
                <w:rFonts w:cs="Times New Roman"/>
                <w:sz w:val="22"/>
                <w:szCs w:val="22"/>
              </w:rPr>
              <w:t>utrient removal from wastewater</w:t>
            </w:r>
          </w:p>
        </w:tc>
        <w:tc>
          <w:tcPr>
            <w:tcW w:w="1558" w:type="dxa"/>
            <w:tcBorders>
              <w:left w:val="single" w:sz="4" w:space="0" w:color="auto"/>
            </w:tcBorders>
            <w:shd w:val="clear" w:color="auto" w:fill="D9ECFF"/>
            <w:vAlign w:val="center"/>
          </w:tcPr>
          <w:p w14:paraId="210606B6" w14:textId="7D261B4F" w:rsidR="00A0038D" w:rsidRPr="00C77F31" w:rsidRDefault="00A0038D" w:rsidP="00A0038D">
            <w:pPr>
              <w:snapToGrid w:val="0"/>
              <w:cnfStyle w:val="000000000000" w:firstRow="0" w:lastRow="0" w:firstColumn="0" w:lastColumn="0" w:oddVBand="0" w:evenVBand="0" w:oddHBand="0" w:evenHBand="0" w:firstRowFirstColumn="0" w:firstRowLastColumn="0" w:lastRowFirstColumn="0" w:lastRowLastColumn="0"/>
              <w:rPr>
                <w:rFonts w:cs="Times New Roman"/>
                <w:sz w:val="22"/>
                <w:szCs w:val="22"/>
              </w:rPr>
            </w:pPr>
            <w:r w:rsidRPr="00C77F31">
              <w:rPr>
                <w:rFonts w:cs="Times New Roman"/>
                <w:sz w:val="22"/>
              </w:rPr>
              <w:fldChar w:fldCharType="begin"/>
            </w:r>
            <w:r w:rsidRPr="00C77F31">
              <w:rPr>
                <w:rFonts w:cs="Times New Roman"/>
                <w:sz w:val="22"/>
                <w:szCs w:val="22"/>
              </w:rPr>
              <w:instrText xml:space="preserve"> ADDIN ZOTERO_ITEM CSL_CITATION {"citationID":"CqxZZToJ","properties":{"formattedCitation":"(Gao et al., 2024)","plainCitation":"(Gao et al., 2024)","noteIndex":0},"citationItems":[{"id":9692,"uris":["http://zotero.org/users/764524/items/JFTA5BMR"],"itemData":{"id":9692,"type":"article-journal","abstract":"The diversity of microalgae and bacteria allows them to form beneficial consortia for efficient wastewater treatment and nutrient recovery. This study aimed to evaluate the feasibility of a new microalgal-bacterial combination in the treatment of ice cream wastewater for biomass harvest. The bacterium Novosphingobium sp. ICW1 was natively isolated from ice cream wastewater and the microalga Vischeria sp. WL1 was a terrestrial oil-producing strain of Eustigmatophyceae. The ice cream wastewater was diluted 4 folds for co-cultivation, which was relatively less inhibitory for the growth of Vischeria sp. WL1. Four initial algal–bacterial combinations (v:v) of 150:0 (single algal cultivation), 150:1, 150:2, and 150:4 were assessed. During 24 days of co-cultivation, algal pigmentation was dynamically changed, particularly at the algal–bacterial combination of 150:4. Algal growth (in terms of cell number) was slightly promoted during the late phase of co-cultivation at the combinations of 150:2 and 150:4, while in the former the cellular oil yield was obviously elevated. Treated by these algal–bacterial combinations, total carbon was reduced by 67.5 ~ 74.5% and chemical oxygen demand was reduced by 55.0 ~ 60.4%. Although single bacterial treatment was still effective for removing organic nutrients, the removal efficiency was obviously enhanced at the algal–bacterial combination of 150:4. In addition, the harvested oils contained 87.1 ~ 88.3% monounsaturated fatty acids. In general, this study enriches the biotechnological solutions for the sustainable treatment of organic matter-rich food wastewater.","container-title":"Environmental Science and Pollution Research","DOI":"10.1007/s11356-024-33472-x","ISSN":"1614-7499","issue":"21","journalAbbreviation":"Environ. Sci. Pollut. Res.","language":"en","page":"31646-31655","source":"Springer Link","title":"Microalgal-bacterial treatment of ice-cream wastewater to remove organic waste and harvest oil-rich biomass","volume":"31","author":[{"family":"Gao","given":"Xiang"},{"family":"Liu","given":"Chang"},{"family":"Jing","given":"Xin"},{"family":"Guo","given":"Min"},{"family":"Liu","given":"Kaihui"},{"family":"Zhu","given":"Derui"}],"issued":{"date-parts":[["2024",5,1]]}}}],"schema":"https://github.com/citation-style-language/schema/raw/master/csl-citation.json"} </w:instrText>
            </w:r>
            <w:r w:rsidRPr="00C77F31">
              <w:rPr>
                <w:rFonts w:cs="Times New Roman"/>
                <w:sz w:val="22"/>
              </w:rPr>
              <w:fldChar w:fldCharType="separate"/>
            </w:r>
            <w:r w:rsidRPr="00C77F31">
              <w:rPr>
                <w:rFonts w:cs="Times New Roman"/>
                <w:sz w:val="22"/>
                <w:szCs w:val="22"/>
              </w:rPr>
              <w:t>(Gao et al., 2024)</w:t>
            </w:r>
            <w:r w:rsidRPr="00C77F31">
              <w:rPr>
                <w:rFonts w:cs="Times New Roman"/>
                <w:sz w:val="22"/>
              </w:rPr>
              <w:fldChar w:fldCharType="end"/>
            </w:r>
          </w:p>
        </w:tc>
      </w:tr>
      <w:tr w:rsidR="00A0038D" w:rsidRPr="009832E1" w14:paraId="736780D1" w14:textId="77777777" w:rsidTr="00901C44">
        <w:trPr>
          <w:cnfStyle w:val="000000100000" w:firstRow="0" w:lastRow="0" w:firstColumn="0" w:lastColumn="0" w:oddVBand="0" w:evenVBand="0" w:oddHBand="1" w:evenHBand="0" w:firstRowFirstColumn="0" w:firstRowLastColumn="0" w:lastRowFirstColumn="0" w:lastRowLastColumn="0"/>
          <w:trHeight w:val="397"/>
          <w:jc w:val="center"/>
        </w:trPr>
        <w:tc>
          <w:tcPr>
            <w:cnfStyle w:val="001000000000" w:firstRow="0" w:lastRow="0" w:firstColumn="1" w:lastColumn="0" w:oddVBand="0" w:evenVBand="0" w:oddHBand="0" w:evenHBand="0" w:firstRowFirstColumn="0" w:firstRowLastColumn="0" w:lastRowFirstColumn="0" w:lastRowLastColumn="0"/>
            <w:tcW w:w="2122" w:type="dxa"/>
            <w:tcBorders>
              <w:left w:val="single" w:sz="4" w:space="0" w:color="auto"/>
              <w:bottom w:val="single" w:sz="4" w:space="0" w:color="auto"/>
            </w:tcBorders>
            <w:shd w:val="clear" w:color="auto" w:fill="D9ECFF"/>
            <w:vAlign w:val="center"/>
          </w:tcPr>
          <w:p w14:paraId="4264E546" w14:textId="7FD1E390" w:rsidR="00A0038D" w:rsidRPr="00C77F31" w:rsidRDefault="00A0038D" w:rsidP="00A0038D">
            <w:pPr>
              <w:snapToGrid w:val="0"/>
              <w:rPr>
                <w:rFonts w:cs="Times New Roman"/>
                <w:b w:val="0"/>
                <w:bCs w:val="0"/>
                <w:i/>
                <w:iCs/>
                <w:color w:val="auto"/>
                <w:sz w:val="22"/>
                <w:szCs w:val="22"/>
              </w:rPr>
            </w:pPr>
            <w:proofErr w:type="spellStart"/>
            <w:r w:rsidRPr="00C77F31">
              <w:rPr>
                <w:rFonts w:cs="Times New Roman"/>
                <w:b w:val="0"/>
                <w:bCs w:val="0"/>
                <w:i/>
                <w:iCs/>
                <w:color w:val="auto"/>
                <w:sz w:val="22"/>
                <w:szCs w:val="22"/>
              </w:rPr>
              <w:t>Raoultella</w:t>
            </w:r>
            <w:proofErr w:type="spellEnd"/>
            <w:r w:rsidRPr="00C77F31">
              <w:rPr>
                <w:rFonts w:cs="Times New Roman"/>
                <w:b w:val="0"/>
                <w:bCs w:val="0"/>
                <w:i/>
                <w:iCs/>
                <w:color w:val="auto"/>
                <w:sz w:val="22"/>
                <w:szCs w:val="22"/>
              </w:rPr>
              <w:t xml:space="preserve"> </w:t>
            </w:r>
            <w:proofErr w:type="spellStart"/>
            <w:r w:rsidRPr="00C77F31">
              <w:rPr>
                <w:rFonts w:cs="Times New Roman"/>
                <w:b w:val="0"/>
                <w:bCs w:val="0"/>
                <w:i/>
                <w:iCs/>
                <w:color w:val="auto"/>
                <w:sz w:val="22"/>
                <w:szCs w:val="22"/>
              </w:rPr>
              <w:t>ornithinolytica</w:t>
            </w:r>
            <w:proofErr w:type="spellEnd"/>
          </w:p>
        </w:tc>
        <w:tc>
          <w:tcPr>
            <w:tcW w:w="1842" w:type="dxa"/>
            <w:tcBorders>
              <w:left w:val="single" w:sz="4" w:space="0" w:color="auto"/>
              <w:bottom w:val="single" w:sz="4" w:space="0" w:color="auto"/>
            </w:tcBorders>
            <w:shd w:val="clear" w:color="auto" w:fill="D9ECFF"/>
            <w:vAlign w:val="center"/>
          </w:tcPr>
          <w:p w14:paraId="33BC8F9D" w14:textId="47971D45" w:rsidR="00A0038D" w:rsidRPr="00C77F31" w:rsidRDefault="00A0038D" w:rsidP="00A0038D">
            <w:pPr>
              <w:snapToGrid w:val="0"/>
              <w:cnfStyle w:val="000000100000" w:firstRow="0" w:lastRow="0" w:firstColumn="0" w:lastColumn="0" w:oddVBand="0" w:evenVBand="0" w:oddHBand="1" w:evenHBand="0" w:firstRowFirstColumn="0" w:firstRowLastColumn="0" w:lastRowFirstColumn="0" w:lastRowLastColumn="0"/>
              <w:rPr>
                <w:rFonts w:cs="Times New Roman"/>
                <w:i/>
                <w:iCs/>
                <w:sz w:val="22"/>
                <w:szCs w:val="22"/>
              </w:rPr>
            </w:pPr>
            <w:proofErr w:type="spellStart"/>
            <w:r w:rsidRPr="00C77F31">
              <w:rPr>
                <w:rFonts w:cs="Times New Roman"/>
                <w:i/>
                <w:iCs/>
                <w:sz w:val="22"/>
                <w:szCs w:val="22"/>
              </w:rPr>
              <w:t>Nannochloropsis</w:t>
            </w:r>
            <w:proofErr w:type="spellEnd"/>
            <w:r w:rsidRPr="00C77F31">
              <w:rPr>
                <w:rFonts w:cs="Times New Roman"/>
                <w:i/>
                <w:iCs/>
                <w:sz w:val="22"/>
                <w:szCs w:val="22"/>
              </w:rPr>
              <w:t xml:space="preserve"> </w:t>
            </w:r>
            <w:proofErr w:type="spellStart"/>
            <w:r w:rsidRPr="00C77F31">
              <w:rPr>
                <w:rFonts w:cs="Times New Roman"/>
                <w:i/>
                <w:iCs/>
                <w:sz w:val="22"/>
                <w:szCs w:val="22"/>
              </w:rPr>
              <w:t>gaditana</w:t>
            </w:r>
            <w:proofErr w:type="spellEnd"/>
          </w:p>
        </w:tc>
        <w:tc>
          <w:tcPr>
            <w:tcW w:w="1985" w:type="dxa"/>
            <w:tcBorders>
              <w:left w:val="single" w:sz="4" w:space="0" w:color="auto"/>
              <w:bottom w:val="single" w:sz="4" w:space="0" w:color="auto"/>
            </w:tcBorders>
            <w:shd w:val="clear" w:color="auto" w:fill="D9ECFF"/>
            <w:vAlign w:val="center"/>
          </w:tcPr>
          <w:p w14:paraId="63DE4410" w14:textId="30D7D826" w:rsidR="00A0038D" w:rsidRPr="00C77F31" w:rsidRDefault="00A0038D" w:rsidP="00A0038D">
            <w:pPr>
              <w:snapToGrid w:val="0"/>
              <w:cnfStyle w:val="000000100000" w:firstRow="0" w:lastRow="0" w:firstColumn="0" w:lastColumn="0" w:oddVBand="0" w:evenVBand="0" w:oddHBand="1" w:evenHBand="0" w:firstRowFirstColumn="0" w:firstRowLastColumn="0" w:lastRowFirstColumn="0" w:lastRowLastColumn="0"/>
              <w:rPr>
                <w:rFonts w:cs="Times New Roman"/>
                <w:sz w:val="22"/>
                <w:szCs w:val="22"/>
              </w:rPr>
            </w:pPr>
            <w:r w:rsidRPr="00C77F31">
              <w:rPr>
                <w:rFonts w:cs="Times New Roman"/>
                <w:sz w:val="22"/>
                <w:szCs w:val="22"/>
              </w:rPr>
              <w:t xml:space="preserve">Cell wall disruption for biomass harvesting </w:t>
            </w:r>
          </w:p>
        </w:tc>
        <w:tc>
          <w:tcPr>
            <w:tcW w:w="1843" w:type="dxa"/>
            <w:tcBorders>
              <w:left w:val="single" w:sz="4" w:space="0" w:color="auto"/>
              <w:bottom w:val="single" w:sz="4" w:space="0" w:color="auto"/>
              <w:right w:val="single" w:sz="4" w:space="0" w:color="auto"/>
            </w:tcBorders>
            <w:shd w:val="clear" w:color="auto" w:fill="D9ECFF"/>
            <w:vAlign w:val="center"/>
          </w:tcPr>
          <w:p w14:paraId="2F063333" w14:textId="41745766" w:rsidR="00A0038D" w:rsidRPr="00C77F31" w:rsidRDefault="00B01D51" w:rsidP="00A0038D">
            <w:pPr>
              <w:snapToGrid w:val="0"/>
              <w:cnfStyle w:val="000000100000" w:firstRow="0" w:lastRow="0" w:firstColumn="0" w:lastColumn="0" w:oddVBand="0" w:evenVBand="0" w:oddHBand="1" w:evenHBand="0" w:firstRowFirstColumn="0" w:firstRowLastColumn="0" w:lastRowFirstColumn="0" w:lastRowLastColumn="0"/>
              <w:rPr>
                <w:rFonts w:cs="Times New Roman"/>
                <w:sz w:val="22"/>
              </w:rPr>
            </w:pPr>
            <w:r>
              <w:rPr>
                <w:rFonts w:cs="Times New Roman"/>
                <w:sz w:val="22"/>
              </w:rPr>
              <w:t>Production of biomass</w:t>
            </w:r>
          </w:p>
        </w:tc>
        <w:tc>
          <w:tcPr>
            <w:tcW w:w="1558" w:type="dxa"/>
            <w:tcBorders>
              <w:left w:val="single" w:sz="4" w:space="0" w:color="auto"/>
              <w:bottom w:val="single" w:sz="4" w:space="0" w:color="auto"/>
            </w:tcBorders>
            <w:shd w:val="clear" w:color="auto" w:fill="D9ECFF"/>
            <w:vAlign w:val="center"/>
          </w:tcPr>
          <w:p w14:paraId="60E60555" w14:textId="29D6C311" w:rsidR="00A0038D" w:rsidRPr="00C77F31" w:rsidRDefault="00A0038D" w:rsidP="00A0038D">
            <w:pPr>
              <w:snapToGrid w:val="0"/>
              <w:cnfStyle w:val="000000100000" w:firstRow="0" w:lastRow="0" w:firstColumn="0" w:lastColumn="0" w:oddVBand="0" w:evenVBand="0" w:oddHBand="1" w:evenHBand="0" w:firstRowFirstColumn="0" w:firstRowLastColumn="0" w:lastRowFirstColumn="0" w:lastRowLastColumn="0"/>
              <w:rPr>
                <w:rFonts w:cs="Times New Roman"/>
                <w:sz w:val="22"/>
                <w:szCs w:val="22"/>
              </w:rPr>
            </w:pPr>
            <w:r w:rsidRPr="00C77F31">
              <w:rPr>
                <w:rFonts w:cs="Times New Roman"/>
                <w:sz w:val="22"/>
              </w:rPr>
              <w:fldChar w:fldCharType="begin"/>
            </w:r>
            <w:r w:rsidRPr="00C77F31">
              <w:rPr>
                <w:rFonts w:cs="Times New Roman"/>
                <w:sz w:val="22"/>
                <w:szCs w:val="22"/>
              </w:rPr>
              <w:instrText xml:space="preserve"> ADDIN ZOTERO_ITEM CSL_CITATION {"citationID":"7nEixNtx","properties":{"formattedCitation":"(Mu\\uc0\\u241{}oz et al., 2014)","plainCitation":"(Muñoz et al., 2014)","noteIndex":0},"citationItems":[{"id":9478,"uris":["http://zotero.org/users/764524/items/SU4XUGZB"],"itemData":{"id":9478,"type":"article-journal","abstract":"In this study, we designed and evaluated a microalgal pretreatment method using cellulolytic bacteria that naturally degrades microalgae in their native habitat. Bacterial strains were isolated from each of two mollusk species in a medium containing 1% carboxymethyl cellulose agar. We selected nine bacterial strains that had endoglucanase activity: five strains from Mytilus chilensis, a Chilean mussel, and four strains from Mesodesma donacium, a clam found in the Southern Pacific. These strains were identified phylogenetically as belonging to the genera Aeromonas, Pseudomonas, Chryseobacterium, and Raoultella. The cellulase-producing capacities of these strains were characterized, and the degradation of cell walls in Botryococcus braunii and Nannochloropsis gaditana was tested with “whole-cell” cellulolytic experiments. Aeromonas bivalvium MA2, Raoultella ornithinolytica MA5, and Aeromonas salmonicida MC25 degraded B. braunii, and R. ornithinolytica MC3 and MA5 degraded N. gaditana. In addition, N. gaditana was pretreated with R. ornithinolytica strains MC3 and MA5 and was then subjected to an anaerobic digestion process, which increased the yield of methane by 140.32% and 158.68%, respectively, over that from nonpretreated microalgae. Therefore, a “whole-cell” cellulolytic pretreatment can increase the performance and efficiency of biogas production.","container-title":"Applied and Environmental Microbiology","DOI":"10.1128/AEM.00827-14","issue":"14","journalAbbreviation":"Appl. Environ. Microbiol.","note":"publisher: American Society for Microbiology","page":"4199-4206","source":"journals.asm.org (Atypon)","title":"Use of Cellulolytic Marine Bacteria for Enzymatic Pretreatment in Microalgal Biogas Production","volume":"80","author":[{"family":"Muñoz","given":"Camilo"},{"family":"Hidalgo","given":"Catalina"},{"family":"Zapata","given":"Manuel"},{"family":"Jeison","given":"David"},{"family":"Riquelme","given":"Carlos"},{"family":"Rivas","given":"Mariella"}],"issued":{"date-parts":[["2014",7,15]]}}}],"schema":"https://github.com/citation-style-language/schema/raw/master/csl-citation.json"} </w:instrText>
            </w:r>
            <w:r w:rsidRPr="00C77F31">
              <w:rPr>
                <w:rFonts w:cs="Times New Roman"/>
                <w:sz w:val="22"/>
              </w:rPr>
              <w:fldChar w:fldCharType="separate"/>
            </w:r>
            <w:r w:rsidRPr="00C77F31">
              <w:rPr>
                <w:rFonts w:cs="Times New Roman"/>
                <w:sz w:val="22"/>
                <w:szCs w:val="22"/>
              </w:rPr>
              <w:t>(Muñoz et al., 2014)</w:t>
            </w:r>
            <w:r w:rsidRPr="00C77F31">
              <w:rPr>
                <w:rFonts w:cs="Times New Roman"/>
                <w:sz w:val="22"/>
              </w:rPr>
              <w:fldChar w:fldCharType="end"/>
            </w:r>
          </w:p>
        </w:tc>
      </w:tr>
    </w:tbl>
    <w:p w14:paraId="012E1872" w14:textId="77777777" w:rsidR="00DF5AE0" w:rsidRDefault="00DF5AE0" w:rsidP="007944B8">
      <w:pPr>
        <w:snapToGrid w:val="0"/>
        <w:spacing w:line="360" w:lineRule="auto"/>
        <w:jc w:val="both"/>
        <w:rPr>
          <w:rFonts w:cs="Times New Roman"/>
          <w:szCs w:val="24"/>
        </w:rPr>
      </w:pPr>
    </w:p>
    <w:p w14:paraId="693015E3" w14:textId="1F19376F" w:rsidR="00DF5AE0" w:rsidRDefault="00DF5AE0">
      <w:pPr>
        <w:spacing w:after="160"/>
        <w:rPr>
          <w:rFonts w:cs="Times New Roman"/>
          <w:b/>
          <w:bCs/>
          <w:szCs w:val="24"/>
        </w:rPr>
      </w:pPr>
    </w:p>
    <w:p w14:paraId="11E246F2" w14:textId="43853ADD" w:rsidR="00AB4849" w:rsidRPr="00833CE8" w:rsidRDefault="00325B8C" w:rsidP="00C31A9C">
      <w:pPr>
        <w:tabs>
          <w:tab w:val="left" w:pos="7716"/>
        </w:tabs>
        <w:snapToGrid w:val="0"/>
        <w:spacing w:line="360" w:lineRule="auto"/>
        <w:jc w:val="both"/>
        <w:rPr>
          <w:rFonts w:cs="Times New Roman"/>
          <w:b/>
          <w:bCs/>
          <w:szCs w:val="24"/>
        </w:rPr>
      </w:pPr>
      <w:r w:rsidRPr="00833CE8">
        <w:rPr>
          <w:rFonts w:cs="Times New Roman"/>
          <w:b/>
          <w:bCs/>
          <w:szCs w:val="24"/>
        </w:rPr>
        <w:t>References</w:t>
      </w:r>
      <w:r w:rsidR="006476C4" w:rsidRPr="00833CE8">
        <w:rPr>
          <w:rFonts w:cs="Times New Roman"/>
          <w:b/>
          <w:bCs/>
          <w:szCs w:val="24"/>
        </w:rPr>
        <w:tab/>
      </w:r>
    </w:p>
    <w:p w14:paraId="225A4A29" w14:textId="77777777" w:rsidR="00CC5AD5" w:rsidRDefault="00CA60B9" w:rsidP="00CC5AD5">
      <w:pPr>
        <w:pStyle w:val="Bibliography"/>
      </w:pPr>
      <w:r w:rsidRPr="00833CE8">
        <w:rPr>
          <w:szCs w:val="24"/>
        </w:rPr>
        <w:fldChar w:fldCharType="begin"/>
      </w:r>
      <w:r w:rsidR="00CC5AD5">
        <w:rPr>
          <w:szCs w:val="24"/>
        </w:rPr>
        <w:instrText xml:space="preserve"> ADDIN ZOTERO_BIBL {"uncited":[],"omitted":[],"custom":[]} CSL_BIBLIOGRAPHY </w:instrText>
      </w:r>
      <w:r w:rsidRPr="00833CE8">
        <w:rPr>
          <w:szCs w:val="24"/>
        </w:rPr>
        <w:fldChar w:fldCharType="separate"/>
      </w:r>
      <w:r w:rsidR="00CC5AD5">
        <w:t>Abate, R., Oon, Y.-S., Oon, Y.-L., Bi, Y., 2024. Microalgae-bacteria nexus for environmental remediation and renewable energy resources: Advances, mechanisms and biotechnological applications. Heliyon 10. https://doi.org/10.1016/j.heliyon.2024.e31170</w:t>
      </w:r>
    </w:p>
    <w:p w14:paraId="7CDBB9C4" w14:textId="77777777" w:rsidR="00CC5AD5" w:rsidRDefault="00CC5AD5" w:rsidP="00CC5AD5">
      <w:pPr>
        <w:pStyle w:val="Bibliography"/>
      </w:pPr>
      <w:r>
        <w:t>Adamo, G., Fierli, D., Romancino, D.P., Picciotto, S., Barone, M.E., Aranyos, A., Božič, D., Morsbach, S., Raccosta, S., Stanly, C., Paganini, C., Gai, M., Cusimano, A., Martorana, V., Noto, R., Carrotta, R., Librizzi, F., Randazzo, L., Parkes, R., Capasso Palmiero, U., Rao, E., Paterna, A., Santonicola, P., Iglič, A., Corcuera, L., Kisslinger, A., Schiavi, E.D., Liguori, G.L., Landfester, K., Kralj-Iglič, V., Arosio, P., Pocsfalvi, G., Touzet, N., Manno, M., Bongiovanni, A., 2021. Nanoalgosomes: Introducing extracellular vesicles produced by microalgae. J. Extracell. Vesicles 10, e12081. https://doi.org/10.1002/jev2.12081</w:t>
      </w:r>
    </w:p>
    <w:p w14:paraId="1472A139" w14:textId="77777777" w:rsidR="00CC5AD5" w:rsidRDefault="00CC5AD5" w:rsidP="00CC5AD5">
      <w:pPr>
        <w:pStyle w:val="Bibliography"/>
      </w:pPr>
      <w:r>
        <w:t xml:space="preserve">Adamo, G., Santonicola, P., Picciotto, S., Gargano, P., Nicosia, A., Longo, V., Aloi, N., Romancino, D.P., Paterna, A., Rao, E., Raccosta, S., Noto, R., Salamone, M., Deidda, I., Costa, S., Di Sano, C., Zampi, G., Morsbach, S., Landfester, K., Colombo, P., Wei, M., Bergese, P., Touzet, N., Manno, M., Di Schiavi, E., Bongiovanni, A., 2024. Extracellular vesicles from the microalga </w:t>
      </w:r>
      <w:r>
        <w:rPr>
          <w:i/>
          <w:iCs/>
        </w:rPr>
        <w:t>Tetraselmis chuii</w:t>
      </w:r>
      <w:r>
        <w:t xml:space="preserve"> are biocompatible and exhibit unique bone tropism along with antioxidant and anti-inflammatory properties. Commun. Biol. 7, 1–17. https://doi.org/10.1038/s42003-024-06612-9</w:t>
      </w:r>
    </w:p>
    <w:p w14:paraId="0C9FB57E" w14:textId="77777777" w:rsidR="00CC5AD5" w:rsidRDefault="00CC5AD5" w:rsidP="00CC5AD5">
      <w:pPr>
        <w:pStyle w:val="Bibliography"/>
      </w:pPr>
      <w:r>
        <w:t>Aditya, L., Mahlia, T.M.I., Nguyen, L.N., Vu, H.P., Nghiem, L.D., 2022. Microalgae-bacteria consortium for wastewater treatment and biomass production. Sci. Total Environ. 838, 155871. https://doi.org/10.1016/j.scitotenv.2022.155871</w:t>
      </w:r>
    </w:p>
    <w:p w14:paraId="66025593" w14:textId="77777777" w:rsidR="00CC5AD5" w:rsidRDefault="00CC5AD5" w:rsidP="00CC5AD5">
      <w:pPr>
        <w:pStyle w:val="Bibliography"/>
      </w:pPr>
      <w:r>
        <w:lastRenderedPageBreak/>
        <w:t>Adoko, M.Y., Agbodjato, N.A., Noumavo, A.P., Amogou, O., Adjanohoun, A., Baba-Moussa, L., 2021. Bioformulations based on plant growth promoting rhizobacteria for sustainable agriculture: Biofertilizer or Biostimulant? AJAR 17, 1256–1260. https://doi.org/10.5897/AJAR2021.15756</w:t>
      </w:r>
    </w:p>
    <w:p w14:paraId="0299C817" w14:textId="77777777" w:rsidR="00CC5AD5" w:rsidRDefault="00CC5AD5" w:rsidP="00CC5AD5">
      <w:pPr>
        <w:pStyle w:val="Bibliography"/>
      </w:pPr>
      <w:r>
        <w:t xml:space="preserve">Amavizca, E., Bashan, Y., Ryu, C.-M., Farag, M.A., Bebout, B.M., de-Bashan, L.E., 2017. Enhanced performance of the microalga </w:t>
      </w:r>
      <w:r>
        <w:rPr>
          <w:i/>
          <w:iCs/>
        </w:rPr>
        <w:t>Chlorella sorokiniana</w:t>
      </w:r>
      <w:r>
        <w:t xml:space="preserve"> remotely induced by the plant growth-promoting bacteria </w:t>
      </w:r>
      <w:r>
        <w:rPr>
          <w:i/>
          <w:iCs/>
        </w:rPr>
        <w:t>Azospirillum brasilense</w:t>
      </w:r>
      <w:r>
        <w:t xml:space="preserve"> and </w:t>
      </w:r>
      <w:r>
        <w:rPr>
          <w:i/>
          <w:iCs/>
        </w:rPr>
        <w:t>Bacillus pumilus</w:t>
      </w:r>
      <w:r>
        <w:t>. Sci. Rep. 7, 41310. https://doi.org/10.1038/srep41310</w:t>
      </w:r>
    </w:p>
    <w:p w14:paraId="609DCC1B" w14:textId="77777777" w:rsidR="00CC5AD5" w:rsidRDefault="00CC5AD5" w:rsidP="00CC5AD5">
      <w:pPr>
        <w:pStyle w:val="Bibliography"/>
      </w:pPr>
      <w:r>
        <w:t>Amin, S.A., Green, D.H., Hart, M.C., Küpper, F.C., Sunda, W.G., Carrano, C.J., 2009. Photolysis of iron–siderophore chelates promotes bacterial–algal mutualism. Proc. Natl. Acad. Sci. U.S.A. 106, 17071–17076. https://doi.org/10.1073/pnas.0905512106</w:t>
      </w:r>
    </w:p>
    <w:p w14:paraId="20AC1908" w14:textId="77777777" w:rsidR="00CC5AD5" w:rsidRDefault="00CC5AD5" w:rsidP="00CC5AD5">
      <w:pPr>
        <w:pStyle w:val="Bibliography"/>
      </w:pPr>
      <w:r>
        <w:t>Amin, S.A., Hmelo, L.R., van Tol, H.M., Durham, B.P., Carlson, L.T., Heal, K.R., Morales, R.L., Berthiaume, C.T., Parker, M.S., Djunaedi, B., Ingalls, A.E., Parsek, M.R., Moran, M.A., Armbrust, E.V., 2015. Interaction and signalling between a cosmopolitan phytoplankton and associated bacteria. Nature 522, 98–101. https://doi.org/10.1038/nature14488</w:t>
      </w:r>
    </w:p>
    <w:p w14:paraId="0548FDA2" w14:textId="77777777" w:rsidR="00CC5AD5" w:rsidRDefault="00CC5AD5" w:rsidP="00CC5AD5">
      <w:pPr>
        <w:pStyle w:val="Bibliography"/>
      </w:pPr>
      <w:r>
        <w:t>Amin, S.A., Parker, M.S., Armbrust, E.V., 2012. Interactions between Diatoms and Bacteria. Microbiol. Mol. Biol. Rev. 76, 667–684. https://doi.org/10.1128/mmbr.00007-12</w:t>
      </w:r>
    </w:p>
    <w:p w14:paraId="5C36EC64" w14:textId="77777777" w:rsidR="00CC5AD5" w:rsidRDefault="00CC5AD5" w:rsidP="00CC5AD5">
      <w:pPr>
        <w:pStyle w:val="Bibliography"/>
      </w:pPr>
      <w:r>
        <w:t>Anand, U., Dey, S., Parial, D., Federici, S., Ducoli, S., Bolan, N.S., Dey, A., Bontempi, E., 2023. Algae and bacteria consortia for wastewater decontamination and transformation into biodiesel, bioethanol, biohydrogen, biofertilizers and animal feed: a review. Environ. Chem. Lett. 21, 1585–1609. https://doi.org/10.1007/s10311-023-01562-w</w:t>
      </w:r>
    </w:p>
    <w:p w14:paraId="4217AF8A" w14:textId="77777777" w:rsidR="00CC5AD5" w:rsidRDefault="00CC5AD5" w:rsidP="00CC5AD5">
      <w:pPr>
        <w:pStyle w:val="Bibliography"/>
      </w:pPr>
      <w:r>
        <w:t>Astafyeva, Y., Gurschke, M., Qi, M., Bergmann, L., Indenbirken, D., de Grahl, I., Katzowitsch, E., Reumann, S., Hanelt, D., Alawi, M., Streit, W.R., Krohn, I., 2022. Microalgae and Bacteria Interaction—Evidence for Division of Diligence in the Alga Microbiota. Microbiol. Spect. 10, e00633-22. https://doi.org/10.1128/spectrum.00633-22</w:t>
      </w:r>
    </w:p>
    <w:p w14:paraId="21B61A99" w14:textId="77777777" w:rsidR="00CC5AD5" w:rsidRDefault="00CC5AD5" w:rsidP="00CC5AD5">
      <w:pPr>
        <w:pStyle w:val="Bibliography"/>
      </w:pPr>
      <w:r>
        <w:t>Augelletti, F., Stenuit, B., Agathos, S.N., Jousset, A., 2019. Manipulation of Biodiversity to Steer and Optimize Microbial Community Function, in: Moo-Young, M. (Ed.), Comprehensive Biotechnology (Third Edition). Pergamon, Oxford, pp. 29–41. https://doi.org/10.1016/B978-0-444-64046-8.00478-X</w:t>
      </w:r>
    </w:p>
    <w:p w14:paraId="622734C6" w14:textId="77777777" w:rsidR="00CC5AD5" w:rsidRDefault="00CC5AD5" w:rsidP="00CC5AD5">
      <w:pPr>
        <w:pStyle w:val="Bibliography"/>
      </w:pPr>
      <w:r>
        <w:t>Awasthi, A., Singh, M., Soni, S.K., Singh, R., Kalra, A., 2014. Biodiversity acts as insurance of productivity of bacterial communities under abiotic perturbations. ISME J. 8, 2445–2452. https://doi.org/10.1038/ismej.2014.91</w:t>
      </w:r>
    </w:p>
    <w:p w14:paraId="15207DED" w14:textId="77777777" w:rsidR="00CC5AD5" w:rsidRDefault="00CC5AD5" w:rsidP="00CC5AD5">
      <w:pPr>
        <w:pStyle w:val="Bibliography"/>
      </w:pPr>
      <w:r>
        <w:t>Awdhesh Kumar Mishra, R., Kodiveri Muthukaliannan, G., 2022. Role of microalgal metabolites in controlling quorum-sensing-regulated biofilm. Arch. Microbiol. 204, 163. https://doi.org/10.1007/s00203-022-02776-2</w:t>
      </w:r>
    </w:p>
    <w:p w14:paraId="1A8BB974" w14:textId="77777777" w:rsidR="00CC5AD5" w:rsidRDefault="00CC5AD5" w:rsidP="00CC5AD5">
      <w:pPr>
        <w:pStyle w:val="Bibliography"/>
      </w:pPr>
      <w:r>
        <w:t>Azarpour, A., Zendehboudi, S., Mohammadzadeh, O., Rajabzadeh, A.R., Chatzis, I., 2022. A review on microalgal biomass and biodiesel production through Co-cultivation strategy. Energy Convers. Manag. 267, 115757. https://doi.org/10.1016/j.enconman.2022.115757</w:t>
      </w:r>
    </w:p>
    <w:p w14:paraId="7D564E22" w14:textId="77777777" w:rsidR="00CC5AD5" w:rsidRDefault="00CC5AD5" w:rsidP="00CC5AD5">
      <w:pPr>
        <w:pStyle w:val="Bibliography"/>
      </w:pPr>
      <w:r>
        <w:t>Baltazar, M., Correia, S., Guinan, K.J., Sujeeth, N., Bragança, R., Gonçalves, B., 2021. Recent Advances in the Molecular Effects of Biostimulants in Plants: An Overview. Biomolecules 11, 1096. https://doi.org/10.3390/biom11081096</w:t>
      </w:r>
    </w:p>
    <w:p w14:paraId="73007AFD" w14:textId="77777777" w:rsidR="00CC5AD5" w:rsidRDefault="00CC5AD5" w:rsidP="00CC5AD5">
      <w:pPr>
        <w:pStyle w:val="Bibliography"/>
      </w:pPr>
      <w:r>
        <w:lastRenderedPageBreak/>
        <w:t>Bennett, G.M., Kwak, Y., Maynard, R., 2024. Endosymbioses Have Shaped the Evolution of Biological Diversity and Complexity Time and Time Again. Genome Biol. Evol. 16, evae112. https://doi.org/10.1093/gbe/evae112</w:t>
      </w:r>
    </w:p>
    <w:p w14:paraId="747B39DD" w14:textId="77777777" w:rsidR="00CC5AD5" w:rsidRDefault="00CC5AD5" w:rsidP="00CC5AD5">
      <w:pPr>
        <w:pStyle w:val="Bibliography"/>
      </w:pPr>
      <w:r>
        <w:t>Brisbin, M.M., Schofield, A., McIlvin, M.R., Krinos, A.I., Alexander, H., Saito, M.A., 2023. Vitamin B12 conveys a protective advantage to phycosphere-associated bacteria at high temperatures. ISME Commun. 3, 1–4. https://doi.org/10.1038/s43705-023-00298-6</w:t>
      </w:r>
    </w:p>
    <w:p w14:paraId="3667BA2A" w14:textId="77777777" w:rsidR="00CC5AD5" w:rsidRDefault="00CC5AD5" w:rsidP="00CC5AD5">
      <w:pPr>
        <w:pStyle w:val="Bibliography"/>
      </w:pPr>
      <w:r>
        <w:t>Bunbury, F., Deery, E., Sayer, A.P., Bhardwaj, V., Harrison, E.L., Warren, M.J., Smith, A.G., 2022. Exploring the onset of B12-based mutualisms using a recently evolved Chlamydomonas auxotroph and B12-producing bacteria. Environ. Microbiol. 24, 3134–3147. https://doi.org/10.1111/1462-2920.16035</w:t>
      </w:r>
    </w:p>
    <w:p w14:paraId="445D9FDE" w14:textId="77777777" w:rsidR="00CC5AD5" w:rsidRDefault="00CC5AD5" w:rsidP="00CC5AD5">
      <w:pPr>
        <w:pStyle w:val="Bibliography"/>
      </w:pPr>
      <w:r>
        <w:t>Burgunter-Delamare, B., Shetty, P., Vuong, T., Mittag, M., 2024. Exchange or Eliminate: The Secrets of Algal-Bacterial Relationships. Plants 13, 829. https://doi.org/10.3390/plants13060829</w:t>
      </w:r>
    </w:p>
    <w:p w14:paraId="56CAF3D8" w14:textId="77777777" w:rsidR="00CC5AD5" w:rsidRDefault="00CC5AD5" w:rsidP="00CC5AD5">
      <w:pPr>
        <w:pStyle w:val="Bibliography"/>
      </w:pPr>
      <w:r>
        <w:t>Burnat, M., Li, B., Kim, S.H., Michael, A.J., Flores, E., 2018. Homospermidine biosynthesis in the cyanobacterium Anabaena requires a deoxyhypusine synthase homologue and is essential for normal diazotrophic growth. Mol. Microbiol. 109, 763–780. https://doi.org/10.1111/mmi.14006</w:t>
      </w:r>
    </w:p>
    <w:p w14:paraId="42F98A66" w14:textId="77777777" w:rsidR="00CC5AD5" w:rsidRDefault="00CC5AD5" w:rsidP="00CC5AD5">
      <w:pPr>
        <w:pStyle w:val="Bibliography"/>
      </w:pPr>
      <w:r>
        <w:t>Calatrava, V., Hom, E.F.Y., Guan, Q., Llamas, A., Fernández, E., Galván, A., 2024. Genetic evidence for algal auxin production in Chlamydomonas and its role in algal-bacterial mutualism. iScience 27. https://doi.org/10.1016/j.isci.2023.108762</w:t>
      </w:r>
    </w:p>
    <w:p w14:paraId="7A3F383A" w14:textId="77777777" w:rsidR="00CC5AD5" w:rsidRPr="005B6FAD" w:rsidRDefault="00CC5AD5" w:rsidP="00CC5AD5">
      <w:pPr>
        <w:pStyle w:val="Bibliography"/>
        <w:rPr>
          <w:lang w:val="fr-BE"/>
        </w:rPr>
      </w:pPr>
      <w:r>
        <w:t xml:space="preserve">Calatrava, V., Hom, E.F.Y., Llamas, Á., Fernández, E., Galván, A., 2018. OK, thanks! A new mutualism between Chlamydomonas and methylobacteria facilitates growth on amino acids and peptides. </w:t>
      </w:r>
      <w:r w:rsidRPr="005B6FAD">
        <w:rPr>
          <w:lang w:val="fr-BE"/>
        </w:rPr>
        <w:t xml:space="preserve">FEMS </w:t>
      </w:r>
      <w:proofErr w:type="spellStart"/>
      <w:r w:rsidRPr="005B6FAD">
        <w:rPr>
          <w:lang w:val="fr-BE"/>
        </w:rPr>
        <w:t>Microbiol</w:t>
      </w:r>
      <w:proofErr w:type="spellEnd"/>
      <w:r w:rsidRPr="005B6FAD">
        <w:rPr>
          <w:lang w:val="fr-BE"/>
        </w:rPr>
        <w:t xml:space="preserve">. </w:t>
      </w:r>
      <w:proofErr w:type="spellStart"/>
      <w:r w:rsidRPr="005B6FAD">
        <w:rPr>
          <w:lang w:val="fr-BE"/>
        </w:rPr>
        <w:t>Lett</w:t>
      </w:r>
      <w:proofErr w:type="spellEnd"/>
      <w:r w:rsidRPr="005B6FAD">
        <w:rPr>
          <w:lang w:val="fr-BE"/>
        </w:rPr>
        <w:t>. 365, fny021. https://doi.org/10.1093/femsle/fny021</w:t>
      </w:r>
    </w:p>
    <w:p w14:paraId="665D0CB8" w14:textId="77777777" w:rsidR="00CC5AD5" w:rsidRDefault="00CC5AD5" w:rsidP="00CC5AD5">
      <w:pPr>
        <w:pStyle w:val="Bibliography"/>
      </w:pPr>
      <w:r w:rsidRPr="005B6FAD">
        <w:rPr>
          <w:lang w:val="fr-BE"/>
        </w:rPr>
        <w:t xml:space="preserve">Cao, X., Li, H., Zhou, Y., Song, C., 2020. </w:t>
      </w:r>
      <w:r>
        <w:t>The shift of mutualistic relationships among algae, free-living and attached bacteria through different nutrient addition mode: a mesocosm study. J. Freshw. Ecol.</w:t>
      </w:r>
    </w:p>
    <w:p w14:paraId="1ABDCE3B" w14:textId="77777777" w:rsidR="00CC5AD5" w:rsidRDefault="00CC5AD5" w:rsidP="00CC5AD5">
      <w:pPr>
        <w:pStyle w:val="Bibliography"/>
      </w:pPr>
      <w:r>
        <w:t>Cheah, Y.T., Chan, D.J.C., 2021. Physiology of microalgal biofilm: a review on prediction of adhesion on substrates. Bioengineered 12, 7577–7599. https://doi.org/10.1080/21655979.2021.1980671</w:t>
      </w:r>
    </w:p>
    <w:p w14:paraId="7E9D69AC" w14:textId="77777777" w:rsidR="00CC5AD5" w:rsidRDefault="00CC5AD5" w:rsidP="00CC5AD5">
      <w:pPr>
        <w:pStyle w:val="Bibliography"/>
      </w:pPr>
      <w:r>
        <w:t>Chegukrishnamurthi, M., Shekh, A., Ravi, S., Narayana Mudliar, S., 2022. Volatile organic compounds involved in the communication of microalgae-bacterial association extracted through Headspace-Solid phase microextraction and confirmed using gas chromatography-mass spectrophotometry. Bioresour. Technol. 348, 126775. https://doi.org/10.1016/j.biortech.2022.126775</w:t>
      </w:r>
    </w:p>
    <w:p w14:paraId="77EBED2F" w14:textId="77777777" w:rsidR="00CC5AD5" w:rsidRPr="005B6FAD" w:rsidRDefault="00CC5AD5" w:rsidP="00CC5AD5">
      <w:pPr>
        <w:pStyle w:val="Bibliography"/>
        <w:rPr>
          <w:lang w:val="fr-BE"/>
        </w:rPr>
      </w:pPr>
      <w:r>
        <w:t xml:space="preserve">Cheng, X., Li, X., Tong, M., Wu, J., Chan, L.L., Cai, Z., Zhou, J., 2023. Indole-3-acetic acid as a cross-talking molecule in algal-bacterial interactions and a potential driving force in algal bloom formation. </w:t>
      </w:r>
      <w:r w:rsidRPr="005B6FAD">
        <w:rPr>
          <w:lang w:val="fr-BE"/>
        </w:rPr>
        <w:t xml:space="preserve">Front. </w:t>
      </w:r>
      <w:proofErr w:type="spellStart"/>
      <w:r w:rsidRPr="005B6FAD">
        <w:rPr>
          <w:lang w:val="fr-BE"/>
        </w:rPr>
        <w:t>Microbiol</w:t>
      </w:r>
      <w:proofErr w:type="spellEnd"/>
      <w:r w:rsidRPr="005B6FAD">
        <w:rPr>
          <w:lang w:val="fr-BE"/>
        </w:rPr>
        <w:t>. 14, 1236925. https://doi.org/10.3389/fmicb.2023.1236925</w:t>
      </w:r>
    </w:p>
    <w:p w14:paraId="30F70E19" w14:textId="77777777" w:rsidR="00CC5AD5" w:rsidRPr="005B6FAD" w:rsidRDefault="00CC5AD5" w:rsidP="00CC5AD5">
      <w:pPr>
        <w:pStyle w:val="Bibliography"/>
        <w:rPr>
          <w:lang w:val="fr-BE"/>
        </w:rPr>
      </w:pPr>
      <w:r w:rsidRPr="005B6FAD">
        <w:rPr>
          <w:lang w:val="fr-BE"/>
        </w:rPr>
        <w:t>Choix, F.J., de-</w:t>
      </w:r>
      <w:proofErr w:type="spellStart"/>
      <w:r w:rsidRPr="005B6FAD">
        <w:rPr>
          <w:lang w:val="fr-BE"/>
        </w:rPr>
        <w:t>Bashan</w:t>
      </w:r>
      <w:proofErr w:type="spellEnd"/>
      <w:r w:rsidRPr="005B6FAD">
        <w:rPr>
          <w:lang w:val="fr-BE"/>
        </w:rPr>
        <w:t xml:space="preserve">, L.E., </w:t>
      </w:r>
      <w:proofErr w:type="spellStart"/>
      <w:r w:rsidRPr="005B6FAD">
        <w:rPr>
          <w:lang w:val="fr-BE"/>
        </w:rPr>
        <w:t>Bashan</w:t>
      </w:r>
      <w:proofErr w:type="spellEnd"/>
      <w:r w:rsidRPr="005B6FAD">
        <w:rPr>
          <w:lang w:val="fr-BE"/>
        </w:rPr>
        <w:t xml:space="preserve">, Y., 2012. </w:t>
      </w:r>
      <w:r>
        <w:t xml:space="preserve">Enhanced accumulation of starch and total carbohydrates in alginate-immobilized </w:t>
      </w:r>
      <w:r>
        <w:rPr>
          <w:i/>
          <w:iCs/>
        </w:rPr>
        <w:t>Chlorella</w:t>
      </w:r>
      <w:r>
        <w:t xml:space="preserve"> spp. induced by </w:t>
      </w:r>
      <w:r>
        <w:rPr>
          <w:i/>
          <w:iCs/>
        </w:rPr>
        <w:t xml:space="preserve">Azospirillum </w:t>
      </w:r>
      <w:r>
        <w:rPr>
          <w:i/>
          <w:iCs/>
        </w:rPr>
        <w:lastRenderedPageBreak/>
        <w:t>brasilense</w:t>
      </w:r>
      <w:r>
        <w:t xml:space="preserve">: II. </w:t>
      </w:r>
      <w:proofErr w:type="spellStart"/>
      <w:r w:rsidRPr="005B6FAD">
        <w:rPr>
          <w:lang w:val="fr-BE"/>
        </w:rPr>
        <w:t>Heterotrophic</w:t>
      </w:r>
      <w:proofErr w:type="spellEnd"/>
      <w:r w:rsidRPr="005B6FAD">
        <w:rPr>
          <w:lang w:val="fr-BE"/>
        </w:rPr>
        <w:t xml:space="preserve"> conditions. Enzyme </w:t>
      </w:r>
      <w:proofErr w:type="spellStart"/>
      <w:r w:rsidRPr="005B6FAD">
        <w:rPr>
          <w:lang w:val="fr-BE"/>
        </w:rPr>
        <w:t>Microb</w:t>
      </w:r>
      <w:proofErr w:type="spellEnd"/>
      <w:r w:rsidRPr="005B6FAD">
        <w:rPr>
          <w:lang w:val="fr-BE"/>
        </w:rPr>
        <w:t xml:space="preserve">. </w:t>
      </w:r>
      <w:proofErr w:type="spellStart"/>
      <w:r w:rsidRPr="005B6FAD">
        <w:rPr>
          <w:lang w:val="fr-BE"/>
        </w:rPr>
        <w:t>Technol</w:t>
      </w:r>
      <w:proofErr w:type="spellEnd"/>
      <w:r w:rsidRPr="005B6FAD">
        <w:rPr>
          <w:lang w:val="fr-BE"/>
        </w:rPr>
        <w:t>. 51, 300–309. https://doi.org/10.1016/j.enzmictec.2012.07.012</w:t>
      </w:r>
    </w:p>
    <w:p w14:paraId="10E4AFD3" w14:textId="77777777" w:rsidR="00CC5AD5" w:rsidRDefault="00CC5AD5" w:rsidP="00CC5AD5">
      <w:pPr>
        <w:pStyle w:val="Bibliography"/>
      </w:pPr>
      <w:r>
        <w:t>Cirri, E., Pohnert, G., 2019. Algae−bacteria interactions that balance the planktonic microbiome. New Phytol. 223, 100–106. https://doi.org/10.1111/nph.15765</w:t>
      </w:r>
    </w:p>
    <w:p w14:paraId="3039E3DB" w14:textId="77777777" w:rsidR="00CC5AD5" w:rsidRDefault="00CC5AD5" w:rsidP="00CC5AD5">
      <w:pPr>
        <w:pStyle w:val="Bibliography"/>
      </w:pPr>
      <w:r>
        <w:t>Conteratto, C., Artuzo, F.D., Benedetti Santos, O.I., Talamini, E., 2021. Biorefinery: A comprehensive concept for the sociotechnical transition toward bioeconomy. Renewable and Sustainable Energy Reviews 151, 111527. https://doi.org/10.1016/j.rser.2021.111527</w:t>
      </w:r>
    </w:p>
    <w:p w14:paraId="37E716DC" w14:textId="77777777" w:rsidR="00CC5AD5" w:rsidRDefault="00CC5AD5" w:rsidP="00CC5AD5">
      <w:pPr>
        <w:pStyle w:val="Bibliography"/>
      </w:pPr>
      <w:r>
        <w:t>Cooper, M.B., Kazamia, E., Helliwell, K.E., Kudahl, U.J., Sayer, A., Wheeler, G.L., Smith, A.G., 2019. Cross-exchange of B-vitamins underpins a mutualistic interaction between Ostreococcus tauri and Dinoroseobacter shibae. ISME J. 13, 334–345. https://doi.org/10.1038/s41396-018-0274-y</w:t>
      </w:r>
    </w:p>
    <w:p w14:paraId="3764C8A5" w14:textId="77777777" w:rsidR="00CC5AD5" w:rsidRDefault="00CC5AD5" w:rsidP="00CC5AD5">
      <w:pPr>
        <w:pStyle w:val="Bibliography"/>
      </w:pPr>
      <w:r>
        <w:t>Cooper, M.B., Smith, A.G., 2015. Exploring mutualistic interactions between microalgae and bacteria in the omics age. Curr. Opin. Plant Biol. 26, 147–153. https://doi.org/10.1016/j.pbi.2015.07.003</w:t>
      </w:r>
    </w:p>
    <w:p w14:paraId="307229CD" w14:textId="77777777" w:rsidR="00CC5AD5" w:rsidRDefault="00CC5AD5" w:rsidP="00CC5AD5">
      <w:pPr>
        <w:pStyle w:val="Bibliography"/>
      </w:pPr>
      <w:r>
        <w:t>Coronado-Reyes, J.A., González-Hernández, J.C., 2023. Chapter 10 - Vitamins from microalgae, in: Jacob-Lopes, E., Queiroz, M.I., Maroneze, M.M., Zepka, L.Q. (Eds.), Handbook of Food and Feed from Microalgae. Academic Press, pp. 111–115. https://doi.org/10.1016/B978-0-323-99196-4.00026-7</w:t>
      </w:r>
    </w:p>
    <w:p w14:paraId="26BA585E" w14:textId="77777777" w:rsidR="00CC5AD5" w:rsidRDefault="00CC5AD5" w:rsidP="00CC5AD5">
      <w:pPr>
        <w:pStyle w:val="Bibliography"/>
      </w:pPr>
      <w:r>
        <w:t>Costas-Selas, C., Martínez-García, S., Pinhassi, J., Fernández, E., Teira, E., 2024. Unveiling interactions mediated by B vitamins between diatoms and their associated bacteria from cocultures. J. Phycol. n/a, 1–15. https://doi.org/10.1111/jpy.13515</w:t>
      </w:r>
    </w:p>
    <w:p w14:paraId="55DCDF25" w14:textId="77777777" w:rsidR="00CC5AD5" w:rsidRDefault="00CC5AD5" w:rsidP="00CC5AD5">
      <w:pPr>
        <w:pStyle w:val="Bibliography"/>
      </w:pPr>
      <w:r>
        <w:t>Croft, M.T., Lawrence, A.D., Raux-Deery, E., Warren, M.J., Smith, A.G., 2005. Algae acquire vitamin B12 through a symbiotic relationship with bacteria. Nature 438, 90–93. https://doi.org/10.1038/nature04056</w:t>
      </w:r>
    </w:p>
    <w:p w14:paraId="156975D8" w14:textId="77777777" w:rsidR="00CC5AD5" w:rsidRPr="005B6FAD" w:rsidRDefault="00CC5AD5" w:rsidP="00CC5AD5">
      <w:pPr>
        <w:pStyle w:val="Bibliography"/>
        <w:rPr>
          <w:lang w:val="fr-BE"/>
        </w:rPr>
      </w:pPr>
      <w:r>
        <w:t xml:space="preserve">Dai, C., Wang, F., 2024. Potential applications of microalgae–bacteria consortia in wastewater treatment and biorefinery. </w:t>
      </w:r>
      <w:proofErr w:type="spellStart"/>
      <w:r w:rsidRPr="005B6FAD">
        <w:rPr>
          <w:lang w:val="fr-BE"/>
        </w:rPr>
        <w:t>Bioresour</w:t>
      </w:r>
      <w:proofErr w:type="spellEnd"/>
      <w:r w:rsidRPr="005B6FAD">
        <w:rPr>
          <w:lang w:val="fr-BE"/>
        </w:rPr>
        <w:t xml:space="preserve">. </w:t>
      </w:r>
      <w:proofErr w:type="spellStart"/>
      <w:r w:rsidRPr="005B6FAD">
        <w:rPr>
          <w:lang w:val="fr-BE"/>
        </w:rPr>
        <w:t>Technol</w:t>
      </w:r>
      <w:proofErr w:type="spellEnd"/>
      <w:r w:rsidRPr="005B6FAD">
        <w:rPr>
          <w:lang w:val="fr-BE"/>
        </w:rPr>
        <w:t>. 393, 130019. https://doi.org/10.1016/j.biortech.2023.130019</w:t>
      </w:r>
    </w:p>
    <w:p w14:paraId="09DAAC6C" w14:textId="77777777" w:rsidR="00CC5AD5" w:rsidRDefault="00CC5AD5" w:rsidP="00CC5AD5">
      <w:pPr>
        <w:pStyle w:val="Bibliography"/>
      </w:pPr>
      <w:r w:rsidRPr="005B6FAD">
        <w:rPr>
          <w:lang w:val="fr-BE"/>
        </w:rPr>
        <w:t xml:space="preserve">Daly, G., </w:t>
      </w:r>
      <w:proofErr w:type="spellStart"/>
      <w:r w:rsidRPr="005B6FAD">
        <w:rPr>
          <w:lang w:val="fr-BE"/>
        </w:rPr>
        <w:t>Ghini</w:t>
      </w:r>
      <w:proofErr w:type="spellEnd"/>
      <w:r w:rsidRPr="005B6FAD">
        <w:rPr>
          <w:lang w:val="fr-BE"/>
        </w:rPr>
        <w:t xml:space="preserve">, V., </w:t>
      </w:r>
      <w:proofErr w:type="spellStart"/>
      <w:r w:rsidRPr="005B6FAD">
        <w:rPr>
          <w:lang w:val="fr-BE"/>
        </w:rPr>
        <w:t>Adessi</w:t>
      </w:r>
      <w:proofErr w:type="spellEnd"/>
      <w:r w:rsidRPr="005B6FAD">
        <w:rPr>
          <w:lang w:val="fr-BE"/>
        </w:rPr>
        <w:t xml:space="preserve">, A., </w:t>
      </w:r>
      <w:proofErr w:type="spellStart"/>
      <w:r w:rsidRPr="005B6FAD">
        <w:rPr>
          <w:lang w:val="fr-BE"/>
        </w:rPr>
        <w:t>Fondi</w:t>
      </w:r>
      <w:proofErr w:type="spellEnd"/>
      <w:r w:rsidRPr="005B6FAD">
        <w:rPr>
          <w:lang w:val="fr-BE"/>
        </w:rPr>
        <w:t xml:space="preserve">, M., </w:t>
      </w:r>
      <w:proofErr w:type="spellStart"/>
      <w:r w:rsidRPr="005B6FAD">
        <w:rPr>
          <w:lang w:val="fr-BE"/>
        </w:rPr>
        <w:t>Buchan</w:t>
      </w:r>
      <w:proofErr w:type="spellEnd"/>
      <w:r w:rsidRPr="005B6FAD">
        <w:rPr>
          <w:lang w:val="fr-BE"/>
        </w:rPr>
        <w:t xml:space="preserve">, A., Viti, C., 2022. </w:t>
      </w:r>
      <w:r>
        <w:t>Towards a mechanistic understanding of microalgae–bacteria interactions: integration of metabolomic analysis and computational models. FEMS Microbiol. Rev. 46, fuac020. https://doi.org/10.1093/femsre/fuac020</w:t>
      </w:r>
    </w:p>
    <w:p w14:paraId="2515739E" w14:textId="77777777" w:rsidR="00CC5AD5" w:rsidRDefault="00CC5AD5" w:rsidP="00CC5AD5">
      <w:pPr>
        <w:pStyle w:val="Bibliography"/>
      </w:pPr>
      <w:r>
        <w:t>Dangi, A.K., Sharma, B., Hill, R.T., Shukla, P., 2019. Bioremediation through microbes: systems biology and metabolic engineering approach. Crit. Rev. Biotechnol. https://doi.org/10.1080/07388551.2018.1500997</w:t>
      </w:r>
    </w:p>
    <w:p w14:paraId="430139B5" w14:textId="77777777" w:rsidR="00CC5AD5" w:rsidRDefault="00CC5AD5" w:rsidP="00CC5AD5">
      <w:pPr>
        <w:pStyle w:val="Bibliography"/>
      </w:pPr>
      <w:r>
        <w:t>de la Fuente, I., Manzano-Morales, S., Sanz, D., Prieto, A., Barriuso, J., 2024. Quorum sensing in bacteria: in silico protein analysis, ecophysiology, and reconstruction of their evolutionary history. BMC Genom. 25, 441. https://doi.org/10.1186/s12864-024-10355-6</w:t>
      </w:r>
    </w:p>
    <w:p w14:paraId="210FAF45" w14:textId="77777777" w:rsidR="00CC5AD5" w:rsidRDefault="00CC5AD5" w:rsidP="00CC5AD5">
      <w:pPr>
        <w:pStyle w:val="Bibliography"/>
      </w:pPr>
      <w:r>
        <w:t>de Morais, E.G., Sampaio, I.C.F., Gonzalez-Flo, E., Ferrer, I., Uggetti, E., García, J., 2023. Microalgae harvesting for wastewater treatment and resources recovery: A review. New Biotechnol. 78, 84–94. https://doi.org/10.1016/j.nbt.2023.10.002</w:t>
      </w:r>
    </w:p>
    <w:p w14:paraId="71C3ADB9" w14:textId="77777777" w:rsidR="00CC5AD5" w:rsidRDefault="00CC5AD5" w:rsidP="00CC5AD5">
      <w:pPr>
        <w:pStyle w:val="Bibliography"/>
      </w:pPr>
      <w:r>
        <w:lastRenderedPageBreak/>
        <w:t>de Vries, J., Archibald, J.M., 2018. Plant evolution: landmarks on the path to terrestrial life. New Phytol. 217, 1428–1434. https://doi.org/10.1111/nph.14975</w:t>
      </w:r>
    </w:p>
    <w:p w14:paraId="7AEC933B" w14:textId="77777777" w:rsidR="00CC5AD5" w:rsidRDefault="00CC5AD5" w:rsidP="00CC5AD5">
      <w:pPr>
        <w:pStyle w:val="Bibliography"/>
      </w:pPr>
      <w:r>
        <w:t>Del Mondo, A., Smerilli, A., Sané, E., Sansone, C., Brunet, C., 2020. Challenging microalgal vitamins for human health. Microbial Cell Factories 19, 201. https://doi.org/10.1186/s12934-020-01459-1</w:t>
      </w:r>
    </w:p>
    <w:p w14:paraId="60D9368B" w14:textId="77777777" w:rsidR="00CC5AD5" w:rsidRDefault="00CC5AD5" w:rsidP="00CC5AD5">
      <w:pPr>
        <w:pStyle w:val="Bibliography"/>
      </w:pPr>
      <w:r>
        <w:t>Deng, Y., Vallet, M., Pohnert, G., 2022. Temporal and Spatial Signaling Mediating the Balance of the Plankton Microbiome. Annu. Rev. Mar. Sci. 14, 239–260. https://doi.org/10.1146/annurev-marine-042021-012353</w:t>
      </w:r>
    </w:p>
    <w:p w14:paraId="080E52EF" w14:textId="77777777" w:rsidR="00CC5AD5" w:rsidRDefault="00CC5AD5" w:rsidP="00CC5AD5">
      <w:pPr>
        <w:pStyle w:val="Bibliography"/>
      </w:pPr>
      <w:r>
        <w:t>Deng, Y., Yu, R., Grabe, V., Sommermann, T., Werner, M., Vallet, M., Zerfaß, C., Werz, O., Pohnert, G., 2024. Bacteria modulate microalgal aging physiology through the induction of extracellular vesicle production to remove harmful metabolites. Nat. Microbiol. 9, 2356–2368. https://doi.org/10.1038/s41564-024-01746-2</w:t>
      </w:r>
    </w:p>
    <w:p w14:paraId="28904589" w14:textId="77777777" w:rsidR="00CC5AD5" w:rsidRDefault="00CC5AD5" w:rsidP="00CC5AD5">
      <w:pPr>
        <w:pStyle w:val="Bibliography"/>
      </w:pPr>
      <w:r>
        <w:t>Di Costanzo, F., Di Dato, V., Romano, G., 2023. Diatom–Bacteria Interactions in the Marine Environment: Complexity, Heterogeneity, and Potential for Biotechnological Applications. Microorganisms 11, 2967. https://doi.org/10.3390/microorganisms11122967</w:t>
      </w:r>
    </w:p>
    <w:p w14:paraId="41C860C7" w14:textId="77777777" w:rsidR="00CC5AD5" w:rsidRDefault="00CC5AD5" w:rsidP="00CC5AD5">
      <w:pPr>
        <w:pStyle w:val="Bibliography"/>
      </w:pPr>
      <w:r>
        <w:t xml:space="preserve">Dittmann, K.K., Sonnenschein, E.C., Egan, S., Gram, L., Bentzon-Tilia, M., 2019. Impact of </w:t>
      </w:r>
      <w:r>
        <w:rPr>
          <w:i/>
          <w:iCs/>
        </w:rPr>
        <w:t>Phaeobacter inhibens</w:t>
      </w:r>
      <w:r>
        <w:t xml:space="preserve"> on marine eukaryote-associated microbial communities. Environ. Microbiol. Rep. 11, 401–413. https://doi.org/10.1111/1758-2229.12698</w:t>
      </w:r>
    </w:p>
    <w:p w14:paraId="3F357B20" w14:textId="77777777" w:rsidR="00CC5AD5" w:rsidRDefault="00CC5AD5" w:rsidP="00CC5AD5">
      <w:pPr>
        <w:pStyle w:val="Bibliography"/>
      </w:pPr>
      <w:r>
        <w:t>Dow, L., 2021. How Do Quorum-Sensing Signals Mediate Algae–Bacteria Interactions? Microorganisms 9, 1391. https://doi.org/10.3390/microorganisms9071391</w:t>
      </w:r>
    </w:p>
    <w:p w14:paraId="01C14362" w14:textId="77777777" w:rsidR="00CC5AD5" w:rsidRDefault="00CC5AD5" w:rsidP="00CC5AD5">
      <w:pPr>
        <w:pStyle w:val="Bibliography"/>
      </w:pPr>
      <w:r>
        <w:t>Dow, L., Stock, F., Peltekis, A., Szamosvári, D., Prothiwa, M., Lapointe, A., Böttcher, T., Bailleul, B., Vyverman, W., Kroth, P.G., Lepetit, B., 2020. The Multifaceted Inhibitory Effects of an Alkylquinolone on the Diatom Phaeodactylum tricornutum. ChemBioChem 21, 1206–1216. https://doi.org/10.1002/cbic.201900612</w:t>
      </w:r>
    </w:p>
    <w:p w14:paraId="6E42C863" w14:textId="77777777" w:rsidR="00CC5AD5" w:rsidRDefault="00CC5AD5" w:rsidP="00CC5AD5">
      <w:pPr>
        <w:pStyle w:val="Bibliography"/>
      </w:pPr>
      <w:r>
        <w:t>Drew, G.C., Stevens, E.J., King, K.C., 2021. Microbial evolution and transitions along the parasite–mutualist continuum. Nat. Rev. Microbiol. 19, 623–638. https://doi.org/10.1038/s41579-021-00550-7</w:t>
      </w:r>
    </w:p>
    <w:p w14:paraId="130E6A3E" w14:textId="77777777" w:rsidR="00CC5AD5" w:rsidRDefault="00CC5AD5" w:rsidP="00CC5AD5">
      <w:pPr>
        <w:pStyle w:val="Bibliography"/>
      </w:pPr>
      <w:r>
        <w:t>Durham, B.P., Sharma, S., Luo, H., Smith, C.B., Amin, S.A., Bender, S.J., Dearth, S.P., Van Mooy, B.A.S., Campagna, S.R., Kujawinski, E.B., Armbrust, E.V., Moran, M.A., 2015. Cryptic carbon and sulfur cycling between surface ocean plankton. Proc. Natl. Acad. Sci. U.S.A. 112, 453–457. https://doi.org/10.1073/pnas.1413137112</w:t>
      </w:r>
    </w:p>
    <w:p w14:paraId="2B0E82B3" w14:textId="77777777" w:rsidR="00CC5AD5" w:rsidRDefault="00CC5AD5" w:rsidP="00CC5AD5">
      <w:pPr>
        <w:pStyle w:val="Bibliography"/>
      </w:pPr>
      <w:r>
        <w:t>Eheneden, I., Wang, R., Zhao, J., 2023. Antibiotic removal by microalgae-bacteria consortium: Metabolic pathways and microbial responses. Sci. Total Environ. 891, 164489. https://doi.org/10.1016/j.scitotenv.2023.164489</w:t>
      </w:r>
    </w:p>
    <w:p w14:paraId="66B8CD04" w14:textId="77777777" w:rsidR="00CC5AD5" w:rsidRPr="005B6FAD" w:rsidRDefault="00CC5AD5" w:rsidP="00CC5AD5">
      <w:pPr>
        <w:pStyle w:val="Bibliography"/>
        <w:rPr>
          <w:lang w:val="fr-BE"/>
        </w:rPr>
      </w:pPr>
      <w:r>
        <w:t xml:space="preserve">Eiler, A., Heinrich, F., Bertilsson, S., 2012. Coherent dynamics and association networks among lake bacterioplankton taxa. </w:t>
      </w:r>
      <w:r w:rsidRPr="005B6FAD">
        <w:rPr>
          <w:lang w:val="fr-BE"/>
        </w:rPr>
        <w:t>ISME J. 6, 330–342. https://doi.org/10.1038/ismej.2011.113</w:t>
      </w:r>
    </w:p>
    <w:p w14:paraId="5A9DF0F0" w14:textId="77777777" w:rsidR="00CC5AD5" w:rsidRDefault="00CC5AD5" w:rsidP="00CC5AD5">
      <w:pPr>
        <w:pStyle w:val="Bibliography"/>
      </w:pPr>
      <w:r w:rsidRPr="005B6FAD">
        <w:rPr>
          <w:lang w:val="fr-BE"/>
        </w:rPr>
        <w:t xml:space="preserve">Enders, T.A., </w:t>
      </w:r>
      <w:proofErr w:type="spellStart"/>
      <w:r w:rsidRPr="005B6FAD">
        <w:rPr>
          <w:lang w:val="fr-BE"/>
        </w:rPr>
        <w:t>Strader</w:t>
      </w:r>
      <w:proofErr w:type="spellEnd"/>
      <w:r w:rsidRPr="005B6FAD">
        <w:rPr>
          <w:lang w:val="fr-BE"/>
        </w:rPr>
        <w:t xml:space="preserve">, L.C., 2015. </w:t>
      </w:r>
      <w:r>
        <w:t>Auxin Activity: Past, present, and Future. Am. J. Bot. 102, 180–196. https://doi.org/10.3732/ajb.1400285</w:t>
      </w:r>
    </w:p>
    <w:p w14:paraId="783102E6" w14:textId="77777777" w:rsidR="00CC5AD5" w:rsidRDefault="00CC5AD5" w:rsidP="00CC5AD5">
      <w:pPr>
        <w:pStyle w:val="Bibliography"/>
      </w:pPr>
      <w:r>
        <w:lastRenderedPageBreak/>
        <w:t>Etesami, H., Glick, B.R., 2024. Bacterial indole-3-acetic acid: A key regulator for plant growth, plant-microbe interactions, and agricultural adaptive resilience. Microbiol. Res. 281, 127602. https://doi.org/10.1016/j.micres.2024.127602</w:t>
      </w:r>
    </w:p>
    <w:p w14:paraId="0B4917FC" w14:textId="77777777" w:rsidR="00CC5AD5" w:rsidRDefault="00CC5AD5" w:rsidP="00CC5AD5">
      <w:pPr>
        <w:pStyle w:val="Bibliography"/>
      </w:pPr>
      <w:r>
        <w:t xml:space="preserve">Fang, J., Sun, Y., Zhu, Z., Li, J., Cheng, P., Agathos, S.N., Fu, Y., Zhang, L., Zhou, C., Han, J., 2024. Algae-bacteria consortia promotes the cell growth of marine microalgae </w:t>
      </w:r>
      <w:r>
        <w:rPr>
          <w:i/>
          <w:iCs/>
        </w:rPr>
        <w:t>Phaeodactylum tricornutum</w:t>
      </w:r>
      <w:r>
        <w:t xml:space="preserve"> and </w:t>
      </w:r>
      <w:r>
        <w:rPr>
          <w:i/>
          <w:iCs/>
        </w:rPr>
        <w:t>Chrysotila roscoffensis</w:t>
      </w:r>
      <w:r>
        <w:t>. Algal Res. 80, 103535. https://doi.org/10.1016/j.algal.2024.103535</w:t>
      </w:r>
    </w:p>
    <w:p w14:paraId="0E29DDB7" w14:textId="77777777" w:rsidR="00CC5AD5" w:rsidRDefault="00CC5AD5" w:rsidP="00CC5AD5">
      <w:pPr>
        <w:pStyle w:val="Bibliography"/>
      </w:pPr>
      <w:r>
        <w:t>Fei, C., Ochsenkühn, M.A., Shibl, A.A., Isaac, A., Wang, C., Amin, S.A., 2020. Quorum sensing regulates ‘swim-or-stick’ lifestyle in the phycosphere. Environ. Microbiol. 22, 4761–4778. https://doi.org/10.1111/1462-2920.15228</w:t>
      </w:r>
    </w:p>
    <w:p w14:paraId="772B6DAC" w14:textId="77777777" w:rsidR="00CC5AD5" w:rsidRDefault="00CC5AD5" w:rsidP="00CC5AD5">
      <w:pPr>
        <w:pStyle w:val="Bibliography"/>
      </w:pPr>
      <w:r>
        <w:t>Fisher, C.L., Fong, M.V., Lane, P.D., Carlson, S., Lane, T.W., 2023. Storage and Algal Association of Bacteria That Protect Microchloropsis salina from Grazing by Brachionus plicatilis. Microorganisms 11, 786. https://doi.org/10.3390/microorganisms11030786</w:t>
      </w:r>
    </w:p>
    <w:p w14:paraId="581B6887" w14:textId="77777777" w:rsidR="00CC5AD5" w:rsidRDefault="00CC5AD5" w:rsidP="00CC5AD5">
      <w:pPr>
        <w:pStyle w:val="Bibliography"/>
      </w:pPr>
      <w:r>
        <w:t>Flores, D.C., Hotter, V., Vuong, T., Hou, Y., Bando, Y., Scherlach, K., Burgunter-Delamare, B., Hermenau, R., Komor, A.J., Aiyar, P., Rose, M., Sasso, S., Arndt, H.-D., Hertweck, C., Mittag, M., 2024. A mutualistic bacterium rescues a green alga from an antagonist. Proc. Natl. Acad. Sci. U.S.A. 121, e2401632121. https://doi.org/10.1073/pnas.2401632121</w:t>
      </w:r>
    </w:p>
    <w:p w14:paraId="2E85E56D" w14:textId="77777777" w:rsidR="00CC5AD5" w:rsidRDefault="00CC5AD5" w:rsidP="00CC5AD5">
      <w:pPr>
        <w:pStyle w:val="Bibliography"/>
      </w:pPr>
      <w:r w:rsidRPr="005B6FAD">
        <w:rPr>
          <w:lang w:val="fr-BE"/>
        </w:rPr>
        <w:t xml:space="preserve">Fuentes, J.L., </w:t>
      </w:r>
      <w:proofErr w:type="spellStart"/>
      <w:r w:rsidRPr="005B6FAD">
        <w:rPr>
          <w:lang w:val="fr-BE"/>
        </w:rPr>
        <w:t>Garbayo</w:t>
      </w:r>
      <w:proofErr w:type="spellEnd"/>
      <w:r w:rsidRPr="005B6FAD">
        <w:rPr>
          <w:lang w:val="fr-BE"/>
        </w:rPr>
        <w:t xml:space="preserve">, I., </w:t>
      </w:r>
      <w:proofErr w:type="spellStart"/>
      <w:r w:rsidRPr="005B6FAD">
        <w:rPr>
          <w:lang w:val="fr-BE"/>
        </w:rPr>
        <w:t>Cuaresma</w:t>
      </w:r>
      <w:proofErr w:type="spellEnd"/>
      <w:r w:rsidRPr="005B6FAD">
        <w:rPr>
          <w:lang w:val="fr-BE"/>
        </w:rPr>
        <w:t>, M., Montero, Z., González-</w:t>
      </w:r>
      <w:proofErr w:type="spellStart"/>
      <w:r w:rsidRPr="005B6FAD">
        <w:rPr>
          <w:lang w:val="fr-BE"/>
        </w:rPr>
        <w:t>del</w:t>
      </w:r>
      <w:proofErr w:type="spellEnd"/>
      <w:r w:rsidRPr="005B6FAD">
        <w:rPr>
          <w:lang w:val="fr-BE"/>
        </w:rPr>
        <w:t xml:space="preserve">-Valle, M., </w:t>
      </w:r>
      <w:proofErr w:type="spellStart"/>
      <w:r w:rsidRPr="005B6FAD">
        <w:rPr>
          <w:lang w:val="fr-BE"/>
        </w:rPr>
        <w:t>Vílchez</w:t>
      </w:r>
      <w:proofErr w:type="spellEnd"/>
      <w:r w:rsidRPr="005B6FAD">
        <w:rPr>
          <w:lang w:val="fr-BE"/>
        </w:rPr>
        <w:t xml:space="preserve">, C., 2016. </w:t>
      </w:r>
      <w:r>
        <w:t>Impact of Microalgae-Bacteria Interactions on the Production of Algal Biomass and Associated Compounds. Mar. Drugs 14, 100. https://doi.org/10.3390/md14050100</w:t>
      </w:r>
    </w:p>
    <w:p w14:paraId="61BF4D07" w14:textId="77777777" w:rsidR="00CC5AD5" w:rsidRDefault="00CC5AD5" w:rsidP="00CC5AD5">
      <w:pPr>
        <w:pStyle w:val="Bibliography"/>
      </w:pPr>
      <w:r>
        <w:t>Galloway, W.R.J.D., Hodgkinson, J.T., Bowden, S., Welch, M., Spring, D.R., 2012. Applications of small molecule activators and inhibitors of quorum sensing in Gram-negative bacteria. Trends Microbiol. 20, 449–458. https://doi.org/10.1016/j.tim.2012.06.003</w:t>
      </w:r>
    </w:p>
    <w:p w14:paraId="02FAFBDC" w14:textId="77777777" w:rsidR="00CC5AD5" w:rsidRPr="005B6FAD" w:rsidRDefault="00CC5AD5" w:rsidP="00CC5AD5">
      <w:pPr>
        <w:pStyle w:val="Bibliography"/>
        <w:rPr>
          <w:lang w:val="fr-BE"/>
        </w:rPr>
      </w:pPr>
      <w:r>
        <w:t xml:space="preserve">Gao, X., Liu, C., Jing, X., Guo, M., Liu, K., Zhu, D., 2024. Microalgal-bacterial treatment of ice-cream wastewater to remove organic waste and harvest oil-rich biomass. </w:t>
      </w:r>
      <w:r w:rsidRPr="005B6FAD">
        <w:rPr>
          <w:lang w:val="fr-BE"/>
        </w:rPr>
        <w:t xml:space="preserve">Environ. </w:t>
      </w:r>
      <w:proofErr w:type="spellStart"/>
      <w:r w:rsidRPr="005B6FAD">
        <w:rPr>
          <w:lang w:val="fr-BE"/>
        </w:rPr>
        <w:t>Sci</w:t>
      </w:r>
      <w:proofErr w:type="spellEnd"/>
      <w:r w:rsidRPr="005B6FAD">
        <w:rPr>
          <w:lang w:val="fr-BE"/>
        </w:rPr>
        <w:t xml:space="preserve">. </w:t>
      </w:r>
      <w:proofErr w:type="spellStart"/>
      <w:r w:rsidRPr="005B6FAD">
        <w:rPr>
          <w:lang w:val="fr-BE"/>
        </w:rPr>
        <w:t>Pollut</w:t>
      </w:r>
      <w:proofErr w:type="spellEnd"/>
      <w:r w:rsidRPr="005B6FAD">
        <w:rPr>
          <w:lang w:val="fr-BE"/>
        </w:rPr>
        <w:t xml:space="preserve">. </w:t>
      </w:r>
      <w:proofErr w:type="spellStart"/>
      <w:r w:rsidRPr="005B6FAD">
        <w:rPr>
          <w:lang w:val="fr-BE"/>
        </w:rPr>
        <w:t>Res</w:t>
      </w:r>
      <w:proofErr w:type="spellEnd"/>
      <w:r w:rsidRPr="005B6FAD">
        <w:rPr>
          <w:lang w:val="fr-BE"/>
        </w:rPr>
        <w:t>. 31, 31646–31655. https://doi.org/10.1007/s11356-024-33472-x</w:t>
      </w:r>
    </w:p>
    <w:p w14:paraId="719CD320" w14:textId="77777777" w:rsidR="00CC5AD5" w:rsidRDefault="00CC5AD5" w:rsidP="00CC5AD5">
      <w:pPr>
        <w:pStyle w:val="Bibliography"/>
      </w:pPr>
      <w:r w:rsidRPr="005B6FAD">
        <w:rPr>
          <w:lang w:val="fr-BE"/>
        </w:rPr>
        <w:t xml:space="preserve">Garrett, O., </w:t>
      </w:r>
      <w:proofErr w:type="spellStart"/>
      <w:r w:rsidRPr="005B6FAD">
        <w:rPr>
          <w:lang w:val="fr-BE"/>
        </w:rPr>
        <w:t>Whalen</w:t>
      </w:r>
      <w:proofErr w:type="spellEnd"/>
      <w:r w:rsidRPr="005B6FAD">
        <w:rPr>
          <w:lang w:val="fr-BE"/>
        </w:rPr>
        <w:t xml:space="preserve">, K.E., 2023. </w:t>
      </w:r>
      <w:r>
        <w:t>A bacterial quorum sensing signal is a potent inhibitor of de novo pyrimidine biosynthesis in the globally abundant Emiliania huxleyi. Front. Microbiol. 14, 1266972. https://doi.org/10.3389/fmicb.2023.1266972</w:t>
      </w:r>
    </w:p>
    <w:p w14:paraId="285C7946" w14:textId="77777777" w:rsidR="00CC5AD5" w:rsidRPr="005B6FAD" w:rsidRDefault="00CC5AD5" w:rsidP="00CC5AD5">
      <w:pPr>
        <w:pStyle w:val="Bibliography"/>
        <w:rPr>
          <w:lang w:val="fr-BE"/>
        </w:rPr>
      </w:pPr>
      <w:r>
        <w:t xml:space="preserve">Geng, H., Tran-Gyamfi, M.B., Lane, T.W., Sale, K.L., Yu, E.T., 2016. Changes in the Structure of the Microbial Community Associated with Nannochloropsis salina following Treatments with Antibiotics and Bioactive Compounds. </w:t>
      </w:r>
      <w:r w:rsidRPr="005B6FAD">
        <w:rPr>
          <w:lang w:val="fr-BE"/>
        </w:rPr>
        <w:t xml:space="preserve">Front. </w:t>
      </w:r>
      <w:proofErr w:type="spellStart"/>
      <w:r w:rsidRPr="005B6FAD">
        <w:rPr>
          <w:lang w:val="fr-BE"/>
        </w:rPr>
        <w:t>Microbiol</w:t>
      </w:r>
      <w:proofErr w:type="spellEnd"/>
      <w:r w:rsidRPr="005B6FAD">
        <w:rPr>
          <w:lang w:val="fr-BE"/>
        </w:rPr>
        <w:t>. 7, 01155. https://doi.org/10.3389/fmicb.2016.01155</w:t>
      </w:r>
    </w:p>
    <w:p w14:paraId="7EA54C91" w14:textId="77777777" w:rsidR="00CC5AD5" w:rsidRPr="005B6FAD" w:rsidRDefault="00CC5AD5" w:rsidP="00CC5AD5">
      <w:pPr>
        <w:pStyle w:val="Bibliography"/>
        <w:rPr>
          <w:lang w:val="fr-BE"/>
        </w:rPr>
      </w:pPr>
      <w:r w:rsidRPr="005B6FAD">
        <w:rPr>
          <w:lang w:val="fr-BE"/>
        </w:rPr>
        <w:t xml:space="preserve">Gonçalves, M.A.L., </w:t>
      </w:r>
      <w:proofErr w:type="spellStart"/>
      <w:r w:rsidRPr="005B6FAD">
        <w:rPr>
          <w:lang w:val="fr-BE"/>
        </w:rPr>
        <w:t>López</w:t>
      </w:r>
      <w:proofErr w:type="spellEnd"/>
      <w:r w:rsidRPr="005B6FAD">
        <w:rPr>
          <w:lang w:val="fr-BE"/>
        </w:rPr>
        <w:t xml:space="preserve">-Vela, M., </w:t>
      </w:r>
      <w:proofErr w:type="spellStart"/>
      <w:r w:rsidRPr="005B6FAD">
        <w:rPr>
          <w:lang w:val="fr-BE"/>
        </w:rPr>
        <w:t>Palacios</w:t>
      </w:r>
      <w:proofErr w:type="spellEnd"/>
      <w:r w:rsidRPr="005B6FAD">
        <w:rPr>
          <w:lang w:val="fr-BE"/>
        </w:rPr>
        <w:t>-Espinosa, A., Romero-</w:t>
      </w:r>
      <w:proofErr w:type="spellStart"/>
      <w:r w:rsidRPr="005B6FAD">
        <w:rPr>
          <w:lang w:val="fr-BE"/>
        </w:rPr>
        <w:t>Bastidas</w:t>
      </w:r>
      <w:proofErr w:type="spellEnd"/>
      <w:r w:rsidRPr="005B6FAD">
        <w:rPr>
          <w:lang w:val="fr-BE"/>
        </w:rPr>
        <w:t xml:space="preserve">, M., Rojas-Contreras, M., </w:t>
      </w:r>
      <w:proofErr w:type="spellStart"/>
      <w:r w:rsidRPr="005B6FAD">
        <w:rPr>
          <w:lang w:val="fr-BE"/>
        </w:rPr>
        <w:t>Magallón-Servín</w:t>
      </w:r>
      <w:proofErr w:type="spellEnd"/>
      <w:r w:rsidRPr="005B6FAD">
        <w:rPr>
          <w:lang w:val="fr-BE"/>
        </w:rPr>
        <w:t xml:space="preserve">, P., 2024. </w:t>
      </w:r>
      <w:r>
        <w:t xml:space="preserve">Impact of </w:t>
      </w:r>
      <w:proofErr w:type="spellStart"/>
      <w:r>
        <w:t>Phycosphere</w:t>
      </w:r>
      <w:proofErr w:type="spellEnd"/>
      <w:r>
        <w:t xml:space="preserve">-Isolated Marine Bacteria on Nutritional Value, Growth, and Nutrient Uptake of Co-Cultured Chaetoceros calcitrans. </w:t>
      </w:r>
      <w:proofErr w:type="spellStart"/>
      <w:r w:rsidRPr="005B6FAD">
        <w:rPr>
          <w:lang w:val="fr-BE"/>
        </w:rPr>
        <w:t>Resources</w:t>
      </w:r>
      <w:proofErr w:type="spellEnd"/>
      <w:r w:rsidRPr="005B6FAD">
        <w:rPr>
          <w:lang w:val="fr-BE"/>
        </w:rPr>
        <w:t xml:space="preserve"> 13, 116. https://doi.org/10.3390/resources13090116</w:t>
      </w:r>
    </w:p>
    <w:p w14:paraId="26774439" w14:textId="77777777" w:rsidR="00CC5AD5" w:rsidRDefault="00CC5AD5" w:rsidP="00CC5AD5">
      <w:pPr>
        <w:pStyle w:val="Bibliography"/>
      </w:pPr>
      <w:r w:rsidRPr="005B6FAD">
        <w:rPr>
          <w:lang w:val="fr-BE"/>
        </w:rPr>
        <w:t>González-González, L.M., de-</w:t>
      </w:r>
      <w:proofErr w:type="spellStart"/>
      <w:r w:rsidRPr="005B6FAD">
        <w:rPr>
          <w:lang w:val="fr-BE"/>
        </w:rPr>
        <w:t>Bashan</w:t>
      </w:r>
      <w:proofErr w:type="spellEnd"/>
      <w:r w:rsidRPr="005B6FAD">
        <w:rPr>
          <w:lang w:val="fr-BE"/>
        </w:rPr>
        <w:t xml:space="preserve">, L.E., 2021. </w:t>
      </w:r>
      <w:r>
        <w:t>Toward the Enhancement of Microalgal Metabolite Production through Microalgae–Bacteria Consortia. Biology (Basel) 10, 282. https://doi.org/10.3390/biology10040282</w:t>
      </w:r>
    </w:p>
    <w:p w14:paraId="488107C3" w14:textId="77777777" w:rsidR="00CC5AD5" w:rsidRDefault="00CC5AD5" w:rsidP="00CC5AD5">
      <w:pPr>
        <w:pStyle w:val="Bibliography"/>
      </w:pPr>
      <w:r>
        <w:lastRenderedPageBreak/>
        <w:t>González-Hernández, A.I., Scalschi, L., Vicedo, B., Marcos-Barbero, E.L., Morcuende, R., Camañes, G., 2022. Putrescine: A Key Metabolite Involved in Plant Development, Tolerance and Resistance Responses to Stress. Int. J. Mol. Sci. 23, 2971. https://doi.org/10.3390/ijms23062971</w:t>
      </w:r>
    </w:p>
    <w:p w14:paraId="1913A181" w14:textId="77777777" w:rsidR="00CC5AD5" w:rsidRDefault="00CC5AD5" w:rsidP="00CC5AD5">
      <w:pPr>
        <w:pStyle w:val="Bibliography"/>
      </w:pPr>
      <w:r>
        <w:t>González-Pérez, B.K., Rivas-Castillo, A.M., Valdez-Calderón, A., Gayosso-Morales, M.A., 2021. Microalgae as biostimulants: a new approach in agriculture. World J Microbiol Biotechnol 38, 4. https://doi.org/10.1007/s11274-021-03192-2</w:t>
      </w:r>
    </w:p>
    <w:p w14:paraId="2127874A" w14:textId="77777777" w:rsidR="00CC5AD5" w:rsidRDefault="00CC5AD5" w:rsidP="00CC5AD5">
      <w:pPr>
        <w:pStyle w:val="Bibliography"/>
      </w:pPr>
      <w:r>
        <w:t>Grant, M.A.A., Kazamia, E., Cicuta, P., Smith, A.G., 2014. Direct exchange of vitamin B12 is demonstrated by modelling the growth dynamics of algal–bacterial cocultures. ISME J. 8, 1418–1427. https://doi.org/10.1038/ismej.2014.9</w:t>
      </w:r>
    </w:p>
    <w:p w14:paraId="047DE8EB" w14:textId="77777777" w:rsidR="00CC5AD5" w:rsidRDefault="00CC5AD5" w:rsidP="00CC5AD5">
      <w:pPr>
        <w:pStyle w:val="Bibliography"/>
      </w:pPr>
      <w:r>
        <w:t>Gray, M.W., 2017. Lynn Margulis and the endosymbiont hypothesis: 50 years later. MBoC 28, 1285–1287. https://doi.org/10.1091/mbc.e16-07-0509</w:t>
      </w:r>
    </w:p>
    <w:p w14:paraId="6D5D3A56" w14:textId="77777777" w:rsidR="00CC5AD5" w:rsidRDefault="00CC5AD5" w:rsidP="00CC5AD5">
      <w:pPr>
        <w:pStyle w:val="Bibliography"/>
      </w:pPr>
      <w:r>
        <w:t>Guo, X., Boedicker, J.Q., 2016. The Contribution of High-Order Metabolic Interactions to the Global Activity of a Four-Species Microbial Community. PLOS Comput. Biol. 12, e1005079. https://doi.org/10.1371/journal.pcbi.1005079</w:t>
      </w:r>
    </w:p>
    <w:p w14:paraId="2C93F393" w14:textId="77777777" w:rsidR="00CC5AD5" w:rsidRDefault="00CC5AD5" w:rsidP="00CC5AD5">
      <w:pPr>
        <w:pStyle w:val="Bibliography"/>
      </w:pPr>
      <w:r>
        <w:t>Han, J., Zhang, L., Wang, S., Yang, G., Zhao, L., Pan, K., 2016. Co-culturing bacteria and microalgae in organic carbon containing medium. J. Biol. Res.-Thessalon. 23, 8. https://doi.org/10.1186/s40709-016-0047-6</w:t>
      </w:r>
    </w:p>
    <w:p w14:paraId="42F40B78" w14:textId="77777777" w:rsidR="00CC5AD5" w:rsidRDefault="00CC5AD5" w:rsidP="00CC5AD5">
      <w:pPr>
        <w:pStyle w:val="Bibliography"/>
      </w:pPr>
      <w:r>
        <w:t>Han, X., Zeng, H., Bartocci, P., Fantozzi, F., Yan, Y., 2018. Phytohormones and Effects on Growth and Metabolites of Microalgae: A Review. Fermentation 4, 25. https://doi.org/10.3390/fermentation4020025</w:t>
      </w:r>
    </w:p>
    <w:p w14:paraId="2768D5DC" w14:textId="77777777" w:rsidR="00CC5AD5" w:rsidRDefault="00CC5AD5" w:rsidP="00CC5AD5">
      <w:pPr>
        <w:pStyle w:val="Bibliography"/>
      </w:pPr>
      <w:r>
        <w:t>Hanson, A.D., Amthor, J.S., Sun, J., Niehaus, T.D., Gregory, J.F., Bruner, S.D., Ding, Y., 2018. Redesigning thiamin synthesis: Prospects and potential payoffs. Plant Sci., Synthetic Biology Meets Plant Metabolism 273, 92–99. https://doi.org/10.1016/j.plantsci.2018.01.019</w:t>
      </w:r>
    </w:p>
    <w:p w14:paraId="7BE11589" w14:textId="77777777" w:rsidR="00CC5AD5" w:rsidRPr="005B6FAD" w:rsidRDefault="00CC5AD5" w:rsidP="00CC5AD5">
      <w:pPr>
        <w:pStyle w:val="Bibliography"/>
        <w:rPr>
          <w:lang w:val="fr-BE"/>
        </w:rPr>
      </w:pPr>
      <w:r>
        <w:t xml:space="preserve">Henriksen, N.N.S.E., Lindqvist, L.L., Wibowo, M., Sonnenschein, E.C., Bentzon-Tilia, M., Gram, L., 2022. Role is in the eye of the beholder—the multiple functions of the antibacterial compound tropodithietic acid produced by marine </w:t>
      </w:r>
      <w:r>
        <w:rPr>
          <w:i/>
          <w:iCs/>
        </w:rPr>
        <w:t>Rhodobacteraceae</w:t>
      </w:r>
      <w:r>
        <w:t xml:space="preserve">. </w:t>
      </w:r>
      <w:r w:rsidRPr="005B6FAD">
        <w:rPr>
          <w:lang w:val="fr-BE"/>
        </w:rPr>
        <w:t xml:space="preserve">FEMS </w:t>
      </w:r>
      <w:proofErr w:type="spellStart"/>
      <w:r w:rsidRPr="005B6FAD">
        <w:rPr>
          <w:lang w:val="fr-BE"/>
        </w:rPr>
        <w:t>Microbiol</w:t>
      </w:r>
      <w:proofErr w:type="spellEnd"/>
      <w:r w:rsidRPr="005B6FAD">
        <w:rPr>
          <w:lang w:val="fr-BE"/>
        </w:rPr>
        <w:t xml:space="preserve">. </w:t>
      </w:r>
      <w:proofErr w:type="spellStart"/>
      <w:r w:rsidRPr="005B6FAD">
        <w:rPr>
          <w:lang w:val="fr-BE"/>
        </w:rPr>
        <w:t>Rev</w:t>
      </w:r>
      <w:proofErr w:type="spellEnd"/>
      <w:r w:rsidRPr="005B6FAD">
        <w:rPr>
          <w:lang w:val="fr-BE"/>
        </w:rPr>
        <w:t>. 46, fuac007. https://doi.org/10.1093/femsre/fuac007</w:t>
      </w:r>
    </w:p>
    <w:p w14:paraId="050426F4" w14:textId="77777777" w:rsidR="00CC5AD5" w:rsidRDefault="00CC5AD5" w:rsidP="00CC5AD5">
      <w:pPr>
        <w:pStyle w:val="Bibliography"/>
      </w:pPr>
      <w:proofErr w:type="spellStart"/>
      <w:r w:rsidRPr="005B6FAD">
        <w:rPr>
          <w:lang w:val="fr-BE"/>
        </w:rPr>
        <w:t>Hlihor</w:t>
      </w:r>
      <w:proofErr w:type="spellEnd"/>
      <w:r w:rsidRPr="005B6FAD">
        <w:rPr>
          <w:lang w:val="fr-BE"/>
        </w:rPr>
        <w:t xml:space="preserve">, R.M., </w:t>
      </w:r>
      <w:proofErr w:type="spellStart"/>
      <w:r w:rsidRPr="005B6FAD">
        <w:rPr>
          <w:lang w:val="fr-BE"/>
        </w:rPr>
        <w:t>Gavrilescu</w:t>
      </w:r>
      <w:proofErr w:type="spellEnd"/>
      <w:r w:rsidRPr="005B6FAD">
        <w:rPr>
          <w:lang w:val="fr-BE"/>
        </w:rPr>
        <w:t xml:space="preserve">, M., Tavares, T., Favier, L., </w:t>
      </w:r>
      <w:proofErr w:type="spellStart"/>
      <w:r w:rsidRPr="005B6FAD">
        <w:rPr>
          <w:lang w:val="fr-BE"/>
        </w:rPr>
        <w:t>Olivieri</w:t>
      </w:r>
      <w:proofErr w:type="spellEnd"/>
      <w:r w:rsidRPr="005B6FAD">
        <w:rPr>
          <w:lang w:val="fr-BE"/>
        </w:rPr>
        <w:t xml:space="preserve">, G., 2017. </w:t>
      </w:r>
      <w:r>
        <w:t>Bioremediation: An Overview on Current Practices, Advances, and New Perspectives in Environmental Pollution Treatment. Biomed Res. Int. 2017, 6327610. https://doi.org/10.1155/2017/6327610</w:t>
      </w:r>
    </w:p>
    <w:p w14:paraId="0B570DA0" w14:textId="77777777" w:rsidR="00CC5AD5" w:rsidRDefault="00CC5AD5" w:rsidP="00CC5AD5">
      <w:pPr>
        <w:pStyle w:val="Bibliography"/>
      </w:pPr>
      <w:r>
        <w:t xml:space="preserve">Hoeger, A.-L., Jehmlich, N., Kipping, L., Griehl, C., Noll, M., 2022. Associated bacterial microbiome responds opportunistic once algal host </w:t>
      </w:r>
      <w:r>
        <w:rPr>
          <w:i/>
          <w:iCs/>
        </w:rPr>
        <w:t>Scenedesmus vacuolatus</w:t>
      </w:r>
      <w:r>
        <w:t xml:space="preserve"> is attacked by endoparasite </w:t>
      </w:r>
      <w:r>
        <w:rPr>
          <w:i/>
          <w:iCs/>
        </w:rPr>
        <w:t>Amoeboaphelidium protococcarum</w:t>
      </w:r>
      <w:r>
        <w:t>. Sci. Rep. 12, 13187. https://doi.org/10.1038/s41598-022-17114-1</w:t>
      </w:r>
    </w:p>
    <w:p w14:paraId="25B26255" w14:textId="77777777" w:rsidR="00CC5AD5" w:rsidRDefault="00CC5AD5" w:rsidP="00CC5AD5">
      <w:pPr>
        <w:pStyle w:val="Bibliography"/>
      </w:pPr>
      <w:r>
        <w:t xml:space="preserve">Hu, Q., Hu, Z., Yan, X., Lu, J., Wang, C., 2024. Extracellular vesicles involved in growth regulation and metabolic modulation in </w:t>
      </w:r>
      <w:r>
        <w:rPr>
          <w:i/>
          <w:iCs/>
        </w:rPr>
        <w:t>Haematococcus pluvialis</w:t>
      </w:r>
      <w:r>
        <w:t>. Biotechnol. Biofuels Bioprod. 17, 15. https://doi.org/10.1186/s13068-024-02462-z</w:t>
      </w:r>
    </w:p>
    <w:p w14:paraId="47731AFD" w14:textId="77777777" w:rsidR="00CC5AD5" w:rsidRDefault="00CC5AD5" w:rsidP="00CC5AD5">
      <w:pPr>
        <w:pStyle w:val="Bibliography"/>
      </w:pPr>
      <w:r>
        <w:lastRenderedPageBreak/>
        <w:t>Huang, Y., Chen, Y., Zhang, L., 2020. The Roles of Microbial Cell-Cell Chemical Communication Systems in the Modulation of Antimicrobial Resistance. Antibiotics 9, 779. https://doi.org/10.3390/antibiotics9110779</w:t>
      </w:r>
    </w:p>
    <w:p w14:paraId="25DF3A06" w14:textId="77777777" w:rsidR="00CC5AD5" w:rsidRDefault="00CC5AD5" w:rsidP="00CC5AD5">
      <w:pPr>
        <w:pStyle w:val="Bibliography"/>
      </w:pPr>
      <w:r>
        <w:t>Ibrahim, T.N.B.T., Feisal, N.A.S., Kamaludin, N.H., Cheah, W.Y., How, V., Bhatnagar, A., Ma, Z., Show, P.L., 2023. Biological active metabolites from microalgae for healthcare and pharmaceutical industries: A comprehensive review. Bioresour. Technol. 372, 128661. https://doi.org/10.1016/j.biortech.2023.128661</w:t>
      </w:r>
    </w:p>
    <w:p w14:paraId="7FC1B10C" w14:textId="77777777" w:rsidR="00CC5AD5" w:rsidRDefault="00CC5AD5" w:rsidP="00CC5AD5">
      <w:pPr>
        <w:pStyle w:val="Bibliography"/>
      </w:pPr>
      <w:r>
        <w:t>Ji, X., Jiang, M., Zhang, J., Jiang, X., Zheng, Z., 2018. The interactions of algae-bacteria symbiotic system and its effects on nutrients removal from synthetic wastewater. Bioresour. Technol. 247, 44–50. https://doi.org/10.1016/j.biortech.2017.09.074</w:t>
      </w:r>
    </w:p>
    <w:p w14:paraId="44B21464" w14:textId="77777777" w:rsidR="00CC5AD5" w:rsidRDefault="00CC5AD5" w:rsidP="00CC5AD5">
      <w:pPr>
        <w:pStyle w:val="Bibliography"/>
      </w:pPr>
      <w:r>
        <w:t>Jia, J., Yao, J., Kong, J., Yu, A., Wei, J., Dong, Y., Song, R., Shan, D., Zhong, X., Lv, F., Fan, Q., She, G., 2023. 2,5-Diketopiperazines: A Review of Source, Synthesis, Bioactivity, Structure, and MS Fragmentation. Curr. Med. Chem. 30, 1060–1085. https://doi.org/10.2174/0929867329666220801143650</w:t>
      </w:r>
    </w:p>
    <w:p w14:paraId="7EC5240E" w14:textId="77777777" w:rsidR="00CC5AD5" w:rsidRDefault="00CC5AD5" w:rsidP="00CC5AD5">
      <w:pPr>
        <w:pStyle w:val="Bibliography"/>
      </w:pPr>
      <w:r>
        <w:t>Jiao, M., He, W., Ouyang, Z., Shi, Q., Wen, Y., 2022. Progress in structural and functional study of the bacterial phenylacetic acid catabolic pathway, its role in pathogenicity and antibiotic resistance. Front. Microbiol. 13, 964019. https://doi.org/10.3389/fmicb.2022.964019</w:t>
      </w:r>
    </w:p>
    <w:p w14:paraId="6C052438" w14:textId="77777777" w:rsidR="00CC5AD5" w:rsidRDefault="00CC5AD5" w:rsidP="00CC5AD5">
      <w:pPr>
        <w:pStyle w:val="Bibliography"/>
      </w:pPr>
      <w:r>
        <w:t>Johnson, R., Joel, J.M., Puthur, J.T., 2024. Biostimulants: The Futuristic Sustainable Approach for Alleviating Crop Productivity and Abiotic Stress Tolerance. J Plant Growth Regul 43, 659–674. https://doi.org/10.1007/s00344-023-11144-3</w:t>
      </w:r>
    </w:p>
    <w:p w14:paraId="1C4B715B" w14:textId="77777777" w:rsidR="00CC5AD5" w:rsidRDefault="00CC5AD5" w:rsidP="00CC5AD5">
      <w:pPr>
        <w:pStyle w:val="Bibliography"/>
      </w:pPr>
      <w:r>
        <w:t>Johnson, W.M., Alexander, H., Bier, R.L., Miller, D.R., Muscarella, M.E., Pitz, K.J., Smith, H., 2020. Auxotrophic interactions: a stabilizing attribute of aquatic microbial communities? FEMS Microbiol. Ecol. 96, fiaa115. https://doi.org/10.1093/femsec/fiaa115</w:t>
      </w:r>
    </w:p>
    <w:p w14:paraId="15487106" w14:textId="77777777" w:rsidR="00CC5AD5" w:rsidRDefault="00CC5AD5" w:rsidP="00CC5AD5">
      <w:pPr>
        <w:pStyle w:val="Bibliography"/>
      </w:pPr>
      <w:r>
        <w:t>Kadri, M.S., Singhania, R.R., Haldar, D., Patel, A.K., Bhatia, S.K., Saratale, G., Parameswaran, B., Chang, J.-S., 2023. Advances in Algomics technology: Application in wastewater treatment and biofuel production. Bioresour. Technol. 387, 129636. https://doi.org/10.1016/j.biortech.2023.129636</w:t>
      </w:r>
    </w:p>
    <w:p w14:paraId="1724B92A" w14:textId="77777777" w:rsidR="00CC5AD5" w:rsidRDefault="00CC5AD5" w:rsidP="00CC5AD5">
      <w:pPr>
        <w:pStyle w:val="Bibliography"/>
      </w:pPr>
      <w:r>
        <w:t>Kapoore, R.V., Padmaperuma, G., Maneein, S., Vaidyanathan, S., 2022. Co-culturing microbial consortia: approaches for applications in biomanufacturing and bioprocessing. Crit. Rev. Biotechnol. 42, 46–72. https://doi.org/10.1080/07388551.2021.1921691</w:t>
      </w:r>
    </w:p>
    <w:p w14:paraId="76E04CC2" w14:textId="77777777" w:rsidR="00CC5AD5" w:rsidRDefault="00CC5AD5" w:rsidP="00CC5AD5">
      <w:pPr>
        <w:pStyle w:val="Bibliography"/>
      </w:pPr>
      <w:r>
        <w:t>Kapoore, R.V., Wood, E.E., Llewellyn, C.A., 2021. Algae biostimulants: A critical look at microalgal biostimulants for sustainable agricultural practices. Biotechnol. Adv. 49, 107754. https://doi.org/10.1016/j.biotechadv.2021.107754</w:t>
      </w:r>
    </w:p>
    <w:p w14:paraId="15ED99C7" w14:textId="77777777" w:rsidR="00CC5AD5" w:rsidRDefault="00CC5AD5" w:rsidP="00CC5AD5">
      <w:pPr>
        <w:pStyle w:val="Bibliography"/>
      </w:pPr>
      <w:r>
        <w:t>Kaszecki, E., Palberg, D., Grant, M., Griffin, S., Dhanjal, C., Capperauld, M., Emery, R.J.N., Saville, B.J., 2024. Euglena mutabilis exists in a FAB consortium with microbes that enhance cadmium tolerance. Int. Microbiol. https://doi.org/10.1007/s10123-023-00474-7</w:t>
      </w:r>
    </w:p>
    <w:p w14:paraId="57311EF7" w14:textId="77777777" w:rsidR="00CC5AD5" w:rsidRDefault="00CC5AD5" w:rsidP="00CC5AD5">
      <w:pPr>
        <w:pStyle w:val="Bibliography"/>
      </w:pPr>
      <w:r>
        <w:t>Kazamia, E., Aldridge, D.C., Smith, A.G., 2012a. Synthetic ecology – A way forward for sustainable algal biofuel production? J. Biotechnol., Photosynthetic microorganisms for bio-fuel production from sun light 162, 163–169. https://doi.org/10.1016/j.jbiotec.2012.03.022</w:t>
      </w:r>
    </w:p>
    <w:p w14:paraId="127DC200" w14:textId="77777777" w:rsidR="00CC5AD5" w:rsidRPr="005B6FAD" w:rsidRDefault="00CC5AD5" w:rsidP="00CC5AD5">
      <w:pPr>
        <w:pStyle w:val="Bibliography"/>
        <w:rPr>
          <w:lang w:val="fr-BE"/>
        </w:rPr>
      </w:pPr>
      <w:r>
        <w:lastRenderedPageBreak/>
        <w:t xml:space="preserve">Kazamia, E., Czesnick, H., Nguyen, T.T.V., Croft, M.T., Sherwood, E., Sasso, S., Hodson, S.J., Warren, M.J., Smith, A.G., 2012b. Mutualistic interactions between vitamin B12-dependent algae and heterotrophic bacteria exhibit regulation. </w:t>
      </w:r>
      <w:r w:rsidRPr="005B6FAD">
        <w:rPr>
          <w:lang w:val="fr-BE"/>
        </w:rPr>
        <w:t xml:space="preserve">Environ. </w:t>
      </w:r>
      <w:proofErr w:type="spellStart"/>
      <w:r w:rsidRPr="005B6FAD">
        <w:rPr>
          <w:lang w:val="fr-BE"/>
        </w:rPr>
        <w:t>Microbiol</w:t>
      </w:r>
      <w:proofErr w:type="spellEnd"/>
      <w:r w:rsidRPr="005B6FAD">
        <w:rPr>
          <w:lang w:val="fr-BE"/>
        </w:rPr>
        <w:t>. 14, 1466–1476. https://doi.org/10.1111/j.1462-2920.2012.02733.x</w:t>
      </w:r>
    </w:p>
    <w:p w14:paraId="7D882C6C" w14:textId="77777777" w:rsidR="00CC5AD5" w:rsidRDefault="00CC5AD5" w:rsidP="00CC5AD5">
      <w:pPr>
        <w:pStyle w:val="Bibliography"/>
      </w:pPr>
      <w:r w:rsidRPr="005B6FAD">
        <w:rPr>
          <w:lang w:val="fr-BE"/>
        </w:rPr>
        <w:t xml:space="preserve">Keeling, P.J., 2010. </w:t>
      </w:r>
      <w:r>
        <w:t>The endosymbiotic origin, diversification and fate of plastids. Philos. Trans. R. Soc. B, Biol. Sci. 365, 729–748. https://doi.org/10.1098/rstb.2009.0103</w:t>
      </w:r>
    </w:p>
    <w:p w14:paraId="6C1D34CD" w14:textId="77777777" w:rsidR="00CC5AD5" w:rsidRDefault="00CC5AD5" w:rsidP="00CC5AD5">
      <w:pPr>
        <w:pStyle w:val="Bibliography"/>
      </w:pPr>
      <w:r>
        <w:t xml:space="preserve">Kim, B.-H., Ramanan, R., Cho, D.-H., Oh, H.-M., Kim, H.-S., 2014. Role of </w:t>
      </w:r>
      <w:r>
        <w:rPr>
          <w:i/>
          <w:iCs/>
        </w:rPr>
        <w:t>Rhizobium</w:t>
      </w:r>
      <w:r>
        <w:t>, a plant growth promoting bacterium, in enhancing algal biomass through mutualistic interaction. BIomass Bioenergy 69, 95–105. https://doi.org/10.1016/j.biombioe.2014.07.015</w:t>
      </w:r>
    </w:p>
    <w:p w14:paraId="377F8932" w14:textId="77777777" w:rsidR="00CC5AD5" w:rsidRDefault="00CC5AD5" w:rsidP="00CC5AD5">
      <w:pPr>
        <w:pStyle w:val="Bibliography"/>
      </w:pPr>
      <w:r>
        <w:t>Kim, K.H., Kim, J.M., Baek, J.H., Jeong, S.E., Kim, H., Yoon, H.S., Jeon, C.O., 2024. Metabolic relationships between marine red algae and algae-associated bacteria. Mar. Life Sci. Technol. 6, 298–314. https://doi.org/10.1007/s42995-024-00227-z</w:t>
      </w:r>
    </w:p>
    <w:p w14:paraId="32BF0C38" w14:textId="77777777" w:rsidR="00CC5AD5" w:rsidRDefault="00CC5AD5" w:rsidP="00CC5AD5">
      <w:pPr>
        <w:pStyle w:val="Bibliography"/>
      </w:pPr>
      <w:r>
        <w:t>Kong, W., Kong, J., Feng, S., Yang, T., Xu, L., Shen, B., Bi, Y., Lyu, H., 2024. Cultivation of microalgae–bacteria consortium by waste gas–waste water to achieve CO2 fixation, wastewater purification and bioproducts production. Biotechnol. Biofuels Bioprod. 17, 26. https://doi.org/10.1186/s13068-023-02409-w</w:t>
      </w:r>
    </w:p>
    <w:p w14:paraId="66449E01" w14:textId="77777777" w:rsidR="00CC5AD5" w:rsidRDefault="00CC5AD5" w:rsidP="00CC5AD5">
      <w:pPr>
        <w:pStyle w:val="Bibliography"/>
      </w:pPr>
      <w:r>
        <w:t>Kopta, T., Pavlíková, M., Sękara, A., Pokluda, R., Maršálek, B., 2018. Effect of Bacterial-algal Biostimulant on the Yield and Internal Quality of Lettuce (Lactuca sativa L.) Produced for Spring and Summer Crop. Notulae Botanicae Horti Agrobotanici Cluj-Napoca 46, 615–621. https://doi.org/10.15835/nbha46211110</w:t>
      </w:r>
    </w:p>
    <w:p w14:paraId="716E6826" w14:textId="77777777" w:rsidR="00CC5AD5" w:rsidRDefault="00CC5AD5" w:rsidP="00CC5AD5">
      <w:pPr>
        <w:pStyle w:val="Bibliography"/>
      </w:pPr>
      <w:r>
        <w:t>Kouzuma, A., Watanabe, K., 2015. Exploring the potential of algae/bacteria interactions. Curr. Opin. Biotechnol., Environmental biotechnology • Energy biotechnology 33, 125–129. https://doi.org/10.1016/j.copbio.2015.02.007</w:t>
      </w:r>
    </w:p>
    <w:p w14:paraId="339E6733" w14:textId="77777777" w:rsidR="00CC5AD5" w:rsidRDefault="00CC5AD5" w:rsidP="00CC5AD5">
      <w:pPr>
        <w:pStyle w:val="Bibliography"/>
      </w:pPr>
      <w:r>
        <w:t>Kowallik, K.V., Martin, W.F., 2021. The origin of symbiogenesis: An annotated English translation of Mereschkowsky’s 1910 paper on the theory of two plasma lineages. Biosystems 199, 104281. https://doi.org/10.1016/j.biosystems.2020.104281</w:t>
      </w:r>
    </w:p>
    <w:p w14:paraId="5EE9F0DC" w14:textId="77777777" w:rsidR="00CC5AD5" w:rsidRDefault="00CC5AD5" w:rsidP="00CC5AD5">
      <w:pPr>
        <w:pStyle w:val="Bibliography"/>
      </w:pPr>
      <w:r>
        <w:t>Kramer, J., Özkaya, Ö., Kümmerli, R., 2020. Bacterial siderophores in community and host interactions. Nat. Rev. Microbiol. 18, 152–163. https://doi.org/10.1038/s41579-019-0284-4</w:t>
      </w:r>
    </w:p>
    <w:p w14:paraId="4FC9FFE3" w14:textId="77777777" w:rsidR="00CC5AD5" w:rsidRDefault="00CC5AD5" w:rsidP="00CC5AD5">
      <w:pPr>
        <w:pStyle w:val="Bibliography"/>
      </w:pPr>
      <w:r>
        <w:t>Kumar, S.D., Devi, K.N., Krishnaveni, N., Santhanam, P., Perumal, P., Aravinth, A., 2024. Stimulator matters: an overview on stimulants used in microalgal culture for the growth and fatty acid enhancement. Biomass Conv. Bioref. 14, 7239–7253. https://doi.org/10.1007/s13399-022-03033-8</w:t>
      </w:r>
    </w:p>
    <w:p w14:paraId="136A8ABF" w14:textId="77777777" w:rsidR="00CC5AD5" w:rsidRDefault="00CC5AD5" w:rsidP="00CC5AD5">
      <w:pPr>
        <w:pStyle w:val="Bibliography"/>
      </w:pPr>
      <w:r>
        <w:t>Kurth, C., Wasmuth, I., Wichard, T., Pohnert, G., Nett, M., 2019. Algae induce siderophore biosynthesis in the freshwater bacterium Cupriavidus necator H16. Biometals 32, 77–88. https://doi.org/10.1007/s10534-018-0159-6</w:t>
      </w:r>
    </w:p>
    <w:p w14:paraId="79598EB6" w14:textId="77777777" w:rsidR="00CC5AD5" w:rsidRPr="005B6FAD" w:rsidRDefault="00CC5AD5" w:rsidP="00CC5AD5">
      <w:pPr>
        <w:pStyle w:val="Bibliography"/>
        <w:rPr>
          <w:lang w:val="fr-BE"/>
        </w:rPr>
      </w:pPr>
      <w:r>
        <w:t xml:space="preserve">Landa, M., Burns, A.S., Roth, S.J., Moran, M.A., 2017. Bacterial transcriptome remodeling during sequential co-culture with a marine dinoflagellate and diatom. </w:t>
      </w:r>
      <w:r w:rsidRPr="005B6FAD">
        <w:rPr>
          <w:lang w:val="fr-BE"/>
        </w:rPr>
        <w:t>ISME J. 11, 2677–2690. https://doi.org/10.1038/ismej.2017.117</w:t>
      </w:r>
    </w:p>
    <w:p w14:paraId="7BC4C756" w14:textId="77777777" w:rsidR="00CC5AD5" w:rsidRDefault="00CC5AD5" w:rsidP="00CC5AD5">
      <w:pPr>
        <w:pStyle w:val="Bibliography"/>
      </w:pPr>
      <w:proofErr w:type="spellStart"/>
      <w:r w:rsidRPr="005B6FAD">
        <w:rPr>
          <w:lang w:val="fr-BE"/>
        </w:rPr>
        <w:t>Leyva</w:t>
      </w:r>
      <w:proofErr w:type="spellEnd"/>
      <w:r w:rsidRPr="005B6FAD">
        <w:rPr>
          <w:lang w:val="fr-BE"/>
        </w:rPr>
        <w:t xml:space="preserve">, L.A., </w:t>
      </w:r>
      <w:proofErr w:type="spellStart"/>
      <w:r w:rsidRPr="005B6FAD">
        <w:rPr>
          <w:lang w:val="fr-BE"/>
        </w:rPr>
        <w:t>Bashan</w:t>
      </w:r>
      <w:proofErr w:type="spellEnd"/>
      <w:r w:rsidRPr="005B6FAD">
        <w:rPr>
          <w:lang w:val="fr-BE"/>
        </w:rPr>
        <w:t>, Y., Mendoza, A., de-</w:t>
      </w:r>
      <w:proofErr w:type="spellStart"/>
      <w:r w:rsidRPr="005B6FAD">
        <w:rPr>
          <w:lang w:val="fr-BE"/>
        </w:rPr>
        <w:t>Bashan</w:t>
      </w:r>
      <w:proofErr w:type="spellEnd"/>
      <w:r w:rsidRPr="005B6FAD">
        <w:rPr>
          <w:lang w:val="fr-BE"/>
        </w:rPr>
        <w:t xml:space="preserve">, L.E., 2014. </w:t>
      </w:r>
      <w:r>
        <w:t xml:space="preserve">Accumulation fatty acids in Chlorella vulgaris under heterotrophic conditions in relation to activity of acetyl-CoA </w:t>
      </w:r>
      <w:r>
        <w:lastRenderedPageBreak/>
        <w:t>carboxylase, temperature, and co-immobilization with Azospirillum brasilense. Naturwissenschaften 101, 819–830. https://doi.org/10.1007/s00114-014-1223-x</w:t>
      </w:r>
    </w:p>
    <w:p w14:paraId="47202BBF" w14:textId="77777777" w:rsidR="00CC5AD5" w:rsidRPr="005B6FAD" w:rsidRDefault="00CC5AD5" w:rsidP="00CC5AD5">
      <w:pPr>
        <w:pStyle w:val="Bibliography"/>
        <w:rPr>
          <w:lang w:val="fr-BE"/>
        </w:rPr>
      </w:pPr>
      <w:r>
        <w:t xml:space="preserve">Li, S., Li, X., Chang, H., Zhong, N., Ren, N., Ho, S.-H., 2023. Comprehensive insights into antibiotic resistance gene migration in microalgal-bacterial consortia: Mechanisms, factors, and perspectives. </w:t>
      </w:r>
      <w:proofErr w:type="spellStart"/>
      <w:r w:rsidRPr="005B6FAD">
        <w:rPr>
          <w:lang w:val="fr-BE"/>
        </w:rPr>
        <w:t>Sci</w:t>
      </w:r>
      <w:proofErr w:type="spellEnd"/>
      <w:r w:rsidRPr="005B6FAD">
        <w:rPr>
          <w:lang w:val="fr-BE"/>
        </w:rPr>
        <w:t>. Total Environ. 901, 166029. https://doi.org/10.1016/j.scitotenv.2023.166029</w:t>
      </w:r>
    </w:p>
    <w:p w14:paraId="383B21D1" w14:textId="77777777" w:rsidR="00CC5AD5" w:rsidRDefault="00CC5AD5" w:rsidP="00CC5AD5">
      <w:pPr>
        <w:pStyle w:val="Bibliography"/>
      </w:pPr>
      <w:r w:rsidRPr="005B6FAD">
        <w:rPr>
          <w:lang w:val="fr-BE"/>
        </w:rPr>
        <w:t xml:space="preserve">Li, S.-N., Zhang, C., Li, F., Ren, N.-Q., Ho, S.-H., 2023. </w:t>
      </w:r>
      <w:r>
        <w:t>Recent advances of algae-bacteria consortia in aquatic remediation. Crit. Rev. Environ. Sci. Technol. 53, 315–339. https://doi.org/10.1080/10643389.2022.2052704</w:t>
      </w:r>
    </w:p>
    <w:p w14:paraId="4F8D2A30" w14:textId="77777777" w:rsidR="00CC5AD5" w:rsidRDefault="00CC5AD5" w:rsidP="00CC5AD5">
      <w:pPr>
        <w:pStyle w:val="Bibliography"/>
      </w:pPr>
      <w:r>
        <w:t>Li, Y., Wang, Y., Lin, X., Sun, S., Wu, A., Ge, Y., Yuan, M., Wang, J., Deng, X., Tian, Y., 2024. Algicidal bacteria-derived membrane vesicles as shuttles mediating cross-kingdom interactions between bacteria and algae. Sci. Adv. 10, eadn4526. https://doi.org/10.1126/sciadv.adn4526</w:t>
      </w:r>
    </w:p>
    <w:p w14:paraId="7598566A" w14:textId="77777777" w:rsidR="00CC5AD5" w:rsidRPr="005B6FAD" w:rsidRDefault="00CC5AD5" w:rsidP="00CC5AD5">
      <w:pPr>
        <w:pStyle w:val="Bibliography"/>
        <w:rPr>
          <w:lang w:val="fr-BE"/>
        </w:rPr>
      </w:pPr>
      <w:r>
        <w:t xml:space="preserve">Lian, J., Wijffels, R.H., Smidt, H., Sipkema, D., 2018. The effect of the algal microbiome on industrial production of microalgae. </w:t>
      </w:r>
      <w:proofErr w:type="spellStart"/>
      <w:r w:rsidRPr="005B6FAD">
        <w:rPr>
          <w:lang w:val="fr-BE"/>
        </w:rPr>
        <w:t>Microbial</w:t>
      </w:r>
      <w:proofErr w:type="spellEnd"/>
      <w:r w:rsidRPr="005B6FAD">
        <w:rPr>
          <w:lang w:val="fr-BE"/>
        </w:rPr>
        <w:t xml:space="preserve"> </w:t>
      </w:r>
      <w:proofErr w:type="spellStart"/>
      <w:r w:rsidRPr="005B6FAD">
        <w:rPr>
          <w:lang w:val="fr-BE"/>
        </w:rPr>
        <w:t>Biotechnology</w:t>
      </w:r>
      <w:proofErr w:type="spellEnd"/>
      <w:r w:rsidRPr="005B6FAD">
        <w:rPr>
          <w:lang w:val="fr-BE"/>
        </w:rPr>
        <w:t xml:space="preserve"> 11, 806–818. https://doi.org/10.1111/1751-7915.13296</w:t>
      </w:r>
    </w:p>
    <w:p w14:paraId="70381EAF" w14:textId="77777777" w:rsidR="00CC5AD5" w:rsidRDefault="00CC5AD5" w:rsidP="00CC5AD5">
      <w:pPr>
        <w:pStyle w:val="Bibliography"/>
      </w:pPr>
      <w:r w:rsidRPr="005B6FAD">
        <w:rPr>
          <w:lang w:val="fr-BE"/>
        </w:rPr>
        <w:t xml:space="preserve">Liang, Y., Ma, A., Zhuang, G., 2022. </w:t>
      </w:r>
      <w:r>
        <w:t>Construction of Environmental Synthetic Microbial Consortia: Based on Engineering and Ecological Principles. Front. Microbiol. 13, 829717. https://doi.org/10.3389/fmicb.2022.829717</w:t>
      </w:r>
    </w:p>
    <w:p w14:paraId="33FE1B48" w14:textId="77777777" w:rsidR="00CC5AD5" w:rsidRDefault="00CC5AD5" w:rsidP="00CC5AD5">
      <w:pPr>
        <w:pStyle w:val="Bibliography"/>
      </w:pPr>
      <w:r>
        <w:t>Lin, H., Li, Y., Hill, R.T., 2022. Microalgal and bacterial auxin biosynthesis: implications for algal biotechnology. Curr. Opin. Biotechnol. 73, 300–307. https://doi.org/10.1016/j.copbio.2021.09.006</w:t>
      </w:r>
    </w:p>
    <w:p w14:paraId="36696ECD" w14:textId="77777777" w:rsidR="00CC5AD5" w:rsidRPr="005B6FAD" w:rsidRDefault="00CC5AD5" w:rsidP="00CC5AD5">
      <w:pPr>
        <w:pStyle w:val="Bibliography"/>
        <w:rPr>
          <w:lang w:val="fr-BE"/>
        </w:rPr>
      </w:pPr>
      <w:r>
        <w:t xml:space="preserve">Lin, H.-Y., Lin, H.-J., 2019. Polyamines in Microalgae: Something Borrowed, Something New. Mar. </w:t>
      </w:r>
      <w:proofErr w:type="spellStart"/>
      <w:r w:rsidRPr="005B6FAD">
        <w:rPr>
          <w:lang w:val="fr-BE"/>
        </w:rPr>
        <w:t>Drugs</w:t>
      </w:r>
      <w:proofErr w:type="spellEnd"/>
      <w:r w:rsidRPr="005B6FAD">
        <w:rPr>
          <w:lang w:val="fr-BE"/>
        </w:rPr>
        <w:t xml:space="preserve"> 17, 1. https://doi.org/10.3390/md17010001</w:t>
      </w:r>
    </w:p>
    <w:p w14:paraId="05CC798E" w14:textId="77777777" w:rsidR="00CC5AD5" w:rsidRPr="005B6FAD" w:rsidRDefault="00CC5AD5" w:rsidP="00CC5AD5">
      <w:pPr>
        <w:pStyle w:val="Bibliography"/>
        <w:rPr>
          <w:lang w:val="fr-BE"/>
        </w:rPr>
      </w:pPr>
      <w:r w:rsidRPr="005B6FAD">
        <w:rPr>
          <w:lang w:val="fr-BE"/>
        </w:rPr>
        <w:t xml:space="preserve">Liu, X., Xu, Q., Du, M., Yang, J., Lu, Q., Pan, M., Zhong, H., Wang, D., Ni, B.-J., 2023. </w:t>
      </w:r>
      <w:r>
        <w:t xml:space="preserve">Calcium peroxide mediated sustainable microalgal-bacterial consortium system: Role and significance of configured anaerobic fermentation. </w:t>
      </w:r>
      <w:proofErr w:type="spellStart"/>
      <w:r w:rsidRPr="005B6FAD">
        <w:rPr>
          <w:lang w:val="fr-BE"/>
        </w:rPr>
        <w:t>Chem</w:t>
      </w:r>
      <w:proofErr w:type="spellEnd"/>
      <w:r w:rsidRPr="005B6FAD">
        <w:rPr>
          <w:lang w:val="fr-BE"/>
        </w:rPr>
        <w:t>. Eng. J. 476, 146807. https://doi.org/10.1016/j.cej.2023.146807</w:t>
      </w:r>
    </w:p>
    <w:p w14:paraId="105FF037" w14:textId="77777777" w:rsidR="00CC5AD5" w:rsidRDefault="00CC5AD5" w:rsidP="00CC5AD5">
      <w:pPr>
        <w:pStyle w:val="Bibliography"/>
      </w:pPr>
      <w:proofErr w:type="spellStart"/>
      <w:r w:rsidRPr="005B6FAD">
        <w:rPr>
          <w:lang w:val="fr-BE"/>
        </w:rPr>
        <w:t>Llamas</w:t>
      </w:r>
      <w:proofErr w:type="spellEnd"/>
      <w:r w:rsidRPr="005B6FAD">
        <w:rPr>
          <w:lang w:val="fr-BE"/>
        </w:rPr>
        <w:t xml:space="preserve">, A., Leon-Miranda, E., </w:t>
      </w:r>
      <w:proofErr w:type="spellStart"/>
      <w:r w:rsidRPr="005B6FAD">
        <w:rPr>
          <w:lang w:val="fr-BE"/>
        </w:rPr>
        <w:t>Tejada</w:t>
      </w:r>
      <w:proofErr w:type="spellEnd"/>
      <w:r w:rsidRPr="005B6FAD">
        <w:rPr>
          <w:lang w:val="fr-BE"/>
        </w:rPr>
        <w:t xml:space="preserve">-Jimenez, M., 2023. </w:t>
      </w:r>
      <w:r>
        <w:t>Microalgal and Nitrogen-Fixing Bacterial Consortia: From Interaction to Biotechnological Potential. Plants 12, 2476. https://doi.org/10.3390/plants12132476</w:t>
      </w:r>
    </w:p>
    <w:p w14:paraId="4B8F273A" w14:textId="77777777" w:rsidR="00CC5AD5" w:rsidRDefault="00CC5AD5" w:rsidP="00CC5AD5">
      <w:pPr>
        <w:pStyle w:val="Bibliography"/>
      </w:pPr>
      <w:r>
        <w:t>López-García, P., Moreira, D., 2020. The Syntrophy hypothesis for the origin of eukaryotes revisited. Nat. Microbiol. 5, 655–667. https://doi.org/10.1038/s41564-020-0710-4</w:t>
      </w:r>
    </w:p>
    <w:p w14:paraId="4DE0AD38" w14:textId="77777777" w:rsidR="00CC5AD5" w:rsidRDefault="00CC5AD5" w:rsidP="00CC5AD5">
      <w:pPr>
        <w:pStyle w:val="Bibliography"/>
      </w:pPr>
      <w:r>
        <w:t>Lotfi, K., Salari-Moghaddam, A., Yousefinia, M., Larijani, B., Esmaillzadeh, A., 2021. Dietary intakes of monounsaturated fatty acids and risk of mortality from all causes, cardiovascular disease and cancer: A systematic review and dose-response meta-analysis of prospective cohort studies. Ageing Res. Rev. 72, 101467. https://doi.org/10.1016/j.arr.2021.101467</w:t>
      </w:r>
    </w:p>
    <w:p w14:paraId="3F620C52" w14:textId="77777777" w:rsidR="00CC5AD5" w:rsidRDefault="00CC5AD5" w:rsidP="00CC5AD5">
      <w:pPr>
        <w:pStyle w:val="Bibliography"/>
      </w:pPr>
      <w:r>
        <w:t>Lu, Y., Xu, J., 2015. Phytohormones in microalgae: a new opportunity for microalgal biotechnology? Trends Plant Sci. 20, 273–282. https://doi.org/10.1016/j.tplants.2015.01.006</w:t>
      </w:r>
    </w:p>
    <w:p w14:paraId="2F7F6A80" w14:textId="77777777" w:rsidR="00CC5AD5" w:rsidRDefault="00CC5AD5" w:rsidP="00CC5AD5">
      <w:pPr>
        <w:pStyle w:val="Bibliography"/>
      </w:pPr>
      <w:r>
        <w:lastRenderedPageBreak/>
        <w:t>Martin, N., Bernat, T., Dinasquet, J., Stofko, A., Damon, A., Deheyn, D.D., Azam, F., Smith, J.E., Davey, M.P., Smith, A.G., Vignolini, S., Wangpraseurt, D., 2021. Synthetic algal-bacteria consortia for space-efficient microalgal growth in a simple hydrogel system. J. Appl. Phycol. 33, 2805–2815. https://doi.org/10.1007/s10811-021-02528-7</w:t>
      </w:r>
    </w:p>
    <w:p w14:paraId="462579A1" w14:textId="77777777" w:rsidR="00CC5AD5" w:rsidRDefault="00CC5AD5" w:rsidP="00CC5AD5">
      <w:pPr>
        <w:pStyle w:val="Bibliography"/>
      </w:pPr>
      <w:r>
        <w:t>Matthews, J.L., Khalil, A., Siboni, N., Bougoure, J., Guagliardo, P., Kuzhiumparambil, U., DeMaere, M., Le Reun, N.M., Seymour, J.R., Suggett, D.J., Raina, J.-B., 2023. Coral endosymbiont growth is enhanced by metabolic interactions with bacteria. Nat. Commun. 14, 6864. https://doi.org/10.1038/s41467-023-42663-y</w:t>
      </w:r>
    </w:p>
    <w:p w14:paraId="26B7FA1E" w14:textId="77777777" w:rsidR="00CC5AD5" w:rsidRDefault="00CC5AD5" w:rsidP="00CC5AD5">
      <w:pPr>
        <w:pStyle w:val="Bibliography"/>
      </w:pPr>
      <w:r>
        <w:t xml:space="preserve">Mayali, X., Samo, T.J., Kimbrel, J.A., Morris, M.M., Rolison, K., Swink, C., Ramon, C., Kim, Y.-M., Munoz-Munoz, N., Nicora, C., Purvine, S., Lipton, M., Stuart, R.K., Weber, P.K., 2023. Single-cell isotope tracing reveals functional guilds of bacteria associated with the diatom </w:t>
      </w:r>
      <w:r>
        <w:rPr>
          <w:i/>
          <w:iCs/>
        </w:rPr>
        <w:t>Phaeodactylum tricornutum</w:t>
      </w:r>
      <w:r>
        <w:t>. Nat. Commun. 14, 5642. https://doi.org/10.1038/s41467-023-41179-9</w:t>
      </w:r>
    </w:p>
    <w:p w14:paraId="7B032890" w14:textId="77777777" w:rsidR="00CC5AD5" w:rsidRDefault="00CC5AD5" w:rsidP="00CC5AD5">
      <w:pPr>
        <w:pStyle w:val="Bibliography"/>
      </w:pPr>
      <w:r>
        <w:t>Meroz, N., Livny, T., Friedman, J., 2024. Quantifying microbial interactions: concepts, caveats, and applications. Curr. Opin. Microbiol. 80, 102511. https://doi.org/10.1016/j.mib.2024.102511</w:t>
      </w:r>
    </w:p>
    <w:p w14:paraId="43380A15" w14:textId="77777777" w:rsidR="00CC5AD5" w:rsidRDefault="00CC5AD5" w:rsidP="00CC5AD5">
      <w:pPr>
        <w:pStyle w:val="Bibliography"/>
      </w:pPr>
      <w:r>
        <w:t>Meyer, N., Bigalke, A., Kaulfuß, A., Pohnert, G., 2017. Strategies and ecological roles of algicidal bacteria. FEMS Microbiol. Rev. 41, 880–899. https://doi.org/10.1093/femsre/fux029</w:t>
      </w:r>
    </w:p>
    <w:p w14:paraId="57E7A583" w14:textId="77777777" w:rsidR="00CC5AD5" w:rsidRDefault="00CC5AD5" w:rsidP="00CC5AD5">
      <w:pPr>
        <w:pStyle w:val="Bibliography"/>
      </w:pPr>
      <w:r>
        <w:t>Mugnai, S., Derossi, N., Hendlin, Y., 2023. Algae communication, conspecific and interspecific: the concepts of phycosphere and algal-bacteria consortia in a photobioreactor (PBR). Plant Signal. Behav. 18, 2148371. https://doi.org/10.1080/15592324.2022.2148371</w:t>
      </w:r>
    </w:p>
    <w:p w14:paraId="6CC58348" w14:textId="77777777" w:rsidR="00CC5AD5" w:rsidRPr="005B6FAD" w:rsidRDefault="00CC5AD5" w:rsidP="00CC5AD5">
      <w:pPr>
        <w:pStyle w:val="Bibliography"/>
        <w:rPr>
          <w:lang w:val="fr-BE"/>
        </w:rPr>
      </w:pPr>
      <w:r>
        <w:t xml:space="preserve">Mukherjee, S., Bassler, B.L., 2019. Bacterial quorum sensing in complex and dynamically changing environments. </w:t>
      </w:r>
      <w:r w:rsidRPr="005B6FAD">
        <w:rPr>
          <w:lang w:val="fr-BE"/>
        </w:rPr>
        <w:t xml:space="preserve">Nat. </w:t>
      </w:r>
      <w:proofErr w:type="spellStart"/>
      <w:r w:rsidRPr="005B6FAD">
        <w:rPr>
          <w:lang w:val="fr-BE"/>
        </w:rPr>
        <w:t>Rev</w:t>
      </w:r>
      <w:proofErr w:type="spellEnd"/>
      <w:r w:rsidRPr="005B6FAD">
        <w:rPr>
          <w:lang w:val="fr-BE"/>
        </w:rPr>
        <w:t xml:space="preserve">. </w:t>
      </w:r>
      <w:proofErr w:type="spellStart"/>
      <w:r w:rsidRPr="005B6FAD">
        <w:rPr>
          <w:lang w:val="fr-BE"/>
        </w:rPr>
        <w:t>Microbiol</w:t>
      </w:r>
      <w:proofErr w:type="spellEnd"/>
      <w:r w:rsidRPr="005B6FAD">
        <w:rPr>
          <w:lang w:val="fr-BE"/>
        </w:rPr>
        <w:t>. 17, 371–382. https://doi.org/10.1038/s41579-019-0186-5</w:t>
      </w:r>
    </w:p>
    <w:p w14:paraId="704A4230" w14:textId="77777777" w:rsidR="00CC5AD5" w:rsidRPr="005B6FAD" w:rsidRDefault="00CC5AD5" w:rsidP="00CC5AD5">
      <w:pPr>
        <w:pStyle w:val="Bibliography"/>
        <w:rPr>
          <w:lang w:val="fr-BE"/>
        </w:rPr>
      </w:pPr>
      <w:proofErr w:type="spellStart"/>
      <w:r w:rsidRPr="005B6FAD">
        <w:rPr>
          <w:lang w:val="fr-BE"/>
        </w:rPr>
        <w:t>Muñoz</w:t>
      </w:r>
      <w:proofErr w:type="spellEnd"/>
      <w:r w:rsidRPr="005B6FAD">
        <w:rPr>
          <w:lang w:val="fr-BE"/>
        </w:rPr>
        <w:t xml:space="preserve">, C., Hidalgo, C., Zapata, M., </w:t>
      </w:r>
      <w:proofErr w:type="spellStart"/>
      <w:r w:rsidRPr="005B6FAD">
        <w:rPr>
          <w:lang w:val="fr-BE"/>
        </w:rPr>
        <w:t>Jeison</w:t>
      </w:r>
      <w:proofErr w:type="spellEnd"/>
      <w:r w:rsidRPr="005B6FAD">
        <w:rPr>
          <w:lang w:val="fr-BE"/>
        </w:rPr>
        <w:t xml:space="preserve">, D., </w:t>
      </w:r>
      <w:proofErr w:type="spellStart"/>
      <w:r w:rsidRPr="005B6FAD">
        <w:rPr>
          <w:lang w:val="fr-BE"/>
        </w:rPr>
        <w:t>Riquelme</w:t>
      </w:r>
      <w:proofErr w:type="spellEnd"/>
      <w:r w:rsidRPr="005B6FAD">
        <w:rPr>
          <w:lang w:val="fr-BE"/>
        </w:rPr>
        <w:t xml:space="preserve">, C., Rivas, M., 2014. </w:t>
      </w:r>
      <w:r>
        <w:t xml:space="preserve">Use of Cellulolytic Marine Bacteria for Enzymatic Pretreatment in Microalgal Biogas Production. </w:t>
      </w:r>
      <w:proofErr w:type="spellStart"/>
      <w:r w:rsidRPr="005B6FAD">
        <w:rPr>
          <w:lang w:val="fr-BE"/>
        </w:rPr>
        <w:t>Appl</w:t>
      </w:r>
      <w:proofErr w:type="spellEnd"/>
      <w:r w:rsidRPr="005B6FAD">
        <w:rPr>
          <w:lang w:val="fr-BE"/>
        </w:rPr>
        <w:t xml:space="preserve">. Environ. </w:t>
      </w:r>
      <w:proofErr w:type="spellStart"/>
      <w:r w:rsidRPr="005B6FAD">
        <w:rPr>
          <w:lang w:val="fr-BE"/>
        </w:rPr>
        <w:t>Microbiol</w:t>
      </w:r>
      <w:proofErr w:type="spellEnd"/>
      <w:r w:rsidRPr="005B6FAD">
        <w:rPr>
          <w:lang w:val="fr-BE"/>
        </w:rPr>
        <w:t>. 80, 4199–4206. https://doi.org/10.1128/AEM.00827-14</w:t>
      </w:r>
    </w:p>
    <w:p w14:paraId="6BDA0DF7" w14:textId="77777777" w:rsidR="00CC5AD5" w:rsidRDefault="00CC5AD5" w:rsidP="00CC5AD5">
      <w:pPr>
        <w:pStyle w:val="Bibliography"/>
      </w:pPr>
      <w:r w:rsidRPr="005B6FAD">
        <w:rPr>
          <w:lang w:val="fr-BE"/>
        </w:rPr>
        <w:t xml:space="preserve">Murphy, M.P., O’Neill, L.A.J., 2024. </w:t>
      </w:r>
      <w:r>
        <w:t>A break in mitochondrial endosymbiosis as a basis for inflammatory diseases. Nature 626, 271–279. https://doi.org/10.1038/s41586-023-06866-z</w:t>
      </w:r>
    </w:p>
    <w:p w14:paraId="2756B78A" w14:textId="77777777" w:rsidR="00CC5AD5" w:rsidRDefault="00CC5AD5" w:rsidP="00CC5AD5">
      <w:pPr>
        <w:pStyle w:val="Bibliography"/>
      </w:pPr>
      <w:r>
        <w:t>Nieves-Morión, M., Camargo, S., Bardi, S., Ruiz, M.T., Flores, E., Foster, R.A., 2023. Heterologous expression of genes from a cyanobacterial endosymbiont highlights substrate exchanges with its diatom host. PNAS Nexus 2, pgad194. https://doi.org/10.1093/pnasnexus/pgad194</w:t>
      </w:r>
    </w:p>
    <w:p w14:paraId="44CBF7E2" w14:textId="77777777" w:rsidR="00CC5AD5" w:rsidRDefault="00CC5AD5" w:rsidP="00CC5AD5">
      <w:pPr>
        <w:pStyle w:val="Bibliography"/>
      </w:pPr>
      <w:r>
        <w:t>Novoveská, L., Ross, M.E., Stanley, M.S., Pradelles, R., Wasiolek, V., Sassi, J.-F., 2019. Microalgal Carotenoids: A Review of Production, Current Markets, Regulations, and Future Direction. Mar. Drugs 17, 640. https://doi.org/10.3390/md17110640</w:t>
      </w:r>
    </w:p>
    <w:p w14:paraId="5FF16F44" w14:textId="77777777" w:rsidR="00CC5AD5" w:rsidRDefault="00CC5AD5" w:rsidP="00CC5AD5">
      <w:pPr>
        <w:pStyle w:val="Bibliography"/>
      </w:pPr>
      <w:r>
        <w:t xml:space="preserve">Obeng, N., Czerwinski, A., Schütz, D., Michels, J., Leipert, J., Bansept, F., García García, M.J., Schultheiß, T., Kemlein, M., Fuß, J., Tholey, A., Traulsen, A., Sondermann, H., </w:t>
      </w:r>
      <w:r>
        <w:lastRenderedPageBreak/>
        <w:t>Schulenburg, H., 2023. Bacterial c-di-GMP has a key role in establishing host–microbe symbiosis. Nat. Microbiol. 8, 1809–1819. https://doi.org/10.1038/s41564-023-01468-x</w:t>
      </w:r>
    </w:p>
    <w:p w14:paraId="4C467F8F" w14:textId="77777777" w:rsidR="00CC5AD5" w:rsidRDefault="00CC5AD5" w:rsidP="00CC5AD5">
      <w:pPr>
        <w:pStyle w:val="Bibliography"/>
      </w:pPr>
      <w:r>
        <w:t>Ogbonna, C.N., Nwoba, E.G., 2021. Bio-based flocculants for sustainable harvesting of microalgae for biofuel production. A review. Renew. Sustain. Energy Rev. 139, 110690. https://doi.org/10.1016/j.rser.2020.110690</w:t>
      </w:r>
    </w:p>
    <w:p w14:paraId="47987474" w14:textId="77777777" w:rsidR="00CC5AD5" w:rsidRDefault="00CC5AD5" w:rsidP="00CC5AD5">
      <w:pPr>
        <w:pStyle w:val="Bibliography"/>
      </w:pPr>
      <w:r>
        <w:t>Okeke, E.S., Ejeromedoghene, O., Okoye, C.O., Ezeorba, T.P.C., Nyaruaba, R., Ikechukwu, C.K., Oladipo, A., Orege, J.I., 2022. Microalgae biorefinery: An integrated route for the sustainable production of high-value-added products. Energy Convers. Manag.: X 16, 100323. https://doi.org/10.1016/j.ecmx.2022.100323</w:t>
      </w:r>
    </w:p>
    <w:p w14:paraId="3EB8685F" w14:textId="77777777" w:rsidR="00CC5AD5" w:rsidRDefault="00CC5AD5" w:rsidP="00CC5AD5">
      <w:pPr>
        <w:pStyle w:val="Bibliography"/>
      </w:pPr>
      <w:r>
        <w:t>Orozco-Mosqueda, M. del C., Santoyo, G., Glick, B.R., 2023. Recent Advances in the Bacterial Phytohormone Modulation of Plant Growth. Plants 12, 606. https://doi.org/10.3390/plants12030606</w:t>
      </w:r>
    </w:p>
    <w:p w14:paraId="4388E35F" w14:textId="77777777" w:rsidR="00CC5AD5" w:rsidRDefault="00CC5AD5" w:rsidP="00CC5AD5">
      <w:pPr>
        <w:pStyle w:val="Bibliography"/>
      </w:pPr>
      <w:r>
        <w:t>Oruganti, R.K., Katam, K., Show, P.L., Gadhamshetty, V., Upadhyayula, V.K.K., Bhattacharyya, D., 2022. A comprehensive review on the use of algal-bacterial systems for wastewater treatment with emphasis on nutrient and micropollutant removal. Bioengineered 13, 10412–10453. https://doi.org/10.1080/21655979.2022.2056823</w:t>
      </w:r>
    </w:p>
    <w:p w14:paraId="75878BB3" w14:textId="77777777" w:rsidR="00CC5AD5" w:rsidRDefault="00CC5AD5" w:rsidP="00CC5AD5">
      <w:pPr>
        <w:pStyle w:val="Bibliography"/>
      </w:pPr>
      <w:r>
        <w:t xml:space="preserve">Palacios, O.A., Gomez-Anduro, G., Bashan, Y., de-Bashan, L.E., 2016. Tryptophan, thiamine and indole-3-acetic acid exchange between </w:t>
      </w:r>
      <w:r>
        <w:rPr>
          <w:i/>
          <w:iCs/>
        </w:rPr>
        <w:t>Chlorella sorokiniana</w:t>
      </w:r>
      <w:r>
        <w:t xml:space="preserve"> and the plant growth-promoting bacterium </w:t>
      </w:r>
      <w:r>
        <w:rPr>
          <w:i/>
          <w:iCs/>
        </w:rPr>
        <w:t>Azospirillum brasilense</w:t>
      </w:r>
      <w:r>
        <w:t>. FEMS Microbiol. Ecol. 92, fiw077. https://doi.org/10.1093/femsec/fiw077</w:t>
      </w:r>
    </w:p>
    <w:p w14:paraId="6C074A36" w14:textId="77777777" w:rsidR="00CC5AD5" w:rsidRDefault="00CC5AD5" w:rsidP="00CC5AD5">
      <w:pPr>
        <w:pStyle w:val="Bibliography"/>
      </w:pPr>
      <w:r>
        <w:t>Papenfort, K., Bassler, B.L., 2016. Quorum sensing signal–response systems in Gram-negative bacteria. Nat Rev. Microbiol. 14, 576–588. https://doi.org/10.1038/nrmicro.2016.89</w:t>
      </w:r>
    </w:p>
    <w:p w14:paraId="6EB6E0F1" w14:textId="77777777" w:rsidR="00CC5AD5" w:rsidRDefault="00CC5AD5" w:rsidP="00CC5AD5">
      <w:pPr>
        <w:pStyle w:val="Bibliography"/>
      </w:pPr>
      <w:r>
        <w:t>Park, J.-D., Li, Y., Moon, K., Han, E.J., Lee, S.R., Seyedsayamdost, M.R., 2022. Structural Elucidation of Cryptic Algaecides in Marine Algal-Bacterial Symbioses by NMR Spectroscopy and MicroED. Angew. Chem. Int. Ed. 61, e202114022. https://doi.org/10.1002/anie.202114022</w:t>
      </w:r>
    </w:p>
    <w:p w14:paraId="78E069F8" w14:textId="77777777" w:rsidR="00CC5AD5" w:rsidRDefault="00CC5AD5" w:rsidP="00CC5AD5">
      <w:pPr>
        <w:pStyle w:val="Bibliography"/>
      </w:pPr>
      <w:r>
        <w:t>Parveen, S., Patidar, S.K., 2023. Bacterial quorum sensing precursors N-(3-Oxododecanoyl)-L-homoserine lactone &amp; N-(3-Hydroxyoctanoyl)-DL-homoserine lactone ameliorate algal biomass, lipids and fatty acids. Chem. Eng. J. 471, 144757. https://doi.org/10.1016/j.cej.2023.144757</w:t>
      </w:r>
    </w:p>
    <w:p w14:paraId="544E4900" w14:textId="77777777" w:rsidR="00CC5AD5" w:rsidRDefault="00CC5AD5" w:rsidP="00CC5AD5">
      <w:pPr>
        <w:pStyle w:val="Bibliography"/>
      </w:pPr>
      <w:r>
        <w:t>Paterna, A., Rao, E., Adamo, G., Raccosta, S., Picciotto, S., Romancino, D., Noto, R., Touzet, N., Bongiovanni, A., Manno, M., 2022. Isolation of Extracellular Vesicles From Microalgae: A Renewable and Scalable Bioprocess. Front. Bioeng. Biotechnol. 10, 836747. https://doi.org/10.3389/fbioe.2022.836747</w:t>
      </w:r>
    </w:p>
    <w:p w14:paraId="5A537338" w14:textId="77777777" w:rsidR="00CC5AD5" w:rsidRDefault="00CC5AD5" w:rsidP="00CC5AD5">
      <w:pPr>
        <w:pStyle w:val="Bibliography"/>
      </w:pPr>
      <w:r>
        <w:t>Peaudecerf, F.J., Bunbury, F., Bhardwaj, V., Bees, M.A., Smith, A.G., Goldstein, R.E., Croze, O.A., 2018. Microbial mutualism at a distance: The role of geometry in diffusive exchanges. Phys. Rev. E 97, 022411. https://doi.org/10.1103/PhysRevE.97.022411</w:t>
      </w:r>
    </w:p>
    <w:p w14:paraId="4E780C9A" w14:textId="77777777" w:rsidR="00CC5AD5" w:rsidRDefault="00CC5AD5" w:rsidP="00CC5AD5">
      <w:pPr>
        <w:pStyle w:val="Bibliography"/>
      </w:pPr>
      <w:r>
        <w:t>Pereira, J., Simões, M., Silva, J.L., 2019. Microalgal assimilation of vitamin B12 toward the production of a superfood. J. Food Biochem. 43, e12911. https://doi.org/10.1111/jfbc.12911</w:t>
      </w:r>
    </w:p>
    <w:p w14:paraId="6E8840F1" w14:textId="77777777" w:rsidR="00CC5AD5" w:rsidRDefault="00CC5AD5" w:rsidP="00CC5AD5">
      <w:pPr>
        <w:pStyle w:val="Bibliography"/>
      </w:pPr>
      <w:r>
        <w:lastRenderedPageBreak/>
        <w:t>Perera, I.A., Abinandan, S., Subashchandrabose, S.R., Venkateswarlu, K., Naidu, R., Megharaj, M., 2022. Combined inorganic nitrogen sources influence the release of extracellular compounds that drive mutualistic interactions in microalgal‒bacterial co-cultures. J. Appl. Phycol. 34, 1311–1322. https://doi.org/10.1007/s10811-022-02711-4</w:t>
      </w:r>
    </w:p>
    <w:p w14:paraId="7C3044F3" w14:textId="77777777" w:rsidR="00CC5AD5" w:rsidRDefault="00CC5AD5" w:rsidP="00CC5AD5">
      <w:pPr>
        <w:pStyle w:val="Bibliography"/>
      </w:pPr>
      <w:r>
        <w:t>Phyu, K., Zhi, S., Liang, J., Chang, C.-C., Liu, J., Cao, Y., Wang, H., Zhang, K., 2024. Microalgal-bacterial consortia for the treatment of livestock wastewater: Removal of pollutants, interaction mechanisms, influencing factors, and prospects for application. Environ. Pollut. 349, 123864. https://doi.org/10.1016/j.envpol.2024.123864</w:t>
      </w:r>
    </w:p>
    <w:p w14:paraId="62D21197" w14:textId="77777777" w:rsidR="00CC5AD5" w:rsidRDefault="00CC5AD5" w:rsidP="00CC5AD5">
      <w:pPr>
        <w:pStyle w:val="Bibliography"/>
      </w:pPr>
      <w:r>
        <w:t>Picciotto, S., Barone, M.E., Fierli, D., Aranyos, A., Adamo, G., Božič, D., Romancino, D.P., Stanly, C., Parkes, R., Morsbach, S., Raccosta, S., Paganini, C., Cusimano, A., Martorana, V., Noto, R., Carrotta, R., Librizzi, F., Palmiero, U.C., Santonicola, P., Iglič, A., Gai, M., Corcuera, L., Kisslinger, A., Schiavi, E.D., Landfester, K., Liguori, G.L., Kralj-Iglič, V., Arosio, P., Pocsfalvi, G., Manno, M., Touzet, N., Bongiovanni, A., 2021. Isolation of extracellular vesicles from microalgae: towards the production of sustainable and natural nanocarriers of bioactive compounds. Biomater. Sci. 9, 2917–2930. https://doi.org/10.1039/D0BM01696A</w:t>
      </w:r>
    </w:p>
    <w:p w14:paraId="2FF9BCAD" w14:textId="77777777" w:rsidR="00CC5AD5" w:rsidRDefault="00CC5AD5" w:rsidP="00CC5AD5">
      <w:pPr>
        <w:pStyle w:val="Bibliography"/>
      </w:pPr>
      <w:r>
        <w:t xml:space="preserve">Plettner, I., Steinke, M., Malin, G., 2005. Ethene (ethylene) production in the marine macroalga </w:t>
      </w:r>
      <w:r>
        <w:rPr>
          <w:i/>
          <w:iCs/>
        </w:rPr>
        <w:t>Ulva</w:t>
      </w:r>
      <w:r>
        <w:t xml:space="preserve"> (Enteromorpha) </w:t>
      </w:r>
      <w:r>
        <w:rPr>
          <w:i/>
          <w:iCs/>
        </w:rPr>
        <w:t>intestinalis</w:t>
      </w:r>
      <w:r>
        <w:t xml:space="preserve"> L. (Chlorophyta, Ulvophyceae): effect of light-stress and co-production with dimethyl sulphide. Plant Cell Environ. 28, 1136–1145. https://doi.org/10.1111/j.1365-3040.2005.01351.x</w:t>
      </w:r>
    </w:p>
    <w:p w14:paraId="1AC80521" w14:textId="77777777" w:rsidR="00CC5AD5" w:rsidRDefault="00CC5AD5" w:rsidP="00CC5AD5">
      <w:pPr>
        <w:pStyle w:val="Bibliography"/>
      </w:pPr>
      <w:r>
        <w:t>Prazdnova, E.V., Gorovtsov, A.V., Vasilchenko, N.G., Kulikov, M.P., Statsenko, V.N., Bogdanova, A.A., Refeld, A.G., Brislavskiy, Y.A., Chistyakov, V.A., Chikindas, M.L., 2022. Quorum-Sensing Inhibition by Gram-Positive Bacteria. Microorganisms 10, 350. https://doi.org/10.3390/microorganisms10020350</w:t>
      </w:r>
    </w:p>
    <w:p w14:paraId="06797305" w14:textId="77777777" w:rsidR="00CC5AD5" w:rsidRDefault="00CC5AD5" w:rsidP="00CC5AD5">
      <w:pPr>
        <w:pStyle w:val="Bibliography"/>
      </w:pPr>
      <w:r>
        <w:t>Pushpakumara, B.L.D.U., Tandon, K., Willis, A., Verbruggen, H., 2023. Unravelling microalgal-bacterial interactions in aquatic ecosystems through 16S rRNA gene-based co-occurrence networks. Sci. Rep. 13, 2743. https://doi.org/10.1038/s41598-023-27816-9</w:t>
      </w:r>
    </w:p>
    <w:p w14:paraId="7C3E4AD9" w14:textId="77777777" w:rsidR="00CC5AD5" w:rsidRDefault="00CC5AD5" w:rsidP="00CC5AD5">
      <w:pPr>
        <w:pStyle w:val="Bibliography"/>
      </w:pPr>
      <w:r>
        <w:t>Qiao, Z., Li, J., Qin, S., 2022. Bioactive Compounds for Quorum Sensing Signal-Response Systems in Marine Phycosphere. J. Mar. Sci. Eng. 10, 699. https://doi.org/10.3390/jmse10050699</w:t>
      </w:r>
    </w:p>
    <w:p w14:paraId="7CCA6455" w14:textId="77777777" w:rsidR="00CC5AD5" w:rsidRDefault="00CC5AD5" w:rsidP="00CC5AD5">
      <w:pPr>
        <w:pStyle w:val="Bibliography"/>
      </w:pPr>
      <w:r>
        <w:t>Raina, J.-B., Clode, P.L., Cheong, S., Bougoure, J., Kilburn, M.R., Reeder, A., Forêt, S., Stat, M., Beltran, V., Thomas-Hall, P., Tapiolas, D., Motti, C.M., Gong, B., Pernice, M., Marjo, C.E., Seymour, J.R., Willis, B.L., Bourne, D.G., 2017. Subcellular tracking reveals the location of dimethylsulfoniopropionate in microalgae and visualises its uptake by marine bacteria. eLife 6, e23008. https://doi.org/10.7554/eLife.23008</w:t>
      </w:r>
    </w:p>
    <w:p w14:paraId="7B781AAB" w14:textId="77777777" w:rsidR="00CC5AD5" w:rsidRDefault="00CC5AD5" w:rsidP="00CC5AD5">
      <w:pPr>
        <w:pStyle w:val="Bibliography"/>
      </w:pPr>
      <w:r>
        <w:t>Raina, J.-B., Eme, L., Pollock, F.J., Spang, A., Archibald, J.M., Williams, T.A., 2018. Symbiosis in the microbial world: from ecology to genome evolution. Biol. Open 7, bio032524. https://doi.org/10.1242/bio.032524</w:t>
      </w:r>
    </w:p>
    <w:p w14:paraId="49A413D2" w14:textId="77777777" w:rsidR="00CC5AD5" w:rsidRDefault="00CC5AD5" w:rsidP="00CC5AD5">
      <w:pPr>
        <w:pStyle w:val="Bibliography"/>
      </w:pPr>
      <w:r>
        <w:t>Ramanan, R., Kang, Z., Kim, B.-H., Cho, D.-H., Jin, L., Oh, H.-M., Kim, H.-S., 2015. Phycosphere bacterial diversity in green algae reveals an apparent similarity across habitats. Algal Res. 8, 140–144. https://doi.org/10.1016/j.algal.2015.02.003</w:t>
      </w:r>
    </w:p>
    <w:p w14:paraId="36994950" w14:textId="77777777" w:rsidR="00CC5AD5" w:rsidRDefault="00CC5AD5" w:rsidP="00CC5AD5">
      <w:pPr>
        <w:pStyle w:val="Bibliography"/>
      </w:pPr>
      <w:r>
        <w:lastRenderedPageBreak/>
        <w:t>Ramanan, R., Kim, B.-H., Cho, D.-H., Oh, H.-M., Kim, H.-S., 2016. Algae–bacteria interactions: Evolution, ecology and emerging applications. Biotechnol. Adv. 34, 14–29. https://doi.org/10.1016/j.biotechadv.2015.12.003</w:t>
      </w:r>
    </w:p>
    <w:p w14:paraId="319E5CBA" w14:textId="77777777" w:rsidR="00CC5AD5" w:rsidRDefault="00CC5AD5" w:rsidP="00CC5AD5">
      <w:pPr>
        <w:pStyle w:val="Bibliography"/>
      </w:pPr>
      <w:r>
        <w:t xml:space="preserve">Ridley, C.J.A., Day, J.G., Smith, A.G., 2018. Cryopreservation studies of an artificial co-culture between the cobalamin-requiring green alga Lobomonas rostrata and the bacterium </w:t>
      </w:r>
      <w:r>
        <w:rPr>
          <w:i/>
          <w:iCs/>
        </w:rPr>
        <w:t xml:space="preserve">Mesorhizobium loti </w:t>
      </w:r>
      <w:r>
        <w:t>. J. Appl. Phycol. 30, 995–1003. https://doi.org/10.1007/s10811-017-1270-8</w:t>
      </w:r>
    </w:p>
    <w:p w14:paraId="23581D2B" w14:textId="77777777" w:rsidR="00CC5AD5" w:rsidRDefault="00CC5AD5" w:rsidP="00CC5AD5">
      <w:pPr>
        <w:pStyle w:val="Bibliography"/>
      </w:pPr>
      <w:r>
        <w:t xml:space="preserve">Rivas, M.O., Vargas, P., Riquelme, C.E., 2010. Interactions of </w:t>
      </w:r>
      <w:r>
        <w:rPr>
          <w:i/>
          <w:iCs/>
        </w:rPr>
        <w:t>Botryococcus braunii</w:t>
      </w:r>
      <w:r>
        <w:t xml:space="preserve"> Cultures with Bacterial Biofilms. Microb. Ecol. 60, 628–635. https://doi.org/10.1007/s00248-010-9686-6</w:t>
      </w:r>
    </w:p>
    <w:p w14:paraId="0663CD0C" w14:textId="77777777" w:rsidR="00CC5AD5" w:rsidRDefault="00CC5AD5" w:rsidP="00CC5AD5">
      <w:pPr>
        <w:pStyle w:val="Bibliography"/>
      </w:pPr>
      <w:r>
        <w:t xml:space="preserve">Rose, M.M., Scheer, D., Hou, Y., Hotter, V.S., Komor, A.J., Aiyar, P., Scherlach, K., Vergara, F., Yan, Q., Loper, J.E., Jakob, T., Dam, N.M. van, Hertweck, C., Mittag, M., Sasso, S., 2021. The bacterium Pseudomonas protegens antagonizes the microalga </w:t>
      </w:r>
      <w:r>
        <w:rPr>
          <w:i/>
          <w:iCs/>
        </w:rPr>
        <w:t>Chlamydomonas reinhardtii</w:t>
      </w:r>
      <w:r>
        <w:t xml:space="preserve"> using a blend of toxins. Environ. Microbiol. 23, 5525–5540. https://doi.org/10.1111/1462-2920.15700</w:t>
      </w:r>
    </w:p>
    <w:p w14:paraId="3DBDF158" w14:textId="77777777" w:rsidR="00CC5AD5" w:rsidRDefault="00CC5AD5" w:rsidP="00CC5AD5">
      <w:pPr>
        <w:pStyle w:val="Bibliography"/>
      </w:pPr>
      <w:r>
        <w:t>Rouphael, Y., Colla, G., 2020. Editorial: Biostimulants in Agriculture. Front. Plant Sci. 11. https://doi.org/10.3389/fpls.2020.00040</w:t>
      </w:r>
    </w:p>
    <w:p w14:paraId="3AE08859" w14:textId="77777777" w:rsidR="00CC5AD5" w:rsidRDefault="00CC5AD5" w:rsidP="00CC5AD5">
      <w:pPr>
        <w:pStyle w:val="Bibliography"/>
      </w:pPr>
      <w:r>
        <w:t xml:space="preserve">Ruiz-Ruiz, P., Gómez-Borraz, T.L., Saldivar, A., Hernández, S., Morales-Ibarría, M., Revah, S., 2024. Diluted methane mitigation by a co-culture of alkaliphilic methanotrophs and the microalgae </w:t>
      </w:r>
      <w:r>
        <w:rPr>
          <w:i/>
          <w:iCs/>
        </w:rPr>
        <w:t>Scenedesmus obtusiusculus</w:t>
      </w:r>
      <w:r>
        <w:t xml:space="preserve"> towards carbon neutrality. Biochem. Eng. J. 203, 109211. https://doi.org/10.1016/j.bej.2023.109211</w:t>
      </w:r>
    </w:p>
    <w:p w14:paraId="52DB8DD5" w14:textId="77777777" w:rsidR="00CC5AD5" w:rsidRDefault="00CC5AD5" w:rsidP="00CC5AD5">
      <w:pPr>
        <w:pStyle w:val="Bibliography"/>
      </w:pPr>
      <w:r>
        <w:t>Sagan, L., 1967. On the origin of mitosing cells. J. Theor. Biol. 14, 255–274. https://doi.org/10.1016/0022-5193(67)90079-3</w:t>
      </w:r>
    </w:p>
    <w:p w14:paraId="4BDCF381" w14:textId="77777777" w:rsidR="00CC5AD5" w:rsidRDefault="00CC5AD5" w:rsidP="00CC5AD5">
      <w:pPr>
        <w:pStyle w:val="Bibliography"/>
      </w:pPr>
      <w:r>
        <w:t>Santo, É. do E., Ishii, M., Pinto, U.M., Matsudo, M.C., Carvalho, J.C.M. de, 2022. Obtaining Bioproducts from the Studies of Signals and Interactions between Microalgae and Bacteria. Microorganisms 10, 2029. https://doi.org/10.3390/microorganisms10102029</w:t>
      </w:r>
    </w:p>
    <w:p w14:paraId="76766E82" w14:textId="77777777" w:rsidR="00CC5AD5" w:rsidRDefault="00CC5AD5" w:rsidP="00CC5AD5">
      <w:pPr>
        <w:pStyle w:val="Bibliography"/>
      </w:pPr>
      <w:r>
        <w:t>Santos, C.A., Reis, A., 2014. Microalgal symbiosis in biotechnology. Appl. Microbiol. Biotechnol. 98, 5839–5846. https://doi.org/10.1007/s00253-014-5764-x</w:t>
      </w:r>
    </w:p>
    <w:p w14:paraId="387A587B" w14:textId="77777777" w:rsidR="00CC5AD5" w:rsidRDefault="00CC5AD5" w:rsidP="00CC5AD5">
      <w:pPr>
        <w:pStyle w:val="Bibliography"/>
      </w:pPr>
      <w:r>
        <w:t>Schauder, S., Shokat, K., Surette, M.G., Bassler, B.L., 2001. The LuxS family of bacterial autoinducers: biosynthesis of a novel quorum-sensing signal molecule. Mol. Microbiol. 41, 463–476. https://doi.org/10.1046/j.1365-2958.2001.02532.x</w:t>
      </w:r>
    </w:p>
    <w:p w14:paraId="48A125D9" w14:textId="77777777" w:rsidR="00CC5AD5" w:rsidRDefault="00CC5AD5" w:rsidP="00CC5AD5">
      <w:pPr>
        <w:pStyle w:val="Bibliography"/>
      </w:pPr>
      <w:r>
        <w:t>Schlogelhofer, H.L., Peaudecerf, F.J., Bunbury, F., Whitehouse, M.J., Foster, R.A., Smith, A.G., Croze, O.A., 2021. Combining SIMS and mechanistic modelling to reveal nutrient kinetics in an algal-bacterial mutualism. PLOS ONE 16, e0251643. https://doi.org/10.1371/journal.pone.0251643</w:t>
      </w:r>
    </w:p>
    <w:p w14:paraId="6935D464" w14:textId="77777777" w:rsidR="00CC5AD5" w:rsidRDefault="00CC5AD5" w:rsidP="00CC5AD5">
      <w:pPr>
        <w:pStyle w:val="Bibliography"/>
      </w:pPr>
      <w:r>
        <w:t xml:space="preserve">Schmidt, K.C., Jackrel, S.L., Smith, D.J., Dick, G.J., Denef, V.J., 2020. Genotype and host microbiome alter competitive interactions between </w:t>
      </w:r>
      <w:r>
        <w:rPr>
          <w:i/>
          <w:iCs/>
        </w:rPr>
        <w:t>Microcystis aeruginosa</w:t>
      </w:r>
      <w:r>
        <w:t xml:space="preserve"> and </w:t>
      </w:r>
      <w:r>
        <w:rPr>
          <w:i/>
          <w:iCs/>
        </w:rPr>
        <w:t>Chlorella sorokiniana</w:t>
      </w:r>
      <w:r>
        <w:t>. Harmful Algae 99, 101939. https://doi.org/10.1016/j.hal.2020.101939</w:t>
      </w:r>
    </w:p>
    <w:p w14:paraId="5121E302" w14:textId="77777777" w:rsidR="00CC5AD5" w:rsidRDefault="00CC5AD5" w:rsidP="00CC5AD5">
      <w:pPr>
        <w:pStyle w:val="Bibliography"/>
      </w:pPr>
      <w:r>
        <w:t xml:space="preserve">Segev, E., Wyche, T.P., Kim, K.H., Petersen, J., Ellebrandt, C., Vlamakis, H., Barteneva, N., Paulson, J.N., Chai, L., Clardy, J., Kolter, R., 2016. Dynamic metabolic exchange </w:t>
      </w:r>
      <w:r>
        <w:lastRenderedPageBreak/>
        <w:t>governs a marine algal-bacterial interaction. eLife 5, e17473. https://doi.org/10.7554/eLife.17473</w:t>
      </w:r>
    </w:p>
    <w:p w14:paraId="1C0EA609" w14:textId="77777777" w:rsidR="00CC5AD5" w:rsidRDefault="00CC5AD5" w:rsidP="00CC5AD5">
      <w:pPr>
        <w:pStyle w:val="Bibliography"/>
      </w:pPr>
      <w:r>
        <w:t>Seyedsayamdost, M.R., Carr, G., Kolter, R., Clardy, J., 2011a. Roseobacticides: Small Molecule Modulators of an Algal-Bacterial Symbiosis. J. Am. Chem. Soc. 133, 18343–18349. https://doi.org/10.1021/ja207172s</w:t>
      </w:r>
    </w:p>
    <w:p w14:paraId="790466BB" w14:textId="77777777" w:rsidR="00CC5AD5" w:rsidRDefault="00CC5AD5" w:rsidP="00CC5AD5">
      <w:pPr>
        <w:pStyle w:val="Bibliography"/>
      </w:pPr>
      <w:r>
        <w:t>Seyedsayamdost, M.R., Case, R.J., Kolter, R., Clardy, J., 2011b. The Jekyll-and-Hyde chemistry of Phaeobacter gallaeciensis. Nat. Chem. 3, 331–335. https://doi.org/10.1038/nchem.1002</w:t>
      </w:r>
    </w:p>
    <w:p w14:paraId="38E60E5E" w14:textId="77777777" w:rsidR="00CC5AD5" w:rsidRDefault="00CC5AD5" w:rsidP="00CC5AD5">
      <w:pPr>
        <w:pStyle w:val="Bibliography"/>
      </w:pPr>
      <w:r>
        <w:t>Sial, A., Zhang, B., Zhang, A., Liu, K., Imtiaz, S.A., Yashir, N., 2021. Microalgal–Bacterial Synergistic Interactions and Their Potential Influence in Wastewater Treatment: a Review. Bioenerg. Res. 14, 723–738. https://doi.org/10.1007/s12155-020-10213-9</w:t>
      </w:r>
    </w:p>
    <w:p w14:paraId="6CC1FE7E" w14:textId="77777777" w:rsidR="00CC5AD5" w:rsidRDefault="00CC5AD5" w:rsidP="00CC5AD5">
      <w:pPr>
        <w:pStyle w:val="Bibliography"/>
      </w:pPr>
      <w:r>
        <w:t>Sittmann, J., Bae, M., Mevers, E., Li, M., Quinn, A., Sriram, G., Clardy, J., Liu, Z., 2021. Bacterial diketopiperazines stimulate diatom growth and lipid accumulation. Plant Physiol. 186, 1159–1170. https://doi.org/10.1093/plphys/kiab080</w:t>
      </w:r>
    </w:p>
    <w:p w14:paraId="694D1983" w14:textId="77777777" w:rsidR="00CC5AD5" w:rsidRDefault="00CC5AD5" w:rsidP="00CC5AD5">
      <w:pPr>
        <w:pStyle w:val="Bibliography"/>
      </w:pPr>
      <w:r>
        <w:t>Sobolewska, E., Borowski, S., Nowicka-Krawczyk, P., Jurczak, T., 2023. Growth of microalgae and cyanobacteria consortium in a photobioreactor treating liquid anaerobic digestate from vegetable waste. Sci. Rep. 13, 22651. https://doi.org/10.1038/s41598-023-50173-6</w:t>
      </w:r>
    </w:p>
    <w:p w14:paraId="4DD8AC9A" w14:textId="77777777" w:rsidR="00CC5AD5" w:rsidRDefault="00CC5AD5" w:rsidP="00CC5AD5">
      <w:pPr>
        <w:pStyle w:val="Bibliography"/>
      </w:pPr>
      <w:r>
        <w:t>Solomon, W., Mutum, L., Janda, T., Molnár, Z., 2023. Potential benefit of microalgae and their interaction with bacteria to sustainable crop production. Plant Growth Regul. 101, 53–65. https://doi.org/10.1007/s10725-023-01019-8</w:t>
      </w:r>
    </w:p>
    <w:p w14:paraId="0C626D02" w14:textId="77777777" w:rsidR="00CC5AD5" w:rsidRDefault="00CC5AD5" w:rsidP="00CC5AD5">
      <w:pPr>
        <w:pStyle w:val="Bibliography"/>
      </w:pPr>
      <w:r>
        <w:t>Song, Z., Hou, Y., Yang, Q., Li, X., Wu, S., 2021. Structures and Biological Activities of Diketopiperazines from Marine Organisms: A Review. Mar. Drugs 19, 403. https://doi.org/10.3390/md19080403</w:t>
      </w:r>
    </w:p>
    <w:p w14:paraId="36FCB022" w14:textId="77777777" w:rsidR="00CC5AD5" w:rsidRDefault="00CC5AD5" w:rsidP="00CC5AD5">
      <w:pPr>
        <w:pStyle w:val="Bibliography"/>
      </w:pPr>
      <w:r>
        <w:t>Sørensen, M.E.S., Lowe, C.D., Minter, E.J.A., Wood, A.J., Cameron, D.D., Brockhurst, M.A., 2019. The role of exploitation in the establishment of mutualistic microbial symbioses. FEMS Microbiol. Lett. 366, fnz148. https://doi.org/10.1093/femsle/fnz148</w:t>
      </w:r>
    </w:p>
    <w:p w14:paraId="16FDC9FE" w14:textId="77777777" w:rsidR="00CC5AD5" w:rsidRDefault="00CC5AD5" w:rsidP="00CC5AD5">
      <w:pPr>
        <w:pStyle w:val="Bibliography"/>
      </w:pPr>
      <w:r>
        <w:t xml:space="preserve">Spain, O., Funk, C., 2024. A step towards more eco-friendly and efficient microalgal harvesting: Inducing flocculation in the non-naturally flocculating strain </w:t>
      </w:r>
      <w:r>
        <w:rPr>
          <w:i/>
          <w:iCs/>
        </w:rPr>
        <w:t>Chlorella vulgaris</w:t>
      </w:r>
      <w:r>
        <w:t xml:space="preserve"> (13-1) without chemical additives. Algal Res. 79, 103450. https://doi.org/10.1016/j.algal.2024.103450</w:t>
      </w:r>
    </w:p>
    <w:p w14:paraId="213ACD3F" w14:textId="77777777" w:rsidR="00CC5AD5" w:rsidRDefault="00CC5AD5" w:rsidP="00CC5AD5">
      <w:pPr>
        <w:pStyle w:val="Bibliography"/>
      </w:pPr>
      <w:r>
        <w:t>Stenuit, B., Agathos, S.N., 2015. Deciphering microbial community robustness through synthetic ecology and molecular systems synecology. Curr. Opin. Biotechnol., Environmental biotechnology • Energy biotechnology 33, 305–317. https://doi.org/10.1016/j.copbio.2015.03.012</w:t>
      </w:r>
    </w:p>
    <w:p w14:paraId="67E0B7A9" w14:textId="77777777" w:rsidR="00CC5AD5" w:rsidRDefault="00CC5AD5" w:rsidP="00CC5AD5">
      <w:pPr>
        <w:pStyle w:val="Bibliography"/>
      </w:pPr>
      <w:r>
        <w:t>Stirk, W.A., van Staden, J., 2020. Potential of phytohormones as a strategy to improve microalgae productivity for biotechnological applications. Biotechnol. Adv. 44, 107612. https://doi.org/10.1016/j.biotechadv.2020.107612</w:t>
      </w:r>
    </w:p>
    <w:p w14:paraId="32F2BD11" w14:textId="77777777" w:rsidR="00CC5AD5" w:rsidRDefault="00CC5AD5" w:rsidP="00CC5AD5">
      <w:pPr>
        <w:pStyle w:val="Bibliography"/>
      </w:pPr>
      <w:r>
        <w:t xml:space="preserve">Stock, F., Bilcke, G., De Decker, S., Osuna-Cruz, C.M., Van den Berge, K., Vancaester, E., De Veylder, L., Vandepoele, K., Mangelinckx, S., Vyverman, W., 2020. Distinctive Growth and Transcriptional Changes of the Diatom </w:t>
      </w:r>
      <w:r>
        <w:rPr>
          <w:i/>
          <w:iCs/>
        </w:rPr>
        <w:t>Seminavis robusta</w:t>
      </w:r>
      <w:r>
        <w:t xml:space="preserve"> in Response to Quorum </w:t>
      </w:r>
      <w:r>
        <w:lastRenderedPageBreak/>
        <w:t>Sensing Related Compounds. Front. Microbiol. 11, 01240. https://doi.org/10.3389/fmicb.2020.01240</w:t>
      </w:r>
    </w:p>
    <w:p w14:paraId="254BF385" w14:textId="77777777" w:rsidR="00CC5AD5" w:rsidRDefault="00CC5AD5" w:rsidP="00CC5AD5">
      <w:pPr>
        <w:pStyle w:val="Bibliography"/>
      </w:pPr>
      <w:r>
        <w:t xml:space="preserve">Stock, F., Syrpas, M., Graff van Creveld, S., Backx, S., Blommaert, L., Dow, L., Stock, W., Ruysbergh, E., Lepetit, B., Bailleul, B., Sabbe, K., De Kimpe, N., Willems, A., Kroth, P.G., Vardi, A., Vyverman, W., Mangelinckx, S., 2019. N-Acyl Homoserine Lactone Derived Tetramic Acids Impair Photosynthesis in </w:t>
      </w:r>
      <w:r>
        <w:rPr>
          <w:i/>
          <w:iCs/>
        </w:rPr>
        <w:t>Phaeodactylum tricornutum</w:t>
      </w:r>
      <w:r>
        <w:t>. ACS Chem. Biol. 14, 198–203. https://doi.org/10.1021/acschembio.8b01101</w:t>
      </w:r>
    </w:p>
    <w:p w14:paraId="6DC9ED96" w14:textId="77777777" w:rsidR="00CC5AD5" w:rsidRPr="005B6FAD" w:rsidRDefault="00CC5AD5" w:rsidP="00CC5AD5">
      <w:pPr>
        <w:pStyle w:val="Bibliography"/>
        <w:rPr>
          <w:lang w:val="fr-BE"/>
        </w:rPr>
      </w:pPr>
      <w:r>
        <w:t xml:space="preserve">Su, Y., Tang, K., Liu, J., Wang, Y., Zheng, Y., Zhang, X.-H., 2019. Quorum Sensing System of Ruegeria mobilis Rm01 Controls Lipase and Biofilm Formation. </w:t>
      </w:r>
      <w:r w:rsidRPr="005B6FAD">
        <w:rPr>
          <w:lang w:val="fr-BE"/>
        </w:rPr>
        <w:t xml:space="preserve">Front. </w:t>
      </w:r>
      <w:proofErr w:type="spellStart"/>
      <w:r w:rsidRPr="005B6FAD">
        <w:rPr>
          <w:lang w:val="fr-BE"/>
        </w:rPr>
        <w:t>Microbiol</w:t>
      </w:r>
      <w:proofErr w:type="spellEnd"/>
      <w:r w:rsidRPr="005B6FAD">
        <w:rPr>
          <w:lang w:val="fr-BE"/>
        </w:rPr>
        <w:t>. 9, 3304. https://doi.org/10.3389/fmicb.2018.03304</w:t>
      </w:r>
    </w:p>
    <w:p w14:paraId="76AC7D23" w14:textId="77777777" w:rsidR="00CC5AD5" w:rsidRDefault="00CC5AD5" w:rsidP="00CC5AD5">
      <w:pPr>
        <w:pStyle w:val="Bibliography"/>
      </w:pPr>
      <w:proofErr w:type="spellStart"/>
      <w:r w:rsidRPr="005B6FAD">
        <w:rPr>
          <w:lang w:val="fr-BE"/>
        </w:rPr>
        <w:t>Suleiman</w:t>
      </w:r>
      <w:proofErr w:type="spellEnd"/>
      <w:r w:rsidRPr="005B6FAD">
        <w:rPr>
          <w:lang w:val="fr-BE"/>
        </w:rPr>
        <w:t xml:space="preserve">, M., </w:t>
      </w:r>
      <w:proofErr w:type="spellStart"/>
      <w:r w:rsidRPr="005B6FAD">
        <w:rPr>
          <w:lang w:val="fr-BE"/>
        </w:rPr>
        <w:t>Zecher</w:t>
      </w:r>
      <w:proofErr w:type="spellEnd"/>
      <w:r w:rsidRPr="005B6FAD">
        <w:rPr>
          <w:lang w:val="fr-BE"/>
        </w:rPr>
        <w:t xml:space="preserve">, K., </w:t>
      </w:r>
      <w:proofErr w:type="spellStart"/>
      <w:r w:rsidRPr="005B6FAD">
        <w:rPr>
          <w:lang w:val="fr-BE"/>
        </w:rPr>
        <w:t>Yücel</w:t>
      </w:r>
      <w:proofErr w:type="spellEnd"/>
      <w:r w:rsidRPr="005B6FAD">
        <w:rPr>
          <w:lang w:val="fr-BE"/>
        </w:rPr>
        <w:t xml:space="preserve">, O., </w:t>
      </w:r>
      <w:proofErr w:type="spellStart"/>
      <w:r w:rsidRPr="005B6FAD">
        <w:rPr>
          <w:lang w:val="fr-BE"/>
        </w:rPr>
        <w:t>Jagmann</w:t>
      </w:r>
      <w:proofErr w:type="spellEnd"/>
      <w:r w:rsidRPr="005B6FAD">
        <w:rPr>
          <w:lang w:val="fr-BE"/>
        </w:rPr>
        <w:t xml:space="preserve">, N., </w:t>
      </w:r>
      <w:proofErr w:type="spellStart"/>
      <w:r w:rsidRPr="005B6FAD">
        <w:rPr>
          <w:lang w:val="fr-BE"/>
        </w:rPr>
        <w:t>Philipp</w:t>
      </w:r>
      <w:proofErr w:type="spellEnd"/>
      <w:r w:rsidRPr="005B6FAD">
        <w:rPr>
          <w:lang w:val="fr-BE"/>
        </w:rPr>
        <w:t xml:space="preserve">, B., 2016. </w:t>
      </w:r>
      <w:r>
        <w:t xml:space="preserve">Interkingdom Cross-Feeding of Ammonium from Marine Methylamine-Degrading Bacteria to the Diatom </w:t>
      </w:r>
      <w:r>
        <w:rPr>
          <w:i/>
          <w:iCs/>
        </w:rPr>
        <w:t>Phaeodactylum tricornutum</w:t>
      </w:r>
      <w:r>
        <w:t>. Appl. Environ. Microbiol. 82, 7113–7122. https://doi.org/10.1128/AEM.01642-16</w:t>
      </w:r>
    </w:p>
    <w:p w14:paraId="5249AC69" w14:textId="77777777" w:rsidR="00CC5AD5" w:rsidRDefault="00CC5AD5" w:rsidP="00CC5AD5">
      <w:pPr>
        <w:pStyle w:val="Bibliography"/>
      </w:pPr>
      <w:r>
        <w:t>Thompson, A.W., Foster, R.A., Krupke, A., Carter, B.J., Musat, N., Vaulot, D., Kuypers, M.M.M., Zehr, J.P., 2012. Unicellular Cyanobacterium Symbiotic with a Single-Celled Eukaryotic Alga. Science 337, 1546–1550. https://doi.org/10.1126/science.1222700</w:t>
      </w:r>
    </w:p>
    <w:p w14:paraId="6F682C5B" w14:textId="77777777" w:rsidR="00CC5AD5" w:rsidRDefault="00CC5AD5" w:rsidP="00CC5AD5">
      <w:pPr>
        <w:pStyle w:val="Bibliography"/>
      </w:pPr>
      <w:r>
        <w:t>Timofeeva, A.M., Galyamova, M.R., Sedykh, S.E., 2023. Plant Growth-Promoting Soil Bacteria: Nitrogen Fixation, Phosphate Solubilization, Siderophore Production, and Other Biological Activities. Plants 12, 4074. https://doi.org/10.3390/plants12244074</w:t>
      </w:r>
    </w:p>
    <w:p w14:paraId="0A7A94B3" w14:textId="77777777" w:rsidR="00CC5AD5" w:rsidRPr="005B6FAD" w:rsidRDefault="00CC5AD5" w:rsidP="00CC5AD5">
      <w:pPr>
        <w:pStyle w:val="Bibliography"/>
        <w:rPr>
          <w:lang w:val="fr-BE"/>
        </w:rPr>
      </w:pPr>
      <w:r>
        <w:t xml:space="preserve">Tong, C.Y., Honda, K., Derek, C.J.C., 2024. Enhancing organic matter productivity in microalgal-bacterial biofilm using novel bio-coating. </w:t>
      </w:r>
      <w:proofErr w:type="spellStart"/>
      <w:r w:rsidRPr="005B6FAD">
        <w:rPr>
          <w:lang w:val="fr-BE"/>
        </w:rPr>
        <w:t>Sci</w:t>
      </w:r>
      <w:proofErr w:type="spellEnd"/>
      <w:r w:rsidRPr="005B6FAD">
        <w:rPr>
          <w:lang w:val="fr-BE"/>
        </w:rPr>
        <w:t>. Total Environ. 906, 167576. https://doi.org/10.1016/j.scitotenv.2023.167576</w:t>
      </w:r>
    </w:p>
    <w:p w14:paraId="1BA75166" w14:textId="77777777" w:rsidR="00CC5AD5" w:rsidRDefault="00CC5AD5" w:rsidP="00CC5AD5">
      <w:pPr>
        <w:pStyle w:val="Bibliography"/>
      </w:pPr>
      <w:r w:rsidRPr="005B6FAD">
        <w:rPr>
          <w:lang w:val="fr-BE"/>
        </w:rPr>
        <w:t xml:space="preserve">Tong, C.Y., Honda, K., Derek, C.J.C., 2023. </w:t>
      </w:r>
      <w:r>
        <w:t>A review on microalgal-bacterial co-culture: The multifaceted role of beneficial bacteria towards enhancement of microalgal metabolite production. Environ. Res. 228, 115872. https://doi.org/10.1016/j.envres.2023.115872</w:t>
      </w:r>
    </w:p>
    <w:p w14:paraId="7CEA7CA2" w14:textId="77777777" w:rsidR="00CC5AD5" w:rsidRDefault="00CC5AD5" w:rsidP="00CC5AD5">
      <w:pPr>
        <w:pStyle w:val="Bibliography"/>
      </w:pPr>
      <w:r>
        <w:t>Tschitschko, B., Esti, M., Philippi, M., Kidane, A.T., Littmann, S., Kitzinger, K., Speth, D.R., Li, S., Kraberg, A., Tienken, D., Marchant, H.K., Kartal, B., Milucka, J., Mohr, W., Kuypers, M.M.M., 2024. Rhizobia–diatom symbiosis fixes missing nitrogen in the ocean. Nature 1–3. https://doi.org/10.1038/s41586-024-07495-w</w:t>
      </w:r>
    </w:p>
    <w:p w14:paraId="4ABC571A" w14:textId="77777777" w:rsidR="00CC5AD5" w:rsidRDefault="00CC5AD5" w:rsidP="00CC5AD5">
      <w:pPr>
        <w:pStyle w:val="Bibliography"/>
      </w:pPr>
      <w:r>
        <w:t xml:space="preserve">Villa, J.A., Ray, E.E., Barney, B.M., 2014. </w:t>
      </w:r>
      <w:r>
        <w:rPr>
          <w:i/>
          <w:iCs/>
        </w:rPr>
        <w:t>Azotobacter vinelandii</w:t>
      </w:r>
      <w:r>
        <w:t xml:space="preserve"> siderophore can provide nitrogen to support the culture of the green algae </w:t>
      </w:r>
      <w:r>
        <w:rPr>
          <w:i/>
          <w:iCs/>
        </w:rPr>
        <w:t>Neochloris oleoabundans</w:t>
      </w:r>
      <w:r>
        <w:t xml:space="preserve"> and </w:t>
      </w:r>
      <w:r>
        <w:rPr>
          <w:i/>
          <w:iCs/>
        </w:rPr>
        <w:t>Scenedesmus</w:t>
      </w:r>
      <w:r>
        <w:t xml:space="preserve"> sp. BA032. FEMS Microbiology Lett. 351, 70–77. https://doi.org/10.1111/1574-6968.12347</w:t>
      </w:r>
    </w:p>
    <w:p w14:paraId="36664ADA" w14:textId="77777777" w:rsidR="00CC5AD5" w:rsidRPr="005B6FAD" w:rsidRDefault="00CC5AD5" w:rsidP="00CC5AD5">
      <w:pPr>
        <w:pStyle w:val="Bibliography"/>
        <w:rPr>
          <w:lang w:val="fr-BE"/>
        </w:rPr>
      </w:pPr>
      <w:r>
        <w:t xml:space="preserve">Wang, C., Qi, M., Guo, J., Zhou, C., Yan, X., Ruan, R., Cheng, P., 2022a. The Active Phytohormone in Microalgae: The Characteristics, Efficient Detection, and Their Adversity Resistance Applications. </w:t>
      </w:r>
      <w:proofErr w:type="spellStart"/>
      <w:r w:rsidRPr="005B6FAD">
        <w:rPr>
          <w:lang w:val="fr-BE"/>
        </w:rPr>
        <w:t>Molecules</w:t>
      </w:r>
      <w:proofErr w:type="spellEnd"/>
      <w:r w:rsidRPr="005B6FAD">
        <w:rPr>
          <w:lang w:val="fr-BE"/>
        </w:rPr>
        <w:t xml:space="preserve"> 27, 46. https://doi.org/10.3390/molecules27010046</w:t>
      </w:r>
    </w:p>
    <w:p w14:paraId="0D524ED6" w14:textId="77777777" w:rsidR="00CC5AD5" w:rsidRPr="005B6FAD" w:rsidRDefault="00CC5AD5" w:rsidP="00CC5AD5">
      <w:pPr>
        <w:pStyle w:val="Bibliography"/>
        <w:rPr>
          <w:lang w:val="fr-BE"/>
        </w:rPr>
      </w:pPr>
      <w:r w:rsidRPr="005B6FAD">
        <w:rPr>
          <w:lang w:val="fr-BE"/>
        </w:rPr>
        <w:t xml:space="preserve">Wang, C., Tan, Y., Zhu, L., Zhou, C., Yan, X., Xu, Q., </w:t>
      </w:r>
      <w:proofErr w:type="spellStart"/>
      <w:r w:rsidRPr="005B6FAD">
        <w:rPr>
          <w:lang w:val="fr-BE"/>
        </w:rPr>
        <w:t>Ruan</w:t>
      </w:r>
      <w:proofErr w:type="spellEnd"/>
      <w:r w:rsidRPr="005B6FAD">
        <w:rPr>
          <w:lang w:val="fr-BE"/>
        </w:rPr>
        <w:t xml:space="preserve">, R., Cheng, P., 2022b. </w:t>
      </w:r>
      <w:r>
        <w:t xml:space="preserve">The intrinsic characteristics of microalgae biofilm and their potential applications in pollutants removal — A review. </w:t>
      </w:r>
      <w:r w:rsidRPr="005B6FAD">
        <w:rPr>
          <w:lang w:val="fr-BE"/>
        </w:rPr>
        <w:t xml:space="preserve">Algal </w:t>
      </w:r>
      <w:proofErr w:type="spellStart"/>
      <w:r w:rsidRPr="005B6FAD">
        <w:rPr>
          <w:lang w:val="fr-BE"/>
        </w:rPr>
        <w:t>Res</w:t>
      </w:r>
      <w:proofErr w:type="spellEnd"/>
      <w:r w:rsidRPr="005B6FAD">
        <w:rPr>
          <w:lang w:val="fr-BE"/>
        </w:rPr>
        <w:t>. 68, 102849. https://doi.org/10.1016/j.algal.2022.102849</w:t>
      </w:r>
    </w:p>
    <w:p w14:paraId="29A71FB7" w14:textId="77777777" w:rsidR="00CC5AD5" w:rsidRDefault="00CC5AD5" w:rsidP="00CC5AD5">
      <w:pPr>
        <w:pStyle w:val="Bibliography"/>
      </w:pPr>
      <w:r w:rsidRPr="005B6FAD">
        <w:rPr>
          <w:lang w:val="fr-BE"/>
        </w:rPr>
        <w:lastRenderedPageBreak/>
        <w:t xml:space="preserve">Wang, F., Gao, B., Huang, L., Su, M., </w:t>
      </w:r>
      <w:proofErr w:type="spellStart"/>
      <w:r w:rsidRPr="005B6FAD">
        <w:rPr>
          <w:lang w:val="fr-BE"/>
        </w:rPr>
        <w:t>Dai</w:t>
      </w:r>
      <w:proofErr w:type="spellEnd"/>
      <w:r w:rsidRPr="005B6FAD">
        <w:rPr>
          <w:lang w:val="fr-BE"/>
        </w:rPr>
        <w:t xml:space="preserve">, C., Zhang, C., 2018. </w:t>
      </w:r>
      <w:r>
        <w:t xml:space="preserve">Evaluation of oleaginous </w:t>
      </w:r>
      <w:proofErr w:type="spellStart"/>
      <w:r>
        <w:t>eustigmatophycean</w:t>
      </w:r>
      <w:proofErr w:type="spellEnd"/>
      <w:r>
        <w:t xml:space="preserve"> microalgae as potential biorefinery feedstock for the production of palmitoleic acid and biodiesel. Bioresour. Technol. 270, 30–37. https://doi.org/10.1016/j.biortech.2018.09.016</w:t>
      </w:r>
    </w:p>
    <w:p w14:paraId="0B787D42" w14:textId="77777777" w:rsidR="00CC5AD5" w:rsidRPr="005B6FAD" w:rsidRDefault="00CC5AD5" w:rsidP="00CC5AD5">
      <w:pPr>
        <w:pStyle w:val="Bibliography"/>
        <w:rPr>
          <w:lang w:val="fr-BE"/>
        </w:rPr>
      </w:pPr>
      <w:r>
        <w:t xml:space="preserve">Wang, H., Wu, P., Zheng, D., Deng, L., Wang, W., 2022. N-Acyl-Homoserine Lactone (AHL)-Mediated Microalgal–Bacterial Communication Driving Chlorella-Activated Sludge Bacterial Biofloc Formation. </w:t>
      </w:r>
      <w:r w:rsidRPr="005B6FAD">
        <w:rPr>
          <w:lang w:val="fr-BE"/>
        </w:rPr>
        <w:t xml:space="preserve">Environ. </w:t>
      </w:r>
      <w:proofErr w:type="spellStart"/>
      <w:r w:rsidRPr="005B6FAD">
        <w:rPr>
          <w:lang w:val="fr-BE"/>
        </w:rPr>
        <w:t>Sci</w:t>
      </w:r>
      <w:proofErr w:type="spellEnd"/>
      <w:r w:rsidRPr="005B6FAD">
        <w:rPr>
          <w:lang w:val="fr-BE"/>
        </w:rPr>
        <w:t xml:space="preserve">. </w:t>
      </w:r>
      <w:proofErr w:type="spellStart"/>
      <w:r w:rsidRPr="005B6FAD">
        <w:rPr>
          <w:lang w:val="fr-BE"/>
        </w:rPr>
        <w:t>Technol</w:t>
      </w:r>
      <w:proofErr w:type="spellEnd"/>
      <w:r w:rsidRPr="005B6FAD">
        <w:rPr>
          <w:lang w:val="fr-BE"/>
        </w:rPr>
        <w:t>. 56, 12645–12655. https://doi.org/10.1021/acs.est.2c00905</w:t>
      </w:r>
    </w:p>
    <w:p w14:paraId="286A1549" w14:textId="77777777" w:rsidR="00CC5AD5" w:rsidRPr="005B6FAD" w:rsidRDefault="00CC5AD5" w:rsidP="00CC5AD5">
      <w:pPr>
        <w:pStyle w:val="Bibliography"/>
        <w:rPr>
          <w:lang w:val="fr-BE"/>
        </w:rPr>
      </w:pPr>
      <w:r w:rsidRPr="005B6FAD">
        <w:rPr>
          <w:lang w:val="fr-BE"/>
        </w:rPr>
        <w:t xml:space="preserve">Wang, M., Chen, S., Zhou, W., Yuan, W., Wang, D., 2020. </w:t>
      </w:r>
      <w:r>
        <w:t xml:space="preserve">Algal cell lysis by bacteria: A review and comparison to conventional methods. </w:t>
      </w:r>
      <w:r w:rsidRPr="005B6FAD">
        <w:rPr>
          <w:lang w:val="fr-BE"/>
        </w:rPr>
        <w:t xml:space="preserve">Algal </w:t>
      </w:r>
      <w:proofErr w:type="spellStart"/>
      <w:r w:rsidRPr="005B6FAD">
        <w:rPr>
          <w:lang w:val="fr-BE"/>
        </w:rPr>
        <w:t>Res</w:t>
      </w:r>
      <w:proofErr w:type="spellEnd"/>
      <w:r w:rsidRPr="005B6FAD">
        <w:rPr>
          <w:lang w:val="fr-BE"/>
        </w:rPr>
        <w:t>. 46, 101794. https://doi.org/10.1016/j.algal.2020.101794</w:t>
      </w:r>
    </w:p>
    <w:p w14:paraId="08BF4FDD" w14:textId="77777777" w:rsidR="00CC5AD5" w:rsidRDefault="00CC5AD5" w:rsidP="00CC5AD5">
      <w:pPr>
        <w:pStyle w:val="Bibliography"/>
      </w:pPr>
      <w:r w:rsidRPr="005B6FAD">
        <w:rPr>
          <w:lang w:val="fr-BE"/>
        </w:rPr>
        <w:t xml:space="preserve">Wang, N., Gao, J., Liu, Y., Wang, Q., Zhuang, X., Zhuang, G., 2021. </w:t>
      </w:r>
      <w:r>
        <w:t xml:space="preserve">Realizing the role of </w:t>
      </w:r>
      <w:r>
        <w:rPr>
          <w:i/>
          <w:iCs/>
        </w:rPr>
        <w:t>N</w:t>
      </w:r>
      <w:r>
        <w:t>-acyl-homoserine lactone-mediated quorum sensing in nitrification and denitrification: A review. Chemosphere 274, 129970. https://doi.org/10.1016/j.chemosphere.2021.129970</w:t>
      </w:r>
    </w:p>
    <w:p w14:paraId="2E67898F" w14:textId="77777777" w:rsidR="00CC5AD5" w:rsidRDefault="00CC5AD5" w:rsidP="00CC5AD5">
      <w:pPr>
        <w:pStyle w:val="Bibliography"/>
      </w:pPr>
      <w:r>
        <w:t xml:space="preserve">Wang, R., Gallant, É., Wilson, M.Z., Wu, Y., Li, A., Gitai, Z., Seyedsayamdost, M.R., 2022. Algal </w:t>
      </w:r>
      <w:r>
        <w:rPr>
          <w:i/>
          <w:iCs/>
        </w:rPr>
        <w:t>p</w:t>
      </w:r>
      <w:r>
        <w:t xml:space="preserve">-coumaric acid induces oxidative stress and siderophore biosynthesis in the bacterial symbiont </w:t>
      </w:r>
      <w:r>
        <w:rPr>
          <w:i/>
          <w:iCs/>
        </w:rPr>
        <w:t>Phaeobacter inhibens</w:t>
      </w:r>
      <w:r>
        <w:t>. Cell Chem. Biol. 29, 670-679.e5. https://doi.org/10.1016/j.chembiol.2021.08.002</w:t>
      </w:r>
    </w:p>
    <w:p w14:paraId="5514F63C" w14:textId="77777777" w:rsidR="00CC5AD5" w:rsidRPr="005B6FAD" w:rsidRDefault="00CC5AD5" w:rsidP="00CC5AD5">
      <w:pPr>
        <w:pStyle w:val="Bibliography"/>
        <w:rPr>
          <w:lang w:val="fr-BE"/>
        </w:rPr>
      </w:pPr>
      <w:r>
        <w:t xml:space="preserve">Wang, T., Li, D., Tian, X., Huang, G., He, M., Wang, C., Kumbhar, A.N., Woldemicael, A.G., 2024. Mitigating salinity stress through interactions between microalgae and different forms (free-living &amp; alginate gel-encapsulated) of bacteria isolated from estuarine environments. </w:t>
      </w:r>
      <w:proofErr w:type="spellStart"/>
      <w:r w:rsidRPr="005B6FAD">
        <w:rPr>
          <w:lang w:val="fr-BE"/>
        </w:rPr>
        <w:t>Sci</w:t>
      </w:r>
      <w:proofErr w:type="spellEnd"/>
      <w:r w:rsidRPr="005B6FAD">
        <w:rPr>
          <w:lang w:val="fr-BE"/>
        </w:rPr>
        <w:t>. Total Environ. 926, 171909. https://doi.org/10.1016/j.scitotenv.2024.171909</w:t>
      </w:r>
    </w:p>
    <w:p w14:paraId="203739FC" w14:textId="77777777" w:rsidR="00CC5AD5" w:rsidRDefault="00CC5AD5" w:rsidP="00CC5AD5">
      <w:pPr>
        <w:pStyle w:val="Bibliography"/>
      </w:pPr>
      <w:r w:rsidRPr="005B6FAD">
        <w:rPr>
          <w:lang w:val="fr-BE"/>
        </w:rPr>
        <w:t xml:space="preserve">Wang, X., Liu, Y., Zhang, Y., Wu, P., Liu, X., Nan, F., Liu, Q., </w:t>
      </w:r>
      <w:proofErr w:type="spellStart"/>
      <w:r w:rsidRPr="005B6FAD">
        <w:rPr>
          <w:lang w:val="fr-BE"/>
        </w:rPr>
        <w:t>Lv</w:t>
      </w:r>
      <w:proofErr w:type="spellEnd"/>
      <w:r w:rsidRPr="005B6FAD">
        <w:rPr>
          <w:lang w:val="fr-BE"/>
        </w:rPr>
        <w:t xml:space="preserve">, J., Feng, J., Xie, S., 2024. </w:t>
      </w:r>
      <w:r>
        <w:t>The complex relationships between diatoms, bacterial communities, and dissolved organic matter: Effects of silicon concentration. Algal Res. 79, 103460. https://doi.org/10.1016/j.algal.2024.103460</w:t>
      </w:r>
    </w:p>
    <w:p w14:paraId="01B83864" w14:textId="77777777" w:rsidR="00CC5AD5" w:rsidRDefault="00CC5AD5" w:rsidP="00CC5AD5">
      <w:pPr>
        <w:pStyle w:val="Bibliography"/>
      </w:pPr>
      <w:r>
        <w:t>Wang, Y., Ning, W., Han, M., Gao, C., Guo, W., Chang, J.-S., Ho, S.-H., 2023. Algae-mediated bioremediation of ciprofloxacin through a symbiotic microalgae-bacteria consortium. Algal Res. 71, 103062. https://doi.org/10.1016/j.algal.2023.103062</w:t>
      </w:r>
    </w:p>
    <w:p w14:paraId="1357FE84" w14:textId="77777777" w:rsidR="00CC5AD5" w:rsidRDefault="00CC5AD5" w:rsidP="00CC5AD5">
      <w:pPr>
        <w:pStyle w:val="Bibliography"/>
      </w:pPr>
      <w:r>
        <w:t>Wienhausen, G., Noriega-Ortega, B.E., Niggemann, J., Dittmar, T., Simon, M., 2017. The Exometabolome of Two Model Strains of the Roseobacter Group: A Marketplace of Microbial Metabolites. Front. Microbiol. 8, 1985. https://doi.org/10.3389/fmicb.2017.01985</w:t>
      </w:r>
    </w:p>
    <w:p w14:paraId="31CBCB8C" w14:textId="77777777" w:rsidR="00CC5AD5" w:rsidRDefault="00CC5AD5" w:rsidP="00CC5AD5">
      <w:pPr>
        <w:pStyle w:val="Bibliography"/>
      </w:pPr>
      <w:r>
        <w:t>Wu, X., Kong, L., Feng, Y., Zheng, R., Zhou, J., Sun, J., Liu, S., 2024. Communication mediated interaction between bacteria and microalgae advances photogranulation. Sci. Total Environ. 914, 169975. https://doi.org/10.1016/j.scitotenv.2024.169975</w:t>
      </w:r>
    </w:p>
    <w:p w14:paraId="724C902D" w14:textId="77777777" w:rsidR="00CC5AD5" w:rsidRDefault="00CC5AD5" w:rsidP="00CC5AD5">
      <w:pPr>
        <w:pStyle w:val="Bibliography"/>
      </w:pPr>
      <w:r>
        <w:t>Xiao, Y., Zou, H., Li, J., Song, T., Lv, W., Wang, W., Wang, Z., Tao, S., 2022. Impact of quorum sensing signaling molecules in gram-negative bacteria on host cells: current understanding and future perspectives. Gut Microbes 14, 2039048. https://doi.org/10.1080/19490976.2022.2039048</w:t>
      </w:r>
    </w:p>
    <w:p w14:paraId="7E43F1C6" w14:textId="77777777" w:rsidR="00CC5AD5" w:rsidRPr="005B6FAD" w:rsidRDefault="00CC5AD5" w:rsidP="00CC5AD5">
      <w:pPr>
        <w:pStyle w:val="Bibliography"/>
        <w:rPr>
          <w:lang w:val="fr-BE"/>
        </w:rPr>
      </w:pPr>
      <w:r>
        <w:lastRenderedPageBreak/>
        <w:t xml:space="preserve">Xiao, Z., Meng, H., Li, S., Ning, W., Song, Y., Han, J., Chang, J.-S., Wang, Y., Ho, S.-H., 2024. Insights into the removal of antibiotics from livestock and aquaculture wastewater by algae-bacteria symbiosis systems. </w:t>
      </w:r>
      <w:r w:rsidRPr="005B6FAD">
        <w:rPr>
          <w:lang w:val="fr-BE"/>
        </w:rPr>
        <w:t xml:space="preserve">Environ. </w:t>
      </w:r>
      <w:proofErr w:type="spellStart"/>
      <w:r w:rsidRPr="005B6FAD">
        <w:rPr>
          <w:lang w:val="fr-BE"/>
        </w:rPr>
        <w:t>Res</w:t>
      </w:r>
      <w:proofErr w:type="spellEnd"/>
      <w:r w:rsidRPr="005B6FAD">
        <w:rPr>
          <w:lang w:val="fr-BE"/>
        </w:rPr>
        <w:t>. 257, 119326. https://doi.org/10.1016/j.envres.2024.119326</w:t>
      </w:r>
    </w:p>
    <w:p w14:paraId="0F9F3AA2" w14:textId="77777777" w:rsidR="00CC5AD5" w:rsidRDefault="00CC5AD5" w:rsidP="00CC5AD5">
      <w:pPr>
        <w:pStyle w:val="Bibliography"/>
      </w:pPr>
      <w:r w:rsidRPr="005B6FAD">
        <w:rPr>
          <w:lang w:val="fr-BE"/>
        </w:rPr>
        <w:t xml:space="preserve">Yao, S., </w:t>
      </w:r>
      <w:proofErr w:type="spellStart"/>
      <w:r w:rsidRPr="005B6FAD">
        <w:rPr>
          <w:lang w:val="fr-BE"/>
        </w:rPr>
        <w:t>Lyu</w:t>
      </w:r>
      <w:proofErr w:type="spellEnd"/>
      <w:r w:rsidRPr="005B6FAD">
        <w:rPr>
          <w:lang w:val="fr-BE"/>
        </w:rPr>
        <w:t xml:space="preserve">, S., An, Y., Lu, J., </w:t>
      </w:r>
      <w:proofErr w:type="spellStart"/>
      <w:r w:rsidRPr="005B6FAD">
        <w:rPr>
          <w:lang w:val="fr-BE"/>
        </w:rPr>
        <w:t>Gjermansen</w:t>
      </w:r>
      <w:proofErr w:type="spellEnd"/>
      <w:r w:rsidRPr="005B6FAD">
        <w:rPr>
          <w:lang w:val="fr-BE"/>
        </w:rPr>
        <w:t xml:space="preserve">, C., Schramm, A., 2019. </w:t>
      </w:r>
      <w:r>
        <w:t>Microalgae–bacteria symbiosis in microalgal growth and biofuel production: a review. J. App. Microbiol. 126, 359–368. https://doi.org/10.1111/jam.14095</w:t>
      </w:r>
    </w:p>
    <w:p w14:paraId="6A991C82" w14:textId="77777777" w:rsidR="00CC5AD5" w:rsidRPr="005B6FAD" w:rsidRDefault="00CC5AD5" w:rsidP="00CC5AD5">
      <w:pPr>
        <w:pStyle w:val="Bibliography"/>
        <w:rPr>
          <w:lang w:val="fr-BE"/>
        </w:rPr>
      </w:pPr>
      <w:r>
        <w:t xml:space="preserve">Yarbro, J., Khorunzhy, E., Boyle, N., 2024. The phycosphere and its role in algal biofuel production. </w:t>
      </w:r>
      <w:r w:rsidRPr="005B6FAD">
        <w:rPr>
          <w:lang w:val="fr-BE"/>
        </w:rPr>
        <w:t>Front. Clim. 6, 1277475. https://doi.org/10.3389/fclim.2024.1277475</w:t>
      </w:r>
    </w:p>
    <w:p w14:paraId="0EE7A842" w14:textId="77777777" w:rsidR="00CC5AD5" w:rsidRPr="005B6FAD" w:rsidRDefault="00CC5AD5" w:rsidP="00CC5AD5">
      <w:pPr>
        <w:pStyle w:val="Bibliography"/>
        <w:rPr>
          <w:lang w:val="fr-BE"/>
        </w:rPr>
      </w:pPr>
      <w:r w:rsidRPr="005B6FAD">
        <w:rPr>
          <w:lang w:val="fr-BE"/>
        </w:rPr>
        <w:t xml:space="preserve">You, X., Xu, N., Yang, X., Sun, W., 2021. </w:t>
      </w:r>
      <w:proofErr w:type="spellStart"/>
      <w:r w:rsidRPr="005B6FAD">
        <w:rPr>
          <w:lang w:val="fr-BE"/>
        </w:rPr>
        <w:t>Pollutants</w:t>
      </w:r>
      <w:proofErr w:type="spellEnd"/>
      <w:r w:rsidRPr="005B6FAD">
        <w:rPr>
          <w:lang w:val="fr-BE"/>
        </w:rPr>
        <w:t xml:space="preserve"> affect </w:t>
      </w:r>
      <w:proofErr w:type="spellStart"/>
      <w:r w:rsidRPr="005B6FAD">
        <w:rPr>
          <w:lang w:val="fr-BE"/>
        </w:rPr>
        <w:t>algae-bacteria</w:t>
      </w:r>
      <w:proofErr w:type="spellEnd"/>
      <w:r w:rsidRPr="005B6FAD">
        <w:rPr>
          <w:lang w:val="fr-BE"/>
        </w:rPr>
        <w:t xml:space="preserve"> interactions: A </w:t>
      </w:r>
      <w:proofErr w:type="spellStart"/>
      <w:r w:rsidRPr="005B6FAD">
        <w:rPr>
          <w:lang w:val="fr-BE"/>
        </w:rPr>
        <w:t>critical</w:t>
      </w:r>
      <w:proofErr w:type="spellEnd"/>
      <w:r w:rsidRPr="005B6FAD">
        <w:rPr>
          <w:lang w:val="fr-BE"/>
        </w:rPr>
        <w:t xml:space="preserve"> </w:t>
      </w:r>
      <w:proofErr w:type="spellStart"/>
      <w:r w:rsidRPr="005B6FAD">
        <w:rPr>
          <w:lang w:val="fr-BE"/>
        </w:rPr>
        <w:t>review</w:t>
      </w:r>
      <w:proofErr w:type="spellEnd"/>
      <w:r w:rsidRPr="005B6FAD">
        <w:rPr>
          <w:lang w:val="fr-BE"/>
        </w:rPr>
        <w:t xml:space="preserve">. Environ. </w:t>
      </w:r>
      <w:proofErr w:type="spellStart"/>
      <w:r w:rsidRPr="005B6FAD">
        <w:rPr>
          <w:lang w:val="fr-BE"/>
        </w:rPr>
        <w:t>Pollut</w:t>
      </w:r>
      <w:proofErr w:type="spellEnd"/>
      <w:r w:rsidRPr="005B6FAD">
        <w:rPr>
          <w:lang w:val="fr-BE"/>
        </w:rPr>
        <w:t>. 276, 116723. https://doi.org/10.1016/j.envpol.2021.116723</w:t>
      </w:r>
    </w:p>
    <w:p w14:paraId="682E9735" w14:textId="77777777" w:rsidR="00CC5AD5" w:rsidRPr="005B6FAD" w:rsidRDefault="00CC5AD5" w:rsidP="00CC5AD5">
      <w:pPr>
        <w:pStyle w:val="Bibliography"/>
        <w:rPr>
          <w:lang w:val="fr-BE"/>
        </w:rPr>
      </w:pPr>
      <w:r w:rsidRPr="005B6FAD">
        <w:rPr>
          <w:lang w:val="fr-BE"/>
        </w:rPr>
        <w:t xml:space="preserve">Yu, Q., Pei, X., Wei, Y., </w:t>
      </w:r>
      <w:proofErr w:type="spellStart"/>
      <w:r w:rsidRPr="005B6FAD">
        <w:rPr>
          <w:lang w:val="fr-BE"/>
        </w:rPr>
        <w:t>Naveed</w:t>
      </w:r>
      <w:proofErr w:type="spellEnd"/>
      <w:r w:rsidRPr="005B6FAD">
        <w:rPr>
          <w:lang w:val="fr-BE"/>
        </w:rPr>
        <w:t xml:space="preserve">, S., Wang, S., Chang, M., Zhang, C., Ge, Y., 2023. </w:t>
      </w:r>
      <w:r>
        <w:t xml:space="preserve">The roles of bacteria in resource recovery, wastewater treatment and carbon fixation by microalgae-bacteria consortia: A critical review. </w:t>
      </w:r>
      <w:r w:rsidRPr="005B6FAD">
        <w:rPr>
          <w:lang w:val="fr-BE"/>
        </w:rPr>
        <w:t xml:space="preserve">Algal </w:t>
      </w:r>
      <w:proofErr w:type="spellStart"/>
      <w:r w:rsidRPr="005B6FAD">
        <w:rPr>
          <w:lang w:val="fr-BE"/>
        </w:rPr>
        <w:t>Res</w:t>
      </w:r>
      <w:proofErr w:type="spellEnd"/>
      <w:r w:rsidRPr="005B6FAD">
        <w:rPr>
          <w:lang w:val="fr-BE"/>
        </w:rPr>
        <w:t>. 69, 102938. https://doi.org/10.1016/j.algal.2022.102938</w:t>
      </w:r>
    </w:p>
    <w:p w14:paraId="5E6BC509" w14:textId="77777777" w:rsidR="00CC5AD5" w:rsidRDefault="00CC5AD5" w:rsidP="00CC5AD5">
      <w:pPr>
        <w:pStyle w:val="Bibliography"/>
      </w:pPr>
      <w:r w:rsidRPr="005B6FAD">
        <w:rPr>
          <w:lang w:val="fr-BE"/>
        </w:rPr>
        <w:t xml:space="preserve">Yu, S., Chen, Z., Li, M., Qiu, S., </w:t>
      </w:r>
      <w:proofErr w:type="spellStart"/>
      <w:r w:rsidRPr="005B6FAD">
        <w:rPr>
          <w:lang w:val="fr-BE"/>
        </w:rPr>
        <w:t>Lv</w:t>
      </w:r>
      <w:proofErr w:type="spellEnd"/>
      <w:r w:rsidRPr="005B6FAD">
        <w:rPr>
          <w:lang w:val="fr-BE"/>
        </w:rPr>
        <w:t xml:space="preserve">, Z., Ge, S., 2024. </w:t>
      </w:r>
      <w:r>
        <w:t>Principles, Challenges, and optimization of Indigenous Microalgae-Bacteria consortium for sustainable swine wastewater treatment. Bioresour. Technol. 131055. https://doi.org/10.1016/j.biortech.2024.131055</w:t>
      </w:r>
    </w:p>
    <w:p w14:paraId="6772E2FA" w14:textId="77777777" w:rsidR="00CC5AD5" w:rsidRDefault="00CC5AD5" w:rsidP="00CC5AD5">
      <w:pPr>
        <w:pStyle w:val="Bibliography"/>
      </w:pPr>
      <w:r>
        <w:t xml:space="preserve">Yu, Z., Beck, D.A.C., Chistoserdova, L., 2017. Natural Selection in Synthetic Communities Highlights the Roles of </w:t>
      </w:r>
      <w:r>
        <w:rPr>
          <w:i/>
          <w:iCs/>
        </w:rPr>
        <w:t>Methylococcaceae</w:t>
      </w:r>
      <w:r>
        <w:t xml:space="preserve"> and </w:t>
      </w:r>
      <w:r>
        <w:rPr>
          <w:i/>
          <w:iCs/>
        </w:rPr>
        <w:t>Methylophilaceae</w:t>
      </w:r>
      <w:r>
        <w:t xml:space="preserve"> and Suggests Differential Roles for Alternative Methanol Dehydrogenases in Methane Consumption. Front. Microbiol. 8, 02392. https://doi.org/10.3389/fmicb.2017.02392</w:t>
      </w:r>
    </w:p>
    <w:p w14:paraId="3D7A8290" w14:textId="77777777" w:rsidR="00CC5AD5" w:rsidRDefault="00CC5AD5" w:rsidP="00CC5AD5">
      <w:pPr>
        <w:pStyle w:val="Bibliography"/>
      </w:pPr>
      <w:r>
        <w:t>Yu, Z., Zhang, F., Friml, J., Ding, Z., 2022. Auxin signaling: Research advances over the past 30 years. J. Integr. Plant Biol. 64, 371–392. https://doi.org/10.1111/jipb.13225</w:t>
      </w:r>
    </w:p>
    <w:p w14:paraId="1FEF9DD0" w14:textId="77777777" w:rsidR="00CC5AD5" w:rsidRDefault="00CC5AD5" w:rsidP="00CC5AD5">
      <w:pPr>
        <w:pStyle w:val="Bibliography"/>
      </w:pPr>
      <w:r>
        <w:t>Zecher, K., Hayes, K.R., Philipp, B., 2020. Evidence of Interdomain Ammonium Cross-Feeding From Methylamine- and Glycine Betaine-Degrading Rhodobacteraceae to Diatoms as a Widespread Interaction in the Marine Phycosphere. Front. Microbiol. 11, 533894. https://doi.org/10.3389/fmicb.2020.533894</w:t>
      </w:r>
    </w:p>
    <w:p w14:paraId="468603B0" w14:textId="77777777" w:rsidR="00CC5AD5" w:rsidRPr="005B6FAD" w:rsidRDefault="00CC5AD5" w:rsidP="00CC5AD5">
      <w:pPr>
        <w:pStyle w:val="Bibliography"/>
        <w:rPr>
          <w:lang w:val="fr-BE"/>
        </w:rPr>
      </w:pPr>
      <w:r>
        <w:t xml:space="preserve">Zehr, J.P., 2011. Nitrogen fixation by marine cyanobacteria. </w:t>
      </w:r>
      <w:r w:rsidRPr="005B6FAD">
        <w:rPr>
          <w:lang w:val="fr-BE"/>
        </w:rPr>
        <w:t xml:space="preserve">Trends </w:t>
      </w:r>
      <w:proofErr w:type="spellStart"/>
      <w:r w:rsidRPr="005B6FAD">
        <w:rPr>
          <w:lang w:val="fr-BE"/>
        </w:rPr>
        <w:t>Microbiol</w:t>
      </w:r>
      <w:proofErr w:type="spellEnd"/>
      <w:r w:rsidRPr="005B6FAD">
        <w:rPr>
          <w:lang w:val="fr-BE"/>
        </w:rPr>
        <w:t>. 19, 162–173. https://doi.org/10.1016/j.tim.2010.12.004</w:t>
      </w:r>
    </w:p>
    <w:p w14:paraId="1E484996" w14:textId="77777777" w:rsidR="00CC5AD5" w:rsidRDefault="00CC5AD5" w:rsidP="00CC5AD5">
      <w:pPr>
        <w:pStyle w:val="Bibliography"/>
      </w:pPr>
      <w:r w:rsidRPr="005B6FAD">
        <w:rPr>
          <w:lang w:val="fr-BE"/>
        </w:rPr>
        <w:t xml:space="preserve">Zhang, B., Chen, J., Su, Y., Sun, W., Zhang, A., 2022. </w:t>
      </w:r>
      <w:r>
        <w:t xml:space="preserve">Utilization of Indole-3-acetic acid–Secreting Bacteria in Algal Environment to Increase Biomass Accumulation of </w:t>
      </w:r>
      <w:r>
        <w:rPr>
          <w:i/>
          <w:iCs/>
        </w:rPr>
        <w:t>Ochromonas</w:t>
      </w:r>
      <w:r>
        <w:t xml:space="preserve"> and </w:t>
      </w:r>
      <w:r>
        <w:rPr>
          <w:i/>
          <w:iCs/>
        </w:rPr>
        <w:t>Chlorella</w:t>
      </w:r>
      <w:r>
        <w:t>. Bioenerg. Res. 15, 242–252. https://doi.org/10.1007/s12155-021-10246-8</w:t>
      </w:r>
    </w:p>
    <w:p w14:paraId="563BC061" w14:textId="77777777" w:rsidR="00CC5AD5" w:rsidRDefault="00CC5AD5" w:rsidP="00CC5AD5">
      <w:pPr>
        <w:pStyle w:val="Bibliography"/>
      </w:pPr>
      <w:r>
        <w:t>Zhang, C., Chen, X., Han, M., Li, X., Chang, H., Ren, N., Ho, S.-H., 2023. Revealing the role of microalgae-bacteria niche for boosting wastewater treatment and energy reclamation in response to temperature. Environ. Sci. Ecotechnol. 14, 100230. https://doi.org/10.1016/j.ese.2022.100230</w:t>
      </w:r>
    </w:p>
    <w:p w14:paraId="4D502E9E" w14:textId="77777777" w:rsidR="00CC5AD5" w:rsidRDefault="00CC5AD5" w:rsidP="00CC5AD5">
      <w:pPr>
        <w:pStyle w:val="Bibliography"/>
      </w:pPr>
      <w:r>
        <w:t xml:space="preserve">Zhang, L., Li, S., Liu, X., Wang, Z., Jiang, M., Wang, R., Xie, L., Liu, Q., Xie, X., Shang, D., Li, M., Wei, Z., Wang, Y., Fan, C., Luo, Z.-Q., Shen, X., 2020. Sensing of autoinducer-2 by </w:t>
      </w:r>
      <w:r>
        <w:lastRenderedPageBreak/>
        <w:t>functionally distinct receptors in prokaryotes. Nat. Commun. 11, 5371. https://doi.org/10.1038/s41467-020-19243-5</w:t>
      </w:r>
    </w:p>
    <w:p w14:paraId="18193406" w14:textId="77777777" w:rsidR="00CC5AD5" w:rsidRDefault="00CC5AD5" w:rsidP="00CC5AD5">
      <w:pPr>
        <w:pStyle w:val="Bibliography"/>
      </w:pPr>
      <w:r>
        <w:t xml:space="preserve">Zhang, M.-Y., Xu, X.-R., Zhao, R.-P., Huang, C., Song, Y.-D., Zhao, Z.-T., Zhao, Y.-B., Ren, X.-J., Zhao, X.-H., 2024. Mechanism of enhanced microalgal biomass and lipid accumulation through symbiosis between a highly succinic acid-producing strain of </w:t>
      </w:r>
      <w:r>
        <w:rPr>
          <w:i/>
          <w:iCs/>
        </w:rPr>
        <w:t>Escherichia coli</w:t>
      </w:r>
      <w:r>
        <w:t xml:space="preserve"> SUC and </w:t>
      </w:r>
      <w:r>
        <w:rPr>
          <w:i/>
          <w:iCs/>
        </w:rPr>
        <w:t>Aurantiochytrium</w:t>
      </w:r>
      <w:r>
        <w:t xml:space="preserve"> sp. SW1. Bioresour. Technol. 394, 130232. https://doi.org/10.1016/j.biortech.2023.130232</w:t>
      </w:r>
    </w:p>
    <w:p w14:paraId="19ED8EBE" w14:textId="77777777" w:rsidR="00CC5AD5" w:rsidRDefault="00CC5AD5" w:rsidP="00CC5AD5">
      <w:pPr>
        <w:pStyle w:val="Bibliography"/>
      </w:pPr>
      <w:r>
        <w:t>Zhou, J., Lyu, Y., Richlen, M.L., Anderson, D.M., Cai, Z., 2016. Quorum Sensing Is a Language of Chemical Signals and Plays an Ecological Role in Algal-Bacterial Interactions. Crit. Rev. Plant Sci. 35, 81–105. https://doi.org/10.1080/07352689.2016.1172461</w:t>
      </w:r>
    </w:p>
    <w:p w14:paraId="4989CA37" w14:textId="77777777" w:rsidR="00CC5AD5" w:rsidRPr="005B6FAD" w:rsidRDefault="00CC5AD5" w:rsidP="00CC5AD5">
      <w:pPr>
        <w:pStyle w:val="Bibliography"/>
        <w:rPr>
          <w:lang w:val="fr-BE"/>
        </w:rPr>
      </w:pPr>
      <w:r>
        <w:t xml:space="preserve">Zhu, J., Chen, G., Zhou, J., Zeng, Y., Cheng, K., Cai, Z., 2022. Dynamic patterns of quorum sensing signals in phycospheric microbes during a marine algal bloom. </w:t>
      </w:r>
      <w:r w:rsidRPr="005B6FAD">
        <w:rPr>
          <w:lang w:val="fr-BE"/>
        </w:rPr>
        <w:t xml:space="preserve">Environ. </w:t>
      </w:r>
      <w:proofErr w:type="spellStart"/>
      <w:r w:rsidRPr="005B6FAD">
        <w:rPr>
          <w:lang w:val="fr-BE"/>
        </w:rPr>
        <w:t>Res</w:t>
      </w:r>
      <w:proofErr w:type="spellEnd"/>
      <w:r w:rsidRPr="005B6FAD">
        <w:rPr>
          <w:lang w:val="fr-BE"/>
        </w:rPr>
        <w:t>. 212, 113443. https://doi.org/10.1016/j.envres.2022.113443</w:t>
      </w:r>
    </w:p>
    <w:p w14:paraId="461F8CDA" w14:textId="77777777" w:rsidR="00CC5AD5" w:rsidRDefault="00CC5AD5" w:rsidP="00CC5AD5">
      <w:pPr>
        <w:pStyle w:val="Bibliography"/>
      </w:pPr>
      <w:r w:rsidRPr="005B6FAD">
        <w:rPr>
          <w:lang w:val="fr-BE"/>
        </w:rPr>
        <w:t xml:space="preserve">Zhu, S., </w:t>
      </w:r>
      <w:proofErr w:type="spellStart"/>
      <w:r w:rsidRPr="005B6FAD">
        <w:rPr>
          <w:lang w:val="fr-BE"/>
        </w:rPr>
        <w:t>Higa</w:t>
      </w:r>
      <w:proofErr w:type="spellEnd"/>
      <w:r w:rsidRPr="005B6FAD">
        <w:rPr>
          <w:lang w:val="fr-BE"/>
        </w:rPr>
        <w:t xml:space="preserve">, L., </w:t>
      </w:r>
      <w:proofErr w:type="spellStart"/>
      <w:r w:rsidRPr="005B6FAD">
        <w:rPr>
          <w:lang w:val="fr-BE"/>
        </w:rPr>
        <w:t>Barela</w:t>
      </w:r>
      <w:proofErr w:type="spellEnd"/>
      <w:r w:rsidRPr="005B6FAD">
        <w:rPr>
          <w:lang w:val="fr-BE"/>
        </w:rPr>
        <w:t xml:space="preserve">, A., Lee, C., Chen, Y., Du, Z.-Y., 2023. </w:t>
      </w:r>
      <w:r>
        <w:t>Microalgal Consortia for Waste Treatment and Valuable Bioproducts. Energies 16, 884. https://doi.org/10.3390/en16020884</w:t>
      </w:r>
    </w:p>
    <w:p w14:paraId="20B95840" w14:textId="09064CFD" w:rsidR="00C05FE1" w:rsidRPr="00833CE8" w:rsidRDefault="00CA60B9" w:rsidP="000B19EC">
      <w:pPr>
        <w:pStyle w:val="Bibliography"/>
        <w:ind w:left="0" w:firstLine="0"/>
      </w:pPr>
      <w:r w:rsidRPr="00833CE8">
        <w:fldChar w:fldCharType="end"/>
      </w:r>
    </w:p>
    <w:sectPr w:rsidR="00C05FE1" w:rsidRPr="00833CE8" w:rsidSect="00EA2104">
      <w:headerReference w:type="default" r:id="rId17"/>
      <w:footerReference w:type="default" r:id="rId18"/>
      <w:pgSz w:w="12240" w:h="15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62B1DB" w14:textId="77777777" w:rsidR="007A329C" w:rsidRDefault="007A329C" w:rsidP="006D47D1">
      <w:pPr>
        <w:spacing w:line="240" w:lineRule="auto"/>
      </w:pPr>
      <w:r>
        <w:separator/>
      </w:r>
    </w:p>
  </w:endnote>
  <w:endnote w:type="continuationSeparator" w:id="0">
    <w:p w14:paraId="495ED14E" w14:textId="77777777" w:rsidR="007A329C" w:rsidRDefault="007A329C" w:rsidP="006D47D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0879150"/>
      <w:docPartObj>
        <w:docPartGallery w:val="Page Numbers (Bottom of Page)"/>
        <w:docPartUnique/>
      </w:docPartObj>
    </w:sdtPr>
    <w:sdtEndPr>
      <w:rPr>
        <w:noProof/>
      </w:rPr>
    </w:sdtEndPr>
    <w:sdtContent>
      <w:p w14:paraId="2EC803A0" w14:textId="2CCEDC44" w:rsidR="00963940" w:rsidRDefault="0096394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58FEC9B" w14:textId="77777777" w:rsidR="00FD158C" w:rsidRPr="00FD158C" w:rsidRDefault="00FD158C">
    <w:pPr>
      <w:pStyle w:val="Footer"/>
      <w:rPr>
        <w:rFonts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FBE7BC" w14:textId="77777777" w:rsidR="007A329C" w:rsidRDefault="007A329C" w:rsidP="006D47D1">
      <w:pPr>
        <w:spacing w:line="240" w:lineRule="auto"/>
      </w:pPr>
      <w:r>
        <w:separator/>
      </w:r>
    </w:p>
  </w:footnote>
  <w:footnote w:type="continuationSeparator" w:id="0">
    <w:p w14:paraId="4452994E" w14:textId="77777777" w:rsidR="007A329C" w:rsidRDefault="007A329C" w:rsidP="006D47D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FC6B8" w14:textId="3B962313" w:rsidR="00FD158C" w:rsidRDefault="00FD158C">
    <w:pPr>
      <w:pStyle w:val="Header"/>
      <w:jc w:val="center"/>
    </w:pPr>
  </w:p>
  <w:p w14:paraId="65AEC774" w14:textId="77777777" w:rsidR="00FD158C" w:rsidRDefault="00FD15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E3C6E"/>
    <w:multiLevelType w:val="hybridMultilevel"/>
    <w:tmpl w:val="257ED084"/>
    <w:lvl w:ilvl="0" w:tplc="1009000F">
      <w:start w:val="1"/>
      <w:numFmt w:val="decimal"/>
      <w:lvlText w:val="%1."/>
      <w:lvlJc w:val="left"/>
      <w:pPr>
        <w:ind w:left="1430" w:hanging="360"/>
      </w:pPr>
    </w:lvl>
    <w:lvl w:ilvl="1" w:tplc="10090019" w:tentative="1">
      <w:start w:val="1"/>
      <w:numFmt w:val="lowerLetter"/>
      <w:lvlText w:val="%2."/>
      <w:lvlJc w:val="left"/>
      <w:pPr>
        <w:ind w:left="2150" w:hanging="360"/>
      </w:pPr>
    </w:lvl>
    <w:lvl w:ilvl="2" w:tplc="1009001B" w:tentative="1">
      <w:start w:val="1"/>
      <w:numFmt w:val="lowerRoman"/>
      <w:lvlText w:val="%3."/>
      <w:lvlJc w:val="right"/>
      <w:pPr>
        <w:ind w:left="2870" w:hanging="180"/>
      </w:pPr>
    </w:lvl>
    <w:lvl w:ilvl="3" w:tplc="1009000F" w:tentative="1">
      <w:start w:val="1"/>
      <w:numFmt w:val="decimal"/>
      <w:lvlText w:val="%4."/>
      <w:lvlJc w:val="left"/>
      <w:pPr>
        <w:ind w:left="3590" w:hanging="360"/>
      </w:pPr>
    </w:lvl>
    <w:lvl w:ilvl="4" w:tplc="10090019" w:tentative="1">
      <w:start w:val="1"/>
      <w:numFmt w:val="lowerLetter"/>
      <w:lvlText w:val="%5."/>
      <w:lvlJc w:val="left"/>
      <w:pPr>
        <w:ind w:left="4310" w:hanging="360"/>
      </w:pPr>
    </w:lvl>
    <w:lvl w:ilvl="5" w:tplc="1009001B" w:tentative="1">
      <w:start w:val="1"/>
      <w:numFmt w:val="lowerRoman"/>
      <w:lvlText w:val="%6."/>
      <w:lvlJc w:val="right"/>
      <w:pPr>
        <w:ind w:left="5030" w:hanging="180"/>
      </w:pPr>
    </w:lvl>
    <w:lvl w:ilvl="6" w:tplc="1009000F" w:tentative="1">
      <w:start w:val="1"/>
      <w:numFmt w:val="decimal"/>
      <w:lvlText w:val="%7."/>
      <w:lvlJc w:val="left"/>
      <w:pPr>
        <w:ind w:left="5750" w:hanging="360"/>
      </w:pPr>
    </w:lvl>
    <w:lvl w:ilvl="7" w:tplc="10090019" w:tentative="1">
      <w:start w:val="1"/>
      <w:numFmt w:val="lowerLetter"/>
      <w:lvlText w:val="%8."/>
      <w:lvlJc w:val="left"/>
      <w:pPr>
        <w:ind w:left="6470" w:hanging="360"/>
      </w:pPr>
    </w:lvl>
    <w:lvl w:ilvl="8" w:tplc="1009001B" w:tentative="1">
      <w:start w:val="1"/>
      <w:numFmt w:val="lowerRoman"/>
      <w:lvlText w:val="%9."/>
      <w:lvlJc w:val="right"/>
      <w:pPr>
        <w:ind w:left="7190" w:hanging="180"/>
      </w:pPr>
    </w:lvl>
  </w:abstractNum>
  <w:abstractNum w:abstractNumId="1" w15:restartNumberingAfterBreak="0">
    <w:nsid w:val="09942F51"/>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93333EA"/>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E273CF0"/>
    <w:multiLevelType w:val="hybridMultilevel"/>
    <w:tmpl w:val="0CF69422"/>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2E5109FE"/>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B9F761E"/>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C584440"/>
    <w:multiLevelType w:val="hybridMultilevel"/>
    <w:tmpl w:val="00087E9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3D3A28EE"/>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EB43EAB"/>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EC7153A"/>
    <w:multiLevelType w:val="hybridMultilevel"/>
    <w:tmpl w:val="47B680E6"/>
    <w:lvl w:ilvl="0" w:tplc="3774D66A">
      <w:start w:val="1"/>
      <w:numFmt w:val="bullet"/>
      <w:lvlText w:val=""/>
      <w:lvlJc w:val="left"/>
      <w:pPr>
        <w:ind w:left="720" w:hanging="360"/>
      </w:pPr>
      <w:rPr>
        <w:rFonts w:ascii="Symbol" w:hAnsi="Symbol"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FC23E20"/>
    <w:multiLevelType w:val="hybridMultilevel"/>
    <w:tmpl w:val="23F258A2"/>
    <w:lvl w:ilvl="0" w:tplc="1009000F">
      <w:start w:val="1"/>
      <w:numFmt w:val="decimal"/>
      <w:lvlText w:val="%1."/>
      <w:lvlJc w:val="left"/>
      <w:pPr>
        <w:ind w:left="1004" w:hanging="360"/>
      </w:pPr>
    </w:lvl>
    <w:lvl w:ilvl="1" w:tplc="10090019" w:tentative="1">
      <w:start w:val="1"/>
      <w:numFmt w:val="lowerLetter"/>
      <w:lvlText w:val="%2."/>
      <w:lvlJc w:val="left"/>
      <w:pPr>
        <w:ind w:left="1724" w:hanging="360"/>
      </w:pPr>
    </w:lvl>
    <w:lvl w:ilvl="2" w:tplc="1009001B" w:tentative="1">
      <w:start w:val="1"/>
      <w:numFmt w:val="lowerRoman"/>
      <w:lvlText w:val="%3."/>
      <w:lvlJc w:val="right"/>
      <w:pPr>
        <w:ind w:left="2444" w:hanging="180"/>
      </w:pPr>
    </w:lvl>
    <w:lvl w:ilvl="3" w:tplc="1009000F" w:tentative="1">
      <w:start w:val="1"/>
      <w:numFmt w:val="decimal"/>
      <w:lvlText w:val="%4."/>
      <w:lvlJc w:val="left"/>
      <w:pPr>
        <w:ind w:left="3164" w:hanging="360"/>
      </w:pPr>
    </w:lvl>
    <w:lvl w:ilvl="4" w:tplc="10090019" w:tentative="1">
      <w:start w:val="1"/>
      <w:numFmt w:val="lowerLetter"/>
      <w:lvlText w:val="%5."/>
      <w:lvlJc w:val="left"/>
      <w:pPr>
        <w:ind w:left="3884" w:hanging="360"/>
      </w:pPr>
    </w:lvl>
    <w:lvl w:ilvl="5" w:tplc="1009001B" w:tentative="1">
      <w:start w:val="1"/>
      <w:numFmt w:val="lowerRoman"/>
      <w:lvlText w:val="%6."/>
      <w:lvlJc w:val="right"/>
      <w:pPr>
        <w:ind w:left="4604" w:hanging="180"/>
      </w:pPr>
    </w:lvl>
    <w:lvl w:ilvl="6" w:tplc="1009000F" w:tentative="1">
      <w:start w:val="1"/>
      <w:numFmt w:val="decimal"/>
      <w:lvlText w:val="%7."/>
      <w:lvlJc w:val="left"/>
      <w:pPr>
        <w:ind w:left="5324" w:hanging="360"/>
      </w:pPr>
    </w:lvl>
    <w:lvl w:ilvl="7" w:tplc="10090019" w:tentative="1">
      <w:start w:val="1"/>
      <w:numFmt w:val="lowerLetter"/>
      <w:lvlText w:val="%8."/>
      <w:lvlJc w:val="left"/>
      <w:pPr>
        <w:ind w:left="6044" w:hanging="360"/>
      </w:pPr>
    </w:lvl>
    <w:lvl w:ilvl="8" w:tplc="1009001B" w:tentative="1">
      <w:start w:val="1"/>
      <w:numFmt w:val="lowerRoman"/>
      <w:lvlText w:val="%9."/>
      <w:lvlJc w:val="right"/>
      <w:pPr>
        <w:ind w:left="6764" w:hanging="180"/>
      </w:pPr>
    </w:lvl>
  </w:abstractNum>
  <w:abstractNum w:abstractNumId="11" w15:restartNumberingAfterBreak="0">
    <w:nsid w:val="43CE73AB"/>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CB6D2D"/>
    <w:multiLevelType w:val="hybridMultilevel"/>
    <w:tmpl w:val="667ACC3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59BB2652"/>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A4E2909"/>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D0E7189"/>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753D28"/>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F986658"/>
    <w:multiLevelType w:val="multilevel"/>
    <w:tmpl w:val="10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72C37256"/>
    <w:multiLevelType w:val="hybridMultilevel"/>
    <w:tmpl w:val="158879A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9" w15:restartNumberingAfterBreak="0">
    <w:nsid w:val="7ED212DB"/>
    <w:multiLevelType w:val="hybridMultilevel"/>
    <w:tmpl w:val="06C0622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767584922">
    <w:abstractNumId w:val="12"/>
  </w:num>
  <w:num w:numId="2" w16cid:durableId="1148786733">
    <w:abstractNumId w:val="3"/>
  </w:num>
  <w:num w:numId="3" w16cid:durableId="848759617">
    <w:abstractNumId w:val="18"/>
  </w:num>
  <w:num w:numId="4" w16cid:durableId="1022708141">
    <w:abstractNumId w:val="2"/>
  </w:num>
  <w:num w:numId="5" w16cid:durableId="1638412817">
    <w:abstractNumId w:val="19"/>
  </w:num>
  <w:num w:numId="6" w16cid:durableId="490029216">
    <w:abstractNumId w:val="0"/>
  </w:num>
  <w:num w:numId="7" w16cid:durableId="1588003441">
    <w:abstractNumId w:val="8"/>
  </w:num>
  <w:num w:numId="8" w16cid:durableId="1363821006">
    <w:abstractNumId w:val="10"/>
  </w:num>
  <w:num w:numId="9" w16cid:durableId="1079520790">
    <w:abstractNumId w:val="13"/>
  </w:num>
  <w:num w:numId="10" w16cid:durableId="436798318">
    <w:abstractNumId w:val="17"/>
  </w:num>
  <w:num w:numId="11" w16cid:durableId="252320206">
    <w:abstractNumId w:val="6"/>
  </w:num>
  <w:num w:numId="12" w16cid:durableId="339237341">
    <w:abstractNumId w:val="9"/>
  </w:num>
  <w:num w:numId="13" w16cid:durableId="1644775677">
    <w:abstractNumId w:val="15"/>
  </w:num>
  <w:num w:numId="14" w16cid:durableId="406879947">
    <w:abstractNumId w:val="4"/>
  </w:num>
  <w:num w:numId="15" w16cid:durableId="902914120">
    <w:abstractNumId w:val="5"/>
  </w:num>
  <w:num w:numId="16" w16cid:durableId="1432706345">
    <w:abstractNumId w:val="16"/>
  </w:num>
  <w:num w:numId="17" w16cid:durableId="1201361972">
    <w:abstractNumId w:val="11"/>
  </w:num>
  <w:num w:numId="18" w16cid:durableId="194664289">
    <w:abstractNumId w:val="14"/>
  </w:num>
  <w:num w:numId="19" w16cid:durableId="1738938959">
    <w:abstractNumId w:val="1"/>
  </w:num>
  <w:num w:numId="20" w16cid:durableId="211007797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bordersDoNotSurroundHeader/>
  <w:bordersDoNotSurroundFooter/>
  <w:activeWritingStyle w:appName="MSWord" w:lang="en-US" w:vendorID="64" w:dllVersion="0" w:nlCheck="1" w:checkStyle="0"/>
  <w:activeWritingStyle w:appName="MSWord" w:lang="en-CA" w:vendorID="64" w:dllVersion="0" w:nlCheck="1" w:checkStyle="0"/>
  <w:activeWritingStyle w:appName="MSWord" w:lang="fr-BE" w:vendorID="64" w:dllVersion="0" w:nlCheck="1" w:checkStyle="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5FE1"/>
    <w:rsid w:val="0000044D"/>
    <w:rsid w:val="00000B98"/>
    <w:rsid w:val="00001195"/>
    <w:rsid w:val="0000125E"/>
    <w:rsid w:val="00002505"/>
    <w:rsid w:val="00002B3A"/>
    <w:rsid w:val="00003341"/>
    <w:rsid w:val="00003B82"/>
    <w:rsid w:val="00004CAC"/>
    <w:rsid w:val="000115A8"/>
    <w:rsid w:val="00012473"/>
    <w:rsid w:val="00013930"/>
    <w:rsid w:val="00014794"/>
    <w:rsid w:val="000148C1"/>
    <w:rsid w:val="000167EE"/>
    <w:rsid w:val="000179B0"/>
    <w:rsid w:val="00020687"/>
    <w:rsid w:val="00020B5A"/>
    <w:rsid w:val="00020F49"/>
    <w:rsid w:val="00022C5F"/>
    <w:rsid w:val="00024867"/>
    <w:rsid w:val="00024D25"/>
    <w:rsid w:val="0003013B"/>
    <w:rsid w:val="00033120"/>
    <w:rsid w:val="0003354D"/>
    <w:rsid w:val="000338B8"/>
    <w:rsid w:val="000342DE"/>
    <w:rsid w:val="0003489F"/>
    <w:rsid w:val="0003499B"/>
    <w:rsid w:val="00035E03"/>
    <w:rsid w:val="00036329"/>
    <w:rsid w:val="00036BBD"/>
    <w:rsid w:val="000407DC"/>
    <w:rsid w:val="00041232"/>
    <w:rsid w:val="000422BE"/>
    <w:rsid w:val="0004347B"/>
    <w:rsid w:val="000434C8"/>
    <w:rsid w:val="00043508"/>
    <w:rsid w:val="0004358F"/>
    <w:rsid w:val="00043FAF"/>
    <w:rsid w:val="000458C9"/>
    <w:rsid w:val="00046417"/>
    <w:rsid w:val="00050633"/>
    <w:rsid w:val="00050E7A"/>
    <w:rsid w:val="00051C35"/>
    <w:rsid w:val="00052B01"/>
    <w:rsid w:val="00052C1F"/>
    <w:rsid w:val="00052F8B"/>
    <w:rsid w:val="000531B7"/>
    <w:rsid w:val="000540DA"/>
    <w:rsid w:val="00054738"/>
    <w:rsid w:val="00055665"/>
    <w:rsid w:val="000576CA"/>
    <w:rsid w:val="000577FC"/>
    <w:rsid w:val="00057C68"/>
    <w:rsid w:val="00060141"/>
    <w:rsid w:val="00060D26"/>
    <w:rsid w:val="00060E1B"/>
    <w:rsid w:val="0006178A"/>
    <w:rsid w:val="0006309F"/>
    <w:rsid w:val="00063BCC"/>
    <w:rsid w:val="000649B7"/>
    <w:rsid w:val="00065B4D"/>
    <w:rsid w:val="000666FB"/>
    <w:rsid w:val="00071940"/>
    <w:rsid w:val="000719A5"/>
    <w:rsid w:val="00071C44"/>
    <w:rsid w:val="00073338"/>
    <w:rsid w:val="0007403F"/>
    <w:rsid w:val="0007453B"/>
    <w:rsid w:val="00074A1D"/>
    <w:rsid w:val="00074BCB"/>
    <w:rsid w:val="000759BE"/>
    <w:rsid w:val="000759F1"/>
    <w:rsid w:val="00076A8A"/>
    <w:rsid w:val="0007774C"/>
    <w:rsid w:val="00077DB3"/>
    <w:rsid w:val="00080ED1"/>
    <w:rsid w:val="000818F1"/>
    <w:rsid w:val="00081DA5"/>
    <w:rsid w:val="000828D6"/>
    <w:rsid w:val="00083613"/>
    <w:rsid w:val="00083C88"/>
    <w:rsid w:val="0008436A"/>
    <w:rsid w:val="00085EE2"/>
    <w:rsid w:val="00090A4D"/>
    <w:rsid w:val="00091903"/>
    <w:rsid w:val="0009434D"/>
    <w:rsid w:val="00095D23"/>
    <w:rsid w:val="000A033D"/>
    <w:rsid w:val="000A10F7"/>
    <w:rsid w:val="000A38D4"/>
    <w:rsid w:val="000A3B49"/>
    <w:rsid w:val="000A504D"/>
    <w:rsid w:val="000A52E7"/>
    <w:rsid w:val="000A5BF4"/>
    <w:rsid w:val="000A655F"/>
    <w:rsid w:val="000A6CE5"/>
    <w:rsid w:val="000B19EC"/>
    <w:rsid w:val="000B203E"/>
    <w:rsid w:val="000B22E1"/>
    <w:rsid w:val="000B2333"/>
    <w:rsid w:val="000B29CE"/>
    <w:rsid w:val="000B2C86"/>
    <w:rsid w:val="000B47BD"/>
    <w:rsid w:val="000B4F60"/>
    <w:rsid w:val="000C01EA"/>
    <w:rsid w:val="000C1E71"/>
    <w:rsid w:val="000C312B"/>
    <w:rsid w:val="000C655E"/>
    <w:rsid w:val="000C68FD"/>
    <w:rsid w:val="000C6B33"/>
    <w:rsid w:val="000C7655"/>
    <w:rsid w:val="000D1E70"/>
    <w:rsid w:val="000D234F"/>
    <w:rsid w:val="000D2418"/>
    <w:rsid w:val="000D319F"/>
    <w:rsid w:val="000D31E7"/>
    <w:rsid w:val="000D5D42"/>
    <w:rsid w:val="000D6820"/>
    <w:rsid w:val="000D75EA"/>
    <w:rsid w:val="000D7BB0"/>
    <w:rsid w:val="000D7BDF"/>
    <w:rsid w:val="000E1B3B"/>
    <w:rsid w:val="000E1FD6"/>
    <w:rsid w:val="000E3078"/>
    <w:rsid w:val="000E3F0F"/>
    <w:rsid w:val="000E543F"/>
    <w:rsid w:val="000E5CC0"/>
    <w:rsid w:val="000E6A3F"/>
    <w:rsid w:val="000F0B06"/>
    <w:rsid w:val="000F130A"/>
    <w:rsid w:val="000F2D3C"/>
    <w:rsid w:val="000F5CB7"/>
    <w:rsid w:val="000F68E4"/>
    <w:rsid w:val="000F7369"/>
    <w:rsid w:val="000F766B"/>
    <w:rsid w:val="0010111C"/>
    <w:rsid w:val="0010220E"/>
    <w:rsid w:val="001038B6"/>
    <w:rsid w:val="00103B83"/>
    <w:rsid w:val="00104489"/>
    <w:rsid w:val="00104490"/>
    <w:rsid w:val="001055BE"/>
    <w:rsid w:val="00107584"/>
    <w:rsid w:val="001077A3"/>
    <w:rsid w:val="00107935"/>
    <w:rsid w:val="00107F65"/>
    <w:rsid w:val="0011017D"/>
    <w:rsid w:val="0011108B"/>
    <w:rsid w:val="001128A8"/>
    <w:rsid w:val="0011319E"/>
    <w:rsid w:val="00115847"/>
    <w:rsid w:val="00116675"/>
    <w:rsid w:val="00116731"/>
    <w:rsid w:val="00116DD1"/>
    <w:rsid w:val="00121408"/>
    <w:rsid w:val="0012345F"/>
    <w:rsid w:val="001270C6"/>
    <w:rsid w:val="001309A2"/>
    <w:rsid w:val="001314AD"/>
    <w:rsid w:val="0013186F"/>
    <w:rsid w:val="00131AA6"/>
    <w:rsid w:val="0013260A"/>
    <w:rsid w:val="0013308C"/>
    <w:rsid w:val="00134252"/>
    <w:rsid w:val="0013427D"/>
    <w:rsid w:val="00134F43"/>
    <w:rsid w:val="0013524E"/>
    <w:rsid w:val="0013597F"/>
    <w:rsid w:val="00141C74"/>
    <w:rsid w:val="00142169"/>
    <w:rsid w:val="00142D29"/>
    <w:rsid w:val="001436B8"/>
    <w:rsid w:val="0014465A"/>
    <w:rsid w:val="0014699D"/>
    <w:rsid w:val="00152573"/>
    <w:rsid w:val="00152A6D"/>
    <w:rsid w:val="00154E76"/>
    <w:rsid w:val="001556F9"/>
    <w:rsid w:val="00157067"/>
    <w:rsid w:val="001578D4"/>
    <w:rsid w:val="00161116"/>
    <w:rsid w:val="001616C7"/>
    <w:rsid w:val="001658A6"/>
    <w:rsid w:val="00165A5E"/>
    <w:rsid w:val="00170E44"/>
    <w:rsid w:val="00171789"/>
    <w:rsid w:val="00171A69"/>
    <w:rsid w:val="00172193"/>
    <w:rsid w:val="00172D83"/>
    <w:rsid w:val="00175CC0"/>
    <w:rsid w:val="00175FB2"/>
    <w:rsid w:val="001762E4"/>
    <w:rsid w:val="00177D30"/>
    <w:rsid w:val="001804E8"/>
    <w:rsid w:val="00184157"/>
    <w:rsid w:val="00185079"/>
    <w:rsid w:val="00187838"/>
    <w:rsid w:val="0019168B"/>
    <w:rsid w:val="00191AAF"/>
    <w:rsid w:val="00192493"/>
    <w:rsid w:val="00195035"/>
    <w:rsid w:val="00197472"/>
    <w:rsid w:val="001A1731"/>
    <w:rsid w:val="001A2808"/>
    <w:rsid w:val="001A3BAF"/>
    <w:rsid w:val="001A5933"/>
    <w:rsid w:val="001A5A01"/>
    <w:rsid w:val="001A6119"/>
    <w:rsid w:val="001A66BC"/>
    <w:rsid w:val="001A6740"/>
    <w:rsid w:val="001B029E"/>
    <w:rsid w:val="001B0B90"/>
    <w:rsid w:val="001B0CA9"/>
    <w:rsid w:val="001B0CD9"/>
    <w:rsid w:val="001B0DB4"/>
    <w:rsid w:val="001B1179"/>
    <w:rsid w:val="001B155B"/>
    <w:rsid w:val="001B33CD"/>
    <w:rsid w:val="001B389C"/>
    <w:rsid w:val="001B3CE6"/>
    <w:rsid w:val="001B5D53"/>
    <w:rsid w:val="001B7196"/>
    <w:rsid w:val="001C143D"/>
    <w:rsid w:val="001C1A5C"/>
    <w:rsid w:val="001C39B8"/>
    <w:rsid w:val="001C6167"/>
    <w:rsid w:val="001C7814"/>
    <w:rsid w:val="001D4419"/>
    <w:rsid w:val="001D4EDD"/>
    <w:rsid w:val="001D50CA"/>
    <w:rsid w:val="001D5BBC"/>
    <w:rsid w:val="001D6D24"/>
    <w:rsid w:val="001D767C"/>
    <w:rsid w:val="001D7B68"/>
    <w:rsid w:val="001E00B6"/>
    <w:rsid w:val="001E0D39"/>
    <w:rsid w:val="001E1164"/>
    <w:rsid w:val="001E13EB"/>
    <w:rsid w:val="001E18A7"/>
    <w:rsid w:val="001E190A"/>
    <w:rsid w:val="001E1E11"/>
    <w:rsid w:val="001E384C"/>
    <w:rsid w:val="001E5A1E"/>
    <w:rsid w:val="001E5BD5"/>
    <w:rsid w:val="001E60AF"/>
    <w:rsid w:val="001E62BB"/>
    <w:rsid w:val="001E6C94"/>
    <w:rsid w:val="001E7114"/>
    <w:rsid w:val="001E780C"/>
    <w:rsid w:val="001F0056"/>
    <w:rsid w:val="001F0210"/>
    <w:rsid w:val="001F2773"/>
    <w:rsid w:val="001F2EA4"/>
    <w:rsid w:val="001F33CC"/>
    <w:rsid w:val="001F3402"/>
    <w:rsid w:val="001F4340"/>
    <w:rsid w:val="001F4710"/>
    <w:rsid w:val="001F53AC"/>
    <w:rsid w:val="00200CFD"/>
    <w:rsid w:val="0020149E"/>
    <w:rsid w:val="00201E52"/>
    <w:rsid w:val="002034C3"/>
    <w:rsid w:val="0020362B"/>
    <w:rsid w:val="00205659"/>
    <w:rsid w:val="00206676"/>
    <w:rsid w:val="00207CB4"/>
    <w:rsid w:val="00210149"/>
    <w:rsid w:val="00210306"/>
    <w:rsid w:val="00212C4B"/>
    <w:rsid w:val="0021449C"/>
    <w:rsid w:val="00216828"/>
    <w:rsid w:val="00216876"/>
    <w:rsid w:val="00216AAB"/>
    <w:rsid w:val="00220D28"/>
    <w:rsid w:val="002222CC"/>
    <w:rsid w:val="00222A63"/>
    <w:rsid w:val="002232D6"/>
    <w:rsid w:val="002233FE"/>
    <w:rsid w:val="00224491"/>
    <w:rsid w:val="00224F5C"/>
    <w:rsid w:val="002271CC"/>
    <w:rsid w:val="00231DFD"/>
    <w:rsid w:val="002343D3"/>
    <w:rsid w:val="00234541"/>
    <w:rsid w:val="00234889"/>
    <w:rsid w:val="00235101"/>
    <w:rsid w:val="00235B43"/>
    <w:rsid w:val="00236FF2"/>
    <w:rsid w:val="0023734A"/>
    <w:rsid w:val="0023734F"/>
    <w:rsid w:val="002402DF"/>
    <w:rsid w:val="0024093B"/>
    <w:rsid w:val="0024169C"/>
    <w:rsid w:val="00242225"/>
    <w:rsid w:val="00242566"/>
    <w:rsid w:val="002427DC"/>
    <w:rsid w:val="00243290"/>
    <w:rsid w:val="002449D1"/>
    <w:rsid w:val="002449DC"/>
    <w:rsid w:val="0024531A"/>
    <w:rsid w:val="0024614C"/>
    <w:rsid w:val="002477F5"/>
    <w:rsid w:val="00250265"/>
    <w:rsid w:val="00250284"/>
    <w:rsid w:val="002523DB"/>
    <w:rsid w:val="0025325B"/>
    <w:rsid w:val="002561BF"/>
    <w:rsid w:val="00257039"/>
    <w:rsid w:val="002576A6"/>
    <w:rsid w:val="0026077D"/>
    <w:rsid w:val="0026110C"/>
    <w:rsid w:val="0026194A"/>
    <w:rsid w:val="00262490"/>
    <w:rsid w:val="002626C5"/>
    <w:rsid w:val="00263F8B"/>
    <w:rsid w:val="00264F53"/>
    <w:rsid w:val="0026697E"/>
    <w:rsid w:val="002674BD"/>
    <w:rsid w:val="00271F0F"/>
    <w:rsid w:val="00272150"/>
    <w:rsid w:val="00272AA6"/>
    <w:rsid w:val="002740AB"/>
    <w:rsid w:val="0027470A"/>
    <w:rsid w:val="002748A9"/>
    <w:rsid w:val="00274A4D"/>
    <w:rsid w:val="00274F1F"/>
    <w:rsid w:val="00275A73"/>
    <w:rsid w:val="00275FD7"/>
    <w:rsid w:val="00276443"/>
    <w:rsid w:val="0028092F"/>
    <w:rsid w:val="00281836"/>
    <w:rsid w:val="002826A9"/>
    <w:rsid w:val="00282988"/>
    <w:rsid w:val="00282D47"/>
    <w:rsid w:val="00286160"/>
    <w:rsid w:val="002863D7"/>
    <w:rsid w:val="00286824"/>
    <w:rsid w:val="0028697C"/>
    <w:rsid w:val="00287EC2"/>
    <w:rsid w:val="0029018E"/>
    <w:rsid w:val="00290BF2"/>
    <w:rsid w:val="00292C2B"/>
    <w:rsid w:val="00295A01"/>
    <w:rsid w:val="00297A5C"/>
    <w:rsid w:val="00297D28"/>
    <w:rsid w:val="002A0A71"/>
    <w:rsid w:val="002A156A"/>
    <w:rsid w:val="002A1BA9"/>
    <w:rsid w:val="002A3035"/>
    <w:rsid w:val="002A4453"/>
    <w:rsid w:val="002A4858"/>
    <w:rsid w:val="002A5048"/>
    <w:rsid w:val="002A561B"/>
    <w:rsid w:val="002A7B3C"/>
    <w:rsid w:val="002B0165"/>
    <w:rsid w:val="002B11EA"/>
    <w:rsid w:val="002B1514"/>
    <w:rsid w:val="002B1D91"/>
    <w:rsid w:val="002B2011"/>
    <w:rsid w:val="002B2DDB"/>
    <w:rsid w:val="002B3341"/>
    <w:rsid w:val="002B378D"/>
    <w:rsid w:val="002B3EDB"/>
    <w:rsid w:val="002B7CB7"/>
    <w:rsid w:val="002C12FF"/>
    <w:rsid w:val="002C364D"/>
    <w:rsid w:val="002C3DCD"/>
    <w:rsid w:val="002C461B"/>
    <w:rsid w:val="002C53EC"/>
    <w:rsid w:val="002C66FD"/>
    <w:rsid w:val="002C6834"/>
    <w:rsid w:val="002C7485"/>
    <w:rsid w:val="002D1383"/>
    <w:rsid w:val="002D50E7"/>
    <w:rsid w:val="002D604C"/>
    <w:rsid w:val="002D63A7"/>
    <w:rsid w:val="002D6EB4"/>
    <w:rsid w:val="002D7002"/>
    <w:rsid w:val="002D73AC"/>
    <w:rsid w:val="002E419E"/>
    <w:rsid w:val="002E425B"/>
    <w:rsid w:val="002E621C"/>
    <w:rsid w:val="002E624C"/>
    <w:rsid w:val="002E70B2"/>
    <w:rsid w:val="002F076B"/>
    <w:rsid w:val="002F2DB4"/>
    <w:rsid w:val="002F4E21"/>
    <w:rsid w:val="002F6116"/>
    <w:rsid w:val="002F6887"/>
    <w:rsid w:val="002F7927"/>
    <w:rsid w:val="00302D78"/>
    <w:rsid w:val="00302DFE"/>
    <w:rsid w:val="003034EC"/>
    <w:rsid w:val="003064C9"/>
    <w:rsid w:val="00307E35"/>
    <w:rsid w:val="00311062"/>
    <w:rsid w:val="00313FE4"/>
    <w:rsid w:val="003147D8"/>
    <w:rsid w:val="003166CE"/>
    <w:rsid w:val="00316B68"/>
    <w:rsid w:val="003177E4"/>
    <w:rsid w:val="003215D2"/>
    <w:rsid w:val="00321840"/>
    <w:rsid w:val="00321AA3"/>
    <w:rsid w:val="00321E4C"/>
    <w:rsid w:val="00324659"/>
    <w:rsid w:val="00325AFF"/>
    <w:rsid w:val="00325B8C"/>
    <w:rsid w:val="00325D2A"/>
    <w:rsid w:val="003276BD"/>
    <w:rsid w:val="00330BBD"/>
    <w:rsid w:val="00331BCB"/>
    <w:rsid w:val="00332601"/>
    <w:rsid w:val="00335ECD"/>
    <w:rsid w:val="003407D0"/>
    <w:rsid w:val="00342E8F"/>
    <w:rsid w:val="00343DC9"/>
    <w:rsid w:val="00343F14"/>
    <w:rsid w:val="0034609D"/>
    <w:rsid w:val="00346F79"/>
    <w:rsid w:val="00347924"/>
    <w:rsid w:val="0035017D"/>
    <w:rsid w:val="00351118"/>
    <w:rsid w:val="003514C0"/>
    <w:rsid w:val="003531ED"/>
    <w:rsid w:val="00354932"/>
    <w:rsid w:val="00354AB5"/>
    <w:rsid w:val="00355171"/>
    <w:rsid w:val="00357270"/>
    <w:rsid w:val="0036064C"/>
    <w:rsid w:val="003609FA"/>
    <w:rsid w:val="00362E58"/>
    <w:rsid w:val="00363BA0"/>
    <w:rsid w:val="00364877"/>
    <w:rsid w:val="003676F0"/>
    <w:rsid w:val="00367C52"/>
    <w:rsid w:val="00370A6F"/>
    <w:rsid w:val="00371138"/>
    <w:rsid w:val="0037188D"/>
    <w:rsid w:val="0037295F"/>
    <w:rsid w:val="00373599"/>
    <w:rsid w:val="003738FE"/>
    <w:rsid w:val="00374EB0"/>
    <w:rsid w:val="003755B7"/>
    <w:rsid w:val="00375A90"/>
    <w:rsid w:val="00375F84"/>
    <w:rsid w:val="0037737C"/>
    <w:rsid w:val="003774AF"/>
    <w:rsid w:val="003804FD"/>
    <w:rsid w:val="003806B0"/>
    <w:rsid w:val="00380878"/>
    <w:rsid w:val="0038231C"/>
    <w:rsid w:val="00383A78"/>
    <w:rsid w:val="003844CA"/>
    <w:rsid w:val="00385F56"/>
    <w:rsid w:val="003868A4"/>
    <w:rsid w:val="003870D7"/>
    <w:rsid w:val="0038794A"/>
    <w:rsid w:val="00392249"/>
    <w:rsid w:val="00393728"/>
    <w:rsid w:val="00394FE4"/>
    <w:rsid w:val="00396552"/>
    <w:rsid w:val="0039723F"/>
    <w:rsid w:val="003A220E"/>
    <w:rsid w:val="003A25E8"/>
    <w:rsid w:val="003A275B"/>
    <w:rsid w:val="003A33EF"/>
    <w:rsid w:val="003A6B1A"/>
    <w:rsid w:val="003B1053"/>
    <w:rsid w:val="003B23FE"/>
    <w:rsid w:val="003B33B6"/>
    <w:rsid w:val="003B3448"/>
    <w:rsid w:val="003B37CA"/>
    <w:rsid w:val="003B54E6"/>
    <w:rsid w:val="003B7E74"/>
    <w:rsid w:val="003C0101"/>
    <w:rsid w:val="003C1065"/>
    <w:rsid w:val="003C1329"/>
    <w:rsid w:val="003C1635"/>
    <w:rsid w:val="003C1E1C"/>
    <w:rsid w:val="003C2231"/>
    <w:rsid w:val="003C2F89"/>
    <w:rsid w:val="003C30BB"/>
    <w:rsid w:val="003C31FC"/>
    <w:rsid w:val="003C405A"/>
    <w:rsid w:val="003C611C"/>
    <w:rsid w:val="003C6634"/>
    <w:rsid w:val="003C669C"/>
    <w:rsid w:val="003C7B6E"/>
    <w:rsid w:val="003D25BF"/>
    <w:rsid w:val="003D373F"/>
    <w:rsid w:val="003D3CC2"/>
    <w:rsid w:val="003D5757"/>
    <w:rsid w:val="003D62B0"/>
    <w:rsid w:val="003D6320"/>
    <w:rsid w:val="003D6710"/>
    <w:rsid w:val="003E1073"/>
    <w:rsid w:val="003E3033"/>
    <w:rsid w:val="003E3559"/>
    <w:rsid w:val="003E581C"/>
    <w:rsid w:val="003E708C"/>
    <w:rsid w:val="003E7B3F"/>
    <w:rsid w:val="003E7FDD"/>
    <w:rsid w:val="003F13A0"/>
    <w:rsid w:val="003F6F01"/>
    <w:rsid w:val="003F7C7A"/>
    <w:rsid w:val="00400BBB"/>
    <w:rsid w:val="00402390"/>
    <w:rsid w:val="004042C2"/>
    <w:rsid w:val="0040631A"/>
    <w:rsid w:val="00412776"/>
    <w:rsid w:val="00412E00"/>
    <w:rsid w:val="00413ACF"/>
    <w:rsid w:val="004143AC"/>
    <w:rsid w:val="00416E3C"/>
    <w:rsid w:val="004171BA"/>
    <w:rsid w:val="00417B46"/>
    <w:rsid w:val="004212EF"/>
    <w:rsid w:val="00421488"/>
    <w:rsid w:val="00422272"/>
    <w:rsid w:val="00422303"/>
    <w:rsid w:val="0042239F"/>
    <w:rsid w:val="004228A9"/>
    <w:rsid w:val="00424F73"/>
    <w:rsid w:val="00425C5C"/>
    <w:rsid w:val="0042638F"/>
    <w:rsid w:val="00426BE0"/>
    <w:rsid w:val="004271DF"/>
    <w:rsid w:val="0042787C"/>
    <w:rsid w:val="00430D31"/>
    <w:rsid w:val="00431199"/>
    <w:rsid w:val="0043189C"/>
    <w:rsid w:val="004355FD"/>
    <w:rsid w:val="00436B3B"/>
    <w:rsid w:val="00440BA1"/>
    <w:rsid w:val="00442883"/>
    <w:rsid w:val="00443080"/>
    <w:rsid w:val="004430D3"/>
    <w:rsid w:val="00443790"/>
    <w:rsid w:val="00444BAD"/>
    <w:rsid w:val="00445000"/>
    <w:rsid w:val="00445414"/>
    <w:rsid w:val="00445854"/>
    <w:rsid w:val="00446D19"/>
    <w:rsid w:val="004479D5"/>
    <w:rsid w:val="00450B29"/>
    <w:rsid w:val="004524F7"/>
    <w:rsid w:val="004531EF"/>
    <w:rsid w:val="00454654"/>
    <w:rsid w:val="00454C9D"/>
    <w:rsid w:val="00461D12"/>
    <w:rsid w:val="00462415"/>
    <w:rsid w:val="00463418"/>
    <w:rsid w:val="004637ED"/>
    <w:rsid w:val="0046511F"/>
    <w:rsid w:val="00470814"/>
    <w:rsid w:val="00470A30"/>
    <w:rsid w:val="00472964"/>
    <w:rsid w:val="004731B4"/>
    <w:rsid w:val="00474061"/>
    <w:rsid w:val="00474F14"/>
    <w:rsid w:val="00476618"/>
    <w:rsid w:val="004805D5"/>
    <w:rsid w:val="00480937"/>
    <w:rsid w:val="004811AC"/>
    <w:rsid w:val="00482BEB"/>
    <w:rsid w:val="00483B78"/>
    <w:rsid w:val="00483F08"/>
    <w:rsid w:val="0048499A"/>
    <w:rsid w:val="00484BDB"/>
    <w:rsid w:val="004850C2"/>
    <w:rsid w:val="00486E53"/>
    <w:rsid w:val="004871D8"/>
    <w:rsid w:val="00487E07"/>
    <w:rsid w:val="0049176A"/>
    <w:rsid w:val="00491B37"/>
    <w:rsid w:val="00491EAE"/>
    <w:rsid w:val="00493800"/>
    <w:rsid w:val="004961ED"/>
    <w:rsid w:val="00496C4C"/>
    <w:rsid w:val="00497F59"/>
    <w:rsid w:val="004A0747"/>
    <w:rsid w:val="004A0E60"/>
    <w:rsid w:val="004A10E7"/>
    <w:rsid w:val="004A1A24"/>
    <w:rsid w:val="004A1B58"/>
    <w:rsid w:val="004A27B6"/>
    <w:rsid w:val="004A55D7"/>
    <w:rsid w:val="004A68E4"/>
    <w:rsid w:val="004B0CDD"/>
    <w:rsid w:val="004B2080"/>
    <w:rsid w:val="004B2582"/>
    <w:rsid w:val="004B5C33"/>
    <w:rsid w:val="004B6602"/>
    <w:rsid w:val="004C0FE2"/>
    <w:rsid w:val="004C2176"/>
    <w:rsid w:val="004C26E3"/>
    <w:rsid w:val="004C2BE9"/>
    <w:rsid w:val="004C3B50"/>
    <w:rsid w:val="004C5FEA"/>
    <w:rsid w:val="004C7A7F"/>
    <w:rsid w:val="004D29EC"/>
    <w:rsid w:val="004D4695"/>
    <w:rsid w:val="004D4861"/>
    <w:rsid w:val="004D48C8"/>
    <w:rsid w:val="004D781F"/>
    <w:rsid w:val="004D7855"/>
    <w:rsid w:val="004D7AD4"/>
    <w:rsid w:val="004E09ED"/>
    <w:rsid w:val="004E2223"/>
    <w:rsid w:val="004E2F9D"/>
    <w:rsid w:val="004E4027"/>
    <w:rsid w:val="004E41AC"/>
    <w:rsid w:val="004E4BBC"/>
    <w:rsid w:val="004E4ED3"/>
    <w:rsid w:val="004E5217"/>
    <w:rsid w:val="004E5AA8"/>
    <w:rsid w:val="004E69D0"/>
    <w:rsid w:val="004E6A34"/>
    <w:rsid w:val="004E7EE3"/>
    <w:rsid w:val="004F0AA7"/>
    <w:rsid w:val="004F1CEA"/>
    <w:rsid w:val="004F2E61"/>
    <w:rsid w:val="004F3DD2"/>
    <w:rsid w:val="004F40B8"/>
    <w:rsid w:val="004F4D3F"/>
    <w:rsid w:val="004F4E37"/>
    <w:rsid w:val="00502623"/>
    <w:rsid w:val="0050343F"/>
    <w:rsid w:val="00504752"/>
    <w:rsid w:val="00504859"/>
    <w:rsid w:val="00510585"/>
    <w:rsid w:val="00513D46"/>
    <w:rsid w:val="00513E46"/>
    <w:rsid w:val="00513E58"/>
    <w:rsid w:val="005140AB"/>
    <w:rsid w:val="005143B5"/>
    <w:rsid w:val="005147DF"/>
    <w:rsid w:val="00514A0F"/>
    <w:rsid w:val="00514AC7"/>
    <w:rsid w:val="0051573D"/>
    <w:rsid w:val="0051617F"/>
    <w:rsid w:val="0051688C"/>
    <w:rsid w:val="00520358"/>
    <w:rsid w:val="00521172"/>
    <w:rsid w:val="00522871"/>
    <w:rsid w:val="00522F20"/>
    <w:rsid w:val="00524BF3"/>
    <w:rsid w:val="005263C9"/>
    <w:rsid w:val="00526DB1"/>
    <w:rsid w:val="0052727A"/>
    <w:rsid w:val="00534084"/>
    <w:rsid w:val="005402CC"/>
    <w:rsid w:val="00540A62"/>
    <w:rsid w:val="00542396"/>
    <w:rsid w:val="00544CFB"/>
    <w:rsid w:val="00544FDE"/>
    <w:rsid w:val="005451E3"/>
    <w:rsid w:val="0054607B"/>
    <w:rsid w:val="00546209"/>
    <w:rsid w:val="00547990"/>
    <w:rsid w:val="00550122"/>
    <w:rsid w:val="00552280"/>
    <w:rsid w:val="005522CA"/>
    <w:rsid w:val="00552C2D"/>
    <w:rsid w:val="00553ED8"/>
    <w:rsid w:val="0055406C"/>
    <w:rsid w:val="0055533D"/>
    <w:rsid w:val="00555A6A"/>
    <w:rsid w:val="00555EF7"/>
    <w:rsid w:val="005564AB"/>
    <w:rsid w:val="00556AA6"/>
    <w:rsid w:val="00557357"/>
    <w:rsid w:val="005611B5"/>
    <w:rsid w:val="00561632"/>
    <w:rsid w:val="00562073"/>
    <w:rsid w:val="0056479F"/>
    <w:rsid w:val="005656A2"/>
    <w:rsid w:val="005658B9"/>
    <w:rsid w:val="00566EE6"/>
    <w:rsid w:val="005673BD"/>
    <w:rsid w:val="0056740B"/>
    <w:rsid w:val="005735DC"/>
    <w:rsid w:val="0057395A"/>
    <w:rsid w:val="00574FB2"/>
    <w:rsid w:val="005761B4"/>
    <w:rsid w:val="00576FFB"/>
    <w:rsid w:val="005776F8"/>
    <w:rsid w:val="0057788E"/>
    <w:rsid w:val="00580249"/>
    <w:rsid w:val="0058055D"/>
    <w:rsid w:val="00580929"/>
    <w:rsid w:val="00581474"/>
    <w:rsid w:val="00581532"/>
    <w:rsid w:val="00587621"/>
    <w:rsid w:val="00587EDA"/>
    <w:rsid w:val="005903AD"/>
    <w:rsid w:val="005905EA"/>
    <w:rsid w:val="00590CEB"/>
    <w:rsid w:val="00591022"/>
    <w:rsid w:val="0059233E"/>
    <w:rsid w:val="00592D82"/>
    <w:rsid w:val="00592E1A"/>
    <w:rsid w:val="005957B0"/>
    <w:rsid w:val="005976E1"/>
    <w:rsid w:val="00597C19"/>
    <w:rsid w:val="005A036F"/>
    <w:rsid w:val="005A21DC"/>
    <w:rsid w:val="005A3F66"/>
    <w:rsid w:val="005A41D0"/>
    <w:rsid w:val="005A642B"/>
    <w:rsid w:val="005A784B"/>
    <w:rsid w:val="005A7985"/>
    <w:rsid w:val="005B05AF"/>
    <w:rsid w:val="005B073D"/>
    <w:rsid w:val="005B0BF4"/>
    <w:rsid w:val="005B1E0C"/>
    <w:rsid w:val="005B2BBF"/>
    <w:rsid w:val="005B5B46"/>
    <w:rsid w:val="005B6FAD"/>
    <w:rsid w:val="005B7946"/>
    <w:rsid w:val="005C001C"/>
    <w:rsid w:val="005C0B71"/>
    <w:rsid w:val="005C1D04"/>
    <w:rsid w:val="005C2602"/>
    <w:rsid w:val="005C45D4"/>
    <w:rsid w:val="005C4F08"/>
    <w:rsid w:val="005C518C"/>
    <w:rsid w:val="005C7F44"/>
    <w:rsid w:val="005D2CD9"/>
    <w:rsid w:val="005D652A"/>
    <w:rsid w:val="005E001F"/>
    <w:rsid w:val="005E05B2"/>
    <w:rsid w:val="005E0FDE"/>
    <w:rsid w:val="005E1112"/>
    <w:rsid w:val="005E1930"/>
    <w:rsid w:val="005E2EB0"/>
    <w:rsid w:val="005E4190"/>
    <w:rsid w:val="005E602F"/>
    <w:rsid w:val="005E638F"/>
    <w:rsid w:val="005E69C8"/>
    <w:rsid w:val="005E7F41"/>
    <w:rsid w:val="005F06C2"/>
    <w:rsid w:val="005F1CF0"/>
    <w:rsid w:val="005F2EAA"/>
    <w:rsid w:val="005F429E"/>
    <w:rsid w:val="005F4B73"/>
    <w:rsid w:val="00600AFE"/>
    <w:rsid w:val="006025DB"/>
    <w:rsid w:val="00603015"/>
    <w:rsid w:val="006116E4"/>
    <w:rsid w:val="00611C82"/>
    <w:rsid w:val="00611CDF"/>
    <w:rsid w:val="00611FD0"/>
    <w:rsid w:val="0061293C"/>
    <w:rsid w:val="006131B5"/>
    <w:rsid w:val="006134AF"/>
    <w:rsid w:val="0061436A"/>
    <w:rsid w:val="00614394"/>
    <w:rsid w:val="006150A8"/>
    <w:rsid w:val="00621AF7"/>
    <w:rsid w:val="00623159"/>
    <w:rsid w:val="0062605C"/>
    <w:rsid w:val="006270B0"/>
    <w:rsid w:val="00632910"/>
    <w:rsid w:val="006332EA"/>
    <w:rsid w:val="0063337A"/>
    <w:rsid w:val="00633546"/>
    <w:rsid w:val="0063438C"/>
    <w:rsid w:val="006358E5"/>
    <w:rsid w:val="00635BDF"/>
    <w:rsid w:val="0063655E"/>
    <w:rsid w:val="00641D6A"/>
    <w:rsid w:val="006432C8"/>
    <w:rsid w:val="006433F9"/>
    <w:rsid w:val="00645ED0"/>
    <w:rsid w:val="006460A2"/>
    <w:rsid w:val="006461E3"/>
    <w:rsid w:val="006464DF"/>
    <w:rsid w:val="00646BFA"/>
    <w:rsid w:val="006476C4"/>
    <w:rsid w:val="00650A36"/>
    <w:rsid w:val="006515A0"/>
    <w:rsid w:val="006527F6"/>
    <w:rsid w:val="00652924"/>
    <w:rsid w:val="00654FC5"/>
    <w:rsid w:val="006555B5"/>
    <w:rsid w:val="00656738"/>
    <w:rsid w:val="00656FAE"/>
    <w:rsid w:val="0066208E"/>
    <w:rsid w:val="006622BF"/>
    <w:rsid w:val="00662C2B"/>
    <w:rsid w:val="0066587E"/>
    <w:rsid w:val="00665BC6"/>
    <w:rsid w:val="00665E2D"/>
    <w:rsid w:val="0067005E"/>
    <w:rsid w:val="00671BA6"/>
    <w:rsid w:val="00674008"/>
    <w:rsid w:val="0067551E"/>
    <w:rsid w:val="006803F9"/>
    <w:rsid w:val="00682691"/>
    <w:rsid w:val="0068447D"/>
    <w:rsid w:val="00687D7A"/>
    <w:rsid w:val="00691012"/>
    <w:rsid w:val="00691166"/>
    <w:rsid w:val="006921C3"/>
    <w:rsid w:val="0069487F"/>
    <w:rsid w:val="00695350"/>
    <w:rsid w:val="006A037E"/>
    <w:rsid w:val="006A2905"/>
    <w:rsid w:val="006A2B4C"/>
    <w:rsid w:val="006A3ECC"/>
    <w:rsid w:val="006A4D2E"/>
    <w:rsid w:val="006A4EB4"/>
    <w:rsid w:val="006A5E50"/>
    <w:rsid w:val="006A5FDD"/>
    <w:rsid w:val="006A7998"/>
    <w:rsid w:val="006B0CAB"/>
    <w:rsid w:val="006B1633"/>
    <w:rsid w:val="006B21EA"/>
    <w:rsid w:val="006B2FB7"/>
    <w:rsid w:val="006B4D19"/>
    <w:rsid w:val="006B5607"/>
    <w:rsid w:val="006B6ECF"/>
    <w:rsid w:val="006B7000"/>
    <w:rsid w:val="006B7D13"/>
    <w:rsid w:val="006C2341"/>
    <w:rsid w:val="006C26CF"/>
    <w:rsid w:val="006C2F47"/>
    <w:rsid w:val="006C30DA"/>
    <w:rsid w:val="006C37A6"/>
    <w:rsid w:val="006C3A1E"/>
    <w:rsid w:val="006C4412"/>
    <w:rsid w:val="006C542B"/>
    <w:rsid w:val="006C54B3"/>
    <w:rsid w:val="006C55B4"/>
    <w:rsid w:val="006C59C1"/>
    <w:rsid w:val="006C6B67"/>
    <w:rsid w:val="006C7D0C"/>
    <w:rsid w:val="006D1AC8"/>
    <w:rsid w:val="006D24A8"/>
    <w:rsid w:val="006D2C94"/>
    <w:rsid w:val="006D39F1"/>
    <w:rsid w:val="006D47D1"/>
    <w:rsid w:val="006D486C"/>
    <w:rsid w:val="006D5B9D"/>
    <w:rsid w:val="006D5F72"/>
    <w:rsid w:val="006D7391"/>
    <w:rsid w:val="006D7846"/>
    <w:rsid w:val="006E0186"/>
    <w:rsid w:val="006E06AF"/>
    <w:rsid w:val="006E0BEB"/>
    <w:rsid w:val="006E13C7"/>
    <w:rsid w:val="006E1F4A"/>
    <w:rsid w:val="006E1FB7"/>
    <w:rsid w:val="006E3560"/>
    <w:rsid w:val="006E44B9"/>
    <w:rsid w:val="006E491F"/>
    <w:rsid w:val="006F1D5D"/>
    <w:rsid w:val="006F201B"/>
    <w:rsid w:val="006F26C8"/>
    <w:rsid w:val="006F5C61"/>
    <w:rsid w:val="00700947"/>
    <w:rsid w:val="007012CB"/>
    <w:rsid w:val="007026A9"/>
    <w:rsid w:val="0070392F"/>
    <w:rsid w:val="00703F36"/>
    <w:rsid w:val="00705B08"/>
    <w:rsid w:val="007104C7"/>
    <w:rsid w:val="007114EA"/>
    <w:rsid w:val="00711F16"/>
    <w:rsid w:val="007139F6"/>
    <w:rsid w:val="007166C1"/>
    <w:rsid w:val="007169F1"/>
    <w:rsid w:val="00716E87"/>
    <w:rsid w:val="007171E5"/>
    <w:rsid w:val="00717D84"/>
    <w:rsid w:val="0072012B"/>
    <w:rsid w:val="007201AF"/>
    <w:rsid w:val="00724432"/>
    <w:rsid w:val="00724CFE"/>
    <w:rsid w:val="007261FB"/>
    <w:rsid w:val="0072715B"/>
    <w:rsid w:val="0072741A"/>
    <w:rsid w:val="00732978"/>
    <w:rsid w:val="00733F02"/>
    <w:rsid w:val="007345D2"/>
    <w:rsid w:val="0073494D"/>
    <w:rsid w:val="00735329"/>
    <w:rsid w:val="007359FB"/>
    <w:rsid w:val="00735B5C"/>
    <w:rsid w:val="0073662C"/>
    <w:rsid w:val="00737EF3"/>
    <w:rsid w:val="00740EE9"/>
    <w:rsid w:val="00741097"/>
    <w:rsid w:val="00741E01"/>
    <w:rsid w:val="00742839"/>
    <w:rsid w:val="007430E7"/>
    <w:rsid w:val="007444A7"/>
    <w:rsid w:val="00744741"/>
    <w:rsid w:val="00744E97"/>
    <w:rsid w:val="00744F39"/>
    <w:rsid w:val="00745423"/>
    <w:rsid w:val="007459C0"/>
    <w:rsid w:val="00747D6B"/>
    <w:rsid w:val="00747F21"/>
    <w:rsid w:val="007514BA"/>
    <w:rsid w:val="0075297F"/>
    <w:rsid w:val="007534B2"/>
    <w:rsid w:val="0075443D"/>
    <w:rsid w:val="007545E8"/>
    <w:rsid w:val="00754D4E"/>
    <w:rsid w:val="00754FFB"/>
    <w:rsid w:val="0075580B"/>
    <w:rsid w:val="00756FF4"/>
    <w:rsid w:val="007571C0"/>
    <w:rsid w:val="00757561"/>
    <w:rsid w:val="0076022A"/>
    <w:rsid w:val="00760DEF"/>
    <w:rsid w:val="00762A92"/>
    <w:rsid w:val="00762B29"/>
    <w:rsid w:val="00764A05"/>
    <w:rsid w:val="0076513B"/>
    <w:rsid w:val="0076567E"/>
    <w:rsid w:val="00766067"/>
    <w:rsid w:val="007669E2"/>
    <w:rsid w:val="00767941"/>
    <w:rsid w:val="00767C1A"/>
    <w:rsid w:val="00767CEA"/>
    <w:rsid w:val="00770864"/>
    <w:rsid w:val="007715A5"/>
    <w:rsid w:val="007715C5"/>
    <w:rsid w:val="00772119"/>
    <w:rsid w:val="00773107"/>
    <w:rsid w:val="00775821"/>
    <w:rsid w:val="0078236B"/>
    <w:rsid w:val="007826C4"/>
    <w:rsid w:val="007850B2"/>
    <w:rsid w:val="00785D8A"/>
    <w:rsid w:val="00786D45"/>
    <w:rsid w:val="00786DCA"/>
    <w:rsid w:val="007901D4"/>
    <w:rsid w:val="00790D33"/>
    <w:rsid w:val="0079271A"/>
    <w:rsid w:val="007928FD"/>
    <w:rsid w:val="007944B8"/>
    <w:rsid w:val="00795BC0"/>
    <w:rsid w:val="007964F7"/>
    <w:rsid w:val="007977D2"/>
    <w:rsid w:val="00797F78"/>
    <w:rsid w:val="007A134B"/>
    <w:rsid w:val="007A329C"/>
    <w:rsid w:val="007A4583"/>
    <w:rsid w:val="007A4825"/>
    <w:rsid w:val="007A4DFB"/>
    <w:rsid w:val="007A500B"/>
    <w:rsid w:val="007A68CE"/>
    <w:rsid w:val="007A7A9F"/>
    <w:rsid w:val="007A7D1B"/>
    <w:rsid w:val="007B0AD1"/>
    <w:rsid w:val="007B0E9A"/>
    <w:rsid w:val="007B15D1"/>
    <w:rsid w:val="007B1908"/>
    <w:rsid w:val="007B289A"/>
    <w:rsid w:val="007B2FB8"/>
    <w:rsid w:val="007B3BCE"/>
    <w:rsid w:val="007B493F"/>
    <w:rsid w:val="007B5ACE"/>
    <w:rsid w:val="007B6089"/>
    <w:rsid w:val="007B6438"/>
    <w:rsid w:val="007B79E2"/>
    <w:rsid w:val="007C0ADB"/>
    <w:rsid w:val="007C2171"/>
    <w:rsid w:val="007C2691"/>
    <w:rsid w:val="007C2FAA"/>
    <w:rsid w:val="007C4E88"/>
    <w:rsid w:val="007C6CC1"/>
    <w:rsid w:val="007C6EFE"/>
    <w:rsid w:val="007C7261"/>
    <w:rsid w:val="007C76AB"/>
    <w:rsid w:val="007C7A93"/>
    <w:rsid w:val="007D1B6E"/>
    <w:rsid w:val="007D4312"/>
    <w:rsid w:val="007D4D20"/>
    <w:rsid w:val="007D5EAA"/>
    <w:rsid w:val="007E2804"/>
    <w:rsid w:val="007E3B41"/>
    <w:rsid w:val="007E4C8F"/>
    <w:rsid w:val="007E5E0F"/>
    <w:rsid w:val="007E6ED4"/>
    <w:rsid w:val="007E7CD9"/>
    <w:rsid w:val="007F1FFA"/>
    <w:rsid w:val="007F2FED"/>
    <w:rsid w:val="007F40DB"/>
    <w:rsid w:val="007F49BF"/>
    <w:rsid w:val="007F54C2"/>
    <w:rsid w:val="007F5BB5"/>
    <w:rsid w:val="00800953"/>
    <w:rsid w:val="00801987"/>
    <w:rsid w:val="00802E6D"/>
    <w:rsid w:val="008049C6"/>
    <w:rsid w:val="0080718C"/>
    <w:rsid w:val="0081132D"/>
    <w:rsid w:val="00811B15"/>
    <w:rsid w:val="0081232E"/>
    <w:rsid w:val="00812339"/>
    <w:rsid w:val="00816151"/>
    <w:rsid w:val="00816E89"/>
    <w:rsid w:val="00822880"/>
    <w:rsid w:val="00822C15"/>
    <w:rsid w:val="00824D09"/>
    <w:rsid w:val="00825428"/>
    <w:rsid w:val="00826DCC"/>
    <w:rsid w:val="00830C39"/>
    <w:rsid w:val="00830FA3"/>
    <w:rsid w:val="0083176D"/>
    <w:rsid w:val="00831F97"/>
    <w:rsid w:val="00832740"/>
    <w:rsid w:val="00833350"/>
    <w:rsid w:val="00833CE8"/>
    <w:rsid w:val="00834B72"/>
    <w:rsid w:val="00835B10"/>
    <w:rsid w:val="00835DD1"/>
    <w:rsid w:val="008362B4"/>
    <w:rsid w:val="00836C40"/>
    <w:rsid w:val="00840EB9"/>
    <w:rsid w:val="0084105E"/>
    <w:rsid w:val="00841ACF"/>
    <w:rsid w:val="00843631"/>
    <w:rsid w:val="00845CD4"/>
    <w:rsid w:val="00846337"/>
    <w:rsid w:val="00846AC3"/>
    <w:rsid w:val="00846AC4"/>
    <w:rsid w:val="00847D2B"/>
    <w:rsid w:val="0085011F"/>
    <w:rsid w:val="0085013F"/>
    <w:rsid w:val="008506ED"/>
    <w:rsid w:val="0085085C"/>
    <w:rsid w:val="0085320A"/>
    <w:rsid w:val="00853522"/>
    <w:rsid w:val="00855BB9"/>
    <w:rsid w:val="00860A6F"/>
    <w:rsid w:val="0086173C"/>
    <w:rsid w:val="0086283B"/>
    <w:rsid w:val="00862910"/>
    <w:rsid w:val="00862A3A"/>
    <w:rsid w:val="008638BE"/>
    <w:rsid w:val="00864797"/>
    <w:rsid w:val="00865951"/>
    <w:rsid w:val="00866760"/>
    <w:rsid w:val="008669AB"/>
    <w:rsid w:val="00866FB2"/>
    <w:rsid w:val="0087198C"/>
    <w:rsid w:val="00872746"/>
    <w:rsid w:val="008734C1"/>
    <w:rsid w:val="008739F4"/>
    <w:rsid w:val="00876542"/>
    <w:rsid w:val="008774DD"/>
    <w:rsid w:val="00880C48"/>
    <w:rsid w:val="00880CE6"/>
    <w:rsid w:val="008835AC"/>
    <w:rsid w:val="0088391B"/>
    <w:rsid w:val="00887314"/>
    <w:rsid w:val="00887727"/>
    <w:rsid w:val="00887DFD"/>
    <w:rsid w:val="0089132D"/>
    <w:rsid w:val="0089197B"/>
    <w:rsid w:val="008927AE"/>
    <w:rsid w:val="008928D9"/>
    <w:rsid w:val="00892BDC"/>
    <w:rsid w:val="00892E9E"/>
    <w:rsid w:val="00894497"/>
    <w:rsid w:val="00894C2C"/>
    <w:rsid w:val="00895E1D"/>
    <w:rsid w:val="008978C1"/>
    <w:rsid w:val="008979CC"/>
    <w:rsid w:val="00897DA0"/>
    <w:rsid w:val="008A0698"/>
    <w:rsid w:val="008A1D0B"/>
    <w:rsid w:val="008A3454"/>
    <w:rsid w:val="008A4632"/>
    <w:rsid w:val="008A4B1C"/>
    <w:rsid w:val="008A64EF"/>
    <w:rsid w:val="008A7946"/>
    <w:rsid w:val="008A7A88"/>
    <w:rsid w:val="008B16AC"/>
    <w:rsid w:val="008B1DA0"/>
    <w:rsid w:val="008B1E20"/>
    <w:rsid w:val="008B3489"/>
    <w:rsid w:val="008B455A"/>
    <w:rsid w:val="008B4D33"/>
    <w:rsid w:val="008B63E3"/>
    <w:rsid w:val="008B64FA"/>
    <w:rsid w:val="008B7773"/>
    <w:rsid w:val="008C2392"/>
    <w:rsid w:val="008C263C"/>
    <w:rsid w:val="008C282A"/>
    <w:rsid w:val="008C4021"/>
    <w:rsid w:val="008C4E34"/>
    <w:rsid w:val="008C4F48"/>
    <w:rsid w:val="008C5139"/>
    <w:rsid w:val="008C5495"/>
    <w:rsid w:val="008C5F97"/>
    <w:rsid w:val="008C6C7E"/>
    <w:rsid w:val="008D020D"/>
    <w:rsid w:val="008D2332"/>
    <w:rsid w:val="008D4380"/>
    <w:rsid w:val="008D4C71"/>
    <w:rsid w:val="008D66BC"/>
    <w:rsid w:val="008D6CB9"/>
    <w:rsid w:val="008D7CBC"/>
    <w:rsid w:val="008E2D1F"/>
    <w:rsid w:val="008E3DCC"/>
    <w:rsid w:val="008E4A4E"/>
    <w:rsid w:val="008E5403"/>
    <w:rsid w:val="008E5967"/>
    <w:rsid w:val="008E6C9E"/>
    <w:rsid w:val="008E7C56"/>
    <w:rsid w:val="008F0D7D"/>
    <w:rsid w:val="008F0EDF"/>
    <w:rsid w:val="008F11D9"/>
    <w:rsid w:val="008F4EBE"/>
    <w:rsid w:val="008F58B8"/>
    <w:rsid w:val="008F5E4B"/>
    <w:rsid w:val="008F67BF"/>
    <w:rsid w:val="008F7D20"/>
    <w:rsid w:val="00900495"/>
    <w:rsid w:val="00901331"/>
    <w:rsid w:val="00901C40"/>
    <w:rsid w:val="00901C44"/>
    <w:rsid w:val="00902AA7"/>
    <w:rsid w:val="0090401F"/>
    <w:rsid w:val="00906834"/>
    <w:rsid w:val="00913987"/>
    <w:rsid w:val="0091407A"/>
    <w:rsid w:val="009142DF"/>
    <w:rsid w:val="0091431D"/>
    <w:rsid w:val="00914C2C"/>
    <w:rsid w:val="00920D8B"/>
    <w:rsid w:val="00921384"/>
    <w:rsid w:val="00922827"/>
    <w:rsid w:val="00922996"/>
    <w:rsid w:val="00923A4B"/>
    <w:rsid w:val="009263E9"/>
    <w:rsid w:val="00927B65"/>
    <w:rsid w:val="0093071C"/>
    <w:rsid w:val="009346F0"/>
    <w:rsid w:val="00935322"/>
    <w:rsid w:val="00935491"/>
    <w:rsid w:val="009357A7"/>
    <w:rsid w:val="00935E3C"/>
    <w:rsid w:val="009378CC"/>
    <w:rsid w:val="00937907"/>
    <w:rsid w:val="00940319"/>
    <w:rsid w:val="00941940"/>
    <w:rsid w:val="00941E40"/>
    <w:rsid w:val="00942AB6"/>
    <w:rsid w:val="0094319A"/>
    <w:rsid w:val="009447F9"/>
    <w:rsid w:val="00944B90"/>
    <w:rsid w:val="00944D28"/>
    <w:rsid w:val="0094752F"/>
    <w:rsid w:val="0095174B"/>
    <w:rsid w:val="00955EC1"/>
    <w:rsid w:val="00957A55"/>
    <w:rsid w:val="00960295"/>
    <w:rsid w:val="009603C3"/>
    <w:rsid w:val="00963144"/>
    <w:rsid w:val="00963940"/>
    <w:rsid w:val="00965AD4"/>
    <w:rsid w:val="00966CAE"/>
    <w:rsid w:val="00967338"/>
    <w:rsid w:val="00967FF4"/>
    <w:rsid w:val="00970405"/>
    <w:rsid w:val="009704A6"/>
    <w:rsid w:val="00972136"/>
    <w:rsid w:val="0097228F"/>
    <w:rsid w:val="00973ADA"/>
    <w:rsid w:val="009740D4"/>
    <w:rsid w:val="00974A15"/>
    <w:rsid w:val="00982805"/>
    <w:rsid w:val="009829A3"/>
    <w:rsid w:val="00982CD8"/>
    <w:rsid w:val="009832E1"/>
    <w:rsid w:val="00983AB5"/>
    <w:rsid w:val="00984686"/>
    <w:rsid w:val="00984871"/>
    <w:rsid w:val="00984971"/>
    <w:rsid w:val="00986122"/>
    <w:rsid w:val="009861D9"/>
    <w:rsid w:val="00986C0C"/>
    <w:rsid w:val="00991E57"/>
    <w:rsid w:val="00994899"/>
    <w:rsid w:val="0099525A"/>
    <w:rsid w:val="009952FF"/>
    <w:rsid w:val="00995508"/>
    <w:rsid w:val="0099620F"/>
    <w:rsid w:val="00996890"/>
    <w:rsid w:val="00997580"/>
    <w:rsid w:val="009978EB"/>
    <w:rsid w:val="009A1420"/>
    <w:rsid w:val="009A372A"/>
    <w:rsid w:val="009A3F54"/>
    <w:rsid w:val="009A4FAD"/>
    <w:rsid w:val="009A5786"/>
    <w:rsid w:val="009B1BDB"/>
    <w:rsid w:val="009B1C9F"/>
    <w:rsid w:val="009B6400"/>
    <w:rsid w:val="009B7D68"/>
    <w:rsid w:val="009C0A8D"/>
    <w:rsid w:val="009C18FF"/>
    <w:rsid w:val="009C3AFC"/>
    <w:rsid w:val="009C4331"/>
    <w:rsid w:val="009C54C5"/>
    <w:rsid w:val="009C6520"/>
    <w:rsid w:val="009D02B7"/>
    <w:rsid w:val="009D04C5"/>
    <w:rsid w:val="009D3C52"/>
    <w:rsid w:val="009D4BF0"/>
    <w:rsid w:val="009D56E9"/>
    <w:rsid w:val="009D5E29"/>
    <w:rsid w:val="009D79DC"/>
    <w:rsid w:val="009E1A2E"/>
    <w:rsid w:val="009E1DD4"/>
    <w:rsid w:val="009E42B7"/>
    <w:rsid w:val="009E5A9A"/>
    <w:rsid w:val="009E5C00"/>
    <w:rsid w:val="009E60F2"/>
    <w:rsid w:val="009E6668"/>
    <w:rsid w:val="009E7584"/>
    <w:rsid w:val="009F081C"/>
    <w:rsid w:val="009F0B51"/>
    <w:rsid w:val="009F150C"/>
    <w:rsid w:val="009F15FF"/>
    <w:rsid w:val="009F2AFD"/>
    <w:rsid w:val="009F2DFE"/>
    <w:rsid w:val="009F3A1E"/>
    <w:rsid w:val="009F40E6"/>
    <w:rsid w:val="009F599B"/>
    <w:rsid w:val="009F7210"/>
    <w:rsid w:val="009F7812"/>
    <w:rsid w:val="009F7E45"/>
    <w:rsid w:val="009F7F67"/>
    <w:rsid w:val="00A0038D"/>
    <w:rsid w:val="00A0086D"/>
    <w:rsid w:val="00A01258"/>
    <w:rsid w:val="00A013D7"/>
    <w:rsid w:val="00A02479"/>
    <w:rsid w:val="00A024DE"/>
    <w:rsid w:val="00A043B4"/>
    <w:rsid w:val="00A052F3"/>
    <w:rsid w:val="00A05775"/>
    <w:rsid w:val="00A059A4"/>
    <w:rsid w:val="00A061DF"/>
    <w:rsid w:val="00A067AA"/>
    <w:rsid w:val="00A06BD4"/>
    <w:rsid w:val="00A06CC4"/>
    <w:rsid w:val="00A103D5"/>
    <w:rsid w:val="00A12881"/>
    <w:rsid w:val="00A13C22"/>
    <w:rsid w:val="00A14380"/>
    <w:rsid w:val="00A143FB"/>
    <w:rsid w:val="00A14DAD"/>
    <w:rsid w:val="00A171E1"/>
    <w:rsid w:val="00A207F6"/>
    <w:rsid w:val="00A20E22"/>
    <w:rsid w:val="00A21773"/>
    <w:rsid w:val="00A21DB9"/>
    <w:rsid w:val="00A22CA2"/>
    <w:rsid w:val="00A23CD7"/>
    <w:rsid w:val="00A24001"/>
    <w:rsid w:val="00A267CF"/>
    <w:rsid w:val="00A27BD9"/>
    <w:rsid w:val="00A30D22"/>
    <w:rsid w:val="00A34C68"/>
    <w:rsid w:val="00A35565"/>
    <w:rsid w:val="00A35F37"/>
    <w:rsid w:val="00A36873"/>
    <w:rsid w:val="00A37347"/>
    <w:rsid w:val="00A375C7"/>
    <w:rsid w:val="00A379E0"/>
    <w:rsid w:val="00A37BC6"/>
    <w:rsid w:val="00A440CE"/>
    <w:rsid w:val="00A444A7"/>
    <w:rsid w:val="00A459A0"/>
    <w:rsid w:val="00A45F11"/>
    <w:rsid w:val="00A46287"/>
    <w:rsid w:val="00A466EC"/>
    <w:rsid w:val="00A473F6"/>
    <w:rsid w:val="00A47452"/>
    <w:rsid w:val="00A50E67"/>
    <w:rsid w:val="00A5164A"/>
    <w:rsid w:val="00A51676"/>
    <w:rsid w:val="00A54EB4"/>
    <w:rsid w:val="00A55D79"/>
    <w:rsid w:val="00A57F74"/>
    <w:rsid w:val="00A6480F"/>
    <w:rsid w:val="00A658FE"/>
    <w:rsid w:val="00A664F5"/>
    <w:rsid w:val="00A6692D"/>
    <w:rsid w:val="00A66B94"/>
    <w:rsid w:val="00A7198D"/>
    <w:rsid w:val="00A726DA"/>
    <w:rsid w:val="00A72886"/>
    <w:rsid w:val="00A72EDA"/>
    <w:rsid w:val="00A73090"/>
    <w:rsid w:val="00A7350E"/>
    <w:rsid w:val="00A7437B"/>
    <w:rsid w:val="00A74DC9"/>
    <w:rsid w:val="00A75373"/>
    <w:rsid w:val="00A76979"/>
    <w:rsid w:val="00A830F0"/>
    <w:rsid w:val="00A84BD3"/>
    <w:rsid w:val="00A923B7"/>
    <w:rsid w:val="00A925CB"/>
    <w:rsid w:val="00A929B8"/>
    <w:rsid w:val="00A92DFC"/>
    <w:rsid w:val="00A93B6E"/>
    <w:rsid w:val="00A9562D"/>
    <w:rsid w:val="00A96FCD"/>
    <w:rsid w:val="00A9790E"/>
    <w:rsid w:val="00AA050E"/>
    <w:rsid w:val="00AA08F0"/>
    <w:rsid w:val="00AA0F28"/>
    <w:rsid w:val="00AA17C2"/>
    <w:rsid w:val="00AA49B0"/>
    <w:rsid w:val="00AA58BD"/>
    <w:rsid w:val="00AA6E6C"/>
    <w:rsid w:val="00AA7D08"/>
    <w:rsid w:val="00AA7E26"/>
    <w:rsid w:val="00AB2E35"/>
    <w:rsid w:val="00AB3C77"/>
    <w:rsid w:val="00AB4849"/>
    <w:rsid w:val="00AB5C30"/>
    <w:rsid w:val="00AB73EF"/>
    <w:rsid w:val="00AC3436"/>
    <w:rsid w:val="00AC3821"/>
    <w:rsid w:val="00AC3FC0"/>
    <w:rsid w:val="00AC4371"/>
    <w:rsid w:val="00AC4621"/>
    <w:rsid w:val="00AC502A"/>
    <w:rsid w:val="00AC7CA5"/>
    <w:rsid w:val="00AD4465"/>
    <w:rsid w:val="00AD4FC1"/>
    <w:rsid w:val="00AD5249"/>
    <w:rsid w:val="00AD5E5D"/>
    <w:rsid w:val="00AD628D"/>
    <w:rsid w:val="00AD71C3"/>
    <w:rsid w:val="00AE370A"/>
    <w:rsid w:val="00AE411E"/>
    <w:rsid w:val="00AE4F72"/>
    <w:rsid w:val="00AE53B1"/>
    <w:rsid w:val="00AE566F"/>
    <w:rsid w:val="00AE65CA"/>
    <w:rsid w:val="00AE6DA4"/>
    <w:rsid w:val="00AF08FC"/>
    <w:rsid w:val="00AF244E"/>
    <w:rsid w:val="00AF3456"/>
    <w:rsid w:val="00AF3797"/>
    <w:rsid w:val="00AF44D7"/>
    <w:rsid w:val="00AF47B8"/>
    <w:rsid w:val="00AF656D"/>
    <w:rsid w:val="00AF7DCA"/>
    <w:rsid w:val="00B00257"/>
    <w:rsid w:val="00B00A5B"/>
    <w:rsid w:val="00B011DA"/>
    <w:rsid w:val="00B01B31"/>
    <w:rsid w:val="00B01D51"/>
    <w:rsid w:val="00B01F5D"/>
    <w:rsid w:val="00B04305"/>
    <w:rsid w:val="00B046F1"/>
    <w:rsid w:val="00B058D9"/>
    <w:rsid w:val="00B0592A"/>
    <w:rsid w:val="00B05F9D"/>
    <w:rsid w:val="00B06B94"/>
    <w:rsid w:val="00B06BE0"/>
    <w:rsid w:val="00B07B62"/>
    <w:rsid w:val="00B112F2"/>
    <w:rsid w:val="00B12815"/>
    <w:rsid w:val="00B13542"/>
    <w:rsid w:val="00B173B1"/>
    <w:rsid w:val="00B21330"/>
    <w:rsid w:val="00B220E2"/>
    <w:rsid w:val="00B23105"/>
    <w:rsid w:val="00B2383E"/>
    <w:rsid w:val="00B24303"/>
    <w:rsid w:val="00B26953"/>
    <w:rsid w:val="00B3011B"/>
    <w:rsid w:val="00B3052E"/>
    <w:rsid w:val="00B30647"/>
    <w:rsid w:val="00B317C6"/>
    <w:rsid w:val="00B31958"/>
    <w:rsid w:val="00B33DEB"/>
    <w:rsid w:val="00B35A0C"/>
    <w:rsid w:val="00B51707"/>
    <w:rsid w:val="00B51C99"/>
    <w:rsid w:val="00B52414"/>
    <w:rsid w:val="00B528C5"/>
    <w:rsid w:val="00B52C89"/>
    <w:rsid w:val="00B555AD"/>
    <w:rsid w:val="00B556E9"/>
    <w:rsid w:val="00B564FD"/>
    <w:rsid w:val="00B57035"/>
    <w:rsid w:val="00B61479"/>
    <w:rsid w:val="00B62190"/>
    <w:rsid w:val="00B62A87"/>
    <w:rsid w:val="00B63134"/>
    <w:rsid w:val="00B63EAE"/>
    <w:rsid w:val="00B6491F"/>
    <w:rsid w:val="00B6678F"/>
    <w:rsid w:val="00B7097E"/>
    <w:rsid w:val="00B7275F"/>
    <w:rsid w:val="00B727EF"/>
    <w:rsid w:val="00B729D5"/>
    <w:rsid w:val="00B72F57"/>
    <w:rsid w:val="00B73888"/>
    <w:rsid w:val="00B7693F"/>
    <w:rsid w:val="00B82173"/>
    <w:rsid w:val="00B82795"/>
    <w:rsid w:val="00B84039"/>
    <w:rsid w:val="00B840DA"/>
    <w:rsid w:val="00B8431A"/>
    <w:rsid w:val="00B843C7"/>
    <w:rsid w:val="00B8532B"/>
    <w:rsid w:val="00B9112F"/>
    <w:rsid w:val="00B91EAB"/>
    <w:rsid w:val="00B93E60"/>
    <w:rsid w:val="00B94890"/>
    <w:rsid w:val="00B94D59"/>
    <w:rsid w:val="00B9509D"/>
    <w:rsid w:val="00B96722"/>
    <w:rsid w:val="00B97542"/>
    <w:rsid w:val="00B97997"/>
    <w:rsid w:val="00B97A27"/>
    <w:rsid w:val="00B97AE5"/>
    <w:rsid w:val="00B97AFC"/>
    <w:rsid w:val="00BA0537"/>
    <w:rsid w:val="00BA31B0"/>
    <w:rsid w:val="00BA4338"/>
    <w:rsid w:val="00BA4529"/>
    <w:rsid w:val="00BA484B"/>
    <w:rsid w:val="00BA540A"/>
    <w:rsid w:val="00BA5B63"/>
    <w:rsid w:val="00BA6931"/>
    <w:rsid w:val="00BA7D40"/>
    <w:rsid w:val="00BB0227"/>
    <w:rsid w:val="00BB1DEA"/>
    <w:rsid w:val="00BB1F67"/>
    <w:rsid w:val="00BB232E"/>
    <w:rsid w:val="00BB26F6"/>
    <w:rsid w:val="00BB5690"/>
    <w:rsid w:val="00BB7ABB"/>
    <w:rsid w:val="00BC1643"/>
    <w:rsid w:val="00BC1C2C"/>
    <w:rsid w:val="00BC3B10"/>
    <w:rsid w:val="00BC494E"/>
    <w:rsid w:val="00BC5683"/>
    <w:rsid w:val="00BC5ECA"/>
    <w:rsid w:val="00BC6CEE"/>
    <w:rsid w:val="00BC7221"/>
    <w:rsid w:val="00BC7810"/>
    <w:rsid w:val="00BC7C84"/>
    <w:rsid w:val="00BD061A"/>
    <w:rsid w:val="00BD15EB"/>
    <w:rsid w:val="00BD1D4E"/>
    <w:rsid w:val="00BD24BA"/>
    <w:rsid w:val="00BD293B"/>
    <w:rsid w:val="00BD394D"/>
    <w:rsid w:val="00BD4E13"/>
    <w:rsid w:val="00BD54EB"/>
    <w:rsid w:val="00BD73E7"/>
    <w:rsid w:val="00BD7EC9"/>
    <w:rsid w:val="00BE0AD9"/>
    <w:rsid w:val="00BE0AFD"/>
    <w:rsid w:val="00BE2236"/>
    <w:rsid w:val="00BE3E8A"/>
    <w:rsid w:val="00BE466E"/>
    <w:rsid w:val="00BE49B8"/>
    <w:rsid w:val="00BE4D82"/>
    <w:rsid w:val="00BE5C17"/>
    <w:rsid w:val="00BE5C44"/>
    <w:rsid w:val="00BE6965"/>
    <w:rsid w:val="00BE6D05"/>
    <w:rsid w:val="00BE742A"/>
    <w:rsid w:val="00BF099C"/>
    <w:rsid w:val="00BF6832"/>
    <w:rsid w:val="00BF73F4"/>
    <w:rsid w:val="00C00C17"/>
    <w:rsid w:val="00C0219B"/>
    <w:rsid w:val="00C05FE1"/>
    <w:rsid w:val="00C06743"/>
    <w:rsid w:val="00C078CC"/>
    <w:rsid w:val="00C10884"/>
    <w:rsid w:val="00C126E7"/>
    <w:rsid w:val="00C1577A"/>
    <w:rsid w:val="00C1609B"/>
    <w:rsid w:val="00C165E4"/>
    <w:rsid w:val="00C168B3"/>
    <w:rsid w:val="00C17DDB"/>
    <w:rsid w:val="00C207E7"/>
    <w:rsid w:val="00C20EFD"/>
    <w:rsid w:val="00C218D4"/>
    <w:rsid w:val="00C23815"/>
    <w:rsid w:val="00C249C3"/>
    <w:rsid w:val="00C2674C"/>
    <w:rsid w:val="00C274F2"/>
    <w:rsid w:val="00C2794D"/>
    <w:rsid w:val="00C27DF8"/>
    <w:rsid w:val="00C27E54"/>
    <w:rsid w:val="00C31A9C"/>
    <w:rsid w:val="00C332BF"/>
    <w:rsid w:val="00C33872"/>
    <w:rsid w:val="00C34401"/>
    <w:rsid w:val="00C3467D"/>
    <w:rsid w:val="00C3556C"/>
    <w:rsid w:val="00C364FB"/>
    <w:rsid w:val="00C3770D"/>
    <w:rsid w:val="00C413A4"/>
    <w:rsid w:val="00C456A9"/>
    <w:rsid w:val="00C45BCE"/>
    <w:rsid w:val="00C45C04"/>
    <w:rsid w:val="00C505D2"/>
    <w:rsid w:val="00C5476B"/>
    <w:rsid w:val="00C54E35"/>
    <w:rsid w:val="00C56A66"/>
    <w:rsid w:val="00C576F5"/>
    <w:rsid w:val="00C57B74"/>
    <w:rsid w:val="00C62697"/>
    <w:rsid w:val="00C63DA0"/>
    <w:rsid w:val="00C644DD"/>
    <w:rsid w:val="00C70C88"/>
    <w:rsid w:val="00C71005"/>
    <w:rsid w:val="00C710D4"/>
    <w:rsid w:val="00C728B7"/>
    <w:rsid w:val="00C729EB"/>
    <w:rsid w:val="00C74AAA"/>
    <w:rsid w:val="00C74E4E"/>
    <w:rsid w:val="00C74F4F"/>
    <w:rsid w:val="00C77F31"/>
    <w:rsid w:val="00C8281D"/>
    <w:rsid w:val="00C82944"/>
    <w:rsid w:val="00C83A1A"/>
    <w:rsid w:val="00C83A1B"/>
    <w:rsid w:val="00C83ACF"/>
    <w:rsid w:val="00C83F25"/>
    <w:rsid w:val="00C85057"/>
    <w:rsid w:val="00C85B47"/>
    <w:rsid w:val="00C86215"/>
    <w:rsid w:val="00C907FA"/>
    <w:rsid w:val="00C91354"/>
    <w:rsid w:val="00C91A06"/>
    <w:rsid w:val="00C922FE"/>
    <w:rsid w:val="00C9421A"/>
    <w:rsid w:val="00C950C4"/>
    <w:rsid w:val="00C96AD7"/>
    <w:rsid w:val="00C97FA5"/>
    <w:rsid w:val="00CA0829"/>
    <w:rsid w:val="00CA0CF2"/>
    <w:rsid w:val="00CA1485"/>
    <w:rsid w:val="00CA1F7F"/>
    <w:rsid w:val="00CA23D8"/>
    <w:rsid w:val="00CA4B92"/>
    <w:rsid w:val="00CA60B9"/>
    <w:rsid w:val="00CA6ED0"/>
    <w:rsid w:val="00CB00BD"/>
    <w:rsid w:val="00CB0C04"/>
    <w:rsid w:val="00CB2B0E"/>
    <w:rsid w:val="00CB58B4"/>
    <w:rsid w:val="00CB6396"/>
    <w:rsid w:val="00CB735D"/>
    <w:rsid w:val="00CB7EF3"/>
    <w:rsid w:val="00CC11E1"/>
    <w:rsid w:val="00CC1DE9"/>
    <w:rsid w:val="00CC5545"/>
    <w:rsid w:val="00CC5AD5"/>
    <w:rsid w:val="00CD2AD4"/>
    <w:rsid w:val="00CD420E"/>
    <w:rsid w:val="00CD52E0"/>
    <w:rsid w:val="00CD55C7"/>
    <w:rsid w:val="00CD6EBC"/>
    <w:rsid w:val="00CE08C8"/>
    <w:rsid w:val="00CE0D11"/>
    <w:rsid w:val="00CE232C"/>
    <w:rsid w:val="00CE55DE"/>
    <w:rsid w:val="00CE593D"/>
    <w:rsid w:val="00CE5F80"/>
    <w:rsid w:val="00CE653A"/>
    <w:rsid w:val="00CE7A92"/>
    <w:rsid w:val="00CF0F03"/>
    <w:rsid w:val="00CF193D"/>
    <w:rsid w:val="00CF26C6"/>
    <w:rsid w:val="00CF2B9B"/>
    <w:rsid w:val="00CF355A"/>
    <w:rsid w:val="00CF3A8E"/>
    <w:rsid w:val="00CF594D"/>
    <w:rsid w:val="00D010D7"/>
    <w:rsid w:val="00D01150"/>
    <w:rsid w:val="00D0612F"/>
    <w:rsid w:val="00D1071D"/>
    <w:rsid w:val="00D12195"/>
    <w:rsid w:val="00D12299"/>
    <w:rsid w:val="00D12302"/>
    <w:rsid w:val="00D12891"/>
    <w:rsid w:val="00D128FD"/>
    <w:rsid w:val="00D25544"/>
    <w:rsid w:val="00D2588F"/>
    <w:rsid w:val="00D261C9"/>
    <w:rsid w:val="00D26B28"/>
    <w:rsid w:val="00D27DB0"/>
    <w:rsid w:val="00D30020"/>
    <w:rsid w:val="00D32896"/>
    <w:rsid w:val="00D32DF1"/>
    <w:rsid w:val="00D33626"/>
    <w:rsid w:val="00D33BDA"/>
    <w:rsid w:val="00D35B6B"/>
    <w:rsid w:val="00D4001C"/>
    <w:rsid w:val="00D41398"/>
    <w:rsid w:val="00D41A81"/>
    <w:rsid w:val="00D43579"/>
    <w:rsid w:val="00D45AE1"/>
    <w:rsid w:val="00D460B0"/>
    <w:rsid w:val="00D470CD"/>
    <w:rsid w:val="00D51374"/>
    <w:rsid w:val="00D52751"/>
    <w:rsid w:val="00D6062D"/>
    <w:rsid w:val="00D60FF3"/>
    <w:rsid w:val="00D622D8"/>
    <w:rsid w:val="00D65ABA"/>
    <w:rsid w:val="00D6676E"/>
    <w:rsid w:val="00D7083D"/>
    <w:rsid w:val="00D71D9A"/>
    <w:rsid w:val="00D721EB"/>
    <w:rsid w:val="00D727AD"/>
    <w:rsid w:val="00D72E15"/>
    <w:rsid w:val="00D73312"/>
    <w:rsid w:val="00D746B5"/>
    <w:rsid w:val="00D76D72"/>
    <w:rsid w:val="00D81669"/>
    <w:rsid w:val="00D81EEF"/>
    <w:rsid w:val="00D82C57"/>
    <w:rsid w:val="00D82C99"/>
    <w:rsid w:val="00D82FED"/>
    <w:rsid w:val="00D8308C"/>
    <w:rsid w:val="00D83C07"/>
    <w:rsid w:val="00D84ECA"/>
    <w:rsid w:val="00D853D9"/>
    <w:rsid w:val="00D8588C"/>
    <w:rsid w:val="00D867AD"/>
    <w:rsid w:val="00D86F8E"/>
    <w:rsid w:val="00D878CF"/>
    <w:rsid w:val="00D900D4"/>
    <w:rsid w:val="00D90893"/>
    <w:rsid w:val="00D915FE"/>
    <w:rsid w:val="00D92E93"/>
    <w:rsid w:val="00D932CE"/>
    <w:rsid w:val="00D9578E"/>
    <w:rsid w:val="00D973E8"/>
    <w:rsid w:val="00D97A8F"/>
    <w:rsid w:val="00DA1EBB"/>
    <w:rsid w:val="00DA4070"/>
    <w:rsid w:val="00DA462D"/>
    <w:rsid w:val="00DA572D"/>
    <w:rsid w:val="00DA5FA8"/>
    <w:rsid w:val="00DA72CA"/>
    <w:rsid w:val="00DA7913"/>
    <w:rsid w:val="00DB11F2"/>
    <w:rsid w:val="00DB12AA"/>
    <w:rsid w:val="00DB1D00"/>
    <w:rsid w:val="00DB36DE"/>
    <w:rsid w:val="00DB4509"/>
    <w:rsid w:val="00DB73FF"/>
    <w:rsid w:val="00DC034E"/>
    <w:rsid w:val="00DC0E5A"/>
    <w:rsid w:val="00DC33B8"/>
    <w:rsid w:val="00DC4359"/>
    <w:rsid w:val="00DC64E1"/>
    <w:rsid w:val="00DC66DA"/>
    <w:rsid w:val="00DC78DE"/>
    <w:rsid w:val="00DC7CEB"/>
    <w:rsid w:val="00DD14A5"/>
    <w:rsid w:val="00DD402F"/>
    <w:rsid w:val="00DD4C70"/>
    <w:rsid w:val="00DD5439"/>
    <w:rsid w:val="00DD5BE5"/>
    <w:rsid w:val="00DD62DC"/>
    <w:rsid w:val="00DD6952"/>
    <w:rsid w:val="00DD7233"/>
    <w:rsid w:val="00DD7C22"/>
    <w:rsid w:val="00DE177D"/>
    <w:rsid w:val="00DE1F13"/>
    <w:rsid w:val="00DE4039"/>
    <w:rsid w:val="00DE437C"/>
    <w:rsid w:val="00DE46F0"/>
    <w:rsid w:val="00DE598C"/>
    <w:rsid w:val="00DE5F82"/>
    <w:rsid w:val="00DE6073"/>
    <w:rsid w:val="00DF0B59"/>
    <w:rsid w:val="00DF541C"/>
    <w:rsid w:val="00DF5AE0"/>
    <w:rsid w:val="00E016D5"/>
    <w:rsid w:val="00E019AE"/>
    <w:rsid w:val="00E01ADD"/>
    <w:rsid w:val="00E02D2E"/>
    <w:rsid w:val="00E047A0"/>
    <w:rsid w:val="00E04801"/>
    <w:rsid w:val="00E078C1"/>
    <w:rsid w:val="00E10A18"/>
    <w:rsid w:val="00E11422"/>
    <w:rsid w:val="00E11544"/>
    <w:rsid w:val="00E146DD"/>
    <w:rsid w:val="00E16B95"/>
    <w:rsid w:val="00E17AAB"/>
    <w:rsid w:val="00E2081A"/>
    <w:rsid w:val="00E20D3F"/>
    <w:rsid w:val="00E219E6"/>
    <w:rsid w:val="00E22F57"/>
    <w:rsid w:val="00E232B9"/>
    <w:rsid w:val="00E234F7"/>
    <w:rsid w:val="00E238F6"/>
    <w:rsid w:val="00E256AC"/>
    <w:rsid w:val="00E25B0E"/>
    <w:rsid w:val="00E268B1"/>
    <w:rsid w:val="00E3154A"/>
    <w:rsid w:val="00E3185E"/>
    <w:rsid w:val="00E31906"/>
    <w:rsid w:val="00E32652"/>
    <w:rsid w:val="00E32F31"/>
    <w:rsid w:val="00E3585B"/>
    <w:rsid w:val="00E3599E"/>
    <w:rsid w:val="00E35F19"/>
    <w:rsid w:val="00E36106"/>
    <w:rsid w:val="00E36F32"/>
    <w:rsid w:val="00E36FD7"/>
    <w:rsid w:val="00E37456"/>
    <w:rsid w:val="00E37762"/>
    <w:rsid w:val="00E4196C"/>
    <w:rsid w:val="00E435C5"/>
    <w:rsid w:val="00E43AE9"/>
    <w:rsid w:val="00E44267"/>
    <w:rsid w:val="00E4527F"/>
    <w:rsid w:val="00E463A3"/>
    <w:rsid w:val="00E47380"/>
    <w:rsid w:val="00E50A92"/>
    <w:rsid w:val="00E528AD"/>
    <w:rsid w:val="00E536D8"/>
    <w:rsid w:val="00E54508"/>
    <w:rsid w:val="00E550E9"/>
    <w:rsid w:val="00E5647D"/>
    <w:rsid w:val="00E56F48"/>
    <w:rsid w:val="00E60907"/>
    <w:rsid w:val="00E60ED7"/>
    <w:rsid w:val="00E61202"/>
    <w:rsid w:val="00E61610"/>
    <w:rsid w:val="00E61B75"/>
    <w:rsid w:val="00E6269E"/>
    <w:rsid w:val="00E62A96"/>
    <w:rsid w:val="00E62DF6"/>
    <w:rsid w:val="00E64A89"/>
    <w:rsid w:val="00E65298"/>
    <w:rsid w:val="00E662EA"/>
    <w:rsid w:val="00E71B40"/>
    <w:rsid w:val="00E74820"/>
    <w:rsid w:val="00E76D12"/>
    <w:rsid w:val="00E771FB"/>
    <w:rsid w:val="00E81348"/>
    <w:rsid w:val="00E82E8E"/>
    <w:rsid w:val="00E833F2"/>
    <w:rsid w:val="00E85D5D"/>
    <w:rsid w:val="00E87111"/>
    <w:rsid w:val="00E87961"/>
    <w:rsid w:val="00E87E81"/>
    <w:rsid w:val="00E91B2E"/>
    <w:rsid w:val="00E91D11"/>
    <w:rsid w:val="00E92253"/>
    <w:rsid w:val="00E92654"/>
    <w:rsid w:val="00E92FA3"/>
    <w:rsid w:val="00E95FA4"/>
    <w:rsid w:val="00E9744D"/>
    <w:rsid w:val="00EA2104"/>
    <w:rsid w:val="00EA3517"/>
    <w:rsid w:val="00EA37E0"/>
    <w:rsid w:val="00EA600B"/>
    <w:rsid w:val="00EA7D5E"/>
    <w:rsid w:val="00EB20B0"/>
    <w:rsid w:val="00EB2569"/>
    <w:rsid w:val="00EB3936"/>
    <w:rsid w:val="00EB4450"/>
    <w:rsid w:val="00EC0295"/>
    <w:rsid w:val="00EC1972"/>
    <w:rsid w:val="00EC2373"/>
    <w:rsid w:val="00EC243F"/>
    <w:rsid w:val="00EC3753"/>
    <w:rsid w:val="00EC4480"/>
    <w:rsid w:val="00EC4F61"/>
    <w:rsid w:val="00EC5342"/>
    <w:rsid w:val="00EC5569"/>
    <w:rsid w:val="00EC599C"/>
    <w:rsid w:val="00EC70E1"/>
    <w:rsid w:val="00EC7501"/>
    <w:rsid w:val="00ED16D2"/>
    <w:rsid w:val="00ED2F5E"/>
    <w:rsid w:val="00ED3556"/>
    <w:rsid w:val="00ED3DD7"/>
    <w:rsid w:val="00ED3E1A"/>
    <w:rsid w:val="00ED3FDC"/>
    <w:rsid w:val="00ED61C5"/>
    <w:rsid w:val="00ED69C5"/>
    <w:rsid w:val="00EE011C"/>
    <w:rsid w:val="00EE0EC8"/>
    <w:rsid w:val="00EE0F44"/>
    <w:rsid w:val="00EE1DD6"/>
    <w:rsid w:val="00EE1F27"/>
    <w:rsid w:val="00EE1F62"/>
    <w:rsid w:val="00EE22A5"/>
    <w:rsid w:val="00EE2851"/>
    <w:rsid w:val="00EE40AF"/>
    <w:rsid w:val="00EE4D9D"/>
    <w:rsid w:val="00EF06DF"/>
    <w:rsid w:val="00EF0762"/>
    <w:rsid w:val="00EF1F27"/>
    <w:rsid w:val="00EF3A7D"/>
    <w:rsid w:val="00EF475A"/>
    <w:rsid w:val="00EF4F7C"/>
    <w:rsid w:val="00EF6597"/>
    <w:rsid w:val="00EF6F35"/>
    <w:rsid w:val="00F0023A"/>
    <w:rsid w:val="00F01315"/>
    <w:rsid w:val="00F0247D"/>
    <w:rsid w:val="00F0282C"/>
    <w:rsid w:val="00F02E9D"/>
    <w:rsid w:val="00F03166"/>
    <w:rsid w:val="00F03581"/>
    <w:rsid w:val="00F03CBE"/>
    <w:rsid w:val="00F04534"/>
    <w:rsid w:val="00F04D37"/>
    <w:rsid w:val="00F059F6"/>
    <w:rsid w:val="00F06266"/>
    <w:rsid w:val="00F063BA"/>
    <w:rsid w:val="00F0678B"/>
    <w:rsid w:val="00F10445"/>
    <w:rsid w:val="00F10BBA"/>
    <w:rsid w:val="00F11B86"/>
    <w:rsid w:val="00F14B24"/>
    <w:rsid w:val="00F2057D"/>
    <w:rsid w:val="00F21C03"/>
    <w:rsid w:val="00F21F11"/>
    <w:rsid w:val="00F221E4"/>
    <w:rsid w:val="00F22D89"/>
    <w:rsid w:val="00F246B8"/>
    <w:rsid w:val="00F24D3B"/>
    <w:rsid w:val="00F268C5"/>
    <w:rsid w:val="00F269A1"/>
    <w:rsid w:val="00F26D70"/>
    <w:rsid w:val="00F30854"/>
    <w:rsid w:val="00F3190D"/>
    <w:rsid w:val="00F346C7"/>
    <w:rsid w:val="00F34EF2"/>
    <w:rsid w:val="00F36069"/>
    <w:rsid w:val="00F37295"/>
    <w:rsid w:val="00F3739F"/>
    <w:rsid w:val="00F37570"/>
    <w:rsid w:val="00F37815"/>
    <w:rsid w:val="00F40C7A"/>
    <w:rsid w:val="00F42A0E"/>
    <w:rsid w:val="00F44141"/>
    <w:rsid w:val="00F4442D"/>
    <w:rsid w:val="00F45922"/>
    <w:rsid w:val="00F45D66"/>
    <w:rsid w:val="00F45EE6"/>
    <w:rsid w:val="00F4714B"/>
    <w:rsid w:val="00F52142"/>
    <w:rsid w:val="00F527CE"/>
    <w:rsid w:val="00F533FD"/>
    <w:rsid w:val="00F54368"/>
    <w:rsid w:val="00F61267"/>
    <w:rsid w:val="00F61B9D"/>
    <w:rsid w:val="00F62BDA"/>
    <w:rsid w:val="00F63FB4"/>
    <w:rsid w:val="00F642D8"/>
    <w:rsid w:val="00F6531F"/>
    <w:rsid w:val="00F657B3"/>
    <w:rsid w:val="00F67952"/>
    <w:rsid w:val="00F70698"/>
    <w:rsid w:val="00F72520"/>
    <w:rsid w:val="00F757C1"/>
    <w:rsid w:val="00F76EDA"/>
    <w:rsid w:val="00F77889"/>
    <w:rsid w:val="00F807F1"/>
    <w:rsid w:val="00F81A77"/>
    <w:rsid w:val="00F83D77"/>
    <w:rsid w:val="00F90ABE"/>
    <w:rsid w:val="00F932F6"/>
    <w:rsid w:val="00F94037"/>
    <w:rsid w:val="00F9425D"/>
    <w:rsid w:val="00F955E4"/>
    <w:rsid w:val="00F96ABC"/>
    <w:rsid w:val="00F97396"/>
    <w:rsid w:val="00FA0993"/>
    <w:rsid w:val="00FA1468"/>
    <w:rsid w:val="00FA1ABC"/>
    <w:rsid w:val="00FA2064"/>
    <w:rsid w:val="00FA21D1"/>
    <w:rsid w:val="00FA2326"/>
    <w:rsid w:val="00FA2FE3"/>
    <w:rsid w:val="00FA3144"/>
    <w:rsid w:val="00FA3503"/>
    <w:rsid w:val="00FA3EF7"/>
    <w:rsid w:val="00FA50EE"/>
    <w:rsid w:val="00FA5B82"/>
    <w:rsid w:val="00FB21E7"/>
    <w:rsid w:val="00FB3DA4"/>
    <w:rsid w:val="00FB4BA4"/>
    <w:rsid w:val="00FB769F"/>
    <w:rsid w:val="00FC0005"/>
    <w:rsid w:val="00FC07CB"/>
    <w:rsid w:val="00FC0F21"/>
    <w:rsid w:val="00FC42AB"/>
    <w:rsid w:val="00FC5C4E"/>
    <w:rsid w:val="00FC6126"/>
    <w:rsid w:val="00FC72EB"/>
    <w:rsid w:val="00FD0576"/>
    <w:rsid w:val="00FD14C7"/>
    <w:rsid w:val="00FD158C"/>
    <w:rsid w:val="00FD2A43"/>
    <w:rsid w:val="00FD346A"/>
    <w:rsid w:val="00FD43F7"/>
    <w:rsid w:val="00FD6CE7"/>
    <w:rsid w:val="00FD75FB"/>
    <w:rsid w:val="00FE09D8"/>
    <w:rsid w:val="00FE19B2"/>
    <w:rsid w:val="00FE2C0A"/>
    <w:rsid w:val="00FE3FE9"/>
    <w:rsid w:val="00FE47FA"/>
    <w:rsid w:val="00FE50DC"/>
    <w:rsid w:val="00FE5537"/>
    <w:rsid w:val="00FF29F6"/>
    <w:rsid w:val="00FF3487"/>
    <w:rsid w:val="00FF40F3"/>
    <w:rsid w:val="00FF4D32"/>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73A36B"/>
  <w15:docId w15:val="{E8C791D4-C0B7-4823-9C6F-39EF15EFF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5607"/>
    <w:pPr>
      <w:spacing w:after="0"/>
    </w:pPr>
    <w:rPr>
      <w:rFonts w:ascii="Times New Roman" w:hAnsi="Times New Roman"/>
      <w:sz w:val="24"/>
    </w:rPr>
  </w:style>
  <w:style w:type="paragraph" w:styleId="Heading1">
    <w:name w:val="heading 1"/>
    <w:basedOn w:val="Normal"/>
    <w:next w:val="Normal"/>
    <w:link w:val="Heading1Char"/>
    <w:uiPriority w:val="9"/>
    <w:qFormat/>
    <w:rsid w:val="00C05FE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05FE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05FE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C05FE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05FE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05FE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05FE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05FE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05FE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05FE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05FE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05FE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C05FE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05FE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05FE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05FE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05FE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05FE1"/>
    <w:rPr>
      <w:rFonts w:eastAsiaTheme="majorEastAsia" w:cstheme="majorBidi"/>
      <w:color w:val="272727" w:themeColor="text1" w:themeTint="D8"/>
    </w:rPr>
  </w:style>
  <w:style w:type="paragraph" w:styleId="Title">
    <w:name w:val="Title"/>
    <w:basedOn w:val="Normal"/>
    <w:next w:val="Normal"/>
    <w:link w:val="TitleChar"/>
    <w:uiPriority w:val="10"/>
    <w:qFormat/>
    <w:rsid w:val="00C05FE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05FE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05FE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05FE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05FE1"/>
    <w:pPr>
      <w:spacing w:before="160"/>
      <w:jc w:val="center"/>
    </w:pPr>
    <w:rPr>
      <w:i/>
      <w:iCs/>
      <w:color w:val="404040" w:themeColor="text1" w:themeTint="BF"/>
    </w:rPr>
  </w:style>
  <w:style w:type="character" w:customStyle="1" w:styleId="QuoteChar">
    <w:name w:val="Quote Char"/>
    <w:basedOn w:val="DefaultParagraphFont"/>
    <w:link w:val="Quote"/>
    <w:uiPriority w:val="29"/>
    <w:rsid w:val="00C05FE1"/>
    <w:rPr>
      <w:i/>
      <w:iCs/>
      <w:color w:val="404040" w:themeColor="text1" w:themeTint="BF"/>
    </w:rPr>
  </w:style>
  <w:style w:type="paragraph" w:styleId="ListParagraph">
    <w:name w:val="List Paragraph"/>
    <w:basedOn w:val="Normal"/>
    <w:uiPriority w:val="34"/>
    <w:qFormat/>
    <w:rsid w:val="00C05FE1"/>
    <w:pPr>
      <w:ind w:left="720"/>
      <w:contextualSpacing/>
    </w:pPr>
  </w:style>
  <w:style w:type="character" w:styleId="IntenseEmphasis">
    <w:name w:val="Intense Emphasis"/>
    <w:basedOn w:val="DefaultParagraphFont"/>
    <w:uiPriority w:val="21"/>
    <w:qFormat/>
    <w:rsid w:val="00C05FE1"/>
    <w:rPr>
      <w:i/>
      <w:iCs/>
      <w:color w:val="0F4761" w:themeColor="accent1" w:themeShade="BF"/>
    </w:rPr>
  </w:style>
  <w:style w:type="paragraph" w:styleId="IntenseQuote">
    <w:name w:val="Intense Quote"/>
    <w:basedOn w:val="Normal"/>
    <w:next w:val="Normal"/>
    <w:link w:val="IntenseQuoteChar"/>
    <w:uiPriority w:val="30"/>
    <w:qFormat/>
    <w:rsid w:val="00C05F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05FE1"/>
    <w:rPr>
      <w:i/>
      <w:iCs/>
      <w:color w:val="0F4761" w:themeColor="accent1" w:themeShade="BF"/>
    </w:rPr>
  </w:style>
  <w:style w:type="character" w:styleId="IntenseReference">
    <w:name w:val="Intense Reference"/>
    <w:basedOn w:val="DefaultParagraphFont"/>
    <w:uiPriority w:val="32"/>
    <w:qFormat/>
    <w:rsid w:val="00C05FE1"/>
    <w:rPr>
      <w:b/>
      <w:bCs/>
      <w:smallCaps/>
      <w:color w:val="0F4761" w:themeColor="accent1" w:themeShade="BF"/>
      <w:spacing w:val="5"/>
    </w:rPr>
  </w:style>
  <w:style w:type="character" w:styleId="Hyperlink">
    <w:name w:val="Hyperlink"/>
    <w:basedOn w:val="DefaultParagraphFont"/>
    <w:uiPriority w:val="99"/>
    <w:unhideWhenUsed/>
    <w:rsid w:val="001D7B68"/>
    <w:rPr>
      <w:color w:val="0000FF"/>
      <w:u w:val="single"/>
    </w:rPr>
  </w:style>
  <w:style w:type="paragraph" w:styleId="Bibliography">
    <w:name w:val="Bibliography"/>
    <w:basedOn w:val="Normal"/>
    <w:next w:val="Normal"/>
    <w:uiPriority w:val="37"/>
    <w:unhideWhenUsed/>
    <w:rsid w:val="008C6C7E"/>
    <w:pPr>
      <w:snapToGrid w:val="0"/>
      <w:spacing w:before="120" w:line="240" w:lineRule="auto"/>
      <w:ind w:left="720" w:hanging="720"/>
    </w:pPr>
  </w:style>
  <w:style w:type="paragraph" w:styleId="Header">
    <w:name w:val="header"/>
    <w:basedOn w:val="Normal"/>
    <w:link w:val="HeaderChar"/>
    <w:uiPriority w:val="99"/>
    <w:unhideWhenUsed/>
    <w:rsid w:val="006D47D1"/>
    <w:pPr>
      <w:tabs>
        <w:tab w:val="center" w:pos="4680"/>
        <w:tab w:val="right" w:pos="9360"/>
      </w:tabs>
      <w:spacing w:line="240" w:lineRule="auto"/>
    </w:pPr>
  </w:style>
  <w:style w:type="character" w:customStyle="1" w:styleId="HeaderChar">
    <w:name w:val="Header Char"/>
    <w:basedOn w:val="DefaultParagraphFont"/>
    <w:link w:val="Header"/>
    <w:uiPriority w:val="99"/>
    <w:rsid w:val="006D47D1"/>
  </w:style>
  <w:style w:type="paragraph" w:styleId="Footer">
    <w:name w:val="footer"/>
    <w:basedOn w:val="Normal"/>
    <w:link w:val="FooterChar"/>
    <w:uiPriority w:val="99"/>
    <w:unhideWhenUsed/>
    <w:rsid w:val="006D47D1"/>
    <w:pPr>
      <w:tabs>
        <w:tab w:val="center" w:pos="4680"/>
        <w:tab w:val="right" w:pos="9360"/>
      </w:tabs>
      <w:spacing w:line="240" w:lineRule="auto"/>
    </w:pPr>
  </w:style>
  <w:style w:type="character" w:customStyle="1" w:styleId="FooterChar">
    <w:name w:val="Footer Char"/>
    <w:basedOn w:val="DefaultParagraphFont"/>
    <w:link w:val="Footer"/>
    <w:uiPriority w:val="99"/>
    <w:rsid w:val="006D47D1"/>
  </w:style>
  <w:style w:type="paragraph" w:styleId="NormalWeb">
    <w:name w:val="Normal (Web)"/>
    <w:basedOn w:val="Normal"/>
    <w:uiPriority w:val="99"/>
    <w:semiHidden/>
    <w:unhideWhenUsed/>
    <w:rsid w:val="00374EB0"/>
    <w:pPr>
      <w:spacing w:before="100" w:beforeAutospacing="1" w:after="100" w:afterAutospacing="1" w:line="240" w:lineRule="auto"/>
    </w:pPr>
    <w:rPr>
      <w:rFonts w:eastAsia="Times New Roman" w:cs="Times New Roman"/>
      <w:kern w:val="0"/>
      <w:szCs w:val="24"/>
      <w:lang w:eastAsia="en-CA"/>
    </w:rPr>
  </w:style>
  <w:style w:type="table" w:styleId="GridTable5Dark-Accent1">
    <w:name w:val="Grid Table 5 Dark Accent 1"/>
    <w:basedOn w:val="TableNormal"/>
    <w:uiPriority w:val="50"/>
    <w:rsid w:val="00641D6A"/>
    <w:pPr>
      <w:spacing w:after="0" w:line="240" w:lineRule="auto"/>
    </w:pPr>
    <w:rPr>
      <w:kern w:val="0"/>
      <w:sz w:val="24"/>
      <w:szCs w:val="24"/>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4F5"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5608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5608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5608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56082" w:themeFill="accent1"/>
      </w:tcPr>
    </w:tblStylePr>
    <w:tblStylePr w:type="band1Vert">
      <w:tblPr/>
      <w:tcPr>
        <w:shd w:val="clear" w:color="auto" w:fill="83CAEB" w:themeFill="accent1" w:themeFillTint="66"/>
      </w:tcPr>
    </w:tblStylePr>
    <w:tblStylePr w:type="band1Horz">
      <w:tblPr/>
      <w:tcPr>
        <w:shd w:val="clear" w:color="auto" w:fill="83CAEB" w:themeFill="accent1" w:themeFillTint="66"/>
      </w:tcPr>
    </w:tblStylePr>
  </w:style>
  <w:style w:type="character" w:customStyle="1" w:styleId="apple-converted-space">
    <w:name w:val="apple-converted-space"/>
    <w:basedOn w:val="DefaultParagraphFont"/>
    <w:rsid w:val="00641D6A"/>
  </w:style>
  <w:style w:type="paragraph" w:customStyle="1" w:styleId="2">
    <w:name w:val="正文2"/>
    <w:qFormat/>
    <w:rsid w:val="00431199"/>
    <w:pPr>
      <w:spacing w:before="100" w:beforeAutospacing="1" w:after="200" w:line="273" w:lineRule="auto"/>
      <w:contextualSpacing/>
      <w:jc w:val="both"/>
    </w:pPr>
    <w:rPr>
      <w:rFonts w:ascii="Calibri" w:eastAsia="SimSun" w:hAnsi="Calibri" w:cs="Times New Roman"/>
      <w:kern w:val="0"/>
      <w:sz w:val="24"/>
      <w:szCs w:val="24"/>
      <w:lang w:val="en-NZ" w:eastAsia="zh-CN"/>
    </w:rPr>
  </w:style>
  <w:style w:type="character" w:styleId="Emphasis">
    <w:name w:val="Emphasis"/>
    <w:basedOn w:val="DefaultParagraphFont"/>
    <w:uiPriority w:val="20"/>
    <w:qFormat/>
    <w:rsid w:val="00757561"/>
    <w:rPr>
      <w:i/>
      <w:iCs/>
    </w:rPr>
  </w:style>
  <w:style w:type="character" w:customStyle="1" w:styleId="html-italic">
    <w:name w:val="html-italic"/>
    <w:basedOn w:val="DefaultParagraphFont"/>
    <w:rsid w:val="00F54368"/>
  </w:style>
  <w:style w:type="paragraph" w:styleId="EndnoteText">
    <w:name w:val="endnote text"/>
    <w:basedOn w:val="Normal"/>
    <w:link w:val="EndnoteTextChar"/>
    <w:uiPriority w:val="99"/>
    <w:semiHidden/>
    <w:unhideWhenUsed/>
    <w:rsid w:val="00351118"/>
    <w:pPr>
      <w:spacing w:line="240" w:lineRule="auto"/>
    </w:pPr>
    <w:rPr>
      <w:sz w:val="20"/>
      <w:szCs w:val="20"/>
    </w:rPr>
  </w:style>
  <w:style w:type="character" w:customStyle="1" w:styleId="EndnoteTextChar">
    <w:name w:val="Endnote Text Char"/>
    <w:basedOn w:val="DefaultParagraphFont"/>
    <w:link w:val="EndnoteText"/>
    <w:uiPriority w:val="99"/>
    <w:semiHidden/>
    <w:rsid w:val="00351118"/>
    <w:rPr>
      <w:sz w:val="20"/>
      <w:szCs w:val="20"/>
    </w:rPr>
  </w:style>
  <w:style w:type="character" w:styleId="EndnoteReference">
    <w:name w:val="endnote reference"/>
    <w:basedOn w:val="DefaultParagraphFont"/>
    <w:uiPriority w:val="99"/>
    <w:semiHidden/>
    <w:unhideWhenUsed/>
    <w:rsid w:val="00351118"/>
    <w:rPr>
      <w:vertAlign w:val="superscript"/>
    </w:rPr>
  </w:style>
  <w:style w:type="character" w:styleId="UnresolvedMention">
    <w:name w:val="Unresolved Mention"/>
    <w:basedOn w:val="DefaultParagraphFont"/>
    <w:uiPriority w:val="99"/>
    <w:semiHidden/>
    <w:unhideWhenUsed/>
    <w:rsid w:val="009E7584"/>
    <w:rPr>
      <w:color w:val="605E5C"/>
      <w:shd w:val="clear" w:color="auto" w:fill="E1DFDD"/>
    </w:rPr>
  </w:style>
  <w:style w:type="paragraph" w:styleId="Revision">
    <w:name w:val="Revision"/>
    <w:hidden/>
    <w:uiPriority w:val="99"/>
    <w:semiHidden/>
    <w:rsid w:val="000E543F"/>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0E543F"/>
    <w:rPr>
      <w:sz w:val="16"/>
      <w:szCs w:val="16"/>
    </w:rPr>
  </w:style>
  <w:style w:type="paragraph" w:styleId="CommentText">
    <w:name w:val="annotation text"/>
    <w:basedOn w:val="Normal"/>
    <w:link w:val="CommentTextChar"/>
    <w:uiPriority w:val="99"/>
    <w:unhideWhenUsed/>
    <w:rsid w:val="000E543F"/>
    <w:pPr>
      <w:spacing w:line="240" w:lineRule="auto"/>
    </w:pPr>
    <w:rPr>
      <w:sz w:val="20"/>
      <w:szCs w:val="20"/>
    </w:rPr>
  </w:style>
  <w:style w:type="character" w:customStyle="1" w:styleId="CommentTextChar">
    <w:name w:val="Comment Text Char"/>
    <w:basedOn w:val="DefaultParagraphFont"/>
    <w:link w:val="CommentText"/>
    <w:uiPriority w:val="99"/>
    <w:rsid w:val="000E543F"/>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0E543F"/>
    <w:rPr>
      <w:b/>
      <w:bCs/>
    </w:rPr>
  </w:style>
  <w:style w:type="character" w:customStyle="1" w:styleId="CommentSubjectChar">
    <w:name w:val="Comment Subject Char"/>
    <w:basedOn w:val="CommentTextChar"/>
    <w:link w:val="CommentSubject"/>
    <w:uiPriority w:val="99"/>
    <w:semiHidden/>
    <w:rsid w:val="000E543F"/>
    <w:rPr>
      <w:rFonts w:ascii="Times New Roman" w:hAnsi="Times New Roman"/>
      <w:b/>
      <w:bCs/>
      <w:sz w:val="20"/>
      <w:szCs w:val="20"/>
    </w:rPr>
  </w:style>
  <w:style w:type="character" w:styleId="LineNumber">
    <w:name w:val="line number"/>
    <w:basedOn w:val="DefaultParagraphFont"/>
    <w:uiPriority w:val="99"/>
    <w:semiHidden/>
    <w:unhideWhenUsed/>
    <w:rsid w:val="00963940"/>
  </w:style>
  <w:style w:type="character" w:styleId="PlaceholderText">
    <w:name w:val="Placeholder Text"/>
    <w:basedOn w:val="DefaultParagraphFont"/>
    <w:uiPriority w:val="99"/>
    <w:semiHidden/>
    <w:rsid w:val="00201E52"/>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8720">
      <w:bodyDiv w:val="1"/>
      <w:marLeft w:val="0"/>
      <w:marRight w:val="0"/>
      <w:marTop w:val="0"/>
      <w:marBottom w:val="0"/>
      <w:divBdr>
        <w:top w:val="none" w:sz="0" w:space="0" w:color="auto"/>
        <w:left w:val="none" w:sz="0" w:space="0" w:color="auto"/>
        <w:bottom w:val="none" w:sz="0" w:space="0" w:color="auto"/>
        <w:right w:val="none" w:sz="0" w:space="0" w:color="auto"/>
      </w:divBdr>
    </w:div>
    <w:div w:id="21249295">
      <w:bodyDiv w:val="1"/>
      <w:marLeft w:val="0"/>
      <w:marRight w:val="0"/>
      <w:marTop w:val="0"/>
      <w:marBottom w:val="0"/>
      <w:divBdr>
        <w:top w:val="none" w:sz="0" w:space="0" w:color="auto"/>
        <w:left w:val="none" w:sz="0" w:space="0" w:color="auto"/>
        <w:bottom w:val="none" w:sz="0" w:space="0" w:color="auto"/>
        <w:right w:val="none" w:sz="0" w:space="0" w:color="auto"/>
      </w:divBdr>
    </w:div>
    <w:div w:id="106318846">
      <w:bodyDiv w:val="1"/>
      <w:marLeft w:val="0"/>
      <w:marRight w:val="0"/>
      <w:marTop w:val="0"/>
      <w:marBottom w:val="0"/>
      <w:divBdr>
        <w:top w:val="none" w:sz="0" w:space="0" w:color="auto"/>
        <w:left w:val="none" w:sz="0" w:space="0" w:color="auto"/>
        <w:bottom w:val="none" w:sz="0" w:space="0" w:color="auto"/>
        <w:right w:val="none" w:sz="0" w:space="0" w:color="auto"/>
      </w:divBdr>
      <w:divsChild>
        <w:div w:id="1631398261">
          <w:marLeft w:val="0"/>
          <w:marRight w:val="0"/>
          <w:marTop w:val="0"/>
          <w:marBottom w:val="0"/>
          <w:divBdr>
            <w:top w:val="none" w:sz="0" w:space="0" w:color="auto"/>
            <w:left w:val="none" w:sz="0" w:space="0" w:color="auto"/>
            <w:bottom w:val="none" w:sz="0" w:space="0" w:color="auto"/>
            <w:right w:val="none" w:sz="0" w:space="0" w:color="auto"/>
          </w:divBdr>
        </w:div>
        <w:div w:id="261958599">
          <w:marLeft w:val="0"/>
          <w:marRight w:val="0"/>
          <w:marTop w:val="0"/>
          <w:marBottom w:val="0"/>
          <w:divBdr>
            <w:top w:val="none" w:sz="0" w:space="0" w:color="auto"/>
            <w:left w:val="none" w:sz="0" w:space="0" w:color="auto"/>
            <w:bottom w:val="none" w:sz="0" w:space="0" w:color="auto"/>
            <w:right w:val="none" w:sz="0" w:space="0" w:color="auto"/>
          </w:divBdr>
        </w:div>
      </w:divsChild>
    </w:div>
    <w:div w:id="133528594">
      <w:bodyDiv w:val="1"/>
      <w:marLeft w:val="0"/>
      <w:marRight w:val="0"/>
      <w:marTop w:val="0"/>
      <w:marBottom w:val="0"/>
      <w:divBdr>
        <w:top w:val="none" w:sz="0" w:space="0" w:color="auto"/>
        <w:left w:val="none" w:sz="0" w:space="0" w:color="auto"/>
        <w:bottom w:val="none" w:sz="0" w:space="0" w:color="auto"/>
        <w:right w:val="none" w:sz="0" w:space="0" w:color="auto"/>
      </w:divBdr>
    </w:div>
    <w:div w:id="318386463">
      <w:bodyDiv w:val="1"/>
      <w:marLeft w:val="0"/>
      <w:marRight w:val="0"/>
      <w:marTop w:val="0"/>
      <w:marBottom w:val="0"/>
      <w:divBdr>
        <w:top w:val="none" w:sz="0" w:space="0" w:color="auto"/>
        <w:left w:val="none" w:sz="0" w:space="0" w:color="auto"/>
        <w:bottom w:val="none" w:sz="0" w:space="0" w:color="auto"/>
        <w:right w:val="none" w:sz="0" w:space="0" w:color="auto"/>
      </w:divBdr>
    </w:div>
    <w:div w:id="358630170">
      <w:bodyDiv w:val="1"/>
      <w:marLeft w:val="0"/>
      <w:marRight w:val="0"/>
      <w:marTop w:val="0"/>
      <w:marBottom w:val="0"/>
      <w:divBdr>
        <w:top w:val="none" w:sz="0" w:space="0" w:color="auto"/>
        <w:left w:val="none" w:sz="0" w:space="0" w:color="auto"/>
        <w:bottom w:val="none" w:sz="0" w:space="0" w:color="auto"/>
        <w:right w:val="none" w:sz="0" w:space="0" w:color="auto"/>
      </w:divBdr>
    </w:div>
    <w:div w:id="380977910">
      <w:bodyDiv w:val="1"/>
      <w:marLeft w:val="0"/>
      <w:marRight w:val="0"/>
      <w:marTop w:val="0"/>
      <w:marBottom w:val="0"/>
      <w:divBdr>
        <w:top w:val="none" w:sz="0" w:space="0" w:color="auto"/>
        <w:left w:val="none" w:sz="0" w:space="0" w:color="auto"/>
        <w:bottom w:val="none" w:sz="0" w:space="0" w:color="auto"/>
        <w:right w:val="none" w:sz="0" w:space="0" w:color="auto"/>
      </w:divBdr>
    </w:div>
    <w:div w:id="406076959">
      <w:bodyDiv w:val="1"/>
      <w:marLeft w:val="0"/>
      <w:marRight w:val="0"/>
      <w:marTop w:val="0"/>
      <w:marBottom w:val="0"/>
      <w:divBdr>
        <w:top w:val="none" w:sz="0" w:space="0" w:color="auto"/>
        <w:left w:val="none" w:sz="0" w:space="0" w:color="auto"/>
        <w:bottom w:val="none" w:sz="0" w:space="0" w:color="auto"/>
        <w:right w:val="none" w:sz="0" w:space="0" w:color="auto"/>
      </w:divBdr>
      <w:divsChild>
        <w:div w:id="1308700963">
          <w:marLeft w:val="480"/>
          <w:marRight w:val="0"/>
          <w:marTop w:val="0"/>
          <w:marBottom w:val="0"/>
          <w:divBdr>
            <w:top w:val="none" w:sz="0" w:space="0" w:color="auto"/>
            <w:left w:val="none" w:sz="0" w:space="0" w:color="auto"/>
            <w:bottom w:val="none" w:sz="0" w:space="0" w:color="auto"/>
            <w:right w:val="none" w:sz="0" w:space="0" w:color="auto"/>
          </w:divBdr>
          <w:divsChild>
            <w:div w:id="36124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9976973">
      <w:bodyDiv w:val="1"/>
      <w:marLeft w:val="0"/>
      <w:marRight w:val="0"/>
      <w:marTop w:val="0"/>
      <w:marBottom w:val="0"/>
      <w:divBdr>
        <w:top w:val="none" w:sz="0" w:space="0" w:color="auto"/>
        <w:left w:val="none" w:sz="0" w:space="0" w:color="auto"/>
        <w:bottom w:val="none" w:sz="0" w:space="0" w:color="auto"/>
        <w:right w:val="none" w:sz="0" w:space="0" w:color="auto"/>
      </w:divBdr>
    </w:div>
    <w:div w:id="535387217">
      <w:bodyDiv w:val="1"/>
      <w:marLeft w:val="0"/>
      <w:marRight w:val="0"/>
      <w:marTop w:val="0"/>
      <w:marBottom w:val="0"/>
      <w:divBdr>
        <w:top w:val="none" w:sz="0" w:space="0" w:color="auto"/>
        <w:left w:val="none" w:sz="0" w:space="0" w:color="auto"/>
        <w:bottom w:val="none" w:sz="0" w:space="0" w:color="auto"/>
        <w:right w:val="none" w:sz="0" w:space="0" w:color="auto"/>
      </w:divBdr>
    </w:div>
    <w:div w:id="711612829">
      <w:bodyDiv w:val="1"/>
      <w:marLeft w:val="0"/>
      <w:marRight w:val="0"/>
      <w:marTop w:val="0"/>
      <w:marBottom w:val="0"/>
      <w:divBdr>
        <w:top w:val="none" w:sz="0" w:space="0" w:color="auto"/>
        <w:left w:val="none" w:sz="0" w:space="0" w:color="auto"/>
        <w:bottom w:val="none" w:sz="0" w:space="0" w:color="auto"/>
        <w:right w:val="none" w:sz="0" w:space="0" w:color="auto"/>
      </w:divBdr>
    </w:div>
    <w:div w:id="804276507">
      <w:bodyDiv w:val="1"/>
      <w:marLeft w:val="0"/>
      <w:marRight w:val="0"/>
      <w:marTop w:val="0"/>
      <w:marBottom w:val="0"/>
      <w:divBdr>
        <w:top w:val="none" w:sz="0" w:space="0" w:color="auto"/>
        <w:left w:val="none" w:sz="0" w:space="0" w:color="auto"/>
        <w:bottom w:val="none" w:sz="0" w:space="0" w:color="auto"/>
        <w:right w:val="none" w:sz="0" w:space="0" w:color="auto"/>
      </w:divBdr>
    </w:div>
    <w:div w:id="804546281">
      <w:bodyDiv w:val="1"/>
      <w:marLeft w:val="0"/>
      <w:marRight w:val="0"/>
      <w:marTop w:val="0"/>
      <w:marBottom w:val="0"/>
      <w:divBdr>
        <w:top w:val="none" w:sz="0" w:space="0" w:color="auto"/>
        <w:left w:val="none" w:sz="0" w:space="0" w:color="auto"/>
        <w:bottom w:val="none" w:sz="0" w:space="0" w:color="auto"/>
        <w:right w:val="none" w:sz="0" w:space="0" w:color="auto"/>
      </w:divBdr>
    </w:div>
    <w:div w:id="812481519">
      <w:bodyDiv w:val="1"/>
      <w:marLeft w:val="0"/>
      <w:marRight w:val="0"/>
      <w:marTop w:val="0"/>
      <w:marBottom w:val="0"/>
      <w:divBdr>
        <w:top w:val="none" w:sz="0" w:space="0" w:color="auto"/>
        <w:left w:val="none" w:sz="0" w:space="0" w:color="auto"/>
        <w:bottom w:val="none" w:sz="0" w:space="0" w:color="auto"/>
        <w:right w:val="none" w:sz="0" w:space="0" w:color="auto"/>
      </w:divBdr>
    </w:div>
    <w:div w:id="817262621">
      <w:bodyDiv w:val="1"/>
      <w:marLeft w:val="0"/>
      <w:marRight w:val="0"/>
      <w:marTop w:val="0"/>
      <w:marBottom w:val="0"/>
      <w:divBdr>
        <w:top w:val="none" w:sz="0" w:space="0" w:color="auto"/>
        <w:left w:val="none" w:sz="0" w:space="0" w:color="auto"/>
        <w:bottom w:val="none" w:sz="0" w:space="0" w:color="auto"/>
        <w:right w:val="none" w:sz="0" w:space="0" w:color="auto"/>
      </w:divBdr>
    </w:div>
    <w:div w:id="860776629">
      <w:bodyDiv w:val="1"/>
      <w:marLeft w:val="0"/>
      <w:marRight w:val="0"/>
      <w:marTop w:val="0"/>
      <w:marBottom w:val="0"/>
      <w:divBdr>
        <w:top w:val="none" w:sz="0" w:space="0" w:color="auto"/>
        <w:left w:val="none" w:sz="0" w:space="0" w:color="auto"/>
        <w:bottom w:val="none" w:sz="0" w:space="0" w:color="auto"/>
        <w:right w:val="none" w:sz="0" w:space="0" w:color="auto"/>
      </w:divBdr>
    </w:div>
    <w:div w:id="879394116">
      <w:bodyDiv w:val="1"/>
      <w:marLeft w:val="0"/>
      <w:marRight w:val="0"/>
      <w:marTop w:val="0"/>
      <w:marBottom w:val="0"/>
      <w:divBdr>
        <w:top w:val="none" w:sz="0" w:space="0" w:color="auto"/>
        <w:left w:val="none" w:sz="0" w:space="0" w:color="auto"/>
        <w:bottom w:val="none" w:sz="0" w:space="0" w:color="auto"/>
        <w:right w:val="none" w:sz="0" w:space="0" w:color="auto"/>
      </w:divBdr>
    </w:div>
    <w:div w:id="883754834">
      <w:bodyDiv w:val="1"/>
      <w:marLeft w:val="0"/>
      <w:marRight w:val="0"/>
      <w:marTop w:val="0"/>
      <w:marBottom w:val="0"/>
      <w:divBdr>
        <w:top w:val="none" w:sz="0" w:space="0" w:color="auto"/>
        <w:left w:val="none" w:sz="0" w:space="0" w:color="auto"/>
        <w:bottom w:val="none" w:sz="0" w:space="0" w:color="auto"/>
        <w:right w:val="none" w:sz="0" w:space="0" w:color="auto"/>
      </w:divBdr>
    </w:div>
    <w:div w:id="909119207">
      <w:bodyDiv w:val="1"/>
      <w:marLeft w:val="0"/>
      <w:marRight w:val="0"/>
      <w:marTop w:val="0"/>
      <w:marBottom w:val="0"/>
      <w:divBdr>
        <w:top w:val="none" w:sz="0" w:space="0" w:color="auto"/>
        <w:left w:val="none" w:sz="0" w:space="0" w:color="auto"/>
        <w:bottom w:val="none" w:sz="0" w:space="0" w:color="auto"/>
        <w:right w:val="none" w:sz="0" w:space="0" w:color="auto"/>
      </w:divBdr>
    </w:div>
    <w:div w:id="920717812">
      <w:bodyDiv w:val="1"/>
      <w:marLeft w:val="0"/>
      <w:marRight w:val="0"/>
      <w:marTop w:val="0"/>
      <w:marBottom w:val="0"/>
      <w:divBdr>
        <w:top w:val="none" w:sz="0" w:space="0" w:color="auto"/>
        <w:left w:val="none" w:sz="0" w:space="0" w:color="auto"/>
        <w:bottom w:val="none" w:sz="0" w:space="0" w:color="auto"/>
        <w:right w:val="none" w:sz="0" w:space="0" w:color="auto"/>
      </w:divBdr>
    </w:div>
    <w:div w:id="990138829">
      <w:bodyDiv w:val="1"/>
      <w:marLeft w:val="0"/>
      <w:marRight w:val="0"/>
      <w:marTop w:val="0"/>
      <w:marBottom w:val="0"/>
      <w:divBdr>
        <w:top w:val="none" w:sz="0" w:space="0" w:color="auto"/>
        <w:left w:val="none" w:sz="0" w:space="0" w:color="auto"/>
        <w:bottom w:val="none" w:sz="0" w:space="0" w:color="auto"/>
        <w:right w:val="none" w:sz="0" w:space="0" w:color="auto"/>
      </w:divBdr>
    </w:div>
    <w:div w:id="1001858312">
      <w:bodyDiv w:val="1"/>
      <w:marLeft w:val="0"/>
      <w:marRight w:val="0"/>
      <w:marTop w:val="0"/>
      <w:marBottom w:val="0"/>
      <w:divBdr>
        <w:top w:val="none" w:sz="0" w:space="0" w:color="auto"/>
        <w:left w:val="none" w:sz="0" w:space="0" w:color="auto"/>
        <w:bottom w:val="none" w:sz="0" w:space="0" w:color="auto"/>
        <w:right w:val="none" w:sz="0" w:space="0" w:color="auto"/>
      </w:divBdr>
    </w:div>
    <w:div w:id="1106927469">
      <w:bodyDiv w:val="1"/>
      <w:marLeft w:val="0"/>
      <w:marRight w:val="0"/>
      <w:marTop w:val="0"/>
      <w:marBottom w:val="0"/>
      <w:divBdr>
        <w:top w:val="none" w:sz="0" w:space="0" w:color="auto"/>
        <w:left w:val="none" w:sz="0" w:space="0" w:color="auto"/>
        <w:bottom w:val="none" w:sz="0" w:space="0" w:color="auto"/>
        <w:right w:val="none" w:sz="0" w:space="0" w:color="auto"/>
      </w:divBdr>
    </w:div>
    <w:div w:id="1203978693">
      <w:bodyDiv w:val="1"/>
      <w:marLeft w:val="0"/>
      <w:marRight w:val="0"/>
      <w:marTop w:val="0"/>
      <w:marBottom w:val="0"/>
      <w:divBdr>
        <w:top w:val="none" w:sz="0" w:space="0" w:color="auto"/>
        <w:left w:val="none" w:sz="0" w:space="0" w:color="auto"/>
        <w:bottom w:val="none" w:sz="0" w:space="0" w:color="auto"/>
        <w:right w:val="none" w:sz="0" w:space="0" w:color="auto"/>
      </w:divBdr>
    </w:div>
    <w:div w:id="1346396911">
      <w:bodyDiv w:val="1"/>
      <w:marLeft w:val="0"/>
      <w:marRight w:val="0"/>
      <w:marTop w:val="0"/>
      <w:marBottom w:val="0"/>
      <w:divBdr>
        <w:top w:val="none" w:sz="0" w:space="0" w:color="auto"/>
        <w:left w:val="none" w:sz="0" w:space="0" w:color="auto"/>
        <w:bottom w:val="none" w:sz="0" w:space="0" w:color="auto"/>
        <w:right w:val="none" w:sz="0" w:space="0" w:color="auto"/>
      </w:divBdr>
    </w:div>
    <w:div w:id="1370957544">
      <w:bodyDiv w:val="1"/>
      <w:marLeft w:val="0"/>
      <w:marRight w:val="0"/>
      <w:marTop w:val="0"/>
      <w:marBottom w:val="0"/>
      <w:divBdr>
        <w:top w:val="none" w:sz="0" w:space="0" w:color="auto"/>
        <w:left w:val="none" w:sz="0" w:space="0" w:color="auto"/>
        <w:bottom w:val="none" w:sz="0" w:space="0" w:color="auto"/>
        <w:right w:val="none" w:sz="0" w:space="0" w:color="auto"/>
      </w:divBdr>
    </w:div>
    <w:div w:id="1389723465">
      <w:bodyDiv w:val="1"/>
      <w:marLeft w:val="0"/>
      <w:marRight w:val="0"/>
      <w:marTop w:val="0"/>
      <w:marBottom w:val="0"/>
      <w:divBdr>
        <w:top w:val="none" w:sz="0" w:space="0" w:color="auto"/>
        <w:left w:val="none" w:sz="0" w:space="0" w:color="auto"/>
        <w:bottom w:val="none" w:sz="0" w:space="0" w:color="auto"/>
        <w:right w:val="none" w:sz="0" w:space="0" w:color="auto"/>
      </w:divBdr>
    </w:div>
    <w:div w:id="1453859913">
      <w:bodyDiv w:val="1"/>
      <w:marLeft w:val="0"/>
      <w:marRight w:val="0"/>
      <w:marTop w:val="0"/>
      <w:marBottom w:val="0"/>
      <w:divBdr>
        <w:top w:val="none" w:sz="0" w:space="0" w:color="auto"/>
        <w:left w:val="none" w:sz="0" w:space="0" w:color="auto"/>
        <w:bottom w:val="none" w:sz="0" w:space="0" w:color="auto"/>
        <w:right w:val="none" w:sz="0" w:space="0" w:color="auto"/>
      </w:divBdr>
    </w:div>
    <w:div w:id="1463575024">
      <w:bodyDiv w:val="1"/>
      <w:marLeft w:val="0"/>
      <w:marRight w:val="0"/>
      <w:marTop w:val="0"/>
      <w:marBottom w:val="0"/>
      <w:divBdr>
        <w:top w:val="none" w:sz="0" w:space="0" w:color="auto"/>
        <w:left w:val="none" w:sz="0" w:space="0" w:color="auto"/>
        <w:bottom w:val="none" w:sz="0" w:space="0" w:color="auto"/>
        <w:right w:val="none" w:sz="0" w:space="0" w:color="auto"/>
      </w:divBdr>
    </w:div>
    <w:div w:id="1496534737">
      <w:bodyDiv w:val="1"/>
      <w:marLeft w:val="0"/>
      <w:marRight w:val="0"/>
      <w:marTop w:val="0"/>
      <w:marBottom w:val="0"/>
      <w:divBdr>
        <w:top w:val="none" w:sz="0" w:space="0" w:color="auto"/>
        <w:left w:val="none" w:sz="0" w:space="0" w:color="auto"/>
        <w:bottom w:val="none" w:sz="0" w:space="0" w:color="auto"/>
        <w:right w:val="none" w:sz="0" w:space="0" w:color="auto"/>
      </w:divBdr>
    </w:div>
    <w:div w:id="1506018262">
      <w:bodyDiv w:val="1"/>
      <w:marLeft w:val="0"/>
      <w:marRight w:val="0"/>
      <w:marTop w:val="0"/>
      <w:marBottom w:val="0"/>
      <w:divBdr>
        <w:top w:val="none" w:sz="0" w:space="0" w:color="auto"/>
        <w:left w:val="none" w:sz="0" w:space="0" w:color="auto"/>
        <w:bottom w:val="none" w:sz="0" w:space="0" w:color="auto"/>
        <w:right w:val="none" w:sz="0" w:space="0" w:color="auto"/>
      </w:divBdr>
    </w:div>
    <w:div w:id="1537041258">
      <w:bodyDiv w:val="1"/>
      <w:marLeft w:val="0"/>
      <w:marRight w:val="0"/>
      <w:marTop w:val="0"/>
      <w:marBottom w:val="0"/>
      <w:divBdr>
        <w:top w:val="none" w:sz="0" w:space="0" w:color="auto"/>
        <w:left w:val="none" w:sz="0" w:space="0" w:color="auto"/>
        <w:bottom w:val="none" w:sz="0" w:space="0" w:color="auto"/>
        <w:right w:val="none" w:sz="0" w:space="0" w:color="auto"/>
      </w:divBdr>
    </w:div>
    <w:div w:id="1580019072">
      <w:bodyDiv w:val="1"/>
      <w:marLeft w:val="0"/>
      <w:marRight w:val="0"/>
      <w:marTop w:val="0"/>
      <w:marBottom w:val="0"/>
      <w:divBdr>
        <w:top w:val="none" w:sz="0" w:space="0" w:color="auto"/>
        <w:left w:val="none" w:sz="0" w:space="0" w:color="auto"/>
        <w:bottom w:val="none" w:sz="0" w:space="0" w:color="auto"/>
        <w:right w:val="none" w:sz="0" w:space="0" w:color="auto"/>
      </w:divBdr>
      <w:divsChild>
        <w:div w:id="527180915">
          <w:marLeft w:val="0"/>
          <w:marRight w:val="0"/>
          <w:marTop w:val="0"/>
          <w:marBottom w:val="0"/>
          <w:divBdr>
            <w:top w:val="none" w:sz="0" w:space="0" w:color="auto"/>
            <w:left w:val="none" w:sz="0" w:space="0" w:color="auto"/>
            <w:bottom w:val="none" w:sz="0" w:space="0" w:color="auto"/>
            <w:right w:val="none" w:sz="0" w:space="0" w:color="auto"/>
          </w:divBdr>
        </w:div>
        <w:div w:id="1776097287">
          <w:marLeft w:val="0"/>
          <w:marRight w:val="0"/>
          <w:marTop w:val="0"/>
          <w:marBottom w:val="0"/>
          <w:divBdr>
            <w:top w:val="none" w:sz="0" w:space="0" w:color="auto"/>
            <w:left w:val="none" w:sz="0" w:space="0" w:color="auto"/>
            <w:bottom w:val="none" w:sz="0" w:space="0" w:color="auto"/>
            <w:right w:val="none" w:sz="0" w:space="0" w:color="auto"/>
          </w:divBdr>
        </w:div>
      </w:divsChild>
    </w:div>
    <w:div w:id="1673725628">
      <w:bodyDiv w:val="1"/>
      <w:marLeft w:val="0"/>
      <w:marRight w:val="0"/>
      <w:marTop w:val="0"/>
      <w:marBottom w:val="0"/>
      <w:divBdr>
        <w:top w:val="none" w:sz="0" w:space="0" w:color="auto"/>
        <w:left w:val="none" w:sz="0" w:space="0" w:color="auto"/>
        <w:bottom w:val="none" w:sz="0" w:space="0" w:color="auto"/>
        <w:right w:val="none" w:sz="0" w:space="0" w:color="auto"/>
      </w:divBdr>
    </w:div>
    <w:div w:id="1692074053">
      <w:bodyDiv w:val="1"/>
      <w:marLeft w:val="0"/>
      <w:marRight w:val="0"/>
      <w:marTop w:val="0"/>
      <w:marBottom w:val="0"/>
      <w:divBdr>
        <w:top w:val="none" w:sz="0" w:space="0" w:color="auto"/>
        <w:left w:val="none" w:sz="0" w:space="0" w:color="auto"/>
        <w:bottom w:val="none" w:sz="0" w:space="0" w:color="auto"/>
        <w:right w:val="none" w:sz="0" w:space="0" w:color="auto"/>
      </w:divBdr>
    </w:div>
    <w:div w:id="1744060266">
      <w:bodyDiv w:val="1"/>
      <w:marLeft w:val="0"/>
      <w:marRight w:val="0"/>
      <w:marTop w:val="0"/>
      <w:marBottom w:val="0"/>
      <w:divBdr>
        <w:top w:val="none" w:sz="0" w:space="0" w:color="auto"/>
        <w:left w:val="none" w:sz="0" w:space="0" w:color="auto"/>
        <w:bottom w:val="none" w:sz="0" w:space="0" w:color="auto"/>
        <w:right w:val="none" w:sz="0" w:space="0" w:color="auto"/>
      </w:divBdr>
    </w:div>
    <w:div w:id="1783451839">
      <w:bodyDiv w:val="1"/>
      <w:marLeft w:val="0"/>
      <w:marRight w:val="0"/>
      <w:marTop w:val="0"/>
      <w:marBottom w:val="0"/>
      <w:divBdr>
        <w:top w:val="none" w:sz="0" w:space="0" w:color="auto"/>
        <w:left w:val="none" w:sz="0" w:space="0" w:color="auto"/>
        <w:bottom w:val="none" w:sz="0" w:space="0" w:color="auto"/>
        <w:right w:val="none" w:sz="0" w:space="0" w:color="auto"/>
      </w:divBdr>
    </w:div>
    <w:div w:id="1807117310">
      <w:bodyDiv w:val="1"/>
      <w:marLeft w:val="0"/>
      <w:marRight w:val="0"/>
      <w:marTop w:val="0"/>
      <w:marBottom w:val="0"/>
      <w:divBdr>
        <w:top w:val="none" w:sz="0" w:space="0" w:color="auto"/>
        <w:left w:val="none" w:sz="0" w:space="0" w:color="auto"/>
        <w:bottom w:val="none" w:sz="0" w:space="0" w:color="auto"/>
        <w:right w:val="none" w:sz="0" w:space="0" w:color="auto"/>
      </w:divBdr>
    </w:div>
    <w:div w:id="1812281527">
      <w:bodyDiv w:val="1"/>
      <w:marLeft w:val="0"/>
      <w:marRight w:val="0"/>
      <w:marTop w:val="0"/>
      <w:marBottom w:val="0"/>
      <w:divBdr>
        <w:top w:val="none" w:sz="0" w:space="0" w:color="auto"/>
        <w:left w:val="none" w:sz="0" w:space="0" w:color="auto"/>
        <w:bottom w:val="none" w:sz="0" w:space="0" w:color="auto"/>
        <w:right w:val="none" w:sz="0" w:space="0" w:color="auto"/>
      </w:divBdr>
    </w:div>
    <w:div w:id="1855149351">
      <w:bodyDiv w:val="1"/>
      <w:marLeft w:val="0"/>
      <w:marRight w:val="0"/>
      <w:marTop w:val="0"/>
      <w:marBottom w:val="0"/>
      <w:divBdr>
        <w:top w:val="none" w:sz="0" w:space="0" w:color="auto"/>
        <w:left w:val="none" w:sz="0" w:space="0" w:color="auto"/>
        <w:bottom w:val="none" w:sz="0" w:space="0" w:color="auto"/>
        <w:right w:val="none" w:sz="0" w:space="0" w:color="auto"/>
      </w:divBdr>
      <w:divsChild>
        <w:div w:id="1593080146">
          <w:marLeft w:val="480"/>
          <w:marRight w:val="0"/>
          <w:marTop w:val="0"/>
          <w:marBottom w:val="0"/>
          <w:divBdr>
            <w:top w:val="none" w:sz="0" w:space="0" w:color="auto"/>
            <w:left w:val="none" w:sz="0" w:space="0" w:color="auto"/>
            <w:bottom w:val="none" w:sz="0" w:space="0" w:color="auto"/>
            <w:right w:val="none" w:sz="0" w:space="0" w:color="auto"/>
          </w:divBdr>
          <w:divsChild>
            <w:div w:id="283003298">
              <w:marLeft w:val="0"/>
              <w:marRight w:val="0"/>
              <w:marTop w:val="0"/>
              <w:marBottom w:val="0"/>
              <w:divBdr>
                <w:top w:val="none" w:sz="0" w:space="0" w:color="auto"/>
                <w:left w:val="none" w:sz="0" w:space="0" w:color="auto"/>
                <w:bottom w:val="none" w:sz="0" w:space="0" w:color="auto"/>
                <w:right w:val="none" w:sz="0" w:space="0" w:color="auto"/>
              </w:divBdr>
            </w:div>
            <w:div w:id="1529678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8934110">
      <w:bodyDiv w:val="1"/>
      <w:marLeft w:val="0"/>
      <w:marRight w:val="0"/>
      <w:marTop w:val="0"/>
      <w:marBottom w:val="0"/>
      <w:divBdr>
        <w:top w:val="none" w:sz="0" w:space="0" w:color="auto"/>
        <w:left w:val="none" w:sz="0" w:space="0" w:color="auto"/>
        <w:bottom w:val="none" w:sz="0" w:space="0" w:color="auto"/>
        <w:right w:val="none" w:sz="0" w:space="0" w:color="auto"/>
      </w:divBdr>
    </w:div>
    <w:div w:id="1943536462">
      <w:bodyDiv w:val="1"/>
      <w:marLeft w:val="0"/>
      <w:marRight w:val="0"/>
      <w:marTop w:val="0"/>
      <w:marBottom w:val="0"/>
      <w:divBdr>
        <w:top w:val="none" w:sz="0" w:space="0" w:color="auto"/>
        <w:left w:val="none" w:sz="0" w:space="0" w:color="auto"/>
        <w:bottom w:val="none" w:sz="0" w:space="0" w:color="auto"/>
        <w:right w:val="none" w:sz="0" w:space="0" w:color="auto"/>
      </w:divBdr>
      <w:divsChild>
        <w:div w:id="394403298">
          <w:marLeft w:val="0"/>
          <w:marRight w:val="0"/>
          <w:marTop w:val="0"/>
          <w:marBottom w:val="0"/>
          <w:divBdr>
            <w:top w:val="none" w:sz="0" w:space="0" w:color="auto"/>
            <w:left w:val="none" w:sz="0" w:space="0" w:color="auto"/>
            <w:bottom w:val="none" w:sz="0" w:space="0" w:color="auto"/>
            <w:right w:val="none" w:sz="0" w:space="0" w:color="auto"/>
          </w:divBdr>
        </w:div>
      </w:divsChild>
    </w:div>
    <w:div w:id="1969163374">
      <w:bodyDiv w:val="1"/>
      <w:marLeft w:val="0"/>
      <w:marRight w:val="0"/>
      <w:marTop w:val="0"/>
      <w:marBottom w:val="0"/>
      <w:divBdr>
        <w:top w:val="none" w:sz="0" w:space="0" w:color="auto"/>
        <w:left w:val="none" w:sz="0" w:space="0" w:color="auto"/>
        <w:bottom w:val="none" w:sz="0" w:space="0" w:color="auto"/>
        <w:right w:val="none" w:sz="0" w:space="0" w:color="auto"/>
      </w:divBdr>
    </w:div>
    <w:div w:id="2019040557">
      <w:bodyDiv w:val="1"/>
      <w:marLeft w:val="0"/>
      <w:marRight w:val="0"/>
      <w:marTop w:val="0"/>
      <w:marBottom w:val="0"/>
      <w:divBdr>
        <w:top w:val="none" w:sz="0" w:space="0" w:color="auto"/>
        <w:left w:val="none" w:sz="0" w:space="0" w:color="auto"/>
        <w:bottom w:val="none" w:sz="0" w:space="0" w:color="auto"/>
        <w:right w:val="none" w:sz="0" w:space="0" w:color="auto"/>
      </w:divBdr>
    </w:div>
    <w:div w:id="2093579123">
      <w:bodyDiv w:val="1"/>
      <w:marLeft w:val="0"/>
      <w:marRight w:val="0"/>
      <w:marTop w:val="0"/>
      <w:marBottom w:val="0"/>
      <w:divBdr>
        <w:top w:val="none" w:sz="0" w:space="0" w:color="auto"/>
        <w:left w:val="none" w:sz="0" w:space="0" w:color="auto"/>
        <w:bottom w:val="none" w:sz="0" w:space="0" w:color="auto"/>
        <w:right w:val="none" w:sz="0" w:space="0" w:color="auto"/>
      </w:divBdr>
    </w:div>
    <w:div w:id="21275046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creativecommons.org/licenses/by/4.0/" TargetMode="Externa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doi.org/10.1186/s13068-024-02462-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B9FDD1-ED4A-41CF-AC2C-56499AC3A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3389</TotalTime>
  <Pages>59</Pages>
  <Words>136443</Words>
  <Characters>750442</Characters>
  <Application>Microsoft Office Word</Application>
  <DocSecurity>0</DocSecurity>
  <Lines>6253</Lines>
  <Paragraphs>1770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885115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Abd-El-aziz</dc:creator>
  <cp:keywords/>
  <dc:description/>
  <cp:lastModifiedBy>Spyridon Agathos</cp:lastModifiedBy>
  <cp:revision>164</cp:revision>
  <dcterms:created xsi:type="dcterms:W3CDTF">2025-02-24T13:53:00Z</dcterms:created>
  <dcterms:modified xsi:type="dcterms:W3CDTF">2025-03-03T19:25:00Z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zotero-version="7.0.13"&gt;&lt;session id="ICWxQiKF"/&gt;&lt;style id="http://www.zotero.org/styles/biotechnology-advances" hasBibliography="1" bibliographyStyleHasBeenSet="1"/&gt;&lt;prefs&gt;&lt;pref name="fieldType" value="Field"/&gt;&lt;/prefs&gt;&lt;/data&gt;</vt:lpwstr>
  </property>
</Properties>
</file>