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184CC" w14:textId="0842CDB6" w:rsidR="00864A15" w:rsidRPr="00864A15" w:rsidRDefault="00864A15" w:rsidP="00864A15">
      <w:pPr>
        <w:jc w:val="center"/>
        <w:rPr>
          <w:b/>
          <w:lang w:val="fr-FR"/>
        </w:rPr>
      </w:pPr>
      <w:proofErr w:type="spellStart"/>
      <w:r w:rsidRPr="00864A15">
        <w:rPr>
          <w:b/>
          <w:i/>
          <w:iCs/>
          <w:lang w:val="fr-FR"/>
        </w:rPr>
        <w:t>Empowerment</w:t>
      </w:r>
      <w:proofErr w:type="spellEnd"/>
      <w:r w:rsidRPr="00864A15">
        <w:rPr>
          <w:b/>
          <w:lang w:val="fr-FR"/>
        </w:rPr>
        <w:t xml:space="preserve"> et éducation : </w:t>
      </w:r>
    </w:p>
    <w:p w14:paraId="05DA6BDA" w14:textId="7B38CB83" w:rsidR="00864A15" w:rsidRPr="00864A15" w:rsidRDefault="00864A15" w:rsidP="00864A15">
      <w:pPr>
        <w:jc w:val="center"/>
        <w:rPr>
          <w:b/>
          <w:lang w:val="fr-FR"/>
        </w:rPr>
      </w:pPr>
      <w:r w:rsidRPr="00864A15">
        <w:rPr>
          <w:b/>
          <w:lang w:val="fr-FR"/>
        </w:rPr>
        <w:t>Une approche par la logique du coaching et l’idéal du potentiel caché</w:t>
      </w:r>
    </w:p>
    <w:p w14:paraId="17CF18D7" w14:textId="11677821" w:rsidR="00864A15" w:rsidRDefault="00864A15" w:rsidP="00864A15">
      <w:pPr>
        <w:jc w:val="right"/>
        <w:rPr>
          <w:lang w:val="fr-FR"/>
        </w:rPr>
      </w:pPr>
      <w:r w:rsidRPr="00864A15">
        <w:rPr>
          <w:lang w:val="fr-FR"/>
        </w:rPr>
        <w:t xml:space="preserve">Gaspard </w:t>
      </w:r>
      <w:proofErr w:type="spellStart"/>
      <w:r w:rsidRPr="00864A15">
        <w:rPr>
          <w:lang w:val="fr-FR"/>
        </w:rPr>
        <w:t>Wiseur</w:t>
      </w:r>
      <w:proofErr w:type="spellEnd"/>
      <w:r w:rsidR="00A62DE4">
        <w:rPr>
          <w:rStyle w:val="Appelnotedebasdep"/>
          <w:lang w:val="fr-FR"/>
        </w:rPr>
        <w:footnoteReference w:id="1"/>
      </w:r>
      <w:r w:rsidRPr="00864A15">
        <w:rPr>
          <w:lang w:val="fr-FR"/>
        </w:rPr>
        <w:t xml:space="preserve"> et Nicolas Marquis</w:t>
      </w:r>
      <w:r w:rsidR="00A62DE4">
        <w:rPr>
          <w:rStyle w:val="Appelnotedebasdep"/>
          <w:lang w:val="fr-FR"/>
        </w:rPr>
        <w:footnoteReference w:id="2"/>
      </w:r>
    </w:p>
    <w:p w14:paraId="7C795889" w14:textId="4290FF06" w:rsidR="00687CA6" w:rsidRDefault="00864A15" w:rsidP="00864A15">
      <w:pPr>
        <w:jc w:val="center"/>
        <w:rPr>
          <w:lang w:val="fr-FR"/>
        </w:rPr>
        <w:sectPr w:rsidR="00687CA6">
          <w:footerReference w:type="even" r:id="rId8"/>
          <w:footerReference w:type="default" r:id="rId9"/>
          <w:pgSz w:w="11906" w:h="16838"/>
          <w:pgMar w:top="1417" w:right="1417" w:bottom="1417" w:left="1417" w:header="708" w:footer="708" w:gutter="0"/>
          <w:cols w:space="708"/>
          <w:docGrid w:linePitch="360"/>
        </w:sectPr>
      </w:pPr>
      <w:r>
        <w:rPr>
          <w:lang w:val="fr-FR"/>
        </w:rPr>
        <w:t>Communication réalisée dans le cadre du Séminaire « Gouverner le ‘progrès’ et ses dégâts (1810-2021) » - Centre Alexandre Koyré, EHESS, Paris – 15 mars 202</w:t>
      </w:r>
      <w:r w:rsidR="00687CA6">
        <w:rPr>
          <w:lang w:val="fr-FR"/>
        </w:rPr>
        <w:t>2</w:t>
      </w:r>
    </w:p>
    <w:p w14:paraId="2337C167" w14:textId="77EF8FCF" w:rsidR="00687CA6" w:rsidRPr="00687CA6" w:rsidRDefault="00687CA6" w:rsidP="00687CA6">
      <w:pPr>
        <w:ind w:firstLine="0"/>
        <w:jc w:val="left"/>
        <w:rPr>
          <w:b/>
          <w:bCs/>
          <w:lang w:val="fr-FR"/>
        </w:rPr>
      </w:pPr>
      <w:r>
        <w:rPr>
          <w:b/>
          <w:bCs/>
          <w:lang w:val="fr-FR"/>
        </w:rPr>
        <w:t>Introductio</w:t>
      </w:r>
      <w:r>
        <w:rPr>
          <w:b/>
          <w:bCs/>
          <w:lang w:val="fr-FR"/>
        </w:rPr>
        <w:t>n</w:t>
      </w:r>
    </w:p>
    <w:p w14:paraId="0B7097B4" w14:textId="26EDA348" w:rsidR="00864A15" w:rsidRDefault="00864A15" w:rsidP="00A62DE4">
      <w:pPr>
        <w:ind w:firstLine="0"/>
        <w:rPr>
          <w:lang w:val="fr-FR"/>
        </w:rPr>
      </w:pPr>
      <w:r>
        <w:rPr>
          <w:lang w:val="fr-FR"/>
        </w:rPr>
        <w:t>Nous voudrions aujourd’hui présenter quelques réflexions autour de la notion d’</w:t>
      </w:r>
      <w:proofErr w:type="spellStart"/>
      <w:r>
        <w:rPr>
          <w:i/>
          <w:iCs/>
          <w:lang w:val="fr-FR"/>
        </w:rPr>
        <w:t>empowerment</w:t>
      </w:r>
      <w:proofErr w:type="spellEnd"/>
      <w:r w:rsidR="00A62DE4">
        <w:rPr>
          <w:lang w:val="fr-FR"/>
        </w:rPr>
        <w:t>, et peut être préciser la manière dont nous approchons ce genre de notions dans le cadre du projet ERC-</w:t>
      </w:r>
      <w:proofErr w:type="spellStart"/>
      <w:r w:rsidR="00A62DE4">
        <w:rPr>
          <w:lang w:val="fr-FR"/>
        </w:rPr>
        <w:t>CoachingRituals</w:t>
      </w:r>
      <w:proofErr w:type="spellEnd"/>
      <w:r w:rsidR="00A62DE4">
        <w:rPr>
          <w:lang w:val="fr-FR"/>
        </w:rPr>
        <w:t>, que Nicolas Marquis présentera dans quelques instants.</w:t>
      </w:r>
    </w:p>
    <w:p w14:paraId="79B1D21F" w14:textId="1780DC87" w:rsidR="00A62DE4" w:rsidRDefault="00A62DE4" w:rsidP="00A62DE4">
      <w:pPr>
        <w:ind w:firstLine="0"/>
        <w:rPr>
          <w:lang w:val="fr-FR"/>
        </w:rPr>
      </w:pPr>
      <w:r>
        <w:rPr>
          <w:lang w:val="fr-FR"/>
        </w:rPr>
        <w:t>Notre communication sera structurée de la manière suivante. Dans un premier temps, nous allons introduire une série de réflexions autour de la notion d’</w:t>
      </w:r>
      <w:proofErr w:type="spellStart"/>
      <w:r>
        <w:rPr>
          <w:i/>
          <w:iCs/>
          <w:lang w:val="fr-FR"/>
        </w:rPr>
        <w:t>empowerment</w:t>
      </w:r>
      <w:proofErr w:type="spellEnd"/>
      <w:r>
        <w:rPr>
          <w:lang w:val="fr-FR"/>
        </w:rPr>
        <w:t xml:space="preserve"> et de l’usage que nous faisons de ce genre de notion dans le cadre du projet ERC-</w:t>
      </w:r>
      <w:proofErr w:type="spellStart"/>
      <w:r>
        <w:rPr>
          <w:lang w:val="fr-FR"/>
        </w:rPr>
        <w:t>CoachingRituals</w:t>
      </w:r>
      <w:proofErr w:type="spellEnd"/>
      <w:r>
        <w:rPr>
          <w:lang w:val="fr-FR"/>
        </w:rPr>
        <w:t xml:space="preserve">. Ce sera l’occasion de présenter ce projet et les hypothèses qui le guident. Ensuite, </w:t>
      </w:r>
      <w:r w:rsidR="00687CA6">
        <w:rPr>
          <w:lang w:val="fr-FR"/>
        </w:rPr>
        <w:t xml:space="preserve">nous voudrions spécifier les questions que posent ce genre de notions lorsqu’on les aborde à partir du champ de l’éducation, en présentant quelques hypothèses qui guideront </w:t>
      </w:r>
      <w:r w:rsidR="00856141">
        <w:rPr>
          <w:lang w:val="fr-FR"/>
        </w:rPr>
        <w:t>mon</w:t>
      </w:r>
      <w:r w:rsidR="00687CA6">
        <w:rPr>
          <w:lang w:val="fr-FR"/>
        </w:rPr>
        <w:t xml:space="preserve"> travail de </w:t>
      </w:r>
      <w:r w:rsidR="00856141">
        <w:rPr>
          <w:lang w:val="fr-FR"/>
        </w:rPr>
        <w:t>thèse, notamment une hypothèse tirée de m</w:t>
      </w:r>
      <w:r w:rsidR="00687CA6">
        <w:rPr>
          <w:lang w:val="fr-FR"/>
        </w:rPr>
        <w:t>on terrain qui vient tout juste de commencer. Aussi, ce qui sera présenté dans la seconde partie de cette communication doit être pris avec des pincettes, et envisagé comme des hypothèses de travail</w:t>
      </w:r>
      <w:r w:rsidR="00856141">
        <w:rPr>
          <w:lang w:val="fr-FR"/>
        </w:rPr>
        <w:t>, et je serai ravi d’avoir vos retours sur celles-ci.</w:t>
      </w:r>
    </w:p>
    <w:p w14:paraId="2C8C5BA7" w14:textId="52E6B5D8" w:rsidR="00687CA6" w:rsidRDefault="00BD6E4F" w:rsidP="00A62DE4">
      <w:pPr>
        <w:ind w:firstLine="0"/>
        <w:rPr>
          <w:b/>
          <w:bCs/>
          <w:lang w:val="fr-FR"/>
        </w:rPr>
      </w:pPr>
      <w:proofErr w:type="spellStart"/>
      <w:r>
        <w:rPr>
          <w:b/>
          <w:bCs/>
          <w:lang w:val="fr-FR"/>
        </w:rPr>
        <w:t>Empowerment</w:t>
      </w:r>
      <w:proofErr w:type="spellEnd"/>
      <w:r>
        <w:rPr>
          <w:b/>
          <w:bCs/>
          <w:lang w:val="fr-FR"/>
        </w:rPr>
        <w:t xml:space="preserve"> ou logique du coaching ?</w:t>
      </w:r>
    </w:p>
    <w:p w14:paraId="77DAFED9" w14:textId="3CB6BD57" w:rsidR="00BD6E4F" w:rsidRDefault="00BD6E4F" w:rsidP="00A62DE4">
      <w:pPr>
        <w:ind w:firstLine="0"/>
        <w:rPr>
          <w:lang w:val="fr-FR"/>
        </w:rPr>
      </w:pPr>
      <w:r>
        <w:rPr>
          <w:lang w:val="fr-FR"/>
        </w:rPr>
        <w:t>À la vue du titre de la séance d’aujourd’hui, « Agir sur les comportements ? Enjeux et pratiques de l’</w:t>
      </w:r>
      <w:proofErr w:type="spellStart"/>
      <w:r>
        <w:rPr>
          <w:i/>
          <w:iCs/>
          <w:lang w:val="fr-FR"/>
        </w:rPr>
        <w:t>empowerment</w:t>
      </w:r>
      <w:proofErr w:type="spellEnd"/>
      <w:r>
        <w:rPr>
          <w:lang w:val="fr-FR"/>
        </w:rPr>
        <w:t xml:space="preserve"> dans les mondes du travail et de l’éducation », l’usage de la notion d’</w:t>
      </w:r>
      <w:proofErr w:type="spellStart"/>
      <w:r>
        <w:rPr>
          <w:i/>
          <w:iCs/>
          <w:lang w:val="fr-FR"/>
        </w:rPr>
        <w:t>empowerment</w:t>
      </w:r>
      <w:proofErr w:type="spellEnd"/>
      <w:r>
        <w:rPr>
          <w:lang w:val="fr-FR"/>
        </w:rPr>
        <w:t xml:space="preserve"> nous a intéressé, en ceci qu’il donnait l’occasion de revenir sur certaines hypothèses fortes du projet ERC-</w:t>
      </w:r>
      <w:proofErr w:type="spellStart"/>
      <w:r>
        <w:rPr>
          <w:lang w:val="fr-FR"/>
        </w:rPr>
        <w:t>CoachingRituals</w:t>
      </w:r>
      <w:proofErr w:type="spellEnd"/>
      <w:r>
        <w:rPr>
          <w:lang w:val="fr-FR"/>
        </w:rPr>
        <w:t>. Nous voudrions dans un premier temps présenter ces hypothèses et le projet en tentant de voir la notion d’</w:t>
      </w:r>
      <w:proofErr w:type="spellStart"/>
      <w:r>
        <w:rPr>
          <w:i/>
          <w:iCs/>
          <w:lang w:val="fr-FR"/>
        </w:rPr>
        <w:t>empowerment</w:t>
      </w:r>
      <w:proofErr w:type="spellEnd"/>
      <w:r>
        <w:rPr>
          <w:lang w:val="fr-FR"/>
        </w:rPr>
        <w:t xml:space="preserve"> et d’autres qui lui sont voisines se rapportent les unes aux autres, et se rattachent à des représentations collectives particulières et, éventuellement, à des pratiques.</w:t>
      </w:r>
    </w:p>
    <w:p w14:paraId="498A9044" w14:textId="617AFCDE" w:rsidR="00BD6E4F" w:rsidRDefault="00BD6E4F" w:rsidP="00A62DE4">
      <w:pPr>
        <w:ind w:firstLine="0"/>
        <w:rPr>
          <w:lang w:val="fr-FR"/>
        </w:rPr>
      </w:pPr>
      <w:r>
        <w:rPr>
          <w:lang w:val="fr-FR"/>
        </w:rPr>
        <w:lastRenderedPageBreak/>
        <w:t>Le projet ERC-</w:t>
      </w:r>
      <w:proofErr w:type="spellStart"/>
      <w:r>
        <w:rPr>
          <w:lang w:val="fr-FR"/>
        </w:rPr>
        <w:t>CoachingRituals</w:t>
      </w:r>
      <w:proofErr w:type="spellEnd"/>
      <w:r>
        <w:rPr>
          <w:lang w:val="fr-FR"/>
        </w:rPr>
        <w:t xml:space="preserve"> a ceci de particulier qu’il s’ancre dans une approche qui vise à prendre au sérieux des pratiques comme l’</w:t>
      </w:r>
      <w:proofErr w:type="spellStart"/>
      <w:r>
        <w:rPr>
          <w:i/>
          <w:iCs/>
          <w:lang w:val="fr-FR"/>
        </w:rPr>
        <w:t>empowerment</w:t>
      </w:r>
      <w:proofErr w:type="spellEnd"/>
      <w:r>
        <w:rPr>
          <w:lang w:val="fr-FR"/>
        </w:rPr>
        <w:t>, sans chercher à les critiquer, mais plutôt en les constituant en tant qu’objet afin de tenter d’approcher les conditions sociales de leur efficacité symbolique, en les décrivant à la manière de ce que ferait l’anthropologue soucieux de saisir la cosmogonie d’un peuple lointain.</w:t>
      </w:r>
    </w:p>
    <w:p w14:paraId="4643A89D" w14:textId="4AD016CB" w:rsidR="00BD6E4F" w:rsidRDefault="00681F4B" w:rsidP="00A62DE4">
      <w:pPr>
        <w:ind w:firstLine="0"/>
        <w:rPr>
          <w:lang w:val="fr-FR"/>
        </w:rPr>
      </w:pPr>
      <w:r>
        <w:rPr>
          <w:lang w:val="fr-FR"/>
        </w:rPr>
        <w:t>L’</w:t>
      </w:r>
      <w:proofErr w:type="spellStart"/>
      <w:r>
        <w:rPr>
          <w:i/>
          <w:iCs/>
          <w:lang w:val="fr-FR"/>
        </w:rPr>
        <w:t>empowerment</w:t>
      </w:r>
      <w:proofErr w:type="spellEnd"/>
      <w:r>
        <w:rPr>
          <w:i/>
          <w:iCs/>
          <w:lang w:val="fr-FR"/>
        </w:rPr>
        <w:t xml:space="preserve"> </w:t>
      </w:r>
      <w:r>
        <w:rPr>
          <w:lang w:val="fr-FR"/>
        </w:rPr>
        <w:t xml:space="preserve">et les catégories qui lui sont proches sont l’objet du projet </w:t>
      </w:r>
      <w:proofErr w:type="spellStart"/>
      <w:r>
        <w:rPr>
          <w:lang w:val="fr-FR"/>
        </w:rPr>
        <w:t>CoachingRituals</w:t>
      </w:r>
      <w:proofErr w:type="spellEnd"/>
      <w:r>
        <w:rPr>
          <w:lang w:val="fr-FR"/>
        </w:rPr>
        <w:t>, mais nous les avons regroupés sous l’étiquette de « logique du coaching ». Cela revient à désigner un objet d’étude à construire qui engloberait pour ainsi dire tout un ensemble de manières d’intervenir sur autrui parmi lesquelles figure, selon nous, l’</w:t>
      </w:r>
      <w:proofErr w:type="spellStart"/>
      <w:r>
        <w:rPr>
          <w:i/>
          <w:iCs/>
          <w:lang w:val="fr-FR"/>
        </w:rPr>
        <w:t>empowerment</w:t>
      </w:r>
      <w:proofErr w:type="spellEnd"/>
      <w:r>
        <w:rPr>
          <w:lang w:val="fr-FR"/>
        </w:rPr>
        <w:t xml:space="preserve">. </w:t>
      </w:r>
    </w:p>
    <w:p w14:paraId="2C074BAE" w14:textId="78F4C0D8" w:rsidR="00681F4B" w:rsidRDefault="00681F4B" w:rsidP="00A62DE4">
      <w:pPr>
        <w:ind w:firstLine="0"/>
        <w:rPr>
          <w:lang w:val="fr-FR"/>
        </w:rPr>
      </w:pPr>
      <w:r>
        <w:rPr>
          <w:lang w:val="fr-FR"/>
        </w:rPr>
        <w:t>Qu’est-ce que la notion de « logique du coaching » apporte de plus que celle d’</w:t>
      </w:r>
      <w:proofErr w:type="spellStart"/>
      <w:r>
        <w:rPr>
          <w:i/>
          <w:iCs/>
          <w:lang w:val="fr-FR"/>
        </w:rPr>
        <w:t>empowerment</w:t>
      </w:r>
      <w:proofErr w:type="spellEnd"/>
      <w:r>
        <w:rPr>
          <w:i/>
          <w:iCs/>
          <w:lang w:val="fr-FR"/>
        </w:rPr>
        <w:t> </w:t>
      </w:r>
      <w:r>
        <w:rPr>
          <w:lang w:val="fr-FR"/>
        </w:rPr>
        <w:t>? Ou plutôt, quelle différence cela fait-il d’utiliser la première plutôt que la seconde pour désigner notre objet d’étude. C’est à cette question que nous voudrions apporter quelques éléments de réponse aujourd’hui.</w:t>
      </w:r>
    </w:p>
    <w:p w14:paraId="60971275" w14:textId="1086595C" w:rsidR="00681F4B" w:rsidRDefault="00681F4B" w:rsidP="00A62DE4">
      <w:pPr>
        <w:ind w:firstLine="0"/>
        <w:rPr>
          <w:lang w:val="fr-FR"/>
        </w:rPr>
      </w:pPr>
      <w:r>
        <w:rPr>
          <w:lang w:val="fr-FR"/>
        </w:rPr>
        <w:t>Pour répondre à cette question, il faut d’abord fournir une définition relativement stabilisée de la notion d’</w:t>
      </w:r>
      <w:proofErr w:type="spellStart"/>
      <w:r>
        <w:rPr>
          <w:i/>
          <w:iCs/>
          <w:lang w:val="fr-FR"/>
        </w:rPr>
        <w:t>empowerment</w:t>
      </w:r>
      <w:proofErr w:type="spellEnd"/>
      <w:r>
        <w:rPr>
          <w:lang w:val="fr-FR"/>
        </w:rPr>
        <w:t>, et la confronter à celle que l’on peut donner à la notion de « logique du coaching ».</w:t>
      </w:r>
    </w:p>
    <w:p w14:paraId="7F11CDE2" w14:textId="77777777" w:rsidR="00681F4B" w:rsidRDefault="00681F4B" w:rsidP="00681F4B">
      <w:r>
        <w:rPr>
          <w:lang w:val="fr-FR"/>
        </w:rPr>
        <w:t xml:space="preserve">Comme le notent les sociologues </w:t>
      </w:r>
      <w:r>
        <w:t xml:space="preserve">Marie-Hélène </w:t>
      </w:r>
      <w:proofErr w:type="spellStart"/>
      <w:r>
        <w:t>Bacqué</w:t>
      </w:r>
      <w:proofErr w:type="spellEnd"/>
      <w:r>
        <w:t xml:space="preserve"> et Carole </w:t>
      </w:r>
      <w:proofErr w:type="spellStart"/>
      <w:r>
        <w:t>Biewener</w:t>
      </w:r>
      <w:proofErr w:type="spellEnd"/>
      <w:r>
        <w:t xml:space="preserve"> dans un article de 2013, si la notion </w:t>
      </w:r>
      <w:r w:rsidRPr="00FA352D">
        <w:rPr>
          <w:i/>
          <w:iCs/>
        </w:rPr>
        <w:t>d’</w:t>
      </w:r>
      <w:proofErr w:type="spellStart"/>
      <w:r w:rsidRPr="00FA352D">
        <w:rPr>
          <w:i/>
          <w:iCs/>
        </w:rPr>
        <w:t>empowerment</w:t>
      </w:r>
      <w:proofErr w:type="spellEnd"/>
      <w:r>
        <w:t xml:space="preserve"> peut être définie d’un certain nombre de manières, un trait commun se dégage de toutes ces définitions : </w:t>
      </w:r>
      <w:r w:rsidRPr="00FA352D">
        <w:rPr>
          <w:i/>
          <w:iCs/>
        </w:rPr>
        <w:t>l’</w:t>
      </w:r>
      <w:proofErr w:type="spellStart"/>
      <w:r w:rsidRPr="00FA352D">
        <w:rPr>
          <w:i/>
          <w:iCs/>
        </w:rPr>
        <w:t>empowerment</w:t>
      </w:r>
      <w:proofErr w:type="spellEnd"/>
      <w:r>
        <w:t xml:space="preserve"> articule une dimension du pouvoir, racine du mot, et une dimension renvoyant au processus par lequel celles et ceux que </w:t>
      </w:r>
      <w:r w:rsidRPr="00FA352D">
        <w:rPr>
          <w:i/>
          <w:iCs/>
        </w:rPr>
        <w:t>l’</w:t>
      </w:r>
      <w:proofErr w:type="spellStart"/>
      <w:r w:rsidRPr="00FA352D">
        <w:rPr>
          <w:i/>
          <w:iCs/>
        </w:rPr>
        <w:t>empowerment</w:t>
      </w:r>
      <w:proofErr w:type="spellEnd"/>
      <w:r>
        <w:t xml:space="preserve"> vise accèdent à ce pouvoir. Autrement dit, </w:t>
      </w:r>
      <w:r w:rsidRPr="00FA352D">
        <w:rPr>
          <w:i/>
          <w:iCs/>
        </w:rPr>
        <w:t>l’</w:t>
      </w:r>
      <w:proofErr w:type="spellStart"/>
      <w:r w:rsidRPr="00FA352D">
        <w:rPr>
          <w:i/>
          <w:iCs/>
        </w:rPr>
        <w:t>empowerment</w:t>
      </w:r>
      <w:proofErr w:type="spellEnd"/>
      <w:r>
        <w:t xml:space="preserve"> est un processus, une modalité pratique d’intervention sur autrui.</w:t>
      </w:r>
    </w:p>
    <w:p w14:paraId="77024718" w14:textId="77777777" w:rsidR="00CB69D4" w:rsidRDefault="00CB69D4" w:rsidP="00CB69D4">
      <w:pPr>
        <w:ind w:firstLine="0"/>
      </w:pPr>
      <w:r>
        <w:t xml:space="preserve">Pour ce qui est de la logique du coaching, elle doit se comprendre comme une grammaire générale de modalités particulières de l’intervention sur autrui. Cette grammaire générale est celle qui relie des formes d’intervention sur autrui qui ont ceci de particulier qu’elles visent à conférer aux personnes qui en sont les récipiendaires des leviers d’action à partir de </w:t>
      </w:r>
      <w:r w:rsidRPr="006A0AC3">
        <w:rPr>
          <w:i/>
          <w:iCs/>
        </w:rPr>
        <w:t>leurs propres ressources</w:t>
      </w:r>
      <w:r>
        <w:t xml:space="preserve"> afin qu’elles puissent faire advenir </w:t>
      </w:r>
      <w:r w:rsidRPr="006A0AC3">
        <w:rPr>
          <w:i/>
          <w:iCs/>
        </w:rPr>
        <w:t>elles-mêmes</w:t>
      </w:r>
      <w:r>
        <w:t xml:space="preserve"> les changements dont elles ont besoin. Ce qui compte ici, c’est bien le fait que ces ressources sont supposées être dans les mains des personnes, mais qu’elles n’auraient pour ainsi dire pas conscience du potentiel qu’elles détiennent.</w:t>
      </w:r>
      <w:r>
        <w:t xml:space="preserve"> </w:t>
      </w:r>
    </w:p>
    <w:p w14:paraId="2C969FCD" w14:textId="77777777" w:rsidR="00CB69D4" w:rsidRDefault="00CB69D4" w:rsidP="00CB69D4">
      <w:pPr>
        <w:ind w:firstLine="0"/>
      </w:pPr>
      <w:r>
        <w:t>Pour le dire autrement</w:t>
      </w:r>
      <w:r>
        <w:t xml:space="preserve">, la logique du coaching est la grammaire des modalités pratiques du déploiement, de la réparation ou de l’augmentation de ce que le sociologue Alain Ehrenberg a </w:t>
      </w:r>
      <w:r>
        <w:lastRenderedPageBreak/>
        <w:t>appelé « l’idéal du potentiel caché », soit l’idée-valeur</w:t>
      </w:r>
      <w:r>
        <w:t xml:space="preserve"> </w:t>
      </w:r>
      <w:r>
        <w:t xml:space="preserve">selon laquelle résiderait en chacun de nous un certain nombre de ressources inexploitées permettant de convertir une faiblesse en force. La figure paradigmatique de cet idéal est l’autiste de haut niveau qui, malgré son handicap, ou </w:t>
      </w:r>
      <w:r>
        <w:t>plutôt</w:t>
      </w:r>
      <w:r>
        <w:t xml:space="preserve"> grâce à lui, est capable de grandes choses. Cette figure, c’est celle du « handicapé devenu </w:t>
      </w:r>
      <w:proofErr w:type="spellStart"/>
      <w:r>
        <w:t>handicapable</w:t>
      </w:r>
      <w:proofErr w:type="spellEnd"/>
      <w:r>
        <w:t> » (Ehrenberg, 2018).</w:t>
      </w:r>
    </w:p>
    <w:p w14:paraId="4D1314A0" w14:textId="77777777" w:rsidR="004B751C" w:rsidRDefault="00CB69D4" w:rsidP="004B751C">
      <w:pPr>
        <w:ind w:firstLine="0"/>
      </w:pPr>
      <w:r>
        <w:t>« </w:t>
      </w:r>
      <w:proofErr w:type="spellStart"/>
      <w:r w:rsidR="003C6CD8">
        <w:rPr>
          <w:i/>
          <w:iCs/>
        </w:rPr>
        <w:t>E</w:t>
      </w:r>
      <w:r w:rsidRPr="00D908E0">
        <w:rPr>
          <w:i/>
          <w:iCs/>
        </w:rPr>
        <w:t>mpowerment</w:t>
      </w:r>
      <w:proofErr w:type="spellEnd"/>
      <w:r>
        <w:t xml:space="preserve"> » et « potentiel caché » sont </w:t>
      </w:r>
      <w:r w:rsidR="003C6CD8">
        <w:t xml:space="preserve">donc </w:t>
      </w:r>
      <w:r>
        <w:t>des</w:t>
      </w:r>
      <w:r w:rsidR="003C6CD8">
        <w:t xml:space="preserve"> notions voisines, mais qui n’ont pas le même statut</w:t>
      </w:r>
      <w:r>
        <w:t xml:space="preserve">. La notion de potentiel caché renvoie à une anthropologie pratique, c’est-à-dire à une manière commune et partagée de définir ce qu’être un </w:t>
      </w:r>
      <w:r w:rsidR="003C6CD8">
        <w:t xml:space="preserve">être </w:t>
      </w:r>
      <w:r>
        <w:t>humain veut dire, de se représenter soi et les autres afin d’orienter son action</w:t>
      </w:r>
      <w:r w:rsidR="003C6CD8">
        <w:t xml:space="preserve">. Cette anthropologie à visée pratique est </w:t>
      </w:r>
      <w:r>
        <w:t>spécifique à nos sociétés de l’autonomie comme condition, c’est-à-dire des sociétés dans lesquelles l’autonomie n’est plus seulement une aspiration mais aussi un devoir (Ehrenberg, 2018</w:t>
      </w:r>
      <w:r>
        <w:t>).</w:t>
      </w:r>
    </w:p>
    <w:p w14:paraId="0D87657A" w14:textId="700B1BC8" w:rsidR="00CB69D4" w:rsidRPr="004B751C" w:rsidRDefault="00CB69D4" w:rsidP="004B751C">
      <w:pPr>
        <w:pStyle w:val="citation"/>
        <w:sectPr w:rsidR="00CB69D4" w:rsidRPr="004B751C" w:rsidSect="004B751C">
          <w:type w:val="continuous"/>
          <w:pgSz w:w="11906" w:h="16838"/>
          <w:pgMar w:top="1417" w:right="1417" w:bottom="1417" w:left="1417" w:header="708" w:footer="708" w:gutter="0"/>
          <w:cols w:space="708"/>
          <w:docGrid w:linePitch="360"/>
        </w:sectPr>
      </w:pPr>
      <w:r w:rsidRPr="004B751C">
        <w:rPr>
          <w:lang w:val="fr-FR"/>
        </w:rPr>
        <w:t>« L’aspiration à l’autonomie était une aspiration à l’indépendance ; l’autonomie comme condition est compétition et coopération. L’indépendance s’est concrétisée dans le domaine des mœurs, c’est-à-dire dans la possibilité morale de choisir la vie qu’on entend mener. En revanche, dans le domaine de l’action, c’est la compétition et la coopération qui se sont affirmées. Dans le passage de l’aspiration à la condition, l’autonomie a donc changé de signification sociale […] Le terme « condition » signifie qu’elle est la condition de tout le monde, mais tout le monde n’est pas égal face à cette condition. Il y a une ambiguïté de l’autonomie : l’autonomie n’est pas une propriété des individus qui arriveraient ou non à être autonomes ; elle est une configuration d’idées-valeurs imprégnant nos façons d’être, les relations que nous avons les uns avec les autres. » (Ehrenberg, 2011 : 562</w:t>
      </w:r>
      <w:r w:rsidRPr="004B751C">
        <w:rPr>
          <w:rFonts w:eastAsia="Baskerville"/>
          <w:lang w:val="fr-FR"/>
        </w:rPr>
        <w:t>)</w:t>
      </w:r>
      <w:r w:rsidR="004B751C" w:rsidRPr="004B751C">
        <w:t xml:space="preserve"> </w:t>
      </w:r>
    </w:p>
    <w:p w14:paraId="64F4A552" w14:textId="0AA0C3D3" w:rsidR="00CB69D4" w:rsidRDefault="003C6CD8" w:rsidP="00CB69D4">
      <w:pPr>
        <w:ind w:firstLine="0"/>
      </w:pPr>
      <w:r>
        <w:t>Pour résumer, l</w:t>
      </w:r>
      <w:r w:rsidR="00CB69D4" w:rsidRPr="003C6CD8">
        <w:t>’</w:t>
      </w:r>
      <w:proofErr w:type="spellStart"/>
      <w:r w:rsidR="00CB69D4" w:rsidRPr="003C6CD8">
        <w:rPr>
          <w:i/>
          <w:iCs/>
        </w:rPr>
        <w:t>empowerment</w:t>
      </w:r>
      <w:proofErr w:type="spellEnd"/>
      <w:r w:rsidR="00CB69D4">
        <w:t xml:space="preserve"> peut donc être compris </w:t>
      </w:r>
      <w:r>
        <w:t xml:space="preserve">comme </w:t>
      </w:r>
      <w:r w:rsidR="00CB69D4">
        <w:t xml:space="preserve">une forme d’action sur autrui, une modalité concrète et appliquée de l’idéal du potentiel caché. En ce sens, </w:t>
      </w:r>
      <w:proofErr w:type="spellStart"/>
      <w:r w:rsidR="00CB69D4" w:rsidRPr="003C6CD8">
        <w:rPr>
          <w:i/>
          <w:iCs/>
        </w:rPr>
        <w:t>empowerment</w:t>
      </w:r>
      <w:proofErr w:type="spellEnd"/>
      <w:r w:rsidR="00CB69D4">
        <w:t xml:space="preserve"> et potentiel caché sont liés en ceci que la première notion présuppose la seconde du point de vue logique. </w:t>
      </w:r>
      <w:r>
        <w:t>É</w:t>
      </w:r>
      <w:r w:rsidR="00CB69D4">
        <w:t xml:space="preserve">tudier la logique du coaching comme se propose de le faire le projet </w:t>
      </w:r>
      <w:proofErr w:type="spellStart"/>
      <w:r w:rsidR="00CB69D4">
        <w:t>CoachingRituals</w:t>
      </w:r>
      <w:proofErr w:type="spellEnd"/>
      <w:r w:rsidR="00CB69D4">
        <w:t xml:space="preserve"> revient à étudier tout un ensemble de </w:t>
      </w:r>
      <w:r>
        <w:t>catégories d’actions qui prennent sens</w:t>
      </w:r>
      <w:r w:rsidR="00CB69D4">
        <w:t xml:space="preserve"> dans nos sociétés de l’autonomie comme condition, parmi lesquelles on retrouve la notion </w:t>
      </w:r>
      <w:r w:rsidR="00CB69D4" w:rsidRPr="003C6CD8">
        <w:rPr>
          <w:i/>
          <w:iCs/>
        </w:rPr>
        <w:t>d’</w:t>
      </w:r>
      <w:proofErr w:type="spellStart"/>
      <w:r w:rsidR="00CB69D4" w:rsidRPr="003C6CD8">
        <w:rPr>
          <w:i/>
          <w:iCs/>
        </w:rPr>
        <w:t>empowerment</w:t>
      </w:r>
      <w:proofErr w:type="spellEnd"/>
      <w:r w:rsidR="00CB69D4">
        <w:t>.</w:t>
      </w:r>
    </w:p>
    <w:p w14:paraId="54853291" w14:textId="2F99F6D7" w:rsidR="003C6CD8" w:rsidRDefault="003C6CD8" w:rsidP="00CB69D4">
      <w:pPr>
        <w:ind w:firstLine="0"/>
        <w:rPr>
          <w:b/>
          <w:bCs/>
        </w:rPr>
      </w:pPr>
      <w:r>
        <w:rPr>
          <w:b/>
          <w:bCs/>
        </w:rPr>
        <w:t>Quelques mots sur le projet ERC-</w:t>
      </w:r>
      <w:proofErr w:type="spellStart"/>
      <w:r>
        <w:rPr>
          <w:b/>
          <w:bCs/>
        </w:rPr>
        <w:t>CoachingRituals</w:t>
      </w:r>
      <w:proofErr w:type="spellEnd"/>
    </w:p>
    <w:p w14:paraId="409F6F58" w14:textId="32503920" w:rsidR="003C6CD8" w:rsidRDefault="003C6CD8" w:rsidP="00CB69D4">
      <w:pPr>
        <w:ind w:firstLine="0"/>
      </w:pPr>
      <w:r>
        <w:lastRenderedPageBreak/>
        <w:t>Pour tenter de décrire la logique du coaching telle que nous l’avons définie plus haut, le projet ERC-</w:t>
      </w:r>
      <w:proofErr w:type="spellStart"/>
      <w:r>
        <w:t>CoachingRituals</w:t>
      </w:r>
      <w:proofErr w:type="spellEnd"/>
      <w:r>
        <w:t xml:space="preserve"> propose une méthodologie doublement comparative.</w:t>
      </w:r>
    </w:p>
    <w:p w14:paraId="4AAC5E49" w14:textId="0ED5C0DF" w:rsidR="003C6CD8" w:rsidRDefault="003C6CD8" w:rsidP="00CB69D4">
      <w:pPr>
        <w:ind w:firstLine="0"/>
      </w:pPr>
      <w:r>
        <w:t xml:space="preserve">Premièrement, l’ensemble du projet repose sur une comparaison entre trois scènes : la santé mentale, la parentalité et l’éducation. Ces trois scènes ont la particularité d’être traditionnellement définie comme reposant sur des relations asymétriques, c’est-à-dire par des relations dans lesquelles une personne en position haute intervient sur une personne en position basse. Ce trait est cependant remis en question par la logique du coaching </w:t>
      </w:r>
      <w:r w:rsidR="0068031F">
        <w:t>qui, parce qu’elle reposerait sur une relation horizontale entre la personne en position haute et la personne en position basse, serait plus respectueuse de l’autonomie de la seconde. Les exemples de discours valorisant ce genre de pratiques sont légions dans les trois champs précités. On pensera par exemple aux « Entendeurs de voix » dans le champ de la santé mentale ou à la parentalité positive. Nous reviendrons plus loin dans cette communication sur le cas de l’éducation.</w:t>
      </w:r>
    </w:p>
    <w:p w14:paraId="3954EF32" w14:textId="0A564490" w:rsidR="0068031F" w:rsidRDefault="0068031F" w:rsidP="00CB69D4">
      <w:pPr>
        <w:ind w:firstLine="0"/>
      </w:pPr>
      <w:r>
        <w:t>Deuxièmement, la première partie du projet (le WPI), qui a débuté en septembre 2020 et s’est clôturé en janvier 2022, visait à spécifier l’environnement moral franco-belge en le mettant en perspective avec l’environnement moral britannique et danois.</w:t>
      </w:r>
    </w:p>
    <w:p w14:paraId="6C4D3DCC" w14:textId="6849BA2C" w:rsidR="00EF5C5B" w:rsidRDefault="00EF5C5B" w:rsidP="00CB69D4">
      <w:pPr>
        <w:ind w:firstLine="0"/>
      </w:pPr>
      <w:r>
        <w:t xml:space="preserve">Troisièmement, nous nous sommes concentrés, dans le cadre de ce premier </w:t>
      </w:r>
      <w:proofErr w:type="spellStart"/>
      <w:r>
        <w:rPr>
          <w:i/>
          <w:iCs/>
        </w:rPr>
        <w:t>work</w:t>
      </w:r>
      <w:proofErr w:type="spellEnd"/>
      <w:r>
        <w:rPr>
          <w:i/>
          <w:iCs/>
        </w:rPr>
        <w:t xml:space="preserve"> package</w:t>
      </w:r>
      <w:r>
        <w:t xml:space="preserve">, sur les jeunes enfants. </w:t>
      </w:r>
    </w:p>
    <w:p w14:paraId="6F782218" w14:textId="050C8CE2" w:rsidR="00EF5C5B" w:rsidRDefault="00EF5C5B" w:rsidP="00CB69D4">
      <w:pPr>
        <w:ind w:firstLine="0"/>
        <w:rPr>
          <w:b/>
          <w:bCs/>
        </w:rPr>
      </w:pPr>
      <w:proofErr w:type="spellStart"/>
      <w:r>
        <w:rPr>
          <w:b/>
          <w:bCs/>
        </w:rPr>
        <w:t>Empowerment</w:t>
      </w:r>
      <w:proofErr w:type="spellEnd"/>
      <w:r>
        <w:rPr>
          <w:b/>
          <w:bCs/>
        </w:rPr>
        <w:t xml:space="preserve"> et éducation</w:t>
      </w:r>
    </w:p>
    <w:p w14:paraId="4D856496" w14:textId="38D4C1C1" w:rsidR="00EF5C5B" w:rsidRDefault="00EF5C5B" w:rsidP="00CB69D4">
      <w:pPr>
        <w:ind w:firstLine="0"/>
      </w:pPr>
      <w:r>
        <w:t>Ma thèse au sein du projet ERC-</w:t>
      </w:r>
      <w:proofErr w:type="spellStart"/>
      <w:r>
        <w:t>CoachingRituals</w:t>
      </w:r>
      <w:proofErr w:type="spellEnd"/>
      <w:r>
        <w:t xml:space="preserve"> vise à décrire la manière dont la logique du coaching opère dans le champ de l’éducation.</w:t>
      </w:r>
    </w:p>
    <w:p w14:paraId="5519E859" w14:textId="3213E40D" w:rsidR="00EF5C5B" w:rsidRDefault="00EF5C5B" w:rsidP="00CB69D4">
      <w:pPr>
        <w:ind w:firstLine="0"/>
      </w:pPr>
      <w:r>
        <w:t>Comme dit précédemment, j’ai été intéressé par la mobilisation, dans le titre de la séance de ce séminaire, de la notion d’</w:t>
      </w:r>
      <w:proofErr w:type="spellStart"/>
      <w:r>
        <w:rPr>
          <w:i/>
          <w:iCs/>
        </w:rPr>
        <w:t>empowerment</w:t>
      </w:r>
      <w:proofErr w:type="spellEnd"/>
      <w:r>
        <w:t xml:space="preserve"> pour désigner les transformations à l’œuvre dans le champ de l’éducation. En effet, on ne voit que rarement apparaître des termes comme « </w:t>
      </w:r>
      <w:proofErr w:type="spellStart"/>
      <w:r>
        <w:rPr>
          <w:i/>
          <w:iCs/>
        </w:rPr>
        <w:t>empowerment</w:t>
      </w:r>
      <w:proofErr w:type="spellEnd"/>
      <w:r>
        <w:t> » ou « </w:t>
      </w:r>
      <w:r>
        <w:rPr>
          <w:i/>
          <w:iCs/>
        </w:rPr>
        <w:t>coaching</w:t>
      </w:r>
      <w:r>
        <w:t xml:space="preserve"> » dans les instructions officielles. Aussi, quand ces termes apparaissent, c’est plutôt dans des secteurs qui sont à la lisière du champ de l’éducation. Par exemple, on peut observer chez des </w:t>
      </w:r>
      <w:proofErr w:type="spellStart"/>
      <w:r>
        <w:t>coachs</w:t>
      </w:r>
      <w:proofErr w:type="spellEnd"/>
      <w:r>
        <w:t xml:space="preserve"> scolaires l’usage d’expression relatives aux jeux de langage de l’</w:t>
      </w:r>
      <w:proofErr w:type="spellStart"/>
      <w:r>
        <w:rPr>
          <w:i/>
          <w:iCs/>
        </w:rPr>
        <w:t>empowerment</w:t>
      </w:r>
      <w:proofErr w:type="spellEnd"/>
      <w:r>
        <w:t xml:space="preserve"> lorsqu’ils proposent de « </w:t>
      </w:r>
      <w:proofErr w:type="spellStart"/>
      <w:r>
        <w:t>capaciter</w:t>
      </w:r>
      <w:proofErr w:type="spellEnd"/>
      <w:r>
        <w:t> » les enfants, de les rendre « autonomes », de « booster leur confiance » ou de les aider à « développer leur plein potentiel »</w:t>
      </w:r>
      <w:r w:rsidR="000C4411">
        <w:t xml:space="preserve">. Dans son ouvrage de 2020, Anne-Claudine </w:t>
      </w:r>
      <w:proofErr w:type="spellStart"/>
      <w:r w:rsidR="000C4411">
        <w:t>Oller</w:t>
      </w:r>
      <w:proofErr w:type="spellEnd"/>
      <w:r w:rsidR="000C4411">
        <w:t xml:space="preserve"> montre bien que c’est en proposant cela que le coaching scolaire se distingue des autres formes d’accompagnement scolaire. </w:t>
      </w:r>
    </w:p>
    <w:p w14:paraId="402085AA" w14:textId="759A5155" w:rsidR="000C4411" w:rsidRDefault="000C4411" w:rsidP="00CB69D4">
      <w:pPr>
        <w:ind w:firstLine="0"/>
      </w:pPr>
      <w:r>
        <w:lastRenderedPageBreak/>
        <w:t>Pour autant, peut-on dire qu’il n’y a pas de traces ou d’indices de ces éléments dans le champ éducatif ? Autrement dit, comment est-ce que les représentations et les pratiques dans le champ de l’éducation se rattachent à ces notions, quelles « ressemblances de famille », pour reprendre l’expression de Ludwig Wittgenstein (2014), entretiennent-elles ?</w:t>
      </w:r>
    </w:p>
    <w:p w14:paraId="3C2F1733" w14:textId="6B7B0232" w:rsidR="000C4411" w:rsidRDefault="000C4411" w:rsidP="00CB69D4">
      <w:pPr>
        <w:ind w:firstLine="0"/>
      </w:pPr>
      <w:r>
        <w:t>C’est à cette question que nous aimerions apporter quelques éléments de réponse aujourd’hui à partir de la recherche menée sur la scène de l’éducation durant la première année et demie du projet, mais aussi et surtout de soumettre quelques hypothèses qui se dégagent des premiers temps de l’enquête, et sur lesquelles je serais ravi d’avoir vos retours durant la discussion.</w:t>
      </w:r>
    </w:p>
    <w:p w14:paraId="691031FF" w14:textId="21DE5345" w:rsidR="000C4411" w:rsidRDefault="000C4411" w:rsidP="00CB69D4">
      <w:pPr>
        <w:ind w:firstLine="0"/>
        <w:rPr>
          <w:b/>
          <w:bCs/>
        </w:rPr>
      </w:pPr>
      <w:r>
        <w:rPr>
          <w:b/>
          <w:bCs/>
        </w:rPr>
        <w:t>Quelques particularités du champ préscolaire franco-belge</w:t>
      </w:r>
    </w:p>
    <w:p w14:paraId="2975C011" w14:textId="77777777" w:rsidR="004B751C" w:rsidRDefault="000C4411" w:rsidP="004B751C">
      <w:pPr>
        <w:ind w:firstLine="0"/>
      </w:pPr>
      <w:r>
        <w:t xml:space="preserve">Il me faut, dans un premier temps, identifier quelques particularités du champ préscolaire franco-belge. En effet, pour reprendre les propos des sociologues Marie-Hélène </w:t>
      </w:r>
      <w:proofErr w:type="spellStart"/>
      <w:r>
        <w:t>Bacqué</w:t>
      </w:r>
      <w:proofErr w:type="spellEnd"/>
      <w:r>
        <w:t xml:space="preserve"> et Carole </w:t>
      </w:r>
      <w:proofErr w:type="spellStart"/>
      <w:r>
        <w:t>Biewener</w:t>
      </w:r>
      <w:proofErr w:type="spellEnd"/>
      <w:r>
        <w:t xml:space="preserve"> : </w:t>
      </w:r>
    </w:p>
    <w:p w14:paraId="6E0504A8" w14:textId="6984DF41" w:rsidR="000C4411" w:rsidRPr="000C4411" w:rsidRDefault="000C4411" w:rsidP="004B751C">
      <w:pPr>
        <w:pStyle w:val="citation"/>
      </w:pPr>
      <w:r w:rsidRPr="000C4411">
        <w:t>« On peut voir [dans le succès de la catégorie d’</w:t>
      </w:r>
      <w:proofErr w:type="spellStart"/>
      <w:r w:rsidRPr="000C4411">
        <w:t>empowerment</w:t>
      </w:r>
      <w:proofErr w:type="spellEnd"/>
      <w:r w:rsidRPr="000C4411">
        <w:t xml:space="preserve">] les effets d’une tendance plus générale à l’homogénéisation du vocabulaire politico-administratif et de l’expertise, que les sociologues Pierre Bourdieu et Loïc </w:t>
      </w:r>
      <w:proofErr w:type="spellStart"/>
      <w:r w:rsidRPr="000C4411">
        <w:t>Wacquant</w:t>
      </w:r>
      <w:proofErr w:type="spellEnd"/>
      <w:r w:rsidRPr="000C4411">
        <w:t xml:space="preserve"> ont analysée en 1998 comme une ‘ruse de l’impérialisme’, imposant une ‘philosophie de l’individu et de l’organisation sociale’ à partir de la diffusion de ‘termes isolés d’apparence technique’. Pour autant, cette homogénéisation des discours (sans doute plus que des pratiques), n’empêche pas une diversité dans le temps et dans l’espace des usages de cette notion, mobilisée et réappropriée par différents acteurs. Il n’est donc pas possible d’écrire une histoire linéaire de la notion d’</w:t>
      </w:r>
      <w:proofErr w:type="spellStart"/>
      <w:r w:rsidRPr="000C4411">
        <w:t>empowerment</w:t>
      </w:r>
      <w:proofErr w:type="spellEnd"/>
      <w:r w:rsidRPr="000C4411">
        <w:t>, tant elle est faite d’influences réciproques » (2015 : 14-16).</w:t>
      </w:r>
    </w:p>
    <w:p w14:paraId="1C1D704F" w14:textId="417086E0" w:rsidR="00A0127A" w:rsidRDefault="00A0127A" w:rsidP="00CB69D4">
      <w:pPr>
        <w:ind w:firstLine="0"/>
      </w:pPr>
      <w:r>
        <w:t>Cela invite à spécifier le contexte particulier dans lequel  nous essayons de  saisir la notion d’</w:t>
      </w:r>
      <w:proofErr w:type="spellStart"/>
      <w:r w:rsidRPr="00A0127A">
        <w:rPr>
          <w:i/>
          <w:iCs/>
        </w:rPr>
        <w:t>empowerment</w:t>
      </w:r>
      <w:proofErr w:type="spellEnd"/>
      <w:r>
        <w:rPr>
          <w:i/>
          <w:iCs/>
        </w:rPr>
        <w:t xml:space="preserve"> </w:t>
      </w:r>
      <w:r>
        <w:t>et d’autres notions qui se rapporteraient au même jeu de langage.</w:t>
      </w:r>
    </w:p>
    <w:p w14:paraId="2F62E5B4" w14:textId="77777777" w:rsidR="00A0127A" w:rsidRDefault="00A0127A" w:rsidP="00CB69D4">
      <w:pPr>
        <w:ind w:firstLine="0"/>
      </w:pPr>
      <w:r>
        <w:t xml:space="preserve">Pour spécifier le contexte franco-belge, et dans l’objectif de répondre à la question que le titre de la séance de ce séminaire nous pose, « Agir sur les comportements ? », je voudrais m’intéresser à une pratique précise mobilisée comme porte d’entrée afin de saisir les contrastes et les transformations de l’intervention sur les jeunes enfants : le jeu. </w:t>
      </w:r>
    </w:p>
    <w:p w14:paraId="18C6817F" w14:textId="77777777" w:rsidR="00A0127A" w:rsidRDefault="00A0127A" w:rsidP="00CB69D4">
      <w:pPr>
        <w:ind w:firstLine="0"/>
      </w:pPr>
      <w:r>
        <w:lastRenderedPageBreak/>
        <w:t>Le jeu est en effet l’activité enfantine par excellence. Comme le disait Fröbel, l’inventeur des jardins d’enfants, « le jeu est une activité sérieuse », incitant par là à reconnaître toute la place qui devrait revenir au ludique dans le développement de l’enfant.</w:t>
      </w:r>
    </w:p>
    <w:p w14:paraId="6145D939" w14:textId="77777777" w:rsidR="00A0127A" w:rsidRDefault="00A0127A" w:rsidP="00CB69D4">
      <w:pPr>
        <w:ind w:firstLine="0"/>
      </w:pPr>
      <w:r>
        <w:t xml:space="preserve">Mais plus encore, et ce n’est pas sans lien avec ce qui vient d’être dit, le jeu est au cœur des débats sur ce qui constituerait une institution préscolaire « suffisamment bonne », pour paraphraser l’expression du psychanalyste Donal Winnicott. Pour introduire ces débats, je voudrais présenter deux grandes traditions qui structurent la manière d’organiser ces institutions. </w:t>
      </w:r>
    </w:p>
    <w:p w14:paraId="32ACDA16" w14:textId="77777777" w:rsidR="002C435A" w:rsidRDefault="002C435A" w:rsidP="00CB69D4">
      <w:pPr>
        <w:ind w:firstLine="0"/>
        <w:rPr>
          <w:i/>
          <w:iCs/>
        </w:rPr>
      </w:pPr>
      <w:r>
        <w:rPr>
          <w:i/>
          <w:iCs/>
        </w:rPr>
        <w:t>Tradition pré-primaire et tradition socio-pédagogique</w:t>
      </w:r>
    </w:p>
    <w:p w14:paraId="13626710" w14:textId="77777777" w:rsidR="002C435A" w:rsidRDefault="002C435A" w:rsidP="00CB69D4">
      <w:pPr>
        <w:ind w:firstLine="0"/>
      </w:pPr>
      <w:r>
        <w:t xml:space="preserve">Au début des années 2000, l’OCDE lance un vaste programme de comparaison internationale des institutions préscolaires de ses différents États-membres. Baptisé </w:t>
      </w:r>
      <w:proofErr w:type="spellStart"/>
      <w:r w:rsidRPr="002C435A">
        <w:rPr>
          <w:i/>
          <w:iCs/>
        </w:rPr>
        <w:t>Starting</w:t>
      </w:r>
      <w:proofErr w:type="spellEnd"/>
      <w:r w:rsidRPr="002C435A">
        <w:rPr>
          <w:i/>
          <w:iCs/>
        </w:rPr>
        <w:t xml:space="preserve"> </w:t>
      </w:r>
      <w:proofErr w:type="spellStart"/>
      <w:r w:rsidRPr="002C435A">
        <w:rPr>
          <w:i/>
          <w:iCs/>
        </w:rPr>
        <w:t>Strong</w:t>
      </w:r>
      <w:proofErr w:type="spellEnd"/>
      <w:r>
        <w:rPr>
          <w:i/>
          <w:iCs/>
        </w:rPr>
        <w:t xml:space="preserve"> </w:t>
      </w:r>
      <w:r>
        <w:t>– dont le nom évoque bien l’objectif poursuivi – ce programme donnera lieu à 6 rapports sur la période 2000–2017.</w:t>
      </w:r>
    </w:p>
    <w:p w14:paraId="22504A76" w14:textId="77777777" w:rsidR="002C435A" w:rsidRDefault="002C435A" w:rsidP="00CB69D4">
      <w:pPr>
        <w:ind w:firstLine="0"/>
      </w:pPr>
      <w:r>
        <w:t xml:space="preserve">Dans un article reprenant les résultats des deux premiers rapports, John Bennett, l’un des co-auteurs de ces rapports, distingue deux grandes traditions qui structurent le champ des institutions préscolaires du point de vue </w:t>
      </w:r>
      <w:proofErr w:type="spellStart"/>
      <w:r>
        <w:t>curriculaire</w:t>
      </w:r>
      <w:proofErr w:type="spellEnd"/>
      <w:r>
        <w:t xml:space="preserve"> et pédagogique. </w:t>
      </w:r>
    </w:p>
    <w:p w14:paraId="625B7302" w14:textId="77777777" w:rsidR="002C435A" w:rsidRDefault="002C435A" w:rsidP="00CB69D4">
      <w:pPr>
        <w:ind w:firstLine="0"/>
      </w:pPr>
      <w:r>
        <w:t xml:space="preserve">Il présente ce qu’il appelle des « traditions » comme les deux pôles d’un continuum sur lequel oscillent les systèmes préscolaires des différents pays étudiés. Ces deux traditions, il les baptise « tradition pré-primaire » et « tradition socio-pédagogique ». La première renvoie aux systèmes préscolaires considérés comme le premier jalon de la scolarité de l’enfant. Dans cette tradition, l’institution préscolaire prépare les enfants à l’école primaire, et vise à l’acquisition par ces derniers de ce que l’on appelle communément les « apprentissages fondamentaux » : lire, écrire, compter et calculer. </w:t>
      </w:r>
    </w:p>
    <w:p w14:paraId="36A0684A" w14:textId="77777777" w:rsidR="004B751C" w:rsidRDefault="00F231BF" w:rsidP="004B751C">
      <w:pPr>
        <w:ind w:firstLine="0"/>
      </w:pPr>
      <w:r>
        <w:t>À l’opposé du spectre, la tradition socio-pédagogique vise plutôt le développement large, holistique de l’enfant. Pour reprendre les mots de John Bennett, dans la tradition socio-pédagogiqu</w:t>
      </w:r>
      <w:r w:rsidR="003933E1">
        <w:t>e,</w:t>
      </w:r>
    </w:p>
    <w:p w14:paraId="70F274B9" w14:textId="708B9A03" w:rsidR="003933E1" w:rsidRPr="004B751C" w:rsidRDefault="003933E1" w:rsidP="004B751C">
      <w:pPr>
        <w:pStyle w:val="citation"/>
        <w:sectPr w:rsidR="003933E1" w:rsidRPr="004B751C" w:rsidSect="004B751C">
          <w:type w:val="continuous"/>
          <w:pgSz w:w="11906" w:h="16838"/>
          <w:pgMar w:top="1417" w:right="1417" w:bottom="1417" w:left="1417" w:header="708" w:footer="708" w:gutter="0"/>
          <w:cols w:space="708"/>
          <w:docGrid w:linePitch="360"/>
        </w:sectPr>
      </w:pPr>
      <w:r w:rsidRPr="004B751C">
        <w:t>D</w:t>
      </w:r>
      <w:r w:rsidRPr="004B751C">
        <w:t xml:space="preserve">es informations sont données aux parents sur ce à quoi leurs enfants peuvent s'attendre : la taille des groupes, les ratios enfants/personnel, les qualifications du personnel, et l'accent est mis sur la qualité de vie dans l'institution, ainsi que sur le bien-être et le développement social de l'enfant. [...] Le projet </w:t>
      </w:r>
      <w:r w:rsidRPr="004B751C">
        <w:lastRenderedPageBreak/>
        <w:t>pédagogique est résolument basé sur le jeu, avec beaucoup de mouvement</w:t>
      </w:r>
      <w:r w:rsidRPr="004B751C">
        <w:t xml:space="preserve"> et </w:t>
      </w:r>
      <w:r w:rsidRPr="004B751C">
        <w:t>de choix</w:t>
      </w:r>
      <w:r w:rsidRPr="004B751C">
        <w:t>,</w:t>
      </w:r>
      <w:r w:rsidRPr="004B751C">
        <w:t xml:space="preserve"> </w:t>
      </w:r>
      <w:r w:rsidRPr="004B751C">
        <w:t xml:space="preserve">et </w:t>
      </w:r>
      <w:r w:rsidRPr="004B751C">
        <w:t>l'autonomie de l'enfant</w:t>
      </w:r>
      <w:r w:rsidRPr="004B751C">
        <w:t xml:space="preserve"> est mise en évidence. (2005 :  11)</w:t>
      </w:r>
      <w:r w:rsidR="004B751C" w:rsidRPr="004B751C">
        <w:t xml:space="preserve"> </w:t>
      </w:r>
    </w:p>
    <w:p w14:paraId="0D1ECEC1" w14:textId="0967E02F" w:rsidR="00681F4B" w:rsidRDefault="00645893" w:rsidP="00A62DE4">
      <w:pPr>
        <w:ind w:firstLine="0"/>
      </w:pPr>
      <w:r>
        <w:t>S</w:t>
      </w:r>
      <w:r w:rsidR="00E436E0">
        <w:t>i la stratégie pédagogique dans la tradition socio-pédagogique repose sur « une confiance placée dans l’auto-apprentissage et les centres d’intérêts de l’enfant, c’est-à-dire sur l’apprentissage par les relations, par le jeu et par une structuration par l’éducateur au moment appropriée », elle repose dans la tradition pré-primaire sur « un équilibre entre de l’instruction, une valorisation des activités initiées par l’enfant et le travail thématique, mais encadrée par l’enseignant » (2005 : 12).</w:t>
      </w:r>
    </w:p>
    <w:p w14:paraId="4FF10217" w14:textId="1A4BC051" w:rsidR="008E6F05" w:rsidRDefault="008E6F05" w:rsidP="00A62DE4">
      <w:pPr>
        <w:ind w:firstLine="0"/>
      </w:pPr>
      <w:r w:rsidRPr="008E6F05">
        <w:t xml:space="preserve">Ainsi, le </w:t>
      </w:r>
      <w:proofErr w:type="spellStart"/>
      <w:r w:rsidRPr="008E6F05">
        <w:t>kindergarten</w:t>
      </w:r>
      <w:proofErr w:type="spellEnd"/>
      <w:r w:rsidRPr="008E6F05">
        <w:t xml:space="preserve"> danois est présenté dans ce rapport comme proche de la tradition socio-pédagogique en ceci qu’il vise, en étant </w:t>
      </w:r>
      <w:proofErr w:type="spellStart"/>
      <w:r w:rsidRPr="008E6F05">
        <w:rPr>
          <w:i/>
          <w:iCs/>
        </w:rPr>
        <w:t>children-oriented</w:t>
      </w:r>
      <w:proofErr w:type="spellEnd"/>
      <w:r w:rsidRPr="008E6F05">
        <w:t xml:space="preserve">, le développement large de l’enfant et qu’il s’ancre, pour parvenir à cet objectif, dans une longue tradition d’usage du jeu dit « libre », c’est-à-dire des activités de jeu dans lesquelles l’adulte n’intervient pas ou peu (si par exemple le jeu tourne au vinaigre). À l’inverse, l’école maternelle française est présentée comme proche de la tradition </w:t>
      </w:r>
      <w:proofErr w:type="spellStart"/>
      <w:r w:rsidRPr="008E6F05">
        <w:t>préprimaire</w:t>
      </w:r>
      <w:proofErr w:type="spellEnd"/>
      <w:r w:rsidRPr="008E6F05">
        <w:t xml:space="preserve"> en ceci qu’elle est </w:t>
      </w:r>
      <w:proofErr w:type="spellStart"/>
      <w:r w:rsidRPr="008E6F05">
        <w:rPr>
          <w:i/>
          <w:iCs/>
        </w:rPr>
        <w:t>teacher-oriented</w:t>
      </w:r>
      <w:proofErr w:type="spellEnd"/>
      <w:r w:rsidRPr="008E6F05">
        <w:t>, et qu’elle vise spécifiquement à ce que l’enfant acquière des compétences proprement scolaires, que l’on désigne en francophonie sous l’étiquette des « fondamentaux » : lire, écrire, compter et calculer.</w:t>
      </w:r>
    </w:p>
    <w:p w14:paraId="76805E96" w14:textId="2E47707A" w:rsidR="008E6F05" w:rsidRDefault="008E6F05" w:rsidP="008E6F05">
      <w:pPr>
        <w:ind w:firstLine="0"/>
      </w:pPr>
      <w:r>
        <w:t>L</w:t>
      </w:r>
      <w:r>
        <w:t>e jeu, présenté comme relevant des « stratégies naturelles d’apprentissage de l’enfant » (OCDE, 2006 : 140)</w:t>
      </w:r>
      <w:r>
        <w:t>,</w:t>
      </w:r>
      <w:r>
        <w:t xml:space="preserve"> apparaît comme l’un des critères essentielles permettant de départager le positionnement de l’un ou l’autre système préscolaire à l’endroit du pôle pré-primaire ou du pôle socio-pédagogique. </w:t>
      </w:r>
    </w:p>
    <w:p w14:paraId="57566DFE" w14:textId="4FA90925" w:rsidR="00BF18AE" w:rsidRDefault="00BF18AE" w:rsidP="00A62DE4">
      <w:pPr>
        <w:ind w:firstLine="0"/>
      </w:pPr>
      <w:r>
        <w:t>Mon objet est donc ici de m’attacher à une pratique particulière, le jeu, qui peut être investie de manières différentes voire antagonistes si l’on en croit les propos de John Bennett.</w:t>
      </w:r>
    </w:p>
    <w:p w14:paraId="29D5995B" w14:textId="2B86227E" w:rsidR="00BF18AE" w:rsidRPr="00BF18AE" w:rsidRDefault="00BF18AE" w:rsidP="00A62DE4">
      <w:pPr>
        <w:ind w:firstLine="0"/>
        <w:rPr>
          <w:i/>
          <w:iCs/>
        </w:rPr>
      </w:pPr>
      <w:r>
        <w:rPr>
          <w:i/>
          <w:iCs/>
        </w:rPr>
        <w:t>La scolarisation du préscolaire</w:t>
      </w:r>
    </w:p>
    <w:p w14:paraId="66076689" w14:textId="72B4EFC7" w:rsidR="00BF18AE" w:rsidRDefault="00BF18AE" w:rsidP="00A62DE4">
      <w:pPr>
        <w:ind w:firstLine="0"/>
      </w:pPr>
      <w:r>
        <w:t xml:space="preserve">Dans les rapports </w:t>
      </w:r>
      <w:proofErr w:type="spellStart"/>
      <w:r>
        <w:t>Starting</w:t>
      </w:r>
      <w:proofErr w:type="spellEnd"/>
      <w:r>
        <w:t xml:space="preserve"> </w:t>
      </w:r>
      <w:proofErr w:type="spellStart"/>
      <w:r>
        <w:t>Strong</w:t>
      </w:r>
      <w:proofErr w:type="spellEnd"/>
      <w:r>
        <w:t xml:space="preserve">, l’OCDE met en garde contre la tendance croissante des institutions préscolaires à se « scolariser ». La scolarisation du préscolaire </w:t>
      </w:r>
      <w:r w:rsidR="008E6F05">
        <w:t>désigne le processus par lequel l</w:t>
      </w:r>
      <w:r>
        <w:t xml:space="preserve">es institutions préscolaires </w:t>
      </w:r>
      <w:r w:rsidR="008E6F05">
        <w:t xml:space="preserve">tendent </w:t>
      </w:r>
      <w:r>
        <w:t xml:space="preserve">à s’adosser à l’école primaire </w:t>
      </w:r>
      <w:r w:rsidR="008E6F05">
        <w:t>et à promouvoir les apprentissages fondamentaux.</w:t>
      </w:r>
      <w:r w:rsidR="00421E29">
        <w:t xml:space="preserve"> </w:t>
      </w:r>
    </w:p>
    <w:p w14:paraId="06EBE776" w14:textId="77777777" w:rsidR="004B751C" w:rsidRDefault="008E6F05" w:rsidP="004B751C">
      <w:pPr>
        <w:ind w:firstLine="0"/>
        <w:rPr>
          <w:i/>
          <w:iCs/>
        </w:rPr>
      </w:pPr>
      <w:r>
        <w:t>Pour reprendre les mots de la sociologue Pascale Garnier,</w:t>
      </w:r>
      <w:r w:rsidR="004B751C">
        <w:rPr>
          <w:i/>
          <w:iCs/>
        </w:rPr>
        <w:t xml:space="preserve"> </w:t>
      </w:r>
    </w:p>
    <w:p w14:paraId="2C9FA41B" w14:textId="73545FCB" w:rsidR="00240136" w:rsidRDefault="008E6F05" w:rsidP="004B751C">
      <w:pPr>
        <w:pStyle w:val="citation"/>
      </w:pPr>
      <w:r w:rsidRPr="008E6F05">
        <w:t>L’institution préscolaire tend à devenir une « ‘école de plein exercice’, conjuguant une mise en système de l’école maternelle avec l’école élémentaire et une distance avec les autres structures d’accueil » (2009</w:t>
      </w:r>
      <w:r>
        <w:t> : 7</w:t>
      </w:r>
      <w:r w:rsidRPr="008E6F05">
        <w:t>)</w:t>
      </w:r>
      <w:r w:rsidR="004B751C">
        <w:t>.</w:t>
      </w:r>
    </w:p>
    <w:p w14:paraId="2D8813E0" w14:textId="5DB66491" w:rsidR="00212593" w:rsidRDefault="00735147" w:rsidP="00A62DE4">
      <w:pPr>
        <w:ind w:firstLine="0"/>
        <w:sectPr w:rsidR="00212593" w:rsidSect="004B751C">
          <w:type w:val="continuous"/>
          <w:pgSz w:w="11906" w:h="16838"/>
          <w:pgMar w:top="1417" w:right="1417" w:bottom="1417" w:left="1417" w:header="708" w:footer="708" w:gutter="0"/>
          <w:cols w:space="708"/>
          <w:docGrid w:linePitch="360"/>
        </w:sectPr>
      </w:pPr>
      <w:r>
        <w:lastRenderedPageBreak/>
        <w:t>L’investissement dans le préscolaire, qu’il se fasse en scolarisant</w:t>
      </w:r>
      <w:r w:rsidR="00240136">
        <w:t xml:space="preserve"> </w:t>
      </w:r>
      <w:r>
        <w:t xml:space="preserve">ou non, </w:t>
      </w:r>
      <w:r w:rsidR="00240136">
        <w:t>répond à l’objectif de « compenser les différences de socialisations familiales » (Garnier, 200</w:t>
      </w:r>
      <w:r w:rsidR="00421E29">
        <w:t xml:space="preserve">9 </w:t>
      </w:r>
      <w:r w:rsidR="00421E29">
        <w:t xml:space="preserve">7, mais on retrouve la même idée dans OCDE, 2006). Mais de nombreux acteurs scientifiques et </w:t>
      </w:r>
      <w:proofErr w:type="spellStart"/>
      <w:r w:rsidR="00421E29">
        <w:t>émiques</w:t>
      </w:r>
      <w:proofErr w:type="spellEnd"/>
      <w:r w:rsidR="00421E29">
        <w:t xml:space="preserve"> craignent que la scolarisation croissante aille à l’encontre des « stratégies naturelles d’apprentissage » de l’enfant. Je n’ai pas le temps ici de développer ce point, mais je voudrais simplement reproduire les propos d’Andres Schleicher, directeur du département </w:t>
      </w:r>
      <w:proofErr w:type="spellStart"/>
      <w:r w:rsidR="00421E29" w:rsidRPr="00212593">
        <w:rPr>
          <w:i/>
          <w:iCs/>
        </w:rPr>
        <w:t>Education</w:t>
      </w:r>
      <w:proofErr w:type="spellEnd"/>
      <w:r w:rsidR="00421E29" w:rsidRPr="00212593">
        <w:rPr>
          <w:i/>
          <w:iCs/>
        </w:rPr>
        <w:t xml:space="preserve"> and </w:t>
      </w:r>
      <w:proofErr w:type="spellStart"/>
      <w:r w:rsidR="00421E29" w:rsidRPr="00212593">
        <w:rPr>
          <w:i/>
          <w:iCs/>
        </w:rPr>
        <w:t>Skills</w:t>
      </w:r>
      <w:proofErr w:type="spellEnd"/>
      <w:r w:rsidR="00421E29">
        <w:t xml:space="preserve"> de l’OCD</w:t>
      </w:r>
      <w:r w:rsidR="00421E29">
        <w:t>E</w:t>
      </w:r>
      <w:r w:rsidR="004B751C">
        <w:t>, pour illustrer la vigueur de ce débat.</w:t>
      </w:r>
    </w:p>
    <w:p w14:paraId="29C5EAFC" w14:textId="7293CBE5" w:rsidR="004B751C" w:rsidRPr="004B751C" w:rsidRDefault="00421E29" w:rsidP="004B751C">
      <w:pPr>
        <w:pStyle w:val="citation"/>
      </w:pPr>
      <w:r w:rsidRPr="004B751C">
        <w:t>« Certains disent qu'en fait, la scolarisation de l'éducation de la petite enfance n'aide pas les enfants, certains chercheurs la soutiennent, d'autres disent que la lecture, l'écriture et le calcul précoces constituent des bases très importantes. Quel est le bon équilibre entre le jeu, le développement social et émotionnel et les capacités cognitives ? Je pense que nous avons encore beaucoup de questions sans réponse à ce sujet »</w:t>
      </w:r>
      <w:r w:rsidR="004B751C" w:rsidRPr="004B751C">
        <w:t>.</w:t>
      </w:r>
    </w:p>
    <w:p w14:paraId="7C59A0F1" w14:textId="1A20BAEF" w:rsidR="00687CA6" w:rsidRDefault="00421E29" w:rsidP="004B751C">
      <w:pPr>
        <w:ind w:firstLine="0"/>
      </w:pPr>
      <w:r>
        <w:t>La scolarisation du préscolaire peut donc être définie comme la tendance de la tradition pré-primaire à prendre le pas sur la tradition socio-pédagogique.</w:t>
      </w:r>
      <w:r w:rsidR="004B751C">
        <w:t xml:space="preserve"> </w:t>
      </w:r>
      <w:r w:rsidR="004B751C">
        <w:t>O</w:t>
      </w:r>
      <w:r w:rsidR="004B751C" w:rsidRPr="00003849">
        <w:t xml:space="preserve">n pourrait </w:t>
      </w:r>
      <w:r w:rsidR="004B751C">
        <w:t>donc supposer que la</w:t>
      </w:r>
      <w:r w:rsidR="004B751C" w:rsidRPr="00616CF7">
        <w:t xml:space="preserve"> séparation</w:t>
      </w:r>
      <w:r w:rsidR="004B751C">
        <w:t xml:space="preserve"> entre les deux traditions</w:t>
      </w:r>
      <w:r w:rsidR="004B751C" w:rsidRPr="00616CF7">
        <w:t xml:space="preserve"> </w:t>
      </w:r>
      <w:r w:rsidR="004B751C">
        <w:t xml:space="preserve">présentée plus haut </w:t>
      </w:r>
      <w:r w:rsidR="004B751C" w:rsidRPr="00616CF7">
        <w:t>se voit remise en cause par la tendance croissante à la scolarisation du préscolaire</w:t>
      </w:r>
      <w:r w:rsidR="004B751C">
        <w:t>.</w:t>
      </w:r>
      <w:r w:rsidR="004B751C">
        <w:t xml:space="preserve"> </w:t>
      </w:r>
      <w:r>
        <w:t>Pour autant, le jeu n’est pas absent des programmes proches de la tradition pré-primaire</w:t>
      </w:r>
      <w:r w:rsidR="004B751C">
        <w:t>. John Bennett</w:t>
      </w:r>
      <w:r w:rsidR="00645893">
        <w:t xml:space="preserve"> mentionnait déjà que tous les pays, peu importe leur tradition </w:t>
      </w:r>
      <w:proofErr w:type="spellStart"/>
      <w:r w:rsidR="00645893">
        <w:t>curriculaire</w:t>
      </w:r>
      <w:proofErr w:type="spellEnd"/>
      <w:r w:rsidR="00645893">
        <w:t>, reconnaissent l’importance du jeu.</w:t>
      </w:r>
    </w:p>
    <w:p w14:paraId="2A471598" w14:textId="406724BE" w:rsidR="004B751C" w:rsidRDefault="004B751C" w:rsidP="004B751C">
      <w:pPr>
        <w:pStyle w:val="citation"/>
        <w:rPr>
          <w:lang w:val="fr-FR"/>
        </w:rPr>
      </w:pPr>
      <w:r w:rsidRPr="004B751C">
        <w:rPr>
          <w:lang w:val="fr-FR"/>
        </w:rPr>
        <w:t xml:space="preserve">Much </w:t>
      </w:r>
      <w:proofErr w:type="spellStart"/>
      <w:r w:rsidRPr="004B751C">
        <w:rPr>
          <w:lang w:val="fr-FR"/>
        </w:rPr>
        <w:t>common</w:t>
      </w:r>
      <w:proofErr w:type="spellEnd"/>
      <w:r w:rsidRPr="004B751C">
        <w:rPr>
          <w:lang w:val="fr-FR"/>
        </w:rPr>
        <w:t xml:space="preserve"> </w:t>
      </w:r>
      <w:proofErr w:type="spellStart"/>
      <w:r w:rsidRPr="004B751C">
        <w:rPr>
          <w:lang w:val="fr-FR"/>
        </w:rPr>
        <w:t>ground</w:t>
      </w:r>
      <w:proofErr w:type="spellEnd"/>
      <w:r w:rsidRPr="004B751C">
        <w:rPr>
          <w:lang w:val="fr-FR"/>
        </w:rPr>
        <w:t xml:space="preserve"> </w:t>
      </w:r>
      <w:proofErr w:type="spellStart"/>
      <w:r w:rsidRPr="004B751C">
        <w:rPr>
          <w:lang w:val="fr-FR"/>
        </w:rPr>
        <w:t>exists</w:t>
      </w:r>
      <w:proofErr w:type="spellEnd"/>
      <w:r w:rsidRPr="004B751C">
        <w:rPr>
          <w:lang w:val="fr-FR"/>
        </w:rPr>
        <w:t xml:space="preserve"> </w:t>
      </w:r>
      <w:proofErr w:type="spellStart"/>
      <w:r w:rsidRPr="004B751C">
        <w:rPr>
          <w:lang w:val="fr-FR"/>
        </w:rPr>
        <w:t>across</w:t>
      </w:r>
      <w:proofErr w:type="spellEnd"/>
      <w:r w:rsidRPr="004B751C">
        <w:rPr>
          <w:lang w:val="fr-FR"/>
        </w:rPr>
        <w:t xml:space="preserve"> the </w:t>
      </w:r>
      <w:proofErr w:type="spellStart"/>
      <w:r w:rsidRPr="004B751C">
        <w:rPr>
          <w:lang w:val="fr-FR"/>
        </w:rPr>
        <w:t>various</w:t>
      </w:r>
      <w:proofErr w:type="spellEnd"/>
      <w:r w:rsidRPr="004B751C">
        <w:rPr>
          <w:lang w:val="fr-FR"/>
        </w:rPr>
        <w:t xml:space="preserve"> curricula and </w:t>
      </w:r>
      <w:proofErr w:type="spellStart"/>
      <w:r w:rsidRPr="004B751C">
        <w:rPr>
          <w:lang w:val="fr-FR"/>
        </w:rPr>
        <w:t>frameworks</w:t>
      </w:r>
      <w:proofErr w:type="spellEnd"/>
      <w:r w:rsidRPr="004B751C">
        <w:rPr>
          <w:lang w:val="fr-FR"/>
        </w:rPr>
        <w:t xml:space="preserve">, </w:t>
      </w:r>
      <w:proofErr w:type="spellStart"/>
      <w:r w:rsidRPr="004B751C">
        <w:rPr>
          <w:lang w:val="fr-FR"/>
        </w:rPr>
        <w:t>especially</w:t>
      </w:r>
      <w:proofErr w:type="spellEnd"/>
      <w:r w:rsidRPr="004B751C">
        <w:rPr>
          <w:lang w:val="fr-FR"/>
        </w:rPr>
        <w:t xml:space="preserve"> </w:t>
      </w:r>
      <w:proofErr w:type="spellStart"/>
      <w:r w:rsidRPr="004B751C">
        <w:rPr>
          <w:lang w:val="fr-FR"/>
        </w:rPr>
        <w:t>with</w:t>
      </w:r>
      <w:proofErr w:type="spellEnd"/>
      <w:r w:rsidRPr="004B751C">
        <w:rPr>
          <w:lang w:val="fr-FR"/>
        </w:rPr>
        <w:t xml:space="preserve"> regard to </w:t>
      </w:r>
      <w:proofErr w:type="spellStart"/>
      <w:r w:rsidRPr="004B751C">
        <w:rPr>
          <w:lang w:val="fr-FR"/>
        </w:rPr>
        <w:t>curricular</w:t>
      </w:r>
      <w:proofErr w:type="spellEnd"/>
      <w:r w:rsidRPr="004B751C">
        <w:rPr>
          <w:lang w:val="fr-FR"/>
        </w:rPr>
        <w:t xml:space="preserve"> principes and aspirations. In </w:t>
      </w:r>
      <w:proofErr w:type="spellStart"/>
      <w:r w:rsidRPr="004B751C">
        <w:rPr>
          <w:lang w:val="fr-FR"/>
        </w:rPr>
        <w:t>their</w:t>
      </w:r>
      <w:proofErr w:type="spellEnd"/>
      <w:r w:rsidRPr="004B751C">
        <w:rPr>
          <w:lang w:val="fr-FR"/>
        </w:rPr>
        <w:t xml:space="preserve"> official documents, countries encourage programmes to </w:t>
      </w:r>
      <w:proofErr w:type="spellStart"/>
      <w:r w:rsidRPr="004B751C">
        <w:rPr>
          <w:lang w:val="fr-FR"/>
        </w:rPr>
        <w:t>be</w:t>
      </w:r>
      <w:proofErr w:type="spellEnd"/>
      <w:r w:rsidRPr="004B751C">
        <w:rPr>
          <w:lang w:val="fr-FR"/>
        </w:rPr>
        <w:t xml:space="preserve"> active and </w:t>
      </w:r>
      <w:proofErr w:type="spellStart"/>
      <w:r w:rsidRPr="004B751C">
        <w:rPr>
          <w:lang w:val="fr-FR"/>
        </w:rPr>
        <w:t>play-based</w:t>
      </w:r>
      <w:proofErr w:type="spellEnd"/>
      <w:r w:rsidRPr="004B751C">
        <w:rPr>
          <w:lang w:val="fr-FR"/>
        </w:rPr>
        <w:t xml:space="preserve">, </w:t>
      </w:r>
      <w:proofErr w:type="spellStart"/>
      <w:r w:rsidRPr="004B751C">
        <w:rPr>
          <w:lang w:val="fr-FR"/>
        </w:rPr>
        <w:t>while</w:t>
      </w:r>
      <w:proofErr w:type="spellEnd"/>
      <w:r w:rsidRPr="004B751C">
        <w:rPr>
          <w:lang w:val="fr-FR"/>
        </w:rPr>
        <w:t xml:space="preserve"> </w:t>
      </w:r>
      <w:proofErr w:type="spellStart"/>
      <w:r w:rsidRPr="004B751C">
        <w:rPr>
          <w:lang w:val="fr-FR"/>
        </w:rPr>
        <w:t>ensuring</w:t>
      </w:r>
      <w:proofErr w:type="spellEnd"/>
      <w:r w:rsidRPr="004B751C">
        <w:rPr>
          <w:lang w:val="fr-FR"/>
        </w:rPr>
        <w:t xml:space="preserve"> </w:t>
      </w:r>
      <w:proofErr w:type="spellStart"/>
      <w:r w:rsidRPr="004B751C">
        <w:rPr>
          <w:lang w:val="fr-FR"/>
        </w:rPr>
        <w:t>that</w:t>
      </w:r>
      <w:proofErr w:type="spellEnd"/>
      <w:r w:rsidRPr="004B751C">
        <w:rPr>
          <w:lang w:val="fr-FR"/>
        </w:rPr>
        <w:t xml:space="preserve"> a </w:t>
      </w:r>
      <w:proofErr w:type="spellStart"/>
      <w:r w:rsidRPr="004B751C">
        <w:rPr>
          <w:lang w:val="fr-FR"/>
        </w:rPr>
        <w:t>wide</w:t>
      </w:r>
      <w:proofErr w:type="spellEnd"/>
      <w:r w:rsidRPr="004B751C">
        <w:rPr>
          <w:lang w:val="fr-FR"/>
        </w:rPr>
        <w:t xml:space="preserve"> range of key </w:t>
      </w:r>
      <w:proofErr w:type="spellStart"/>
      <w:r w:rsidRPr="004B751C">
        <w:rPr>
          <w:lang w:val="fr-FR"/>
        </w:rPr>
        <w:t>learning</w:t>
      </w:r>
      <w:proofErr w:type="spellEnd"/>
      <w:r w:rsidRPr="004B751C">
        <w:rPr>
          <w:lang w:val="fr-FR"/>
        </w:rPr>
        <w:t xml:space="preserve"> </w:t>
      </w:r>
      <w:proofErr w:type="spellStart"/>
      <w:r w:rsidRPr="004B751C">
        <w:rPr>
          <w:lang w:val="fr-FR"/>
        </w:rPr>
        <w:t>experiences</w:t>
      </w:r>
      <w:proofErr w:type="spellEnd"/>
      <w:r w:rsidRPr="004B751C">
        <w:rPr>
          <w:lang w:val="fr-FR"/>
        </w:rPr>
        <w:t xml:space="preserve"> are </w:t>
      </w:r>
      <w:proofErr w:type="spellStart"/>
      <w:r w:rsidRPr="004B751C">
        <w:rPr>
          <w:lang w:val="fr-FR"/>
        </w:rPr>
        <w:t>covered</w:t>
      </w:r>
      <w:proofErr w:type="spellEnd"/>
      <w:r w:rsidRPr="004B751C">
        <w:rPr>
          <w:lang w:val="fr-FR"/>
        </w:rPr>
        <w:t xml:space="preserve"> (Bennett, 2005</w:t>
      </w:r>
      <w:r>
        <w:rPr>
          <w:lang w:val="fr-FR"/>
        </w:rPr>
        <w:t> : 8</w:t>
      </w:r>
      <w:r w:rsidRPr="004B751C">
        <w:rPr>
          <w:lang w:val="fr-FR"/>
        </w:rPr>
        <w:t>)</w:t>
      </w:r>
    </w:p>
    <w:p w14:paraId="498E3D87" w14:textId="6E9A3173" w:rsidR="004B751C" w:rsidRDefault="00645893" w:rsidP="004B751C">
      <w:pPr>
        <w:ind w:firstLine="0"/>
      </w:pPr>
      <w:r>
        <w:t>On peut donc faire l’hypothèse que le jeu sera investi de différentes manières en fonction de la tradition dans laquelle s’ancre l’institution préscolaire. Je voudrais donc mettre rapidement les usages du jeu repérables dans le curriculum français avec ceux repérables dans le curriculum danois, et montrer par-là que le jeu est investi d’une manière spécifiquement scolaire en France (et en Belgique francophone, bien que je n’insisterai ici que sur l’aire française), par contraste avec une mobilisation du jeu à des fins plus holistiques au Danemark.</w:t>
      </w:r>
    </w:p>
    <w:p w14:paraId="19E923B4" w14:textId="71102165" w:rsidR="00645893" w:rsidRDefault="00645893" w:rsidP="004B751C">
      <w:pPr>
        <w:ind w:firstLine="0"/>
        <w:rPr>
          <w:i/>
          <w:iCs/>
        </w:rPr>
      </w:pPr>
      <w:r>
        <w:rPr>
          <w:i/>
          <w:iCs/>
        </w:rPr>
        <w:t>Des usages différenciés du jeu</w:t>
      </w:r>
    </w:p>
    <w:p w14:paraId="23BB9396" w14:textId="77777777" w:rsidR="00645893" w:rsidRDefault="00645893" w:rsidP="00645893">
      <w:pPr>
        <w:ind w:firstLine="0"/>
      </w:pPr>
      <w:r>
        <w:lastRenderedPageBreak/>
        <w:t xml:space="preserve">En effet, pour le cas français, si l’on s’intéresse à la note d’analyse et de proposition du Conseil Supérieur des Programmes, qui a présidé à l’élaboration du nouveau référentiel, celui-ci conseille de reconnaitre toute son importance au jeu : </w:t>
      </w:r>
    </w:p>
    <w:p w14:paraId="6E1997D0" w14:textId="77777777" w:rsidR="00645893" w:rsidRDefault="00645893" w:rsidP="00645893">
      <w:pPr>
        <w:pStyle w:val="citation"/>
      </w:pPr>
      <w:r>
        <w:t xml:space="preserve">« Il </w:t>
      </w:r>
      <w:r w:rsidRPr="00EE22C1">
        <w:t>est aujourd’hui démontré que le jeu constitue une activité intellectuelle à part entière en prise avec la totalité de la vie psychoaffective de l’enfant</w:t>
      </w:r>
      <w:r>
        <w:t xml:space="preserve"> » </w:t>
      </w:r>
      <w:r w:rsidRPr="0048666C">
        <w:t>(</w:t>
      </w:r>
      <w:r w:rsidRPr="0048666C">
        <w:rPr>
          <w:rFonts w:eastAsiaTheme="majorEastAsia"/>
        </w:rPr>
        <w:t xml:space="preserve">Conseil Supérieur des Programmes, 2020 : </w:t>
      </w:r>
      <w:r w:rsidRPr="0048666C">
        <w:t>12),</w:t>
      </w:r>
      <w:r>
        <w:t xml:space="preserve"> « […] t</w:t>
      </w:r>
      <w:r w:rsidRPr="003A24C6">
        <w:t>ous les apprentissages des jeunes enfants gagneraient</w:t>
      </w:r>
      <w:r>
        <w:t xml:space="preserve"> [</w:t>
      </w:r>
      <w:r w:rsidRPr="003A24C6">
        <w:t>, en effet,</w:t>
      </w:r>
      <w:r>
        <w:t>]</w:t>
      </w:r>
      <w:r w:rsidRPr="003A24C6">
        <w:t xml:space="preserve"> à s’appuyer autant que faire se peut sur des jeux dont l’enseignant aura défini le cadre et les objectifs pédagogiques</w:t>
      </w:r>
      <w:r>
        <w:t xml:space="preserve"> » </w:t>
      </w:r>
      <w:r w:rsidRPr="0048666C">
        <w:t>(</w:t>
      </w:r>
      <w:r w:rsidRPr="0048666C">
        <w:rPr>
          <w:rFonts w:eastAsiaTheme="majorEastAsia"/>
        </w:rPr>
        <w:t xml:space="preserve">Conseil Supérieur des Programmes, 2020 : </w:t>
      </w:r>
      <w:r w:rsidRPr="0048666C">
        <w:t>13).</w:t>
      </w:r>
      <w:r>
        <w:t xml:space="preserve"> </w:t>
      </w:r>
    </w:p>
    <w:p w14:paraId="66E1FAD9" w14:textId="77777777" w:rsidR="00645893" w:rsidRDefault="00645893" w:rsidP="00645893">
      <w:pPr>
        <w:ind w:firstLine="0"/>
      </w:pPr>
      <w:r>
        <w:t xml:space="preserve">Dans le programme de 2020, on retrouve sous le titre « Apprendre en jouant » le propos suivant : </w:t>
      </w:r>
    </w:p>
    <w:p w14:paraId="06615371" w14:textId="77777777" w:rsidR="00645893" w:rsidRPr="00193FE3" w:rsidRDefault="00645893" w:rsidP="00645893">
      <w:pPr>
        <w:pStyle w:val="citation"/>
      </w:pPr>
      <w:r w:rsidRPr="00193FE3">
        <w:t xml:space="preserve">Le jeu favorise la richesse des expériences vécues par les enfants dans l’ensemble des classes de l’école maternelle et alimente tous les domaines d’apprentissages. Il permet aux enfants d’exercer leur autonomie, d’agir sur le réel, de construire des fictions et de développer leur imaginaire, d’exercer des conduites motrices, d’expérimenter des règles et des rôles sociaux variés. Il favorise la communication avec les autres et la construction de liens forts d’amitié. Il revêt diverses formes : jeux symboliques, jeux d’exploration, jeux de construction et de manipulation, jeux collectifs et jeux de société, jeux fabriqués et inventés, etc. </w:t>
      </w:r>
      <w:r>
        <w:t>(Programme de l’École Maternelle : 5)</w:t>
      </w:r>
    </w:p>
    <w:p w14:paraId="5ECACC26" w14:textId="77777777" w:rsidR="00645893" w:rsidRDefault="00645893" w:rsidP="00645893">
      <w:pPr>
        <w:ind w:firstLine="0"/>
      </w:pPr>
      <w:r>
        <w:t>On voit ici que le jeu est investi comme canal d’apprentissage. Dans ce contexte, il est attendu de</w:t>
      </w:r>
    </w:p>
    <w:p w14:paraId="2506AD31" w14:textId="77777777" w:rsidR="00645893" w:rsidRPr="00193FE3" w:rsidRDefault="00645893" w:rsidP="00645893">
      <w:pPr>
        <w:pStyle w:val="citation"/>
      </w:pPr>
      <w:r w:rsidRPr="00193FE3">
        <w:t xml:space="preserve">L’enseignant [qu’il] donne à tous les enfants un temps suffisant pour déployer leur activité de jeu. Il les observe dans leur jeu libre afin de mieux les connaître. Il propose aussi des jeux structurés visant explicitement des apprentissages spécifiques. </w:t>
      </w:r>
      <w:r>
        <w:t>(Programme de l’École Maternelle : 5)</w:t>
      </w:r>
    </w:p>
    <w:p w14:paraId="0C2EED0C" w14:textId="77777777" w:rsidR="00645893" w:rsidRDefault="00645893" w:rsidP="00645893">
      <w:pPr>
        <w:ind w:firstLine="0"/>
      </w:pPr>
      <w:r>
        <w:t xml:space="preserve">La distinction entre les objectifs poursuivis par la mobilisation du jeu libre et du jeu structuré est particulièrement intéressante ici. Elle montre que le jeu libre permet de mieux connaître l’enfant, mais que le jeu structuré permet de rencontrer les objectifs d’apprentissages spécifiques. Dans une école maternelle qui se définit comme « une école de plein exercice », pour reprendre les mots de Pascale Garnier (2009) et qui tend ainsi à valoriser de plus en plus </w:t>
      </w:r>
      <w:r>
        <w:lastRenderedPageBreak/>
        <w:t>la performance scolaire, comme l’a montré Ghislain Leroy (2020), le jeu structuré se voit particulièrement valorisé.</w:t>
      </w:r>
    </w:p>
    <w:p w14:paraId="7F489A55" w14:textId="77777777" w:rsidR="00645893" w:rsidRDefault="00645893" w:rsidP="00645893">
      <w:pPr>
        <w:ind w:firstLine="0"/>
        <w:rPr>
          <w:i/>
          <w:iCs/>
        </w:rPr>
      </w:pPr>
      <w:r>
        <w:t xml:space="preserve">Cette situation contraste avec les usages du jeu que l’on peut retrouver dans le curriculum danois. En effet, l’institution préscolaire danoise a ceci de particulier qu’elle s’ancre dans une longue tradition de mobilisation du jeu libre. Dans un article de 2020, les sociologues </w:t>
      </w:r>
      <w:proofErr w:type="spellStart"/>
      <w:r>
        <w:t>Ellegaard</w:t>
      </w:r>
      <w:proofErr w:type="spellEnd"/>
      <w:r>
        <w:t xml:space="preserve"> et </w:t>
      </w:r>
      <w:proofErr w:type="spellStart"/>
      <w:r>
        <w:t>Kryger</w:t>
      </w:r>
      <w:proofErr w:type="spellEnd"/>
      <w:r>
        <w:t xml:space="preserve"> précise que si la scolarisation au Danemark remet effectivement en cause la place qu’occupait le jeu libre, celui-ci constitue toujours l’activité privilégiée du </w:t>
      </w:r>
      <w:proofErr w:type="spellStart"/>
      <w:r>
        <w:rPr>
          <w:i/>
          <w:iCs/>
        </w:rPr>
        <w:t>kindergarten</w:t>
      </w:r>
      <w:proofErr w:type="spellEnd"/>
      <w:r>
        <w:rPr>
          <w:i/>
          <w:iCs/>
        </w:rPr>
        <w:t>.</w:t>
      </w:r>
    </w:p>
    <w:p w14:paraId="1F5598D4" w14:textId="77777777" w:rsidR="00645893" w:rsidRDefault="00645893" w:rsidP="00645893">
      <w:pPr>
        <w:pStyle w:val="citation"/>
        <w:rPr>
          <w:lang w:val="fr-FR"/>
        </w:rPr>
      </w:pPr>
      <w:r>
        <w:rPr>
          <w:lang w:val="fr-FR"/>
        </w:rPr>
        <w:t>Dans ce contexte, « l</w:t>
      </w:r>
      <w:r w:rsidRPr="006167CF">
        <w:rPr>
          <w:lang w:val="fr-FR"/>
        </w:rPr>
        <w:t>e jeu spontané et auto-organisé des enfants doit être reconnu et respecté, et il doit avoir toute sa place dans les activités quotidiennes de l'EAJE</w:t>
      </w:r>
      <w:r>
        <w:rPr>
          <w:lang w:val="fr-FR"/>
        </w:rPr>
        <w:t xml:space="preserve"> » </w:t>
      </w:r>
      <w:r w:rsidRPr="0061568E">
        <w:rPr>
          <w:lang w:val="fr-FR"/>
        </w:rPr>
        <w:fldChar w:fldCharType="begin"/>
      </w:r>
      <w:r>
        <w:rPr>
          <w:lang w:val="en-GB"/>
        </w:rPr>
        <w:instrText xml:space="preserve"> ADDIN ZOTERO_ITEM CSL_CITATION {"citationID":"SqHCy29K","properties":{"formattedCitation":"({\\i{}The strengthened pedagogical curriculum\\uc0\\u8239{}: Framework and content}, 2020)","plainCitation":"(The strengthened pedagogical curriculum</w:instrText>
      </w:r>
      <w:r>
        <w:rPr>
          <w:rFonts w:ascii="Times New Roman" w:hAnsi="Times New Roman" w:cs="Times New Roman"/>
          <w:lang w:val="en-GB"/>
        </w:rPr>
        <w:instrText> </w:instrText>
      </w:r>
      <w:r>
        <w:rPr>
          <w:lang w:val="en-GB"/>
        </w:rPr>
        <w:instrText xml:space="preserve">: Framework and content, 2020)","dontUpdate":true,"noteIndex":0},"citationItems":[{"id":"NfFhE4BD/FBljBHim","uris":["http://zotero.org/users/local/PWuLUWfZ/items/YYGDFLHN"],"uri":["http://zotero.org/users/local/PWuLUWfZ/items/YYGDFLHN"],"itemData":{"id":"e84VeAz7/tVMRm4RH","type":"bill","title":"The strengthened pedagogical curriculum : Framework and content","author":[{"family":"Ministry of Children and Education","given":""}],"issued":{"date-parts":[["2020"]]}}}],"schema":"https://github.com/citation-style-language/schema/raw/master/csl-citation.json"} </w:instrText>
      </w:r>
      <w:r w:rsidRPr="0061568E">
        <w:rPr>
          <w:lang w:val="fr-FR"/>
        </w:rPr>
        <w:fldChar w:fldCharType="separate"/>
      </w:r>
      <w:r w:rsidRPr="0061568E">
        <w:rPr>
          <w:lang w:val="en-GB"/>
        </w:rPr>
        <w:t>(The strengthened pedagogical curriculum</w:t>
      </w:r>
      <w:r w:rsidRPr="0061568E">
        <w:rPr>
          <w:rFonts w:ascii="Times New Roman" w:hAnsi="Times New Roman" w:cs="Times New Roman"/>
          <w:lang w:val="en-GB"/>
        </w:rPr>
        <w:t> </w:t>
      </w:r>
      <w:r w:rsidRPr="0061568E">
        <w:rPr>
          <w:lang w:val="en-GB"/>
        </w:rPr>
        <w:t xml:space="preserve">: Framework and content, 2020 : </w:t>
      </w:r>
      <w:r>
        <w:rPr>
          <w:lang w:val="en-GB"/>
        </w:rPr>
        <w:t>18</w:t>
      </w:r>
      <w:r w:rsidRPr="0061568E">
        <w:rPr>
          <w:lang w:val="en-GB"/>
        </w:rPr>
        <w:t>)</w:t>
      </w:r>
      <w:r w:rsidRPr="0061568E">
        <w:rPr>
          <w:lang w:val="fr-FR"/>
        </w:rPr>
        <w:fldChar w:fldCharType="end"/>
      </w:r>
      <w:r>
        <w:rPr>
          <w:lang w:val="fr-FR"/>
        </w:rPr>
        <w:t xml:space="preserve">. </w:t>
      </w:r>
    </w:p>
    <w:p w14:paraId="31D4D0DD" w14:textId="77777777" w:rsidR="00645893" w:rsidRPr="006D1102" w:rsidRDefault="00645893" w:rsidP="00645893">
      <w:pPr>
        <w:pStyle w:val="citation"/>
        <w:ind w:left="0"/>
        <w:rPr>
          <w:i w:val="0"/>
          <w:iCs w:val="0"/>
          <w:lang w:val="fr-FR"/>
        </w:rPr>
      </w:pPr>
      <w:r>
        <w:rPr>
          <w:i w:val="0"/>
          <w:iCs w:val="0"/>
          <w:lang w:val="fr-FR"/>
        </w:rPr>
        <w:t xml:space="preserve">En effet, si </w:t>
      </w:r>
      <w:r w:rsidRPr="009127A4">
        <w:t>« </w:t>
      </w:r>
      <w:r>
        <w:t>L</w:t>
      </w:r>
      <w:r w:rsidRPr="009127A4">
        <w:t>e jeu a une valeur en soi et doit être continu dans les institutions préscolaires</w:t>
      </w:r>
      <w:r>
        <w:t xml:space="preserve">. </w:t>
      </w:r>
      <w:r w:rsidRPr="009127A4">
        <w:t xml:space="preserve">L’apprentissage doit </w:t>
      </w:r>
      <w:r>
        <w:rPr>
          <w:i w:val="0"/>
          <w:iCs w:val="0"/>
        </w:rPr>
        <w:t xml:space="preserve">[quant à lui] </w:t>
      </w:r>
      <w:r w:rsidRPr="009127A4">
        <w:t>être entendu dans un sens large. Il prend place, par exemple, dans le jeu, les relations, les activités planifiées et l’exploration de la nature, et par le fait d’être mis à l’épreuve ».</w:t>
      </w:r>
      <w:r>
        <w:rPr>
          <w:lang w:val="fr-FR"/>
        </w:rPr>
        <w:t xml:space="preserve"> </w:t>
      </w:r>
      <w:r w:rsidRPr="0061568E">
        <w:rPr>
          <w:lang w:val="fr-FR"/>
        </w:rPr>
        <w:fldChar w:fldCharType="begin"/>
      </w:r>
      <w:r>
        <w:rPr>
          <w:lang w:val="en-GB"/>
        </w:rPr>
        <w:instrText xml:space="preserve"> ADDIN ZOTERO_ITEM CSL_CITATION {"citationID":"IxoJEF5c","properties":{"formattedCitation":"({\\i{}The strengthened pedagogical curriculum\\uc0\\u8239{}: Framework and content}, 2020)","plainCitation":"(The strengthened pedagogical curriculum</w:instrText>
      </w:r>
      <w:r>
        <w:rPr>
          <w:rFonts w:ascii="Times New Roman" w:hAnsi="Times New Roman" w:cs="Times New Roman"/>
          <w:lang w:val="en-GB"/>
        </w:rPr>
        <w:instrText> </w:instrText>
      </w:r>
      <w:r>
        <w:rPr>
          <w:lang w:val="en-GB"/>
        </w:rPr>
        <w:instrText xml:space="preserve">: Framework and content, 2020)","dontUpdate":true,"noteIndex":0},"citationItems":[{"id":"NfFhE4BD/FBljBHim","uris":["http://zotero.org/users/local/PWuLUWfZ/items/YYGDFLHN"],"uri":["http://zotero.org/users/local/PWuLUWfZ/items/YYGDFLHN"],"itemData":{"id":"e84VeAz7/tVMRm4RH","type":"bill","title":"The strengthened pedagogical curriculum : Framework and content","author":[{"family":"Ministry of Children and Education","given":""}],"issued":{"date-parts":[["2020"]]}}}],"schema":"https://github.com/citation-style-language/schema/raw/master/csl-citation.json"} </w:instrText>
      </w:r>
      <w:r w:rsidRPr="0061568E">
        <w:rPr>
          <w:lang w:val="fr-FR"/>
        </w:rPr>
        <w:fldChar w:fldCharType="separate"/>
      </w:r>
      <w:r w:rsidRPr="0061568E">
        <w:rPr>
          <w:lang w:val="en-GB"/>
        </w:rPr>
        <w:t xml:space="preserve">(The strengthened pedagogical </w:t>
      </w:r>
      <w:proofErr w:type="gramStart"/>
      <w:r w:rsidRPr="0061568E">
        <w:rPr>
          <w:lang w:val="en-GB"/>
        </w:rPr>
        <w:t>curriculum</w:t>
      </w:r>
      <w:r w:rsidRPr="0061568E">
        <w:rPr>
          <w:rFonts w:ascii="Times New Roman" w:hAnsi="Times New Roman" w:cs="Times New Roman"/>
          <w:lang w:val="en-GB"/>
        </w:rPr>
        <w:t> </w:t>
      </w:r>
      <w:r w:rsidRPr="0061568E">
        <w:rPr>
          <w:lang w:val="en-GB"/>
        </w:rPr>
        <w:t>:</w:t>
      </w:r>
      <w:proofErr w:type="gramEnd"/>
      <w:r w:rsidRPr="0061568E">
        <w:rPr>
          <w:lang w:val="en-GB"/>
        </w:rPr>
        <w:t xml:space="preserve"> Framework and content, 2020 : </w:t>
      </w:r>
      <w:r>
        <w:rPr>
          <w:lang w:val="en-GB"/>
        </w:rPr>
        <w:t>19</w:t>
      </w:r>
      <w:r w:rsidRPr="0061568E">
        <w:rPr>
          <w:lang w:val="en-GB"/>
        </w:rPr>
        <w:t>)</w:t>
      </w:r>
      <w:r w:rsidRPr="0061568E">
        <w:rPr>
          <w:lang w:val="fr-FR"/>
        </w:rPr>
        <w:fldChar w:fldCharType="end"/>
      </w:r>
      <w:r>
        <w:rPr>
          <w:lang w:val="fr-FR"/>
        </w:rPr>
        <w:t>.</w:t>
      </w:r>
    </w:p>
    <w:p w14:paraId="4C5D6B93" w14:textId="77777777" w:rsidR="00645893" w:rsidRDefault="00645893" w:rsidP="00645893">
      <w:pPr>
        <w:ind w:firstLine="0"/>
        <w:rPr>
          <w:lang w:val="fr-FR"/>
        </w:rPr>
      </w:pPr>
      <w:r>
        <w:t xml:space="preserve">Le rôle du professionnel français n’est donc pas celui du professionnel danois. Là où le premier est un professionnel de l’apprentissage, le second est </w:t>
      </w:r>
      <w:r>
        <w:rPr>
          <w:lang w:val="fr-FR"/>
        </w:rPr>
        <w:t>« </w:t>
      </w:r>
      <w:r w:rsidRPr="00057F8A">
        <w:rPr>
          <w:lang w:val="fr-FR"/>
        </w:rPr>
        <w:t>responsable de l'attention portée au développement des communautés de jeu entre les enfants</w:t>
      </w:r>
      <w:r>
        <w:rPr>
          <w:lang w:val="fr-FR"/>
        </w:rPr>
        <w:t xml:space="preserve"> » </w:t>
      </w:r>
      <w:r w:rsidRPr="0061568E">
        <w:rPr>
          <w:lang w:val="fr-FR"/>
        </w:rPr>
        <w:fldChar w:fldCharType="begin"/>
      </w:r>
      <w:r>
        <w:rPr>
          <w:lang w:val="en-GB"/>
        </w:rPr>
        <w:instrText xml:space="preserve"> ADDIN ZOTERO_ITEM CSL_CITATION {"citationID":"t2bOzz6V","properties":{"formattedCitation":"({\\i{}The strengthened pedagogical curriculum\\uc0\\u8239{}: Framework and content}, 2020)","plainCitation":"(The strengthened pedagogical curriculum</w:instrText>
      </w:r>
      <w:r>
        <w:rPr>
          <w:rFonts w:ascii="Times New Roman" w:hAnsi="Times New Roman" w:cs="Times New Roman"/>
          <w:lang w:val="en-GB"/>
        </w:rPr>
        <w:instrText> </w:instrText>
      </w:r>
      <w:r>
        <w:rPr>
          <w:lang w:val="en-GB"/>
        </w:rPr>
        <w:instrText xml:space="preserve">: Framework and content, 2020)","dontUpdate":true,"noteIndex":0},"citationItems":[{"id":"NfFhE4BD/FBljBHim","uris":["http://zotero.org/users/local/PWuLUWfZ/items/YYGDFLHN"],"uri":["http://zotero.org/users/local/PWuLUWfZ/items/YYGDFLHN"],"itemData":{"id":"e84VeAz7/tVMRm4RH","type":"bill","title":"The strengthened pedagogical curriculum : Framework and content","author":[{"family":"Ministry of Children and Education","given":""}],"issued":{"date-parts":[["2020"]]}}}],"schema":"https://github.com/citation-style-language/schema/raw/master/csl-citation.json"} </w:instrText>
      </w:r>
      <w:r w:rsidRPr="0061568E">
        <w:rPr>
          <w:lang w:val="fr-FR"/>
        </w:rPr>
        <w:fldChar w:fldCharType="separate"/>
      </w:r>
      <w:r w:rsidRPr="0061568E">
        <w:rPr>
          <w:lang w:val="en-GB"/>
        </w:rPr>
        <w:t>(The strengthened pedagogical curriculum</w:t>
      </w:r>
      <w:r w:rsidRPr="0061568E">
        <w:rPr>
          <w:rFonts w:ascii="Times New Roman" w:hAnsi="Times New Roman" w:cs="Times New Roman"/>
          <w:lang w:val="en-GB"/>
        </w:rPr>
        <w:t> </w:t>
      </w:r>
      <w:r w:rsidRPr="0061568E">
        <w:rPr>
          <w:lang w:val="en-GB"/>
        </w:rPr>
        <w:t xml:space="preserve">: Framework and content, 2020 : </w:t>
      </w:r>
      <w:r>
        <w:rPr>
          <w:lang w:val="en-GB"/>
        </w:rPr>
        <w:t>18</w:t>
      </w:r>
      <w:r w:rsidRPr="0061568E">
        <w:rPr>
          <w:lang w:val="en-GB"/>
        </w:rPr>
        <w:t>)</w:t>
      </w:r>
      <w:r w:rsidRPr="0061568E">
        <w:rPr>
          <w:lang w:val="fr-FR"/>
        </w:rPr>
        <w:fldChar w:fldCharType="end"/>
      </w:r>
      <w:r>
        <w:rPr>
          <w:lang w:val="fr-FR"/>
        </w:rPr>
        <w:t>. Et ce contraste ressort d’autant mieux que l’on s’intéresse aux manières de nommer le professionnel de la petite enfance en France et au Danemark. Le professionnel de la petite enfance danois est appelé « </w:t>
      </w:r>
      <w:proofErr w:type="spellStart"/>
      <w:r>
        <w:rPr>
          <w:lang w:val="fr-FR"/>
        </w:rPr>
        <w:t>paedagog</w:t>
      </w:r>
      <w:proofErr w:type="spellEnd"/>
      <w:r>
        <w:rPr>
          <w:lang w:val="fr-FR"/>
        </w:rPr>
        <w:t xml:space="preserve"> » (pédagogue). En France, on parlait d’instituteur, jusque en 1989. Depuis lors, le professionnel de la petite enfance est reconnu comme Professeur des écoles, c’est-à-dire comme spécialiste de l’apprentissage scolaire. Le contexte préscolaire français est donc marqué du sceau de la forme scolaire. </w:t>
      </w:r>
    </w:p>
    <w:p w14:paraId="36F4D692" w14:textId="2EA36DE1" w:rsidR="00645893" w:rsidRDefault="00645893" w:rsidP="00645893">
      <w:pPr>
        <w:ind w:firstLine="0"/>
        <w:rPr>
          <w:lang w:val="fr-FR"/>
        </w:rPr>
      </w:pPr>
      <w:r>
        <w:rPr>
          <w:lang w:val="fr-FR"/>
        </w:rPr>
        <w:t>Dans ce contexte, « agir sur les comportements », pour reprendre l’expression mobilisée dans le titre du séminaire, revient à agir sur et pour les apprentissages.</w:t>
      </w:r>
    </w:p>
    <w:p w14:paraId="4EBB1F43" w14:textId="56B4CEC1" w:rsidR="009533DD" w:rsidRDefault="009533DD" w:rsidP="00645893">
      <w:pPr>
        <w:ind w:firstLine="0"/>
        <w:rPr>
          <w:b/>
          <w:bCs/>
          <w:lang w:val="fr-FR"/>
        </w:rPr>
      </w:pPr>
      <w:r>
        <w:rPr>
          <w:b/>
          <w:bCs/>
          <w:lang w:val="fr-FR"/>
        </w:rPr>
        <w:t>Agir sur les apprentissages : neurosciences cognitives et pédagogies actives</w:t>
      </w:r>
    </w:p>
    <w:p w14:paraId="716C95E1" w14:textId="1369A35A" w:rsidR="009533DD" w:rsidRDefault="009533DD" w:rsidP="00645893">
      <w:pPr>
        <w:ind w:firstLine="0"/>
        <w:rPr>
          <w:lang w:val="fr-FR"/>
        </w:rPr>
      </w:pPr>
      <w:r>
        <w:rPr>
          <w:lang w:val="fr-FR"/>
        </w:rPr>
        <w:lastRenderedPageBreak/>
        <w:t>Nous disposons à présent de quelques éléments sur les particularités de l’environnement moral autour du préscolaire en France. Je voudrais à présent m’intéresser à des pratiques qu’on pourrait rapprocher de l’</w:t>
      </w:r>
      <w:proofErr w:type="spellStart"/>
      <w:r>
        <w:rPr>
          <w:i/>
          <w:iCs/>
          <w:lang w:val="fr-FR"/>
        </w:rPr>
        <w:t>empowerment</w:t>
      </w:r>
      <w:proofErr w:type="spellEnd"/>
      <w:r>
        <w:rPr>
          <w:i/>
          <w:iCs/>
          <w:lang w:val="fr-FR"/>
        </w:rPr>
        <w:t xml:space="preserve"> </w:t>
      </w:r>
      <w:r>
        <w:rPr>
          <w:lang w:val="fr-FR"/>
        </w:rPr>
        <w:t>dans le champ de l’éducation préscolaire.</w:t>
      </w:r>
    </w:p>
    <w:p w14:paraId="2624222C" w14:textId="77777777" w:rsidR="00A701CE" w:rsidRDefault="002B47DF" w:rsidP="00645893">
      <w:pPr>
        <w:ind w:firstLine="0"/>
      </w:pPr>
      <w:r>
        <w:t>Dans l’introduction, nous avons exposé l’idée du projet ERC-</w:t>
      </w:r>
      <w:proofErr w:type="spellStart"/>
      <w:r>
        <w:t>CoachingRituals</w:t>
      </w:r>
      <w:proofErr w:type="spellEnd"/>
      <w:r>
        <w:t xml:space="preserve"> selon laquelle l’</w:t>
      </w:r>
      <w:proofErr w:type="spellStart"/>
      <w:r w:rsidRPr="002B47DF">
        <w:rPr>
          <w:i/>
          <w:iCs/>
        </w:rPr>
        <w:t>empowermen</w:t>
      </w:r>
      <w:r>
        <w:t>t</w:t>
      </w:r>
      <w:proofErr w:type="spellEnd"/>
      <w:r>
        <w:t xml:space="preserve"> peut être englobé par la « logique du coaching ». </w:t>
      </w:r>
      <w:r w:rsidR="00A701CE">
        <w:t>Je voudrais montrer que l’on peut repérer des indices de la présence de cette logique du coaching dans le champ préscolaire. En effet, si la logique du coaching repose sur l’idée d’un affaissement de la relation verticale au profit d’une relation horizontale qui tient compte de l’autonomie de la personne, on peut faire l’hypothèse que l’une des forces de la logique du coaching, lorsqu’elle trouve à s’appliquer dans le champ de l’éducation préscolaire, est de tenir ensemble les exigences scolaires et les exigences holistiques. Autrement dit, la logique du coaching répond à la question de savoir comment concilier tradition pré-primaire et tradition socio-pédagogique.</w:t>
      </w:r>
    </w:p>
    <w:p w14:paraId="7A0A467E" w14:textId="77777777" w:rsidR="00116582" w:rsidRDefault="00A701CE" w:rsidP="00645893">
      <w:pPr>
        <w:ind w:firstLine="0"/>
      </w:pPr>
      <w:r>
        <w:t>Je voudrais apporter quelques éléments empiriques pour étayer cette hypothèse, sans affirmer l’avoir prouvée, mais peut-être plus simplement pour en montrer le bien-fondé.</w:t>
      </w:r>
      <w:r w:rsidR="00116582">
        <w:t xml:space="preserve"> </w:t>
      </w:r>
    </w:p>
    <w:p w14:paraId="1E044B52" w14:textId="5870CA35" w:rsidR="00A701CE" w:rsidRDefault="00116582" w:rsidP="00645893">
      <w:pPr>
        <w:ind w:firstLine="0"/>
      </w:pPr>
      <w:r>
        <w:rPr>
          <w:lang w:val="fr-FR"/>
        </w:rPr>
        <w:t xml:space="preserve">C’est à nouveau ici l’ouvrage de Marie-Hélène </w:t>
      </w:r>
      <w:proofErr w:type="spellStart"/>
      <w:r>
        <w:rPr>
          <w:lang w:val="fr-FR"/>
        </w:rPr>
        <w:t>Baqué</w:t>
      </w:r>
      <w:proofErr w:type="spellEnd"/>
      <w:r>
        <w:rPr>
          <w:lang w:val="fr-FR"/>
        </w:rPr>
        <w:t xml:space="preserve"> et Carole </w:t>
      </w:r>
      <w:proofErr w:type="spellStart"/>
      <w:r>
        <w:rPr>
          <w:lang w:val="fr-FR"/>
        </w:rPr>
        <w:t>Biewener</w:t>
      </w:r>
      <w:proofErr w:type="spellEnd"/>
      <w:r>
        <w:rPr>
          <w:lang w:val="fr-FR"/>
        </w:rPr>
        <w:t xml:space="preserve"> qui nous met sur la voie, puisque dans le chapitre 5, </w:t>
      </w:r>
      <w:r>
        <w:t xml:space="preserve">retraçant l’histoire de l’importation du concept </w:t>
      </w:r>
      <w:r w:rsidRPr="002B47DF">
        <w:rPr>
          <w:i/>
          <w:iCs/>
        </w:rPr>
        <w:t>d’</w:t>
      </w:r>
      <w:proofErr w:type="spellStart"/>
      <w:r w:rsidRPr="002B47DF">
        <w:rPr>
          <w:i/>
          <w:iCs/>
        </w:rPr>
        <w:t>empowerment</w:t>
      </w:r>
      <w:proofErr w:type="spellEnd"/>
      <w:r>
        <w:t xml:space="preserve"> en France, les autrices indiquent qu’un certain nombre de pratiques ne mobilisant pas explicitement ce concept présentent pourtant des similitudes avec les démarches d’</w:t>
      </w:r>
      <w:proofErr w:type="spellStart"/>
      <w:r w:rsidRPr="002B47DF">
        <w:rPr>
          <w:i/>
          <w:iCs/>
        </w:rPr>
        <w:t>empowerment</w:t>
      </w:r>
      <w:proofErr w:type="spellEnd"/>
      <w:r>
        <w:t>. Parmi ces pratiques, elles font figurer « les expériences et théories de pédagogie active visant à l’autonomisation des élèves » (2015 : 126).</w:t>
      </w:r>
      <w:r w:rsidR="00A701CE">
        <w:t xml:space="preserve"> Je voudrais m’intéresser au rapprochement entre neurosciences cognitives et pédagogies actives. Ce rapprochement peut en effet paraître surprenant de prime abord : quel rapport existe-t-il entre les travaux de Maria Montessori et ceux de Stanislas Dehaene ? Pourtant, des acteurs de terrain font le rapprochement pour revisiter leurs pratiques pédagogiques.</w:t>
      </w:r>
    </w:p>
    <w:p w14:paraId="095F2CBF" w14:textId="4F45C4DA" w:rsidR="00B70BCF" w:rsidRDefault="00B70BCF" w:rsidP="00B70BCF">
      <w:pPr>
        <w:ind w:firstLine="0"/>
      </w:pPr>
      <w:r>
        <w:t xml:space="preserve">Mon hypothèse ici est que ce rapprochement s’explique par ce qu’Alain Ehrenberg (2018) a montré dans son ouvrage sur </w:t>
      </w:r>
      <w:r>
        <w:t xml:space="preserve">le succès des neurosciences cognitives, à savoir que ce succès s’explique par la résonnance que l’on peut trouver dans le discours neuroscientifique et les valeurs </w:t>
      </w:r>
      <w:r>
        <w:t>propres à</w:t>
      </w:r>
      <w:r>
        <w:t xml:space="preserve"> nos sociétés de l’autonomie comme condition. </w:t>
      </w:r>
      <w:r>
        <w:t>L</w:t>
      </w:r>
      <w:r>
        <w:t xml:space="preserve">e discours des neurosciences cognitives porterait en germe l’idéal du potentiel caché. La plasticité cérébrale fascine parce qu’elle permet de légitimer, en l’inscrivant dans le cerveau, la trame discursive de la conversion de la faiblesse en force. </w:t>
      </w:r>
    </w:p>
    <w:p w14:paraId="586C0270" w14:textId="3D000148" w:rsidR="00B70BCF" w:rsidRDefault="00B70BCF" w:rsidP="00B70BCF">
      <w:pPr>
        <w:ind w:firstLine="0"/>
      </w:pPr>
      <w:r>
        <w:lastRenderedPageBreak/>
        <w:t xml:space="preserve">Je voudrais illustrer mon propos </w:t>
      </w:r>
      <w:r w:rsidR="007308B1">
        <w:t xml:space="preserve">en </w:t>
      </w:r>
      <w:r>
        <w:t>me pench</w:t>
      </w:r>
      <w:r w:rsidR="007308B1">
        <w:t>ant</w:t>
      </w:r>
      <w:r>
        <w:t xml:space="preserve"> sur l’ouvrage de Céline Alvarez « les lois naturelles de l’enfant » paru en 2016.</w:t>
      </w:r>
    </w:p>
    <w:p w14:paraId="42A678B3" w14:textId="77777777" w:rsidR="00B70BCF" w:rsidRDefault="00B70BCF" w:rsidP="00B70BCF">
      <w:pPr>
        <w:ind w:firstLine="0"/>
      </w:pPr>
      <w:r>
        <w:t>Dans ce livre, Céline Alvarez retrace l’expérience pédagogique qu’elle a mené dans une classe de ZEP à Gennevilliers. Cette expérience visait à adapter la méthode pédagogique créée une centaine d’années plut tôt par Maria Montessori à la lumière des dernières avancées en Neurosciences cognitives et sociales.</w:t>
      </w:r>
    </w:p>
    <w:p w14:paraId="07714818" w14:textId="031D6150" w:rsidR="00B70BCF" w:rsidRDefault="00B70BCF" w:rsidP="00B70BCF">
      <w:pPr>
        <w:ind w:firstLine="0"/>
      </w:pPr>
      <w:r>
        <w:t xml:space="preserve">Cet ouvrage a fait grand bruit à l’époque. Il a été traduit en 13 langues et vendu à plus de 220 000 exemplaires. Le succès de cet ouvrage a été tel que la Ministre de l’enseignement de la Fédération Wallonie-Bruxelles de l’époque, Marie-Martine </w:t>
      </w:r>
      <w:proofErr w:type="spellStart"/>
      <w:r>
        <w:t>Schyns</w:t>
      </w:r>
      <w:proofErr w:type="spellEnd"/>
      <w:r>
        <w:t>, a commandé à Céline Alvarez un cycle de formation pour des institutrices maternelles. 750 répondront à l’appel et seront formées à la « méthode Alvarez » pendant un an. Céline Alvarez tirera de cette expérience un deuxième ouvrage intitulé « une année pour tout changer », paru en 2018.</w:t>
      </w:r>
    </w:p>
    <w:p w14:paraId="1FE764C3" w14:textId="21461D85" w:rsidR="00B70BCF" w:rsidRDefault="00B70BCF" w:rsidP="00B70BCF">
      <w:pPr>
        <w:ind w:firstLine="0"/>
      </w:pPr>
      <w:r>
        <w:t>Voilà déjà deux bonnes raisons, donc, de s’intéresser à cette autrice : la portée non négligeable de son discours et le fait que cette portée soit internationale, et particulièrement qu’il transcende les frontières entre la France et la Belgique, ce qui laisse croire qu’il existe un arrière-fond moral commun entre ces deux pays malgré tout ce qui peut séparer leurs systèmes scolaires (on pensera par exemple aux conceptions différentes de la laïcité en vigueur en Belgique et en France)</w:t>
      </w:r>
      <w:r>
        <w:t>.</w:t>
      </w:r>
    </w:p>
    <w:p w14:paraId="0B114E7B" w14:textId="044C54BA" w:rsidR="00B70BCF" w:rsidRDefault="00B70BCF" w:rsidP="00B70BCF">
      <w:pPr>
        <w:ind w:firstLine="0"/>
      </w:pPr>
      <w:r>
        <w:t>Par ailleurs, Céline Alvarez a été soutenue à l’époque par le ministre de l’</w:t>
      </w:r>
      <w:proofErr w:type="spellStart"/>
      <w:r>
        <w:t>Education</w:t>
      </w:r>
      <w:proofErr w:type="spellEnd"/>
      <w:r>
        <w:t xml:space="preserve"> nationale Jean-Michel </w:t>
      </w:r>
      <w:proofErr w:type="spellStart"/>
      <w:r>
        <w:t>Blanquer</w:t>
      </w:r>
      <w:proofErr w:type="spellEnd"/>
      <w:r>
        <w:t xml:space="preserve">, qui était encore à la DGESCO à ce moment-là, et par Stanislas Dehaene, qui a assuré le suivi scientifique de l’expérience pédagogique d’Alvarez. Ce même Stanislas Dehaene qui prendra la tête du Conseil Scientifique de l’Éducation Nationale mis en place par Jean-Michel </w:t>
      </w:r>
      <w:proofErr w:type="spellStart"/>
      <w:r>
        <w:t>Blanquer</w:t>
      </w:r>
      <w:proofErr w:type="spellEnd"/>
      <w:r>
        <w:t>. Il semblait donc légitime de se pencher sur ce petit réseau</w:t>
      </w:r>
      <w:r>
        <w:t xml:space="preserve"> d’acteurs bénéficiant d’une large influence sur le champ éducatif français.</w:t>
      </w:r>
    </w:p>
    <w:p w14:paraId="623CF3CD" w14:textId="5AE498CD" w:rsidR="00B70BCF" w:rsidRDefault="00B70BCF" w:rsidP="00B70BCF">
      <w:pPr>
        <w:ind w:firstLine="0"/>
        <w:rPr>
          <w:i/>
          <w:iCs/>
        </w:rPr>
      </w:pPr>
      <w:r>
        <w:rPr>
          <w:i/>
          <w:iCs/>
        </w:rPr>
        <w:t>Céline Alvarez ou comment faire apprendre sans enseigner ?</w:t>
      </w:r>
    </w:p>
    <w:p w14:paraId="0EC6D255" w14:textId="15ECBCF1" w:rsidR="00881CED" w:rsidRDefault="00881CED" w:rsidP="00B70BCF">
      <w:pPr>
        <w:ind w:firstLine="0"/>
      </w:pPr>
      <w:r>
        <w:t>L’ouvrage d’Alvarez s’ouvre sur le constat suivant : « 40% de nos enfants entrent au collège avec de très grandes difficultés (2016 : 9). Ces chiffres « dénoncent […] le fait que notre système éducatif ne prend pas en compte les mécanismes naturels de l’apprentissage humain » (2016 : 9).</w:t>
      </w:r>
    </w:p>
    <w:p w14:paraId="684F7233" w14:textId="574F4798" w:rsidR="00881CED" w:rsidRPr="00881CED" w:rsidRDefault="00881CED" w:rsidP="00881CED">
      <w:pPr>
        <w:ind w:firstLine="0"/>
      </w:pPr>
      <w:r>
        <w:t xml:space="preserve">Ces mécanismes naturels de l’apprentissage soutiennent le potentiel inné des enfants, mais celui-ci se voit « sans cesse entravé[s] </w:t>
      </w:r>
      <w:r w:rsidRPr="00881CED">
        <w:t xml:space="preserve">dans leur développement par des environnements </w:t>
      </w:r>
      <w:r w:rsidRPr="00881CED">
        <w:lastRenderedPageBreak/>
        <w:t>inadaptés ; ils s’épanouissent alors au minimum de leurs possibilités, et nous finissons par croire que ce minimum est la norme. Or, l’expérience de Gennevilliers le montre, leur puissance est bien plus grande que nous le pensons, et que nous pouvons même l’imaginer</w:t>
      </w:r>
      <w:r>
        <w:t xml:space="preserve"> </w:t>
      </w:r>
      <w:r w:rsidRPr="00881CED">
        <w:t>» (Alvarez, 2016 : 12)</w:t>
      </w:r>
      <w:r>
        <w:t>.</w:t>
      </w:r>
    </w:p>
    <w:p w14:paraId="36191B3B" w14:textId="3C10655B" w:rsidR="00881CED" w:rsidRDefault="00881CED" w:rsidP="00B70BCF">
      <w:pPr>
        <w:ind w:firstLine="0"/>
      </w:pPr>
      <w:r>
        <w:t>Cette expérience, a été menée dans une classe en Zone d’Éducation Prioritaire afin de « </w:t>
      </w:r>
      <w:r w:rsidRPr="00881CED">
        <w:t xml:space="preserve">contrecarrer l’argument tout à fait logique et recevable qui </w:t>
      </w:r>
      <w:r>
        <w:t xml:space="preserve">[lui] </w:t>
      </w:r>
      <w:r w:rsidRPr="00881CED">
        <w:t xml:space="preserve">aurait été opposé si </w:t>
      </w:r>
      <w:r>
        <w:t xml:space="preserve">[elle] </w:t>
      </w:r>
      <w:proofErr w:type="spellStart"/>
      <w:r w:rsidRPr="00881CED">
        <w:t>avai</w:t>
      </w:r>
      <w:proofErr w:type="spellEnd"/>
      <w:r>
        <w:t>[t]</w:t>
      </w:r>
      <w:r w:rsidRPr="00881CED">
        <w:t xml:space="preserve"> réalisé </w:t>
      </w:r>
      <w:r>
        <w:t>[s]</w:t>
      </w:r>
      <w:r w:rsidRPr="00881CED">
        <w:t xml:space="preserve">on expérience au sein d’une structure privée – ‘Cela fonctionne seulement parce que les enfants ont été sélectionnés, ou viennent de milieux favorisés; et le conditions ne </w:t>
      </w:r>
      <w:r>
        <w:t xml:space="preserve">sont </w:t>
      </w:r>
      <w:r w:rsidRPr="00881CED">
        <w:t>pas celles de l’école publique’</w:t>
      </w:r>
      <w:r>
        <w:t> » (2016 : 13)</w:t>
      </w:r>
    </w:p>
    <w:p w14:paraId="33F3B4EC" w14:textId="6593E86F" w:rsidR="00336E6D" w:rsidRDefault="00881CED" w:rsidP="00B70BCF">
      <w:pPr>
        <w:ind w:firstLine="0"/>
      </w:pPr>
      <w:r>
        <w:t>L’objectif de Céline Alvarez est donc de montrer une réduction de l’échec scolaire</w:t>
      </w:r>
      <w:r w:rsidR="00336E6D">
        <w:t>. Mais puisque l’enjeu est de réduire l’échec scolaire, produit par les inégalités sociales, la seule évaluation possible des résultats de son expérience pédagogique doit se faire en des termes scolaires.</w:t>
      </w:r>
    </w:p>
    <w:p w14:paraId="38F0A012" w14:textId="18D50BEB" w:rsidR="00336E6D" w:rsidRDefault="00336E6D" w:rsidP="00336E6D">
      <w:pPr>
        <w:pStyle w:val="citation"/>
        <w:rPr>
          <w:i w:val="0"/>
          <w:iCs w:val="0"/>
          <w:lang w:val="fr-FR"/>
        </w:rPr>
      </w:pPr>
      <w:r w:rsidRPr="00336E6D">
        <w:rPr>
          <w:i w:val="0"/>
          <w:iCs w:val="0"/>
          <w:lang w:val="fr-FR"/>
        </w:rPr>
        <w:t>« </w:t>
      </w:r>
      <w:r w:rsidRPr="00336E6D">
        <w:rPr>
          <w:lang w:val="fr-FR"/>
        </w:rPr>
        <w:t>Les enfants de deuxième année de maternelle avaient tous, dès la fin de la première année, au moins un an (voire deux) d’avance en lecture. Lire, écrire ou comprendre les concepts clés des mathématiques ont été des conquêtes rapides et heureuses. La deuxième année, le rapport des tests indiquait : ‘Il apparait que dans les deux domaines d’apprentissage incontournables de la scolarité, la lecture et l’arithmétique, les enfants de cette classe montrent des habiletés qui dépassent souvent leur niveau scolaire. (...) Il faut se rendre compte que tous les enfants présentent au moins un an d’avance par rapport à ce qui est attendu’ </w:t>
      </w:r>
      <w:r w:rsidRPr="00336E6D">
        <w:rPr>
          <w:i w:val="0"/>
          <w:iCs w:val="0"/>
          <w:lang w:val="fr-FR"/>
        </w:rPr>
        <w:t>» (</w:t>
      </w:r>
      <w:hyperlink r:id="rId10" w:history="1">
        <w:r w:rsidRPr="00A90B61">
          <w:rPr>
            <w:rStyle w:val="Lienhypertexte"/>
            <w:i w:val="0"/>
            <w:iCs w:val="0"/>
            <w:lang w:val="fr-FR"/>
          </w:rPr>
          <w:t>https://www.celinealvarez.org/notre-demarche</w:t>
        </w:r>
      </w:hyperlink>
      <w:r w:rsidRPr="00336E6D">
        <w:rPr>
          <w:i w:val="0"/>
          <w:iCs w:val="0"/>
          <w:lang w:val="fr-FR"/>
        </w:rPr>
        <w:t>)</w:t>
      </w:r>
    </w:p>
    <w:p w14:paraId="5AB3E7BF" w14:textId="77777777" w:rsidR="00385E7E" w:rsidRDefault="00336E6D" w:rsidP="00336E6D">
      <w:pPr>
        <w:ind w:firstLine="0"/>
      </w:pPr>
      <w:r>
        <w:t>Dans un tel contexte, le potentiel de l’enfant se voit défini à partir de ses résultats scolaires. Dans son ouvrage de 2020, Ghislain Leroy montre que l’école maternelle française met effectivement l’emphase sur la performance scolaire des jeunes enfants, et que les pédagogies alternatives mettent les éléments de bien-être au service de cette performance enfantine. L’extrait suivant, tiré du livre de Céline Alvarez, reprend les mots de Stanislas Dehaene</w:t>
      </w:r>
      <w:r w:rsidR="00385E7E">
        <w:t xml:space="preserve"> après sa visite de la classe de Gennevilliers :</w:t>
      </w:r>
    </w:p>
    <w:p w14:paraId="7648DB77" w14:textId="55B11310" w:rsidR="00336E6D" w:rsidRDefault="00385E7E" w:rsidP="00385E7E">
      <w:pPr>
        <w:pStyle w:val="citation"/>
      </w:pPr>
      <w:r w:rsidRPr="00385E7E">
        <w:t xml:space="preserve">Les enfants, extraordinairement épanouis et concentrés, se consacrent à leur travail avec enthousiasme, et s’enseignent mutuellement de façon informelle, stimulés par le matériel pédagogique mis à leur disposition. Surtout, la moitié d’entre eux savent lire, un ou deux ans avant le CP. Ils comprennent la base 10, </w:t>
      </w:r>
      <w:r w:rsidRPr="00385E7E">
        <w:lastRenderedPageBreak/>
        <w:t>la notation positionnelle des nombres, les additions à 4 chiffres. J’ai souvent répété que l’école traditionnelle sous-estimait le potentiel des enfants – après la visite de cette classe, je n’ai plus aucun doute. » (Dehaene cité par Alvarez, 2016 : 23)</w:t>
      </w:r>
    </w:p>
    <w:p w14:paraId="05352708" w14:textId="389A15EE" w:rsidR="00385E7E" w:rsidRDefault="00385E7E" w:rsidP="00385E7E">
      <w:pPr>
        <w:ind w:firstLine="0"/>
      </w:pPr>
      <w:r>
        <w:t>Le problème, nous dit Céline Alvarez, c’est qu’en méconnaissant l’importance de l’environnement et des lois naturelles de l’apprentissage, nous sommes passés à côté d’une chose fondamentale : « Nous ne pouvons pas ‘enseigner’ l’enfant. Lui seul peut créer et former son intelligence en faisant ses propres expériences. Nous ne pouvons que l’assister dans son travail de création » (Alvarez, 2016 : 155-156).</w:t>
      </w:r>
    </w:p>
    <w:p w14:paraId="7A3D8596" w14:textId="389EB25D" w:rsidR="00B70BCF" w:rsidRDefault="00B70BCF" w:rsidP="00B70BCF">
      <w:pPr>
        <w:ind w:firstLine="0"/>
        <w:rPr>
          <w:i/>
          <w:iCs/>
        </w:rPr>
      </w:pPr>
      <w:r>
        <w:rPr>
          <w:i/>
          <w:iCs/>
        </w:rPr>
        <w:t>Quelques éléments ethnographiques</w:t>
      </w:r>
    </w:p>
    <w:p w14:paraId="6C4182A5" w14:textId="1B9912B7" w:rsidR="00B21487" w:rsidRDefault="007308B1" w:rsidP="00B70BCF">
      <w:pPr>
        <w:ind w:firstLine="0"/>
      </w:pPr>
      <w:r>
        <w:t xml:space="preserve">Dès lors, comment </w:t>
      </w:r>
      <w:r>
        <w:t>« </w:t>
      </w:r>
      <w:r>
        <w:t>faire apprendre</w:t>
      </w:r>
      <w:r>
        <w:t> »</w:t>
      </w:r>
      <w:r>
        <w:t xml:space="preserve"> sans enseigner ? </w:t>
      </w:r>
      <w:r w:rsidR="00B21487">
        <w:t xml:space="preserve">Je voudrais à présent fournir quelques éléments ethnographiques pour </w:t>
      </w:r>
      <w:r>
        <w:t>présenter</w:t>
      </w:r>
      <w:r w:rsidR="00B21487">
        <w:t xml:space="preserve"> </w:t>
      </w:r>
      <w:r>
        <w:t>une</w:t>
      </w:r>
      <w:r w:rsidR="00B21487">
        <w:t xml:space="preserve"> hypothèse, mais à nouveau, j’insiste sur la prudence avec laquelle mon propos doit être pris ici, puisqu’il ne s’agit que d’hypothèses qui demandent d’être mises à l’épreuve.</w:t>
      </w:r>
    </w:p>
    <w:p w14:paraId="5A6FABD4" w14:textId="5C5E14D7" w:rsidR="007308B1" w:rsidRDefault="007308B1" w:rsidP="00B70BCF">
      <w:pPr>
        <w:ind w:firstLine="0"/>
      </w:pPr>
      <w:r>
        <w:t xml:space="preserve">Pendant deux journées, j’ai suivi une formation dispensée à des enseignants du niveau maternelle et primaire sur l’application des pédagogies alternatives à la lumière des neurosciences. Ces formations étaient dispensées par une ASBL que j’appellerai ici « Les Apprentis Sages ». Les deux formatrices, qui étaient les créatrices de l’ASBL, travaillent par ailleurs toutes deux dans une école maternelle et primaire à pédagogies alternatives située en région bruxelloise. Ces observations sont </w:t>
      </w:r>
      <w:r w:rsidR="009327EA">
        <w:t>les toutes premières données ethnographiques que je mobilise dans le cadre de ma recherche doctorale.</w:t>
      </w:r>
    </w:p>
    <w:p w14:paraId="747542B0" w14:textId="77777777" w:rsidR="00B21487" w:rsidRPr="00B21487" w:rsidRDefault="00B21487" w:rsidP="00E06F88">
      <w:pPr>
        <w:pBdr>
          <w:top w:val="single" w:sz="4" w:space="1" w:color="auto"/>
          <w:left w:val="single" w:sz="4" w:space="4" w:color="auto"/>
          <w:bottom w:val="single" w:sz="4" w:space="1" w:color="auto"/>
          <w:right w:val="single" w:sz="4" w:space="4" w:color="auto"/>
        </w:pBdr>
        <w:ind w:firstLine="0"/>
      </w:pPr>
      <w:r w:rsidRPr="00B21487">
        <w:rPr>
          <w:lang w:val="fr-FR"/>
        </w:rPr>
        <w:t xml:space="preserve">L’une des formatrices nous montre une vidéo de la méthode qu’elle mobilise en classe de M1/M2 pour apprendre les rudiments de l’écriture aux enfants. On voit des « tout-petits » dans un couloir. Au sol, il y a deux lattes de bois. La formatrice nous explique que cette activité d’apprentissage se compose de quatre étapes. </w:t>
      </w:r>
    </w:p>
    <w:p w14:paraId="518C57BE" w14:textId="53AC0488" w:rsidR="00B21487" w:rsidRPr="00B21487" w:rsidRDefault="00B21487" w:rsidP="00E06F88">
      <w:pPr>
        <w:pBdr>
          <w:top w:val="single" w:sz="4" w:space="1" w:color="auto"/>
          <w:left w:val="single" w:sz="4" w:space="4" w:color="auto"/>
          <w:bottom w:val="single" w:sz="4" w:space="1" w:color="auto"/>
          <w:right w:val="single" w:sz="4" w:space="4" w:color="auto"/>
        </w:pBdr>
        <w:ind w:firstLine="0"/>
      </w:pPr>
      <w:proofErr w:type="spellStart"/>
      <w:r w:rsidRPr="00B21487">
        <w:rPr>
          <w:lang w:val="fr-FR"/>
        </w:rPr>
        <w:t>Etape</w:t>
      </w:r>
      <w:proofErr w:type="spellEnd"/>
      <w:r w:rsidRPr="00B21487">
        <w:rPr>
          <w:lang w:val="fr-FR"/>
        </w:rPr>
        <w:t xml:space="preserve"> 1 : l’enfant a un stick de hockey et un palais est disposé entre les deux lattes de bois. L’enfant doit « pousser gentiment » le palais, par petits à-coups successifs. La formatrice explique qu’en poussant le palais de la sorte, l’enfant apprend un premier mouvement d’écriture. Elle dit que cette étape doit être répétée de nombreuses fois, et qu’elle laissait le matériel à disposition des enfants pour qu’ils puissent s’entraîner dès qu’ils en ont l’envie. La formatrice nous dit de ne jamais expliquer ce qu’on fait, sinon dit-elle, « on n’est plus dans le comment faire mais dans le quoi faire »</w:t>
      </w:r>
      <w:r w:rsidR="00E06F88">
        <w:rPr>
          <w:lang w:val="fr-FR"/>
        </w:rPr>
        <w:t xml:space="preserve"> </w:t>
      </w:r>
      <w:r>
        <w:rPr>
          <w:lang w:val="fr-FR"/>
        </w:rPr>
        <w:t>[</w:t>
      </w:r>
      <w:r w:rsidR="00E06F88">
        <w:rPr>
          <w:u w:val="single"/>
          <w:lang w:val="fr-FR"/>
        </w:rPr>
        <w:t>I</w:t>
      </w:r>
      <w:r w:rsidRPr="00E06F88">
        <w:rPr>
          <w:u w:val="single"/>
          <w:lang w:val="fr-FR"/>
        </w:rPr>
        <w:t>l ne faut jamais contraindre</w:t>
      </w:r>
      <w:r>
        <w:rPr>
          <w:lang w:val="fr-FR"/>
        </w:rPr>
        <w:t>]</w:t>
      </w:r>
      <w:r w:rsidR="00E06F88">
        <w:rPr>
          <w:lang w:val="fr-FR"/>
        </w:rPr>
        <w:t>.</w:t>
      </w:r>
    </w:p>
    <w:p w14:paraId="7E5B758E" w14:textId="77777777" w:rsidR="00B21487" w:rsidRPr="00B21487" w:rsidRDefault="00B21487" w:rsidP="00E06F88">
      <w:pPr>
        <w:pBdr>
          <w:top w:val="single" w:sz="4" w:space="1" w:color="auto"/>
          <w:left w:val="single" w:sz="4" w:space="4" w:color="auto"/>
          <w:bottom w:val="single" w:sz="4" w:space="1" w:color="auto"/>
          <w:right w:val="single" w:sz="4" w:space="4" w:color="auto"/>
        </w:pBdr>
        <w:ind w:firstLine="0"/>
      </w:pPr>
      <w:proofErr w:type="spellStart"/>
      <w:r w:rsidRPr="00B21487">
        <w:rPr>
          <w:lang w:val="fr-FR"/>
        </w:rPr>
        <w:lastRenderedPageBreak/>
        <w:t>Etape</w:t>
      </w:r>
      <w:proofErr w:type="spellEnd"/>
      <w:r w:rsidRPr="00B21487">
        <w:rPr>
          <w:lang w:val="fr-FR"/>
        </w:rPr>
        <w:t xml:space="preserve"> 2 : On remplace le palais et le stick de hockey par un foulard. Les enfants poussent maladroitement le palais imaginaire. </w:t>
      </w:r>
    </w:p>
    <w:p w14:paraId="15B9BB3B" w14:textId="77777777" w:rsidR="00B21487" w:rsidRPr="00B21487" w:rsidRDefault="00B21487" w:rsidP="00E06F88">
      <w:pPr>
        <w:pBdr>
          <w:top w:val="single" w:sz="4" w:space="1" w:color="auto"/>
          <w:left w:val="single" w:sz="4" w:space="4" w:color="auto"/>
          <w:bottom w:val="single" w:sz="4" w:space="1" w:color="auto"/>
          <w:right w:val="single" w:sz="4" w:space="4" w:color="auto"/>
        </w:pBdr>
        <w:ind w:firstLine="0"/>
      </w:pPr>
      <w:proofErr w:type="spellStart"/>
      <w:r w:rsidRPr="00B21487">
        <w:rPr>
          <w:lang w:val="fr-FR"/>
        </w:rPr>
        <w:t>Etape</w:t>
      </w:r>
      <w:proofErr w:type="spellEnd"/>
      <w:r w:rsidRPr="00B21487">
        <w:rPr>
          <w:lang w:val="fr-FR"/>
        </w:rPr>
        <w:t xml:space="preserve"> 3 : L’institutrice propose aux enfants d’effectuer le geste suivant : « tape, monte et tourne », dit-elle aux enfants. L’enfant s’exécute. Le foulard lui retombe sans cesse sur le visage, mais son geste commence à se préciser. La formatrice insiste à nouveau sur le fait qu’il ne faut surtout pas dire « fait une boucle ». Il ne faut pas être dans le quoi faire, mais dans le comment faire. Indiquer l’action suffit.</w:t>
      </w:r>
    </w:p>
    <w:p w14:paraId="0EE50A02" w14:textId="77777777" w:rsidR="00B21487" w:rsidRPr="00B21487" w:rsidRDefault="00B21487" w:rsidP="00E06F88">
      <w:pPr>
        <w:pBdr>
          <w:top w:val="single" w:sz="4" w:space="1" w:color="auto"/>
          <w:left w:val="single" w:sz="4" w:space="4" w:color="auto"/>
          <w:bottom w:val="single" w:sz="4" w:space="1" w:color="auto"/>
          <w:right w:val="single" w:sz="4" w:space="4" w:color="auto"/>
        </w:pBdr>
        <w:ind w:firstLine="0"/>
      </w:pPr>
      <w:proofErr w:type="spellStart"/>
      <w:r w:rsidRPr="00B21487">
        <w:rPr>
          <w:lang w:val="fr-FR"/>
        </w:rPr>
        <w:t>Etape</w:t>
      </w:r>
      <w:proofErr w:type="spellEnd"/>
      <w:r w:rsidRPr="00B21487">
        <w:rPr>
          <w:lang w:val="fr-FR"/>
        </w:rPr>
        <w:t xml:space="preserve"> 4 : L’institutrice a recouvert l’un des murs de la classe d’une longue bande de papier faite de feuilles A4 attachées les unes aux autres. On revoit l’un des enfants qui a désormais les yeux bandés et tient un pastel en main. L’institutrice place le pastel sur la feuille et indique à l’enfant de refaire le même mouvement qu’avec le foulard (étape 3). « Tape, monte et tourne », dit-elle à l’enfant. L’enfant fait maladroitement des boucles, manque de peu de dessiner sur le mur. Il fait une série de boucles qui ressemblent à des « e » manuscrits. Elle retire le foulard des yeux de l’enfant et lui demande « Qu’est-ce que tu as fait ? »  Des boucles, répond l’enfant. Elle insiste sur le fait qu’il ne faut pas lui dire, mais lui demander.</w:t>
      </w:r>
    </w:p>
    <w:p w14:paraId="03BD9CF6" w14:textId="12A2ED6A" w:rsidR="00B21487" w:rsidRPr="00B21487" w:rsidRDefault="00B21487" w:rsidP="00E06F88">
      <w:pPr>
        <w:pBdr>
          <w:top w:val="single" w:sz="4" w:space="1" w:color="auto"/>
          <w:left w:val="single" w:sz="4" w:space="4" w:color="auto"/>
          <w:bottom w:val="single" w:sz="4" w:space="1" w:color="auto"/>
          <w:right w:val="single" w:sz="4" w:space="4" w:color="auto"/>
        </w:pBdr>
        <w:ind w:firstLine="0"/>
      </w:pPr>
      <w:r w:rsidRPr="00B21487">
        <w:rPr>
          <w:lang w:val="fr-FR"/>
        </w:rPr>
        <w:t xml:space="preserve">La formatrice nous explique que de cette manière, l’enfant a appris à faire des boucles alors que c’est ce que l’on apprend en général en dernier. Mais la méthode traditionnelle (apprendre les « lettres-bâtons ») ne respecte pas les </w:t>
      </w:r>
      <w:r w:rsidRPr="00B21487">
        <w:rPr>
          <w:u w:val="single"/>
          <w:lang w:val="fr-FR"/>
        </w:rPr>
        <w:t>mouvements naturels</w:t>
      </w:r>
      <w:r w:rsidRPr="00B21487">
        <w:rPr>
          <w:lang w:val="fr-FR"/>
        </w:rPr>
        <w:t xml:space="preserve"> de l’enfant. La formatrice prend l’exemple d’un enfant qui gribouille. Il ne fera jamais des lignes droites, mais des boucles. Plus tard, elle précisera que c’est parce qu’Alvarez utilise des lettres</w:t>
      </w:r>
      <w:r w:rsidR="00E06F88">
        <w:rPr>
          <w:lang w:val="fr-FR"/>
        </w:rPr>
        <w:t>-</w:t>
      </w:r>
      <w:r w:rsidRPr="00B21487">
        <w:rPr>
          <w:lang w:val="fr-FR"/>
        </w:rPr>
        <w:t>bâtons qu’elle ne la supporte pas. Elle semble vraiment remontée contre elle. Mais au-delà de cet usage des lettres-bâtons, elles utilise</w:t>
      </w:r>
      <w:r>
        <w:rPr>
          <w:lang w:val="fr-FR"/>
        </w:rPr>
        <w:t>nt</w:t>
      </w:r>
      <w:r w:rsidRPr="00B21487">
        <w:rPr>
          <w:lang w:val="fr-FR"/>
        </w:rPr>
        <w:t xml:space="preserve"> le</w:t>
      </w:r>
      <w:r>
        <w:rPr>
          <w:lang w:val="fr-FR"/>
        </w:rPr>
        <w:t>s</w:t>
      </w:r>
      <w:r w:rsidRPr="00B21487">
        <w:rPr>
          <w:lang w:val="fr-FR"/>
        </w:rPr>
        <w:t xml:space="preserve"> même</w:t>
      </w:r>
      <w:r>
        <w:rPr>
          <w:lang w:val="fr-FR"/>
        </w:rPr>
        <w:t>s « jeux de</w:t>
      </w:r>
      <w:r w:rsidRPr="00B21487">
        <w:rPr>
          <w:lang w:val="fr-FR"/>
        </w:rPr>
        <w:t xml:space="preserve"> langage</w:t>
      </w:r>
      <w:r>
        <w:rPr>
          <w:lang w:val="fr-FR"/>
        </w:rPr>
        <w:t> »</w:t>
      </w:r>
      <w:r w:rsidRPr="00B21487">
        <w:rPr>
          <w:lang w:val="fr-FR"/>
        </w:rPr>
        <w:t>.</w:t>
      </w:r>
    </w:p>
    <w:p w14:paraId="69BDF8C7" w14:textId="20175AFB" w:rsidR="00B21487" w:rsidRPr="00B21487" w:rsidRDefault="00B21487" w:rsidP="00E06F88">
      <w:pPr>
        <w:pBdr>
          <w:top w:val="single" w:sz="4" w:space="1" w:color="auto"/>
          <w:left w:val="single" w:sz="4" w:space="4" w:color="auto"/>
          <w:bottom w:val="single" w:sz="4" w:space="1" w:color="auto"/>
          <w:right w:val="single" w:sz="4" w:space="4" w:color="auto"/>
        </w:pBdr>
        <w:ind w:firstLine="0"/>
      </w:pPr>
      <w:r w:rsidRPr="00B21487">
        <w:t>Plus tard durant la formation, la formatrice dit « Chez nous [dans son école], les enfants sont entrés dans la lecture et l’écriture en fin de maternelle. Ils comptent jusqu’à 9999 ». Une des institutrices formées dit « Et on nous dit qu’il ne faut pas scolariser ! » [Elle fait référence aux instructions officielles]. Cela amuse la formatrice qui semble d’avis qu’on n’a nullement besoin d’opposer le scolaire et le ludique.</w:t>
      </w:r>
    </w:p>
    <w:p w14:paraId="28A411D3" w14:textId="77777777" w:rsidR="007308B1" w:rsidRDefault="007308B1" w:rsidP="007308B1">
      <w:pPr>
        <w:ind w:firstLine="0"/>
      </w:pPr>
      <w:r>
        <w:t xml:space="preserve">Mon hypothèse ici est que l’enseignant devient un « créateur d’ambiance pédagogiques », pour paraphraser l’expression du philosophe Yves Michaud dans son dernier ouvrage (2022). Le rôle de l’enseignant deviendrait celui d’un designer d’activités d’apprentissage qui peuvent être réalisée de manière autonome par l’enfant sans qu’il ne soit jamais formellement guidé, voire contrait. L’activité apparaît ainsi comme ludique, et le ludique est investi comme « dispositif » </w:t>
      </w:r>
      <w:r>
        <w:lastRenderedPageBreak/>
        <w:t xml:space="preserve">au service des apprentissages. Pour le dire de manière un peu provocatrice, le ludique fonctionnerait comme </w:t>
      </w:r>
      <w:r>
        <w:rPr>
          <w:i/>
          <w:iCs/>
        </w:rPr>
        <w:t xml:space="preserve">un </w:t>
      </w:r>
      <w:proofErr w:type="spellStart"/>
      <w:r>
        <w:rPr>
          <w:i/>
          <w:iCs/>
        </w:rPr>
        <w:t>nudge</w:t>
      </w:r>
      <w:proofErr w:type="spellEnd"/>
      <w:r>
        <w:t xml:space="preserve"> </w:t>
      </w:r>
      <w:r>
        <w:rPr>
          <w:i/>
          <w:iCs/>
        </w:rPr>
        <w:t>éducatif.</w:t>
      </w:r>
    </w:p>
    <w:p w14:paraId="56F55DD8" w14:textId="1E1786CC" w:rsidR="007308B1" w:rsidRPr="007308B1" w:rsidRDefault="007308B1" w:rsidP="00B70BCF">
      <w:pPr>
        <w:ind w:firstLine="0"/>
      </w:pPr>
      <w:r>
        <w:t>Si le rôle de l’</w:t>
      </w:r>
      <w:r>
        <w:t xml:space="preserve">enseignant </w:t>
      </w:r>
      <w:r>
        <w:t>promue par la logique du coaching est celui</w:t>
      </w:r>
      <w:r>
        <w:t xml:space="preserve"> </w:t>
      </w:r>
      <w:r>
        <w:t>d’</w:t>
      </w:r>
      <w:r>
        <w:t xml:space="preserve">un producteur d’ambiance pédagogique, de dispositifs d’auto-éducation de l’enfant, </w:t>
      </w:r>
      <w:r>
        <w:t>i</w:t>
      </w:r>
      <w:r>
        <w:t xml:space="preserve">l s’agira de décrire </w:t>
      </w:r>
      <w:r>
        <w:t xml:space="preserve">ces dispositifs </w:t>
      </w:r>
      <w:r>
        <w:t xml:space="preserve">dans la suite de ma thèse, tant du point de vue de son fonctionnement que du point de vue des effets attendus et finalement obtenus, ainsi que des raisons qui président à son éventuel échec ou à une efficacité amoindrie, et des manières d’attribuer la responsabilité de cet échec ou de cette efficacité amoindrie. Autrement dit, pour reprendre le titre général du séminaire, il s’agira d’identifier des manières de « gouverner le progrès scolaire et ses ‘dégâts’ ». </w:t>
      </w:r>
    </w:p>
    <w:p w14:paraId="3B2D6AEF" w14:textId="689FD683" w:rsidR="00B21487" w:rsidRDefault="00E06F88" w:rsidP="00B70BCF">
      <w:pPr>
        <w:ind w:firstLine="0"/>
        <w:rPr>
          <w:b/>
          <w:bCs/>
        </w:rPr>
      </w:pPr>
      <w:r>
        <w:rPr>
          <w:b/>
          <w:bCs/>
        </w:rPr>
        <w:t>Conclusion</w:t>
      </w:r>
    </w:p>
    <w:p w14:paraId="3F87CC64" w14:textId="77777777" w:rsidR="00897720" w:rsidRDefault="00897720" w:rsidP="00B70BCF">
      <w:pPr>
        <w:ind w:firstLine="0"/>
      </w:pPr>
      <w:r>
        <w:t>Pour conclure, nous voudrions revenir sur la notion d’</w:t>
      </w:r>
      <w:proofErr w:type="spellStart"/>
      <w:r>
        <w:rPr>
          <w:i/>
          <w:iCs/>
        </w:rPr>
        <w:t>empowerment</w:t>
      </w:r>
      <w:proofErr w:type="spellEnd"/>
      <w:r>
        <w:t xml:space="preserve"> et sur le statut à accorder à une telle notion lorsqu’on s’intéresse aux transformations de l’intervention sur autrui à partir du champ </w:t>
      </w:r>
      <w:proofErr w:type="spellStart"/>
      <w:r>
        <w:t>pré-scolaire</w:t>
      </w:r>
      <w:proofErr w:type="spellEnd"/>
      <w:r>
        <w:t>. Si la notion d’</w:t>
      </w:r>
      <w:proofErr w:type="spellStart"/>
      <w:r>
        <w:rPr>
          <w:i/>
          <w:iCs/>
        </w:rPr>
        <w:t>empowerment</w:t>
      </w:r>
      <w:proofErr w:type="spellEnd"/>
      <w:r>
        <w:t xml:space="preserve"> n’apparaît pas explicitement ni dans les instructions officielles, ni dans des ouvrages comme celui d’Alvarez, cela n’empêche pas de repérer des éléments se rattachant à la même trame discursive. On pourrait dire que l</w:t>
      </w:r>
      <w:r w:rsidRPr="00897720">
        <w:rPr>
          <w:i/>
          <w:iCs/>
        </w:rPr>
        <w:t>’</w:t>
      </w:r>
      <w:proofErr w:type="spellStart"/>
      <w:r w:rsidRPr="00897720">
        <w:rPr>
          <w:i/>
          <w:iCs/>
        </w:rPr>
        <w:t>empowerment</w:t>
      </w:r>
      <w:proofErr w:type="spellEnd"/>
      <w:r>
        <w:t xml:space="preserve">  est présent en demi-teinte dans l’ouvrage de Céline Alvarez, et qu’il apparaît en creux de la logique d’action promue par cet ouvrage : la logique du coaching. </w:t>
      </w:r>
    </w:p>
    <w:p w14:paraId="1C87910E" w14:textId="3373480C" w:rsidR="00B70BCF" w:rsidRPr="009533DD" w:rsidRDefault="00897720" w:rsidP="00645893">
      <w:pPr>
        <w:ind w:firstLine="0"/>
      </w:pPr>
      <w:r>
        <w:t xml:space="preserve">Cette logique du coaching, c’est une manière d’intervenir sur autrui qui correspond aux idées-valeurs et aux représentations collectives de nos sociétés de l’autonomie-comme-condition (Ehrenberg, 2018). Pour reprendre les enseignements de Durkheim, son efficacité sociale s’explique au moins autant, si pas plus, par le fait qu’elle soit </w:t>
      </w:r>
      <w:r w:rsidR="00263920">
        <w:t>cure</w:t>
      </w:r>
      <w:r>
        <w:t xml:space="preserve">, plutôt que par le fait qu’elle soit </w:t>
      </w:r>
      <w:r w:rsidR="00263920">
        <w:t>vraie</w:t>
      </w:r>
      <w:r>
        <w:t>.</w:t>
      </w:r>
    </w:p>
    <w:p w14:paraId="12DE13FC" w14:textId="77777777" w:rsidR="00645893" w:rsidRPr="00645893" w:rsidRDefault="00645893" w:rsidP="004B751C">
      <w:pPr>
        <w:ind w:firstLine="0"/>
        <w:rPr>
          <w:i/>
          <w:iCs/>
          <w:lang w:val="fr-FR"/>
        </w:rPr>
      </w:pPr>
    </w:p>
    <w:p w14:paraId="545EF9D9" w14:textId="77777777" w:rsidR="00645893" w:rsidRPr="00645893" w:rsidRDefault="00645893" w:rsidP="004B751C">
      <w:pPr>
        <w:ind w:firstLine="0"/>
      </w:pPr>
    </w:p>
    <w:sectPr w:rsidR="00645893" w:rsidRPr="00645893" w:rsidSect="004B751C">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04CC2" w14:textId="77777777" w:rsidR="00BB7FBA" w:rsidRDefault="00BB7FBA" w:rsidP="00A62DE4">
      <w:pPr>
        <w:spacing w:before="0" w:after="0" w:line="240" w:lineRule="auto"/>
      </w:pPr>
      <w:r>
        <w:separator/>
      </w:r>
    </w:p>
  </w:endnote>
  <w:endnote w:type="continuationSeparator" w:id="0">
    <w:p w14:paraId="1954C1AF" w14:textId="77777777" w:rsidR="00BB7FBA" w:rsidRDefault="00BB7FBA" w:rsidP="00A62DE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Baskerville">
    <w:panose1 w:val="02020502070401020303"/>
    <w:charset w:val="00"/>
    <w:family w:val="roman"/>
    <w:pitch w:val="variable"/>
    <w:sig w:usb0="80000067" w:usb1="02000000"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13576569"/>
      <w:docPartObj>
        <w:docPartGallery w:val="Page Numbers (Bottom of Page)"/>
        <w:docPartUnique/>
      </w:docPartObj>
    </w:sdtPr>
    <w:sdtContent>
      <w:p w14:paraId="21C089E3" w14:textId="49CE96C1" w:rsidR="00116582" w:rsidRDefault="00116582" w:rsidP="00A90B61">
        <w:pPr>
          <w:pStyle w:val="Pieddepage"/>
          <w:framePr w:wrap="none" w:vAnchor="text" w:hAnchor="margin" w:xAlign="outside"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8AAF689" w14:textId="77777777" w:rsidR="00116582" w:rsidRDefault="00116582" w:rsidP="00116582">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570881039"/>
      <w:docPartObj>
        <w:docPartGallery w:val="Page Numbers (Bottom of Page)"/>
        <w:docPartUnique/>
      </w:docPartObj>
    </w:sdtPr>
    <w:sdtContent>
      <w:p w14:paraId="20D0D2C6" w14:textId="465E1DBA" w:rsidR="00116582" w:rsidRDefault="00116582" w:rsidP="00A90B61">
        <w:pPr>
          <w:pStyle w:val="Pieddepage"/>
          <w:framePr w:wrap="none" w:vAnchor="text" w:hAnchor="margin" w:xAlign="outside"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6B7FCC63" w14:textId="77777777" w:rsidR="00116582" w:rsidRDefault="00116582" w:rsidP="00116582">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47253" w14:textId="77777777" w:rsidR="00BB7FBA" w:rsidRDefault="00BB7FBA" w:rsidP="00A62DE4">
      <w:pPr>
        <w:spacing w:before="0" w:after="0" w:line="240" w:lineRule="auto"/>
      </w:pPr>
      <w:r>
        <w:separator/>
      </w:r>
    </w:p>
  </w:footnote>
  <w:footnote w:type="continuationSeparator" w:id="0">
    <w:p w14:paraId="297DD653" w14:textId="77777777" w:rsidR="00BB7FBA" w:rsidRDefault="00BB7FBA" w:rsidP="00A62DE4">
      <w:pPr>
        <w:spacing w:before="0" w:after="0" w:line="240" w:lineRule="auto"/>
      </w:pPr>
      <w:r>
        <w:continuationSeparator/>
      </w:r>
    </w:p>
  </w:footnote>
  <w:footnote w:id="1">
    <w:p w14:paraId="35301501" w14:textId="47452D28" w:rsidR="00A62DE4" w:rsidRPr="00A62DE4" w:rsidRDefault="00A62DE4">
      <w:pPr>
        <w:pStyle w:val="Notedebasdepage"/>
      </w:pPr>
      <w:r>
        <w:rPr>
          <w:rStyle w:val="Appelnotedebasdep"/>
        </w:rPr>
        <w:footnoteRef/>
      </w:r>
      <w:r>
        <w:t xml:space="preserve"> </w:t>
      </w:r>
      <w:r>
        <w:t>Doctorant ERC-</w:t>
      </w:r>
      <w:proofErr w:type="spellStart"/>
      <w:r>
        <w:t>CoachingRituals</w:t>
      </w:r>
      <w:proofErr w:type="spellEnd"/>
      <w:r>
        <w:t xml:space="preserve"> (</w:t>
      </w:r>
      <w:proofErr w:type="spellStart"/>
      <w:r>
        <w:t>Education</w:t>
      </w:r>
      <w:proofErr w:type="spellEnd"/>
      <w:r>
        <w:t>)</w:t>
      </w:r>
      <w:r>
        <w:t xml:space="preserve">. </w:t>
      </w:r>
      <w:r w:rsidRPr="00A62DE4">
        <w:t>CASPER</w:t>
      </w:r>
      <w:r>
        <w:t>,</w:t>
      </w:r>
      <w:r w:rsidRPr="00A62DE4">
        <w:t xml:space="preserve"> UCL–Saint Louis Bruxelles</w:t>
      </w:r>
      <w:r>
        <w:t>. gaspard.wiseur@usaintlouis.be</w:t>
      </w:r>
    </w:p>
  </w:footnote>
  <w:footnote w:id="2">
    <w:p w14:paraId="4978518B" w14:textId="5633EAB4" w:rsidR="00A62DE4" w:rsidRPr="00A62DE4" w:rsidRDefault="00A62DE4">
      <w:pPr>
        <w:pStyle w:val="Notedebasdepage"/>
      </w:pPr>
      <w:r>
        <w:rPr>
          <w:rStyle w:val="Appelnotedebasdep"/>
        </w:rPr>
        <w:footnoteRef/>
      </w:r>
      <w:r>
        <w:t xml:space="preserve"> </w:t>
      </w:r>
      <w:r>
        <w:t>Professeur, PI ERC-</w:t>
      </w:r>
      <w:proofErr w:type="spellStart"/>
      <w:r>
        <w:t>CoachingRituals</w:t>
      </w:r>
      <w:proofErr w:type="spellEnd"/>
      <w:r>
        <w:t xml:space="preserve">. </w:t>
      </w:r>
      <w:r w:rsidRPr="00A62DE4">
        <w:t>CASPER</w:t>
      </w:r>
      <w:r>
        <w:t>,</w:t>
      </w:r>
      <w:r w:rsidRPr="00A62DE4">
        <w:t xml:space="preserve"> UCL–Saint Louis Bruxelles</w:t>
      </w:r>
      <w:r>
        <w:t>.</w:t>
      </w:r>
      <w:r w:rsidRPr="00A62DE4">
        <w:t xml:space="preserve"> </w:t>
      </w:r>
      <w:r>
        <w:t>nicolas.marquis@usaintlouis.be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2F7E94"/>
    <w:multiLevelType w:val="hybridMultilevel"/>
    <w:tmpl w:val="89B68DF0"/>
    <w:lvl w:ilvl="0" w:tplc="93CEE0CE">
      <w:start w:val="1"/>
      <w:numFmt w:val="bullet"/>
      <w:lvlText w:val="Ø"/>
      <w:lvlJc w:val="left"/>
      <w:pPr>
        <w:tabs>
          <w:tab w:val="num" w:pos="720"/>
        </w:tabs>
        <w:ind w:left="720" w:hanging="360"/>
      </w:pPr>
      <w:rPr>
        <w:rFonts w:ascii="Wingdings" w:hAnsi="Wingdings" w:hint="default"/>
      </w:rPr>
    </w:lvl>
    <w:lvl w:ilvl="1" w:tplc="DA326D3C" w:tentative="1">
      <w:start w:val="1"/>
      <w:numFmt w:val="bullet"/>
      <w:lvlText w:val="Ø"/>
      <w:lvlJc w:val="left"/>
      <w:pPr>
        <w:tabs>
          <w:tab w:val="num" w:pos="1440"/>
        </w:tabs>
        <w:ind w:left="1440" w:hanging="360"/>
      </w:pPr>
      <w:rPr>
        <w:rFonts w:ascii="Wingdings" w:hAnsi="Wingdings" w:hint="default"/>
      </w:rPr>
    </w:lvl>
    <w:lvl w:ilvl="2" w:tplc="32A668FE" w:tentative="1">
      <w:start w:val="1"/>
      <w:numFmt w:val="bullet"/>
      <w:lvlText w:val="Ø"/>
      <w:lvlJc w:val="left"/>
      <w:pPr>
        <w:tabs>
          <w:tab w:val="num" w:pos="2160"/>
        </w:tabs>
        <w:ind w:left="2160" w:hanging="360"/>
      </w:pPr>
      <w:rPr>
        <w:rFonts w:ascii="Wingdings" w:hAnsi="Wingdings" w:hint="default"/>
      </w:rPr>
    </w:lvl>
    <w:lvl w:ilvl="3" w:tplc="74EC221C" w:tentative="1">
      <w:start w:val="1"/>
      <w:numFmt w:val="bullet"/>
      <w:lvlText w:val="Ø"/>
      <w:lvlJc w:val="left"/>
      <w:pPr>
        <w:tabs>
          <w:tab w:val="num" w:pos="2880"/>
        </w:tabs>
        <w:ind w:left="2880" w:hanging="360"/>
      </w:pPr>
      <w:rPr>
        <w:rFonts w:ascii="Wingdings" w:hAnsi="Wingdings" w:hint="default"/>
      </w:rPr>
    </w:lvl>
    <w:lvl w:ilvl="4" w:tplc="ED0C800E" w:tentative="1">
      <w:start w:val="1"/>
      <w:numFmt w:val="bullet"/>
      <w:lvlText w:val="Ø"/>
      <w:lvlJc w:val="left"/>
      <w:pPr>
        <w:tabs>
          <w:tab w:val="num" w:pos="3600"/>
        </w:tabs>
        <w:ind w:left="3600" w:hanging="360"/>
      </w:pPr>
      <w:rPr>
        <w:rFonts w:ascii="Wingdings" w:hAnsi="Wingdings" w:hint="default"/>
      </w:rPr>
    </w:lvl>
    <w:lvl w:ilvl="5" w:tplc="1DDC07CC" w:tentative="1">
      <w:start w:val="1"/>
      <w:numFmt w:val="bullet"/>
      <w:lvlText w:val="Ø"/>
      <w:lvlJc w:val="left"/>
      <w:pPr>
        <w:tabs>
          <w:tab w:val="num" w:pos="4320"/>
        </w:tabs>
        <w:ind w:left="4320" w:hanging="360"/>
      </w:pPr>
      <w:rPr>
        <w:rFonts w:ascii="Wingdings" w:hAnsi="Wingdings" w:hint="default"/>
      </w:rPr>
    </w:lvl>
    <w:lvl w:ilvl="6" w:tplc="A1AE3240" w:tentative="1">
      <w:start w:val="1"/>
      <w:numFmt w:val="bullet"/>
      <w:lvlText w:val="Ø"/>
      <w:lvlJc w:val="left"/>
      <w:pPr>
        <w:tabs>
          <w:tab w:val="num" w:pos="5040"/>
        </w:tabs>
        <w:ind w:left="5040" w:hanging="360"/>
      </w:pPr>
      <w:rPr>
        <w:rFonts w:ascii="Wingdings" w:hAnsi="Wingdings" w:hint="default"/>
      </w:rPr>
    </w:lvl>
    <w:lvl w:ilvl="7" w:tplc="46F6C258" w:tentative="1">
      <w:start w:val="1"/>
      <w:numFmt w:val="bullet"/>
      <w:lvlText w:val="Ø"/>
      <w:lvlJc w:val="left"/>
      <w:pPr>
        <w:tabs>
          <w:tab w:val="num" w:pos="5760"/>
        </w:tabs>
        <w:ind w:left="5760" w:hanging="360"/>
      </w:pPr>
      <w:rPr>
        <w:rFonts w:ascii="Wingdings" w:hAnsi="Wingdings" w:hint="default"/>
      </w:rPr>
    </w:lvl>
    <w:lvl w:ilvl="8" w:tplc="1A769134" w:tentative="1">
      <w:start w:val="1"/>
      <w:numFmt w:val="bullet"/>
      <w:lvlText w:val="Ø"/>
      <w:lvlJc w:val="left"/>
      <w:pPr>
        <w:tabs>
          <w:tab w:val="num" w:pos="6480"/>
        </w:tabs>
        <w:ind w:left="6480" w:hanging="360"/>
      </w:pPr>
      <w:rPr>
        <w:rFonts w:ascii="Wingdings" w:hAnsi="Wingdings" w:hint="default"/>
      </w:rPr>
    </w:lvl>
  </w:abstractNum>
  <w:abstractNum w:abstractNumId="1" w15:restartNumberingAfterBreak="0">
    <w:nsid w:val="572207E9"/>
    <w:multiLevelType w:val="multilevel"/>
    <w:tmpl w:val="1FE6061E"/>
    <w:lvl w:ilvl="0">
      <w:start w:val="1"/>
      <w:numFmt w:val="decimal"/>
      <w:pStyle w:val="Titre1"/>
      <w:lvlText w:val="%1."/>
      <w:lvlJc w:val="left"/>
      <w:pPr>
        <w:ind w:left="360" w:hanging="360"/>
      </w:pPr>
    </w:lvl>
    <w:lvl w:ilvl="1">
      <w:start w:val="1"/>
      <w:numFmt w:val="decimal"/>
      <w:pStyle w:val="Titre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74B0F06"/>
    <w:multiLevelType w:val="hybridMultilevel"/>
    <w:tmpl w:val="1048FE74"/>
    <w:lvl w:ilvl="0" w:tplc="685E366A">
      <w:start w:val="1"/>
      <w:numFmt w:val="bullet"/>
      <w:lvlText w:val="Ø"/>
      <w:lvlJc w:val="left"/>
      <w:pPr>
        <w:tabs>
          <w:tab w:val="num" w:pos="720"/>
        </w:tabs>
        <w:ind w:left="720" w:hanging="360"/>
      </w:pPr>
      <w:rPr>
        <w:rFonts w:ascii="Wingdings" w:hAnsi="Wingdings" w:hint="default"/>
      </w:rPr>
    </w:lvl>
    <w:lvl w:ilvl="1" w:tplc="E654BB6A" w:tentative="1">
      <w:start w:val="1"/>
      <w:numFmt w:val="bullet"/>
      <w:lvlText w:val="Ø"/>
      <w:lvlJc w:val="left"/>
      <w:pPr>
        <w:tabs>
          <w:tab w:val="num" w:pos="1440"/>
        </w:tabs>
        <w:ind w:left="1440" w:hanging="360"/>
      </w:pPr>
      <w:rPr>
        <w:rFonts w:ascii="Wingdings" w:hAnsi="Wingdings" w:hint="default"/>
      </w:rPr>
    </w:lvl>
    <w:lvl w:ilvl="2" w:tplc="6234D400" w:tentative="1">
      <w:start w:val="1"/>
      <w:numFmt w:val="bullet"/>
      <w:lvlText w:val="Ø"/>
      <w:lvlJc w:val="left"/>
      <w:pPr>
        <w:tabs>
          <w:tab w:val="num" w:pos="2160"/>
        </w:tabs>
        <w:ind w:left="2160" w:hanging="360"/>
      </w:pPr>
      <w:rPr>
        <w:rFonts w:ascii="Wingdings" w:hAnsi="Wingdings" w:hint="default"/>
      </w:rPr>
    </w:lvl>
    <w:lvl w:ilvl="3" w:tplc="A878800E" w:tentative="1">
      <w:start w:val="1"/>
      <w:numFmt w:val="bullet"/>
      <w:lvlText w:val="Ø"/>
      <w:lvlJc w:val="left"/>
      <w:pPr>
        <w:tabs>
          <w:tab w:val="num" w:pos="2880"/>
        </w:tabs>
        <w:ind w:left="2880" w:hanging="360"/>
      </w:pPr>
      <w:rPr>
        <w:rFonts w:ascii="Wingdings" w:hAnsi="Wingdings" w:hint="default"/>
      </w:rPr>
    </w:lvl>
    <w:lvl w:ilvl="4" w:tplc="3A24FB46" w:tentative="1">
      <w:start w:val="1"/>
      <w:numFmt w:val="bullet"/>
      <w:lvlText w:val="Ø"/>
      <w:lvlJc w:val="left"/>
      <w:pPr>
        <w:tabs>
          <w:tab w:val="num" w:pos="3600"/>
        </w:tabs>
        <w:ind w:left="3600" w:hanging="360"/>
      </w:pPr>
      <w:rPr>
        <w:rFonts w:ascii="Wingdings" w:hAnsi="Wingdings" w:hint="default"/>
      </w:rPr>
    </w:lvl>
    <w:lvl w:ilvl="5" w:tplc="40E85298" w:tentative="1">
      <w:start w:val="1"/>
      <w:numFmt w:val="bullet"/>
      <w:lvlText w:val="Ø"/>
      <w:lvlJc w:val="left"/>
      <w:pPr>
        <w:tabs>
          <w:tab w:val="num" w:pos="4320"/>
        </w:tabs>
        <w:ind w:left="4320" w:hanging="360"/>
      </w:pPr>
      <w:rPr>
        <w:rFonts w:ascii="Wingdings" w:hAnsi="Wingdings" w:hint="default"/>
      </w:rPr>
    </w:lvl>
    <w:lvl w:ilvl="6" w:tplc="177E9562" w:tentative="1">
      <w:start w:val="1"/>
      <w:numFmt w:val="bullet"/>
      <w:lvlText w:val="Ø"/>
      <w:lvlJc w:val="left"/>
      <w:pPr>
        <w:tabs>
          <w:tab w:val="num" w:pos="5040"/>
        </w:tabs>
        <w:ind w:left="5040" w:hanging="360"/>
      </w:pPr>
      <w:rPr>
        <w:rFonts w:ascii="Wingdings" w:hAnsi="Wingdings" w:hint="default"/>
      </w:rPr>
    </w:lvl>
    <w:lvl w:ilvl="7" w:tplc="43E4F29E" w:tentative="1">
      <w:start w:val="1"/>
      <w:numFmt w:val="bullet"/>
      <w:lvlText w:val="Ø"/>
      <w:lvlJc w:val="left"/>
      <w:pPr>
        <w:tabs>
          <w:tab w:val="num" w:pos="5760"/>
        </w:tabs>
        <w:ind w:left="5760" w:hanging="360"/>
      </w:pPr>
      <w:rPr>
        <w:rFonts w:ascii="Wingdings" w:hAnsi="Wingdings" w:hint="default"/>
      </w:rPr>
    </w:lvl>
    <w:lvl w:ilvl="8" w:tplc="276E231A" w:tentative="1">
      <w:start w:val="1"/>
      <w:numFmt w:val="bullet"/>
      <w:lvlText w:val="Ø"/>
      <w:lvlJc w:val="left"/>
      <w:pPr>
        <w:tabs>
          <w:tab w:val="num" w:pos="6480"/>
        </w:tabs>
        <w:ind w:left="6480" w:hanging="360"/>
      </w:pPr>
      <w:rPr>
        <w:rFonts w:ascii="Wingdings" w:hAnsi="Wingdings" w:hint="default"/>
      </w:rPr>
    </w:lvl>
  </w:abstractNum>
  <w:abstractNum w:abstractNumId="3" w15:restartNumberingAfterBreak="0">
    <w:nsid w:val="75342C87"/>
    <w:multiLevelType w:val="hybridMultilevel"/>
    <w:tmpl w:val="EA22B2FA"/>
    <w:lvl w:ilvl="0" w:tplc="CEA05460">
      <w:start w:val="1"/>
      <w:numFmt w:val="bullet"/>
      <w:lvlText w:val="Ø"/>
      <w:lvlJc w:val="left"/>
      <w:pPr>
        <w:tabs>
          <w:tab w:val="num" w:pos="720"/>
        </w:tabs>
        <w:ind w:left="720" w:hanging="360"/>
      </w:pPr>
      <w:rPr>
        <w:rFonts w:ascii="Wingdings" w:hAnsi="Wingdings" w:hint="default"/>
      </w:rPr>
    </w:lvl>
    <w:lvl w:ilvl="1" w:tplc="4F328BDA" w:tentative="1">
      <w:start w:val="1"/>
      <w:numFmt w:val="bullet"/>
      <w:lvlText w:val="Ø"/>
      <w:lvlJc w:val="left"/>
      <w:pPr>
        <w:tabs>
          <w:tab w:val="num" w:pos="1440"/>
        </w:tabs>
        <w:ind w:left="1440" w:hanging="360"/>
      </w:pPr>
      <w:rPr>
        <w:rFonts w:ascii="Wingdings" w:hAnsi="Wingdings" w:hint="default"/>
      </w:rPr>
    </w:lvl>
    <w:lvl w:ilvl="2" w:tplc="C73CE564" w:tentative="1">
      <w:start w:val="1"/>
      <w:numFmt w:val="bullet"/>
      <w:lvlText w:val="Ø"/>
      <w:lvlJc w:val="left"/>
      <w:pPr>
        <w:tabs>
          <w:tab w:val="num" w:pos="2160"/>
        </w:tabs>
        <w:ind w:left="2160" w:hanging="360"/>
      </w:pPr>
      <w:rPr>
        <w:rFonts w:ascii="Wingdings" w:hAnsi="Wingdings" w:hint="default"/>
      </w:rPr>
    </w:lvl>
    <w:lvl w:ilvl="3" w:tplc="DDA0D1F0" w:tentative="1">
      <w:start w:val="1"/>
      <w:numFmt w:val="bullet"/>
      <w:lvlText w:val="Ø"/>
      <w:lvlJc w:val="left"/>
      <w:pPr>
        <w:tabs>
          <w:tab w:val="num" w:pos="2880"/>
        </w:tabs>
        <w:ind w:left="2880" w:hanging="360"/>
      </w:pPr>
      <w:rPr>
        <w:rFonts w:ascii="Wingdings" w:hAnsi="Wingdings" w:hint="default"/>
      </w:rPr>
    </w:lvl>
    <w:lvl w:ilvl="4" w:tplc="6CBC048E" w:tentative="1">
      <w:start w:val="1"/>
      <w:numFmt w:val="bullet"/>
      <w:lvlText w:val="Ø"/>
      <w:lvlJc w:val="left"/>
      <w:pPr>
        <w:tabs>
          <w:tab w:val="num" w:pos="3600"/>
        </w:tabs>
        <w:ind w:left="3600" w:hanging="360"/>
      </w:pPr>
      <w:rPr>
        <w:rFonts w:ascii="Wingdings" w:hAnsi="Wingdings" w:hint="default"/>
      </w:rPr>
    </w:lvl>
    <w:lvl w:ilvl="5" w:tplc="227EAD56" w:tentative="1">
      <w:start w:val="1"/>
      <w:numFmt w:val="bullet"/>
      <w:lvlText w:val="Ø"/>
      <w:lvlJc w:val="left"/>
      <w:pPr>
        <w:tabs>
          <w:tab w:val="num" w:pos="4320"/>
        </w:tabs>
        <w:ind w:left="4320" w:hanging="360"/>
      </w:pPr>
      <w:rPr>
        <w:rFonts w:ascii="Wingdings" w:hAnsi="Wingdings" w:hint="default"/>
      </w:rPr>
    </w:lvl>
    <w:lvl w:ilvl="6" w:tplc="641273CC" w:tentative="1">
      <w:start w:val="1"/>
      <w:numFmt w:val="bullet"/>
      <w:lvlText w:val="Ø"/>
      <w:lvlJc w:val="left"/>
      <w:pPr>
        <w:tabs>
          <w:tab w:val="num" w:pos="5040"/>
        </w:tabs>
        <w:ind w:left="5040" w:hanging="360"/>
      </w:pPr>
      <w:rPr>
        <w:rFonts w:ascii="Wingdings" w:hAnsi="Wingdings" w:hint="default"/>
      </w:rPr>
    </w:lvl>
    <w:lvl w:ilvl="7" w:tplc="D6CCF766" w:tentative="1">
      <w:start w:val="1"/>
      <w:numFmt w:val="bullet"/>
      <w:lvlText w:val="Ø"/>
      <w:lvlJc w:val="left"/>
      <w:pPr>
        <w:tabs>
          <w:tab w:val="num" w:pos="5760"/>
        </w:tabs>
        <w:ind w:left="5760" w:hanging="360"/>
      </w:pPr>
      <w:rPr>
        <w:rFonts w:ascii="Wingdings" w:hAnsi="Wingdings" w:hint="default"/>
      </w:rPr>
    </w:lvl>
    <w:lvl w:ilvl="8" w:tplc="A54A7636" w:tentative="1">
      <w:start w:val="1"/>
      <w:numFmt w:val="bullet"/>
      <w:lvlText w:val="Ø"/>
      <w:lvlJc w:val="left"/>
      <w:pPr>
        <w:tabs>
          <w:tab w:val="num" w:pos="6480"/>
        </w:tabs>
        <w:ind w:left="6480" w:hanging="360"/>
      </w:pPr>
      <w:rPr>
        <w:rFonts w:ascii="Wingdings" w:hAnsi="Wingdings" w:hint="default"/>
      </w:rPr>
    </w:lvl>
  </w:abstractNum>
  <w:num w:numId="1">
    <w:abstractNumId w:val="1"/>
  </w:num>
  <w:num w:numId="2">
    <w:abstractNumId w:val="1"/>
  </w:num>
  <w:num w:numId="3">
    <w:abstractNumId w:val="1"/>
  </w:num>
  <w:num w:numId="4">
    <w:abstractNumId w:val="1"/>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A15"/>
    <w:rsid w:val="000C4411"/>
    <w:rsid w:val="00116582"/>
    <w:rsid w:val="00212593"/>
    <w:rsid w:val="00240136"/>
    <w:rsid w:val="00263920"/>
    <w:rsid w:val="002B47DF"/>
    <w:rsid w:val="002C435A"/>
    <w:rsid w:val="00336E6D"/>
    <w:rsid w:val="003721EA"/>
    <w:rsid w:val="00385E7E"/>
    <w:rsid w:val="003933E1"/>
    <w:rsid w:val="003B7D97"/>
    <w:rsid w:val="003C6CD8"/>
    <w:rsid w:val="00421E29"/>
    <w:rsid w:val="004B751C"/>
    <w:rsid w:val="00645893"/>
    <w:rsid w:val="0068031F"/>
    <w:rsid w:val="00681F4B"/>
    <w:rsid w:val="00687CA6"/>
    <w:rsid w:val="007308B1"/>
    <w:rsid w:val="00731F0A"/>
    <w:rsid w:val="00735147"/>
    <w:rsid w:val="00856141"/>
    <w:rsid w:val="00864A15"/>
    <w:rsid w:val="00881CED"/>
    <w:rsid w:val="00897720"/>
    <w:rsid w:val="008E6F05"/>
    <w:rsid w:val="009327EA"/>
    <w:rsid w:val="009533DD"/>
    <w:rsid w:val="00A0127A"/>
    <w:rsid w:val="00A62DE4"/>
    <w:rsid w:val="00A701CE"/>
    <w:rsid w:val="00B21487"/>
    <w:rsid w:val="00B70BCF"/>
    <w:rsid w:val="00BB7FBA"/>
    <w:rsid w:val="00BD6E4F"/>
    <w:rsid w:val="00BF18AE"/>
    <w:rsid w:val="00CB69D4"/>
    <w:rsid w:val="00E06F88"/>
    <w:rsid w:val="00E436E0"/>
    <w:rsid w:val="00EF5C5B"/>
    <w:rsid w:val="00F231BF"/>
    <w:rsid w:val="00F75689"/>
    <w:rsid w:val="00FE520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492C1C18"/>
  <w15:chartTrackingRefBased/>
  <w15:docId w15:val="{4F09520C-7876-B34B-A2CA-26849B19F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689"/>
    <w:pPr>
      <w:spacing w:before="120" w:after="120" w:line="360" w:lineRule="auto"/>
      <w:ind w:firstLine="709"/>
      <w:jc w:val="both"/>
    </w:pPr>
    <w:rPr>
      <w:rFonts w:ascii="Times" w:hAnsi="Times"/>
    </w:rPr>
  </w:style>
  <w:style w:type="paragraph" w:styleId="Titre1">
    <w:name w:val="heading 1"/>
    <w:basedOn w:val="Normal"/>
    <w:next w:val="Normal"/>
    <w:link w:val="Titre1Car"/>
    <w:autoRedefine/>
    <w:uiPriority w:val="9"/>
    <w:qFormat/>
    <w:rsid w:val="00731F0A"/>
    <w:pPr>
      <w:keepNext/>
      <w:keepLines/>
      <w:numPr>
        <w:numId w:val="4"/>
      </w:numPr>
      <w:spacing w:before="240" w:after="0"/>
      <w:outlineLvl w:val="0"/>
    </w:pPr>
    <w:rPr>
      <w:rFonts w:eastAsiaTheme="majorEastAsia" w:cstheme="majorBidi"/>
      <w:color w:val="000000" w:themeColor="text1"/>
      <w:lang w:val="nl-NL"/>
    </w:rPr>
  </w:style>
  <w:style w:type="paragraph" w:styleId="Titre2">
    <w:name w:val="heading 2"/>
    <w:basedOn w:val="Titre1"/>
    <w:next w:val="Normal"/>
    <w:link w:val="Titre2Car"/>
    <w:uiPriority w:val="9"/>
    <w:unhideWhenUsed/>
    <w:qFormat/>
    <w:rsid w:val="00731F0A"/>
    <w:pPr>
      <w:numPr>
        <w:ilvl w:val="1"/>
        <w:numId w:val="3"/>
      </w:numPr>
      <w:outlineLvl w:val="1"/>
    </w:p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721EA"/>
    <w:rPr>
      <w:rFonts w:ascii="Times" w:eastAsiaTheme="majorEastAsia" w:hAnsi="Times" w:cstheme="majorBidi"/>
      <w:color w:val="000000" w:themeColor="text1"/>
      <w:lang w:val="nl-NL"/>
    </w:rPr>
  </w:style>
  <w:style w:type="character" w:customStyle="1" w:styleId="Titre2Car">
    <w:name w:val="Titre 2 Car"/>
    <w:basedOn w:val="Policepardfaut"/>
    <w:link w:val="Titre2"/>
    <w:uiPriority w:val="9"/>
    <w:rsid w:val="00731F0A"/>
    <w:rPr>
      <w:rFonts w:ascii="Times" w:eastAsiaTheme="majorEastAsia" w:hAnsi="Times" w:cstheme="majorBidi"/>
      <w:color w:val="000000" w:themeColor="text1"/>
      <w:lang w:val="nl-NL"/>
    </w:rPr>
  </w:style>
  <w:style w:type="paragraph" w:styleId="Notedebasdepage">
    <w:name w:val="footnote text"/>
    <w:basedOn w:val="Normal"/>
    <w:link w:val="NotedebasdepageCar"/>
    <w:uiPriority w:val="99"/>
    <w:semiHidden/>
    <w:unhideWhenUsed/>
    <w:rsid w:val="00A62DE4"/>
    <w:pPr>
      <w:spacing w:before="0" w:after="0" w:line="240" w:lineRule="auto"/>
    </w:pPr>
    <w:rPr>
      <w:sz w:val="20"/>
      <w:szCs w:val="20"/>
    </w:rPr>
  </w:style>
  <w:style w:type="character" w:customStyle="1" w:styleId="NotedebasdepageCar">
    <w:name w:val="Note de bas de page Car"/>
    <w:basedOn w:val="Policepardfaut"/>
    <w:link w:val="Notedebasdepage"/>
    <w:uiPriority w:val="99"/>
    <w:semiHidden/>
    <w:rsid w:val="00A62DE4"/>
    <w:rPr>
      <w:rFonts w:ascii="Times" w:hAnsi="Times"/>
      <w:sz w:val="20"/>
      <w:szCs w:val="20"/>
    </w:rPr>
  </w:style>
  <w:style w:type="character" w:styleId="Appelnotedebasdep">
    <w:name w:val="footnote reference"/>
    <w:basedOn w:val="Policepardfaut"/>
    <w:uiPriority w:val="99"/>
    <w:semiHidden/>
    <w:unhideWhenUsed/>
    <w:rsid w:val="00A62DE4"/>
    <w:rPr>
      <w:vertAlign w:val="superscript"/>
    </w:rPr>
  </w:style>
  <w:style w:type="paragraph" w:customStyle="1" w:styleId="citation">
    <w:name w:val="citation"/>
    <w:basedOn w:val="Normal"/>
    <w:qFormat/>
    <w:rsid w:val="004B751C"/>
    <w:pPr>
      <w:ind w:left="1418" w:firstLine="0"/>
    </w:pPr>
    <w:rPr>
      <w:i/>
      <w:iCs/>
    </w:rPr>
  </w:style>
  <w:style w:type="paragraph" w:styleId="Paragraphedeliste">
    <w:name w:val="List Paragraph"/>
    <w:basedOn w:val="Normal"/>
    <w:uiPriority w:val="34"/>
    <w:qFormat/>
    <w:rsid w:val="00881CED"/>
    <w:pPr>
      <w:spacing w:before="0" w:after="0" w:line="240" w:lineRule="auto"/>
      <w:ind w:left="720" w:firstLine="0"/>
      <w:contextualSpacing/>
      <w:jc w:val="left"/>
    </w:pPr>
    <w:rPr>
      <w:rFonts w:ascii="Times New Roman" w:eastAsia="Times New Roman" w:hAnsi="Times New Roman" w:cs="Times New Roman"/>
      <w:lang w:eastAsia="fr-FR"/>
    </w:rPr>
  </w:style>
  <w:style w:type="character" w:styleId="Lienhypertexte">
    <w:name w:val="Hyperlink"/>
    <w:basedOn w:val="Policepardfaut"/>
    <w:uiPriority w:val="99"/>
    <w:unhideWhenUsed/>
    <w:rsid w:val="00336E6D"/>
    <w:rPr>
      <w:color w:val="0563C1" w:themeColor="hyperlink"/>
      <w:u w:val="single"/>
    </w:rPr>
  </w:style>
  <w:style w:type="character" w:styleId="Mentionnonrsolue">
    <w:name w:val="Unresolved Mention"/>
    <w:basedOn w:val="Policepardfaut"/>
    <w:uiPriority w:val="99"/>
    <w:semiHidden/>
    <w:unhideWhenUsed/>
    <w:rsid w:val="00336E6D"/>
    <w:rPr>
      <w:color w:val="605E5C"/>
      <w:shd w:val="clear" w:color="auto" w:fill="E1DFDD"/>
    </w:rPr>
  </w:style>
  <w:style w:type="paragraph" w:styleId="Pieddepage">
    <w:name w:val="footer"/>
    <w:basedOn w:val="Normal"/>
    <w:link w:val="PieddepageCar"/>
    <w:uiPriority w:val="99"/>
    <w:unhideWhenUsed/>
    <w:rsid w:val="00116582"/>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116582"/>
    <w:rPr>
      <w:rFonts w:ascii="Times" w:hAnsi="Times"/>
    </w:rPr>
  </w:style>
  <w:style w:type="character" w:styleId="Numrodepage">
    <w:name w:val="page number"/>
    <w:basedOn w:val="Policepardfaut"/>
    <w:uiPriority w:val="99"/>
    <w:semiHidden/>
    <w:unhideWhenUsed/>
    <w:rsid w:val="001165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732887">
      <w:bodyDiv w:val="1"/>
      <w:marLeft w:val="0"/>
      <w:marRight w:val="0"/>
      <w:marTop w:val="0"/>
      <w:marBottom w:val="0"/>
      <w:divBdr>
        <w:top w:val="none" w:sz="0" w:space="0" w:color="auto"/>
        <w:left w:val="none" w:sz="0" w:space="0" w:color="auto"/>
        <w:bottom w:val="none" w:sz="0" w:space="0" w:color="auto"/>
        <w:right w:val="none" w:sz="0" w:space="0" w:color="auto"/>
      </w:divBdr>
    </w:div>
    <w:div w:id="439908855">
      <w:bodyDiv w:val="1"/>
      <w:marLeft w:val="0"/>
      <w:marRight w:val="0"/>
      <w:marTop w:val="0"/>
      <w:marBottom w:val="0"/>
      <w:divBdr>
        <w:top w:val="none" w:sz="0" w:space="0" w:color="auto"/>
        <w:left w:val="none" w:sz="0" w:space="0" w:color="auto"/>
        <w:bottom w:val="none" w:sz="0" w:space="0" w:color="auto"/>
        <w:right w:val="none" w:sz="0" w:space="0" w:color="auto"/>
      </w:divBdr>
    </w:div>
    <w:div w:id="726076868">
      <w:bodyDiv w:val="1"/>
      <w:marLeft w:val="0"/>
      <w:marRight w:val="0"/>
      <w:marTop w:val="0"/>
      <w:marBottom w:val="0"/>
      <w:divBdr>
        <w:top w:val="none" w:sz="0" w:space="0" w:color="auto"/>
        <w:left w:val="none" w:sz="0" w:space="0" w:color="auto"/>
        <w:bottom w:val="none" w:sz="0" w:space="0" w:color="auto"/>
        <w:right w:val="none" w:sz="0" w:space="0" w:color="auto"/>
      </w:divBdr>
      <w:divsChild>
        <w:div w:id="629242122">
          <w:marLeft w:val="360"/>
          <w:marRight w:val="0"/>
          <w:marTop w:val="200"/>
          <w:marBottom w:val="0"/>
          <w:divBdr>
            <w:top w:val="none" w:sz="0" w:space="0" w:color="auto"/>
            <w:left w:val="none" w:sz="0" w:space="0" w:color="auto"/>
            <w:bottom w:val="none" w:sz="0" w:space="0" w:color="auto"/>
            <w:right w:val="none" w:sz="0" w:space="0" w:color="auto"/>
          </w:divBdr>
        </w:div>
      </w:divsChild>
    </w:div>
    <w:div w:id="830677067">
      <w:bodyDiv w:val="1"/>
      <w:marLeft w:val="0"/>
      <w:marRight w:val="0"/>
      <w:marTop w:val="0"/>
      <w:marBottom w:val="0"/>
      <w:divBdr>
        <w:top w:val="none" w:sz="0" w:space="0" w:color="auto"/>
        <w:left w:val="none" w:sz="0" w:space="0" w:color="auto"/>
        <w:bottom w:val="none" w:sz="0" w:space="0" w:color="auto"/>
        <w:right w:val="none" w:sz="0" w:space="0" w:color="auto"/>
      </w:divBdr>
    </w:div>
    <w:div w:id="977875726">
      <w:bodyDiv w:val="1"/>
      <w:marLeft w:val="0"/>
      <w:marRight w:val="0"/>
      <w:marTop w:val="0"/>
      <w:marBottom w:val="0"/>
      <w:divBdr>
        <w:top w:val="none" w:sz="0" w:space="0" w:color="auto"/>
        <w:left w:val="none" w:sz="0" w:space="0" w:color="auto"/>
        <w:bottom w:val="none" w:sz="0" w:space="0" w:color="auto"/>
        <w:right w:val="none" w:sz="0" w:space="0" w:color="auto"/>
      </w:divBdr>
    </w:div>
    <w:div w:id="1231230293">
      <w:bodyDiv w:val="1"/>
      <w:marLeft w:val="0"/>
      <w:marRight w:val="0"/>
      <w:marTop w:val="0"/>
      <w:marBottom w:val="0"/>
      <w:divBdr>
        <w:top w:val="none" w:sz="0" w:space="0" w:color="auto"/>
        <w:left w:val="none" w:sz="0" w:space="0" w:color="auto"/>
        <w:bottom w:val="none" w:sz="0" w:space="0" w:color="auto"/>
        <w:right w:val="none" w:sz="0" w:space="0" w:color="auto"/>
      </w:divBdr>
    </w:div>
    <w:div w:id="1561205726">
      <w:bodyDiv w:val="1"/>
      <w:marLeft w:val="0"/>
      <w:marRight w:val="0"/>
      <w:marTop w:val="0"/>
      <w:marBottom w:val="0"/>
      <w:divBdr>
        <w:top w:val="none" w:sz="0" w:space="0" w:color="auto"/>
        <w:left w:val="none" w:sz="0" w:space="0" w:color="auto"/>
        <w:bottom w:val="none" w:sz="0" w:space="0" w:color="auto"/>
        <w:right w:val="none" w:sz="0" w:space="0" w:color="auto"/>
      </w:divBdr>
      <w:divsChild>
        <w:div w:id="1342319318">
          <w:marLeft w:val="360"/>
          <w:marRight w:val="0"/>
          <w:marTop w:val="200"/>
          <w:marBottom w:val="0"/>
          <w:divBdr>
            <w:top w:val="none" w:sz="0" w:space="0" w:color="auto"/>
            <w:left w:val="none" w:sz="0" w:space="0" w:color="auto"/>
            <w:bottom w:val="none" w:sz="0" w:space="0" w:color="auto"/>
            <w:right w:val="none" w:sz="0" w:space="0" w:color="auto"/>
          </w:divBdr>
        </w:div>
      </w:divsChild>
    </w:div>
    <w:div w:id="1769278248">
      <w:bodyDiv w:val="1"/>
      <w:marLeft w:val="0"/>
      <w:marRight w:val="0"/>
      <w:marTop w:val="0"/>
      <w:marBottom w:val="0"/>
      <w:divBdr>
        <w:top w:val="none" w:sz="0" w:space="0" w:color="auto"/>
        <w:left w:val="none" w:sz="0" w:space="0" w:color="auto"/>
        <w:bottom w:val="none" w:sz="0" w:space="0" w:color="auto"/>
        <w:right w:val="none" w:sz="0" w:space="0" w:color="auto"/>
      </w:divBdr>
      <w:divsChild>
        <w:div w:id="985625067">
          <w:marLeft w:val="360"/>
          <w:marRight w:val="0"/>
          <w:marTop w:val="200"/>
          <w:marBottom w:val="0"/>
          <w:divBdr>
            <w:top w:val="none" w:sz="0" w:space="0" w:color="auto"/>
            <w:left w:val="none" w:sz="0" w:space="0" w:color="auto"/>
            <w:bottom w:val="none" w:sz="0" w:space="0" w:color="auto"/>
            <w:right w:val="none" w:sz="0" w:space="0" w:color="auto"/>
          </w:divBdr>
        </w:div>
      </w:divsChild>
    </w:div>
    <w:div w:id="2143227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celinealvarez.org/notre-demarche"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ABB8D-787B-F147-8B1E-2675C3C79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16</Pages>
  <Words>6390</Words>
  <Characters>35149</Characters>
  <Application>Microsoft Office Word</Application>
  <DocSecurity>0</DocSecurity>
  <Lines>292</Lines>
  <Paragraphs>82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Gaspard Wiseur</dc:creator>
  <cp:keywords/>
  <dc:description/>
  <cp:lastModifiedBy>Gaspard Wiseur</cp:lastModifiedBy>
  <cp:revision>8</cp:revision>
  <cp:lastPrinted>2022-03-08T11:40:00Z</cp:lastPrinted>
  <dcterms:created xsi:type="dcterms:W3CDTF">2022-03-08T07:33:00Z</dcterms:created>
  <dcterms:modified xsi:type="dcterms:W3CDTF">2022-03-08T12:32:00Z</dcterms:modified>
</cp:coreProperties>
</file>