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259853" w14:textId="77777777" w:rsidR="00B66CFE" w:rsidRPr="00C01B45" w:rsidRDefault="002D0A66" w:rsidP="0063157C">
      <w:pPr>
        <w:spacing w:line="360" w:lineRule="auto"/>
        <w:jc w:val="center"/>
        <w:rPr>
          <w:rFonts w:ascii="Times New Roman" w:hAnsi="Times New Roman" w:cs="Times New Roman"/>
          <w:b/>
          <w:bCs/>
          <w:sz w:val="24"/>
          <w:szCs w:val="24"/>
          <w:lang w:val="fr-FR"/>
        </w:rPr>
      </w:pPr>
      <w:r w:rsidRPr="00C01B45">
        <w:rPr>
          <w:rFonts w:ascii="Times New Roman" w:hAnsi="Times New Roman" w:cs="Times New Roman"/>
          <w:b/>
          <w:bCs/>
          <w:sz w:val="24"/>
          <w:szCs w:val="24"/>
          <w:lang w:val="fr-FR"/>
        </w:rPr>
        <w:t>R.G. Collingwood</w:t>
      </w:r>
      <w:r w:rsidR="00575A97" w:rsidRPr="00C01B45">
        <w:rPr>
          <w:rFonts w:ascii="Times New Roman" w:hAnsi="Times New Roman" w:cs="Times New Roman"/>
          <w:b/>
          <w:bCs/>
          <w:sz w:val="24"/>
          <w:szCs w:val="24"/>
          <w:lang w:val="fr-FR"/>
        </w:rPr>
        <w:t xml:space="preserve"> (1889-1943)</w:t>
      </w:r>
      <w:r w:rsidRPr="00C01B45">
        <w:rPr>
          <w:rFonts w:ascii="Times New Roman" w:hAnsi="Times New Roman" w:cs="Times New Roman"/>
          <w:b/>
          <w:bCs/>
          <w:sz w:val="24"/>
          <w:szCs w:val="24"/>
          <w:lang w:val="fr-FR"/>
        </w:rPr>
        <w:t xml:space="preserve"> en France : </w:t>
      </w:r>
    </w:p>
    <w:p w14:paraId="11D3461C" w14:textId="69E22DB9" w:rsidR="001173FC" w:rsidRPr="00C01B45" w:rsidRDefault="002D0A66" w:rsidP="0063157C">
      <w:pPr>
        <w:spacing w:line="360" w:lineRule="auto"/>
        <w:jc w:val="center"/>
        <w:rPr>
          <w:rFonts w:ascii="Times New Roman" w:hAnsi="Times New Roman" w:cs="Times New Roman"/>
          <w:sz w:val="24"/>
          <w:szCs w:val="24"/>
          <w:lang w:val="fr-FR"/>
        </w:rPr>
      </w:pPr>
      <w:r w:rsidRPr="00C01B45">
        <w:rPr>
          <w:rFonts w:ascii="Times New Roman" w:hAnsi="Times New Roman" w:cs="Times New Roman"/>
          <w:sz w:val="24"/>
          <w:szCs w:val="24"/>
          <w:lang w:val="fr-FR"/>
        </w:rPr>
        <w:t>« Un esprit curieux, un peu bizarre</w:t>
      </w:r>
      <w:r w:rsidR="00C01B45" w:rsidRPr="00C01B45">
        <w:rPr>
          <w:rFonts w:ascii="Times New Roman" w:hAnsi="Times New Roman" w:cs="Times New Roman"/>
          <w:sz w:val="24"/>
          <w:szCs w:val="24"/>
          <w:lang w:val="fr-FR"/>
        </w:rPr>
        <w:t xml:space="preserve"> » *</w:t>
      </w:r>
    </w:p>
    <w:p w14:paraId="5308C7B2" w14:textId="77777777" w:rsidR="00C01B45" w:rsidRDefault="00C01B45" w:rsidP="0063157C">
      <w:pPr>
        <w:spacing w:line="360" w:lineRule="auto"/>
        <w:jc w:val="center"/>
        <w:rPr>
          <w:rFonts w:ascii="Times New Roman" w:hAnsi="Times New Roman" w:cs="Times New Roman"/>
          <w:sz w:val="24"/>
          <w:szCs w:val="24"/>
          <w:lang w:val="fr-FR"/>
        </w:rPr>
      </w:pPr>
    </w:p>
    <w:p w14:paraId="471800B3" w14:textId="7094330C" w:rsidR="00C01B45" w:rsidRPr="003E047D" w:rsidRDefault="00000000" w:rsidP="0063157C">
      <w:pPr>
        <w:spacing w:line="36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pict w14:anchorId="665CFF0D">
          <v:rect id="_x0000_i1025" style="width:227.25pt;height:.1pt" o:hrpct="501" o:hralign="center" o:hrstd="t" o:hr="t" fillcolor="#a0a0a0" stroked="f"/>
        </w:pict>
      </w:r>
    </w:p>
    <w:p w14:paraId="2FC87BBD" w14:textId="77777777" w:rsidR="0063157C" w:rsidRDefault="0063157C" w:rsidP="0063157C">
      <w:pPr>
        <w:spacing w:line="360" w:lineRule="auto"/>
        <w:jc w:val="center"/>
        <w:rPr>
          <w:rFonts w:ascii="Times New Roman" w:hAnsi="Times New Roman" w:cs="Times New Roman"/>
          <w:sz w:val="24"/>
          <w:szCs w:val="24"/>
          <w:lang w:val="fr-FR"/>
        </w:rPr>
      </w:pPr>
    </w:p>
    <w:p w14:paraId="60E55D4F" w14:textId="77777777" w:rsidR="002D0A66" w:rsidRDefault="002D0A66" w:rsidP="0063157C">
      <w:pPr>
        <w:spacing w:line="360" w:lineRule="auto"/>
        <w:jc w:val="both"/>
        <w:rPr>
          <w:rFonts w:ascii="Times New Roman" w:hAnsi="Times New Roman" w:cs="Times New Roman"/>
          <w:sz w:val="24"/>
          <w:szCs w:val="24"/>
          <w:lang w:val="fr-FR"/>
        </w:rPr>
      </w:pPr>
    </w:p>
    <w:p w14:paraId="0C33FC04" w14:textId="02A60496" w:rsidR="004D69D5" w:rsidRPr="00C01B45" w:rsidRDefault="004D69D5" w:rsidP="00B66CFE">
      <w:pPr>
        <w:spacing w:line="360" w:lineRule="auto"/>
        <w:jc w:val="both"/>
        <w:rPr>
          <w:rFonts w:ascii="Times New Roman" w:hAnsi="Times New Roman" w:cs="Times New Roman"/>
          <w:smallCaps/>
          <w:sz w:val="24"/>
          <w:szCs w:val="24"/>
          <w:lang w:val="fr-FR"/>
        </w:rPr>
      </w:pPr>
      <w:r w:rsidRPr="00C01B45">
        <w:rPr>
          <w:rFonts w:ascii="Times New Roman" w:hAnsi="Times New Roman" w:cs="Times New Roman"/>
          <w:smallCaps/>
          <w:sz w:val="24"/>
          <w:szCs w:val="24"/>
          <w:lang w:val="fr-FR"/>
        </w:rPr>
        <w:t>I</w:t>
      </w:r>
      <w:r w:rsidR="00B66CFE" w:rsidRPr="00C01B45">
        <w:rPr>
          <w:rFonts w:ascii="Times New Roman" w:hAnsi="Times New Roman" w:cs="Times New Roman"/>
          <w:smallCaps/>
          <w:sz w:val="24"/>
          <w:szCs w:val="24"/>
          <w:lang w:val="fr-FR"/>
        </w:rPr>
        <w:t>ntroduction</w:t>
      </w:r>
    </w:p>
    <w:p w14:paraId="198A6B8A" w14:textId="77777777" w:rsidR="00D95563" w:rsidRPr="004D69D5" w:rsidRDefault="00D95563" w:rsidP="0063157C">
      <w:pPr>
        <w:spacing w:line="360" w:lineRule="auto"/>
        <w:jc w:val="both"/>
        <w:rPr>
          <w:rFonts w:ascii="Times New Roman" w:hAnsi="Times New Roman" w:cs="Times New Roman"/>
          <w:b/>
          <w:bCs/>
          <w:sz w:val="24"/>
          <w:szCs w:val="24"/>
          <w:lang w:val="fr-FR"/>
        </w:rPr>
      </w:pPr>
    </w:p>
    <w:p w14:paraId="02CC16A6" w14:textId="237B4B53" w:rsidR="00E30C67" w:rsidRPr="00D244E8" w:rsidRDefault="002D0A66" w:rsidP="0063157C">
      <w:pPr>
        <w:spacing w:line="360" w:lineRule="auto"/>
        <w:jc w:val="both"/>
        <w:rPr>
          <w:rFonts w:ascii="Times New Roman" w:hAnsi="Times New Roman" w:cs="Times New Roman"/>
          <w:sz w:val="24"/>
          <w:szCs w:val="24"/>
        </w:rPr>
      </w:pPr>
      <w:r w:rsidRPr="003E047D">
        <w:rPr>
          <w:rFonts w:ascii="Times New Roman" w:hAnsi="Times New Roman" w:cs="Times New Roman"/>
          <w:sz w:val="24"/>
          <w:szCs w:val="24"/>
          <w:lang w:val="fr-FR"/>
        </w:rPr>
        <w:tab/>
        <w:t>La réception de la philosophie de R</w:t>
      </w:r>
      <w:r w:rsidR="0063157C">
        <w:rPr>
          <w:rFonts w:ascii="Times New Roman" w:hAnsi="Times New Roman" w:cs="Times New Roman"/>
          <w:sz w:val="24"/>
          <w:szCs w:val="24"/>
          <w:lang w:val="fr-FR"/>
        </w:rPr>
        <w:t xml:space="preserve">obin </w:t>
      </w:r>
      <w:r w:rsidRPr="003E047D">
        <w:rPr>
          <w:rFonts w:ascii="Times New Roman" w:hAnsi="Times New Roman" w:cs="Times New Roman"/>
          <w:sz w:val="24"/>
          <w:szCs w:val="24"/>
          <w:lang w:val="fr-FR"/>
        </w:rPr>
        <w:t>G</w:t>
      </w:r>
      <w:r w:rsidR="0063157C">
        <w:rPr>
          <w:rFonts w:ascii="Times New Roman" w:hAnsi="Times New Roman" w:cs="Times New Roman"/>
          <w:sz w:val="24"/>
          <w:szCs w:val="24"/>
          <w:lang w:val="fr-FR"/>
        </w:rPr>
        <w:t>eorge</w:t>
      </w:r>
      <w:r w:rsidRPr="003E047D">
        <w:rPr>
          <w:rFonts w:ascii="Times New Roman" w:hAnsi="Times New Roman" w:cs="Times New Roman"/>
          <w:sz w:val="24"/>
          <w:szCs w:val="24"/>
          <w:lang w:val="fr-FR"/>
        </w:rPr>
        <w:t xml:space="preserve"> Collingwood</w:t>
      </w:r>
      <w:r w:rsidR="007F5408">
        <w:rPr>
          <w:rFonts w:ascii="Times New Roman" w:hAnsi="Times New Roman" w:cs="Times New Roman"/>
          <w:sz w:val="24"/>
          <w:szCs w:val="24"/>
          <w:lang w:val="fr-FR"/>
        </w:rPr>
        <w:t>,</w:t>
      </w:r>
      <w:r w:rsidRPr="003E047D">
        <w:rPr>
          <w:rFonts w:ascii="Times New Roman" w:hAnsi="Times New Roman" w:cs="Times New Roman"/>
          <w:sz w:val="24"/>
          <w:szCs w:val="24"/>
          <w:lang w:val="fr-FR"/>
        </w:rPr>
        <w:t xml:space="preserve"> depuis son décès en 1943</w:t>
      </w:r>
      <w:r w:rsidR="007F5408">
        <w:rPr>
          <w:rFonts w:ascii="Times New Roman" w:hAnsi="Times New Roman" w:cs="Times New Roman"/>
          <w:sz w:val="24"/>
          <w:szCs w:val="24"/>
          <w:lang w:val="fr-FR"/>
        </w:rPr>
        <w:t>,</w:t>
      </w:r>
      <w:r w:rsidRPr="003E047D">
        <w:rPr>
          <w:rFonts w:ascii="Times New Roman" w:hAnsi="Times New Roman" w:cs="Times New Roman"/>
          <w:sz w:val="24"/>
          <w:szCs w:val="24"/>
          <w:lang w:val="fr-FR"/>
        </w:rPr>
        <w:t xml:space="preserve"> </w:t>
      </w:r>
      <w:r w:rsidR="00575A97">
        <w:rPr>
          <w:rFonts w:ascii="Times New Roman" w:hAnsi="Times New Roman" w:cs="Times New Roman"/>
          <w:sz w:val="24"/>
          <w:szCs w:val="24"/>
          <w:lang w:val="fr-FR"/>
        </w:rPr>
        <w:t>a connu plusieurs phases. L</w:t>
      </w:r>
      <w:r w:rsidRPr="003E047D">
        <w:rPr>
          <w:rFonts w:ascii="Times New Roman" w:hAnsi="Times New Roman" w:cs="Times New Roman"/>
          <w:sz w:val="24"/>
          <w:szCs w:val="24"/>
          <w:lang w:val="fr-FR"/>
        </w:rPr>
        <w:t>es querelles interprétatives, ainsi que les découvertes de certains manuscrits</w:t>
      </w:r>
      <w:r w:rsidR="009969B1">
        <w:rPr>
          <w:rFonts w:ascii="Times New Roman" w:hAnsi="Times New Roman" w:cs="Times New Roman"/>
          <w:sz w:val="24"/>
          <w:szCs w:val="24"/>
          <w:lang w:val="fr-FR"/>
        </w:rPr>
        <w:t xml:space="preserve"> (Collingwood R.G., 1999, p. XVIII)</w:t>
      </w:r>
      <w:r w:rsidRPr="003E047D">
        <w:rPr>
          <w:rFonts w:ascii="Times New Roman" w:hAnsi="Times New Roman" w:cs="Times New Roman"/>
          <w:sz w:val="24"/>
          <w:szCs w:val="24"/>
          <w:lang w:val="fr-FR"/>
        </w:rPr>
        <w:t xml:space="preserve"> ont considérablement transformé l’appréhension et la vision de cet archéologue</w:t>
      </w:r>
      <w:r w:rsidR="00575A97">
        <w:rPr>
          <w:rFonts w:ascii="Times New Roman" w:hAnsi="Times New Roman" w:cs="Times New Roman"/>
          <w:sz w:val="24"/>
          <w:szCs w:val="24"/>
          <w:lang w:val="fr-FR"/>
        </w:rPr>
        <w:t>, historien</w:t>
      </w:r>
      <w:r w:rsidRPr="003E047D">
        <w:rPr>
          <w:rFonts w:ascii="Times New Roman" w:hAnsi="Times New Roman" w:cs="Times New Roman"/>
          <w:sz w:val="24"/>
          <w:szCs w:val="24"/>
          <w:lang w:val="fr-FR"/>
        </w:rPr>
        <w:t xml:space="preserve"> et philosophe d’Oxford.</w:t>
      </w:r>
      <w:r w:rsidR="007A5278">
        <w:rPr>
          <w:rFonts w:ascii="Times New Roman" w:hAnsi="Times New Roman" w:cs="Times New Roman"/>
          <w:sz w:val="24"/>
          <w:szCs w:val="24"/>
          <w:lang w:val="fr-FR"/>
        </w:rPr>
        <w:t xml:space="preserve"> Dès 1946, dans la préface écrite par T.M. Knox (1900-1980) à la </w:t>
      </w:r>
      <w:r w:rsidR="003A6696">
        <w:rPr>
          <w:rFonts w:ascii="Times New Roman" w:hAnsi="Times New Roman" w:cs="Times New Roman"/>
          <w:sz w:val="24"/>
          <w:szCs w:val="24"/>
          <w:lang w:val="fr-FR"/>
        </w:rPr>
        <w:t>publication posthume de</w:t>
      </w:r>
      <w:r w:rsidR="00BF4FF2">
        <w:rPr>
          <w:rFonts w:ascii="Times New Roman" w:hAnsi="Times New Roman" w:cs="Times New Roman"/>
          <w:sz w:val="24"/>
          <w:szCs w:val="24"/>
          <w:lang w:val="fr-FR"/>
        </w:rPr>
        <w:t xml:space="preserve"> </w:t>
      </w:r>
      <w:r w:rsidR="00CF0ACE">
        <w:rPr>
          <w:rFonts w:ascii="Times New Roman" w:hAnsi="Times New Roman" w:cs="Times New Roman"/>
          <w:i/>
          <w:iCs/>
          <w:sz w:val="24"/>
          <w:szCs w:val="24"/>
          <w:lang w:val="fr-FR"/>
        </w:rPr>
        <w:t xml:space="preserve">The </w:t>
      </w:r>
      <w:r w:rsidRPr="003E047D">
        <w:rPr>
          <w:rFonts w:ascii="Times New Roman" w:hAnsi="Times New Roman" w:cs="Times New Roman"/>
          <w:i/>
          <w:iCs/>
          <w:sz w:val="24"/>
          <w:szCs w:val="24"/>
          <w:lang w:val="fr-FR"/>
        </w:rPr>
        <w:t>Idea of History</w:t>
      </w:r>
      <w:r w:rsidRPr="003E047D">
        <w:rPr>
          <w:rFonts w:ascii="Times New Roman" w:hAnsi="Times New Roman" w:cs="Times New Roman"/>
          <w:sz w:val="24"/>
          <w:szCs w:val="24"/>
          <w:lang w:val="fr-FR"/>
        </w:rPr>
        <w:t>, Collingwood est présenté comme un relativiste radical</w:t>
      </w:r>
      <w:r w:rsidR="007A5278">
        <w:rPr>
          <w:rFonts w:ascii="Times New Roman" w:hAnsi="Times New Roman" w:cs="Times New Roman"/>
          <w:sz w:val="24"/>
          <w:szCs w:val="24"/>
          <w:lang w:val="fr-FR"/>
        </w:rPr>
        <w:t xml:space="preserve">, et Knox </w:t>
      </w:r>
      <w:r w:rsidR="00422869">
        <w:rPr>
          <w:rFonts w:ascii="Times New Roman" w:hAnsi="Times New Roman" w:cs="Times New Roman"/>
          <w:sz w:val="24"/>
          <w:szCs w:val="24"/>
          <w:lang w:val="fr-FR"/>
        </w:rPr>
        <w:t>propose une lecture</w:t>
      </w:r>
      <w:r w:rsidR="007A5278">
        <w:rPr>
          <w:rFonts w:ascii="Times New Roman" w:hAnsi="Times New Roman" w:cs="Times New Roman"/>
          <w:sz w:val="24"/>
          <w:szCs w:val="24"/>
          <w:lang w:val="fr-FR"/>
        </w:rPr>
        <w:t xml:space="preserve"> qui distingue le premier Collingwood, qui aurait toute sa tête, et le dernier Collingwood transformé par la maladie</w:t>
      </w:r>
      <w:r w:rsidR="00422869">
        <w:rPr>
          <w:rFonts w:ascii="Times New Roman" w:hAnsi="Times New Roman" w:cs="Times New Roman"/>
          <w:sz w:val="24"/>
          <w:szCs w:val="24"/>
          <w:lang w:val="fr-FR"/>
        </w:rPr>
        <w:t xml:space="preserve"> qui aurait succombé à des arguments philosophiques intenables. </w:t>
      </w:r>
      <w:r w:rsidR="003A6696">
        <w:rPr>
          <w:rFonts w:ascii="Times New Roman" w:hAnsi="Times New Roman" w:cs="Times New Roman"/>
          <w:sz w:val="24"/>
          <w:szCs w:val="24"/>
          <w:lang w:val="fr-FR"/>
        </w:rPr>
        <w:t>Un second jalon pourrait être</w:t>
      </w:r>
      <w:r w:rsidRPr="003E047D">
        <w:rPr>
          <w:rFonts w:ascii="Times New Roman" w:hAnsi="Times New Roman" w:cs="Times New Roman"/>
          <w:sz w:val="24"/>
          <w:szCs w:val="24"/>
          <w:lang w:val="fr-FR"/>
        </w:rPr>
        <w:t xml:space="preserve"> l’</w:t>
      </w:r>
      <w:r w:rsidR="007F03EA" w:rsidRPr="003E047D">
        <w:rPr>
          <w:rFonts w:ascii="Times New Roman" w:hAnsi="Times New Roman" w:cs="Times New Roman"/>
          <w:sz w:val="24"/>
          <w:szCs w:val="24"/>
          <w:lang w:val="fr-FR"/>
        </w:rPr>
        <w:t>article</w:t>
      </w:r>
      <w:r w:rsidRPr="003E047D">
        <w:rPr>
          <w:rFonts w:ascii="Times New Roman" w:hAnsi="Times New Roman" w:cs="Times New Roman"/>
          <w:sz w:val="24"/>
          <w:szCs w:val="24"/>
          <w:lang w:val="fr-FR"/>
        </w:rPr>
        <w:t xml:space="preserve"> d</w:t>
      </w:r>
      <w:r w:rsidR="00C71427">
        <w:rPr>
          <w:rFonts w:ascii="Times New Roman" w:hAnsi="Times New Roman" w:cs="Times New Roman"/>
          <w:sz w:val="24"/>
          <w:szCs w:val="24"/>
          <w:lang w:val="fr-FR"/>
        </w:rPr>
        <w:t>’</w:t>
      </w:r>
      <w:r w:rsidRPr="003E047D">
        <w:rPr>
          <w:rFonts w:ascii="Times New Roman" w:hAnsi="Times New Roman" w:cs="Times New Roman"/>
          <w:sz w:val="24"/>
          <w:szCs w:val="24"/>
          <w:lang w:val="fr-FR"/>
        </w:rPr>
        <w:t>A</w:t>
      </w:r>
      <w:r w:rsidR="00C71427">
        <w:rPr>
          <w:rFonts w:ascii="Times New Roman" w:hAnsi="Times New Roman" w:cs="Times New Roman"/>
          <w:sz w:val="24"/>
          <w:szCs w:val="24"/>
          <w:lang w:val="fr-FR"/>
        </w:rPr>
        <w:t>lan</w:t>
      </w:r>
      <w:r w:rsidRPr="003E047D">
        <w:rPr>
          <w:rFonts w:ascii="Times New Roman" w:hAnsi="Times New Roman" w:cs="Times New Roman"/>
          <w:sz w:val="24"/>
          <w:szCs w:val="24"/>
          <w:lang w:val="fr-FR"/>
        </w:rPr>
        <w:t xml:space="preserve"> Donagan</w:t>
      </w:r>
      <w:r w:rsidR="003A6696">
        <w:rPr>
          <w:rFonts w:ascii="Times New Roman" w:hAnsi="Times New Roman" w:cs="Times New Roman"/>
          <w:sz w:val="24"/>
          <w:szCs w:val="24"/>
          <w:lang w:val="fr-FR"/>
        </w:rPr>
        <w:t xml:space="preserve"> (1925-1991)</w:t>
      </w:r>
      <w:r w:rsidRPr="003E047D">
        <w:rPr>
          <w:rFonts w:ascii="Times New Roman" w:hAnsi="Times New Roman" w:cs="Times New Roman"/>
          <w:sz w:val="24"/>
          <w:szCs w:val="24"/>
          <w:lang w:val="fr-FR"/>
        </w:rPr>
        <w:t xml:space="preserve"> </w:t>
      </w:r>
      <w:r w:rsidR="007F03EA" w:rsidRPr="003E047D">
        <w:rPr>
          <w:rFonts w:ascii="Times New Roman" w:hAnsi="Times New Roman" w:cs="Times New Roman"/>
          <w:sz w:val="24"/>
          <w:szCs w:val="24"/>
          <w:lang w:val="fr-FR"/>
        </w:rPr>
        <w:t>« The Verification of Historical Theses »</w:t>
      </w:r>
      <w:r w:rsidR="009969B1">
        <w:rPr>
          <w:rFonts w:ascii="Times New Roman" w:hAnsi="Times New Roman" w:cs="Times New Roman"/>
          <w:sz w:val="24"/>
          <w:szCs w:val="24"/>
          <w:lang w:val="fr-FR"/>
        </w:rPr>
        <w:t xml:space="preserve"> </w:t>
      </w:r>
      <w:r w:rsidR="00422869">
        <w:rPr>
          <w:rFonts w:ascii="Times New Roman" w:hAnsi="Times New Roman" w:cs="Times New Roman"/>
          <w:sz w:val="24"/>
          <w:szCs w:val="24"/>
          <w:lang w:val="fr-FR"/>
        </w:rPr>
        <w:t xml:space="preserve">publié </w:t>
      </w:r>
      <w:r w:rsidR="00A236CB">
        <w:rPr>
          <w:rFonts w:ascii="Times New Roman" w:hAnsi="Times New Roman" w:cs="Times New Roman"/>
          <w:sz w:val="24"/>
          <w:szCs w:val="24"/>
          <w:lang w:val="fr-FR"/>
        </w:rPr>
        <w:t xml:space="preserve">en 1956, </w:t>
      </w:r>
      <w:r w:rsidR="007F03EA" w:rsidRPr="003E047D">
        <w:rPr>
          <w:rFonts w:ascii="Times New Roman" w:hAnsi="Times New Roman" w:cs="Times New Roman"/>
          <w:sz w:val="24"/>
          <w:szCs w:val="24"/>
          <w:lang w:val="fr-FR"/>
        </w:rPr>
        <w:t xml:space="preserve">dans lequel </w:t>
      </w:r>
      <w:r w:rsidR="00422869">
        <w:rPr>
          <w:rFonts w:ascii="Times New Roman" w:hAnsi="Times New Roman" w:cs="Times New Roman"/>
          <w:sz w:val="24"/>
          <w:szCs w:val="24"/>
          <w:lang w:val="fr-FR"/>
        </w:rPr>
        <w:t>l’auteur</w:t>
      </w:r>
      <w:r w:rsidR="007F03EA" w:rsidRPr="003E047D">
        <w:rPr>
          <w:rFonts w:ascii="Times New Roman" w:hAnsi="Times New Roman" w:cs="Times New Roman"/>
          <w:sz w:val="24"/>
          <w:szCs w:val="24"/>
          <w:lang w:val="fr-FR"/>
        </w:rPr>
        <w:t xml:space="preserve"> tente déjà de démêler les « </w:t>
      </w:r>
      <w:r w:rsidR="007F03EA" w:rsidRPr="003E047D">
        <w:rPr>
          <w:rFonts w:ascii="Times New Roman" w:hAnsi="Times New Roman" w:cs="Times New Roman"/>
          <w:i/>
          <w:iCs/>
          <w:sz w:val="24"/>
          <w:szCs w:val="24"/>
          <w:lang w:val="fr-FR"/>
        </w:rPr>
        <w:t>received interpretation</w:t>
      </w:r>
      <w:r w:rsidR="00C71427">
        <w:rPr>
          <w:rFonts w:ascii="Times New Roman" w:hAnsi="Times New Roman" w:cs="Times New Roman"/>
          <w:i/>
          <w:iCs/>
          <w:sz w:val="24"/>
          <w:szCs w:val="24"/>
          <w:lang w:val="fr-FR"/>
        </w:rPr>
        <w:t>s</w:t>
      </w:r>
      <w:r w:rsidR="007F03EA" w:rsidRPr="003E047D">
        <w:rPr>
          <w:rFonts w:ascii="Times New Roman" w:hAnsi="Times New Roman" w:cs="Times New Roman"/>
          <w:i/>
          <w:iCs/>
          <w:sz w:val="24"/>
          <w:szCs w:val="24"/>
          <w:lang w:val="fr-FR"/>
        </w:rPr>
        <w:t xml:space="preserve"> » </w:t>
      </w:r>
      <w:r w:rsidR="007F03EA" w:rsidRPr="003E047D">
        <w:rPr>
          <w:rFonts w:ascii="Times New Roman" w:hAnsi="Times New Roman" w:cs="Times New Roman"/>
          <w:sz w:val="24"/>
          <w:szCs w:val="24"/>
          <w:lang w:val="fr-FR"/>
        </w:rPr>
        <w:t>sur la théorie de l’histoire de Collingwood.</w:t>
      </w:r>
      <w:r w:rsidR="00AE53D3">
        <w:rPr>
          <w:rFonts w:ascii="Times New Roman" w:hAnsi="Times New Roman" w:cs="Times New Roman"/>
          <w:sz w:val="24"/>
          <w:szCs w:val="24"/>
          <w:lang w:val="fr-FR"/>
        </w:rPr>
        <w:t xml:space="preserve"> Les travaux de Donagan marquent un tournant dans la lecture de Collingwood</w:t>
      </w:r>
      <w:r w:rsidR="00C71427">
        <w:rPr>
          <w:rFonts w:ascii="Times New Roman" w:hAnsi="Times New Roman" w:cs="Times New Roman"/>
          <w:sz w:val="24"/>
          <w:szCs w:val="24"/>
          <w:lang w:val="fr-FR"/>
        </w:rPr>
        <w:t>,</w:t>
      </w:r>
      <w:r w:rsidR="00AE53D3">
        <w:rPr>
          <w:rFonts w:ascii="Times New Roman" w:hAnsi="Times New Roman" w:cs="Times New Roman"/>
          <w:sz w:val="24"/>
          <w:szCs w:val="24"/>
          <w:lang w:val="fr-FR"/>
        </w:rPr>
        <w:t xml:space="preserve"> en tâchant de réfuter la position selon laquelle Collingwood attribuerait à l’historien une sorte d’intuition lui permettant de pénétrer l’esprit et la pensée des actions du passé. </w:t>
      </w:r>
      <w:r w:rsidR="007F5408">
        <w:rPr>
          <w:rFonts w:ascii="Times New Roman" w:hAnsi="Times New Roman" w:cs="Times New Roman"/>
          <w:sz w:val="24"/>
          <w:szCs w:val="24"/>
          <w:lang w:val="fr-FR"/>
        </w:rPr>
        <w:t>Une</w:t>
      </w:r>
      <w:r w:rsidR="00AE53D3">
        <w:rPr>
          <w:rFonts w:ascii="Times New Roman" w:hAnsi="Times New Roman" w:cs="Times New Roman"/>
          <w:sz w:val="24"/>
          <w:szCs w:val="24"/>
          <w:lang w:val="fr-FR"/>
        </w:rPr>
        <w:t xml:space="preserve"> interprétation intuitionniste de Collingwood </w:t>
      </w:r>
      <w:r w:rsidR="00422869">
        <w:rPr>
          <w:rFonts w:ascii="Times New Roman" w:hAnsi="Times New Roman" w:cs="Times New Roman"/>
          <w:sz w:val="24"/>
          <w:szCs w:val="24"/>
          <w:lang w:val="fr-FR"/>
        </w:rPr>
        <w:t>qu’on trouve, par exemple,</w:t>
      </w:r>
      <w:r w:rsidR="00AE53D3">
        <w:rPr>
          <w:rFonts w:ascii="Times New Roman" w:hAnsi="Times New Roman" w:cs="Times New Roman"/>
          <w:sz w:val="24"/>
          <w:szCs w:val="24"/>
          <w:lang w:val="fr-FR"/>
        </w:rPr>
        <w:t xml:space="preserve"> </w:t>
      </w:r>
      <w:r w:rsidR="004D4306">
        <w:rPr>
          <w:rFonts w:ascii="Times New Roman" w:hAnsi="Times New Roman" w:cs="Times New Roman"/>
          <w:sz w:val="24"/>
          <w:szCs w:val="24"/>
          <w:lang w:val="fr-FR"/>
        </w:rPr>
        <w:t>chez</w:t>
      </w:r>
      <w:r w:rsidR="00AE53D3">
        <w:rPr>
          <w:rFonts w:ascii="Times New Roman" w:hAnsi="Times New Roman" w:cs="Times New Roman"/>
          <w:sz w:val="24"/>
          <w:szCs w:val="24"/>
          <w:lang w:val="fr-FR"/>
        </w:rPr>
        <w:t xml:space="preserve"> W.H. Walsh</w:t>
      </w:r>
      <w:r w:rsidR="003A6696">
        <w:rPr>
          <w:rFonts w:ascii="Times New Roman" w:hAnsi="Times New Roman" w:cs="Times New Roman"/>
          <w:sz w:val="24"/>
          <w:szCs w:val="24"/>
          <w:lang w:val="fr-FR"/>
        </w:rPr>
        <w:t xml:space="preserve"> (1913-1986)</w:t>
      </w:r>
      <w:r w:rsidR="009969B1">
        <w:rPr>
          <w:rFonts w:ascii="Times New Roman" w:hAnsi="Times New Roman" w:cs="Times New Roman"/>
          <w:sz w:val="24"/>
          <w:szCs w:val="24"/>
          <w:lang w:val="fr-FR"/>
        </w:rPr>
        <w:t xml:space="preserve"> (Walsh W.H., 1947, p.33-77)</w:t>
      </w:r>
      <w:r w:rsidR="00D16773">
        <w:rPr>
          <w:rFonts w:ascii="Times New Roman" w:hAnsi="Times New Roman" w:cs="Times New Roman"/>
          <w:sz w:val="24"/>
          <w:szCs w:val="24"/>
          <w:lang w:val="fr-FR"/>
        </w:rPr>
        <w:t>.</w:t>
      </w:r>
      <w:r w:rsidR="004D4306">
        <w:rPr>
          <w:rFonts w:ascii="Times New Roman" w:hAnsi="Times New Roman" w:cs="Times New Roman"/>
          <w:sz w:val="24"/>
          <w:szCs w:val="24"/>
          <w:lang w:val="fr-FR"/>
        </w:rPr>
        <w:t xml:space="preserve"> Donagan y oppose une réflexion sur le concept de </w:t>
      </w:r>
      <w:r w:rsidR="009969B1">
        <w:rPr>
          <w:rFonts w:ascii="Times New Roman" w:hAnsi="Times New Roman" w:cs="Times New Roman"/>
          <w:sz w:val="24"/>
          <w:szCs w:val="24"/>
          <w:lang w:val="fr-FR"/>
        </w:rPr>
        <w:t>« </w:t>
      </w:r>
      <w:r w:rsidR="004D4306">
        <w:rPr>
          <w:rFonts w:ascii="Times New Roman" w:hAnsi="Times New Roman" w:cs="Times New Roman"/>
          <w:i/>
          <w:iCs/>
          <w:sz w:val="24"/>
          <w:szCs w:val="24"/>
          <w:lang w:val="fr-FR"/>
        </w:rPr>
        <w:t>re-enactment</w:t>
      </w:r>
      <w:r w:rsidR="009969B1">
        <w:rPr>
          <w:rFonts w:ascii="Times New Roman" w:hAnsi="Times New Roman" w:cs="Times New Roman"/>
          <w:i/>
          <w:iCs/>
          <w:sz w:val="24"/>
          <w:szCs w:val="24"/>
          <w:lang w:val="fr-FR"/>
        </w:rPr>
        <w:t> »</w:t>
      </w:r>
      <w:r w:rsidR="004D4306">
        <w:rPr>
          <w:rFonts w:ascii="Times New Roman" w:hAnsi="Times New Roman" w:cs="Times New Roman"/>
          <w:sz w:val="24"/>
          <w:szCs w:val="24"/>
          <w:lang w:val="fr-FR"/>
        </w:rPr>
        <w:t xml:space="preserve"> chez Collingwood, qu’il comprend non </w:t>
      </w:r>
      <w:r w:rsidR="00422869">
        <w:rPr>
          <w:rFonts w:ascii="Times New Roman" w:hAnsi="Times New Roman" w:cs="Times New Roman"/>
          <w:sz w:val="24"/>
          <w:szCs w:val="24"/>
          <w:lang w:val="fr-FR"/>
        </w:rPr>
        <w:t>plus comme</w:t>
      </w:r>
      <w:r w:rsidR="004D4306">
        <w:rPr>
          <w:rFonts w:ascii="Times New Roman" w:hAnsi="Times New Roman" w:cs="Times New Roman"/>
          <w:sz w:val="24"/>
          <w:szCs w:val="24"/>
          <w:lang w:val="fr-FR"/>
        </w:rPr>
        <w:t xml:space="preserve"> </w:t>
      </w:r>
      <w:r w:rsidR="00422869">
        <w:rPr>
          <w:rFonts w:ascii="Times New Roman" w:hAnsi="Times New Roman" w:cs="Times New Roman"/>
          <w:sz w:val="24"/>
          <w:szCs w:val="24"/>
          <w:lang w:val="fr-FR"/>
        </w:rPr>
        <w:t>le principe de la méthode historique elle-même</w:t>
      </w:r>
      <w:r w:rsidR="004D4306">
        <w:rPr>
          <w:rFonts w:ascii="Times New Roman" w:hAnsi="Times New Roman" w:cs="Times New Roman"/>
          <w:sz w:val="24"/>
          <w:szCs w:val="24"/>
          <w:lang w:val="fr-FR"/>
        </w:rPr>
        <w:t xml:space="preserve">, l’historien ne doit pas ré-actualiser les pensées du passé en entrant de manière quasi magique dans l’esprit de l’agent historique qu’il étudie, mais le </w:t>
      </w:r>
      <w:r w:rsidR="009969B1">
        <w:rPr>
          <w:rFonts w:ascii="Times New Roman" w:hAnsi="Times New Roman" w:cs="Times New Roman"/>
          <w:sz w:val="24"/>
          <w:szCs w:val="24"/>
          <w:lang w:val="fr-FR"/>
        </w:rPr>
        <w:t>« </w:t>
      </w:r>
      <w:r w:rsidR="004D4306">
        <w:rPr>
          <w:rFonts w:ascii="Times New Roman" w:hAnsi="Times New Roman" w:cs="Times New Roman"/>
          <w:i/>
          <w:iCs/>
          <w:sz w:val="24"/>
          <w:szCs w:val="24"/>
          <w:lang w:val="fr-FR"/>
        </w:rPr>
        <w:t>re-enactmen</w:t>
      </w:r>
      <w:r w:rsidR="009969B1">
        <w:rPr>
          <w:rFonts w:ascii="Times New Roman" w:hAnsi="Times New Roman" w:cs="Times New Roman"/>
          <w:i/>
          <w:iCs/>
          <w:sz w:val="24"/>
          <w:szCs w:val="24"/>
          <w:lang w:val="fr-FR"/>
        </w:rPr>
        <w:t> »</w:t>
      </w:r>
      <w:r w:rsidR="004D4306">
        <w:rPr>
          <w:rFonts w:ascii="Times New Roman" w:hAnsi="Times New Roman" w:cs="Times New Roman"/>
          <w:i/>
          <w:iCs/>
          <w:sz w:val="24"/>
          <w:szCs w:val="24"/>
          <w:lang w:val="fr-FR"/>
        </w:rPr>
        <w:t>t</w:t>
      </w:r>
      <w:r w:rsidR="004D4306">
        <w:rPr>
          <w:rFonts w:ascii="Times New Roman" w:hAnsi="Times New Roman" w:cs="Times New Roman"/>
          <w:sz w:val="24"/>
          <w:szCs w:val="24"/>
          <w:lang w:val="fr-FR"/>
        </w:rPr>
        <w:t xml:space="preserve"> doit davantage être compris comme «</w:t>
      </w:r>
      <w:r w:rsidR="00C71427" w:rsidRPr="003E047D">
        <w:rPr>
          <w:rFonts w:ascii="Times New Roman" w:hAnsi="Times New Roman" w:cs="Times New Roman"/>
          <w:sz w:val="24"/>
          <w:szCs w:val="24"/>
          <w:lang w:val="fr-FR"/>
        </w:rPr>
        <w:t> </w:t>
      </w:r>
      <w:r w:rsidR="00431505">
        <w:rPr>
          <w:rFonts w:ascii="Times New Roman" w:hAnsi="Times New Roman" w:cs="Times New Roman"/>
          <w:sz w:val="24"/>
          <w:szCs w:val="24"/>
          <w:lang w:val="fr-FR"/>
        </w:rPr>
        <w:t>appartenant à la finalité à laquelle l’historien aspire</w:t>
      </w:r>
      <w:r w:rsidR="009969B1">
        <w:rPr>
          <w:rFonts w:ascii="Times New Roman" w:hAnsi="Times New Roman" w:cs="Times New Roman"/>
          <w:sz w:val="24"/>
          <w:szCs w:val="24"/>
          <w:lang w:val="fr-FR"/>
        </w:rPr>
        <w:t xml:space="preserve"> </w:t>
      </w:r>
      <w:r w:rsidR="004D4306" w:rsidRPr="00431505">
        <w:rPr>
          <w:rFonts w:ascii="Times New Roman" w:hAnsi="Times New Roman" w:cs="Times New Roman"/>
          <w:sz w:val="24"/>
          <w:szCs w:val="24"/>
        </w:rPr>
        <w:t>»</w:t>
      </w:r>
      <w:r w:rsidR="009969B1">
        <w:rPr>
          <w:rFonts w:ascii="Times New Roman" w:hAnsi="Times New Roman" w:cs="Times New Roman"/>
          <w:sz w:val="24"/>
          <w:szCs w:val="24"/>
        </w:rPr>
        <w:t>(Donagan A., 1956, p.199).</w:t>
      </w:r>
      <w:r w:rsidR="007F03EA" w:rsidRPr="00431505">
        <w:rPr>
          <w:rFonts w:ascii="Times New Roman" w:hAnsi="Times New Roman" w:cs="Times New Roman"/>
          <w:sz w:val="24"/>
          <w:szCs w:val="24"/>
        </w:rPr>
        <w:t xml:space="preserve"> </w:t>
      </w:r>
      <w:r w:rsidR="00EC034C">
        <w:rPr>
          <w:rFonts w:ascii="Times New Roman" w:hAnsi="Times New Roman" w:cs="Times New Roman"/>
          <w:sz w:val="24"/>
          <w:szCs w:val="24"/>
          <w:lang w:val="fr-FR"/>
        </w:rPr>
        <w:t>Une interprétation renouvelée par</w:t>
      </w:r>
      <w:r w:rsidR="007F03EA" w:rsidRPr="003E047D">
        <w:rPr>
          <w:rFonts w:ascii="Times New Roman" w:hAnsi="Times New Roman" w:cs="Times New Roman"/>
          <w:sz w:val="24"/>
          <w:szCs w:val="24"/>
          <w:lang w:val="fr-FR"/>
        </w:rPr>
        <w:t xml:space="preserve"> G. Buchdahl</w:t>
      </w:r>
      <w:r w:rsidR="003A6696">
        <w:rPr>
          <w:rFonts w:ascii="Times New Roman" w:hAnsi="Times New Roman" w:cs="Times New Roman"/>
          <w:sz w:val="24"/>
          <w:szCs w:val="24"/>
          <w:lang w:val="fr-FR"/>
        </w:rPr>
        <w:t xml:space="preserve"> (1914-2001)</w:t>
      </w:r>
      <w:r w:rsidR="00EC034C">
        <w:rPr>
          <w:rFonts w:ascii="Times New Roman" w:hAnsi="Times New Roman" w:cs="Times New Roman"/>
          <w:sz w:val="24"/>
          <w:szCs w:val="24"/>
          <w:lang w:val="fr-FR"/>
        </w:rPr>
        <w:t>,</w:t>
      </w:r>
      <w:r w:rsidR="007F03EA" w:rsidRPr="003E047D">
        <w:rPr>
          <w:rFonts w:ascii="Times New Roman" w:hAnsi="Times New Roman" w:cs="Times New Roman"/>
          <w:sz w:val="24"/>
          <w:szCs w:val="24"/>
          <w:lang w:val="fr-FR"/>
        </w:rPr>
        <w:t xml:space="preserve"> en 1958</w:t>
      </w:r>
      <w:r w:rsidR="00EC034C">
        <w:rPr>
          <w:rFonts w:ascii="Times New Roman" w:hAnsi="Times New Roman" w:cs="Times New Roman"/>
          <w:sz w:val="24"/>
          <w:szCs w:val="24"/>
          <w:lang w:val="fr-FR"/>
        </w:rPr>
        <w:t>,</w:t>
      </w:r>
      <w:r w:rsidR="007F03EA" w:rsidRPr="003E047D">
        <w:rPr>
          <w:rFonts w:ascii="Times New Roman" w:hAnsi="Times New Roman" w:cs="Times New Roman"/>
          <w:sz w:val="24"/>
          <w:szCs w:val="24"/>
          <w:lang w:val="fr-FR"/>
        </w:rPr>
        <w:t xml:space="preserve"> dans « Has Collingwood Been Unfortunate in His Critics »</w:t>
      </w:r>
      <w:r w:rsidR="009969B1">
        <w:rPr>
          <w:rFonts w:ascii="Times New Roman" w:hAnsi="Times New Roman" w:cs="Times New Roman"/>
          <w:sz w:val="24"/>
          <w:szCs w:val="24"/>
          <w:lang w:val="fr-FR"/>
        </w:rPr>
        <w:t xml:space="preserve"> (Buchdahl G., 1958)</w:t>
      </w:r>
      <w:r w:rsidR="007F03EA" w:rsidRPr="003E047D">
        <w:rPr>
          <w:rFonts w:ascii="Times New Roman" w:hAnsi="Times New Roman" w:cs="Times New Roman"/>
          <w:sz w:val="24"/>
          <w:szCs w:val="24"/>
          <w:lang w:val="fr-FR"/>
        </w:rPr>
        <w:t xml:space="preserve">, puis réactualisée par </w:t>
      </w:r>
      <w:r w:rsidR="003A6696">
        <w:rPr>
          <w:rFonts w:ascii="Times New Roman" w:hAnsi="Times New Roman" w:cs="Times New Roman"/>
          <w:sz w:val="24"/>
          <w:szCs w:val="24"/>
          <w:lang w:val="fr-FR"/>
        </w:rPr>
        <w:t xml:space="preserve">Louis </w:t>
      </w:r>
      <w:r w:rsidR="007F03EA" w:rsidRPr="003E047D">
        <w:rPr>
          <w:rFonts w:ascii="Times New Roman" w:hAnsi="Times New Roman" w:cs="Times New Roman"/>
          <w:sz w:val="24"/>
          <w:szCs w:val="24"/>
          <w:lang w:val="fr-FR"/>
        </w:rPr>
        <w:t>O. Mink</w:t>
      </w:r>
      <w:r w:rsidR="003A6696">
        <w:rPr>
          <w:rFonts w:ascii="Times New Roman" w:hAnsi="Times New Roman" w:cs="Times New Roman"/>
          <w:sz w:val="24"/>
          <w:szCs w:val="24"/>
          <w:lang w:val="fr-FR"/>
        </w:rPr>
        <w:t xml:space="preserve"> (1921-1983)</w:t>
      </w:r>
      <w:r w:rsidR="007F03EA" w:rsidRPr="003E047D">
        <w:rPr>
          <w:rFonts w:ascii="Times New Roman" w:hAnsi="Times New Roman" w:cs="Times New Roman"/>
          <w:sz w:val="24"/>
          <w:szCs w:val="24"/>
          <w:lang w:val="fr-FR"/>
        </w:rPr>
        <w:t xml:space="preserve"> dans </w:t>
      </w:r>
      <w:r w:rsidR="007F03EA" w:rsidRPr="003E047D">
        <w:rPr>
          <w:rFonts w:ascii="Times New Roman" w:hAnsi="Times New Roman" w:cs="Times New Roman"/>
          <w:i/>
          <w:iCs/>
          <w:sz w:val="24"/>
          <w:szCs w:val="24"/>
          <w:lang w:val="fr-FR"/>
        </w:rPr>
        <w:t>Critical Essays on the Philosophy of R.G. Collingwood</w:t>
      </w:r>
      <w:r w:rsidR="007F03EA" w:rsidRPr="003E047D">
        <w:rPr>
          <w:rFonts w:ascii="Times New Roman" w:hAnsi="Times New Roman" w:cs="Times New Roman"/>
          <w:sz w:val="24"/>
          <w:szCs w:val="24"/>
          <w:lang w:val="fr-FR"/>
        </w:rPr>
        <w:t xml:space="preserve">, désireux aussi de se débarrasser des préjugés concernant </w:t>
      </w:r>
      <w:r w:rsidR="007F03EA" w:rsidRPr="003E047D">
        <w:rPr>
          <w:rFonts w:ascii="Times New Roman" w:hAnsi="Times New Roman" w:cs="Times New Roman"/>
          <w:sz w:val="24"/>
          <w:szCs w:val="24"/>
          <w:lang w:val="fr-FR"/>
        </w:rPr>
        <w:lastRenderedPageBreak/>
        <w:t xml:space="preserve">la théorie de l’histoire de Collingwood qu’il souhaite réenchâsser dans une philosophie de l’esprit, en préconisant un retour aux textes. Lequel retour a </w:t>
      </w:r>
      <w:r w:rsidR="001376F1">
        <w:rPr>
          <w:rFonts w:ascii="Times New Roman" w:hAnsi="Times New Roman" w:cs="Times New Roman"/>
          <w:sz w:val="24"/>
          <w:szCs w:val="24"/>
          <w:lang w:val="fr-FR"/>
        </w:rPr>
        <w:t xml:space="preserve">entraîné </w:t>
      </w:r>
      <w:r w:rsidR="007F03EA" w:rsidRPr="003E047D">
        <w:rPr>
          <w:rFonts w:ascii="Times New Roman" w:hAnsi="Times New Roman" w:cs="Times New Roman"/>
          <w:sz w:val="24"/>
          <w:szCs w:val="24"/>
          <w:lang w:val="fr-FR"/>
        </w:rPr>
        <w:t>un ensemble de rééditions des ouvrages de Collingwood, assorti</w:t>
      </w:r>
      <w:r w:rsidR="007F5408">
        <w:rPr>
          <w:rFonts w:ascii="Times New Roman" w:hAnsi="Times New Roman" w:cs="Times New Roman"/>
          <w:sz w:val="24"/>
          <w:szCs w:val="24"/>
          <w:lang w:val="fr-FR"/>
        </w:rPr>
        <w:t>es</w:t>
      </w:r>
      <w:r w:rsidR="007F03EA" w:rsidRPr="003E047D">
        <w:rPr>
          <w:rFonts w:ascii="Times New Roman" w:hAnsi="Times New Roman" w:cs="Times New Roman"/>
          <w:sz w:val="24"/>
          <w:szCs w:val="24"/>
          <w:lang w:val="fr-FR"/>
        </w:rPr>
        <w:t xml:space="preserve"> d’un apparat critique, </w:t>
      </w:r>
      <w:r w:rsidR="002D7EDA">
        <w:rPr>
          <w:rFonts w:ascii="Times New Roman" w:hAnsi="Times New Roman" w:cs="Times New Roman"/>
          <w:sz w:val="24"/>
          <w:szCs w:val="24"/>
          <w:lang w:val="fr-FR"/>
        </w:rPr>
        <w:t xml:space="preserve">notamment </w:t>
      </w:r>
      <w:r w:rsidR="007F03EA" w:rsidRPr="003E047D">
        <w:rPr>
          <w:rFonts w:ascii="Times New Roman" w:hAnsi="Times New Roman" w:cs="Times New Roman"/>
          <w:sz w:val="24"/>
          <w:szCs w:val="24"/>
          <w:lang w:val="fr-FR"/>
        </w:rPr>
        <w:t>grâce au travail de W.H. Dray</w:t>
      </w:r>
      <w:r w:rsidR="002D7EDA">
        <w:rPr>
          <w:rFonts w:ascii="Times New Roman" w:hAnsi="Times New Roman" w:cs="Times New Roman"/>
          <w:sz w:val="24"/>
          <w:szCs w:val="24"/>
          <w:lang w:val="fr-FR"/>
        </w:rPr>
        <w:t xml:space="preserve"> (1921-2009)</w:t>
      </w:r>
      <w:r w:rsidR="00B22247">
        <w:rPr>
          <w:rStyle w:val="Appelnotedebasdep"/>
          <w:rFonts w:ascii="Times New Roman" w:hAnsi="Times New Roman" w:cs="Times New Roman"/>
          <w:sz w:val="24"/>
          <w:szCs w:val="24"/>
          <w:lang w:val="fr-FR"/>
        </w:rPr>
        <w:footnoteReference w:id="1"/>
      </w:r>
      <w:r w:rsidR="00675002">
        <w:rPr>
          <w:rFonts w:ascii="Times New Roman" w:hAnsi="Times New Roman" w:cs="Times New Roman"/>
          <w:sz w:val="24"/>
          <w:szCs w:val="24"/>
          <w:lang w:val="fr-FR"/>
        </w:rPr>
        <w:t xml:space="preserve"> - </w:t>
      </w:r>
      <w:r w:rsidR="00B22247">
        <w:rPr>
          <w:rFonts w:ascii="Times New Roman" w:hAnsi="Times New Roman" w:cs="Times New Roman"/>
          <w:sz w:val="24"/>
          <w:szCs w:val="24"/>
          <w:lang w:val="fr-FR"/>
        </w:rPr>
        <w:t xml:space="preserve">élève de W.H. Walsh à Oxford, et qui </w:t>
      </w:r>
      <w:r w:rsidR="004D4306">
        <w:rPr>
          <w:rFonts w:ascii="Times New Roman" w:hAnsi="Times New Roman" w:cs="Times New Roman"/>
          <w:sz w:val="24"/>
          <w:szCs w:val="24"/>
          <w:lang w:val="fr-FR"/>
        </w:rPr>
        <w:t>donne</w:t>
      </w:r>
      <w:r w:rsidR="00B22247">
        <w:rPr>
          <w:rFonts w:ascii="Times New Roman" w:hAnsi="Times New Roman" w:cs="Times New Roman"/>
          <w:sz w:val="24"/>
          <w:szCs w:val="24"/>
          <w:lang w:val="fr-FR"/>
        </w:rPr>
        <w:t xml:space="preserve"> ensuite</w:t>
      </w:r>
      <w:r w:rsidR="004D4306">
        <w:rPr>
          <w:rFonts w:ascii="Times New Roman" w:hAnsi="Times New Roman" w:cs="Times New Roman"/>
          <w:sz w:val="24"/>
          <w:szCs w:val="24"/>
          <w:lang w:val="fr-FR"/>
        </w:rPr>
        <w:t xml:space="preserve"> naissance à une grande tradition interprétative</w:t>
      </w:r>
      <w:r w:rsidR="00B22247">
        <w:rPr>
          <w:rFonts w:ascii="Times New Roman" w:hAnsi="Times New Roman" w:cs="Times New Roman"/>
          <w:sz w:val="24"/>
          <w:szCs w:val="24"/>
          <w:lang w:val="fr-FR"/>
        </w:rPr>
        <w:t xml:space="preserve"> canadienne</w:t>
      </w:r>
      <w:r w:rsidR="004D4306">
        <w:rPr>
          <w:rFonts w:ascii="Times New Roman" w:hAnsi="Times New Roman" w:cs="Times New Roman"/>
          <w:sz w:val="24"/>
          <w:szCs w:val="24"/>
          <w:lang w:val="fr-FR"/>
        </w:rPr>
        <w:t xml:space="preserve"> en philosophie de l’histoire collingwoodienne qui se poursuit aujourd’hui avec les travaux de M. Marion et de Chinatsu Kobayashi</w:t>
      </w:r>
      <w:r w:rsidR="00675002">
        <w:rPr>
          <w:rFonts w:ascii="Times New Roman" w:hAnsi="Times New Roman" w:cs="Times New Roman"/>
          <w:sz w:val="24"/>
          <w:szCs w:val="24"/>
          <w:lang w:val="fr-FR"/>
        </w:rPr>
        <w:t xml:space="preserve"> - </w:t>
      </w:r>
      <w:r w:rsidR="004D4306">
        <w:rPr>
          <w:rFonts w:ascii="Times New Roman" w:hAnsi="Times New Roman" w:cs="Times New Roman"/>
          <w:sz w:val="24"/>
          <w:szCs w:val="24"/>
          <w:lang w:val="fr-FR"/>
        </w:rPr>
        <w:t xml:space="preserve"> ainsi qu’au travail</w:t>
      </w:r>
      <w:r w:rsidR="007F03EA" w:rsidRPr="003E047D">
        <w:rPr>
          <w:rFonts w:ascii="Times New Roman" w:hAnsi="Times New Roman" w:cs="Times New Roman"/>
          <w:sz w:val="24"/>
          <w:szCs w:val="24"/>
          <w:lang w:val="fr-FR"/>
        </w:rPr>
        <w:t xml:space="preserve"> de J. Van Der Dussen</w:t>
      </w:r>
      <w:r w:rsidR="00C71427">
        <w:rPr>
          <w:rFonts w:ascii="Times New Roman" w:hAnsi="Times New Roman" w:cs="Times New Roman"/>
          <w:sz w:val="24"/>
          <w:szCs w:val="24"/>
          <w:lang w:val="fr-FR"/>
        </w:rPr>
        <w:t xml:space="preserve"> (ancien élève de Dray)</w:t>
      </w:r>
      <w:r w:rsidR="004D4306">
        <w:rPr>
          <w:rFonts w:ascii="Times New Roman" w:hAnsi="Times New Roman" w:cs="Times New Roman"/>
          <w:sz w:val="24"/>
          <w:szCs w:val="24"/>
          <w:lang w:val="fr-FR"/>
        </w:rPr>
        <w:t xml:space="preserve"> et</w:t>
      </w:r>
      <w:r w:rsidR="007F03EA" w:rsidRPr="003E047D">
        <w:rPr>
          <w:rFonts w:ascii="Times New Roman" w:hAnsi="Times New Roman" w:cs="Times New Roman"/>
          <w:sz w:val="24"/>
          <w:szCs w:val="24"/>
          <w:lang w:val="fr-FR"/>
        </w:rPr>
        <w:t xml:space="preserve"> des philosophes</w:t>
      </w:r>
      <w:r w:rsidR="00422869">
        <w:rPr>
          <w:rFonts w:ascii="Times New Roman" w:hAnsi="Times New Roman" w:cs="Times New Roman"/>
          <w:sz w:val="24"/>
          <w:szCs w:val="24"/>
          <w:lang w:val="fr-FR"/>
        </w:rPr>
        <w:t xml:space="preserve"> affiliés ou</w:t>
      </w:r>
      <w:r w:rsidR="007F03EA" w:rsidRPr="003E047D">
        <w:rPr>
          <w:rFonts w:ascii="Times New Roman" w:hAnsi="Times New Roman" w:cs="Times New Roman"/>
          <w:sz w:val="24"/>
          <w:szCs w:val="24"/>
          <w:lang w:val="fr-FR"/>
        </w:rPr>
        <w:t xml:space="preserve"> proches du </w:t>
      </w:r>
      <w:r w:rsidR="007F03EA" w:rsidRPr="003E047D">
        <w:rPr>
          <w:rFonts w:ascii="Times New Roman" w:hAnsi="Times New Roman" w:cs="Times New Roman"/>
          <w:i/>
          <w:iCs/>
          <w:sz w:val="24"/>
          <w:szCs w:val="24"/>
          <w:lang w:val="fr-FR"/>
        </w:rPr>
        <w:t>British Idealism and Collingwood Centre</w:t>
      </w:r>
      <w:r w:rsidR="007F03EA" w:rsidRPr="003E047D">
        <w:rPr>
          <w:rFonts w:ascii="Times New Roman" w:hAnsi="Times New Roman" w:cs="Times New Roman"/>
          <w:sz w:val="24"/>
          <w:szCs w:val="24"/>
          <w:lang w:val="fr-FR"/>
        </w:rPr>
        <w:t xml:space="preserve"> (Cardiff)</w:t>
      </w:r>
      <w:r w:rsidR="009510CD">
        <w:rPr>
          <w:rStyle w:val="Appelnotedebasdep"/>
          <w:rFonts w:ascii="Times New Roman" w:hAnsi="Times New Roman" w:cs="Times New Roman"/>
          <w:sz w:val="24"/>
          <w:szCs w:val="24"/>
          <w:lang w:val="fr-FR"/>
        </w:rPr>
        <w:footnoteReference w:id="2"/>
      </w:r>
      <w:r w:rsidR="007F03EA" w:rsidRPr="003E047D">
        <w:rPr>
          <w:rFonts w:ascii="Times New Roman" w:hAnsi="Times New Roman" w:cs="Times New Roman"/>
          <w:sz w:val="24"/>
          <w:szCs w:val="24"/>
          <w:lang w:val="fr-FR"/>
        </w:rPr>
        <w:t>, notamment David Boucher</w:t>
      </w:r>
      <w:r w:rsidR="00675002">
        <w:rPr>
          <w:rFonts w:ascii="Times New Roman" w:hAnsi="Times New Roman" w:cs="Times New Roman"/>
          <w:sz w:val="24"/>
          <w:szCs w:val="24"/>
          <w:lang w:val="fr-FR"/>
        </w:rPr>
        <w:t xml:space="preserve"> (Cardiff University)</w:t>
      </w:r>
      <w:r w:rsidR="00D244E8">
        <w:rPr>
          <w:rFonts w:ascii="Times New Roman" w:hAnsi="Times New Roman" w:cs="Times New Roman"/>
          <w:sz w:val="24"/>
          <w:szCs w:val="24"/>
          <w:lang w:val="fr-FR"/>
        </w:rPr>
        <w:t xml:space="preserve"> (Boucher D., 1989 ; 1999 ; 2017)</w:t>
      </w:r>
      <w:r w:rsidR="00675002" w:rsidRPr="00D244E8">
        <w:rPr>
          <w:rFonts w:ascii="Times New Roman" w:hAnsi="Times New Roman" w:cs="Times New Roman"/>
          <w:sz w:val="24"/>
          <w:szCs w:val="24"/>
        </w:rPr>
        <w:t>,</w:t>
      </w:r>
      <w:r w:rsidR="007F03EA" w:rsidRPr="00D244E8">
        <w:rPr>
          <w:rFonts w:ascii="Times New Roman" w:hAnsi="Times New Roman" w:cs="Times New Roman"/>
          <w:sz w:val="24"/>
          <w:szCs w:val="24"/>
        </w:rPr>
        <w:t xml:space="preserve"> James Connelly</w:t>
      </w:r>
      <w:r w:rsidR="00675002" w:rsidRPr="00D244E8">
        <w:rPr>
          <w:rFonts w:ascii="Times New Roman" w:hAnsi="Times New Roman" w:cs="Times New Roman"/>
          <w:sz w:val="24"/>
          <w:szCs w:val="24"/>
        </w:rPr>
        <w:t xml:space="preserve"> (</w:t>
      </w:r>
      <w:r w:rsidR="00261E78" w:rsidRPr="00D244E8">
        <w:rPr>
          <w:rFonts w:ascii="Times New Roman" w:hAnsi="Times New Roman" w:cs="Times New Roman"/>
          <w:sz w:val="24"/>
          <w:szCs w:val="24"/>
        </w:rPr>
        <w:t>University of Hull)</w:t>
      </w:r>
      <w:r w:rsidR="00D244E8">
        <w:rPr>
          <w:rFonts w:ascii="Times New Roman" w:hAnsi="Times New Roman" w:cs="Times New Roman"/>
          <w:sz w:val="24"/>
          <w:szCs w:val="24"/>
        </w:rPr>
        <w:t xml:space="preserve"> (Connelly, J., 2005 ; Connelly J., Johnson P., Leach S., 2015)</w:t>
      </w:r>
      <w:r w:rsidR="00422869" w:rsidRPr="00D244E8">
        <w:rPr>
          <w:rFonts w:ascii="Times New Roman" w:hAnsi="Times New Roman" w:cs="Times New Roman"/>
          <w:sz w:val="24"/>
          <w:szCs w:val="24"/>
        </w:rPr>
        <w:t xml:space="preserve">, </w:t>
      </w:r>
      <w:r w:rsidR="007F03EA" w:rsidRPr="00D244E8">
        <w:rPr>
          <w:rFonts w:ascii="Times New Roman" w:hAnsi="Times New Roman" w:cs="Times New Roman"/>
          <w:sz w:val="24"/>
          <w:szCs w:val="24"/>
        </w:rPr>
        <w:t>la propre fille de R.G. Collingwood, Teresa Smith</w:t>
      </w:r>
      <w:r w:rsidR="007F5408" w:rsidRPr="00D244E8">
        <w:rPr>
          <w:rFonts w:ascii="Times New Roman" w:hAnsi="Times New Roman" w:cs="Times New Roman"/>
          <w:sz w:val="24"/>
          <w:szCs w:val="24"/>
        </w:rPr>
        <w:t xml:space="preserve"> (1941-2024)</w:t>
      </w:r>
      <w:r w:rsidR="00422869" w:rsidRPr="00D244E8">
        <w:rPr>
          <w:rFonts w:ascii="Times New Roman" w:hAnsi="Times New Roman" w:cs="Times New Roman"/>
          <w:sz w:val="24"/>
          <w:szCs w:val="24"/>
        </w:rPr>
        <w:t>, et tout récemment David Collins (Cambridge University) et Christopher Williams (University of Nevada)</w:t>
      </w:r>
      <w:r w:rsidR="00D244E8">
        <w:rPr>
          <w:rFonts w:ascii="Times New Roman" w:hAnsi="Times New Roman" w:cs="Times New Roman"/>
          <w:sz w:val="24"/>
          <w:szCs w:val="24"/>
        </w:rPr>
        <w:t xml:space="preserve"> (Collins D., Williams C., 2024)</w:t>
      </w:r>
      <w:r w:rsidR="00422869" w:rsidRPr="00D244E8">
        <w:rPr>
          <w:rFonts w:ascii="Times New Roman" w:hAnsi="Times New Roman" w:cs="Times New Roman"/>
          <w:sz w:val="24"/>
          <w:szCs w:val="24"/>
        </w:rPr>
        <w:t>.</w:t>
      </w:r>
    </w:p>
    <w:p w14:paraId="3A9D9C09" w14:textId="01683EE7" w:rsidR="007F03EA" w:rsidRPr="003E047D" w:rsidRDefault="007F03EA" w:rsidP="0063157C">
      <w:pPr>
        <w:spacing w:line="360" w:lineRule="auto"/>
        <w:ind w:firstLine="708"/>
        <w:jc w:val="both"/>
        <w:rPr>
          <w:rFonts w:ascii="Times New Roman" w:hAnsi="Times New Roman" w:cs="Times New Roman"/>
          <w:sz w:val="24"/>
          <w:szCs w:val="24"/>
          <w:lang w:val="fr-FR"/>
        </w:rPr>
      </w:pPr>
      <w:r w:rsidRPr="003E047D">
        <w:rPr>
          <w:rFonts w:ascii="Times New Roman" w:hAnsi="Times New Roman" w:cs="Times New Roman"/>
          <w:sz w:val="24"/>
          <w:szCs w:val="24"/>
          <w:lang w:val="fr-FR"/>
        </w:rPr>
        <w:t>Cependant, ce retour progressif à l’ensemble du corpus collingwoodien,</w:t>
      </w:r>
      <w:r w:rsidR="00E14C0E">
        <w:rPr>
          <w:rFonts w:ascii="Times New Roman" w:hAnsi="Times New Roman" w:cs="Times New Roman"/>
          <w:sz w:val="24"/>
          <w:szCs w:val="24"/>
          <w:lang w:val="fr-FR"/>
        </w:rPr>
        <w:t xml:space="preserve"> à travers</w:t>
      </w:r>
      <w:r w:rsidRPr="003E047D">
        <w:rPr>
          <w:rFonts w:ascii="Times New Roman" w:hAnsi="Times New Roman" w:cs="Times New Roman"/>
          <w:sz w:val="24"/>
          <w:szCs w:val="24"/>
          <w:lang w:val="fr-FR"/>
        </w:rPr>
        <w:t xml:space="preserve"> </w:t>
      </w:r>
      <w:r w:rsidR="003E047D" w:rsidRPr="003E047D">
        <w:rPr>
          <w:rFonts w:ascii="Times New Roman" w:hAnsi="Times New Roman" w:cs="Times New Roman"/>
          <w:sz w:val="24"/>
          <w:szCs w:val="24"/>
          <w:lang w:val="fr-FR"/>
        </w:rPr>
        <w:t xml:space="preserve">les lectures récentes de </w:t>
      </w:r>
      <w:r w:rsidRPr="003E047D">
        <w:rPr>
          <w:rFonts w:ascii="Times New Roman" w:hAnsi="Times New Roman" w:cs="Times New Roman"/>
          <w:sz w:val="24"/>
          <w:szCs w:val="24"/>
          <w:lang w:val="fr-FR"/>
        </w:rPr>
        <w:t>ses manuscrits d’anthropologie</w:t>
      </w:r>
      <w:r w:rsidR="00D244E8">
        <w:rPr>
          <w:rFonts w:ascii="Times New Roman" w:hAnsi="Times New Roman" w:cs="Times New Roman"/>
          <w:sz w:val="24"/>
          <w:szCs w:val="24"/>
          <w:lang w:val="fr-FR"/>
        </w:rPr>
        <w:t xml:space="preserve"> (Boucher D., James W., Smallwood P., 2005)</w:t>
      </w:r>
      <w:r w:rsidRPr="003E047D">
        <w:rPr>
          <w:rFonts w:ascii="Times New Roman" w:hAnsi="Times New Roman" w:cs="Times New Roman"/>
          <w:sz w:val="24"/>
          <w:szCs w:val="24"/>
          <w:lang w:val="fr-FR"/>
        </w:rPr>
        <w:t xml:space="preserve"> ou </w:t>
      </w:r>
      <w:r w:rsidR="003E047D" w:rsidRPr="003E047D">
        <w:rPr>
          <w:rFonts w:ascii="Times New Roman" w:hAnsi="Times New Roman" w:cs="Times New Roman"/>
          <w:sz w:val="24"/>
          <w:szCs w:val="24"/>
          <w:lang w:val="fr-FR"/>
        </w:rPr>
        <w:t xml:space="preserve">de </w:t>
      </w:r>
      <w:r w:rsidRPr="003E047D">
        <w:rPr>
          <w:rFonts w:ascii="Times New Roman" w:hAnsi="Times New Roman" w:cs="Times New Roman"/>
          <w:sz w:val="24"/>
          <w:szCs w:val="24"/>
          <w:lang w:val="fr-FR"/>
        </w:rPr>
        <w:t xml:space="preserve">ses écrits </w:t>
      </w:r>
      <w:r w:rsidR="00564D6E">
        <w:rPr>
          <w:rFonts w:ascii="Times New Roman" w:hAnsi="Times New Roman" w:cs="Times New Roman"/>
          <w:sz w:val="24"/>
          <w:szCs w:val="24"/>
          <w:lang w:val="fr-FR"/>
        </w:rPr>
        <w:t>en archéologie</w:t>
      </w:r>
      <w:r w:rsidR="00D244E8">
        <w:rPr>
          <w:rFonts w:ascii="Times New Roman" w:hAnsi="Times New Roman" w:cs="Times New Roman"/>
          <w:sz w:val="24"/>
          <w:szCs w:val="24"/>
          <w:lang w:val="fr-FR"/>
        </w:rPr>
        <w:t xml:space="preserve"> (Leach S. 2018, p 249-264)</w:t>
      </w:r>
      <w:r w:rsidR="003E047D" w:rsidRPr="003E047D">
        <w:rPr>
          <w:rFonts w:ascii="Times New Roman" w:hAnsi="Times New Roman" w:cs="Times New Roman"/>
          <w:sz w:val="24"/>
          <w:szCs w:val="24"/>
          <w:lang w:val="fr-FR"/>
        </w:rPr>
        <w:t xml:space="preserve">, n’a pas connu le même essor en régime francophone. </w:t>
      </w:r>
      <w:r w:rsidR="007C5C1A">
        <w:rPr>
          <w:rFonts w:ascii="Times New Roman" w:hAnsi="Times New Roman" w:cs="Times New Roman"/>
          <w:sz w:val="24"/>
          <w:szCs w:val="24"/>
          <w:lang w:val="fr-FR"/>
        </w:rPr>
        <w:t>A l’exception d’un article de Pierre Fruchon en 1958</w:t>
      </w:r>
      <w:r w:rsidR="000B7C13">
        <w:rPr>
          <w:rFonts w:ascii="Times New Roman" w:hAnsi="Times New Roman" w:cs="Times New Roman"/>
          <w:sz w:val="24"/>
          <w:szCs w:val="24"/>
          <w:lang w:val="fr-FR"/>
        </w:rPr>
        <w:t xml:space="preserve"> (Fruchon P., 1958) </w:t>
      </w:r>
      <w:r w:rsidR="007C5C1A">
        <w:rPr>
          <w:rFonts w:ascii="Times New Roman" w:hAnsi="Times New Roman" w:cs="Times New Roman"/>
          <w:sz w:val="24"/>
          <w:szCs w:val="24"/>
          <w:lang w:val="fr-FR"/>
        </w:rPr>
        <w:t xml:space="preserve">et l’ouvrage d’Albert Shalom, </w:t>
      </w:r>
      <w:r w:rsidR="007C5C1A">
        <w:rPr>
          <w:rFonts w:ascii="Times New Roman" w:hAnsi="Times New Roman" w:cs="Times New Roman"/>
          <w:i/>
          <w:iCs/>
          <w:sz w:val="24"/>
          <w:szCs w:val="24"/>
          <w:lang w:val="fr-FR"/>
        </w:rPr>
        <w:t>R.G. Collingwood, philosophe et historien</w:t>
      </w:r>
      <w:r w:rsidR="007C5C1A">
        <w:rPr>
          <w:rFonts w:ascii="Times New Roman" w:hAnsi="Times New Roman" w:cs="Times New Roman"/>
          <w:sz w:val="24"/>
          <w:szCs w:val="24"/>
          <w:lang w:val="fr-FR"/>
        </w:rPr>
        <w:t xml:space="preserve"> en 1967, l</w:t>
      </w:r>
      <w:r w:rsidR="007F5408">
        <w:rPr>
          <w:rFonts w:ascii="Times New Roman" w:hAnsi="Times New Roman" w:cs="Times New Roman"/>
          <w:sz w:val="24"/>
          <w:szCs w:val="24"/>
          <w:lang w:val="fr-FR"/>
        </w:rPr>
        <w:t xml:space="preserve">a </w:t>
      </w:r>
      <w:r w:rsidR="007C5C1A">
        <w:rPr>
          <w:rFonts w:ascii="Times New Roman" w:hAnsi="Times New Roman" w:cs="Times New Roman"/>
          <w:sz w:val="24"/>
          <w:szCs w:val="24"/>
          <w:lang w:val="fr-FR"/>
        </w:rPr>
        <w:t xml:space="preserve">véritable </w:t>
      </w:r>
      <w:r w:rsidR="007F5408">
        <w:rPr>
          <w:rFonts w:ascii="Times New Roman" w:hAnsi="Times New Roman" w:cs="Times New Roman"/>
          <w:sz w:val="24"/>
          <w:szCs w:val="24"/>
          <w:lang w:val="fr-FR"/>
        </w:rPr>
        <w:t>recherche</w:t>
      </w:r>
      <w:r w:rsidR="007C5C1A">
        <w:rPr>
          <w:rFonts w:ascii="Times New Roman" w:hAnsi="Times New Roman" w:cs="Times New Roman"/>
          <w:sz w:val="24"/>
          <w:szCs w:val="24"/>
          <w:lang w:val="fr-FR"/>
        </w:rPr>
        <w:t xml:space="preserve"> sur l’œuvre de Collingwood produite </w:t>
      </w:r>
      <w:r w:rsidR="007F5408">
        <w:rPr>
          <w:rFonts w:ascii="Times New Roman" w:hAnsi="Times New Roman" w:cs="Times New Roman"/>
          <w:sz w:val="24"/>
          <w:szCs w:val="24"/>
          <w:lang w:val="fr-FR"/>
        </w:rPr>
        <w:t xml:space="preserve">en langue française </w:t>
      </w:r>
      <w:r w:rsidR="007C5C1A">
        <w:rPr>
          <w:rFonts w:ascii="Times New Roman" w:hAnsi="Times New Roman" w:cs="Times New Roman"/>
          <w:sz w:val="24"/>
          <w:szCs w:val="24"/>
          <w:lang w:val="fr-FR"/>
        </w:rPr>
        <w:t>n’</w:t>
      </w:r>
      <w:r w:rsidR="007F5408">
        <w:rPr>
          <w:rFonts w:ascii="Times New Roman" w:hAnsi="Times New Roman" w:cs="Times New Roman"/>
          <w:sz w:val="24"/>
          <w:szCs w:val="24"/>
          <w:lang w:val="fr-FR"/>
        </w:rPr>
        <w:t xml:space="preserve">apparaît </w:t>
      </w:r>
      <w:r w:rsidR="007C5C1A">
        <w:rPr>
          <w:rFonts w:ascii="Times New Roman" w:hAnsi="Times New Roman" w:cs="Times New Roman"/>
          <w:sz w:val="24"/>
          <w:szCs w:val="24"/>
          <w:lang w:val="fr-FR"/>
        </w:rPr>
        <w:t>qu’</w:t>
      </w:r>
      <w:r w:rsidR="007F5408">
        <w:rPr>
          <w:rFonts w:ascii="Times New Roman" w:hAnsi="Times New Roman" w:cs="Times New Roman"/>
          <w:sz w:val="24"/>
          <w:szCs w:val="24"/>
          <w:lang w:val="fr-FR"/>
        </w:rPr>
        <w:t>à la fin du siècle dernier et au début du XXIème siècle avec les travaux</w:t>
      </w:r>
      <w:r w:rsidR="00C71427">
        <w:rPr>
          <w:rFonts w:ascii="Times New Roman" w:hAnsi="Times New Roman" w:cs="Times New Roman"/>
          <w:sz w:val="24"/>
          <w:szCs w:val="24"/>
          <w:lang w:val="fr-FR"/>
        </w:rPr>
        <w:t xml:space="preserve"> très riches</w:t>
      </w:r>
      <w:r w:rsidR="007F5408">
        <w:rPr>
          <w:rFonts w:ascii="Times New Roman" w:hAnsi="Times New Roman" w:cs="Times New Roman"/>
          <w:sz w:val="24"/>
          <w:szCs w:val="24"/>
          <w:lang w:val="fr-FR"/>
        </w:rPr>
        <w:t xml:space="preserve"> de Mathieu Marion et </w:t>
      </w:r>
      <w:r w:rsidR="00C71427">
        <w:rPr>
          <w:rFonts w:ascii="Times New Roman" w:hAnsi="Times New Roman" w:cs="Times New Roman"/>
          <w:sz w:val="24"/>
          <w:szCs w:val="24"/>
          <w:lang w:val="fr-FR"/>
        </w:rPr>
        <w:t xml:space="preserve">de </w:t>
      </w:r>
      <w:r w:rsidR="007F5408">
        <w:rPr>
          <w:rFonts w:ascii="Times New Roman" w:hAnsi="Times New Roman" w:cs="Times New Roman"/>
          <w:sz w:val="24"/>
          <w:szCs w:val="24"/>
          <w:lang w:val="fr-FR"/>
        </w:rPr>
        <w:t xml:space="preserve">Chinatsu Kobayashi au Québec, </w:t>
      </w:r>
      <w:r w:rsidR="007C5C1A">
        <w:rPr>
          <w:rFonts w:ascii="Times New Roman" w:hAnsi="Times New Roman" w:cs="Times New Roman"/>
          <w:sz w:val="24"/>
          <w:szCs w:val="24"/>
          <w:lang w:val="fr-FR"/>
        </w:rPr>
        <w:t xml:space="preserve">et </w:t>
      </w:r>
      <w:r w:rsidR="00C71427">
        <w:rPr>
          <w:rFonts w:ascii="Times New Roman" w:hAnsi="Times New Roman" w:cs="Times New Roman"/>
          <w:sz w:val="24"/>
          <w:szCs w:val="24"/>
          <w:lang w:val="fr-FR"/>
        </w:rPr>
        <w:t xml:space="preserve">les travaux plus ponctuels </w:t>
      </w:r>
      <w:r w:rsidR="007C5C1A">
        <w:rPr>
          <w:rFonts w:ascii="Times New Roman" w:hAnsi="Times New Roman" w:cs="Times New Roman"/>
          <w:sz w:val="24"/>
          <w:szCs w:val="24"/>
          <w:lang w:val="fr-FR"/>
        </w:rPr>
        <w:t>de</w:t>
      </w:r>
      <w:r w:rsidR="007F5408">
        <w:rPr>
          <w:rFonts w:ascii="Times New Roman" w:hAnsi="Times New Roman" w:cs="Times New Roman"/>
          <w:sz w:val="24"/>
          <w:szCs w:val="24"/>
          <w:lang w:val="fr-FR"/>
        </w:rPr>
        <w:t xml:space="preserve"> </w:t>
      </w:r>
      <w:r w:rsidR="00C71427">
        <w:rPr>
          <w:rFonts w:ascii="Times New Roman" w:hAnsi="Times New Roman" w:cs="Times New Roman"/>
          <w:sz w:val="24"/>
          <w:szCs w:val="24"/>
          <w:lang w:val="fr-FR"/>
        </w:rPr>
        <w:t>Paulette Carrive</w:t>
      </w:r>
      <w:r w:rsidR="000B7C13">
        <w:rPr>
          <w:rFonts w:ascii="Times New Roman" w:hAnsi="Times New Roman" w:cs="Times New Roman"/>
          <w:sz w:val="24"/>
          <w:szCs w:val="24"/>
          <w:lang w:val="fr-FR"/>
        </w:rPr>
        <w:t xml:space="preserve"> (Carrive P, 2006)</w:t>
      </w:r>
      <w:r w:rsidR="00C71427">
        <w:rPr>
          <w:rFonts w:ascii="Times New Roman" w:hAnsi="Times New Roman" w:cs="Times New Roman"/>
          <w:sz w:val="24"/>
          <w:szCs w:val="24"/>
          <w:lang w:val="fr-FR"/>
        </w:rPr>
        <w:t xml:space="preserve">, </w:t>
      </w:r>
      <w:r w:rsidR="007F5408">
        <w:rPr>
          <w:rFonts w:ascii="Times New Roman" w:hAnsi="Times New Roman" w:cs="Times New Roman"/>
          <w:sz w:val="24"/>
          <w:szCs w:val="24"/>
          <w:lang w:val="fr-FR"/>
        </w:rPr>
        <w:t>Laurent Jaffro</w:t>
      </w:r>
      <w:r w:rsidR="000B7C13">
        <w:rPr>
          <w:rFonts w:ascii="Times New Roman" w:hAnsi="Times New Roman" w:cs="Times New Roman"/>
          <w:sz w:val="24"/>
          <w:szCs w:val="24"/>
          <w:lang w:val="fr-FR"/>
        </w:rPr>
        <w:t xml:space="preserve"> (Jaffro L., 2008 p.253-271 ; 2008 p.131-147)</w:t>
      </w:r>
      <w:r w:rsidR="007F5408">
        <w:rPr>
          <w:rFonts w:ascii="Times New Roman" w:hAnsi="Times New Roman" w:cs="Times New Roman"/>
          <w:sz w:val="24"/>
          <w:szCs w:val="24"/>
          <w:lang w:val="fr-FR"/>
        </w:rPr>
        <w:t xml:space="preserve"> et Sébastien Gandon</w:t>
      </w:r>
      <w:r w:rsidR="000B7C13">
        <w:rPr>
          <w:rFonts w:ascii="Times New Roman" w:hAnsi="Times New Roman" w:cs="Times New Roman"/>
          <w:sz w:val="24"/>
          <w:szCs w:val="24"/>
          <w:lang w:val="fr-FR"/>
        </w:rPr>
        <w:t xml:space="preserve"> (Gandon S., Marion M., 2009)</w:t>
      </w:r>
      <w:r w:rsidR="007C5C1A">
        <w:rPr>
          <w:rFonts w:ascii="Times New Roman" w:hAnsi="Times New Roman" w:cs="Times New Roman"/>
          <w:sz w:val="24"/>
          <w:szCs w:val="24"/>
          <w:lang w:val="fr-FR"/>
        </w:rPr>
        <w:t xml:space="preserve"> en France</w:t>
      </w:r>
      <w:r w:rsidR="007F5408">
        <w:rPr>
          <w:rFonts w:ascii="Times New Roman" w:hAnsi="Times New Roman" w:cs="Times New Roman"/>
          <w:sz w:val="24"/>
          <w:szCs w:val="24"/>
          <w:lang w:val="fr-FR"/>
        </w:rPr>
        <w:t xml:space="preserve"> qui tentent d’initier un mouvement d’études de cet auteur en important les actualités anglo-saxonnes. </w:t>
      </w:r>
      <w:r w:rsidR="007C5C1A">
        <w:rPr>
          <w:rFonts w:ascii="Times New Roman" w:hAnsi="Times New Roman" w:cs="Times New Roman"/>
          <w:sz w:val="24"/>
          <w:szCs w:val="24"/>
          <w:lang w:val="fr-FR"/>
        </w:rPr>
        <w:t>Malgré ce récent intérêt pour Collingwood, il</w:t>
      </w:r>
      <w:r w:rsidR="007F5408">
        <w:rPr>
          <w:rFonts w:ascii="Times New Roman" w:hAnsi="Times New Roman" w:cs="Times New Roman"/>
          <w:sz w:val="24"/>
          <w:szCs w:val="24"/>
          <w:lang w:val="fr-FR"/>
        </w:rPr>
        <w:t xml:space="preserve"> n’en demeure pas moins </w:t>
      </w:r>
      <w:r w:rsidR="003E047D" w:rsidRPr="003E047D">
        <w:rPr>
          <w:rFonts w:ascii="Times New Roman" w:hAnsi="Times New Roman" w:cs="Times New Roman"/>
          <w:sz w:val="24"/>
          <w:szCs w:val="24"/>
          <w:lang w:val="fr-FR"/>
        </w:rPr>
        <w:t>que la réception d</w:t>
      </w:r>
      <w:r w:rsidR="007C5C1A">
        <w:rPr>
          <w:rFonts w:ascii="Times New Roman" w:hAnsi="Times New Roman" w:cs="Times New Roman"/>
          <w:sz w:val="24"/>
          <w:szCs w:val="24"/>
          <w:lang w:val="fr-FR"/>
        </w:rPr>
        <w:t xml:space="preserve">u philosophe </w:t>
      </w:r>
      <w:r w:rsidR="003E047D" w:rsidRPr="003E047D">
        <w:rPr>
          <w:rFonts w:ascii="Times New Roman" w:hAnsi="Times New Roman" w:cs="Times New Roman"/>
          <w:sz w:val="24"/>
          <w:szCs w:val="24"/>
          <w:lang w:val="fr-FR"/>
        </w:rPr>
        <w:t>en France est toujours tributaire d’un certain nombre</w:t>
      </w:r>
      <w:r w:rsidR="002D7EDA">
        <w:rPr>
          <w:rFonts w:ascii="Times New Roman" w:hAnsi="Times New Roman" w:cs="Times New Roman"/>
          <w:sz w:val="24"/>
          <w:szCs w:val="24"/>
          <w:lang w:val="fr-FR"/>
        </w:rPr>
        <w:t xml:space="preserve"> </w:t>
      </w:r>
      <w:r w:rsidR="003E047D" w:rsidRPr="003E047D">
        <w:rPr>
          <w:rFonts w:ascii="Times New Roman" w:hAnsi="Times New Roman" w:cs="Times New Roman"/>
          <w:sz w:val="24"/>
          <w:szCs w:val="24"/>
          <w:lang w:val="fr-FR"/>
        </w:rPr>
        <w:t xml:space="preserve">de préjugés philosophiques dont il nous faut redessiner l’histoire pour en </w:t>
      </w:r>
      <w:r w:rsidR="003E047D" w:rsidRPr="003E047D">
        <w:rPr>
          <w:rFonts w:ascii="Times New Roman" w:hAnsi="Times New Roman" w:cs="Times New Roman"/>
          <w:sz w:val="24"/>
          <w:szCs w:val="24"/>
          <w:lang w:val="fr-FR"/>
        </w:rPr>
        <w:lastRenderedPageBreak/>
        <w:t xml:space="preserve">comprendre les effets. </w:t>
      </w:r>
      <w:r w:rsidR="007C5C1A">
        <w:rPr>
          <w:rFonts w:ascii="Times New Roman" w:hAnsi="Times New Roman" w:cs="Times New Roman"/>
          <w:sz w:val="24"/>
          <w:szCs w:val="24"/>
          <w:lang w:val="fr-FR"/>
        </w:rPr>
        <w:t xml:space="preserve">Car, avant d’avoir fait l’objet d’une analyse précise et complète, l’œuvre de Collingwood a fait l’objet d’un certain nombre de lectures par des auteurs français. </w:t>
      </w:r>
    </w:p>
    <w:p w14:paraId="3130EF98" w14:textId="40F4DF85" w:rsidR="003E047D" w:rsidRDefault="003E047D" w:rsidP="0063157C">
      <w:pPr>
        <w:spacing w:line="360" w:lineRule="auto"/>
        <w:jc w:val="both"/>
        <w:rPr>
          <w:rFonts w:ascii="Times New Roman" w:hAnsi="Times New Roman" w:cs="Times New Roman"/>
          <w:sz w:val="24"/>
          <w:szCs w:val="24"/>
          <w:lang w:val="fr-FR"/>
        </w:rPr>
      </w:pPr>
      <w:r w:rsidRPr="003E047D">
        <w:rPr>
          <w:rFonts w:ascii="Times New Roman" w:hAnsi="Times New Roman" w:cs="Times New Roman"/>
          <w:sz w:val="24"/>
          <w:szCs w:val="24"/>
          <w:lang w:val="fr-FR"/>
        </w:rPr>
        <w:tab/>
      </w:r>
      <w:r w:rsidR="007E6256">
        <w:rPr>
          <w:rFonts w:ascii="Times New Roman" w:hAnsi="Times New Roman" w:cs="Times New Roman"/>
          <w:sz w:val="24"/>
          <w:szCs w:val="24"/>
          <w:lang w:val="fr-FR"/>
        </w:rPr>
        <w:t xml:space="preserve">Une </w:t>
      </w:r>
      <w:r w:rsidRPr="003E047D">
        <w:rPr>
          <w:rFonts w:ascii="Times New Roman" w:hAnsi="Times New Roman" w:cs="Times New Roman"/>
          <w:sz w:val="24"/>
          <w:szCs w:val="24"/>
          <w:lang w:val="fr-FR"/>
        </w:rPr>
        <w:t xml:space="preserve">philosophie </w:t>
      </w:r>
      <w:r w:rsidR="007C5C1A">
        <w:rPr>
          <w:rFonts w:ascii="Times New Roman" w:hAnsi="Times New Roman" w:cs="Times New Roman"/>
          <w:sz w:val="24"/>
          <w:szCs w:val="24"/>
          <w:lang w:val="fr-FR"/>
        </w:rPr>
        <w:t xml:space="preserve">étrangère </w:t>
      </w:r>
      <w:r w:rsidRPr="003E047D">
        <w:rPr>
          <w:rFonts w:ascii="Times New Roman" w:hAnsi="Times New Roman" w:cs="Times New Roman"/>
          <w:sz w:val="24"/>
          <w:szCs w:val="24"/>
          <w:lang w:val="fr-FR"/>
        </w:rPr>
        <w:t>importée dans un débat philosophiqu</w:t>
      </w:r>
      <w:r w:rsidR="007C5C1A">
        <w:rPr>
          <w:rFonts w:ascii="Times New Roman" w:hAnsi="Times New Roman" w:cs="Times New Roman"/>
          <w:sz w:val="24"/>
          <w:szCs w:val="24"/>
          <w:lang w:val="fr-FR"/>
        </w:rPr>
        <w:t>e</w:t>
      </w:r>
      <w:r w:rsidRPr="003E047D">
        <w:rPr>
          <w:rFonts w:ascii="Times New Roman" w:hAnsi="Times New Roman" w:cs="Times New Roman"/>
          <w:sz w:val="24"/>
          <w:szCs w:val="24"/>
          <w:lang w:val="fr-FR"/>
        </w:rPr>
        <w:t xml:space="preserve"> répond d’abord aux questions posées par le pays hôte et non aux questions qui lui sont propres.</w:t>
      </w:r>
      <w:r w:rsidR="007E6256">
        <w:rPr>
          <w:rFonts w:ascii="Times New Roman" w:hAnsi="Times New Roman" w:cs="Times New Roman"/>
          <w:sz w:val="24"/>
          <w:szCs w:val="24"/>
          <w:lang w:val="fr-FR"/>
        </w:rPr>
        <w:t xml:space="preserve"> Ce sont les lecteurs de Collingwood en France qui l’ont intégré dans le contexte de leur débat. De ce fait, e</w:t>
      </w:r>
      <w:r w:rsidR="00796765" w:rsidRPr="00796765">
        <w:rPr>
          <w:rFonts w:ascii="Times New Roman" w:hAnsi="Times New Roman" w:cs="Times New Roman"/>
          <w:sz w:val="24"/>
          <w:szCs w:val="24"/>
          <w:lang w:val="fr-FR"/>
        </w:rPr>
        <w:t>n essayant de poursuivre une recherche à la fois historique, afin de retracer les mentions qui ont été faites de R.G. Collingwood en France, et philosophique en interrogeant les concepts collingwoodiens qui ont été inscrits dans des débats français, nous interrogerons</w:t>
      </w:r>
      <w:r w:rsidR="00AE59AD">
        <w:rPr>
          <w:rFonts w:ascii="Times New Roman" w:hAnsi="Times New Roman" w:cs="Times New Roman"/>
          <w:sz w:val="24"/>
          <w:szCs w:val="24"/>
          <w:lang w:val="fr-FR"/>
        </w:rPr>
        <w:t xml:space="preserve"> </w:t>
      </w:r>
      <w:r w:rsidR="00D606C5">
        <w:rPr>
          <w:rFonts w:ascii="Times New Roman" w:hAnsi="Times New Roman" w:cs="Times New Roman"/>
          <w:sz w:val="24"/>
          <w:szCs w:val="24"/>
          <w:lang w:val="fr-FR"/>
        </w:rPr>
        <w:t>la réception de celui que l’historien Henri-Irénée Marrou caractérisait ainsi : « Un esprit curieux, un peu bizarre »</w:t>
      </w:r>
      <w:r w:rsidR="000B7C13">
        <w:rPr>
          <w:rFonts w:ascii="Times New Roman" w:hAnsi="Times New Roman" w:cs="Times New Roman"/>
          <w:sz w:val="24"/>
          <w:szCs w:val="24"/>
          <w:lang w:val="fr-FR"/>
        </w:rPr>
        <w:t xml:space="preserve"> (Marrou H.I., 1</w:t>
      </w:r>
      <w:r w:rsidR="00075AF0">
        <w:rPr>
          <w:rFonts w:ascii="Times New Roman" w:hAnsi="Times New Roman" w:cs="Times New Roman"/>
          <w:sz w:val="24"/>
          <w:szCs w:val="24"/>
          <w:lang w:val="fr-FR"/>
        </w:rPr>
        <w:t>9</w:t>
      </w:r>
      <w:r w:rsidR="000B7C13">
        <w:rPr>
          <w:rFonts w:ascii="Times New Roman" w:hAnsi="Times New Roman" w:cs="Times New Roman"/>
          <w:sz w:val="24"/>
          <w:szCs w:val="24"/>
          <w:lang w:val="fr-FR"/>
        </w:rPr>
        <w:t>54, p.21).</w:t>
      </w:r>
    </w:p>
    <w:p w14:paraId="60985D65" w14:textId="3E7A0EB9" w:rsidR="0063157C" w:rsidRDefault="00796765" w:rsidP="0063157C">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9F624F">
        <w:rPr>
          <w:rFonts w:ascii="Times New Roman" w:hAnsi="Times New Roman" w:cs="Times New Roman"/>
          <w:sz w:val="24"/>
          <w:szCs w:val="24"/>
          <w:lang w:val="fr-FR"/>
        </w:rPr>
        <w:t xml:space="preserve">C’est en effet, </w:t>
      </w:r>
      <w:r>
        <w:rPr>
          <w:rFonts w:ascii="Times New Roman" w:hAnsi="Times New Roman" w:cs="Times New Roman"/>
          <w:sz w:val="24"/>
          <w:szCs w:val="24"/>
          <w:lang w:val="fr-FR"/>
        </w:rPr>
        <w:t>Henri-Irénée Marrou</w:t>
      </w:r>
      <w:r w:rsidR="007C79E2">
        <w:rPr>
          <w:rFonts w:ascii="Times New Roman" w:hAnsi="Times New Roman" w:cs="Times New Roman"/>
          <w:sz w:val="24"/>
          <w:szCs w:val="24"/>
          <w:lang w:val="fr-FR"/>
        </w:rPr>
        <w:t xml:space="preserve"> qui</w:t>
      </w:r>
      <w:r>
        <w:rPr>
          <w:rFonts w:ascii="Times New Roman" w:hAnsi="Times New Roman" w:cs="Times New Roman"/>
          <w:sz w:val="24"/>
          <w:szCs w:val="24"/>
          <w:lang w:val="fr-FR"/>
        </w:rPr>
        <w:t xml:space="preserve"> le premier</w:t>
      </w:r>
      <w:r w:rsidR="007C5C1A">
        <w:rPr>
          <w:rFonts w:ascii="Times New Roman" w:hAnsi="Times New Roman" w:cs="Times New Roman"/>
          <w:sz w:val="24"/>
          <w:szCs w:val="24"/>
          <w:lang w:val="fr-FR"/>
        </w:rPr>
        <w:t>,</w:t>
      </w:r>
      <w:r>
        <w:rPr>
          <w:rFonts w:ascii="Times New Roman" w:hAnsi="Times New Roman" w:cs="Times New Roman"/>
          <w:sz w:val="24"/>
          <w:szCs w:val="24"/>
          <w:lang w:val="fr-FR"/>
        </w:rPr>
        <w:t xml:space="preserve"> en France</w:t>
      </w:r>
      <w:r w:rsidR="007C79E2">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007C79E2">
        <w:rPr>
          <w:rFonts w:ascii="Times New Roman" w:hAnsi="Times New Roman" w:cs="Times New Roman"/>
          <w:sz w:val="24"/>
          <w:szCs w:val="24"/>
          <w:lang w:val="fr-FR"/>
        </w:rPr>
        <w:t>s’est</w:t>
      </w:r>
      <w:r>
        <w:rPr>
          <w:rFonts w:ascii="Times New Roman" w:hAnsi="Times New Roman" w:cs="Times New Roman"/>
          <w:sz w:val="24"/>
          <w:szCs w:val="24"/>
          <w:lang w:val="fr-FR"/>
        </w:rPr>
        <w:t xml:space="preserve"> réellement intéressé à</w:t>
      </w:r>
      <w:r w:rsidR="00036109">
        <w:rPr>
          <w:rFonts w:ascii="Times New Roman" w:hAnsi="Times New Roman" w:cs="Times New Roman"/>
          <w:sz w:val="24"/>
          <w:szCs w:val="24"/>
          <w:lang w:val="fr-FR"/>
        </w:rPr>
        <w:t xml:space="preserve"> l</w:t>
      </w:r>
      <w:r>
        <w:rPr>
          <w:rFonts w:ascii="Times New Roman" w:hAnsi="Times New Roman" w:cs="Times New Roman"/>
          <w:sz w:val="24"/>
          <w:szCs w:val="24"/>
          <w:lang w:val="fr-FR"/>
        </w:rPr>
        <w:t>a philosophie de l’histoire</w:t>
      </w:r>
      <w:r w:rsidR="00036109">
        <w:rPr>
          <w:rFonts w:ascii="Times New Roman" w:hAnsi="Times New Roman" w:cs="Times New Roman"/>
          <w:sz w:val="24"/>
          <w:szCs w:val="24"/>
          <w:lang w:val="fr-FR"/>
        </w:rPr>
        <w:t xml:space="preserve"> de Collingwood</w:t>
      </w:r>
      <w:r>
        <w:rPr>
          <w:rFonts w:ascii="Times New Roman" w:hAnsi="Times New Roman" w:cs="Times New Roman"/>
          <w:sz w:val="24"/>
          <w:szCs w:val="24"/>
          <w:lang w:val="fr-FR"/>
        </w:rPr>
        <w:t xml:space="preserve">. En frontispice de la première édition de son ouvrage </w:t>
      </w:r>
      <w:r>
        <w:rPr>
          <w:rFonts w:ascii="Times New Roman" w:hAnsi="Times New Roman" w:cs="Times New Roman"/>
          <w:i/>
          <w:iCs/>
          <w:sz w:val="24"/>
          <w:szCs w:val="24"/>
          <w:lang w:val="fr-FR"/>
        </w:rPr>
        <w:t>De la connaissance historique</w:t>
      </w:r>
      <w:r w:rsidR="008733E2">
        <w:rPr>
          <w:rFonts w:ascii="Times New Roman" w:hAnsi="Times New Roman" w:cs="Times New Roman"/>
          <w:sz w:val="24"/>
          <w:szCs w:val="24"/>
          <w:lang w:val="fr-FR"/>
        </w:rPr>
        <w:t xml:space="preserve">, </w:t>
      </w:r>
      <w:r w:rsidR="004B5D7C">
        <w:rPr>
          <w:rFonts w:ascii="Times New Roman" w:hAnsi="Times New Roman" w:cs="Times New Roman"/>
          <w:sz w:val="24"/>
          <w:szCs w:val="24"/>
          <w:lang w:val="fr-FR"/>
        </w:rPr>
        <w:t xml:space="preserve">Marrou place une image représentant trois montagnes </w:t>
      </w:r>
      <w:r w:rsidR="006B64BA">
        <w:rPr>
          <w:rFonts w:ascii="Times New Roman" w:hAnsi="Times New Roman" w:cs="Times New Roman"/>
          <w:sz w:val="24"/>
          <w:szCs w:val="24"/>
          <w:lang w:val="fr-FR"/>
        </w:rPr>
        <w:t>philosophiques</w:t>
      </w:r>
      <w:r w:rsidR="000B7C13">
        <w:rPr>
          <w:rFonts w:ascii="Times New Roman" w:hAnsi="Times New Roman" w:cs="Times New Roman"/>
          <w:sz w:val="24"/>
          <w:szCs w:val="24"/>
          <w:lang w:val="fr-FR"/>
        </w:rPr>
        <w:t xml:space="preserve"> </w:t>
      </w:r>
      <w:r w:rsidR="006B64BA">
        <w:rPr>
          <w:rFonts w:ascii="Times New Roman" w:hAnsi="Times New Roman" w:cs="Times New Roman"/>
          <w:sz w:val="24"/>
          <w:szCs w:val="24"/>
          <w:lang w:val="fr-FR"/>
        </w:rPr>
        <w:t xml:space="preserve">: Kant, Hegel et Hume, </w:t>
      </w:r>
      <w:r w:rsidR="00344F3E">
        <w:rPr>
          <w:rFonts w:ascii="Times New Roman" w:hAnsi="Times New Roman" w:cs="Times New Roman"/>
          <w:sz w:val="24"/>
          <w:szCs w:val="24"/>
          <w:lang w:val="fr-FR"/>
        </w:rPr>
        <w:t xml:space="preserve">desquelles </w:t>
      </w:r>
      <w:r w:rsidR="006B64BA">
        <w:rPr>
          <w:rFonts w:ascii="Times New Roman" w:hAnsi="Times New Roman" w:cs="Times New Roman"/>
          <w:sz w:val="24"/>
          <w:szCs w:val="24"/>
          <w:lang w:val="fr-FR"/>
        </w:rPr>
        <w:t xml:space="preserve">montagnes coulent plusieurs rivières aux </w:t>
      </w:r>
      <w:r w:rsidR="006A1007">
        <w:rPr>
          <w:rFonts w:ascii="Times New Roman" w:hAnsi="Times New Roman" w:cs="Times New Roman"/>
          <w:sz w:val="24"/>
          <w:szCs w:val="24"/>
          <w:lang w:val="fr-FR"/>
        </w:rPr>
        <w:t>flots inégaux.</w:t>
      </w:r>
      <w:r w:rsidR="00344F3E">
        <w:rPr>
          <w:rFonts w:ascii="Times New Roman" w:hAnsi="Times New Roman" w:cs="Times New Roman"/>
          <w:sz w:val="24"/>
          <w:szCs w:val="24"/>
          <w:lang w:val="fr-FR"/>
        </w:rPr>
        <w:t xml:space="preserve"> </w:t>
      </w:r>
      <w:r w:rsidR="00D212A7">
        <w:rPr>
          <w:rFonts w:ascii="Times New Roman" w:hAnsi="Times New Roman" w:cs="Times New Roman"/>
          <w:sz w:val="24"/>
          <w:szCs w:val="24"/>
          <w:lang w:val="fr-FR"/>
        </w:rPr>
        <w:t>La rivière principale prend sa source chez Kant en la personne de Dilthey, elle est irriguée par les pluies du nuage Kierkegaard</w:t>
      </w:r>
      <w:r w:rsidR="004B4AF2">
        <w:rPr>
          <w:rFonts w:ascii="Times New Roman" w:hAnsi="Times New Roman" w:cs="Times New Roman"/>
          <w:sz w:val="24"/>
          <w:szCs w:val="24"/>
          <w:lang w:val="fr-FR"/>
        </w:rPr>
        <w:t xml:space="preserve"> et s’écoule chez Windelband, Rickert, Simmel et Max Weber, a</w:t>
      </w:r>
      <w:r w:rsidR="00036109">
        <w:rPr>
          <w:rFonts w:ascii="Times New Roman" w:hAnsi="Times New Roman" w:cs="Times New Roman"/>
          <w:sz w:val="24"/>
          <w:szCs w:val="24"/>
          <w:lang w:val="fr-FR"/>
        </w:rPr>
        <w:t xml:space="preserve">vant </w:t>
      </w:r>
      <w:r w:rsidR="004B4AF2">
        <w:rPr>
          <w:rFonts w:ascii="Times New Roman" w:hAnsi="Times New Roman" w:cs="Times New Roman"/>
          <w:sz w:val="24"/>
          <w:szCs w:val="24"/>
          <w:lang w:val="fr-FR"/>
        </w:rPr>
        <w:t xml:space="preserve">de tomber en cascade dans les eaux tourbillonnantes du fleuve Raymond Aron. </w:t>
      </w:r>
      <w:r w:rsidR="006A351F">
        <w:rPr>
          <w:rFonts w:ascii="Times New Roman" w:hAnsi="Times New Roman" w:cs="Times New Roman"/>
          <w:sz w:val="24"/>
          <w:szCs w:val="24"/>
          <w:lang w:val="fr-FR"/>
        </w:rPr>
        <w:t>Plusieurs affluents de cette rivière centrale, nourris par le nuage</w:t>
      </w:r>
      <w:r w:rsidR="001320EC">
        <w:rPr>
          <w:rFonts w:ascii="Times New Roman" w:hAnsi="Times New Roman" w:cs="Times New Roman"/>
          <w:sz w:val="24"/>
          <w:szCs w:val="24"/>
          <w:lang w:val="fr-FR"/>
        </w:rPr>
        <w:t xml:space="preserve"> Nietzsche</w:t>
      </w:r>
      <w:r w:rsidR="006A351F">
        <w:rPr>
          <w:rFonts w:ascii="Times New Roman" w:hAnsi="Times New Roman" w:cs="Times New Roman"/>
          <w:sz w:val="24"/>
          <w:szCs w:val="24"/>
          <w:lang w:val="fr-FR"/>
        </w:rPr>
        <w:t xml:space="preserve">, vont s’écouler chez Jaspers, Husserl, Heidegger, et </w:t>
      </w:r>
      <w:r w:rsidR="00036109">
        <w:rPr>
          <w:rFonts w:ascii="Times New Roman" w:hAnsi="Times New Roman" w:cs="Times New Roman"/>
          <w:sz w:val="24"/>
          <w:szCs w:val="24"/>
          <w:lang w:val="fr-FR"/>
        </w:rPr>
        <w:t>infuser</w:t>
      </w:r>
      <w:r w:rsidR="006A351F">
        <w:rPr>
          <w:rFonts w:ascii="Times New Roman" w:hAnsi="Times New Roman" w:cs="Times New Roman"/>
          <w:sz w:val="24"/>
          <w:szCs w:val="24"/>
          <w:lang w:val="fr-FR"/>
        </w:rPr>
        <w:t xml:space="preserve"> Dardel</w:t>
      </w:r>
      <w:r w:rsidR="003442BE">
        <w:rPr>
          <w:rStyle w:val="Appelnotedebasdep"/>
          <w:rFonts w:ascii="Times New Roman" w:hAnsi="Times New Roman" w:cs="Times New Roman"/>
          <w:sz w:val="24"/>
          <w:szCs w:val="24"/>
          <w:lang w:val="fr-FR"/>
        </w:rPr>
        <w:footnoteReference w:id="3"/>
      </w:r>
      <w:r w:rsidR="006A351F">
        <w:rPr>
          <w:rFonts w:ascii="Times New Roman" w:hAnsi="Times New Roman" w:cs="Times New Roman"/>
          <w:sz w:val="24"/>
          <w:szCs w:val="24"/>
          <w:lang w:val="fr-FR"/>
        </w:rPr>
        <w:t xml:space="preserve">. </w:t>
      </w:r>
      <w:r w:rsidR="00E54EF3">
        <w:rPr>
          <w:rFonts w:ascii="Times New Roman" w:hAnsi="Times New Roman" w:cs="Times New Roman"/>
          <w:sz w:val="24"/>
          <w:szCs w:val="24"/>
          <w:lang w:val="fr-FR"/>
        </w:rPr>
        <w:t>Nous laissons de côté la source fluette et marginale</w:t>
      </w:r>
      <w:r w:rsidR="005F40AB">
        <w:rPr>
          <w:rFonts w:ascii="Times New Roman" w:hAnsi="Times New Roman" w:cs="Times New Roman"/>
          <w:sz w:val="24"/>
          <w:szCs w:val="24"/>
          <w:lang w:val="fr-FR"/>
        </w:rPr>
        <w:t>,</w:t>
      </w:r>
      <w:r w:rsidR="00E54EF3">
        <w:rPr>
          <w:rFonts w:ascii="Times New Roman" w:hAnsi="Times New Roman" w:cs="Times New Roman"/>
          <w:sz w:val="24"/>
          <w:szCs w:val="24"/>
          <w:lang w:val="fr-FR"/>
        </w:rPr>
        <w:t xml:space="preserve"> </w:t>
      </w:r>
      <w:r w:rsidR="005E3283">
        <w:rPr>
          <w:rFonts w:ascii="Times New Roman" w:hAnsi="Times New Roman" w:cs="Times New Roman"/>
          <w:sz w:val="24"/>
          <w:szCs w:val="24"/>
          <w:lang w:val="fr-FR"/>
        </w:rPr>
        <w:t>quasi souterraine</w:t>
      </w:r>
      <w:r w:rsidR="005F40AB">
        <w:rPr>
          <w:rFonts w:ascii="Times New Roman" w:hAnsi="Times New Roman" w:cs="Times New Roman"/>
          <w:sz w:val="24"/>
          <w:szCs w:val="24"/>
          <w:lang w:val="fr-FR"/>
        </w:rPr>
        <w:t>,</w:t>
      </w:r>
      <w:r w:rsidR="005E3283">
        <w:rPr>
          <w:rFonts w:ascii="Times New Roman" w:hAnsi="Times New Roman" w:cs="Times New Roman"/>
          <w:sz w:val="24"/>
          <w:szCs w:val="24"/>
          <w:lang w:val="fr-FR"/>
        </w:rPr>
        <w:t xml:space="preserve"> qui nourrit Bergson et Péguy, pour nous intéresser à une autre</w:t>
      </w:r>
      <w:r w:rsidR="004876C2">
        <w:rPr>
          <w:rFonts w:ascii="Times New Roman" w:hAnsi="Times New Roman" w:cs="Times New Roman"/>
          <w:sz w:val="24"/>
          <w:szCs w:val="24"/>
          <w:lang w:val="fr-FR"/>
        </w:rPr>
        <w:t xml:space="preserve"> tradition : la double source Hegel/Hume qui</w:t>
      </w:r>
      <w:r w:rsidR="00450CFE">
        <w:rPr>
          <w:rFonts w:ascii="Times New Roman" w:hAnsi="Times New Roman" w:cs="Times New Roman"/>
          <w:sz w:val="24"/>
          <w:szCs w:val="24"/>
          <w:lang w:val="fr-FR"/>
        </w:rPr>
        <w:t>,</w:t>
      </w:r>
      <w:r w:rsidR="004876C2">
        <w:rPr>
          <w:rFonts w:ascii="Times New Roman" w:hAnsi="Times New Roman" w:cs="Times New Roman"/>
          <w:sz w:val="24"/>
          <w:szCs w:val="24"/>
          <w:lang w:val="fr-FR"/>
        </w:rPr>
        <w:t xml:space="preserve"> par l’idéalisme italien de Croce et celui de Bradley </w:t>
      </w:r>
      <w:r w:rsidR="000C0556">
        <w:rPr>
          <w:rFonts w:ascii="Times New Roman" w:hAnsi="Times New Roman" w:cs="Times New Roman"/>
          <w:sz w:val="24"/>
          <w:szCs w:val="24"/>
          <w:lang w:val="fr-FR"/>
        </w:rPr>
        <w:t>se jette chez</w:t>
      </w:r>
      <w:r w:rsidR="004876C2">
        <w:rPr>
          <w:rFonts w:ascii="Times New Roman" w:hAnsi="Times New Roman" w:cs="Times New Roman"/>
          <w:sz w:val="24"/>
          <w:szCs w:val="24"/>
          <w:lang w:val="fr-FR"/>
        </w:rPr>
        <w:t xml:space="preserve"> </w:t>
      </w:r>
      <w:r w:rsidR="00BB419B">
        <w:rPr>
          <w:rFonts w:ascii="Times New Roman" w:hAnsi="Times New Roman" w:cs="Times New Roman"/>
          <w:sz w:val="24"/>
          <w:szCs w:val="24"/>
          <w:lang w:val="fr-FR"/>
        </w:rPr>
        <w:t>Oakeshott et Collingwood dont le nom apparait avec davantage d’importance que celui de Heidegger</w:t>
      </w:r>
      <w:r w:rsidR="00CF1E8F">
        <w:rPr>
          <w:rStyle w:val="Appelnotedebasdep"/>
          <w:rFonts w:ascii="Times New Roman" w:hAnsi="Times New Roman" w:cs="Times New Roman"/>
          <w:sz w:val="24"/>
          <w:szCs w:val="24"/>
          <w:lang w:val="fr-FR"/>
        </w:rPr>
        <w:footnoteReference w:id="4"/>
      </w:r>
      <w:r w:rsidR="00BB419B">
        <w:rPr>
          <w:rFonts w:ascii="Times New Roman" w:hAnsi="Times New Roman" w:cs="Times New Roman"/>
          <w:sz w:val="24"/>
          <w:szCs w:val="24"/>
          <w:lang w:val="fr-FR"/>
        </w:rPr>
        <w:t>, et dans une taille de police égale à celle de Max Weber,</w:t>
      </w:r>
      <w:r w:rsidR="00E7036E">
        <w:rPr>
          <w:rFonts w:ascii="Times New Roman" w:hAnsi="Times New Roman" w:cs="Times New Roman"/>
          <w:sz w:val="24"/>
          <w:szCs w:val="24"/>
          <w:lang w:val="fr-FR"/>
        </w:rPr>
        <w:t xml:space="preserve"> de Croce et de Dilthey.</w:t>
      </w:r>
      <w:r w:rsidR="00036109">
        <w:rPr>
          <w:rFonts w:ascii="Times New Roman" w:hAnsi="Times New Roman" w:cs="Times New Roman"/>
          <w:sz w:val="24"/>
          <w:szCs w:val="24"/>
          <w:lang w:val="fr-FR"/>
        </w:rPr>
        <w:t xml:space="preserve"> On ne fera pas querelle ici à Marrou d’avoir rattaché Bradley à Hume, en oubliant les inspirations hégéliennes de l’idéalisme britannique</w:t>
      </w:r>
      <w:r w:rsidR="00C93D72">
        <w:rPr>
          <w:rFonts w:ascii="Times New Roman" w:hAnsi="Times New Roman" w:cs="Times New Roman"/>
          <w:sz w:val="24"/>
          <w:szCs w:val="24"/>
          <w:lang w:val="fr-FR"/>
        </w:rPr>
        <w:t>, et nous préfèrerons retenir cette leçon : en 1954, pour Marrou</w:t>
      </w:r>
      <w:r w:rsidR="006E79AE">
        <w:rPr>
          <w:rFonts w:ascii="Times New Roman" w:hAnsi="Times New Roman" w:cs="Times New Roman"/>
          <w:sz w:val="24"/>
          <w:szCs w:val="24"/>
          <w:lang w:val="fr-FR"/>
        </w:rPr>
        <w:t>, Collingwood apparaît comme le représentant d’une tradition certes moins impétueuse que celle d’Aron, mais incontournable</w:t>
      </w:r>
      <w:r w:rsidR="006A208A">
        <w:rPr>
          <w:rFonts w:ascii="Times New Roman" w:hAnsi="Times New Roman" w:cs="Times New Roman"/>
          <w:sz w:val="24"/>
          <w:szCs w:val="24"/>
          <w:lang w:val="fr-FR"/>
        </w:rPr>
        <w:t xml:space="preserve">, et </w:t>
      </w:r>
      <w:r w:rsidR="00536A6F">
        <w:rPr>
          <w:rFonts w:ascii="Times New Roman" w:hAnsi="Times New Roman" w:cs="Times New Roman"/>
          <w:sz w:val="24"/>
          <w:szCs w:val="24"/>
          <w:lang w:val="fr-FR"/>
        </w:rPr>
        <w:t xml:space="preserve">Marrou </w:t>
      </w:r>
      <w:r w:rsidR="006A208A">
        <w:rPr>
          <w:rFonts w:ascii="Times New Roman" w:hAnsi="Times New Roman" w:cs="Times New Roman"/>
          <w:sz w:val="24"/>
          <w:szCs w:val="24"/>
          <w:lang w:val="fr-FR"/>
        </w:rPr>
        <w:t>d’ajouter que Collingwood est un auteur : « dont la pensée philosophique mérite aussi le plus attentif examen</w:t>
      </w:r>
      <w:r w:rsidR="000B7C13">
        <w:rPr>
          <w:rFonts w:ascii="Times New Roman" w:hAnsi="Times New Roman" w:cs="Times New Roman"/>
          <w:sz w:val="24"/>
          <w:szCs w:val="24"/>
          <w:lang w:val="fr-FR"/>
        </w:rPr>
        <w:t xml:space="preserve"> </w:t>
      </w:r>
      <w:r w:rsidR="006A208A">
        <w:rPr>
          <w:rFonts w:ascii="Times New Roman" w:hAnsi="Times New Roman" w:cs="Times New Roman"/>
          <w:sz w:val="24"/>
          <w:szCs w:val="24"/>
          <w:lang w:val="fr-FR"/>
        </w:rPr>
        <w:t>»</w:t>
      </w:r>
      <w:r w:rsidR="000B7C13">
        <w:rPr>
          <w:rFonts w:ascii="Times New Roman" w:hAnsi="Times New Roman" w:cs="Times New Roman"/>
          <w:sz w:val="24"/>
          <w:szCs w:val="24"/>
          <w:lang w:val="fr-FR"/>
        </w:rPr>
        <w:t xml:space="preserve"> (Marrou H.</w:t>
      </w:r>
      <w:r w:rsidR="00075AF0">
        <w:rPr>
          <w:rFonts w:ascii="Times New Roman" w:hAnsi="Times New Roman" w:cs="Times New Roman"/>
          <w:sz w:val="24"/>
          <w:szCs w:val="24"/>
          <w:lang w:val="fr-FR"/>
        </w:rPr>
        <w:t>-</w:t>
      </w:r>
      <w:r w:rsidR="000B7C13">
        <w:rPr>
          <w:rFonts w:ascii="Times New Roman" w:hAnsi="Times New Roman" w:cs="Times New Roman"/>
          <w:sz w:val="24"/>
          <w:szCs w:val="24"/>
          <w:lang w:val="fr-FR"/>
        </w:rPr>
        <w:t>I., 195</w:t>
      </w:r>
      <w:r w:rsidR="00075AF0">
        <w:rPr>
          <w:rFonts w:ascii="Times New Roman" w:hAnsi="Times New Roman" w:cs="Times New Roman"/>
          <w:sz w:val="24"/>
          <w:szCs w:val="24"/>
          <w:lang w:val="fr-FR"/>
        </w:rPr>
        <w:t>9</w:t>
      </w:r>
      <w:r w:rsidR="000B7C13">
        <w:rPr>
          <w:rFonts w:ascii="Times New Roman" w:hAnsi="Times New Roman" w:cs="Times New Roman"/>
          <w:sz w:val="24"/>
          <w:szCs w:val="24"/>
          <w:lang w:val="fr-FR"/>
        </w:rPr>
        <w:t>, p.21).</w:t>
      </w:r>
    </w:p>
    <w:p w14:paraId="6FD55C40" w14:textId="6B939AF5" w:rsidR="00796765" w:rsidRDefault="008D17E1" w:rsidP="0063157C">
      <w:pPr>
        <w:spacing w:line="360" w:lineRule="auto"/>
        <w:ind w:firstLine="708"/>
        <w:jc w:val="both"/>
        <w:rPr>
          <w:rFonts w:ascii="Times New Roman" w:hAnsi="Times New Roman" w:cs="Times New Roman"/>
          <w:sz w:val="24"/>
          <w:szCs w:val="24"/>
          <w:lang w:val="fr-FR"/>
        </w:rPr>
      </w:pPr>
      <w:r>
        <w:rPr>
          <w:rFonts w:ascii="Times New Roman" w:hAnsi="Times New Roman" w:cs="Times New Roman"/>
          <w:sz w:val="24"/>
          <w:szCs w:val="24"/>
          <w:lang w:val="fr-FR"/>
        </w:rPr>
        <w:t>Cependant, cette rivière, fruit d’une hybridation entre Croce et la tradition britannique</w:t>
      </w:r>
      <w:r w:rsidR="004342C3">
        <w:rPr>
          <w:rFonts w:ascii="Times New Roman" w:hAnsi="Times New Roman" w:cs="Times New Roman"/>
          <w:sz w:val="24"/>
          <w:szCs w:val="24"/>
          <w:lang w:val="fr-FR"/>
        </w:rPr>
        <w:t xml:space="preserve"> semble incarner, aux yeux de </w:t>
      </w:r>
      <w:r w:rsidR="00536A6F">
        <w:rPr>
          <w:rFonts w:ascii="Times New Roman" w:hAnsi="Times New Roman" w:cs="Times New Roman"/>
          <w:sz w:val="24"/>
          <w:szCs w:val="24"/>
          <w:lang w:val="fr-FR"/>
        </w:rPr>
        <w:t>l’historien français</w:t>
      </w:r>
      <w:r w:rsidR="004342C3">
        <w:rPr>
          <w:rFonts w:ascii="Times New Roman" w:hAnsi="Times New Roman" w:cs="Times New Roman"/>
          <w:sz w:val="24"/>
          <w:szCs w:val="24"/>
          <w:lang w:val="fr-FR"/>
        </w:rPr>
        <w:t>, la vision extrême de la philosophie de l’histoire, une pensée qui apporterait avec elle « le dangereux fantôme de l’idéalisme</w:t>
      </w:r>
      <w:r w:rsidR="000B7C13">
        <w:rPr>
          <w:rFonts w:ascii="Times New Roman" w:hAnsi="Times New Roman" w:cs="Times New Roman"/>
          <w:sz w:val="24"/>
          <w:szCs w:val="24"/>
          <w:lang w:val="fr-FR"/>
        </w:rPr>
        <w:t xml:space="preserve"> </w:t>
      </w:r>
      <w:r w:rsidR="004342C3">
        <w:rPr>
          <w:rFonts w:ascii="Times New Roman" w:hAnsi="Times New Roman" w:cs="Times New Roman"/>
          <w:sz w:val="24"/>
          <w:szCs w:val="24"/>
          <w:lang w:val="fr-FR"/>
        </w:rPr>
        <w:t>»</w:t>
      </w:r>
      <w:r w:rsidR="000B7C13" w:rsidRPr="000B7C13">
        <w:rPr>
          <w:rFonts w:ascii="Times New Roman" w:hAnsi="Times New Roman" w:cs="Times New Roman"/>
          <w:sz w:val="24"/>
          <w:szCs w:val="24"/>
          <w:lang w:val="fr-FR"/>
        </w:rPr>
        <w:t xml:space="preserve"> </w:t>
      </w:r>
      <w:r w:rsidR="000B7C13">
        <w:rPr>
          <w:rFonts w:ascii="Times New Roman" w:hAnsi="Times New Roman" w:cs="Times New Roman"/>
          <w:sz w:val="24"/>
          <w:szCs w:val="24"/>
          <w:lang w:val="fr-FR"/>
        </w:rPr>
        <w:t>(Marrou H.</w:t>
      </w:r>
      <w:r w:rsidR="00075AF0">
        <w:rPr>
          <w:rFonts w:ascii="Times New Roman" w:hAnsi="Times New Roman" w:cs="Times New Roman"/>
          <w:sz w:val="24"/>
          <w:szCs w:val="24"/>
          <w:lang w:val="fr-FR"/>
        </w:rPr>
        <w:t>-</w:t>
      </w:r>
      <w:r w:rsidR="000B7C13">
        <w:rPr>
          <w:rFonts w:ascii="Times New Roman" w:hAnsi="Times New Roman" w:cs="Times New Roman"/>
          <w:sz w:val="24"/>
          <w:szCs w:val="24"/>
          <w:lang w:val="fr-FR"/>
        </w:rPr>
        <w:t>I., 195</w:t>
      </w:r>
      <w:r w:rsidR="00075AF0">
        <w:rPr>
          <w:rFonts w:ascii="Times New Roman" w:hAnsi="Times New Roman" w:cs="Times New Roman"/>
          <w:sz w:val="24"/>
          <w:szCs w:val="24"/>
          <w:lang w:val="fr-FR"/>
        </w:rPr>
        <w:t>9</w:t>
      </w:r>
      <w:r w:rsidR="000B7C13">
        <w:rPr>
          <w:rFonts w:ascii="Times New Roman" w:hAnsi="Times New Roman" w:cs="Times New Roman"/>
          <w:sz w:val="24"/>
          <w:szCs w:val="24"/>
          <w:lang w:val="fr-FR"/>
        </w:rPr>
        <w:t>, p.59).</w:t>
      </w:r>
      <w:r w:rsidR="00C14D7C">
        <w:rPr>
          <w:rFonts w:ascii="Times New Roman" w:hAnsi="Times New Roman" w:cs="Times New Roman"/>
          <w:sz w:val="24"/>
          <w:szCs w:val="24"/>
          <w:lang w:val="fr-FR"/>
        </w:rPr>
        <w:t xml:space="preserve"> Il s’agit donc d’aborder la réception française de </w:t>
      </w:r>
      <w:r w:rsidR="00EC5F22">
        <w:rPr>
          <w:rFonts w:ascii="Times New Roman" w:hAnsi="Times New Roman" w:cs="Times New Roman"/>
          <w:sz w:val="24"/>
          <w:szCs w:val="24"/>
          <w:lang w:val="fr-FR"/>
        </w:rPr>
        <w:t>Collingwood </w:t>
      </w:r>
      <w:r w:rsidR="004D6868">
        <w:rPr>
          <w:rFonts w:ascii="Times New Roman" w:hAnsi="Times New Roman" w:cs="Times New Roman"/>
          <w:sz w:val="24"/>
          <w:szCs w:val="24"/>
          <w:lang w:val="fr-FR"/>
        </w:rPr>
        <w:t xml:space="preserve">en s’intéressant au rôle qu’il semble occuper dans le débat </w:t>
      </w:r>
      <w:r w:rsidR="0004291D">
        <w:rPr>
          <w:rFonts w:ascii="Times New Roman" w:hAnsi="Times New Roman" w:cs="Times New Roman"/>
          <w:sz w:val="24"/>
          <w:szCs w:val="24"/>
          <w:lang w:val="fr-FR"/>
        </w:rPr>
        <w:t>sur l’épistémologie de l’histoire.</w:t>
      </w:r>
      <w:r w:rsidR="00EC5F22">
        <w:rPr>
          <w:rFonts w:ascii="Times New Roman" w:hAnsi="Times New Roman" w:cs="Times New Roman"/>
          <w:sz w:val="24"/>
          <w:szCs w:val="24"/>
          <w:lang w:val="fr-FR"/>
        </w:rPr>
        <w:t xml:space="preserve"> </w:t>
      </w:r>
      <w:r w:rsidR="0004291D">
        <w:rPr>
          <w:rFonts w:ascii="Times New Roman" w:hAnsi="Times New Roman" w:cs="Times New Roman"/>
          <w:sz w:val="24"/>
          <w:szCs w:val="24"/>
          <w:lang w:val="fr-FR"/>
        </w:rPr>
        <w:t xml:space="preserve">Présenté comme </w:t>
      </w:r>
      <w:r w:rsidR="0016285A">
        <w:rPr>
          <w:rFonts w:ascii="Times New Roman" w:hAnsi="Times New Roman" w:cs="Times New Roman"/>
          <w:sz w:val="24"/>
          <w:szCs w:val="24"/>
          <w:lang w:val="fr-FR"/>
        </w:rPr>
        <w:t>un</w:t>
      </w:r>
      <w:r w:rsidR="0004291D">
        <w:rPr>
          <w:rFonts w:ascii="Times New Roman" w:hAnsi="Times New Roman" w:cs="Times New Roman"/>
          <w:sz w:val="24"/>
          <w:szCs w:val="24"/>
          <w:lang w:val="fr-FR"/>
        </w:rPr>
        <w:t xml:space="preserve"> cas-limite, il incarne une certaine idée de la radicalité épistémologique, c</w:t>
      </w:r>
      <w:r w:rsidR="00EC5F22">
        <w:rPr>
          <w:rFonts w:ascii="Times New Roman" w:hAnsi="Times New Roman" w:cs="Times New Roman"/>
          <w:sz w:val="24"/>
          <w:szCs w:val="24"/>
          <w:lang w:val="fr-FR"/>
        </w:rPr>
        <w:t>e qui nous permet d’interroger les raisons de son introduction en France, ains</w:t>
      </w:r>
      <w:r w:rsidR="00DA125F">
        <w:rPr>
          <w:rFonts w:ascii="Times New Roman" w:hAnsi="Times New Roman" w:cs="Times New Roman"/>
          <w:sz w:val="24"/>
          <w:szCs w:val="24"/>
          <w:lang w:val="fr-FR"/>
        </w:rPr>
        <w:t>i que de répertorier les ouvrages du corpus collingwoodien</w:t>
      </w:r>
      <w:r w:rsidR="0004291D">
        <w:rPr>
          <w:rFonts w:ascii="Times New Roman" w:hAnsi="Times New Roman" w:cs="Times New Roman"/>
          <w:sz w:val="24"/>
          <w:szCs w:val="24"/>
          <w:lang w:val="fr-FR"/>
        </w:rPr>
        <w:t xml:space="preserve"> qui sont cités</w:t>
      </w:r>
      <w:r w:rsidR="00DA125F">
        <w:rPr>
          <w:rFonts w:ascii="Times New Roman" w:hAnsi="Times New Roman" w:cs="Times New Roman"/>
          <w:sz w:val="24"/>
          <w:szCs w:val="24"/>
          <w:lang w:val="fr-FR"/>
        </w:rPr>
        <w:t xml:space="preserve">. Afin de parvenir à une seconde question : </w:t>
      </w:r>
      <w:r w:rsidR="006C7624">
        <w:rPr>
          <w:rFonts w:ascii="Times New Roman" w:hAnsi="Times New Roman" w:cs="Times New Roman"/>
          <w:sz w:val="24"/>
          <w:szCs w:val="24"/>
          <w:lang w:val="fr-FR"/>
        </w:rPr>
        <w:t xml:space="preserve">la pensée de Collingwood doit-elle être comprise comme une « méthode » disponible pour répondre aux questionnements de l’historiographie française ? Cette réflexion </w:t>
      </w:r>
      <w:r w:rsidR="0010101D">
        <w:rPr>
          <w:rFonts w:ascii="Times New Roman" w:hAnsi="Times New Roman" w:cs="Times New Roman"/>
          <w:sz w:val="24"/>
          <w:szCs w:val="24"/>
          <w:lang w:val="fr-FR"/>
        </w:rPr>
        <w:t>se déclinera en deux temps, tout d’abord l’introduction par Marrou et Ricoeur de Collingwood dans la tourmente de l’épistémologie historique et de l’herméneutique. Ensuite, l</w:t>
      </w:r>
      <w:r w:rsidR="00EE7098">
        <w:rPr>
          <w:rFonts w:ascii="Times New Roman" w:hAnsi="Times New Roman" w:cs="Times New Roman"/>
          <w:sz w:val="24"/>
          <w:szCs w:val="24"/>
          <w:lang w:val="fr-FR"/>
        </w:rPr>
        <w:t xml:space="preserve">’utilisation par Alain de Libera de </w:t>
      </w:r>
      <w:r w:rsidR="0004291D">
        <w:rPr>
          <w:rFonts w:ascii="Times New Roman" w:hAnsi="Times New Roman" w:cs="Times New Roman"/>
          <w:sz w:val="24"/>
          <w:szCs w:val="24"/>
          <w:lang w:val="fr-FR"/>
        </w:rPr>
        <w:t xml:space="preserve">ce </w:t>
      </w:r>
      <w:r w:rsidR="00EE7098">
        <w:rPr>
          <w:rFonts w:ascii="Times New Roman" w:hAnsi="Times New Roman" w:cs="Times New Roman"/>
          <w:sz w:val="24"/>
          <w:szCs w:val="24"/>
          <w:lang w:val="fr-FR"/>
        </w:rPr>
        <w:t xml:space="preserve">qu’il nomme la méthode collingwoodienne. </w:t>
      </w:r>
    </w:p>
    <w:p w14:paraId="5ED3BEFF" w14:textId="77777777" w:rsidR="00F138F5" w:rsidRDefault="00F138F5" w:rsidP="0063157C">
      <w:pPr>
        <w:spacing w:line="360" w:lineRule="auto"/>
        <w:jc w:val="both"/>
        <w:rPr>
          <w:rFonts w:ascii="Times New Roman" w:hAnsi="Times New Roman" w:cs="Times New Roman"/>
          <w:sz w:val="24"/>
          <w:szCs w:val="24"/>
          <w:lang w:val="fr-FR"/>
        </w:rPr>
      </w:pPr>
    </w:p>
    <w:p w14:paraId="1F0184E9" w14:textId="724F498C" w:rsidR="00F138F5" w:rsidRPr="000B7C13" w:rsidRDefault="00F138F5" w:rsidP="00B66CFE">
      <w:pPr>
        <w:pStyle w:val="Paragraphedeliste"/>
        <w:numPr>
          <w:ilvl w:val="0"/>
          <w:numId w:val="8"/>
        </w:numPr>
        <w:jc w:val="both"/>
        <w:rPr>
          <w:smallCaps/>
          <w:sz w:val="24"/>
          <w:szCs w:val="24"/>
          <w:lang w:val="fr-FR"/>
        </w:rPr>
      </w:pPr>
      <w:r w:rsidRPr="000B7C13">
        <w:rPr>
          <w:smallCaps/>
          <w:sz w:val="24"/>
          <w:szCs w:val="24"/>
          <w:lang w:val="fr-FR"/>
        </w:rPr>
        <w:t xml:space="preserve">De </w:t>
      </w:r>
      <w:r w:rsidR="001C67C9" w:rsidRPr="000B7C13">
        <w:rPr>
          <w:smallCaps/>
          <w:sz w:val="24"/>
          <w:szCs w:val="24"/>
          <w:lang w:val="fr-FR"/>
        </w:rPr>
        <w:t xml:space="preserve">H.I. </w:t>
      </w:r>
      <w:r w:rsidRPr="000B7C13">
        <w:rPr>
          <w:smallCaps/>
          <w:sz w:val="24"/>
          <w:szCs w:val="24"/>
          <w:lang w:val="fr-FR"/>
        </w:rPr>
        <w:t xml:space="preserve">Marrou à </w:t>
      </w:r>
      <w:r w:rsidR="001C67C9" w:rsidRPr="000B7C13">
        <w:rPr>
          <w:smallCaps/>
          <w:sz w:val="24"/>
          <w:szCs w:val="24"/>
          <w:lang w:val="fr-FR"/>
        </w:rPr>
        <w:t xml:space="preserve">P. </w:t>
      </w:r>
      <w:r w:rsidRPr="000B7C13">
        <w:rPr>
          <w:smallCaps/>
          <w:sz w:val="24"/>
          <w:szCs w:val="24"/>
          <w:lang w:val="fr-FR"/>
        </w:rPr>
        <w:t xml:space="preserve">Ricoeur : </w:t>
      </w:r>
      <w:r w:rsidR="00490DCF" w:rsidRPr="000B7C13">
        <w:rPr>
          <w:smallCaps/>
          <w:sz w:val="24"/>
          <w:szCs w:val="24"/>
          <w:lang w:val="fr-FR"/>
        </w:rPr>
        <w:t>R.G. Collingwood</w:t>
      </w:r>
      <w:r w:rsidR="00F4722D" w:rsidRPr="000B7C13">
        <w:rPr>
          <w:smallCaps/>
          <w:sz w:val="24"/>
          <w:szCs w:val="24"/>
          <w:lang w:val="fr-FR"/>
        </w:rPr>
        <w:t xml:space="preserve"> et la connaissance historique</w:t>
      </w:r>
    </w:p>
    <w:p w14:paraId="7D86C85E" w14:textId="77777777" w:rsidR="00A946F8" w:rsidRPr="00A946F8" w:rsidRDefault="00A946F8" w:rsidP="0063157C">
      <w:pPr>
        <w:jc w:val="both"/>
        <w:rPr>
          <w:b/>
          <w:bCs/>
          <w:lang w:val="fr-FR"/>
        </w:rPr>
      </w:pPr>
    </w:p>
    <w:p w14:paraId="19750A32" w14:textId="04C9E0EB" w:rsidR="00490DCF" w:rsidRPr="000B7C13" w:rsidRDefault="00BA19B6" w:rsidP="000B7C13">
      <w:pPr>
        <w:pStyle w:val="Paragraphedeliste"/>
        <w:numPr>
          <w:ilvl w:val="0"/>
          <w:numId w:val="9"/>
        </w:numPr>
        <w:spacing w:line="360" w:lineRule="auto"/>
        <w:jc w:val="both"/>
        <w:rPr>
          <w:rFonts w:ascii="Times New Roman" w:hAnsi="Times New Roman" w:cs="Times New Roman"/>
          <w:i/>
          <w:iCs/>
          <w:sz w:val="24"/>
          <w:szCs w:val="24"/>
          <w:lang w:val="fr-FR"/>
        </w:rPr>
      </w:pPr>
      <w:r w:rsidRPr="000B7C13">
        <w:rPr>
          <w:rFonts w:ascii="Times New Roman" w:hAnsi="Times New Roman" w:cs="Times New Roman"/>
          <w:i/>
          <w:iCs/>
          <w:sz w:val="24"/>
          <w:szCs w:val="24"/>
          <w:lang w:val="fr-FR"/>
        </w:rPr>
        <w:t>Le recours à Collingwood</w:t>
      </w:r>
      <w:r w:rsidR="001C67C9" w:rsidRPr="000B7C13">
        <w:rPr>
          <w:rFonts w:ascii="Times New Roman" w:hAnsi="Times New Roman" w:cs="Times New Roman"/>
          <w:i/>
          <w:iCs/>
          <w:sz w:val="24"/>
          <w:szCs w:val="24"/>
          <w:lang w:val="fr-FR"/>
        </w:rPr>
        <w:t xml:space="preserve"> </w:t>
      </w:r>
      <w:r w:rsidRPr="000B7C13">
        <w:rPr>
          <w:rFonts w:ascii="Times New Roman" w:hAnsi="Times New Roman" w:cs="Times New Roman"/>
          <w:i/>
          <w:iCs/>
          <w:sz w:val="24"/>
          <w:szCs w:val="24"/>
          <w:lang w:val="fr-FR"/>
        </w:rPr>
        <w:t>contre le positivisme en histoire</w:t>
      </w:r>
    </w:p>
    <w:p w14:paraId="72405DEF" w14:textId="77777777" w:rsidR="001C67C9" w:rsidRDefault="001C67C9" w:rsidP="0063157C">
      <w:pPr>
        <w:spacing w:line="360" w:lineRule="auto"/>
        <w:jc w:val="both"/>
        <w:rPr>
          <w:rFonts w:ascii="Times New Roman" w:hAnsi="Times New Roman" w:cs="Times New Roman"/>
          <w:b/>
          <w:bCs/>
          <w:sz w:val="24"/>
          <w:szCs w:val="24"/>
          <w:lang w:val="fr-FR"/>
        </w:rPr>
      </w:pPr>
    </w:p>
    <w:p w14:paraId="57FBE51D" w14:textId="6B330E5B" w:rsidR="001C67C9" w:rsidRDefault="001C67C9" w:rsidP="0063157C">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ab/>
      </w:r>
      <w:r w:rsidR="006E7743">
        <w:rPr>
          <w:rFonts w:ascii="Times New Roman" w:hAnsi="Times New Roman" w:cs="Times New Roman"/>
          <w:sz w:val="24"/>
          <w:szCs w:val="24"/>
          <w:lang w:val="fr-FR"/>
        </w:rPr>
        <w:t>Henri-Irénée Marrou (1904-1977), professeur à la Sorbonne</w:t>
      </w:r>
      <w:r w:rsidR="0063157C">
        <w:rPr>
          <w:rFonts w:ascii="Times New Roman" w:hAnsi="Times New Roman" w:cs="Times New Roman"/>
          <w:sz w:val="24"/>
          <w:szCs w:val="24"/>
          <w:lang w:val="fr-FR"/>
        </w:rPr>
        <w:t>,</w:t>
      </w:r>
      <w:r w:rsidR="006E7743">
        <w:rPr>
          <w:rFonts w:ascii="Times New Roman" w:hAnsi="Times New Roman" w:cs="Times New Roman"/>
          <w:sz w:val="24"/>
          <w:szCs w:val="24"/>
          <w:lang w:val="fr-FR"/>
        </w:rPr>
        <w:t xml:space="preserve"> où il occupe la chaire d’</w:t>
      </w:r>
      <w:r w:rsidR="0063157C">
        <w:rPr>
          <w:rFonts w:ascii="Times New Roman" w:hAnsi="Times New Roman" w:cs="Times New Roman"/>
          <w:sz w:val="24"/>
          <w:szCs w:val="24"/>
          <w:lang w:val="fr-FR"/>
        </w:rPr>
        <w:t>H</w:t>
      </w:r>
      <w:r w:rsidR="006E7743">
        <w:rPr>
          <w:rFonts w:ascii="Times New Roman" w:hAnsi="Times New Roman" w:cs="Times New Roman"/>
          <w:sz w:val="24"/>
          <w:szCs w:val="24"/>
          <w:lang w:val="fr-FR"/>
        </w:rPr>
        <w:t xml:space="preserve">istoire du </w:t>
      </w:r>
      <w:r w:rsidR="0063157C">
        <w:rPr>
          <w:rFonts w:ascii="Times New Roman" w:hAnsi="Times New Roman" w:cs="Times New Roman"/>
          <w:sz w:val="24"/>
          <w:szCs w:val="24"/>
          <w:lang w:val="fr-FR"/>
        </w:rPr>
        <w:t>C</w:t>
      </w:r>
      <w:r w:rsidR="006E7743">
        <w:rPr>
          <w:rFonts w:ascii="Times New Roman" w:hAnsi="Times New Roman" w:cs="Times New Roman"/>
          <w:sz w:val="24"/>
          <w:szCs w:val="24"/>
          <w:lang w:val="fr-FR"/>
        </w:rPr>
        <w:t>hristianisme</w:t>
      </w:r>
      <w:r w:rsidR="0063157C">
        <w:rPr>
          <w:rFonts w:ascii="Times New Roman" w:hAnsi="Times New Roman" w:cs="Times New Roman"/>
          <w:sz w:val="24"/>
          <w:szCs w:val="24"/>
          <w:lang w:val="fr-FR"/>
        </w:rPr>
        <w:t>,</w:t>
      </w:r>
      <w:r w:rsidR="006E7743">
        <w:rPr>
          <w:rFonts w:ascii="Times New Roman" w:hAnsi="Times New Roman" w:cs="Times New Roman"/>
          <w:sz w:val="24"/>
          <w:szCs w:val="24"/>
          <w:lang w:val="fr-FR"/>
        </w:rPr>
        <w:t xml:space="preserve"> développe</w:t>
      </w:r>
      <w:r w:rsidR="0091738B">
        <w:rPr>
          <w:rFonts w:ascii="Times New Roman" w:hAnsi="Times New Roman" w:cs="Times New Roman"/>
          <w:sz w:val="24"/>
          <w:szCs w:val="24"/>
          <w:lang w:val="fr-FR"/>
        </w:rPr>
        <w:t xml:space="preserve"> dans son ouvrage </w:t>
      </w:r>
      <w:r w:rsidR="0091738B">
        <w:rPr>
          <w:rFonts w:ascii="Times New Roman" w:hAnsi="Times New Roman" w:cs="Times New Roman"/>
          <w:i/>
          <w:iCs/>
          <w:sz w:val="24"/>
          <w:szCs w:val="24"/>
          <w:lang w:val="fr-FR"/>
        </w:rPr>
        <w:t>De la connaissance historique</w:t>
      </w:r>
      <w:r w:rsidR="0091738B">
        <w:rPr>
          <w:rFonts w:ascii="Times New Roman" w:hAnsi="Times New Roman" w:cs="Times New Roman"/>
          <w:sz w:val="24"/>
          <w:szCs w:val="24"/>
          <w:lang w:val="fr-FR"/>
        </w:rPr>
        <w:t xml:space="preserve"> (1954)</w:t>
      </w:r>
      <w:r w:rsidR="006E7743">
        <w:rPr>
          <w:rFonts w:ascii="Times New Roman" w:hAnsi="Times New Roman" w:cs="Times New Roman"/>
          <w:sz w:val="24"/>
          <w:szCs w:val="24"/>
          <w:lang w:val="fr-FR"/>
        </w:rPr>
        <w:t xml:space="preserve">, </w:t>
      </w:r>
      <w:r w:rsidR="0091738B">
        <w:rPr>
          <w:rFonts w:ascii="Times New Roman" w:hAnsi="Times New Roman" w:cs="Times New Roman"/>
          <w:sz w:val="24"/>
          <w:szCs w:val="24"/>
          <w:lang w:val="fr-FR"/>
        </w:rPr>
        <w:t>fruit</w:t>
      </w:r>
      <w:r w:rsidR="006E7743">
        <w:rPr>
          <w:rFonts w:ascii="Times New Roman" w:hAnsi="Times New Roman" w:cs="Times New Roman"/>
          <w:sz w:val="24"/>
          <w:szCs w:val="24"/>
          <w:lang w:val="fr-FR"/>
        </w:rPr>
        <w:t xml:space="preserve"> de leçons données dans le cadre de la chaire Mercier à l’Université de Louvain, une interrogation</w:t>
      </w:r>
      <w:r w:rsidR="00495C09">
        <w:rPr>
          <w:rFonts w:ascii="Times New Roman" w:hAnsi="Times New Roman" w:cs="Times New Roman"/>
          <w:sz w:val="24"/>
          <w:szCs w:val="24"/>
          <w:lang w:val="fr-FR"/>
        </w:rPr>
        <w:t xml:space="preserve"> </w:t>
      </w:r>
      <w:r w:rsidR="0091738B">
        <w:rPr>
          <w:rFonts w:ascii="Times New Roman" w:hAnsi="Times New Roman" w:cs="Times New Roman"/>
          <w:sz w:val="24"/>
          <w:szCs w:val="24"/>
          <w:lang w:val="fr-FR"/>
        </w:rPr>
        <w:t xml:space="preserve">sur </w:t>
      </w:r>
      <w:r w:rsidR="00495C09">
        <w:rPr>
          <w:rFonts w:ascii="Times New Roman" w:hAnsi="Times New Roman" w:cs="Times New Roman"/>
          <w:sz w:val="24"/>
          <w:szCs w:val="24"/>
          <w:lang w:val="fr-FR"/>
        </w:rPr>
        <w:t>« le comportement correct de la raison dans son usage historique »</w:t>
      </w:r>
      <w:r w:rsidR="00075AF0">
        <w:rPr>
          <w:rFonts w:ascii="Times New Roman" w:hAnsi="Times New Roman" w:cs="Times New Roman"/>
          <w:sz w:val="24"/>
          <w:szCs w:val="24"/>
          <w:lang w:val="fr-FR"/>
        </w:rPr>
        <w:t xml:space="preserve"> (Marrou. H.-I., 1959, p.7)</w:t>
      </w:r>
      <w:r w:rsidR="006E7743">
        <w:rPr>
          <w:rFonts w:ascii="Times New Roman" w:hAnsi="Times New Roman" w:cs="Times New Roman"/>
          <w:sz w:val="24"/>
          <w:szCs w:val="24"/>
          <w:lang w:val="fr-FR"/>
        </w:rPr>
        <w:t>.</w:t>
      </w:r>
      <w:r w:rsidR="00E51B07">
        <w:rPr>
          <w:rFonts w:ascii="Times New Roman" w:hAnsi="Times New Roman" w:cs="Times New Roman"/>
          <w:sz w:val="24"/>
          <w:szCs w:val="24"/>
          <w:lang w:val="fr-FR"/>
        </w:rPr>
        <w:t xml:space="preserve"> </w:t>
      </w:r>
      <w:r w:rsidR="006E7743">
        <w:rPr>
          <w:rFonts w:ascii="Times New Roman" w:hAnsi="Times New Roman" w:cs="Times New Roman"/>
          <w:sz w:val="24"/>
          <w:szCs w:val="24"/>
          <w:lang w:val="fr-FR"/>
        </w:rPr>
        <w:t>D</w:t>
      </w:r>
      <w:r w:rsidR="00E51B07">
        <w:rPr>
          <w:rFonts w:ascii="Times New Roman" w:hAnsi="Times New Roman" w:cs="Times New Roman"/>
          <w:sz w:val="24"/>
          <w:szCs w:val="24"/>
          <w:lang w:val="fr-FR"/>
        </w:rPr>
        <w:t xml:space="preserve">ésireux </w:t>
      </w:r>
      <w:r w:rsidR="006E7743">
        <w:rPr>
          <w:rFonts w:ascii="Times New Roman" w:hAnsi="Times New Roman" w:cs="Times New Roman"/>
          <w:sz w:val="24"/>
          <w:szCs w:val="24"/>
          <w:lang w:val="fr-FR"/>
        </w:rPr>
        <w:t xml:space="preserve">de tirer </w:t>
      </w:r>
      <w:r w:rsidR="00E51B07">
        <w:rPr>
          <w:rFonts w:ascii="Times New Roman" w:hAnsi="Times New Roman" w:cs="Times New Roman"/>
          <w:sz w:val="24"/>
          <w:szCs w:val="24"/>
          <w:lang w:val="fr-FR"/>
        </w:rPr>
        <w:t>la réflexion sur le rôle et les méthodes de l’histoire</w:t>
      </w:r>
      <w:r w:rsidR="006E7743">
        <w:rPr>
          <w:rFonts w:ascii="Times New Roman" w:hAnsi="Times New Roman" w:cs="Times New Roman"/>
          <w:sz w:val="24"/>
          <w:szCs w:val="24"/>
          <w:lang w:val="fr-FR"/>
        </w:rPr>
        <w:t xml:space="preserve"> hors des griffes des philosophes,</w:t>
      </w:r>
      <w:r w:rsidR="00E51B07">
        <w:rPr>
          <w:rFonts w:ascii="Times New Roman" w:hAnsi="Times New Roman" w:cs="Times New Roman"/>
          <w:sz w:val="24"/>
          <w:szCs w:val="24"/>
          <w:lang w:val="fr-FR"/>
        </w:rPr>
        <w:t xml:space="preserve"> </w:t>
      </w:r>
      <w:r w:rsidR="00A76AEE">
        <w:rPr>
          <w:rFonts w:ascii="Times New Roman" w:hAnsi="Times New Roman" w:cs="Times New Roman"/>
          <w:sz w:val="24"/>
          <w:szCs w:val="24"/>
          <w:lang w:val="fr-FR"/>
        </w:rPr>
        <w:t>il rédige ce qu’il nomme « un traité des vertus de l’historien »</w:t>
      </w:r>
      <w:r w:rsidR="00075AF0">
        <w:rPr>
          <w:rFonts w:ascii="Times New Roman" w:hAnsi="Times New Roman" w:cs="Times New Roman"/>
          <w:sz w:val="24"/>
          <w:szCs w:val="24"/>
          <w:lang w:val="fr-FR"/>
        </w:rPr>
        <w:t xml:space="preserve"> (Marrou H.-I., 1959, p.7).</w:t>
      </w:r>
      <w:r w:rsidR="00C867A1">
        <w:rPr>
          <w:rFonts w:ascii="Times New Roman" w:hAnsi="Times New Roman" w:cs="Times New Roman"/>
          <w:sz w:val="24"/>
          <w:szCs w:val="24"/>
          <w:lang w:val="fr-FR"/>
        </w:rPr>
        <w:t xml:space="preserve"> </w:t>
      </w:r>
      <w:r w:rsidR="006828CE">
        <w:rPr>
          <w:rFonts w:ascii="Times New Roman" w:hAnsi="Times New Roman" w:cs="Times New Roman"/>
          <w:sz w:val="24"/>
          <w:szCs w:val="24"/>
          <w:lang w:val="fr-FR"/>
        </w:rPr>
        <w:t>Il s’agit donc, pour Marrou, à la suite de Dilthey et d’Aron, d’établir une histoire critique q</w:t>
      </w:r>
      <w:r w:rsidR="00BF726F">
        <w:rPr>
          <w:rFonts w:ascii="Times New Roman" w:hAnsi="Times New Roman" w:cs="Times New Roman"/>
          <w:sz w:val="24"/>
          <w:szCs w:val="24"/>
          <w:lang w:val="fr-FR"/>
        </w:rPr>
        <w:t xml:space="preserve">ui s’appuie sur des fondations philosophiques. Or ces fondations sont encore précaires </w:t>
      </w:r>
      <w:r w:rsidR="00B56F92">
        <w:rPr>
          <w:rFonts w:ascii="Times New Roman" w:hAnsi="Times New Roman" w:cs="Times New Roman"/>
          <w:sz w:val="24"/>
          <w:szCs w:val="24"/>
          <w:lang w:val="fr-FR"/>
        </w:rPr>
        <w:t xml:space="preserve">car récentes, ainsi </w:t>
      </w:r>
      <w:r w:rsidR="00B73BB1">
        <w:rPr>
          <w:rFonts w:ascii="Times New Roman" w:hAnsi="Times New Roman" w:cs="Times New Roman"/>
          <w:sz w:val="24"/>
          <w:szCs w:val="24"/>
          <w:lang w:val="fr-FR"/>
        </w:rPr>
        <w:t>qu’il le rappelle</w:t>
      </w:r>
      <w:r w:rsidR="00B56F92">
        <w:rPr>
          <w:rFonts w:ascii="Times New Roman" w:hAnsi="Times New Roman" w:cs="Times New Roman"/>
          <w:sz w:val="24"/>
          <w:szCs w:val="24"/>
          <w:lang w:val="fr-FR"/>
        </w:rPr>
        <w:t> : « il a fallu attendre 1938 pour qu’avec les deux thèses retentissantes de Raymond Aron la philosophie critique de l’histoire fût enfin intégrée à la culture française »</w:t>
      </w:r>
      <w:r w:rsidR="00075AF0">
        <w:rPr>
          <w:rFonts w:ascii="Times New Roman" w:hAnsi="Times New Roman" w:cs="Times New Roman"/>
          <w:sz w:val="24"/>
          <w:szCs w:val="24"/>
          <w:lang w:val="fr-FR"/>
        </w:rPr>
        <w:t xml:space="preserve"> (Marrou H.I., 1959, p.20).</w:t>
      </w:r>
      <w:r w:rsidR="00844870">
        <w:rPr>
          <w:rStyle w:val="Appelnotedebasdep"/>
          <w:rFonts w:ascii="Times New Roman" w:hAnsi="Times New Roman" w:cs="Times New Roman"/>
          <w:sz w:val="24"/>
          <w:szCs w:val="24"/>
          <w:lang w:val="fr-FR"/>
        </w:rPr>
        <w:footnoteReference w:id="5"/>
      </w:r>
      <w:r w:rsidR="00844870">
        <w:rPr>
          <w:rFonts w:ascii="Times New Roman" w:hAnsi="Times New Roman" w:cs="Times New Roman"/>
          <w:sz w:val="24"/>
          <w:szCs w:val="24"/>
          <w:lang w:val="fr-FR"/>
        </w:rPr>
        <w:t xml:space="preserve"> Or, c’est dans ce contexte</w:t>
      </w:r>
      <w:r w:rsidR="00F258A4">
        <w:rPr>
          <w:rFonts w:ascii="Times New Roman" w:hAnsi="Times New Roman" w:cs="Times New Roman"/>
          <w:sz w:val="24"/>
          <w:szCs w:val="24"/>
          <w:lang w:val="fr-FR"/>
        </w:rPr>
        <w:t xml:space="preserve"> historique que Marrou introduit la pensée de Collingwood pour mieux cerner ce mouvement de naissance de la philosophie critique, et surtout pour dégager cette nouvelle philosophie de l’histoire de plusieurs</w:t>
      </w:r>
      <w:r w:rsidR="009876FC">
        <w:rPr>
          <w:rFonts w:ascii="Times New Roman" w:hAnsi="Times New Roman" w:cs="Times New Roman"/>
          <w:sz w:val="24"/>
          <w:szCs w:val="24"/>
          <w:lang w:val="fr-FR"/>
        </w:rPr>
        <w:t xml:space="preserve"> ornières qui se présentent sur son chemin. Marrou précise qu’il s’intéresse ici à deux ouvrages de l’auteur britannique : </w:t>
      </w:r>
      <w:r w:rsidR="009876FC">
        <w:rPr>
          <w:rFonts w:ascii="Times New Roman" w:hAnsi="Times New Roman" w:cs="Times New Roman"/>
          <w:i/>
          <w:iCs/>
          <w:sz w:val="24"/>
          <w:szCs w:val="24"/>
          <w:lang w:val="fr-FR"/>
        </w:rPr>
        <w:t>An Autobiography</w:t>
      </w:r>
      <w:r w:rsidR="009876FC">
        <w:rPr>
          <w:rFonts w:ascii="Times New Roman" w:hAnsi="Times New Roman" w:cs="Times New Roman"/>
          <w:sz w:val="24"/>
          <w:szCs w:val="24"/>
          <w:lang w:val="fr-FR"/>
        </w:rPr>
        <w:t xml:space="preserve"> et </w:t>
      </w:r>
      <w:r w:rsidR="009876FC">
        <w:rPr>
          <w:rFonts w:ascii="Times New Roman" w:hAnsi="Times New Roman" w:cs="Times New Roman"/>
          <w:i/>
          <w:iCs/>
          <w:sz w:val="24"/>
          <w:szCs w:val="24"/>
          <w:lang w:val="fr-FR"/>
        </w:rPr>
        <w:t>The Idea of History</w:t>
      </w:r>
      <w:r w:rsidR="00075AF0">
        <w:rPr>
          <w:rFonts w:ascii="Times New Roman" w:hAnsi="Times New Roman" w:cs="Times New Roman"/>
          <w:sz w:val="24"/>
          <w:szCs w:val="24"/>
          <w:lang w:val="fr-FR"/>
        </w:rPr>
        <w:t xml:space="preserve">. </w:t>
      </w:r>
    </w:p>
    <w:p w14:paraId="72F7F6C1" w14:textId="6E729AAD" w:rsidR="00297A7B" w:rsidRDefault="001F249B" w:rsidP="0063157C">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 xml:space="preserve">Afin d’établir la nouvelle méthode historique, Marrou doit se défaire </w:t>
      </w:r>
      <w:r w:rsidR="006F0FD2">
        <w:rPr>
          <w:rFonts w:ascii="Times New Roman" w:hAnsi="Times New Roman" w:cs="Times New Roman"/>
          <w:sz w:val="24"/>
          <w:szCs w:val="24"/>
          <w:lang w:val="fr-FR"/>
        </w:rPr>
        <w:t xml:space="preserve">d’une conception héritée </w:t>
      </w:r>
      <w:r w:rsidR="00B60A79">
        <w:rPr>
          <w:rFonts w:ascii="Times New Roman" w:hAnsi="Times New Roman" w:cs="Times New Roman"/>
          <w:sz w:val="24"/>
          <w:szCs w:val="24"/>
          <w:lang w:val="fr-FR"/>
        </w:rPr>
        <w:t>du dix-neuvième siècle</w:t>
      </w:r>
      <w:r w:rsidR="006F0FD2">
        <w:rPr>
          <w:rFonts w:ascii="Times New Roman" w:hAnsi="Times New Roman" w:cs="Times New Roman"/>
          <w:sz w:val="24"/>
          <w:szCs w:val="24"/>
          <w:lang w:val="fr-FR"/>
        </w:rPr>
        <w:t xml:space="preserve"> et qui survit dans la première moitié du XXème siècle : « Quand j’arrivai à la Sorbonne en novembre 1925, j’y fus accueilli par la voix affaiblie, mais toujours convaincue, du vieux Seignobos »</w:t>
      </w:r>
      <w:r w:rsidR="00075AF0">
        <w:rPr>
          <w:rFonts w:ascii="Times New Roman" w:hAnsi="Times New Roman" w:cs="Times New Roman"/>
          <w:sz w:val="24"/>
          <w:szCs w:val="24"/>
          <w:lang w:val="fr-FR"/>
        </w:rPr>
        <w:t xml:space="preserve"> (Marrou H.-I., 1959, p.19).</w:t>
      </w:r>
      <w:r w:rsidR="00B60A79">
        <w:rPr>
          <w:rFonts w:ascii="Times New Roman" w:hAnsi="Times New Roman" w:cs="Times New Roman"/>
          <w:sz w:val="24"/>
          <w:szCs w:val="24"/>
          <w:lang w:val="fr-FR"/>
        </w:rPr>
        <w:t xml:space="preserve"> </w:t>
      </w:r>
      <w:r w:rsidR="004B6B11">
        <w:rPr>
          <w:rFonts w:ascii="Times New Roman" w:hAnsi="Times New Roman" w:cs="Times New Roman"/>
          <w:sz w:val="24"/>
          <w:szCs w:val="24"/>
          <w:lang w:val="fr-FR"/>
        </w:rPr>
        <w:t xml:space="preserve">C’est, en effet, à </w:t>
      </w:r>
      <w:r w:rsidR="00B42B26">
        <w:rPr>
          <w:rFonts w:ascii="Times New Roman" w:hAnsi="Times New Roman" w:cs="Times New Roman"/>
          <w:sz w:val="24"/>
          <w:szCs w:val="24"/>
          <w:lang w:val="fr-FR"/>
        </w:rPr>
        <w:t>Langlois et Seignobos que Marrou attribue le « parfait manuel de l’érudit positiviste »</w:t>
      </w:r>
      <w:r w:rsidR="00075AF0">
        <w:rPr>
          <w:rFonts w:ascii="Times New Roman" w:hAnsi="Times New Roman" w:cs="Times New Roman"/>
          <w:sz w:val="24"/>
          <w:szCs w:val="24"/>
          <w:lang w:val="fr-FR"/>
        </w:rPr>
        <w:t xml:space="preserve"> (Marrou H.-I., 1959, p.49)</w:t>
      </w:r>
      <w:r w:rsidR="00B42B26">
        <w:rPr>
          <w:rFonts w:ascii="Times New Roman" w:hAnsi="Times New Roman" w:cs="Times New Roman"/>
          <w:sz w:val="24"/>
          <w:szCs w:val="24"/>
          <w:lang w:val="fr-FR"/>
        </w:rPr>
        <w:t xml:space="preserve">, le fameux </w:t>
      </w:r>
      <w:r w:rsidR="00B42B26">
        <w:rPr>
          <w:rFonts w:ascii="Times New Roman" w:hAnsi="Times New Roman" w:cs="Times New Roman"/>
          <w:i/>
          <w:iCs/>
          <w:sz w:val="24"/>
          <w:szCs w:val="24"/>
          <w:lang w:val="fr-FR"/>
        </w:rPr>
        <w:t>Introduction aux études historiques</w:t>
      </w:r>
      <w:r w:rsidR="00B42B26">
        <w:rPr>
          <w:rFonts w:ascii="Times New Roman" w:hAnsi="Times New Roman" w:cs="Times New Roman"/>
          <w:sz w:val="24"/>
          <w:szCs w:val="24"/>
          <w:lang w:val="fr-FR"/>
        </w:rPr>
        <w:t xml:space="preserve"> (</w:t>
      </w:r>
      <w:r w:rsidR="00075AF0">
        <w:rPr>
          <w:rFonts w:ascii="Times New Roman" w:hAnsi="Times New Roman" w:cs="Times New Roman"/>
          <w:sz w:val="24"/>
          <w:szCs w:val="24"/>
          <w:lang w:val="fr-FR"/>
        </w:rPr>
        <w:t xml:space="preserve">Langlois C.-V., Seignobos C., </w:t>
      </w:r>
      <w:r w:rsidR="00B42B26">
        <w:rPr>
          <w:rFonts w:ascii="Times New Roman" w:hAnsi="Times New Roman" w:cs="Times New Roman"/>
          <w:sz w:val="24"/>
          <w:szCs w:val="24"/>
          <w:lang w:val="fr-FR"/>
        </w:rPr>
        <w:t>1898)</w:t>
      </w:r>
      <w:r w:rsidR="00F21410">
        <w:rPr>
          <w:rFonts w:ascii="Times New Roman" w:hAnsi="Times New Roman" w:cs="Times New Roman"/>
          <w:sz w:val="24"/>
          <w:szCs w:val="24"/>
          <w:lang w:val="fr-FR"/>
        </w:rPr>
        <w:t>. Marrou souhaite</w:t>
      </w:r>
      <w:r w:rsidR="0091738B">
        <w:rPr>
          <w:rFonts w:ascii="Times New Roman" w:hAnsi="Times New Roman" w:cs="Times New Roman"/>
          <w:sz w:val="24"/>
          <w:szCs w:val="24"/>
          <w:lang w:val="fr-FR"/>
        </w:rPr>
        <w:t xml:space="preserve"> </w:t>
      </w:r>
      <w:r w:rsidR="00F21410">
        <w:rPr>
          <w:rFonts w:ascii="Times New Roman" w:hAnsi="Times New Roman" w:cs="Times New Roman"/>
          <w:sz w:val="24"/>
          <w:szCs w:val="24"/>
          <w:lang w:val="fr-FR"/>
        </w:rPr>
        <w:t xml:space="preserve">détacher la conception de l’histoire d’un certain nombre </w:t>
      </w:r>
      <w:r w:rsidR="00AA6330">
        <w:rPr>
          <w:rFonts w:ascii="Times New Roman" w:hAnsi="Times New Roman" w:cs="Times New Roman"/>
          <w:sz w:val="24"/>
          <w:szCs w:val="24"/>
          <w:lang w:val="fr-FR"/>
        </w:rPr>
        <w:t>de thèses du positivisme</w:t>
      </w:r>
      <w:r w:rsidR="004932E5">
        <w:rPr>
          <w:rStyle w:val="Appelnotedebasdep"/>
          <w:rFonts w:ascii="Times New Roman" w:hAnsi="Times New Roman" w:cs="Times New Roman"/>
          <w:sz w:val="24"/>
          <w:szCs w:val="24"/>
          <w:lang w:val="fr-FR"/>
        </w:rPr>
        <w:footnoteReference w:id="6"/>
      </w:r>
      <w:r w:rsidR="00DD3FE1">
        <w:rPr>
          <w:rFonts w:ascii="Times New Roman" w:hAnsi="Times New Roman" w:cs="Times New Roman"/>
          <w:sz w:val="24"/>
          <w:szCs w:val="24"/>
          <w:lang w:val="fr-FR"/>
        </w:rPr>
        <w:t xml:space="preserve">. </w:t>
      </w:r>
      <w:r w:rsidR="00E30B43">
        <w:rPr>
          <w:rFonts w:ascii="Times New Roman" w:hAnsi="Times New Roman" w:cs="Times New Roman"/>
          <w:sz w:val="24"/>
          <w:szCs w:val="24"/>
          <w:lang w:val="fr-FR"/>
        </w:rPr>
        <w:t>Il récuse donc</w:t>
      </w:r>
      <w:r w:rsidR="00DD3FE1">
        <w:rPr>
          <w:rFonts w:ascii="Times New Roman" w:hAnsi="Times New Roman" w:cs="Times New Roman"/>
          <w:sz w:val="24"/>
          <w:szCs w:val="24"/>
          <w:lang w:val="fr-FR"/>
        </w:rPr>
        <w:t xml:space="preserve"> cette définition de l’histoire qui apparaîtrait « comme l’ensemble de </w:t>
      </w:r>
      <w:r w:rsidR="00FE09CE" w:rsidRPr="00FE09CE">
        <w:t>“</w:t>
      </w:r>
      <w:r w:rsidR="00DD3FE1">
        <w:rPr>
          <w:rFonts w:ascii="Times New Roman" w:hAnsi="Times New Roman" w:cs="Times New Roman"/>
          <w:sz w:val="24"/>
          <w:szCs w:val="24"/>
          <w:lang w:val="fr-FR"/>
        </w:rPr>
        <w:t>faits</w:t>
      </w:r>
      <w:r w:rsidR="00903B94" w:rsidRPr="00903B94">
        <w:t>”</w:t>
      </w:r>
      <w:r w:rsidR="00DD3FE1">
        <w:rPr>
          <w:rFonts w:ascii="Times New Roman" w:hAnsi="Times New Roman" w:cs="Times New Roman"/>
          <w:sz w:val="24"/>
          <w:szCs w:val="24"/>
          <w:lang w:val="fr-FR"/>
        </w:rPr>
        <w:t xml:space="preserve"> qu’on dégage des documents »</w:t>
      </w:r>
      <w:r w:rsidR="008463E9">
        <w:rPr>
          <w:rFonts w:ascii="Times New Roman" w:hAnsi="Times New Roman" w:cs="Times New Roman"/>
          <w:sz w:val="24"/>
          <w:szCs w:val="24"/>
          <w:lang w:val="fr-FR"/>
        </w:rPr>
        <w:t>,</w:t>
      </w:r>
      <w:r w:rsidR="00DD3FE1">
        <w:rPr>
          <w:rFonts w:ascii="Times New Roman" w:hAnsi="Times New Roman" w:cs="Times New Roman"/>
          <w:sz w:val="24"/>
          <w:szCs w:val="24"/>
          <w:lang w:val="fr-FR"/>
        </w:rPr>
        <w:t xml:space="preserve"> une histoire qui « existe, latente, mais déjà réelle, dans les documents, dès avant qu’intervienne le labeur de l’historien »</w:t>
      </w:r>
      <w:r w:rsidR="00375311">
        <w:rPr>
          <w:rFonts w:ascii="Times New Roman" w:hAnsi="Times New Roman" w:cs="Times New Roman"/>
          <w:sz w:val="24"/>
          <w:szCs w:val="24"/>
          <w:lang w:val="fr-FR"/>
        </w:rPr>
        <w:t xml:space="preserve"> (Marrou H.-I., 1959, p.49)</w:t>
      </w:r>
      <w:r w:rsidR="00DD3FE1">
        <w:rPr>
          <w:rFonts w:ascii="Times New Roman" w:hAnsi="Times New Roman" w:cs="Times New Roman"/>
          <w:sz w:val="24"/>
          <w:szCs w:val="24"/>
          <w:lang w:val="fr-FR"/>
        </w:rPr>
        <w:t>. C</w:t>
      </w:r>
      <w:r w:rsidR="00A35EE2">
        <w:rPr>
          <w:rFonts w:ascii="Times New Roman" w:hAnsi="Times New Roman" w:cs="Times New Roman"/>
          <w:sz w:val="24"/>
          <w:szCs w:val="24"/>
          <w:lang w:val="fr-FR"/>
        </w:rPr>
        <w:t xml:space="preserve">ette vision de l’histoire, dont l’historien n’aurait qu’à tirer une photographie claire pour en apercevoir la réalité, témoigne, pour Marrou, du désir </w:t>
      </w:r>
      <w:r w:rsidR="00E4218F">
        <w:rPr>
          <w:rFonts w:ascii="Times New Roman" w:hAnsi="Times New Roman" w:cs="Times New Roman"/>
          <w:sz w:val="24"/>
          <w:szCs w:val="24"/>
          <w:lang w:val="fr-FR"/>
        </w:rPr>
        <w:t xml:space="preserve">sans cesse renouvelé des positivistes d’établir une objectivité historique, objectivité que les historiens du XXème siècle </w:t>
      </w:r>
      <w:r w:rsidR="00BA127D">
        <w:rPr>
          <w:rFonts w:ascii="Times New Roman" w:hAnsi="Times New Roman" w:cs="Times New Roman"/>
          <w:sz w:val="24"/>
          <w:szCs w:val="24"/>
          <w:lang w:val="fr-FR"/>
        </w:rPr>
        <w:t>doivent abandonner, sous peine de produire une histoire qui « comprendrait surtout des pages blanches »</w:t>
      </w:r>
      <w:r w:rsidR="00375311" w:rsidRPr="00375311">
        <w:rPr>
          <w:rFonts w:ascii="Times New Roman" w:hAnsi="Times New Roman" w:cs="Times New Roman"/>
          <w:sz w:val="24"/>
          <w:szCs w:val="24"/>
          <w:lang w:val="fr-FR"/>
        </w:rPr>
        <w:t xml:space="preserve"> </w:t>
      </w:r>
      <w:r w:rsidR="00375311">
        <w:rPr>
          <w:rFonts w:ascii="Times New Roman" w:hAnsi="Times New Roman" w:cs="Times New Roman"/>
          <w:sz w:val="24"/>
          <w:szCs w:val="24"/>
          <w:lang w:val="fr-FR"/>
        </w:rPr>
        <w:t>(Marrou H.-I., 1959, p.126)</w:t>
      </w:r>
      <w:r w:rsidR="00E4218F">
        <w:rPr>
          <w:rFonts w:ascii="Times New Roman" w:hAnsi="Times New Roman" w:cs="Times New Roman"/>
          <w:sz w:val="24"/>
          <w:szCs w:val="24"/>
          <w:lang w:val="fr-FR"/>
        </w:rPr>
        <w:t xml:space="preserve">. </w:t>
      </w:r>
    </w:p>
    <w:p w14:paraId="237ED6BF" w14:textId="7D42AD29" w:rsidR="00E5292E" w:rsidRDefault="00E4218F" w:rsidP="0063157C">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043BD6">
        <w:rPr>
          <w:rFonts w:ascii="Times New Roman" w:hAnsi="Times New Roman" w:cs="Times New Roman"/>
          <w:sz w:val="24"/>
          <w:szCs w:val="24"/>
          <w:lang w:val="fr-FR"/>
        </w:rPr>
        <w:t>Ainsi, l’historien positiviste ne construit pas l</w:t>
      </w:r>
      <w:r w:rsidR="00D13FC4">
        <w:rPr>
          <w:rFonts w:ascii="Times New Roman" w:hAnsi="Times New Roman" w:cs="Times New Roman"/>
          <w:sz w:val="24"/>
          <w:szCs w:val="24"/>
          <w:lang w:val="fr-FR"/>
        </w:rPr>
        <w:t xml:space="preserve">’histoire, il </w:t>
      </w:r>
      <w:r w:rsidR="008D5BC5">
        <w:rPr>
          <w:rFonts w:ascii="Times New Roman" w:hAnsi="Times New Roman" w:cs="Times New Roman"/>
          <w:sz w:val="24"/>
          <w:szCs w:val="24"/>
          <w:lang w:val="fr-FR"/>
        </w:rPr>
        <w:t>veut la retrouver</w:t>
      </w:r>
      <w:r w:rsidR="00D13FC4">
        <w:rPr>
          <w:rFonts w:ascii="Times New Roman" w:hAnsi="Times New Roman" w:cs="Times New Roman"/>
          <w:sz w:val="24"/>
          <w:szCs w:val="24"/>
          <w:lang w:val="fr-FR"/>
        </w:rPr>
        <w:t>, et Marrou d’écrire : « </w:t>
      </w:r>
      <w:r w:rsidR="00DF0117">
        <w:rPr>
          <w:rFonts w:ascii="Times New Roman" w:hAnsi="Times New Roman" w:cs="Times New Roman"/>
          <w:sz w:val="24"/>
          <w:szCs w:val="24"/>
          <w:lang w:val="fr-FR"/>
        </w:rPr>
        <w:t xml:space="preserve">Collingwood, qui ne ménage pas ses sarcasmes à une telle conception de la </w:t>
      </w:r>
      <w:r w:rsidR="00CB7721" w:rsidRPr="00CB7721">
        <w:rPr>
          <w:rFonts w:ascii="Times New Roman" w:hAnsi="Times New Roman" w:cs="Times New Roman"/>
          <w:sz w:val="24"/>
          <w:szCs w:val="24"/>
        </w:rPr>
        <w:t>“</w:t>
      </w:r>
      <w:r w:rsidR="00DF0117">
        <w:rPr>
          <w:rFonts w:ascii="Times New Roman" w:hAnsi="Times New Roman" w:cs="Times New Roman"/>
          <w:sz w:val="24"/>
          <w:szCs w:val="24"/>
          <w:lang w:val="fr-FR"/>
        </w:rPr>
        <w:t>connaissance historique préfabriquée, qu’il n’y aurait qu’à ingurgiter et recracher</w:t>
      </w:r>
      <w:r w:rsidR="00CB7721" w:rsidRPr="00CB7721">
        <w:rPr>
          <w:rFonts w:ascii="Times New Roman" w:hAnsi="Times New Roman" w:cs="Times New Roman"/>
          <w:sz w:val="24"/>
          <w:szCs w:val="24"/>
        </w:rPr>
        <w:t>”</w:t>
      </w:r>
      <w:r w:rsidR="00DF0117">
        <w:rPr>
          <w:rFonts w:ascii="Times New Roman" w:hAnsi="Times New Roman" w:cs="Times New Roman"/>
          <w:sz w:val="24"/>
          <w:szCs w:val="24"/>
          <w:lang w:val="fr-FR"/>
        </w:rPr>
        <w:t xml:space="preserve">, appelle cela </w:t>
      </w:r>
      <w:r w:rsidR="00CB7721" w:rsidRPr="00CB7721">
        <w:rPr>
          <w:rFonts w:ascii="Times New Roman" w:hAnsi="Times New Roman" w:cs="Times New Roman"/>
          <w:sz w:val="24"/>
          <w:szCs w:val="24"/>
        </w:rPr>
        <w:t>“</w:t>
      </w:r>
      <w:r w:rsidR="00DF0117">
        <w:rPr>
          <w:rFonts w:ascii="Times New Roman" w:hAnsi="Times New Roman" w:cs="Times New Roman"/>
          <w:sz w:val="24"/>
          <w:szCs w:val="24"/>
          <w:lang w:val="fr-FR"/>
        </w:rPr>
        <w:t xml:space="preserve">l’histoire faite avec des ciseaux et un pot de colle, </w:t>
      </w:r>
      <w:r w:rsidR="00DF0117">
        <w:rPr>
          <w:rFonts w:ascii="Times New Roman" w:hAnsi="Times New Roman" w:cs="Times New Roman"/>
          <w:i/>
          <w:iCs/>
          <w:sz w:val="24"/>
          <w:szCs w:val="24"/>
          <w:lang w:val="fr-FR"/>
        </w:rPr>
        <w:t>scissors and paste</w:t>
      </w:r>
      <w:r w:rsidR="00CB7721" w:rsidRPr="00CB7721">
        <w:rPr>
          <w:rFonts w:ascii="Times New Roman" w:hAnsi="Times New Roman" w:cs="Times New Roman"/>
          <w:sz w:val="24"/>
          <w:szCs w:val="24"/>
        </w:rPr>
        <w:t>”</w:t>
      </w:r>
      <w:r w:rsidR="00E81A60">
        <w:rPr>
          <w:rFonts w:ascii="Times New Roman" w:hAnsi="Times New Roman" w:cs="Times New Roman"/>
          <w:sz w:val="24"/>
          <w:szCs w:val="24"/>
          <w:lang w:val="fr-FR"/>
        </w:rPr>
        <w:t> »</w:t>
      </w:r>
      <w:r w:rsidR="00375311">
        <w:rPr>
          <w:rFonts w:ascii="Times New Roman" w:hAnsi="Times New Roman" w:cs="Times New Roman"/>
          <w:sz w:val="24"/>
          <w:szCs w:val="24"/>
          <w:lang w:val="fr-FR"/>
        </w:rPr>
        <w:t xml:space="preserve"> (Marrou H.-I., 1959, p.50).</w:t>
      </w:r>
      <w:r w:rsidR="00E81A60">
        <w:rPr>
          <w:rFonts w:ascii="Times New Roman" w:hAnsi="Times New Roman" w:cs="Times New Roman"/>
          <w:sz w:val="24"/>
          <w:szCs w:val="24"/>
          <w:lang w:val="fr-FR"/>
        </w:rPr>
        <w:t xml:space="preserve"> </w:t>
      </w:r>
      <w:r w:rsidR="00DE1E7B">
        <w:rPr>
          <w:rFonts w:ascii="Times New Roman" w:hAnsi="Times New Roman" w:cs="Times New Roman"/>
          <w:sz w:val="24"/>
          <w:szCs w:val="24"/>
          <w:lang w:val="fr-FR"/>
        </w:rPr>
        <w:t xml:space="preserve">L’historien </w:t>
      </w:r>
      <w:r w:rsidR="008D5BC5">
        <w:rPr>
          <w:rFonts w:ascii="Times New Roman" w:hAnsi="Times New Roman" w:cs="Times New Roman"/>
          <w:sz w:val="24"/>
          <w:szCs w:val="24"/>
          <w:lang w:val="fr-FR"/>
        </w:rPr>
        <w:t xml:space="preserve">positiviste </w:t>
      </w:r>
      <w:r w:rsidR="00DE1E7B">
        <w:rPr>
          <w:rFonts w:ascii="Times New Roman" w:hAnsi="Times New Roman" w:cs="Times New Roman"/>
          <w:sz w:val="24"/>
          <w:szCs w:val="24"/>
          <w:lang w:val="fr-FR"/>
        </w:rPr>
        <w:t>n’utilise sa méthode que pour compiler les informations</w:t>
      </w:r>
      <w:r w:rsidR="001339C7">
        <w:rPr>
          <w:rFonts w:ascii="Times New Roman" w:hAnsi="Times New Roman" w:cs="Times New Roman"/>
          <w:sz w:val="24"/>
          <w:szCs w:val="24"/>
          <w:lang w:val="fr-FR"/>
        </w:rPr>
        <w:t>, et faire comme Langlois à la fin de sa vie, un montage de textes</w:t>
      </w:r>
      <w:r w:rsidR="00A44D31">
        <w:rPr>
          <w:rFonts w:ascii="Times New Roman" w:hAnsi="Times New Roman" w:cs="Times New Roman"/>
          <w:sz w:val="24"/>
          <w:szCs w:val="24"/>
          <w:lang w:val="fr-FR"/>
        </w:rPr>
        <w:t> ;</w:t>
      </w:r>
      <w:r w:rsidR="001339C7">
        <w:rPr>
          <w:rFonts w:ascii="Times New Roman" w:hAnsi="Times New Roman" w:cs="Times New Roman"/>
          <w:sz w:val="24"/>
          <w:szCs w:val="24"/>
          <w:lang w:val="fr-FR"/>
        </w:rPr>
        <w:t xml:space="preserve"> toute critique interprétative étant rejetée. </w:t>
      </w:r>
    </w:p>
    <w:p w14:paraId="3E075C26" w14:textId="76C7DE96" w:rsidR="00E4218F" w:rsidRPr="00375311" w:rsidRDefault="001339C7" w:rsidP="0037531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lang w:val="fr-FR"/>
        </w:rPr>
        <w:t xml:space="preserve">Ce qui nous intéresse ici, c’est l’usage que Marrou fait de Collingwood. </w:t>
      </w:r>
      <w:r w:rsidR="00A44F64">
        <w:rPr>
          <w:rFonts w:ascii="Times New Roman" w:hAnsi="Times New Roman" w:cs="Times New Roman"/>
          <w:sz w:val="24"/>
          <w:szCs w:val="24"/>
          <w:lang w:val="fr-FR"/>
        </w:rPr>
        <w:t xml:space="preserve">Dans sa bataille contre le positivisme, Collingwood apparaît comme un allié. Cela est d’autant plus juste, que dans </w:t>
      </w:r>
      <w:r w:rsidR="00A44F64">
        <w:rPr>
          <w:rFonts w:ascii="Times New Roman" w:hAnsi="Times New Roman" w:cs="Times New Roman"/>
          <w:i/>
          <w:iCs/>
          <w:sz w:val="24"/>
          <w:szCs w:val="24"/>
          <w:lang w:val="fr-FR"/>
        </w:rPr>
        <w:t>The Idea of History</w:t>
      </w:r>
      <w:r w:rsidR="00A44F64">
        <w:rPr>
          <w:rFonts w:ascii="Times New Roman" w:hAnsi="Times New Roman" w:cs="Times New Roman"/>
          <w:sz w:val="24"/>
          <w:szCs w:val="24"/>
          <w:lang w:val="fr-FR"/>
        </w:rPr>
        <w:t xml:space="preserve">, Collingwood lui-même se réfère </w:t>
      </w:r>
      <w:r w:rsidR="00E5292E">
        <w:rPr>
          <w:rFonts w:ascii="Times New Roman" w:hAnsi="Times New Roman" w:cs="Times New Roman"/>
          <w:sz w:val="24"/>
          <w:szCs w:val="24"/>
          <w:lang w:val="fr-FR"/>
        </w:rPr>
        <w:t>à</w:t>
      </w:r>
      <w:r w:rsidR="00A44F64">
        <w:rPr>
          <w:rFonts w:ascii="Times New Roman" w:hAnsi="Times New Roman" w:cs="Times New Roman"/>
          <w:sz w:val="24"/>
          <w:szCs w:val="24"/>
          <w:lang w:val="fr-FR"/>
        </w:rPr>
        <w:t xml:space="preserve"> Langlois et </w:t>
      </w:r>
      <w:r w:rsidR="00A44D31">
        <w:rPr>
          <w:rFonts w:ascii="Times New Roman" w:hAnsi="Times New Roman" w:cs="Times New Roman"/>
          <w:sz w:val="24"/>
          <w:szCs w:val="24"/>
          <w:lang w:val="fr-FR"/>
        </w:rPr>
        <w:t xml:space="preserve">à </w:t>
      </w:r>
      <w:r w:rsidR="00A44F64">
        <w:rPr>
          <w:rFonts w:ascii="Times New Roman" w:hAnsi="Times New Roman" w:cs="Times New Roman"/>
          <w:sz w:val="24"/>
          <w:szCs w:val="24"/>
          <w:lang w:val="fr-FR"/>
        </w:rPr>
        <w:t>Seignobos</w:t>
      </w:r>
      <w:r w:rsidR="00B81E28">
        <w:rPr>
          <w:rFonts w:ascii="Times New Roman" w:hAnsi="Times New Roman" w:cs="Times New Roman"/>
          <w:sz w:val="24"/>
          <w:szCs w:val="24"/>
          <w:lang w:val="fr-FR"/>
        </w:rPr>
        <w:t xml:space="preserve"> pour mieux attaquer la philosophie de l’histoire de Susan Stebbing</w:t>
      </w:r>
      <w:r w:rsidR="0091738B">
        <w:rPr>
          <w:rFonts w:ascii="Times New Roman" w:hAnsi="Times New Roman" w:cs="Times New Roman"/>
          <w:sz w:val="24"/>
          <w:szCs w:val="24"/>
          <w:lang w:val="fr-FR"/>
        </w:rPr>
        <w:t xml:space="preserve"> (1885-1943)</w:t>
      </w:r>
      <w:r w:rsidR="00A44D31">
        <w:rPr>
          <w:rStyle w:val="Appelnotedebasdep"/>
          <w:rFonts w:ascii="Times New Roman" w:hAnsi="Times New Roman" w:cs="Times New Roman"/>
          <w:sz w:val="24"/>
          <w:szCs w:val="24"/>
          <w:lang w:val="fr-FR"/>
        </w:rPr>
        <w:footnoteReference w:id="7"/>
      </w:r>
      <w:r w:rsidR="00B81E28">
        <w:rPr>
          <w:rFonts w:ascii="Times New Roman" w:hAnsi="Times New Roman" w:cs="Times New Roman"/>
          <w:sz w:val="24"/>
          <w:szCs w:val="24"/>
          <w:lang w:val="fr-FR"/>
        </w:rPr>
        <w:t xml:space="preserve">, qu’il avait déjà cherché à réfuter dans son </w:t>
      </w:r>
      <w:r w:rsidR="00B81E28">
        <w:rPr>
          <w:rFonts w:ascii="Times New Roman" w:hAnsi="Times New Roman" w:cs="Times New Roman"/>
          <w:i/>
          <w:iCs/>
          <w:sz w:val="24"/>
          <w:szCs w:val="24"/>
          <w:lang w:val="fr-FR"/>
        </w:rPr>
        <w:t>Essay on Philosophical Method</w:t>
      </w:r>
      <w:r w:rsidR="00B81E28">
        <w:rPr>
          <w:rFonts w:ascii="Times New Roman" w:hAnsi="Times New Roman" w:cs="Times New Roman"/>
          <w:sz w:val="24"/>
          <w:szCs w:val="24"/>
          <w:lang w:val="fr-FR"/>
        </w:rPr>
        <w:t> : « </w:t>
      </w:r>
      <w:r w:rsidR="00375311">
        <w:rPr>
          <w:rFonts w:ascii="Times New Roman" w:hAnsi="Times New Roman" w:cs="Times New Roman"/>
          <w:sz w:val="24"/>
          <w:szCs w:val="24"/>
          <w:lang w:val="fr-FR"/>
        </w:rPr>
        <w:t>Cependant, plus récemment, le genre de logique qui assure être le plus au goût du jour a inspiré un manuel écrit par Miss L. Susan Stebbing (</w:t>
      </w:r>
      <w:r w:rsidR="00375311">
        <w:rPr>
          <w:rFonts w:ascii="Times New Roman" w:hAnsi="Times New Roman" w:cs="Times New Roman"/>
          <w:i/>
          <w:iCs/>
          <w:sz w:val="24"/>
          <w:szCs w:val="24"/>
          <w:lang w:val="fr-FR"/>
        </w:rPr>
        <w:t>A Modern Introduction to Logic, edn.2</w:t>
      </w:r>
      <w:r w:rsidR="00375311">
        <w:rPr>
          <w:rFonts w:ascii="Times New Roman" w:hAnsi="Times New Roman" w:cs="Times New Roman"/>
          <w:sz w:val="24"/>
          <w:szCs w:val="24"/>
          <w:lang w:val="fr-FR"/>
        </w:rPr>
        <w:t xml:space="preserve">, </w:t>
      </w:r>
      <w:r w:rsidR="00375311">
        <w:rPr>
          <w:rFonts w:ascii="Times New Roman" w:hAnsi="Times New Roman" w:cs="Times New Roman"/>
          <w:i/>
          <w:iCs/>
          <w:sz w:val="24"/>
          <w:szCs w:val="24"/>
          <w:lang w:val="fr-FR"/>
        </w:rPr>
        <w:t>London, 1933</w:t>
      </w:r>
      <w:r w:rsidR="00375311">
        <w:rPr>
          <w:rFonts w:ascii="Times New Roman" w:hAnsi="Times New Roman" w:cs="Times New Roman"/>
          <w:sz w:val="24"/>
          <w:szCs w:val="24"/>
          <w:lang w:val="fr-FR"/>
        </w:rPr>
        <w:t xml:space="preserve">). </w:t>
      </w:r>
      <w:r w:rsidR="00375311" w:rsidRPr="00375311">
        <w:rPr>
          <w:rFonts w:ascii="Times New Roman" w:hAnsi="Times New Roman" w:cs="Times New Roman"/>
          <w:sz w:val="24"/>
          <w:szCs w:val="24"/>
        </w:rPr>
        <w:t>Ce livre contient un chapitre sur la méthode historique (chapitr</w:t>
      </w:r>
      <w:r w:rsidR="00375311">
        <w:rPr>
          <w:rFonts w:ascii="Times New Roman" w:hAnsi="Times New Roman" w:cs="Times New Roman"/>
          <w:sz w:val="24"/>
          <w:szCs w:val="24"/>
        </w:rPr>
        <w:t xml:space="preserve">e XIX, p. 382-388). </w:t>
      </w:r>
      <w:r w:rsidR="00375311" w:rsidRPr="00375311">
        <w:rPr>
          <w:rFonts w:ascii="Times New Roman" w:hAnsi="Times New Roman" w:cs="Times New Roman"/>
          <w:sz w:val="24"/>
          <w:szCs w:val="24"/>
        </w:rPr>
        <w:t>Sa matière est tirée entièrement d’un manuel français écrit p</w:t>
      </w:r>
      <w:r w:rsidR="00375311">
        <w:rPr>
          <w:rFonts w:ascii="Times New Roman" w:hAnsi="Times New Roman" w:cs="Times New Roman"/>
          <w:sz w:val="24"/>
          <w:szCs w:val="24"/>
        </w:rPr>
        <w:t>ar Langlois et Seignobos (</w:t>
      </w:r>
      <w:r w:rsidR="00375311">
        <w:rPr>
          <w:rFonts w:ascii="Times New Roman" w:hAnsi="Times New Roman" w:cs="Times New Roman"/>
          <w:i/>
          <w:iCs/>
          <w:sz w:val="24"/>
          <w:szCs w:val="24"/>
        </w:rPr>
        <w:t>Introductions aux études historiques</w:t>
      </w:r>
      <w:r w:rsidR="00375311">
        <w:rPr>
          <w:rFonts w:ascii="Times New Roman" w:hAnsi="Times New Roman" w:cs="Times New Roman"/>
          <w:sz w:val="24"/>
          <w:szCs w:val="24"/>
        </w:rPr>
        <w:t xml:space="preserve">, Paris, 1898) afin d’exposer la forme d’histoire pré-scientifique que j’appelle </w:t>
      </w:r>
      <w:r w:rsidR="00375311" w:rsidRPr="00375311">
        <w:rPr>
          <w:rFonts w:ascii="Times New Roman" w:hAnsi="Times New Roman" w:cs="Times New Roman"/>
          <w:sz w:val="24"/>
          <w:szCs w:val="24"/>
        </w:rPr>
        <w:t xml:space="preserve">“ </w:t>
      </w:r>
      <w:r w:rsidR="00375311">
        <w:rPr>
          <w:rFonts w:ascii="Times New Roman" w:hAnsi="Times New Roman" w:cs="Times New Roman"/>
          <w:sz w:val="24"/>
          <w:szCs w:val="24"/>
        </w:rPr>
        <w:t>l’histoire faite avec des ciseaux et un pot de colle</w:t>
      </w:r>
      <w:r w:rsidR="00375311" w:rsidRPr="00375311">
        <w:rPr>
          <w:rFonts w:ascii="Times New Roman" w:hAnsi="Times New Roman" w:cs="Times New Roman"/>
          <w:sz w:val="24"/>
          <w:szCs w:val="24"/>
        </w:rPr>
        <w:t>”</w:t>
      </w:r>
      <w:r w:rsidR="00375311">
        <w:rPr>
          <w:rFonts w:ascii="Times New Roman" w:hAnsi="Times New Roman" w:cs="Times New Roman"/>
          <w:sz w:val="24"/>
          <w:szCs w:val="24"/>
        </w:rPr>
        <w:t xml:space="preserve"> »</w:t>
      </w:r>
      <w:r w:rsidR="00A10C02" w:rsidRPr="00A10C02">
        <w:rPr>
          <w:rStyle w:val="Appelnotedebasdep"/>
          <w:rFonts w:ascii="Times New Roman" w:hAnsi="Times New Roman" w:cs="Times New Roman"/>
          <w:sz w:val="24"/>
          <w:szCs w:val="24"/>
        </w:rPr>
        <w:t xml:space="preserve"> </w:t>
      </w:r>
      <w:r w:rsidR="00A10C02">
        <w:rPr>
          <w:rStyle w:val="Appelnotedebasdep"/>
          <w:rFonts w:ascii="Times New Roman" w:hAnsi="Times New Roman" w:cs="Times New Roman"/>
          <w:sz w:val="24"/>
          <w:szCs w:val="24"/>
          <w:lang w:val="en-US"/>
        </w:rPr>
        <w:footnoteReference w:id="8"/>
      </w:r>
      <w:r w:rsidR="00375311">
        <w:rPr>
          <w:rFonts w:ascii="Times New Roman" w:hAnsi="Times New Roman" w:cs="Times New Roman"/>
          <w:sz w:val="24"/>
          <w:szCs w:val="24"/>
        </w:rPr>
        <w:t xml:space="preserve"> (Collingwood, R.G. </w:t>
      </w:r>
      <w:r w:rsidR="00A10C02">
        <w:rPr>
          <w:rFonts w:ascii="Times New Roman" w:hAnsi="Times New Roman" w:cs="Times New Roman"/>
          <w:sz w:val="24"/>
          <w:szCs w:val="24"/>
        </w:rPr>
        <w:t>1946, p.143)</w:t>
      </w:r>
      <w:r w:rsidR="00375311">
        <w:rPr>
          <w:rFonts w:ascii="Times New Roman" w:hAnsi="Times New Roman" w:cs="Times New Roman"/>
          <w:sz w:val="24"/>
          <w:szCs w:val="24"/>
        </w:rPr>
        <w:t>.</w:t>
      </w:r>
    </w:p>
    <w:p w14:paraId="0B7589AD" w14:textId="77777777" w:rsidR="00CE0ECD" w:rsidRPr="00375311" w:rsidRDefault="00CE0ECD" w:rsidP="0063157C">
      <w:pPr>
        <w:spacing w:line="360" w:lineRule="auto"/>
        <w:jc w:val="both"/>
        <w:rPr>
          <w:rFonts w:ascii="Times New Roman" w:hAnsi="Times New Roman" w:cs="Times New Roman"/>
          <w:sz w:val="24"/>
          <w:szCs w:val="24"/>
        </w:rPr>
      </w:pPr>
    </w:p>
    <w:p w14:paraId="2E3E0A9F" w14:textId="4C707078" w:rsidR="00CE0ECD" w:rsidRPr="000B7C13" w:rsidRDefault="000E5789" w:rsidP="000B7C13">
      <w:pPr>
        <w:pStyle w:val="Paragraphedeliste"/>
        <w:numPr>
          <w:ilvl w:val="0"/>
          <w:numId w:val="9"/>
        </w:numPr>
        <w:spacing w:line="360" w:lineRule="auto"/>
        <w:jc w:val="both"/>
        <w:rPr>
          <w:rFonts w:ascii="Times New Roman" w:hAnsi="Times New Roman" w:cs="Times New Roman"/>
          <w:i/>
          <w:iCs/>
          <w:sz w:val="24"/>
          <w:szCs w:val="24"/>
          <w:lang w:val="fr-FR"/>
        </w:rPr>
      </w:pPr>
      <w:r w:rsidRPr="000B7C13">
        <w:rPr>
          <w:rFonts w:ascii="Times New Roman" w:hAnsi="Times New Roman" w:cs="Times New Roman"/>
          <w:i/>
          <w:iCs/>
          <w:sz w:val="24"/>
          <w:szCs w:val="24"/>
          <w:lang w:val="fr-FR"/>
        </w:rPr>
        <w:t>Marrou et Collingwood</w:t>
      </w:r>
      <w:r w:rsidR="00C915BC" w:rsidRPr="000B7C13">
        <w:rPr>
          <w:rFonts w:ascii="Times New Roman" w:hAnsi="Times New Roman" w:cs="Times New Roman"/>
          <w:i/>
          <w:iCs/>
          <w:sz w:val="24"/>
          <w:szCs w:val="24"/>
          <w:lang w:val="fr-FR"/>
        </w:rPr>
        <w:t> : une théorie de l’histoire</w:t>
      </w:r>
      <w:r w:rsidR="00B66033" w:rsidRPr="000B7C13">
        <w:rPr>
          <w:rFonts w:ascii="Times New Roman" w:hAnsi="Times New Roman" w:cs="Times New Roman"/>
          <w:i/>
          <w:iCs/>
          <w:sz w:val="24"/>
          <w:szCs w:val="24"/>
          <w:lang w:val="fr-FR"/>
        </w:rPr>
        <w:t xml:space="preserve"> identique</w:t>
      </w:r>
      <w:r w:rsidR="00C915BC" w:rsidRPr="000B7C13">
        <w:rPr>
          <w:rFonts w:ascii="Times New Roman" w:hAnsi="Times New Roman" w:cs="Times New Roman"/>
          <w:i/>
          <w:iCs/>
          <w:sz w:val="24"/>
          <w:szCs w:val="24"/>
          <w:lang w:val="fr-FR"/>
        </w:rPr>
        <w:t xml:space="preserve"> ? </w:t>
      </w:r>
    </w:p>
    <w:p w14:paraId="2B647D41" w14:textId="77777777" w:rsidR="00CE0ECD" w:rsidRPr="00CE0ECD" w:rsidRDefault="00CE0ECD" w:rsidP="0063157C">
      <w:pPr>
        <w:spacing w:line="360" w:lineRule="auto"/>
        <w:jc w:val="both"/>
        <w:rPr>
          <w:rFonts w:ascii="Times New Roman" w:hAnsi="Times New Roman" w:cs="Times New Roman"/>
          <w:b/>
          <w:bCs/>
          <w:sz w:val="24"/>
          <w:szCs w:val="24"/>
          <w:lang w:val="fr-FR"/>
        </w:rPr>
      </w:pPr>
    </w:p>
    <w:p w14:paraId="77DD25A4" w14:textId="699B38C7" w:rsidR="005F7368" w:rsidRDefault="005F7368" w:rsidP="0063157C">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 xml:space="preserve">Si l’usage de Collingwood offre à Marrou des arguments contre le positivisme, il </w:t>
      </w:r>
      <w:r w:rsidR="00FA6780">
        <w:rPr>
          <w:rFonts w:ascii="Times New Roman" w:hAnsi="Times New Roman" w:cs="Times New Roman"/>
          <w:sz w:val="24"/>
          <w:szCs w:val="24"/>
          <w:lang w:val="fr-FR"/>
        </w:rPr>
        <w:t>refuse cependant d’identifier sa pensée à celle du philosophe britannique. En effet, le refus du positivisme s’accompagne, chez Marrou, d’un refus de l’idéalism</w:t>
      </w:r>
      <w:r w:rsidR="0091738B">
        <w:rPr>
          <w:rFonts w:ascii="Times New Roman" w:hAnsi="Times New Roman" w:cs="Times New Roman"/>
          <w:sz w:val="24"/>
          <w:szCs w:val="24"/>
          <w:lang w:val="fr-FR"/>
        </w:rPr>
        <w:t>e qu’il semble reconnaître chez Collingwood</w:t>
      </w:r>
      <w:r w:rsidR="00FA6780">
        <w:rPr>
          <w:rFonts w:ascii="Times New Roman" w:hAnsi="Times New Roman" w:cs="Times New Roman"/>
          <w:sz w:val="24"/>
          <w:szCs w:val="24"/>
          <w:lang w:val="fr-FR"/>
        </w:rPr>
        <w:t xml:space="preserve">. </w:t>
      </w:r>
      <w:r w:rsidR="00E2098F">
        <w:rPr>
          <w:rFonts w:ascii="Times New Roman" w:hAnsi="Times New Roman" w:cs="Times New Roman"/>
          <w:sz w:val="24"/>
          <w:szCs w:val="24"/>
          <w:lang w:val="fr-FR"/>
        </w:rPr>
        <w:t>Marrou recherche une définition de l’histoire qui soit meilleure que celle de « la myopie consciencieuse de l’érudit positiviste »</w:t>
      </w:r>
      <w:r w:rsidR="00A10C02">
        <w:rPr>
          <w:rFonts w:ascii="Times New Roman" w:hAnsi="Times New Roman" w:cs="Times New Roman"/>
          <w:sz w:val="24"/>
          <w:szCs w:val="24"/>
          <w:lang w:val="fr-FR"/>
        </w:rPr>
        <w:t xml:space="preserve"> (Marrou H.-I., 1959, p.51)</w:t>
      </w:r>
      <w:r w:rsidR="00E2098F">
        <w:rPr>
          <w:rFonts w:ascii="Times New Roman" w:hAnsi="Times New Roman" w:cs="Times New Roman"/>
          <w:sz w:val="24"/>
          <w:szCs w:val="24"/>
          <w:lang w:val="fr-FR"/>
        </w:rPr>
        <w:t xml:space="preserve"> mais aussi </w:t>
      </w:r>
      <w:r w:rsidR="00E13C25">
        <w:rPr>
          <w:rFonts w:ascii="Times New Roman" w:hAnsi="Times New Roman" w:cs="Times New Roman"/>
          <w:sz w:val="24"/>
          <w:szCs w:val="24"/>
          <w:lang w:val="fr-FR"/>
        </w:rPr>
        <w:t xml:space="preserve">plus modeste </w:t>
      </w:r>
      <w:r w:rsidR="00E2098F">
        <w:rPr>
          <w:rFonts w:ascii="Times New Roman" w:hAnsi="Times New Roman" w:cs="Times New Roman"/>
          <w:sz w:val="24"/>
          <w:szCs w:val="24"/>
          <w:lang w:val="fr-FR"/>
        </w:rPr>
        <w:t>que</w:t>
      </w:r>
      <w:r w:rsidR="00E13C25">
        <w:rPr>
          <w:rFonts w:ascii="Times New Roman" w:hAnsi="Times New Roman" w:cs="Times New Roman"/>
          <w:sz w:val="24"/>
          <w:szCs w:val="24"/>
          <w:lang w:val="fr-FR"/>
        </w:rPr>
        <w:t xml:space="preserve"> celle qui est enfantée par</w:t>
      </w:r>
      <w:r w:rsidR="00E2098F">
        <w:rPr>
          <w:rFonts w:ascii="Times New Roman" w:hAnsi="Times New Roman" w:cs="Times New Roman"/>
          <w:sz w:val="24"/>
          <w:szCs w:val="24"/>
          <w:lang w:val="fr-FR"/>
        </w:rPr>
        <w:t xml:space="preserve"> « l’orgueil du philosophe idéaliste »</w:t>
      </w:r>
      <w:r w:rsidR="00A10C02">
        <w:rPr>
          <w:rFonts w:ascii="Times New Roman" w:hAnsi="Times New Roman" w:cs="Times New Roman"/>
          <w:sz w:val="24"/>
          <w:szCs w:val="24"/>
          <w:lang w:val="fr-FR"/>
        </w:rPr>
        <w:t xml:space="preserve"> (Marrou H.-I., 1959, p.51)</w:t>
      </w:r>
      <w:r w:rsidR="00E2098F">
        <w:rPr>
          <w:rFonts w:ascii="Times New Roman" w:hAnsi="Times New Roman" w:cs="Times New Roman"/>
          <w:sz w:val="24"/>
          <w:szCs w:val="24"/>
          <w:lang w:val="fr-FR"/>
        </w:rPr>
        <w:t>.</w:t>
      </w:r>
      <w:r w:rsidR="00A91A70">
        <w:rPr>
          <w:rFonts w:ascii="Times New Roman" w:hAnsi="Times New Roman" w:cs="Times New Roman"/>
          <w:sz w:val="24"/>
          <w:szCs w:val="24"/>
          <w:lang w:val="fr-FR"/>
        </w:rPr>
        <w:t xml:space="preserve"> Car Raymond Aron l’avait annoncé au début de sa thèse complémentaire en 1938 : </w:t>
      </w:r>
      <w:r w:rsidR="00A91A70" w:rsidRPr="00A91A70">
        <w:rPr>
          <w:rFonts w:ascii="Times New Roman" w:hAnsi="Times New Roman" w:cs="Times New Roman"/>
          <w:sz w:val="24"/>
          <w:szCs w:val="24"/>
        </w:rPr>
        <w:t>« La philosophie traditionnelle de l’histoire trouve son achèvement dans le système de Hegel. La philosophie moderne de l’histoire commence par le refus de l’hégélianisme</w:t>
      </w:r>
      <w:r w:rsidR="00A10C02">
        <w:rPr>
          <w:rFonts w:ascii="Times New Roman" w:hAnsi="Times New Roman" w:cs="Times New Roman"/>
          <w:sz w:val="24"/>
          <w:szCs w:val="24"/>
        </w:rPr>
        <w:t xml:space="preserve"> </w:t>
      </w:r>
      <w:r w:rsidR="00A91A70" w:rsidRPr="00A91A70">
        <w:rPr>
          <w:rFonts w:ascii="Times New Roman" w:hAnsi="Times New Roman" w:cs="Times New Roman"/>
          <w:sz w:val="24"/>
          <w:szCs w:val="24"/>
        </w:rPr>
        <w:t>»</w:t>
      </w:r>
      <w:r w:rsidR="00A10C02">
        <w:rPr>
          <w:rFonts w:ascii="Times New Roman" w:hAnsi="Times New Roman" w:cs="Times New Roman"/>
          <w:sz w:val="24"/>
          <w:szCs w:val="24"/>
        </w:rPr>
        <w:t xml:space="preserve"> (Aron. R., 1970, p.15).</w:t>
      </w:r>
      <w:r w:rsidR="00DB35ED">
        <w:rPr>
          <w:rFonts w:ascii="Times New Roman" w:hAnsi="Times New Roman" w:cs="Times New Roman"/>
          <w:sz w:val="24"/>
          <w:szCs w:val="24"/>
          <w:lang w:val="fr-FR"/>
        </w:rPr>
        <w:t xml:space="preserve"> </w:t>
      </w:r>
      <w:r w:rsidR="0091738B">
        <w:rPr>
          <w:rFonts w:ascii="Times New Roman" w:hAnsi="Times New Roman" w:cs="Times New Roman"/>
          <w:sz w:val="24"/>
          <w:szCs w:val="24"/>
          <w:lang w:val="fr-FR"/>
        </w:rPr>
        <w:t xml:space="preserve">Dépasser Hegel c’est donc dépasser l’idéalisme, cependant la critique que Marrou a faite du positivisme l’a conduit </w:t>
      </w:r>
      <w:r w:rsidR="00DB35ED">
        <w:rPr>
          <w:rFonts w:ascii="Times New Roman" w:hAnsi="Times New Roman" w:cs="Times New Roman"/>
          <w:sz w:val="24"/>
          <w:szCs w:val="24"/>
          <w:lang w:val="fr-FR"/>
        </w:rPr>
        <w:t xml:space="preserve">à affirmer </w:t>
      </w:r>
      <w:r w:rsidR="006804D4">
        <w:rPr>
          <w:rFonts w:ascii="Times New Roman" w:hAnsi="Times New Roman" w:cs="Times New Roman"/>
          <w:sz w:val="24"/>
          <w:szCs w:val="24"/>
          <w:lang w:val="fr-FR"/>
        </w:rPr>
        <w:t>que l’histoire est le résultat d’un effort créateur de l’historien.</w:t>
      </w:r>
      <w:r w:rsidR="00A10C02">
        <w:rPr>
          <w:rFonts w:ascii="Times New Roman" w:hAnsi="Times New Roman" w:cs="Times New Roman"/>
          <w:sz w:val="24"/>
          <w:szCs w:val="24"/>
          <w:lang w:val="fr-FR"/>
        </w:rPr>
        <w:t xml:space="preserve"> </w:t>
      </w:r>
      <w:r w:rsidR="0074065E">
        <w:rPr>
          <w:rFonts w:ascii="Times New Roman" w:hAnsi="Times New Roman" w:cs="Times New Roman"/>
          <w:sz w:val="24"/>
          <w:szCs w:val="24"/>
          <w:lang w:val="fr-FR"/>
        </w:rPr>
        <w:t xml:space="preserve">Une telle définition pourrait sembler proche d’une conception idéaliste de l’histoire, où l’activité de l’historien ressemble à celle du poète qui crée, selon son imagination. Une telle conception a pourtant été </w:t>
      </w:r>
      <w:r w:rsidR="0082562C">
        <w:rPr>
          <w:rFonts w:ascii="Times New Roman" w:hAnsi="Times New Roman" w:cs="Times New Roman"/>
          <w:sz w:val="24"/>
          <w:szCs w:val="24"/>
          <w:lang w:val="fr-FR"/>
        </w:rPr>
        <w:t>rejetée par Marrou, sous son pseudonyme d</w:t>
      </w:r>
      <w:r w:rsidR="00B66033">
        <w:rPr>
          <w:rFonts w:ascii="Times New Roman" w:hAnsi="Times New Roman" w:cs="Times New Roman"/>
          <w:sz w:val="24"/>
          <w:szCs w:val="24"/>
          <w:lang w:val="fr-FR"/>
        </w:rPr>
        <w:t>’</w:t>
      </w:r>
      <w:r w:rsidR="0082562C">
        <w:rPr>
          <w:rFonts w:ascii="Times New Roman" w:hAnsi="Times New Roman" w:cs="Times New Roman"/>
          <w:sz w:val="24"/>
          <w:szCs w:val="24"/>
          <w:lang w:val="fr-FR"/>
        </w:rPr>
        <w:t xml:space="preserve">Henry Davenson </w:t>
      </w:r>
      <w:r w:rsidR="00A91A70">
        <w:rPr>
          <w:rFonts w:ascii="Times New Roman" w:hAnsi="Times New Roman" w:cs="Times New Roman"/>
          <w:sz w:val="24"/>
          <w:szCs w:val="24"/>
          <w:lang w:val="fr-FR"/>
        </w:rPr>
        <w:t xml:space="preserve">qu’il utilisait pour écrire dans la revue </w:t>
      </w:r>
      <w:r w:rsidR="0082562C">
        <w:rPr>
          <w:rFonts w:ascii="Times New Roman" w:hAnsi="Times New Roman" w:cs="Times New Roman"/>
          <w:i/>
          <w:iCs/>
          <w:sz w:val="24"/>
          <w:szCs w:val="24"/>
          <w:lang w:val="fr-FR"/>
        </w:rPr>
        <w:t>Esprit</w:t>
      </w:r>
      <w:r w:rsidR="0082562C">
        <w:rPr>
          <w:rFonts w:ascii="Times New Roman" w:hAnsi="Times New Roman" w:cs="Times New Roman"/>
          <w:sz w:val="24"/>
          <w:szCs w:val="24"/>
          <w:lang w:val="fr-FR"/>
        </w:rPr>
        <w:t>, lorsqu’en 1939, il critiqu</w:t>
      </w:r>
      <w:r w:rsidR="00B66033">
        <w:rPr>
          <w:rFonts w:ascii="Times New Roman" w:hAnsi="Times New Roman" w:cs="Times New Roman"/>
          <w:sz w:val="24"/>
          <w:szCs w:val="24"/>
          <w:lang w:val="fr-FR"/>
        </w:rPr>
        <w:t>e</w:t>
      </w:r>
      <w:r w:rsidR="0082562C">
        <w:rPr>
          <w:rFonts w:ascii="Times New Roman" w:hAnsi="Times New Roman" w:cs="Times New Roman"/>
          <w:sz w:val="24"/>
          <w:szCs w:val="24"/>
          <w:lang w:val="fr-FR"/>
        </w:rPr>
        <w:t xml:space="preserve"> la vision historique de Denis de Rougemont</w:t>
      </w:r>
      <w:r w:rsidR="00A10C02">
        <w:rPr>
          <w:rFonts w:ascii="Times New Roman" w:hAnsi="Times New Roman" w:cs="Times New Roman"/>
          <w:sz w:val="24"/>
          <w:szCs w:val="24"/>
          <w:lang w:val="fr-FR"/>
        </w:rPr>
        <w:t xml:space="preserve"> (Davenson H., 1939, p.70-76)</w:t>
      </w:r>
      <w:r w:rsidR="0082562C">
        <w:rPr>
          <w:rFonts w:ascii="Times New Roman" w:hAnsi="Times New Roman" w:cs="Times New Roman"/>
          <w:sz w:val="24"/>
          <w:szCs w:val="24"/>
          <w:lang w:val="fr-FR"/>
        </w:rPr>
        <w:t>.</w:t>
      </w:r>
      <w:r w:rsidR="00A10C02">
        <w:rPr>
          <w:rFonts w:ascii="Times New Roman" w:hAnsi="Times New Roman" w:cs="Times New Roman"/>
          <w:sz w:val="24"/>
          <w:szCs w:val="24"/>
          <w:lang w:val="fr-FR"/>
        </w:rPr>
        <w:t xml:space="preserve"> </w:t>
      </w:r>
      <w:r w:rsidR="001E741F">
        <w:rPr>
          <w:rFonts w:ascii="Times New Roman" w:hAnsi="Times New Roman" w:cs="Times New Roman"/>
          <w:sz w:val="24"/>
          <w:szCs w:val="24"/>
          <w:lang w:val="fr-FR"/>
        </w:rPr>
        <w:t>Marrou reproche à Rougemont</w:t>
      </w:r>
      <w:r w:rsidR="00B93523">
        <w:rPr>
          <w:rFonts w:ascii="Times New Roman" w:hAnsi="Times New Roman" w:cs="Times New Roman"/>
          <w:sz w:val="24"/>
          <w:szCs w:val="24"/>
          <w:lang w:val="fr-FR"/>
        </w:rPr>
        <w:t xml:space="preserve"> d’avoir,</w:t>
      </w:r>
      <w:r w:rsidR="001E741F">
        <w:rPr>
          <w:rFonts w:ascii="Times New Roman" w:hAnsi="Times New Roman" w:cs="Times New Roman"/>
          <w:sz w:val="24"/>
          <w:szCs w:val="24"/>
          <w:lang w:val="fr-FR"/>
        </w:rPr>
        <w:t xml:space="preserve"> dans </w:t>
      </w:r>
      <w:r w:rsidR="001E741F">
        <w:rPr>
          <w:rFonts w:ascii="Times New Roman" w:hAnsi="Times New Roman" w:cs="Times New Roman"/>
          <w:i/>
          <w:iCs/>
          <w:sz w:val="24"/>
          <w:szCs w:val="24"/>
          <w:lang w:val="fr-FR"/>
        </w:rPr>
        <w:t>L’Amour et l’Occident</w:t>
      </w:r>
      <w:r w:rsidR="00B93523">
        <w:rPr>
          <w:rFonts w:ascii="Times New Roman" w:hAnsi="Times New Roman" w:cs="Times New Roman"/>
          <w:i/>
          <w:iCs/>
          <w:sz w:val="24"/>
          <w:szCs w:val="24"/>
          <w:lang w:val="fr-FR"/>
        </w:rPr>
        <w:t>,</w:t>
      </w:r>
      <w:r w:rsidR="001E741F">
        <w:rPr>
          <w:rFonts w:ascii="Times New Roman" w:hAnsi="Times New Roman" w:cs="Times New Roman"/>
          <w:sz w:val="24"/>
          <w:szCs w:val="24"/>
          <w:lang w:val="fr-FR"/>
        </w:rPr>
        <w:t xml:space="preserve"> tenté d’unifier</w:t>
      </w:r>
      <w:r w:rsidR="00CE7505">
        <w:rPr>
          <w:rFonts w:ascii="Times New Roman" w:hAnsi="Times New Roman" w:cs="Times New Roman"/>
          <w:sz w:val="24"/>
          <w:szCs w:val="24"/>
          <w:lang w:val="fr-FR"/>
        </w:rPr>
        <w:t xml:space="preserve"> des faits relevant de cultures différentes et </w:t>
      </w:r>
      <w:r w:rsidR="001E741F">
        <w:rPr>
          <w:rFonts w:ascii="Times New Roman" w:hAnsi="Times New Roman" w:cs="Times New Roman"/>
          <w:sz w:val="24"/>
          <w:szCs w:val="24"/>
          <w:lang w:val="fr-FR"/>
        </w:rPr>
        <w:t>d’expliquer l’</w:t>
      </w:r>
      <w:r w:rsidR="00CB7721">
        <w:rPr>
          <w:rFonts w:ascii="Times New Roman" w:hAnsi="Times New Roman" w:cs="Times New Roman"/>
          <w:sz w:val="24"/>
          <w:szCs w:val="24"/>
          <w:lang w:val="fr-FR"/>
        </w:rPr>
        <w:t>i</w:t>
      </w:r>
      <w:r w:rsidR="001E741F">
        <w:rPr>
          <w:rFonts w:ascii="Times New Roman" w:hAnsi="Times New Roman" w:cs="Times New Roman"/>
          <w:sz w:val="24"/>
          <w:szCs w:val="24"/>
          <w:lang w:val="fr-FR"/>
        </w:rPr>
        <w:t>dée d’amour-passion en recouvrant sous ce concept une diversité, une altérité pourtant irréductible à la catégorie du Même, et l’historien de conclure à l’adresse de l’écrivain suisse : « Au fond votre livre est bien dans la tradition idéaliste allemande »</w:t>
      </w:r>
      <w:r w:rsidR="00A10C02" w:rsidRPr="00A10C02">
        <w:rPr>
          <w:rFonts w:ascii="Times New Roman" w:hAnsi="Times New Roman" w:cs="Times New Roman"/>
          <w:sz w:val="24"/>
          <w:szCs w:val="24"/>
          <w:lang w:val="fr-FR"/>
        </w:rPr>
        <w:t xml:space="preserve"> </w:t>
      </w:r>
      <w:r w:rsidR="00A10C02">
        <w:rPr>
          <w:rFonts w:ascii="Times New Roman" w:hAnsi="Times New Roman" w:cs="Times New Roman"/>
          <w:sz w:val="24"/>
          <w:szCs w:val="24"/>
          <w:lang w:val="fr-FR"/>
        </w:rPr>
        <w:t>(Davenson H., 1939, p.72)</w:t>
      </w:r>
      <w:r w:rsidR="00B66033">
        <w:rPr>
          <w:rFonts w:ascii="Times New Roman" w:hAnsi="Times New Roman" w:cs="Times New Roman"/>
          <w:sz w:val="24"/>
          <w:szCs w:val="24"/>
          <w:lang w:val="fr-FR"/>
        </w:rPr>
        <w:t>. Marrou</w:t>
      </w:r>
      <w:r w:rsidR="00CE7505">
        <w:rPr>
          <w:rFonts w:ascii="Times New Roman" w:hAnsi="Times New Roman" w:cs="Times New Roman"/>
          <w:sz w:val="24"/>
          <w:szCs w:val="24"/>
          <w:lang w:val="fr-FR"/>
        </w:rPr>
        <w:t xml:space="preserve"> poursuit </w:t>
      </w:r>
      <w:r w:rsidR="00B66033">
        <w:rPr>
          <w:rFonts w:ascii="Times New Roman" w:hAnsi="Times New Roman" w:cs="Times New Roman"/>
          <w:sz w:val="24"/>
          <w:szCs w:val="24"/>
          <w:lang w:val="fr-FR"/>
        </w:rPr>
        <w:t xml:space="preserve">son développement de la théorie de l’histoire dans la même veine, en proposant à l’historien, </w:t>
      </w:r>
      <w:r w:rsidR="00CE7505">
        <w:rPr>
          <w:rFonts w:ascii="Times New Roman" w:hAnsi="Times New Roman" w:cs="Times New Roman"/>
          <w:sz w:val="24"/>
          <w:szCs w:val="24"/>
          <w:lang w:val="fr-FR"/>
        </w:rPr>
        <w:t>dans</w:t>
      </w:r>
      <w:r w:rsidR="003C4A66">
        <w:rPr>
          <w:rFonts w:ascii="Times New Roman" w:hAnsi="Times New Roman" w:cs="Times New Roman"/>
          <w:sz w:val="24"/>
          <w:szCs w:val="24"/>
          <w:lang w:val="fr-FR"/>
        </w:rPr>
        <w:t xml:space="preserve"> </w:t>
      </w:r>
      <w:r w:rsidR="003C4A66">
        <w:rPr>
          <w:rFonts w:ascii="Times New Roman" w:hAnsi="Times New Roman" w:cs="Times New Roman"/>
          <w:i/>
          <w:iCs/>
          <w:sz w:val="24"/>
          <w:szCs w:val="24"/>
          <w:lang w:val="fr-FR"/>
        </w:rPr>
        <w:t>De la connaissance historiqu</w:t>
      </w:r>
      <w:r w:rsidR="00CE7505">
        <w:rPr>
          <w:rFonts w:ascii="Times New Roman" w:hAnsi="Times New Roman" w:cs="Times New Roman"/>
          <w:i/>
          <w:iCs/>
          <w:sz w:val="24"/>
          <w:szCs w:val="24"/>
          <w:lang w:val="fr-FR"/>
        </w:rPr>
        <w:t>e</w:t>
      </w:r>
      <w:r w:rsidR="00B66033">
        <w:rPr>
          <w:rFonts w:ascii="Times New Roman" w:hAnsi="Times New Roman" w:cs="Times New Roman"/>
          <w:i/>
          <w:iCs/>
          <w:sz w:val="24"/>
          <w:szCs w:val="24"/>
          <w:lang w:val="fr-FR"/>
        </w:rPr>
        <w:t xml:space="preserve">, </w:t>
      </w:r>
      <w:r w:rsidR="00B66033">
        <w:rPr>
          <w:rFonts w:ascii="Times New Roman" w:hAnsi="Times New Roman" w:cs="Times New Roman"/>
          <w:sz w:val="24"/>
          <w:szCs w:val="24"/>
          <w:lang w:val="fr-FR"/>
        </w:rPr>
        <w:t>le programme suivant</w:t>
      </w:r>
      <w:r w:rsidR="00B66033">
        <w:rPr>
          <w:rFonts w:ascii="Times New Roman" w:hAnsi="Times New Roman" w:cs="Times New Roman"/>
          <w:i/>
          <w:iCs/>
          <w:sz w:val="24"/>
          <w:szCs w:val="24"/>
          <w:lang w:val="fr-FR"/>
        </w:rPr>
        <w:t xml:space="preserve"> </w:t>
      </w:r>
      <w:r w:rsidR="00CE7505">
        <w:rPr>
          <w:rFonts w:ascii="Times New Roman" w:hAnsi="Times New Roman" w:cs="Times New Roman"/>
          <w:sz w:val="24"/>
          <w:szCs w:val="24"/>
          <w:lang w:val="fr-FR"/>
        </w:rPr>
        <w:t>:</w:t>
      </w:r>
      <w:r w:rsidR="003C4A66">
        <w:rPr>
          <w:rFonts w:ascii="Times New Roman" w:hAnsi="Times New Roman" w:cs="Times New Roman"/>
          <w:sz w:val="24"/>
          <w:szCs w:val="24"/>
          <w:lang w:val="fr-FR"/>
        </w:rPr>
        <w:t xml:space="preserve"> « Préoccupons-nous d’exorciser à nouveau le dangereux fantôme de l’idéalisme »</w:t>
      </w:r>
      <w:r w:rsidR="00D2280F">
        <w:rPr>
          <w:rFonts w:ascii="Times New Roman" w:hAnsi="Times New Roman" w:cs="Times New Roman"/>
          <w:sz w:val="24"/>
          <w:szCs w:val="24"/>
          <w:lang w:val="fr-FR"/>
        </w:rPr>
        <w:t xml:space="preserve"> (Marrou H.-I., 1959, p.59)</w:t>
      </w:r>
      <w:r w:rsidR="003C4A66">
        <w:rPr>
          <w:rFonts w:ascii="Times New Roman" w:hAnsi="Times New Roman" w:cs="Times New Roman"/>
          <w:sz w:val="24"/>
          <w:szCs w:val="24"/>
          <w:lang w:val="fr-FR"/>
        </w:rPr>
        <w:t>. Il s’agit donc de limiter le rôle de l’historien</w:t>
      </w:r>
      <w:r w:rsidR="000936FC">
        <w:rPr>
          <w:rFonts w:ascii="Times New Roman" w:hAnsi="Times New Roman" w:cs="Times New Roman"/>
          <w:sz w:val="24"/>
          <w:szCs w:val="24"/>
          <w:lang w:val="fr-FR"/>
        </w:rPr>
        <w:t xml:space="preserve">, notamment </w:t>
      </w:r>
      <w:r w:rsidR="00B66033">
        <w:rPr>
          <w:rFonts w:ascii="Times New Roman" w:hAnsi="Times New Roman" w:cs="Times New Roman"/>
          <w:sz w:val="24"/>
          <w:szCs w:val="24"/>
          <w:lang w:val="fr-FR"/>
        </w:rPr>
        <w:t>en insistant sur l’usage nécessaire</w:t>
      </w:r>
      <w:r w:rsidR="000936FC">
        <w:rPr>
          <w:rFonts w:ascii="Times New Roman" w:hAnsi="Times New Roman" w:cs="Times New Roman"/>
          <w:sz w:val="24"/>
          <w:szCs w:val="24"/>
          <w:lang w:val="fr-FR"/>
        </w:rPr>
        <w:t xml:space="preserve"> des documents, et </w:t>
      </w:r>
      <w:r w:rsidR="00CB7721">
        <w:rPr>
          <w:rFonts w:ascii="Times New Roman" w:hAnsi="Times New Roman" w:cs="Times New Roman"/>
          <w:sz w:val="24"/>
          <w:szCs w:val="24"/>
          <w:lang w:val="fr-FR"/>
        </w:rPr>
        <w:t>de refuser</w:t>
      </w:r>
      <w:r w:rsidR="000936FC">
        <w:rPr>
          <w:rFonts w:ascii="Times New Roman" w:hAnsi="Times New Roman" w:cs="Times New Roman"/>
          <w:sz w:val="24"/>
          <w:szCs w:val="24"/>
          <w:lang w:val="fr-FR"/>
        </w:rPr>
        <w:t xml:space="preserve"> toute philosophie de l’histoire qui conférerait un sens</w:t>
      </w:r>
      <w:r w:rsidR="00B66033">
        <w:rPr>
          <w:rFonts w:ascii="Times New Roman" w:hAnsi="Times New Roman" w:cs="Times New Roman"/>
          <w:sz w:val="24"/>
          <w:szCs w:val="24"/>
          <w:lang w:val="fr-FR"/>
        </w:rPr>
        <w:t xml:space="preserve">, un </w:t>
      </w:r>
      <w:r w:rsidR="00B66033">
        <w:rPr>
          <w:rFonts w:ascii="Times New Roman" w:hAnsi="Times New Roman" w:cs="Times New Roman"/>
          <w:i/>
          <w:iCs/>
          <w:sz w:val="24"/>
          <w:szCs w:val="24"/>
          <w:lang w:val="fr-FR"/>
        </w:rPr>
        <w:t>télos</w:t>
      </w:r>
      <w:r w:rsidR="000936FC">
        <w:rPr>
          <w:rFonts w:ascii="Times New Roman" w:hAnsi="Times New Roman" w:cs="Times New Roman"/>
          <w:sz w:val="24"/>
          <w:szCs w:val="24"/>
          <w:lang w:val="fr-FR"/>
        </w:rPr>
        <w:t xml:space="preserve"> à l’histoire avant même </w:t>
      </w:r>
      <w:r w:rsidR="00CB7721">
        <w:rPr>
          <w:rFonts w:ascii="Times New Roman" w:hAnsi="Times New Roman" w:cs="Times New Roman"/>
          <w:sz w:val="24"/>
          <w:szCs w:val="24"/>
          <w:lang w:val="fr-FR"/>
        </w:rPr>
        <w:t>de l’avoir étudiée</w:t>
      </w:r>
      <w:r w:rsidR="000936FC">
        <w:rPr>
          <w:rFonts w:ascii="Times New Roman" w:hAnsi="Times New Roman" w:cs="Times New Roman"/>
          <w:sz w:val="24"/>
          <w:szCs w:val="24"/>
          <w:lang w:val="fr-FR"/>
        </w:rPr>
        <w:t xml:space="preserve">. </w:t>
      </w:r>
    </w:p>
    <w:p w14:paraId="3DB7256B" w14:textId="58B96202" w:rsidR="000936FC" w:rsidRDefault="000936FC" w:rsidP="0063157C">
      <w:pPr>
        <w:spacing w:line="360" w:lineRule="auto"/>
        <w:jc w:val="both"/>
        <w:rPr>
          <w:rFonts w:ascii="Times New Roman" w:hAnsi="Times New Roman" w:cs="Times New Roman"/>
          <w:sz w:val="24"/>
          <w:szCs w:val="24"/>
        </w:rPr>
      </w:pPr>
      <w:r>
        <w:rPr>
          <w:rFonts w:ascii="Times New Roman" w:hAnsi="Times New Roman" w:cs="Times New Roman"/>
          <w:sz w:val="24"/>
          <w:szCs w:val="24"/>
          <w:lang w:val="fr-FR"/>
        </w:rPr>
        <w:tab/>
        <w:t xml:space="preserve">Le lecteur de Collingwood est en droit ici de se demander si une telle description de l’idéalisme correspond à la conception </w:t>
      </w:r>
      <w:r w:rsidR="00CE7505">
        <w:rPr>
          <w:rFonts w:ascii="Times New Roman" w:hAnsi="Times New Roman" w:cs="Times New Roman"/>
          <w:sz w:val="24"/>
          <w:szCs w:val="24"/>
          <w:lang w:val="fr-FR"/>
        </w:rPr>
        <w:t>collingwoodienne de l’histoire</w:t>
      </w:r>
      <w:r>
        <w:rPr>
          <w:rFonts w:ascii="Times New Roman" w:hAnsi="Times New Roman" w:cs="Times New Roman"/>
          <w:sz w:val="24"/>
          <w:szCs w:val="24"/>
          <w:lang w:val="fr-FR"/>
        </w:rPr>
        <w:t xml:space="preserve">. </w:t>
      </w:r>
      <w:r w:rsidR="004403C4">
        <w:rPr>
          <w:rFonts w:ascii="Times New Roman" w:hAnsi="Times New Roman" w:cs="Times New Roman"/>
          <w:sz w:val="24"/>
          <w:szCs w:val="24"/>
          <w:lang w:val="fr-FR"/>
        </w:rPr>
        <w:t xml:space="preserve">En d’autres termes, lorsque </w:t>
      </w:r>
      <w:r w:rsidR="00480736">
        <w:rPr>
          <w:rFonts w:ascii="Times New Roman" w:hAnsi="Times New Roman" w:cs="Times New Roman"/>
          <w:sz w:val="24"/>
          <w:szCs w:val="24"/>
          <w:lang w:val="fr-FR"/>
        </w:rPr>
        <w:t xml:space="preserve">Marrou </w:t>
      </w:r>
      <w:r w:rsidR="00A70339">
        <w:rPr>
          <w:rFonts w:ascii="Times New Roman" w:hAnsi="Times New Roman" w:cs="Times New Roman"/>
          <w:sz w:val="24"/>
          <w:szCs w:val="24"/>
          <w:lang w:val="fr-FR"/>
        </w:rPr>
        <w:t xml:space="preserve">range Collingwood </w:t>
      </w:r>
      <w:r w:rsidR="00CE7505">
        <w:rPr>
          <w:rFonts w:ascii="Times New Roman" w:hAnsi="Times New Roman" w:cs="Times New Roman"/>
          <w:sz w:val="24"/>
          <w:szCs w:val="24"/>
          <w:lang w:val="fr-FR"/>
        </w:rPr>
        <w:t>parmi les partisans d’une conception du passé</w:t>
      </w:r>
      <w:r w:rsidR="00607D81">
        <w:rPr>
          <w:rFonts w:ascii="Times New Roman" w:hAnsi="Times New Roman" w:cs="Times New Roman"/>
          <w:sz w:val="24"/>
          <w:szCs w:val="24"/>
          <w:lang w:val="fr-FR"/>
        </w:rPr>
        <w:t xml:space="preserve"> </w:t>
      </w:r>
      <w:r w:rsidR="00607D81">
        <w:rPr>
          <w:rFonts w:ascii="Times New Roman" w:hAnsi="Times New Roman" w:cs="Times New Roman"/>
          <w:i/>
          <w:iCs/>
          <w:sz w:val="24"/>
          <w:szCs w:val="24"/>
          <w:lang w:val="fr-FR"/>
        </w:rPr>
        <w:t>wie es eigentlich gewesen</w:t>
      </w:r>
      <w:r w:rsidR="00CE7505">
        <w:rPr>
          <w:rFonts w:ascii="Times New Roman" w:hAnsi="Times New Roman" w:cs="Times New Roman"/>
          <w:i/>
          <w:iCs/>
          <w:sz w:val="24"/>
          <w:szCs w:val="24"/>
          <w:lang w:val="fr-FR"/>
        </w:rPr>
        <w:t xml:space="preserve"> ist</w:t>
      </w:r>
      <w:r w:rsidR="00D2280F">
        <w:rPr>
          <w:rFonts w:ascii="Times New Roman" w:hAnsi="Times New Roman" w:cs="Times New Roman"/>
          <w:i/>
          <w:iCs/>
          <w:sz w:val="24"/>
          <w:szCs w:val="24"/>
          <w:lang w:val="fr-FR"/>
        </w:rPr>
        <w:t xml:space="preserve"> </w:t>
      </w:r>
      <w:r w:rsidR="00D2280F">
        <w:rPr>
          <w:rFonts w:ascii="Times New Roman" w:hAnsi="Times New Roman" w:cs="Times New Roman"/>
          <w:sz w:val="24"/>
          <w:szCs w:val="24"/>
          <w:lang w:val="fr-FR"/>
        </w:rPr>
        <w:t>(Marrou H.-I., 1959, p.40)</w:t>
      </w:r>
      <w:r w:rsidR="00CE7505">
        <w:rPr>
          <w:rFonts w:ascii="Times New Roman" w:hAnsi="Times New Roman" w:cs="Times New Roman"/>
          <w:sz w:val="24"/>
          <w:szCs w:val="24"/>
          <w:lang w:val="fr-FR"/>
        </w:rPr>
        <w:t>, telle qu’elle est prônée par Leopold Ranke</w:t>
      </w:r>
      <w:r w:rsidR="0091738B">
        <w:rPr>
          <w:rFonts w:ascii="Times New Roman" w:hAnsi="Times New Roman" w:cs="Times New Roman"/>
          <w:sz w:val="24"/>
          <w:szCs w:val="24"/>
          <w:lang w:val="fr-FR"/>
        </w:rPr>
        <w:t>,</w:t>
      </w:r>
      <w:r w:rsidR="00607D81">
        <w:rPr>
          <w:rFonts w:ascii="Times New Roman" w:hAnsi="Times New Roman" w:cs="Times New Roman"/>
          <w:sz w:val="24"/>
          <w:szCs w:val="24"/>
          <w:lang w:val="fr-FR"/>
        </w:rPr>
        <w:t xml:space="preserve"> ou</w:t>
      </w:r>
      <w:r w:rsidR="0091738B">
        <w:rPr>
          <w:rFonts w:ascii="Times New Roman" w:hAnsi="Times New Roman" w:cs="Times New Roman"/>
          <w:sz w:val="24"/>
          <w:szCs w:val="24"/>
          <w:lang w:val="fr-FR"/>
        </w:rPr>
        <w:t xml:space="preserve"> qu’il classe Collingwood aux c</w:t>
      </w:r>
      <w:r w:rsidR="00D953A8">
        <w:rPr>
          <w:rFonts w:ascii="Times New Roman" w:hAnsi="Times New Roman" w:cs="Times New Roman"/>
          <w:sz w:val="24"/>
          <w:szCs w:val="24"/>
          <w:lang w:val="fr-FR"/>
        </w:rPr>
        <w:t xml:space="preserve">ôtés </w:t>
      </w:r>
      <w:r w:rsidR="00607D81">
        <w:rPr>
          <w:rFonts w:ascii="Times New Roman" w:hAnsi="Times New Roman" w:cs="Times New Roman"/>
          <w:sz w:val="24"/>
          <w:szCs w:val="24"/>
          <w:lang w:val="fr-FR"/>
        </w:rPr>
        <w:t>d</w:t>
      </w:r>
      <w:r w:rsidR="00D953A8">
        <w:rPr>
          <w:rFonts w:ascii="Times New Roman" w:hAnsi="Times New Roman" w:cs="Times New Roman"/>
          <w:sz w:val="24"/>
          <w:szCs w:val="24"/>
          <w:lang w:val="fr-FR"/>
        </w:rPr>
        <w:t>e</w:t>
      </w:r>
      <w:r w:rsidR="00607D81">
        <w:rPr>
          <w:rFonts w:ascii="Times New Roman" w:hAnsi="Times New Roman" w:cs="Times New Roman"/>
          <w:sz w:val="24"/>
          <w:szCs w:val="24"/>
          <w:lang w:val="fr-FR"/>
        </w:rPr>
        <w:t xml:space="preserve"> Michelet qui écrivait </w:t>
      </w:r>
      <w:r w:rsidR="00B36796">
        <w:rPr>
          <w:rFonts w:ascii="Times New Roman" w:hAnsi="Times New Roman" w:cs="Times New Roman"/>
          <w:sz w:val="24"/>
          <w:szCs w:val="24"/>
          <w:lang w:val="fr-FR"/>
        </w:rPr>
        <w:t xml:space="preserve">que le rôle de l’histoire est de </w:t>
      </w:r>
      <w:r w:rsidR="00607D81">
        <w:rPr>
          <w:rFonts w:ascii="Times New Roman" w:hAnsi="Times New Roman" w:cs="Times New Roman"/>
          <w:sz w:val="24"/>
          <w:szCs w:val="24"/>
          <w:lang w:val="fr-FR"/>
        </w:rPr>
        <w:t>« montrer purement et simplement comment les choses se sont produites »</w:t>
      </w:r>
      <w:r w:rsidR="00D2280F">
        <w:rPr>
          <w:rFonts w:ascii="Times New Roman" w:hAnsi="Times New Roman" w:cs="Times New Roman"/>
          <w:sz w:val="24"/>
          <w:szCs w:val="24"/>
          <w:lang w:val="fr-FR"/>
        </w:rPr>
        <w:t xml:space="preserve"> (Marrou H.-I., 1959, p.40)</w:t>
      </w:r>
      <w:r w:rsidR="00607D81">
        <w:rPr>
          <w:rFonts w:ascii="Times New Roman" w:hAnsi="Times New Roman" w:cs="Times New Roman"/>
          <w:sz w:val="24"/>
          <w:szCs w:val="24"/>
          <w:lang w:val="fr-FR"/>
        </w:rPr>
        <w:t xml:space="preserve">, on peut s’interroger sur </w:t>
      </w:r>
      <w:r w:rsidR="00C90382">
        <w:rPr>
          <w:rFonts w:ascii="Times New Roman" w:hAnsi="Times New Roman" w:cs="Times New Roman"/>
          <w:sz w:val="24"/>
          <w:szCs w:val="24"/>
          <w:lang w:val="fr-FR"/>
        </w:rPr>
        <w:t>les conditions de son u</w:t>
      </w:r>
      <w:r w:rsidR="0091738B">
        <w:rPr>
          <w:rFonts w:ascii="Times New Roman" w:hAnsi="Times New Roman" w:cs="Times New Roman"/>
          <w:sz w:val="24"/>
          <w:szCs w:val="24"/>
          <w:lang w:val="fr-FR"/>
        </w:rPr>
        <w:t>tilisation</w:t>
      </w:r>
      <w:r w:rsidR="00C90382">
        <w:rPr>
          <w:rFonts w:ascii="Times New Roman" w:hAnsi="Times New Roman" w:cs="Times New Roman"/>
          <w:sz w:val="24"/>
          <w:szCs w:val="24"/>
          <w:lang w:val="fr-FR"/>
        </w:rPr>
        <w:t xml:space="preserve"> du philosophe britannique. </w:t>
      </w:r>
      <w:r w:rsidR="00C90382" w:rsidRPr="00B1668D">
        <w:rPr>
          <w:rFonts w:ascii="Times New Roman" w:hAnsi="Times New Roman" w:cs="Times New Roman"/>
          <w:sz w:val="24"/>
          <w:szCs w:val="24"/>
        </w:rPr>
        <w:t xml:space="preserve">Marrou comprend la </w:t>
      </w:r>
      <w:r w:rsidR="00F730B5">
        <w:rPr>
          <w:rFonts w:ascii="Times New Roman" w:hAnsi="Times New Roman" w:cs="Times New Roman"/>
          <w:sz w:val="24"/>
          <w:szCs w:val="24"/>
        </w:rPr>
        <w:t>définition</w:t>
      </w:r>
      <w:r w:rsidR="00C90382" w:rsidRPr="00B1668D">
        <w:rPr>
          <w:rFonts w:ascii="Times New Roman" w:hAnsi="Times New Roman" w:cs="Times New Roman"/>
          <w:sz w:val="24"/>
          <w:szCs w:val="24"/>
        </w:rPr>
        <w:t xml:space="preserve"> de </w:t>
      </w:r>
      <w:r w:rsidR="0091738B">
        <w:rPr>
          <w:rFonts w:ascii="Times New Roman" w:hAnsi="Times New Roman" w:cs="Times New Roman"/>
          <w:sz w:val="24"/>
          <w:szCs w:val="24"/>
        </w:rPr>
        <w:t xml:space="preserve">l’histoire par </w:t>
      </w:r>
      <w:r w:rsidR="00C90382" w:rsidRPr="00B1668D">
        <w:rPr>
          <w:rFonts w:ascii="Times New Roman" w:hAnsi="Times New Roman" w:cs="Times New Roman"/>
          <w:sz w:val="24"/>
          <w:szCs w:val="24"/>
        </w:rPr>
        <w:t xml:space="preserve">Collingwood : </w:t>
      </w:r>
      <w:r w:rsidR="00F730B5">
        <w:rPr>
          <w:rFonts w:ascii="Times New Roman" w:hAnsi="Times New Roman" w:cs="Times New Roman"/>
          <w:sz w:val="24"/>
          <w:szCs w:val="24"/>
        </w:rPr>
        <w:t>« </w:t>
      </w:r>
      <w:r w:rsidR="00B1668D" w:rsidRPr="00B1668D">
        <w:rPr>
          <w:rFonts w:ascii="Times New Roman" w:hAnsi="Times New Roman" w:cs="Times New Roman"/>
          <w:sz w:val="24"/>
          <w:szCs w:val="24"/>
        </w:rPr>
        <w:t>History as re-enactment of past experience</w:t>
      </w:r>
      <w:r w:rsidR="00F730B5">
        <w:rPr>
          <w:rFonts w:ascii="Times New Roman" w:hAnsi="Times New Roman" w:cs="Times New Roman"/>
          <w:sz w:val="24"/>
          <w:szCs w:val="24"/>
        </w:rPr>
        <w:t> »</w:t>
      </w:r>
      <w:r w:rsidR="00B1668D" w:rsidRPr="00B1668D">
        <w:rPr>
          <w:rFonts w:ascii="Times New Roman" w:hAnsi="Times New Roman" w:cs="Times New Roman"/>
          <w:sz w:val="24"/>
          <w:szCs w:val="24"/>
        </w:rPr>
        <w:t xml:space="preserve"> comme</w:t>
      </w:r>
      <w:r w:rsidR="00F730B5">
        <w:rPr>
          <w:rFonts w:ascii="Times New Roman" w:hAnsi="Times New Roman" w:cs="Times New Roman"/>
          <w:sz w:val="24"/>
          <w:szCs w:val="24"/>
        </w:rPr>
        <w:t xml:space="preserve"> une</w:t>
      </w:r>
      <w:r w:rsidR="00B1668D" w:rsidRPr="00B1668D">
        <w:rPr>
          <w:rFonts w:ascii="Times New Roman" w:hAnsi="Times New Roman" w:cs="Times New Roman"/>
          <w:sz w:val="24"/>
          <w:szCs w:val="24"/>
        </w:rPr>
        <w:t xml:space="preserve"> « re-actualisation de l'expérience du</w:t>
      </w:r>
      <w:r w:rsidR="00B1668D">
        <w:rPr>
          <w:rFonts w:ascii="Times New Roman" w:hAnsi="Times New Roman" w:cs="Times New Roman"/>
          <w:sz w:val="24"/>
          <w:szCs w:val="24"/>
        </w:rPr>
        <w:t xml:space="preserve"> </w:t>
      </w:r>
      <w:r w:rsidR="00B1668D" w:rsidRPr="00B1668D">
        <w:rPr>
          <w:rFonts w:ascii="Times New Roman" w:hAnsi="Times New Roman" w:cs="Times New Roman"/>
          <w:sz w:val="24"/>
          <w:szCs w:val="24"/>
        </w:rPr>
        <w:t>passé »</w:t>
      </w:r>
      <w:r w:rsidR="00D2280F" w:rsidRPr="00D2280F">
        <w:rPr>
          <w:rFonts w:ascii="Times New Roman" w:hAnsi="Times New Roman" w:cs="Times New Roman"/>
          <w:sz w:val="24"/>
          <w:szCs w:val="24"/>
          <w:lang w:val="fr-FR"/>
        </w:rPr>
        <w:t xml:space="preserve"> </w:t>
      </w:r>
      <w:r w:rsidR="00D2280F">
        <w:rPr>
          <w:rFonts w:ascii="Times New Roman" w:hAnsi="Times New Roman" w:cs="Times New Roman"/>
          <w:sz w:val="24"/>
          <w:szCs w:val="24"/>
          <w:lang w:val="fr-FR"/>
        </w:rPr>
        <w:t xml:space="preserve">(Marrou H.-I., 1959, p.40), </w:t>
      </w:r>
      <w:r w:rsidR="00B1668D">
        <w:rPr>
          <w:rFonts w:ascii="Times New Roman" w:hAnsi="Times New Roman" w:cs="Times New Roman"/>
          <w:sz w:val="24"/>
          <w:szCs w:val="24"/>
        </w:rPr>
        <w:t xml:space="preserve">qu’il lie </w:t>
      </w:r>
      <w:r w:rsidR="009A384D">
        <w:rPr>
          <w:rFonts w:ascii="Times New Roman" w:hAnsi="Times New Roman" w:cs="Times New Roman"/>
          <w:sz w:val="24"/>
          <w:szCs w:val="24"/>
        </w:rPr>
        <w:t xml:space="preserve">avec un présumé pouvoir de résurrection du passé accordé à l’historien. Or, </w:t>
      </w:r>
      <w:r w:rsidR="00F730B5">
        <w:rPr>
          <w:rFonts w:ascii="Times New Roman" w:hAnsi="Times New Roman" w:cs="Times New Roman"/>
          <w:sz w:val="24"/>
          <w:szCs w:val="24"/>
        </w:rPr>
        <w:t>c’est une compréhension erronée de la position de</w:t>
      </w:r>
      <w:r w:rsidR="009A384D">
        <w:rPr>
          <w:rFonts w:ascii="Times New Roman" w:hAnsi="Times New Roman" w:cs="Times New Roman"/>
          <w:sz w:val="24"/>
          <w:szCs w:val="24"/>
        </w:rPr>
        <w:t xml:space="preserve"> Collingwood. </w:t>
      </w:r>
      <w:r w:rsidR="00B22308">
        <w:rPr>
          <w:rFonts w:ascii="Times New Roman" w:hAnsi="Times New Roman" w:cs="Times New Roman"/>
          <w:sz w:val="24"/>
          <w:szCs w:val="24"/>
        </w:rPr>
        <w:t xml:space="preserve">Dès ses </w:t>
      </w:r>
      <w:r w:rsidR="00184D39">
        <w:rPr>
          <w:rFonts w:ascii="Times New Roman" w:hAnsi="Times New Roman" w:cs="Times New Roman"/>
          <w:i/>
          <w:iCs/>
          <w:sz w:val="24"/>
          <w:szCs w:val="24"/>
        </w:rPr>
        <w:t>Lectures on the Philosophy of History</w:t>
      </w:r>
      <w:r w:rsidR="00184D39">
        <w:rPr>
          <w:rFonts w:ascii="Times New Roman" w:hAnsi="Times New Roman" w:cs="Times New Roman"/>
          <w:sz w:val="24"/>
          <w:szCs w:val="24"/>
        </w:rPr>
        <w:t xml:space="preserve"> de 1926, </w:t>
      </w:r>
      <w:r w:rsidR="00CE7505">
        <w:rPr>
          <w:rFonts w:ascii="Times New Roman" w:hAnsi="Times New Roman" w:cs="Times New Roman"/>
          <w:sz w:val="24"/>
          <w:szCs w:val="24"/>
        </w:rPr>
        <w:t>ce dernier</w:t>
      </w:r>
      <w:r w:rsidR="00184D39">
        <w:rPr>
          <w:rFonts w:ascii="Times New Roman" w:hAnsi="Times New Roman" w:cs="Times New Roman"/>
          <w:sz w:val="24"/>
          <w:szCs w:val="24"/>
        </w:rPr>
        <w:t xml:space="preserve"> ne cesse de répéter que le passé tel qu’il était, n’existe pas, et qu’il ne peut être question d’une résurrection, mais d’une connaissance du passé par les documents et par ce qui survit dans le présent</w:t>
      </w:r>
      <w:r w:rsidR="00602D6C">
        <w:rPr>
          <w:rFonts w:ascii="Times New Roman" w:hAnsi="Times New Roman" w:cs="Times New Roman"/>
          <w:sz w:val="24"/>
          <w:szCs w:val="24"/>
        </w:rPr>
        <w:t xml:space="preserve"> (Collingwood R.G., 1946, p.364 ; 2017, p.72).</w:t>
      </w:r>
      <w:r w:rsidR="00184D39">
        <w:rPr>
          <w:rFonts w:ascii="Times New Roman" w:hAnsi="Times New Roman" w:cs="Times New Roman"/>
          <w:sz w:val="24"/>
          <w:szCs w:val="24"/>
        </w:rPr>
        <w:t xml:space="preserve"> </w:t>
      </w:r>
    </w:p>
    <w:p w14:paraId="32E1EB74" w14:textId="270BB04E" w:rsidR="00CB7721" w:rsidRPr="00A4737E" w:rsidRDefault="00FA13ED" w:rsidP="0063157C">
      <w:pPr>
        <w:spacing w:line="360" w:lineRule="auto"/>
        <w:jc w:val="both"/>
        <w:rPr>
          <w:rFonts w:ascii="Times New Roman" w:hAnsi="Times New Roman" w:cs="Times New Roman"/>
          <w:sz w:val="24"/>
          <w:szCs w:val="24"/>
        </w:rPr>
      </w:pPr>
      <w:r>
        <w:rPr>
          <w:rFonts w:ascii="Times New Roman" w:hAnsi="Times New Roman" w:cs="Times New Roman"/>
          <w:sz w:val="24"/>
          <w:szCs w:val="24"/>
        </w:rPr>
        <w:tab/>
        <w:t>En fait, aucun des arguments</w:t>
      </w:r>
      <w:r w:rsidR="00B66033">
        <w:rPr>
          <w:rFonts w:ascii="Times New Roman" w:hAnsi="Times New Roman" w:cs="Times New Roman"/>
          <w:sz w:val="24"/>
          <w:szCs w:val="24"/>
        </w:rPr>
        <w:t xml:space="preserve"> positivement soutenus par</w:t>
      </w:r>
      <w:r>
        <w:rPr>
          <w:rFonts w:ascii="Times New Roman" w:hAnsi="Times New Roman" w:cs="Times New Roman"/>
          <w:sz w:val="24"/>
          <w:szCs w:val="24"/>
        </w:rPr>
        <w:t xml:space="preserve"> Marrou n’est étranger à la réflexion de Collingwood</w:t>
      </w:r>
      <w:r w:rsidR="004462C7">
        <w:rPr>
          <w:rFonts w:ascii="Times New Roman" w:hAnsi="Times New Roman" w:cs="Times New Roman"/>
          <w:sz w:val="24"/>
          <w:szCs w:val="24"/>
        </w:rPr>
        <w:t xml:space="preserve">, et si Marrou n’avait pas disqualifié la pensée de Collingwood en en faisant le chantre de l’idéalisme, il aurait sûrement pu percevoir cette proximité. Marrou définit l’histoire comme « connaissance du passé humain », qu’il veut distinguer de la connaissance </w:t>
      </w:r>
      <w:r w:rsidR="00892E22">
        <w:rPr>
          <w:rFonts w:ascii="Times New Roman" w:hAnsi="Times New Roman" w:cs="Times New Roman"/>
          <w:sz w:val="24"/>
          <w:szCs w:val="24"/>
        </w:rPr>
        <w:t>de la nature qui n’est pas un objet historique</w:t>
      </w:r>
      <w:r w:rsidR="00142A43">
        <w:rPr>
          <w:rFonts w:ascii="Times New Roman" w:hAnsi="Times New Roman" w:cs="Times New Roman"/>
          <w:sz w:val="24"/>
          <w:szCs w:val="24"/>
        </w:rPr>
        <w:t>, et il refuse d</w:t>
      </w:r>
      <w:r w:rsidR="00EF5572">
        <w:rPr>
          <w:rFonts w:ascii="Times New Roman" w:hAnsi="Times New Roman" w:cs="Times New Roman"/>
          <w:sz w:val="24"/>
          <w:szCs w:val="24"/>
        </w:rPr>
        <w:t>e voir dans la science historique une copie des sciences naturelles</w:t>
      </w:r>
      <w:r w:rsidR="00040EA4">
        <w:rPr>
          <w:rFonts w:ascii="Times New Roman" w:hAnsi="Times New Roman" w:cs="Times New Roman"/>
          <w:sz w:val="24"/>
          <w:szCs w:val="24"/>
        </w:rPr>
        <w:t xml:space="preserve">. </w:t>
      </w:r>
      <w:r w:rsidR="00ED70C6" w:rsidRPr="00B66033">
        <w:rPr>
          <w:rFonts w:ascii="Times New Roman" w:hAnsi="Times New Roman" w:cs="Times New Roman"/>
          <w:sz w:val="24"/>
          <w:szCs w:val="24"/>
          <w:lang w:val="fr-FR"/>
        </w:rPr>
        <w:t xml:space="preserve">Une </w:t>
      </w:r>
      <w:r w:rsidR="00B66033" w:rsidRPr="00B66033">
        <w:rPr>
          <w:rFonts w:ascii="Times New Roman" w:hAnsi="Times New Roman" w:cs="Times New Roman"/>
          <w:sz w:val="24"/>
          <w:szCs w:val="24"/>
          <w:lang w:val="fr-FR"/>
        </w:rPr>
        <w:t>thèse partagée</w:t>
      </w:r>
      <w:r w:rsidR="00ED70C6" w:rsidRPr="00B66033">
        <w:rPr>
          <w:rFonts w:ascii="Times New Roman" w:hAnsi="Times New Roman" w:cs="Times New Roman"/>
          <w:sz w:val="24"/>
          <w:szCs w:val="24"/>
          <w:lang w:val="fr-FR"/>
        </w:rPr>
        <w:t xml:space="preserve"> par Collingwood </w:t>
      </w:r>
      <w:r w:rsidR="00B66033" w:rsidRPr="00B66033">
        <w:rPr>
          <w:rFonts w:ascii="Times New Roman" w:hAnsi="Times New Roman" w:cs="Times New Roman"/>
          <w:sz w:val="24"/>
          <w:szCs w:val="24"/>
          <w:lang w:val="fr-FR"/>
        </w:rPr>
        <w:t xml:space="preserve">qui dans </w:t>
      </w:r>
      <w:r w:rsidR="00ED70C6" w:rsidRPr="00B66033">
        <w:rPr>
          <w:rFonts w:ascii="Times New Roman" w:hAnsi="Times New Roman" w:cs="Times New Roman"/>
          <w:i/>
          <w:iCs/>
          <w:sz w:val="24"/>
          <w:szCs w:val="24"/>
          <w:lang w:val="fr-FR"/>
        </w:rPr>
        <w:t>The Idea of History</w:t>
      </w:r>
      <w:r w:rsidR="00325B8B" w:rsidRPr="00B66033">
        <w:rPr>
          <w:rFonts w:ascii="Times New Roman" w:hAnsi="Times New Roman" w:cs="Times New Roman"/>
          <w:sz w:val="24"/>
          <w:szCs w:val="24"/>
          <w:lang w:val="fr-FR"/>
        </w:rPr>
        <w:t xml:space="preserve"> </w:t>
      </w:r>
      <w:r w:rsidR="00B66033" w:rsidRPr="00B66033">
        <w:rPr>
          <w:rFonts w:ascii="Times New Roman" w:hAnsi="Times New Roman" w:cs="Times New Roman"/>
          <w:sz w:val="24"/>
          <w:szCs w:val="24"/>
          <w:lang w:val="fr-FR"/>
        </w:rPr>
        <w:t>défend</w:t>
      </w:r>
      <w:r w:rsidR="00325B8B" w:rsidRPr="00B66033">
        <w:rPr>
          <w:rFonts w:ascii="Times New Roman" w:hAnsi="Times New Roman" w:cs="Times New Roman"/>
          <w:sz w:val="24"/>
          <w:szCs w:val="24"/>
          <w:lang w:val="fr-FR"/>
        </w:rPr>
        <w:t xml:space="preserve"> l’idée selon laquelle</w:t>
      </w:r>
      <w:r w:rsidR="00325B8B" w:rsidRPr="00602D6C">
        <w:rPr>
          <w:rFonts w:ascii="Times New Roman" w:hAnsi="Times New Roman" w:cs="Times New Roman"/>
          <w:sz w:val="24"/>
          <w:szCs w:val="24"/>
        </w:rPr>
        <w:t xml:space="preserve"> :</w:t>
      </w:r>
      <w:r w:rsidR="00ED70C6" w:rsidRPr="00602D6C">
        <w:rPr>
          <w:rFonts w:ascii="Times New Roman" w:hAnsi="Times New Roman" w:cs="Times New Roman"/>
          <w:sz w:val="24"/>
          <w:szCs w:val="24"/>
        </w:rPr>
        <w:t xml:space="preserve"> </w:t>
      </w:r>
      <w:r w:rsidR="00C73B79" w:rsidRPr="00602D6C">
        <w:rPr>
          <w:rFonts w:ascii="Times New Roman" w:hAnsi="Times New Roman" w:cs="Times New Roman"/>
          <w:sz w:val="24"/>
          <w:szCs w:val="24"/>
        </w:rPr>
        <w:t>« </w:t>
      </w:r>
      <w:r w:rsidR="00602D6C" w:rsidRPr="00602D6C">
        <w:rPr>
          <w:rFonts w:ascii="Times New Roman" w:hAnsi="Times New Roman" w:cs="Times New Roman"/>
          <w:sz w:val="24"/>
          <w:szCs w:val="24"/>
        </w:rPr>
        <w:t>l</w:t>
      </w:r>
      <w:r w:rsidR="00602D6C">
        <w:rPr>
          <w:rFonts w:ascii="Times New Roman" w:hAnsi="Times New Roman" w:cs="Times New Roman"/>
          <w:sz w:val="24"/>
          <w:szCs w:val="24"/>
        </w:rPr>
        <w:t xml:space="preserve">a </w:t>
      </w:r>
      <w:r w:rsidR="00602D6C" w:rsidRPr="00602D6C">
        <w:rPr>
          <w:rFonts w:ascii="Times New Roman" w:hAnsi="Times New Roman" w:cs="Times New Roman"/>
          <w:sz w:val="24"/>
          <w:szCs w:val="24"/>
        </w:rPr>
        <w:t>“</w:t>
      </w:r>
      <w:r w:rsidR="00602D6C">
        <w:rPr>
          <w:rFonts w:ascii="Times New Roman" w:hAnsi="Times New Roman" w:cs="Times New Roman"/>
          <w:sz w:val="24"/>
          <w:szCs w:val="24"/>
        </w:rPr>
        <w:t>science de la nature humaine</w:t>
      </w:r>
      <w:r w:rsidR="00602D6C" w:rsidRPr="00602D6C">
        <w:rPr>
          <w:rFonts w:ascii="Times New Roman" w:hAnsi="Times New Roman" w:cs="Times New Roman"/>
          <w:sz w:val="24"/>
          <w:szCs w:val="24"/>
        </w:rPr>
        <w:t>”</w:t>
      </w:r>
      <w:r w:rsidR="00602D6C">
        <w:rPr>
          <w:rFonts w:ascii="Times New Roman" w:hAnsi="Times New Roman" w:cs="Times New Roman"/>
          <w:sz w:val="24"/>
          <w:szCs w:val="24"/>
        </w:rPr>
        <w:t xml:space="preserve"> a tourné court parce que sa méthode était </w:t>
      </w:r>
      <w:r w:rsidR="00A4737E">
        <w:rPr>
          <w:rFonts w:ascii="Times New Roman" w:hAnsi="Times New Roman" w:cs="Times New Roman"/>
          <w:sz w:val="24"/>
          <w:szCs w:val="24"/>
        </w:rPr>
        <w:t>déformée par l’analogie avec les sciences naturelles. » (Collingwood R.G., 1946, p.208)</w:t>
      </w:r>
      <w:r w:rsidR="007A452B">
        <w:rPr>
          <w:rStyle w:val="Appelnotedebasdep"/>
          <w:rFonts w:ascii="Times New Roman" w:hAnsi="Times New Roman" w:cs="Times New Roman"/>
          <w:sz w:val="24"/>
          <w:szCs w:val="24"/>
          <w:lang w:val="en-US"/>
        </w:rPr>
        <w:footnoteReference w:id="9"/>
      </w:r>
      <w:r w:rsidR="00CE61A3" w:rsidRPr="00A4737E">
        <w:rPr>
          <w:rFonts w:ascii="Times New Roman" w:hAnsi="Times New Roman" w:cs="Times New Roman"/>
          <w:sz w:val="24"/>
          <w:szCs w:val="24"/>
        </w:rPr>
        <w:t xml:space="preserve"> </w:t>
      </w:r>
    </w:p>
    <w:p w14:paraId="3BA878BF" w14:textId="7FAA1EDF" w:rsidR="00646679" w:rsidRDefault="00CE61A3" w:rsidP="000820A8">
      <w:pPr>
        <w:spacing w:line="360" w:lineRule="auto"/>
        <w:ind w:firstLine="708"/>
        <w:jc w:val="both"/>
        <w:rPr>
          <w:rFonts w:ascii="Times New Roman" w:hAnsi="Times New Roman" w:cs="Times New Roman"/>
          <w:sz w:val="24"/>
          <w:szCs w:val="24"/>
        </w:rPr>
      </w:pPr>
      <w:r w:rsidRPr="00980CDE">
        <w:rPr>
          <w:rFonts w:ascii="Times New Roman" w:hAnsi="Times New Roman" w:cs="Times New Roman"/>
          <w:sz w:val="24"/>
          <w:szCs w:val="24"/>
        </w:rPr>
        <w:t>Par ailleurs, ce</w:t>
      </w:r>
      <w:r w:rsidR="00980CDE" w:rsidRPr="00980CDE">
        <w:rPr>
          <w:rFonts w:ascii="Times New Roman" w:hAnsi="Times New Roman" w:cs="Times New Roman"/>
          <w:sz w:val="24"/>
          <w:szCs w:val="24"/>
        </w:rPr>
        <w:t xml:space="preserve">tte autonomie revendiquée de la méthode historique </w:t>
      </w:r>
      <w:r w:rsidR="00FE6216">
        <w:rPr>
          <w:rFonts w:ascii="Times New Roman" w:hAnsi="Times New Roman" w:cs="Times New Roman"/>
          <w:sz w:val="24"/>
          <w:szCs w:val="24"/>
        </w:rPr>
        <w:t>découle d’</w:t>
      </w:r>
      <w:r w:rsidR="0043431A">
        <w:rPr>
          <w:rFonts w:ascii="Times New Roman" w:hAnsi="Times New Roman" w:cs="Times New Roman"/>
          <w:sz w:val="24"/>
          <w:szCs w:val="24"/>
        </w:rPr>
        <w:t xml:space="preserve">une définition du travail de l’historien </w:t>
      </w:r>
      <w:r w:rsidR="000820A8">
        <w:rPr>
          <w:rFonts w:ascii="Times New Roman" w:hAnsi="Times New Roman" w:cs="Times New Roman"/>
          <w:sz w:val="24"/>
          <w:szCs w:val="24"/>
        </w:rPr>
        <w:t>chez</w:t>
      </w:r>
      <w:r w:rsidR="0043431A">
        <w:rPr>
          <w:rFonts w:ascii="Times New Roman" w:hAnsi="Times New Roman" w:cs="Times New Roman"/>
          <w:sz w:val="24"/>
          <w:szCs w:val="24"/>
        </w:rPr>
        <w:t xml:space="preserve"> Marrou </w:t>
      </w:r>
      <w:r w:rsidR="000820A8">
        <w:rPr>
          <w:rFonts w:ascii="Times New Roman" w:hAnsi="Times New Roman" w:cs="Times New Roman"/>
          <w:sz w:val="24"/>
          <w:szCs w:val="24"/>
        </w:rPr>
        <w:t xml:space="preserve">qui </w:t>
      </w:r>
      <w:r w:rsidR="0043431A">
        <w:rPr>
          <w:rFonts w:ascii="Times New Roman" w:hAnsi="Times New Roman" w:cs="Times New Roman"/>
          <w:sz w:val="24"/>
          <w:szCs w:val="24"/>
        </w:rPr>
        <w:t>ressemble, à peu de choses près, à ce que Collingwood développe dans l’</w:t>
      </w:r>
      <w:r w:rsidR="00A4737E">
        <w:rPr>
          <w:rFonts w:ascii="Times New Roman" w:hAnsi="Times New Roman" w:cs="Times New Roman"/>
          <w:i/>
          <w:iCs/>
          <w:sz w:val="24"/>
          <w:szCs w:val="24"/>
        </w:rPr>
        <w:t>E</w:t>
      </w:r>
      <w:r w:rsidR="0043431A">
        <w:rPr>
          <w:rFonts w:ascii="Times New Roman" w:hAnsi="Times New Roman" w:cs="Times New Roman"/>
          <w:i/>
          <w:iCs/>
          <w:sz w:val="24"/>
          <w:szCs w:val="24"/>
        </w:rPr>
        <w:t>pil</w:t>
      </w:r>
      <w:r w:rsidR="00080F65">
        <w:rPr>
          <w:rFonts w:ascii="Times New Roman" w:hAnsi="Times New Roman" w:cs="Times New Roman"/>
          <w:i/>
          <w:iCs/>
          <w:sz w:val="24"/>
          <w:szCs w:val="24"/>
        </w:rPr>
        <w:t>egomena</w:t>
      </w:r>
      <w:r w:rsidR="00080F65">
        <w:rPr>
          <w:rFonts w:ascii="Times New Roman" w:hAnsi="Times New Roman" w:cs="Times New Roman"/>
          <w:sz w:val="24"/>
          <w:szCs w:val="24"/>
        </w:rPr>
        <w:t xml:space="preserve"> de </w:t>
      </w:r>
      <w:r w:rsidR="00080F65">
        <w:rPr>
          <w:rFonts w:ascii="Times New Roman" w:hAnsi="Times New Roman" w:cs="Times New Roman"/>
          <w:i/>
          <w:iCs/>
          <w:sz w:val="24"/>
          <w:szCs w:val="24"/>
        </w:rPr>
        <w:t>The Idea of History</w:t>
      </w:r>
      <w:r w:rsidR="00CB7721">
        <w:rPr>
          <w:rFonts w:ascii="Times New Roman" w:hAnsi="Times New Roman" w:cs="Times New Roman"/>
          <w:sz w:val="24"/>
          <w:szCs w:val="24"/>
        </w:rPr>
        <w:t>.</w:t>
      </w:r>
      <w:r w:rsidR="00080F65">
        <w:rPr>
          <w:rFonts w:ascii="Times New Roman" w:hAnsi="Times New Roman" w:cs="Times New Roman"/>
          <w:sz w:val="24"/>
          <w:szCs w:val="24"/>
        </w:rPr>
        <w:t xml:space="preserve"> </w:t>
      </w:r>
      <w:r w:rsidR="000820A8">
        <w:rPr>
          <w:rFonts w:ascii="Times New Roman" w:hAnsi="Times New Roman" w:cs="Times New Roman"/>
          <w:sz w:val="24"/>
          <w:szCs w:val="24"/>
        </w:rPr>
        <w:t>N</w:t>
      </w:r>
      <w:r w:rsidR="00057A0C">
        <w:rPr>
          <w:rFonts w:ascii="Times New Roman" w:hAnsi="Times New Roman" w:cs="Times New Roman"/>
          <w:sz w:val="24"/>
          <w:szCs w:val="24"/>
        </w:rPr>
        <w:t xml:space="preserve">otamment </w:t>
      </w:r>
      <w:r w:rsidR="000820A8">
        <w:rPr>
          <w:rFonts w:ascii="Times New Roman" w:hAnsi="Times New Roman" w:cs="Times New Roman"/>
          <w:sz w:val="24"/>
          <w:szCs w:val="24"/>
        </w:rPr>
        <w:t>sur la façon de soumettre le passé à un interrogatoire :</w:t>
      </w:r>
      <w:r w:rsidR="008C6D23">
        <w:rPr>
          <w:rFonts w:ascii="Times New Roman" w:hAnsi="Times New Roman" w:cs="Times New Roman"/>
          <w:sz w:val="24"/>
          <w:szCs w:val="24"/>
        </w:rPr>
        <w:t xml:space="preserve"> « </w:t>
      </w:r>
      <w:r w:rsidR="008C6D23" w:rsidRPr="008C6D23">
        <w:rPr>
          <w:rFonts w:ascii="Times New Roman" w:hAnsi="Times New Roman" w:cs="Times New Roman"/>
          <w:sz w:val="24"/>
          <w:szCs w:val="24"/>
        </w:rPr>
        <w:t>Le passé se présente à lui, tout d'abord, comme un vague fantôme, sans forme ni consistance</w:t>
      </w:r>
      <w:r w:rsidR="00FE6216">
        <w:rPr>
          <w:rFonts w:ascii="Times New Roman" w:hAnsi="Times New Roman" w:cs="Times New Roman"/>
          <w:sz w:val="24"/>
          <w:szCs w:val="24"/>
        </w:rPr>
        <w:t xml:space="preserve"> </w:t>
      </w:r>
      <w:r w:rsidR="008C6D23" w:rsidRPr="008C6D23">
        <w:rPr>
          <w:rFonts w:ascii="Times New Roman" w:hAnsi="Times New Roman" w:cs="Times New Roman"/>
          <w:sz w:val="24"/>
          <w:szCs w:val="24"/>
        </w:rPr>
        <w:t xml:space="preserve">; pour le saisir il faut l'enserrer étroitement dans un réseau de questions sans échappatoires, le contraindre à </w:t>
      </w:r>
      <w:r w:rsidR="00FE6216" w:rsidRPr="008C6D23">
        <w:rPr>
          <w:rFonts w:ascii="Times New Roman" w:hAnsi="Times New Roman" w:cs="Times New Roman"/>
          <w:sz w:val="24"/>
          <w:szCs w:val="24"/>
        </w:rPr>
        <w:t>s’avouer ;</w:t>
      </w:r>
      <w:r w:rsidR="008C6D23" w:rsidRPr="008C6D23">
        <w:rPr>
          <w:rFonts w:ascii="Times New Roman" w:hAnsi="Times New Roman" w:cs="Times New Roman"/>
          <w:sz w:val="24"/>
          <w:szCs w:val="24"/>
        </w:rPr>
        <w:t xml:space="preserve"> aussi longtemps que nous ne l'attaquons pas de la sorte il demeure voilé et silencieux</w:t>
      </w:r>
      <w:r w:rsidR="008C6D23">
        <w:rPr>
          <w:rFonts w:ascii="Times New Roman" w:hAnsi="Times New Roman" w:cs="Times New Roman"/>
          <w:sz w:val="24"/>
          <w:szCs w:val="24"/>
        </w:rPr>
        <w:t> »</w:t>
      </w:r>
      <w:r w:rsidR="00A4737E">
        <w:rPr>
          <w:rFonts w:ascii="Times New Roman" w:hAnsi="Times New Roman" w:cs="Times New Roman"/>
          <w:sz w:val="24"/>
          <w:szCs w:val="24"/>
        </w:rPr>
        <w:t xml:space="preserve"> (Marrou H.-I., 1959, 56).</w:t>
      </w:r>
      <w:r w:rsidR="008C6D23">
        <w:rPr>
          <w:rFonts w:ascii="Times New Roman" w:hAnsi="Times New Roman" w:cs="Times New Roman"/>
          <w:sz w:val="24"/>
          <w:szCs w:val="24"/>
        </w:rPr>
        <w:t xml:space="preserve"> </w:t>
      </w:r>
      <w:r w:rsidR="00C209BC">
        <w:rPr>
          <w:rFonts w:ascii="Times New Roman" w:hAnsi="Times New Roman" w:cs="Times New Roman"/>
          <w:sz w:val="24"/>
          <w:szCs w:val="24"/>
        </w:rPr>
        <w:t xml:space="preserve">C’est aussi en ces termes que Collingwood reprend </w:t>
      </w:r>
      <w:r w:rsidR="00837A12">
        <w:rPr>
          <w:rFonts w:ascii="Times New Roman" w:hAnsi="Times New Roman" w:cs="Times New Roman"/>
          <w:sz w:val="24"/>
          <w:szCs w:val="24"/>
        </w:rPr>
        <w:t>la formule de Bacon</w:t>
      </w:r>
      <w:r w:rsidR="00C209BC">
        <w:rPr>
          <w:rFonts w:ascii="Times New Roman" w:hAnsi="Times New Roman" w:cs="Times New Roman"/>
          <w:sz w:val="24"/>
          <w:szCs w:val="24"/>
        </w:rPr>
        <w:t xml:space="preserve"> pour évoquer l</w:t>
      </w:r>
      <w:r w:rsidR="00634FEA">
        <w:rPr>
          <w:rFonts w:ascii="Times New Roman" w:hAnsi="Times New Roman" w:cs="Times New Roman"/>
          <w:sz w:val="24"/>
          <w:szCs w:val="24"/>
        </w:rPr>
        <w:t>a nécessité qu’</w:t>
      </w:r>
      <w:r w:rsidR="00CE7505">
        <w:rPr>
          <w:rFonts w:ascii="Times New Roman" w:hAnsi="Times New Roman" w:cs="Times New Roman"/>
          <w:sz w:val="24"/>
          <w:szCs w:val="24"/>
        </w:rPr>
        <w:t>a</w:t>
      </w:r>
      <w:r w:rsidR="00634FEA">
        <w:rPr>
          <w:rFonts w:ascii="Times New Roman" w:hAnsi="Times New Roman" w:cs="Times New Roman"/>
          <w:sz w:val="24"/>
          <w:szCs w:val="24"/>
        </w:rPr>
        <w:t xml:space="preserve"> </w:t>
      </w:r>
      <w:r w:rsidR="00C209BC">
        <w:rPr>
          <w:rFonts w:ascii="Times New Roman" w:hAnsi="Times New Roman" w:cs="Times New Roman"/>
          <w:sz w:val="24"/>
          <w:szCs w:val="24"/>
        </w:rPr>
        <w:t>l’historien de soumettre les documents et le passé à la torture</w:t>
      </w:r>
      <w:r w:rsidR="00837A12">
        <w:rPr>
          <w:rFonts w:ascii="Times New Roman" w:hAnsi="Times New Roman" w:cs="Times New Roman"/>
          <w:sz w:val="24"/>
          <w:szCs w:val="24"/>
        </w:rPr>
        <w:t>. Si, chez Francis Bacon, le scientifique doit « </w:t>
      </w:r>
      <w:r w:rsidR="00A4737E">
        <w:rPr>
          <w:rFonts w:ascii="Times New Roman" w:hAnsi="Times New Roman" w:cs="Times New Roman"/>
          <w:sz w:val="24"/>
          <w:szCs w:val="24"/>
        </w:rPr>
        <w:t>passer la Nature à la question</w:t>
      </w:r>
      <w:r w:rsidR="00837A12">
        <w:rPr>
          <w:rFonts w:ascii="Times New Roman" w:hAnsi="Times New Roman" w:cs="Times New Roman"/>
          <w:sz w:val="24"/>
          <w:szCs w:val="24"/>
        </w:rPr>
        <w:t> », Collingwood ajoute que c’est</w:t>
      </w:r>
      <w:r w:rsidR="0091738B">
        <w:rPr>
          <w:rFonts w:ascii="Times New Roman" w:hAnsi="Times New Roman" w:cs="Times New Roman"/>
          <w:sz w:val="24"/>
          <w:szCs w:val="24"/>
        </w:rPr>
        <w:t xml:space="preserve"> aussi un</w:t>
      </w:r>
      <w:r w:rsidR="00837A12">
        <w:rPr>
          <w:rFonts w:ascii="Times New Roman" w:hAnsi="Times New Roman" w:cs="Times New Roman"/>
          <w:sz w:val="24"/>
          <w:szCs w:val="24"/>
        </w:rPr>
        <w:t xml:space="preserve"> devoir de l’historien</w:t>
      </w:r>
      <w:r w:rsidR="0091738B">
        <w:rPr>
          <w:rFonts w:ascii="Times New Roman" w:hAnsi="Times New Roman" w:cs="Times New Roman"/>
          <w:sz w:val="24"/>
          <w:szCs w:val="24"/>
        </w:rPr>
        <w:t xml:space="preserve"> que de soumettre les choses du passé à la question</w:t>
      </w:r>
      <w:r w:rsidR="00214881">
        <w:rPr>
          <w:rFonts w:ascii="Times New Roman" w:hAnsi="Times New Roman" w:cs="Times New Roman"/>
          <w:sz w:val="24"/>
          <w:szCs w:val="24"/>
        </w:rPr>
        <w:t>. C’est d’ailleurs ce qui distingue pour Marrou comme pour Collingwood l’historien critique de l’historien positiviste : ce dernier ne sait pas torturer</w:t>
      </w:r>
      <w:r w:rsidR="00837A12">
        <w:rPr>
          <w:rFonts w:ascii="Times New Roman" w:hAnsi="Times New Roman" w:cs="Times New Roman"/>
          <w:sz w:val="24"/>
          <w:szCs w:val="24"/>
        </w:rPr>
        <w:t>,</w:t>
      </w:r>
      <w:r w:rsidR="00E63709">
        <w:rPr>
          <w:rFonts w:ascii="Times New Roman" w:hAnsi="Times New Roman" w:cs="Times New Roman"/>
          <w:sz w:val="24"/>
          <w:szCs w:val="24"/>
        </w:rPr>
        <w:t xml:space="preserve"> les documents sur lesquels il travaille sont pour lui des « </w:t>
      </w:r>
      <w:r w:rsidR="00E63709" w:rsidRPr="00A4737E">
        <w:rPr>
          <w:rFonts w:ascii="Times New Roman" w:hAnsi="Times New Roman" w:cs="Times New Roman"/>
          <w:i/>
          <w:iCs/>
          <w:sz w:val="24"/>
          <w:szCs w:val="24"/>
        </w:rPr>
        <w:t>authorities</w:t>
      </w:r>
      <w:r w:rsidR="00E63709">
        <w:rPr>
          <w:rFonts w:ascii="Times New Roman" w:hAnsi="Times New Roman" w:cs="Times New Roman"/>
          <w:sz w:val="24"/>
          <w:szCs w:val="24"/>
        </w:rPr>
        <w:t> » et non des « sources », fine distinction</w:t>
      </w:r>
      <w:r w:rsidR="00F0255D">
        <w:rPr>
          <w:rFonts w:ascii="Times New Roman" w:hAnsi="Times New Roman" w:cs="Times New Roman"/>
          <w:sz w:val="24"/>
          <w:szCs w:val="24"/>
        </w:rPr>
        <w:t xml:space="preserve"> conceptuelle de</w:t>
      </w:r>
      <w:r w:rsidR="00E63709">
        <w:rPr>
          <w:rFonts w:ascii="Times New Roman" w:hAnsi="Times New Roman" w:cs="Times New Roman"/>
          <w:sz w:val="24"/>
          <w:szCs w:val="24"/>
        </w:rPr>
        <w:t xml:space="preserve"> </w:t>
      </w:r>
      <w:r w:rsidR="00F0255D">
        <w:rPr>
          <w:rFonts w:ascii="Times New Roman" w:hAnsi="Times New Roman" w:cs="Times New Roman"/>
          <w:sz w:val="24"/>
          <w:szCs w:val="24"/>
        </w:rPr>
        <w:t>Collingwood</w:t>
      </w:r>
      <w:r w:rsidR="00E63709">
        <w:rPr>
          <w:rFonts w:ascii="Times New Roman" w:hAnsi="Times New Roman" w:cs="Times New Roman"/>
          <w:sz w:val="24"/>
          <w:szCs w:val="24"/>
        </w:rPr>
        <w:t xml:space="preserve"> permettant d’éclairer le geste de Marrou. </w:t>
      </w:r>
    </w:p>
    <w:p w14:paraId="240A2DA0" w14:textId="2CF4CC61" w:rsidR="00FA13ED" w:rsidRDefault="00646679" w:rsidP="0063157C">
      <w:pPr>
        <w:spacing w:line="360" w:lineRule="auto"/>
        <w:jc w:val="both"/>
        <w:rPr>
          <w:rFonts w:ascii="Times New Roman" w:hAnsi="Times New Roman" w:cs="Times New Roman"/>
          <w:sz w:val="24"/>
          <w:szCs w:val="24"/>
        </w:rPr>
      </w:pPr>
      <w:r>
        <w:rPr>
          <w:rFonts w:ascii="Times New Roman" w:hAnsi="Times New Roman" w:cs="Times New Roman"/>
          <w:sz w:val="24"/>
          <w:szCs w:val="24"/>
        </w:rPr>
        <w:tab/>
        <w:t>Beaucoup d’autres citations permettraient d’étayer ce propos et de démontrer la proximité philosophique et conceptuelle de Marrou et de Collingwood.</w:t>
      </w:r>
      <w:r w:rsidR="008C6D23" w:rsidRPr="008C6D23">
        <w:rPr>
          <w:rFonts w:ascii="Times New Roman" w:hAnsi="Times New Roman" w:cs="Times New Roman"/>
          <w:sz w:val="24"/>
          <w:szCs w:val="24"/>
        </w:rPr>
        <w:t> </w:t>
      </w:r>
      <w:r w:rsidR="00CF7929">
        <w:rPr>
          <w:rFonts w:ascii="Times New Roman" w:hAnsi="Times New Roman" w:cs="Times New Roman"/>
          <w:sz w:val="24"/>
          <w:szCs w:val="24"/>
        </w:rPr>
        <w:t>Si cette proximité est démontrable, pourquoi Marrou tente-t-il de se distinguer à plusieurs reprises de Collingwood ? Pourquoi fait-i</w:t>
      </w:r>
      <w:r w:rsidR="000820A8">
        <w:rPr>
          <w:rFonts w:ascii="Times New Roman" w:hAnsi="Times New Roman" w:cs="Times New Roman"/>
          <w:sz w:val="24"/>
          <w:szCs w:val="24"/>
        </w:rPr>
        <w:t xml:space="preserve">l </w:t>
      </w:r>
      <w:r w:rsidR="00CF7929">
        <w:rPr>
          <w:rFonts w:ascii="Times New Roman" w:hAnsi="Times New Roman" w:cs="Times New Roman"/>
          <w:sz w:val="24"/>
          <w:szCs w:val="24"/>
        </w:rPr>
        <w:t>cette critique facile et malhonnête d’une citation de Collingwood, en écrivant : « </w:t>
      </w:r>
      <w:r w:rsidR="00CF7929" w:rsidRPr="00CF7929">
        <w:rPr>
          <w:rFonts w:ascii="Times New Roman" w:hAnsi="Times New Roman" w:cs="Times New Roman"/>
          <w:sz w:val="24"/>
          <w:szCs w:val="24"/>
        </w:rPr>
        <w:t xml:space="preserve">Résistons au goût si répandu du paradoxe : Collingwood par exemple s'est laissé emporter à dire : « N'importe quoi peut devenir un document pour n'importe quelle question », </w:t>
      </w:r>
      <w:r w:rsidR="00CF7929" w:rsidRPr="00CF7929">
        <w:rPr>
          <w:rFonts w:ascii="Times New Roman" w:hAnsi="Times New Roman" w:cs="Times New Roman"/>
          <w:i/>
          <w:iCs/>
          <w:sz w:val="24"/>
          <w:szCs w:val="24"/>
        </w:rPr>
        <w:t>everything in the world is potential evidence for any subject whatever</w:t>
      </w:r>
      <w:r w:rsidR="00CF7929">
        <w:rPr>
          <w:rFonts w:ascii="Times New Roman" w:hAnsi="Times New Roman" w:cs="Times New Roman"/>
          <w:sz w:val="24"/>
          <w:szCs w:val="24"/>
        </w:rPr>
        <w:t> »</w:t>
      </w:r>
      <w:r w:rsidR="00A4737E">
        <w:rPr>
          <w:rFonts w:ascii="Times New Roman" w:hAnsi="Times New Roman" w:cs="Times New Roman"/>
          <w:sz w:val="24"/>
          <w:szCs w:val="24"/>
        </w:rPr>
        <w:t xml:space="preserve"> (Marrou H.-I., 1959, p.76)</w:t>
      </w:r>
      <w:r w:rsidR="00CF7929">
        <w:rPr>
          <w:rFonts w:ascii="Times New Roman" w:hAnsi="Times New Roman" w:cs="Times New Roman"/>
          <w:sz w:val="24"/>
          <w:szCs w:val="24"/>
        </w:rPr>
        <w:t xml:space="preserve">. Une critique </w:t>
      </w:r>
      <w:r w:rsidR="00A804EC">
        <w:rPr>
          <w:rFonts w:ascii="Times New Roman" w:hAnsi="Times New Roman" w:cs="Times New Roman"/>
          <w:sz w:val="24"/>
          <w:szCs w:val="24"/>
        </w:rPr>
        <w:t>fondée sur une traduction approximative, car Collingwood écrit bien « </w:t>
      </w:r>
      <w:r w:rsidR="00A804EC" w:rsidRPr="00FE6216">
        <w:rPr>
          <w:rFonts w:ascii="Times New Roman" w:hAnsi="Times New Roman" w:cs="Times New Roman"/>
          <w:i/>
          <w:iCs/>
          <w:sz w:val="24"/>
          <w:szCs w:val="24"/>
        </w:rPr>
        <w:t>potential evidence</w:t>
      </w:r>
      <w:r w:rsidR="00A804EC">
        <w:rPr>
          <w:rFonts w:ascii="Times New Roman" w:hAnsi="Times New Roman" w:cs="Times New Roman"/>
          <w:sz w:val="24"/>
          <w:szCs w:val="24"/>
        </w:rPr>
        <w:t> », ce que Mar</w:t>
      </w:r>
      <w:r w:rsidR="0063419F">
        <w:rPr>
          <w:rFonts w:ascii="Times New Roman" w:hAnsi="Times New Roman" w:cs="Times New Roman"/>
          <w:sz w:val="24"/>
          <w:szCs w:val="24"/>
        </w:rPr>
        <w:t xml:space="preserve">rou ne traduit pas. D’autre part Marrou ajoute dans la ligne qui suit : « C’est vrai, à condition d’insister sur le coefficient potentiel </w:t>
      </w:r>
      <w:r w:rsidR="0063419F" w:rsidRPr="0063419F">
        <w:rPr>
          <w:rFonts w:ascii="Times New Roman" w:hAnsi="Times New Roman" w:cs="Times New Roman"/>
          <w:sz w:val="24"/>
          <w:szCs w:val="24"/>
        </w:rPr>
        <w:t xml:space="preserve">en droit il n'y a pas de limite imposée aux rapprochements possibles, mais, en fait, il n'est pas vrai que, pour un sujet déterminé, on puisse toujours trouver </w:t>
      </w:r>
      <w:r w:rsidR="00D63AE7" w:rsidRPr="00D63AE7">
        <w:t>“</w:t>
      </w:r>
      <w:r w:rsidR="0063419F" w:rsidRPr="0063419F">
        <w:rPr>
          <w:rFonts w:ascii="Times New Roman" w:hAnsi="Times New Roman" w:cs="Times New Roman"/>
          <w:sz w:val="24"/>
          <w:szCs w:val="24"/>
        </w:rPr>
        <w:t>quelque part</w:t>
      </w:r>
      <w:r w:rsidR="00311F0B" w:rsidRPr="00311F0B">
        <w:t>”</w:t>
      </w:r>
      <w:r w:rsidR="0063419F" w:rsidRPr="0063419F">
        <w:rPr>
          <w:rFonts w:ascii="Times New Roman" w:hAnsi="Times New Roman" w:cs="Times New Roman"/>
          <w:sz w:val="24"/>
          <w:szCs w:val="24"/>
        </w:rPr>
        <w:t xml:space="preserve"> un matériel documentaire suffisant, ni surtout que dans le matériel rassemblé tous les documents soient également pertinents. »</w:t>
      </w:r>
      <w:r w:rsidR="0063419F">
        <w:rPr>
          <w:rFonts w:ascii="Times New Roman" w:hAnsi="Times New Roman" w:cs="Times New Roman"/>
          <w:b/>
          <w:bCs/>
          <w:sz w:val="24"/>
          <w:szCs w:val="24"/>
        </w:rPr>
        <w:t xml:space="preserve"> </w:t>
      </w:r>
      <w:r w:rsidR="0063419F">
        <w:rPr>
          <w:rFonts w:ascii="Times New Roman" w:hAnsi="Times New Roman" w:cs="Times New Roman"/>
          <w:sz w:val="24"/>
          <w:szCs w:val="24"/>
        </w:rPr>
        <w:t xml:space="preserve">Ce qui revient à répéter exactement </w:t>
      </w:r>
      <w:r w:rsidR="005A4A64">
        <w:rPr>
          <w:rFonts w:ascii="Times New Roman" w:hAnsi="Times New Roman" w:cs="Times New Roman"/>
          <w:sz w:val="24"/>
          <w:szCs w:val="24"/>
        </w:rPr>
        <w:t>l’expression collingwoodienne</w:t>
      </w:r>
      <w:r w:rsidR="00BF3A19">
        <w:rPr>
          <w:rFonts w:ascii="Times New Roman" w:hAnsi="Times New Roman" w:cs="Times New Roman"/>
          <w:sz w:val="24"/>
          <w:szCs w:val="24"/>
        </w:rPr>
        <w:t xml:space="preserve"> </w:t>
      </w:r>
      <w:r w:rsidR="000C7BAA">
        <w:rPr>
          <w:rFonts w:ascii="Times New Roman" w:hAnsi="Times New Roman" w:cs="Times New Roman"/>
          <w:sz w:val="24"/>
          <w:szCs w:val="24"/>
        </w:rPr>
        <w:t>qui n’est nullement</w:t>
      </w:r>
      <w:r w:rsidR="00BF3A19">
        <w:rPr>
          <w:rFonts w:ascii="Times New Roman" w:hAnsi="Times New Roman" w:cs="Times New Roman"/>
          <w:sz w:val="24"/>
          <w:szCs w:val="24"/>
        </w:rPr>
        <w:t xml:space="preserve"> paradoxale. </w:t>
      </w:r>
    </w:p>
    <w:p w14:paraId="7C22EB07" w14:textId="65F2A5DC" w:rsidR="005A4A64" w:rsidRPr="00706F99" w:rsidRDefault="005A4A64" w:rsidP="0063157C">
      <w:pPr>
        <w:spacing w:line="360" w:lineRule="auto"/>
        <w:jc w:val="both"/>
        <w:rPr>
          <w:rFonts w:ascii="Times New Roman" w:hAnsi="Times New Roman" w:cs="Times New Roman"/>
          <w:sz w:val="24"/>
          <w:szCs w:val="24"/>
        </w:rPr>
      </w:pPr>
      <w:r>
        <w:rPr>
          <w:rFonts w:ascii="Times New Roman" w:hAnsi="Times New Roman" w:cs="Times New Roman"/>
          <w:sz w:val="24"/>
          <w:szCs w:val="24"/>
        </w:rPr>
        <w:tab/>
        <w:t>Notre hypothèse d’un tel désaveu de Collingwood est que Marrou</w:t>
      </w:r>
      <w:r w:rsidR="00DA5D98">
        <w:rPr>
          <w:rFonts w:ascii="Times New Roman" w:hAnsi="Times New Roman" w:cs="Times New Roman"/>
          <w:sz w:val="24"/>
          <w:szCs w:val="24"/>
        </w:rPr>
        <w:t>, tr</w:t>
      </w:r>
      <w:r w:rsidR="00315E00">
        <w:rPr>
          <w:rFonts w:ascii="Times New Roman" w:hAnsi="Times New Roman" w:cs="Times New Roman"/>
          <w:sz w:val="24"/>
          <w:szCs w:val="24"/>
        </w:rPr>
        <w:t xml:space="preserve">ibutaire de la préface de l’édition de 1946 de </w:t>
      </w:r>
      <w:r w:rsidR="00315E00">
        <w:rPr>
          <w:rFonts w:ascii="Times New Roman" w:hAnsi="Times New Roman" w:cs="Times New Roman"/>
          <w:i/>
          <w:iCs/>
          <w:sz w:val="24"/>
          <w:szCs w:val="24"/>
        </w:rPr>
        <w:t>The Idea of History</w:t>
      </w:r>
      <w:r w:rsidR="00320EC2">
        <w:rPr>
          <w:rFonts w:ascii="Times New Roman" w:hAnsi="Times New Roman" w:cs="Times New Roman"/>
          <w:sz w:val="24"/>
          <w:szCs w:val="24"/>
        </w:rPr>
        <w:t xml:space="preserve"> rédigée par T.</w:t>
      </w:r>
      <w:r w:rsidR="0091738B">
        <w:rPr>
          <w:rFonts w:ascii="Times New Roman" w:hAnsi="Times New Roman" w:cs="Times New Roman"/>
          <w:sz w:val="24"/>
          <w:szCs w:val="24"/>
        </w:rPr>
        <w:t>M</w:t>
      </w:r>
      <w:r w:rsidR="00320EC2">
        <w:rPr>
          <w:rFonts w:ascii="Times New Roman" w:hAnsi="Times New Roman" w:cs="Times New Roman"/>
          <w:sz w:val="24"/>
          <w:szCs w:val="24"/>
        </w:rPr>
        <w:t>. Knox</w:t>
      </w:r>
      <w:r w:rsidR="00F7291B">
        <w:rPr>
          <w:rFonts w:ascii="Times New Roman" w:hAnsi="Times New Roman" w:cs="Times New Roman"/>
          <w:sz w:val="24"/>
          <w:szCs w:val="24"/>
        </w:rPr>
        <w:t xml:space="preserve">, ne peut se ranger aux côtés de celui qui est malheureusement qualifié d’historiciste, de relativiste </w:t>
      </w:r>
      <w:r w:rsidR="00F7291B" w:rsidRPr="00706F99">
        <w:rPr>
          <w:rFonts w:ascii="Times New Roman" w:hAnsi="Times New Roman" w:cs="Times New Roman"/>
          <w:sz w:val="24"/>
          <w:szCs w:val="24"/>
        </w:rPr>
        <w:t>radical</w:t>
      </w:r>
      <w:r w:rsidR="000325D2" w:rsidRPr="00706F99">
        <w:rPr>
          <w:rStyle w:val="Appelnotedebasdep"/>
          <w:rFonts w:ascii="Times New Roman" w:hAnsi="Times New Roman" w:cs="Times New Roman"/>
          <w:sz w:val="24"/>
          <w:szCs w:val="24"/>
        </w:rPr>
        <w:footnoteReference w:id="10"/>
      </w:r>
      <w:r w:rsidR="00FE6216">
        <w:rPr>
          <w:rFonts w:ascii="Times New Roman" w:hAnsi="Times New Roman" w:cs="Times New Roman"/>
          <w:sz w:val="24"/>
          <w:szCs w:val="24"/>
        </w:rPr>
        <w:t>.</w:t>
      </w:r>
      <w:r w:rsidR="00B40035">
        <w:rPr>
          <w:rFonts w:ascii="Times New Roman" w:hAnsi="Times New Roman" w:cs="Times New Roman"/>
          <w:sz w:val="24"/>
          <w:szCs w:val="24"/>
        </w:rPr>
        <w:t xml:space="preserve"> Marrou veut se tenir à distance d’une telle radicalité historique, qu’il rattache à l’idéalisme de Collingwood, bien que l’idéalisme pour Marrou semble rimer avec une philosophie de l’histoire donnant une finalité à l’histoire</w:t>
      </w:r>
      <w:r w:rsidR="00C54C0E">
        <w:rPr>
          <w:rFonts w:ascii="Times New Roman" w:hAnsi="Times New Roman" w:cs="Times New Roman"/>
          <w:sz w:val="24"/>
          <w:szCs w:val="24"/>
        </w:rPr>
        <w:t xml:space="preserve">, ce que Collingwood refuse de faire et </w:t>
      </w:r>
      <w:r w:rsidR="00FE6216">
        <w:rPr>
          <w:rFonts w:ascii="Times New Roman" w:hAnsi="Times New Roman" w:cs="Times New Roman"/>
          <w:sz w:val="24"/>
          <w:szCs w:val="24"/>
        </w:rPr>
        <w:t xml:space="preserve">qu’il </w:t>
      </w:r>
      <w:r w:rsidR="00C54C0E">
        <w:rPr>
          <w:rFonts w:ascii="Times New Roman" w:hAnsi="Times New Roman" w:cs="Times New Roman"/>
          <w:sz w:val="24"/>
          <w:szCs w:val="24"/>
        </w:rPr>
        <w:t>critique à plusieurs reprises</w:t>
      </w:r>
      <w:r w:rsidR="00A4737E">
        <w:rPr>
          <w:rFonts w:ascii="Times New Roman" w:hAnsi="Times New Roman" w:cs="Times New Roman"/>
          <w:sz w:val="24"/>
          <w:szCs w:val="24"/>
        </w:rPr>
        <w:t xml:space="preserve"> (Collingwood R.G., 1946, p.116-117)</w:t>
      </w:r>
      <w:r w:rsidR="00B40035">
        <w:rPr>
          <w:rFonts w:ascii="Times New Roman" w:hAnsi="Times New Roman" w:cs="Times New Roman"/>
          <w:sz w:val="24"/>
          <w:szCs w:val="24"/>
        </w:rPr>
        <w:t xml:space="preserve">. Il est donc intéressant de voir que </w:t>
      </w:r>
      <w:r w:rsidR="00B20EC6">
        <w:rPr>
          <w:rFonts w:ascii="Times New Roman" w:hAnsi="Times New Roman" w:cs="Times New Roman"/>
          <w:sz w:val="24"/>
          <w:szCs w:val="24"/>
        </w:rPr>
        <w:t>Marrou, n’ayant sûrement que peu lu Collingwood</w:t>
      </w:r>
      <w:r w:rsidR="00496775">
        <w:rPr>
          <w:rFonts w:ascii="Times New Roman" w:hAnsi="Times New Roman" w:cs="Times New Roman"/>
          <w:sz w:val="24"/>
          <w:szCs w:val="24"/>
        </w:rPr>
        <w:t xml:space="preserve"> demeure lié aux interprétations disponibles à cette époque. </w:t>
      </w:r>
      <w:r w:rsidR="00D652D7">
        <w:rPr>
          <w:rFonts w:ascii="Times New Roman" w:hAnsi="Times New Roman" w:cs="Times New Roman"/>
          <w:sz w:val="24"/>
          <w:szCs w:val="24"/>
        </w:rPr>
        <w:t xml:space="preserve">Les années de réinterprétation et l’heureuse découverte en 1995 du manuscrit collingwoodien des </w:t>
      </w:r>
      <w:r w:rsidR="00D652D7">
        <w:rPr>
          <w:rFonts w:ascii="Times New Roman" w:hAnsi="Times New Roman" w:cs="Times New Roman"/>
          <w:i/>
          <w:iCs/>
          <w:sz w:val="24"/>
          <w:szCs w:val="24"/>
        </w:rPr>
        <w:t>Principles of History</w:t>
      </w:r>
      <w:r w:rsidR="00D652D7">
        <w:rPr>
          <w:rFonts w:ascii="Times New Roman" w:hAnsi="Times New Roman" w:cs="Times New Roman"/>
          <w:sz w:val="24"/>
          <w:szCs w:val="24"/>
        </w:rPr>
        <w:t xml:space="preserve"> aurait pu faire changer d’avis Marrou</w:t>
      </w:r>
      <w:r w:rsidR="005D25DE">
        <w:rPr>
          <w:rFonts w:ascii="Times New Roman" w:hAnsi="Times New Roman" w:cs="Times New Roman"/>
          <w:sz w:val="24"/>
          <w:szCs w:val="24"/>
        </w:rPr>
        <w:t xml:space="preserve"> tant il ne semble y avoir aucune opposition fondamentale entre sa conception de la connaissance historique et celle de Collingwood. </w:t>
      </w:r>
      <w:r w:rsidR="00706F99">
        <w:rPr>
          <w:rFonts w:ascii="Times New Roman" w:hAnsi="Times New Roman" w:cs="Times New Roman"/>
          <w:sz w:val="24"/>
          <w:szCs w:val="24"/>
        </w:rPr>
        <w:t xml:space="preserve">En effet, les morceaux extraits de ce manuscrit par Knox pour former le livre posthume </w:t>
      </w:r>
      <w:r w:rsidR="00706F99">
        <w:rPr>
          <w:rFonts w:ascii="Times New Roman" w:hAnsi="Times New Roman" w:cs="Times New Roman"/>
          <w:i/>
          <w:iCs/>
          <w:sz w:val="24"/>
          <w:szCs w:val="24"/>
        </w:rPr>
        <w:t>The Idea of History</w:t>
      </w:r>
      <w:r w:rsidR="00144291">
        <w:rPr>
          <w:rFonts w:ascii="Times New Roman" w:hAnsi="Times New Roman" w:cs="Times New Roman"/>
          <w:sz w:val="24"/>
          <w:szCs w:val="24"/>
        </w:rPr>
        <w:t xml:space="preserve"> </w:t>
      </w:r>
      <w:r w:rsidR="00706F99">
        <w:rPr>
          <w:rFonts w:ascii="Times New Roman" w:hAnsi="Times New Roman" w:cs="Times New Roman"/>
          <w:sz w:val="24"/>
          <w:szCs w:val="24"/>
        </w:rPr>
        <w:t xml:space="preserve">ne rendaient pas compte du plan général de l’ouvrage de Collingwood, et le texte des </w:t>
      </w:r>
      <w:r w:rsidR="00706F99">
        <w:rPr>
          <w:rFonts w:ascii="Times New Roman" w:hAnsi="Times New Roman" w:cs="Times New Roman"/>
          <w:i/>
          <w:iCs/>
          <w:sz w:val="24"/>
          <w:szCs w:val="24"/>
        </w:rPr>
        <w:t>Principles of History</w:t>
      </w:r>
      <w:r w:rsidR="00706F99">
        <w:rPr>
          <w:rFonts w:ascii="Times New Roman" w:hAnsi="Times New Roman" w:cs="Times New Roman"/>
          <w:sz w:val="24"/>
          <w:szCs w:val="24"/>
        </w:rPr>
        <w:t xml:space="preserve"> offre de nouvelles perspectives collingwoodiennes, notamment sur sa conception des preuves pour l’historien et sa vision de l’étude du passé qui semble échapper définitivement à la catégorisation d’idéaliste. </w:t>
      </w:r>
    </w:p>
    <w:p w14:paraId="38B007EF" w14:textId="77777777" w:rsidR="005D25DE" w:rsidRDefault="005D25DE" w:rsidP="0063157C">
      <w:pPr>
        <w:spacing w:line="360" w:lineRule="auto"/>
        <w:jc w:val="both"/>
        <w:rPr>
          <w:rFonts w:ascii="Times New Roman" w:hAnsi="Times New Roman" w:cs="Times New Roman"/>
          <w:sz w:val="24"/>
          <w:szCs w:val="24"/>
        </w:rPr>
      </w:pPr>
    </w:p>
    <w:p w14:paraId="38D10B99" w14:textId="3458DB94" w:rsidR="004C7115" w:rsidRPr="000B7C13" w:rsidRDefault="004C7115" w:rsidP="000B7C13">
      <w:pPr>
        <w:pStyle w:val="Paragraphedeliste"/>
        <w:numPr>
          <w:ilvl w:val="0"/>
          <w:numId w:val="9"/>
        </w:numPr>
        <w:spacing w:line="360" w:lineRule="auto"/>
        <w:jc w:val="both"/>
        <w:rPr>
          <w:rFonts w:ascii="Times New Roman" w:hAnsi="Times New Roman" w:cs="Times New Roman"/>
          <w:i/>
          <w:iCs/>
          <w:sz w:val="24"/>
          <w:szCs w:val="24"/>
        </w:rPr>
      </w:pPr>
      <w:r w:rsidRPr="000B7C13">
        <w:rPr>
          <w:rFonts w:ascii="Times New Roman" w:hAnsi="Times New Roman" w:cs="Times New Roman"/>
          <w:i/>
          <w:iCs/>
          <w:sz w:val="24"/>
          <w:szCs w:val="24"/>
        </w:rPr>
        <w:t>Paul Ricoeur</w:t>
      </w:r>
      <w:r w:rsidR="00320EE9" w:rsidRPr="000B7C13">
        <w:rPr>
          <w:rFonts w:ascii="Times New Roman" w:hAnsi="Times New Roman" w:cs="Times New Roman"/>
          <w:i/>
          <w:iCs/>
          <w:sz w:val="24"/>
          <w:szCs w:val="24"/>
        </w:rPr>
        <w:t> : Collingwood et l’épistémologie du même</w:t>
      </w:r>
    </w:p>
    <w:p w14:paraId="4C1D5574" w14:textId="77777777" w:rsidR="0031738E" w:rsidRPr="004C7115" w:rsidRDefault="0031738E" w:rsidP="0063157C">
      <w:pPr>
        <w:spacing w:line="360" w:lineRule="auto"/>
        <w:jc w:val="both"/>
        <w:rPr>
          <w:rFonts w:ascii="Times New Roman" w:hAnsi="Times New Roman" w:cs="Times New Roman"/>
          <w:b/>
          <w:bCs/>
          <w:sz w:val="24"/>
          <w:szCs w:val="24"/>
        </w:rPr>
      </w:pPr>
    </w:p>
    <w:p w14:paraId="4593D706" w14:textId="69E445E0" w:rsidR="00B85497" w:rsidRDefault="00692445" w:rsidP="0063157C">
      <w:pPr>
        <w:spacing w:line="360" w:lineRule="auto"/>
        <w:jc w:val="both"/>
        <w:rPr>
          <w:rStyle w:val="Titre3Car"/>
          <w:rFonts w:ascii="Times New Roman" w:hAnsi="Times New Roman" w:cs="Times New Roman"/>
          <w:sz w:val="24"/>
          <w:szCs w:val="24"/>
        </w:rPr>
      </w:pPr>
      <w:r>
        <w:rPr>
          <w:rFonts w:ascii="Times New Roman" w:hAnsi="Times New Roman" w:cs="Times New Roman"/>
          <w:sz w:val="24"/>
          <w:szCs w:val="24"/>
        </w:rPr>
        <w:tab/>
        <w:t xml:space="preserve">Que Collingwood incarne le </w:t>
      </w:r>
      <w:r w:rsidR="0031738E">
        <w:rPr>
          <w:rFonts w:ascii="Times New Roman" w:hAnsi="Times New Roman" w:cs="Times New Roman"/>
          <w:sz w:val="24"/>
          <w:szCs w:val="24"/>
        </w:rPr>
        <w:t>« </w:t>
      </w:r>
      <w:r>
        <w:rPr>
          <w:rFonts w:ascii="Times New Roman" w:hAnsi="Times New Roman" w:cs="Times New Roman"/>
          <w:sz w:val="24"/>
          <w:szCs w:val="24"/>
        </w:rPr>
        <w:t>dangereux fantôme de l’idéalisme</w:t>
      </w:r>
      <w:r w:rsidR="0031738E">
        <w:rPr>
          <w:rFonts w:ascii="Times New Roman" w:hAnsi="Times New Roman" w:cs="Times New Roman"/>
          <w:sz w:val="24"/>
          <w:szCs w:val="24"/>
        </w:rPr>
        <w:t> »</w:t>
      </w:r>
      <w:r w:rsidR="001A6525">
        <w:rPr>
          <w:rFonts w:ascii="Times New Roman" w:hAnsi="Times New Roman" w:cs="Times New Roman"/>
          <w:sz w:val="24"/>
          <w:szCs w:val="24"/>
        </w:rPr>
        <w:t>, voilà une pensée qu’un ami et fervent lecteur de Marrou est enclin à partager</w:t>
      </w:r>
      <w:r w:rsidR="00AB35EF">
        <w:rPr>
          <w:rStyle w:val="Appelnotedebasdep"/>
          <w:rFonts w:ascii="Times New Roman" w:hAnsi="Times New Roman" w:cs="Times New Roman"/>
          <w:sz w:val="24"/>
          <w:szCs w:val="24"/>
        </w:rPr>
        <w:footnoteReference w:id="11"/>
      </w:r>
      <w:r w:rsidR="00B81062">
        <w:rPr>
          <w:rFonts w:ascii="Times New Roman" w:hAnsi="Times New Roman" w:cs="Times New Roman"/>
          <w:sz w:val="24"/>
          <w:szCs w:val="24"/>
        </w:rPr>
        <w:t xml:space="preserve">. </w:t>
      </w:r>
      <w:r w:rsidR="0000739C">
        <w:rPr>
          <w:rFonts w:ascii="Times New Roman" w:hAnsi="Times New Roman" w:cs="Times New Roman"/>
          <w:sz w:val="24"/>
          <w:szCs w:val="24"/>
        </w:rPr>
        <w:t xml:space="preserve">Paul Ricoeur </w:t>
      </w:r>
      <w:r w:rsidR="00784858">
        <w:rPr>
          <w:rFonts w:ascii="Times New Roman" w:hAnsi="Times New Roman" w:cs="Times New Roman"/>
          <w:sz w:val="24"/>
          <w:szCs w:val="24"/>
        </w:rPr>
        <w:t xml:space="preserve">souligne en 1983, dans le tome I de </w:t>
      </w:r>
      <w:r w:rsidR="00784858">
        <w:rPr>
          <w:rFonts w:ascii="Times New Roman" w:hAnsi="Times New Roman" w:cs="Times New Roman"/>
          <w:i/>
          <w:iCs/>
          <w:sz w:val="24"/>
          <w:szCs w:val="24"/>
        </w:rPr>
        <w:t>Temps et Récit</w:t>
      </w:r>
      <w:r w:rsidR="00784858">
        <w:rPr>
          <w:rFonts w:ascii="Times New Roman" w:hAnsi="Times New Roman" w:cs="Times New Roman"/>
          <w:sz w:val="24"/>
          <w:szCs w:val="24"/>
        </w:rPr>
        <w:t xml:space="preserve"> </w:t>
      </w:r>
      <w:r w:rsidR="00786270">
        <w:rPr>
          <w:rFonts w:ascii="Times New Roman" w:hAnsi="Times New Roman" w:cs="Times New Roman"/>
          <w:sz w:val="24"/>
          <w:szCs w:val="24"/>
        </w:rPr>
        <w:t>que Marrou refuse</w:t>
      </w:r>
      <w:r w:rsidR="00784858">
        <w:rPr>
          <w:rFonts w:ascii="Times New Roman" w:hAnsi="Times New Roman" w:cs="Times New Roman"/>
          <w:sz w:val="24"/>
          <w:szCs w:val="24"/>
        </w:rPr>
        <w:t xml:space="preserve"> cette fameuse </w:t>
      </w:r>
      <w:r w:rsidR="00387D73">
        <w:rPr>
          <w:rFonts w:ascii="Times New Roman" w:hAnsi="Times New Roman" w:cs="Times New Roman"/>
          <w:sz w:val="24"/>
          <w:szCs w:val="24"/>
        </w:rPr>
        <w:t>« tâche impossible de ré-actualiser</w:t>
      </w:r>
      <w:r w:rsidR="00784858">
        <w:rPr>
          <w:rFonts w:ascii="Times New Roman" w:hAnsi="Times New Roman" w:cs="Times New Roman"/>
          <w:sz w:val="24"/>
          <w:szCs w:val="24"/>
        </w:rPr>
        <w:t xml:space="preserve"> </w:t>
      </w:r>
      <w:r w:rsidR="00387D73">
        <w:rPr>
          <w:rFonts w:ascii="Times New Roman" w:hAnsi="Times New Roman" w:cs="Times New Roman"/>
          <w:sz w:val="24"/>
          <w:szCs w:val="24"/>
        </w:rPr>
        <w:t>le</w:t>
      </w:r>
      <w:r w:rsidR="00784858">
        <w:rPr>
          <w:rFonts w:ascii="Times New Roman" w:hAnsi="Times New Roman" w:cs="Times New Roman"/>
          <w:sz w:val="24"/>
          <w:szCs w:val="24"/>
        </w:rPr>
        <w:t xml:space="preserve"> passé</w:t>
      </w:r>
      <w:r w:rsidR="00387D73">
        <w:rPr>
          <w:rFonts w:ascii="Times New Roman" w:hAnsi="Times New Roman" w:cs="Times New Roman"/>
          <w:sz w:val="24"/>
          <w:szCs w:val="24"/>
        </w:rPr>
        <w:t> »</w:t>
      </w:r>
      <w:r w:rsidR="00144291">
        <w:rPr>
          <w:rFonts w:ascii="Times New Roman" w:hAnsi="Times New Roman" w:cs="Times New Roman"/>
          <w:sz w:val="24"/>
          <w:szCs w:val="24"/>
        </w:rPr>
        <w:t xml:space="preserve"> (Ricoeur P., 1991, p.177)</w:t>
      </w:r>
      <w:r w:rsidR="005A5AAB">
        <w:rPr>
          <w:rFonts w:ascii="Times New Roman" w:hAnsi="Times New Roman" w:cs="Times New Roman"/>
          <w:sz w:val="24"/>
          <w:szCs w:val="24"/>
        </w:rPr>
        <w:t xml:space="preserve">. Cependant, Ricoeur </w:t>
      </w:r>
      <w:r w:rsidR="003E4F94">
        <w:rPr>
          <w:rFonts w:ascii="Times New Roman" w:hAnsi="Times New Roman" w:cs="Times New Roman"/>
          <w:sz w:val="24"/>
          <w:szCs w:val="24"/>
        </w:rPr>
        <w:t xml:space="preserve">ajoute en note de bas de page : « Ici, Marrou s’éloigne d’un des penseurs qu’il admire le plus, Collingwood. </w:t>
      </w:r>
      <w:r w:rsidR="003E326D">
        <w:rPr>
          <w:rFonts w:ascii="Times New Roman" w:hAnsi="Times New Roman" w:cs="Times New Roman"/>
          <w:sz w:val="24"/>
          <w:szCs w:val="24"/>
        </w:rPr>
        <w:t>Mais peut-être une relecture de Collingwood le rendrait-il plus proche de la thèse défendue. »</w:t>
      </w:r>
      <w:r w:rsidR="008366D7">
        <w:rPr>
          <w:rFonts w:ascii="Times New Roman" w:hAnsi="Times New Roman" w:cs="Times New Roman"/>
          <w:sz w:val="24"/>
          <w:szCs w:val="24"/>
        </w:rPr>
        <w:t xml:space="preserve"> </w:t>
      </w:r>
      <w:r w:rsidR="00B85497">
        <w:rPr>
          <w:rFonts w:ascii="Times New Roman" w:hAnsi="Times New Roman" w:cs="Times New Roman"/>
          <w:sz w:val="24"/>
          <w:szCs w:val="24"/>
        </w:rPr>
        <w:t>Mais</w:t>
      </w:r>
      <w:r w:rsidR="006445D7">
        <w:rPr>
          <w:rFonts w:ascii="Times New Roman" w:hAnsi="Times New Roman" w:cs="Times New Roman"/>
          <w:sz w:val="24"/>
          <w:szCs w:val="24"/>
        </w:rPr>
        <w:t xml:space="preserve"> Ricoeur</w:t>
      </w:r>
      <w:r w:rsidR="00B85497">
        <w:rPr>
          <w:rFonts w:ascii="Times New Roman" w:hAnsi="Times New Roman" w:cs="Times New Roman"/>
          <w:sz w:val="24"/>
          <w:szCs w:val="24"/>
        </w:rPr>
        <w:t xml:space="preserve"> a-t-il </w:t>
      </w:r>
      <w:r w:rsidR="006445D7">
        <w:rPr>
          <w:rFonts w:ascii="Times New Roman" w:hAnsi="Times New Roman" w:cs="Times New Roman"/>
          <w:sz w:val="24"/>
          <w:szCs w:val="24"/>
        </w:rPr>
        <w:t>relu</w:t>
      </w:r>
      <w:r w:rsidR="00CD4B8A">
        <w:rPr>
          <w:rFonts w:ascii="Times New Roman" w:hAnsi="Times New Roman" w:cs="Times New Roman"/>
          <w:sz w:val="24"/>
          <w:szCs w:val="24"/>
        </w:rPr>
        <w:t>, lui-même,</w:t>
      </w:r>
      <w:r w:rsidR="006445D7">
        <w:rPr>
          <w:rFonts w:ascii="Times New Roman" w:hAnsi="Times New Roman" w:cs="Times New Roman"/>
          <w:sz w:val="24"/>
          <w:szCs w:val="24"/>
        </w:rPr>
        <w:t xml:space="preserve"> </w:t>
      </w:r>
      <w:r w:rsidR="000C7CE1">
        <w:rPr>
          <w:rFonts w:ascii="Times New Roman" w:hAnsi="Times New Roman" w:cs="Times New Roman"/>
          <w:sz w:val="24"/>
          <w:szCs w:val="24"/>
        </w:rPr>
        <w:t>avec davantage d’assiduité les ouvrages de Collingwood</w:t>
      </w:r>
      <w:r w:rsidR="00A7091E">
        <w:rPr>
          <w:rFonts w:ascii="Times New Roman" w:hAnsi="Times New Roman" w:cs="Times New Roman"/>
          <w:sz w:val="24"/>
          <w:szCs w:val="24"/>
        </w:rPr>
        <w:t xml:space="preserve"> ? En effet, l’aboutissement de la réflexion ricoeurienne sur Collingwood dans le tome III de </w:t>
      </w:r>
      <w:r w:rsidR="00A7091E">
        <w:rPr>
          <w:rFonts w:ascii="Times New Roman" w:hAnsi="Times New Roman" w:cs="Times New Roman"/>
          <w:i/>
          <w:iCs/>
          <w:sz w:val="24"/>
          <w:szCs w:val="24"/>
        </w:rPr>
        <w:t>Temps et Récit</w:t>
      </w:r>
      <w:r w:rsidR="00B9767A">
        <w:rPr>
          <w:rFonts w:ascii="Times New Roman" w:hAnsi="Times New Roman" w:cs="Times New Roman"/>
          <w:sz w:val="24"/>
          <w:szCs w:val="24"/>
        </w:rPr>
        <w:t xml:space="preserve"> apparaît très critique à l’égard de ce dernier</w:t>
      </w:r>
      <w:r w:rsidR="00CD4B8A">
        <w:rPr>
          <w:rFonts w:ascii="Times New Roman" w:hAnsi="Times New Roman" w:cs="Times New Roman"/>
          <w:sz w:val="24"/>
          <w:szCs w:val="24"/>
        </w:rPr>
        <w:t>, et surtout assez superficielle</w:t>
      </w:r>
      <w:r w:rsidR="00B9767A">
        <w:rPr>
          <w:rFonts w:ascii="Times New Roman" w:hAnsi="Times New Roman" w:cs="Times New Roman"/>
          <w:sz w:val="24"/>
          <w:szCs w:val="24"/>
        </w:rPr>
        <w:t xml:space="preserve"> : « Toute l’entreprise de Collingwood se brise sur l’impossibilité de passer de la pensée du passé comme </w:t>
      </w:r>
      <w:r w:rsidR="00B9767A">
        <w:rPr>
          <w:rFonts w:ascii="Times New Roman" w:hAnsi="Times New Roman" w:cs="Times New Roman"/>
          <w:i/>
          <w:iCs/>
          <w:sz w:val="24"/>
          <w:szCs w:val="24"/>
        </w:rPr>
        <w:t>mien</w:t>
      </w:r>
      <w:r w:rsidR="00B9767A">
        <w:rPr>
          <w:rFonts w:ascii="Times New Roman" w:hAnsi="Times New Roman" w:cs="Times New Roman"/>
          <w:sz w:val="24"/>
          <w:szCs w:val="24"/>
        </w:rPr>
        <w:t xml:space="preserve"> à la pensée du passé comme </w:t>
      </w:r>
      <w:r w:rsidR="00B9767A">
        <w:rPr>
          <w:rFonts w:ascii="Times New Roman" w:hAnsi="Times New Roman" w:cs="Times New Roman"/>
          <w:i/>
          <w:iCs/>
          <w:sz w:val="24"/>
          <w:szCs w:val="24"/>
        </w:rPr>
        <w:t>autre</w:t>
      </w:r>
      <w:r w:rsidR="00B9767A">
        <w:rPr>
          <w:rFonts w:ascii="Times New Roman" w:hAnsi="Times New Roman" w:cs="Times New Roman"/>
          <w:sz w:val="24"/>
          <w:szCs w:val="24"/>
        </w:rPr>
        <w:t>.</w:t>
      </w:r>
      <w:r w:rsidR="00144291">
        <w:rPr>
          <w:rFonts w:ascii="Times New Roman" w:hAnsi="Times New Roman" w:cs="Times New Roman"/>
          <w:sz w:val="24"/>
          <w:szCs w:val="24"/>
        </w:rPr>
        <w:t> » (Ricoeur P. 1983, p.263)</w:t>
      </w:r>
    </w:p>
    <w:p w14:paraId="7778BA9D" w14:textId="373B83D1" w:rsidR="00223DFD" w:rsidRDefault="002B1734" w:rsidP="0063157C">
      <w:pPr>
        <w:spacing w:line="360" w:lineRule="auto"/>
        <w:jc w:val="both"/>
        <w:rPr>
          <w:rFonts w:ascii="Times New Roman" w:eastAsiaTheme="majorEastAsia" w:hAnsi="Times New Roman" w:cs="Times New Roman"/>
          <w:sz w:val="24"/>
          <w:szCs w:val="24"/>
        </w:rPr>
      </w:pPr>
      <w:r>
        <w:rPr>
          <w:rStyle w:val="Titre3Car"/>
          <w:rFonts w:ascii="Times New Roman" w:hAnsi="Times New Roman" w:cs="Times New Roman"/>
          <w:sz w:val="24"/>
          <w:szCs w:val="24"/>
        </w:rPr>
        <w:tab/>
      </w:r>
      <w:r w:rsidR="00AB6C99" w:rsidRPr="00D07110">
        <w:rPr>
          <w:rFonts w:ascii="Times New Roman" w:eastAsiaTheme="majorEastAsia" w:hAnsi="Times New Roman" w:cs="Times New Roman"/>
          <w:sz w:val="24"/>
          <w:szCs w:val="24"/>
        </w:rPr>
        <w:t xml:space="preserve">Pour mieux comprendre cela, </w:t>
      </w:r>
      <w:r w:rsidR="00387D73">
        <w:rPr>
          <w:rFonts w:ascii="Times New Roman" w:eastAsiaTheme="majorEastAsia" w:hAnsi="Times New Roman" w:cs="Times New Roman"/>
          <w:sz w:val="24"/>
          <w:szCs w:val="24"/>
        </w:rPr>
        <w:t>il faut s’intéresser</w:t>
      </w:r>
      <w:r w:rsidR="00AB6C99" w:rsidRPr="00D07110">
        <w:rPr>
          <w:rFonts w:ascii="Times New Roman" w:eastAsiaTheme="majorEastAsia" w:hAnsi="Times New Roman" w:cs="Times New Roman"/>
          <w:sz w:val="24"/>
          <w:szCs w:val="24"/>
        </w:rPr>
        <w:t xml:space="preserve"> à ce que Ricoeur, qui écrit quasiment trente ans après Marrou, pouvait connaître de Collingwood. On sait que Ricoeur est un grand lecteur, et un lecteur attentif. </w:t>
      </w:r>
      <w:r w:rsidR="000624C3">
        <w:rPr>
          <w:rFonts w:ascii="Times New Roman" w:eastAsiaTheme="majorEastAsia" w:hAnsi="Times New Roman" w:cs="Times New Roman"/>
          <w:sz w:val="24"/>
          <w:szCs w:val="24"/>
        </w:rPr>
        <w:t xml:space="preserve">On peut trouver </w:t>
      </w:r>
      <w:r w:rsidR="00FE6216">
        <w:rPr>
          <w:rFonts w:ascii="Times New Roman" w:eastAsiaTheme="majorEastAsia" w:hAnsi="Times New Roman" w:cs="Times New Roman"/>
          <w:sz w:val="24"/>
          <w:szCs w:val="24"/>
        </w:rPr>
        <w:t>dans ses archives</w:t>
      </w:r>
      <w:r w:rsidR="00AB6C99" w:rsidRPr="00D07110">
        <w:rPr>
          <w:rFonts w:ascii="Times New Roman" w:eastAsiaTheme="majorEastAsia" w:hAnsi="Times New Roman" w:cs="Times New Roman"/>
          <w:sz w:val="24"/>
          <w:szCs w:val="24"/>
        </w:rPr>
        <w:t xml:space="preserve"> à l’Institut Protestant de Théologie (Paris</w:t>
      </w:r>
      <w:r w:rsidR="00387D73">
        <w:rPr>
          <w:rFonts w:ascii="Times New Roman" w:eastAsiaTheme="majorEastAsia" w:hAnsi="Times New Roman" w:cs="Times New Roman"/>
          <w:sz w:val="24"/>
          <w:szCs w:val="24"/>
        </w:rPr>
        <w:t>) ses notes de lecture</w:t>
      </w:r>
      <w:r w:rsidR="006F2F39">
        <w:rPr>
          <w:rFonts w:ascii="Times New Roman" w:eastAsiaTheme="majorEastAsia" w:hAnsi="Times New Roman" w:cs="Times New Roman"/>
          <w:sz w:val="24"/>
          <w:szCs w:val="24"/>
        </w:rPr>
        <w:t xml:space="preserve">. </w:t>
      </w:r>
      <w:r w:rsidR="00517346">
        <w:rPr>
          <w:rFonts w:ascii="Times New Roman" w:eastAsiaTheme="majorEastAsia" w:hAnsi="Times New Roman" w:cs="Times New Roman"/>
          <w:sz w:val="24"/>
          <w:szCs w:val="24"/>
        </w:rPr>
        <w:t>Dans un dossier consacré à la philosophie de l’histoire</w:t>
      </w:r>
      <w:r w:rsidR="00257819">
        <w:rPr>
          <w:rFonts w:ascii="Times New Roman" w:eastAsiaTheme="majorEastAsia" w:hAnsi="Times New Roman" w:cs="Times New Roman"/>
          <w:sz w:val="24"/>
          <w:szCs w:val="24"/>
        </w:rPr>
        <w:t xml:space="preserve">, </w:t>
      </w:r>
      <w:r w:rsidR="00FE6216">
        <w:rPr>
          <w:rFonts w:ascii="Times New Roman" w:eastAsiaTheme="majorEastAsia" w:hAnsi="Times New Roman" w:cs="Times New Roman"/>
          <w:sz w:val="24"/>
          <w:szCs w:val="24"/>
        </w:rPr>
        <w:t>il y a des notes</w:t>
      </w:r>
      <w:r w:rsidR="00257819">
        <w:rPr>
          <w:rFonts w:ascii="Times New Roman" w:eastAsiaTheme="majorEastAsia" w:hAnsi="Times New Roman" w:cs="Times New Roman"/>
          <w:sz w:val="24"/>
          <w:szCs w:val="24"/>
        </w:rPr>
        <w:t xml:space="preserve"> sur</w:t>
      </w:r>
      <w:r w:rsidR="00AB6C99" w:rsidRPr="00D07110">
        <w:rPr>
          <w:rFonts w:ascii="Times New Roman" w:eastAsiaTheme="majorEastAsia" w:hAnsi="Times New Roman" w:cs="Times New Roman"/>
          <w:sz w:val="24"/>
          <w:szCs w:val="24"/>
        </w:rPr>
        <w:t xml:space="preserve"> de nombreux auteurs qui ont été </w:t>
      </w:r>
      <w:r w:rsidR="00387D73">
        <w:rPr>
          <w:rFonts w:ascii="Times New Roman" w:eastAsiaTheme="majorEastAsia" w:hAnsi="Times New Roman" w:cs="Times New Roman"/>
          <w:sz w:val="24"/>
          <w:szCs w:val="24"/>
        </w:rPr>
        <w:t xml:space="preserve">eux-mêmes </w:t>
      </w:r>
      <w:r w:rsidR="00AB6C99" w:rsidRPr="00D07110">
        <w:rPr>
          <w:rFonts w:ascii="Times New Roman" w:eastAsiaTheme="majorEastAsia" w:hAnsi="Times New Roman" w:cs="Times New Roman"/>
          <w:sz w:val="24"/>
          <w:szCs w:val="24"/>
        </w:rPr>
        <w:t>des lecteurs de Collingwood : notamment Stephen Toulmin, Louis Mink, Hayden White, William Dray</w:t>
      </w:r>
      <w:r w:rsidR="00F81F87">
        <w:rPr>
          <w:rStyle w:val="Appelnotedebasdep"/>
          <w:rFonts w:ascii="Times New Roman" w:eastAsiaTheme="majorEastAsia" w:hAnsi="Times New Roman" w:cs="Times New Roman"/>
          <w:sz w:val="24"/>
          <w:szCs w:val="24"/>
        </w:rPr>
        <w:footnoteReference w:id="12"/>
      </w:r>
      <w:r w:rsidR="00AB6C99" w:rsidRPr="00D07110">
        <w:rPr>
          <w:rFonts w:ascii="Times New Roman" w:eastAsiaTheme="majorEastAsia" w:hAnsi="Times New Roman" w:cs="Times New Roman"/>
          <w:sz w:val="24"/>
          <w:szCs w:val="24"/>
        </w:rPr>
        <w:t>. Par ailleurs</w:t>
      </w:r>
      <w:r w:rsidR="00257819">
        <w:rPr>
          <w:rFonts w:ascii="Times New Roman" w:eastAsiaTheme="majorEastAsia" w:hAnsi="Times New Roman" w:cs="Times New Roman"/>
          <w:sz w:val="24"/>
          <w:szCs w:val="24"/>
        </w:rPr>
        <w:t xml:space="preserve"> </w:t>
      </w:r>
      <w:r w:rsidR="00AB6C99" w:rsidRPr="00D07110">
        <w:rPr>
          <w:rFonts w:ascii="Times New Roman" w:eastAsiaTheme="majorEastAsia" w:hAnsi="Times New Roman" w:cs="Times New Roman"/>
          <w:sz w:val="24"/>
          <w:szCs w:val="24"/>
        </w:rPr>
        <w:t xml:space="preserve">Ricoeur dispose aussi dans sa bibliothèque d’un exemplaire annoté de </w:t>
      </w:r>
      <w:r w:rsidR="00AB6C99" w:rsidRPr="00D07110">
        <w:rPr>
          <w:rFonts w:ascii="Times New Roman" w:eastAsiaTheme="majorEastAsia" w:hAnsi="Times New Roman" w:cs="Times New Roman"/>
          <w:i/>
          <w:iCs/>
          <w:sz w:val="24"/>
          <w:szCs w:val="24"/>
        </w:rPr>
        <w:t>The Idea of History</w:t>
      </w:r>
      <w:r w:rsidR="00AB6C99" w:rsidRPr="00D07110">
        <w:rPr>
          <w:rFonts w:ascii="Times New Roman" w:eastAsiaTheme="majorEastAsia" w:hAnsi="Times New Roman" w:cs="Times New Roman"/>
          <w:sz w:val="24"/>
          <w:szCs w:val="24"/>
        </w:rPr>
        <w:t xml:space="preserve"> et de</w:t>
      </w:r>
      <w:r w:rsidR="00C17960">
        <w:rPr>
          <w:rFonts w:ascii="Times New Roman" w:eastAsiaTheme="majorEastAsia" w:hAnsi="Times New Roman" w:cs="Times New Roman"/>
          <w:sz w:val="24"/>
          <w:szCs w:val="24"/>
        </w:rPr>
        <w:t>s</w:t>
      </w:r>
      <w:r w:rsidR="00AB6C99" w:rsidRPr="00D07110">
        <w:rPr>
          <w:rFonts w:ascii="Times New Roman" w:eastAsiaTheme="majorEastAsia" w:hAnsi="Times New Roman" w:cs="Times New Roman"/>
          <w:sz w:val="24"/>
          <w:szCs w:val="24"/>
        </w:rPr>
        <w:t xml:space="preserve"> </w:t>
      </w:r>
      <w:r w:rsidR="00AB6C99" w:rsidRPr="00D07110">
        <w:rPr>
          <w:rFonts w:ascii="Times New Roman" w:eastAsiaTheme="majorEastAsia" w:hAnsi="Times New Roman" w:cs="Times New Roman"/>
          <w:i/>
          <w:iCs/>
          <w:sz w:val="24"/>
          <w:szCs w:val="24"/>
        </w:rPr>
        <w:t>Principles of Art</w:t>
      </w:r>
      <w:r w:rsidR="00AB6C99" w:rsidRPr="00D07110">
        <w:rPr>
          <w:rFonts w:ascii="Times New Roman" w:eastAsiaTheme="majorEastAsia" w:hAnsi="Times New Roman" w:cs="Times New Roman"/>
          <w:sz w:val="24"/>
          <w:szCs w:val="24"/>
        </w:rPr>
        <w:t xml:space="preserve"> de R.G. Collingwood. </w:t>
      </w:r>
      <w:r w:rsidR="00223DFD">
        <w:rPr>
          <w:rFonts w:ascii="Times New Roman" w:eastAsiaTheme="majorEastAsia" w:hAnsi="Times New Roman" w:cs="Times New Roman"/>
          <w:sz w:val="24"/>
          <w:szCs w:val="24"/>
        </w:rPr>
        <w:t xml:space="preserve">Il détient aussi un exemplaire de l’ouvrage d’A. Shalom, </w:t>
      </w:r>
      <w:r w:rsidR="00AB6C99" w:rsidRPr="00D07110">
        <w:rPr>
          <w:rFonts w:ascii="Times New Roman" w:eastAsiaTheme="majorEastAsia" w:hAnsi="Times New Roman" w:cs="Times New Roman"/>
          <w:i/>
          <w:iCs/>
          <w:sz w:val="24"/>
          <w:szCs w:val="24"/>
        </w:rPr>
        <w:t>R.G. Collingwood</w:t>
      </w:r>
      <w:r w:rsidR="00AB6C99" w:rsidRPr="00D07110">
        <w:rPr>
          <w:rFonts w:ascii="Times New Roman" w:eastAsiaTheme="majorEastAsia" w:hAnsi="Times New Roman" w:cs="Times New Roman"/>
          <w:sz w:val="24"/>
          <w:szCs w:val="24"/>
        </w:rPr>
        <w:t>,</w:t>
      </w:r>
      <w:r w:rsidR="00AB6C99" w:rsidRPr="00D07110">
        <w:rPr>
          <w:rFonts w:ascii="Times New Roman" w:eastAsiaTheme="majorEastAsia" w:hAnsi="Times New Roman" w:cs="Times New Roman"/>
          <w:i/>
          <w:iCs/>
          <w:sz w:val="24"/>
          <w:szCs w:val="24"/>
        </w:rPr>
        <w:t xml:space="preserve"> philosophe et historien</w:t>
      </w:r>
      <w:r w:rsidR="00223DFD">
        <w:rPr>
          <w:rFonts w:ascii="Times New Roman" w:eastAsiaTheme="majorEastAsia" w:hAnsi="Times New Roman" w:cs="Times New Roman"/>
          <w:sz w:val="24"/>
          <w:szCs w:val="24"/>
        </w:rPr>
        <w:t xml:space="preserve"> dont il faut ici dire un mot</w:t>
      </w:r>
      <w:r w:rsidR="00AB6C99" w:rsidRPr="00D07110">
        <w:rPr>
          <w:rFonts w:ascii="Times New Roman" w:eastAsiaTheme="majorEastAsia" w:hAnsi="Times New Roman" w:cs="Times New Roman"/>
          <w:sz w:val="24"/>
          <w:szCs w:val="24"/>
        </w:rPr>
        <w:t>.</w:t>
      </w:r>
    </w:p>
    <w:p w14:paraId="7E350FED" w14:textId="193FB58C" w:rsidR="00AB6C99" w:rsidRPr="00223DFD" w:rsidRDefault="00223DFD" w:rsidP="0063157C">
      <w:pPr>
        <w:spacing w:line="360" w:lineRule="auto"/>
        <w:ind w:firstLine="708"/>
        <w:jc w:val="both"/>
        <w:rPr>
          <w:rFonts w:ascii="Times New Roman" w:eastAsiaTheme="majorEastAsia" w:hAnsi="Times New Roman" w:cs="Times New Roman"/>
          <w:i/>
          <w:iCs/>
          <w:sz w:val="24"/>
          <w:szCs w:val="24"/>
        </w:rPr>
      </w:pPr>
      <w:r>
        <w:rPr>
          <w:rFonts w:ascii="Times New Roman" w:eastAsiaTheme="majorEastAsia" w:hAnsi="Times New Roman" w:cs="Times New Roman"/>
          <w:sz w:val="24"/>
          <w:szCs w:val="24"/>
        </w:rPr>
        <w:t>Albert Shalom, historien de la philosophie formé à l’Université de Paris avant de devenir professeur à l’Université MacMaster (Canada) publie ce livre en 1967, tiré de sa thèse de doctorat.</w:t>
      </w:r>
      <w:r w:rsidR="00AB6C99" w:rsidRPr="00D07110">
        <w:rPr>
          <w:rFonts w:ascii="Times New Roman" w:eastAsiaTheme="majorEastAsia" w:hAnsi="Times New Roman" w:cs="Times New Roman"/>
          <w:sz w:val="24"/>
          <w:szCs w:val="24"/>
        </w:rPr>
        <w:t xml:space="preserve"> Or cet ouvrage a causé beaucoup de torts à la réception francophone de Collingwood car dès les premières pages de cette somme qui souhaite présenter toute l’œuvre de Collingwood, l’auteur écrit qu’il n’a jamais trouvé la pensée de ce dernier « convaincante »</w:t>
      </w:r>
      <w:r w:rsidR="00144291">
        <w:rPr>
          <w:rFonts w:ascii="Times New Roman" w:eastAsiaTheme="majorEastAsia" w:hAnsi="Times New Roman" w:cs="Times New Roman"/>
          <w:sz w:val="24"/>
          <w:szCs w:val="24"/>
        </w:rPr>
        <w:t xml:space="preserve"> (Shalom A., 1967, p.1)</w:t>
      </w:r>
      <w:r w:rsidR="006A309B">
        <w:rPr>
          <w:rStyle w:val="Appelnotedebasdep"/>
          <w:rFonts w:ascii="Times New Roman" w:eastAsiaTheme="majorEastAsia" w:hAnsi="Times New Roman" w:cs="Times New Roman"/>
          <w:sz w:val="24"/>
          <w:szCs w:val="24"/>
        </w:rPr>
        <w:footnoteReference w:id="13"/>
      </w:r>
      <w:r w:rsidR="00AB6C99" w:rsidRPr="00D07110">
        <w:rPr>
          <w:rFonts w:ascii="Times New Roman" w:eastAsiaTheme="majorEastAsia" w:hAnsi="Times New Roman" w:cs="Times New Roman"/>
          <w:sz w:val="24"/>
          <w:szCs w:val="24"/>
        </w:rPr>
        <w:t xml:space="preserve">, et qu’on a du mal à en </w:t>
      </w:r>
      <w:r w:rsidR="005D03F6">
        <w:rPr>
          <w:rFonts w:ascii="Times New Roman" w:eastAsiaTheme="majorEastAsia" w:hAnsi="Times New Roman" w:cs="Times New Roman"/>
          <w:sz w:val="24"/>
          <w:szCs w:val="24"/>
        </w:rPr>
        <w:t xml:space="preserve">percevoir </w:t>
      </w:r>
      <w:r w:rsidR="00AB6C99" w:rsidRPr="00D07110">
        <w:rPr>
          <w:rFonts w:ascii="Times New Roman" w:eastAsiaTheme="majorEastAsia" w:hAnsi="Times New Roman" w:cs="Times New Roman"/>
          <w:sz w:val="24"/>
          <w:szCs w:val="24"/>
        </w:rPr>
        <w:t>l’unité</w:t>
      </w:r>
      <w:r w:rsidR="00CC504D">
        <w:rPr>
          <w:rStyle w:val="Appelnotedebasdep"/>
          <w:rFonts w:ascii="Times New Roman" w:eastAsiaTheme="majorEastAsia" w:hAnsi="Times New Roman" w:cs="Times New Roman"/>
          <w:sz w:val="24"/>
          <w:szCs w:val="24"/>
        </w:rPr>
        <w:footnoteReference w:id="14"/>
      </w:r>
      <w:r w:rsidR="00AB6C99" w:rsidRPr="00D07110">
        <w:rPr>
          <w:rFonts w:ascii="Times New Roman" w:eastAsiaTheme="majorEastAsia" w:hAnsi="Times New Roman" w:cs="Times New Roman"/>
          <w:sz w:val="24"/>
          <w:szCs w:val="24"/>
        </w:rPr>
        <w:t xml:space="preserve">. Il y a chez Shalom, la même volonté que chez Knox : le désir d’arrêter la pensée de Collingwood à un moment, afin de lui donner une couleur, une saveur unique. Le désir aussi, de tout faire coller pour montrer que tous les textes de Collingwood se répondent. Collingwood </w:t>
      </w:r>
      <w:r w:rsidR="007B6419">
        <w:rPr>
          <w:rFonts w:ascii="Times New Roman" w:eastAsiaTheme="majorEastAsia" w:hAnsi="Times New Roman" w:cs="Times New Roman"/>
          <w:sz w:val="24"/>
          <w:szCs w:val="24"/>
        </w:rPr>
        <w:t>y e</w:t>
      </w:r>
      <w:r w:rsidR="00AB6C99" w:rsidRPr="00D07110">
        <w:rPr>
          <w:rFonts w:ascii="Times New Roman" w:eastAsiaTheme="majorEastAsia" w:hAnsi="Times New Roman" w:cs="Times New Roman"/>
          <w:sz w:val="24"/>
          <w:szCs w:val="24"/>
        </w:rPr>
        <w:t xml:space="preserve">st </w:t>
      </w:r>
      <w:r w:rsidR="007B6419">
        <w:rPr>
          <w:rFonts w:ascii="Times New Roman" w:eastAsiaTheme="majorEastAsia" w:hAnsi="Times New Roman" w:cs="Times New Roman"/>
          <w:sz w:val="24"/>
          <w:szCs w:val="24"/>
        </w:rPr>
        <w:t xml:space="preserve">donc </w:t>
      </w:r>
      <w:r w:rsidR="00AB6C99" w:rsidRPr="00D07110">
        <w:rPr>
          <w:rFonts w:ascii="Times New Roman" w:eastAsiaTheme="majorEastAsia" w:hAnsi="Times New Roman" w:cs="Times New Roman"/>
          <w:sz w:val="24"/>
          <w:szCs w:val="24"/>
        </w:rPr>
        <w:t>présenté comme un néo-hégélien, un idéaliste</w:t>
      </w:r>
      <w:r w:rsidR="007B6419">
        <w:rPr>
          <w:rFonts w:ascii="Times New Roman" w:eastAsiaTheme="majorEastAsia" w:hAnsi="Times New Roman" w:cs="Times New Roman"/>
          <w:sz w:val="24"/>
          <w:szCs w:val="24"/>
        </w:rPr>
        <w:t xml:space="preserve"> complet</w:t>
      </w:r>
      <w:r w:rsidR="0077061C">
        <w:rPr>
          <w:rFonts w:ascii="Times New Roman" w:eastAsiaTheme="majorEastAsia" w:hAnsi="Times New Roman" w:cs="Times New Roman"/>
          <w:sz w:val="24"/>
          <w:szCs w:val="24"/>
        </w:rPr>
        <w:t>, e</w:t>
      </w:r>
      <w:r w:rsidR="007B6419">
        <w:rPr>
          <w:rFonts w:ascii="Times New Roman" w:eastAsiaTheme="majorEastAsia" w:hAnsi="Times New Roman" w:cs="Times New Roman"/>
          <w:sz w:val="24"/>
          <w:szCs w:val="24"/>
        </w:rPr>
        <w:t>t Shalom étaye cela en</w:t>
      </w:r>
      <w:r w:rsidR="0077061C">
        <w:rPr>
          <w:rFonts w:ascii="Times New Roman" w:eastAsiaTheme="majorEastAsia" w:hAnsi="Times New Roman" w:cs="Times New Roman"/>
          <w:sz w:val="24"/>
          <w:szCs w:val="24"/>
        </w:rPr>
        <w:t xml:space="preserve"> s’appuyant sur les ouvrages de jeunesse du philosophe d’Oxford</w:t>
      </w:r>
      <w:r w:rsidR="00AB6C99" w:rsidRPr="00D07110">
        <w:rPr>
          <w:rFonts w:ascii="Times New Roman" w:eastAsiaTheme="majorEastAsia" w:hAnsi="Times New Roman" w:cs="Times New Roman"/>
          <w:sz w:val="24"/>
          <w:szCs w:val="24"/>
        </w:rPr>
        <w:t xml:space="preserve">. </w:t>
      </w:r>
      <w:r w:rsidR="007B6419">
        <w:rPr>
          <w:rFonts w:ascii="Times New Roman" w:eastAsiaTheme="majorEastAsia" w:hAnsi="Times New Roman" w:cs="Times New Roman"/>
          <w:sz w:val="24"/>
          <w:szCs w:val="24"/>
        </w:rPr>
        <w:t>Par ailleurs,</w:t>
      </w:r>
      <w:r w:rsidR="00AB6C99" w:rsidRPr="00D07110">
        <w:rPr>
          <w:rFonts w:ascii="Times New Roman" w:eastAsiaTheme="majorEastAsia" w:hAnsi="Times New Roman" w:cs="Times New Roman"/>
          <w:sz w:val="24"/>
          <w:szCs w:val="24"/>
        </w:rPr>
        <w:t xml:space="preserve"> Shalom propage cette idée </w:t>
      </w:r>
      <w:r w:rsidR="007B6419">
        <w:rPr>
          <w:rFonts w:ascii="Times New Roman" w:eastAsiaTheme="majorEastAsia" w:hAnsi="Times New Roman" w:cs="Times New Roman"/>
          <w:sz w:val="24"/>
          <w:szCs w:val="24"/>
        </w:rPr>
        <w:t xml:space="preserve">historiquement </w:t>
      </w:r>
      <w:r w:rsidR="00AB6C99" w:rsidRPr="00D07110">
        <w:rPr>
          <w:rFonts w:ascii="Times New Roman" w:eastAsiaTheme="majorEastAsia" w:hAnsi="Times New Roman" w:cs="Times New Roman"/>
          <w:sz w:val="24"/>
          <w:szCs w:val="24"/>
        </w:rPr>
        <w:t>fausse selon laquelle : « Ces quelques indications suffisent pour montrer à quel point Collingwood est en dehors des activités philosophiques de son milieu et de son temps. »</w:t>
      </w:r>
      <w:r w:rsidR="00144291">
        <w:rPr>
          <w:rFonts w:ascii="Times New Roman" w:eastAsiaTheme="majorEastAsia" w:hAnsi="Times New Roman" w:cs="Times New Roman"/>
          <w:sz w:val="24"/>
          <w:szCs w:val="24"/>
        </w:rPr>
        <w:t xml:space="preserve"> (Shalom A., 1967).</w:t>
      </w:r>
    </w:p>
    <w:p w14:paraId="54B0F726" w14:textId="30F9F8E0"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 xml:space="preserve">Or, ce livre de Shalom est la seule étude générale </w:t>
      </w:r>
      <w:r w:rsidR="00223DFD">
        <w:rPr>
          <w:rFonts w:ascii="Times New Roman" w:eastAsiaTheme="majorEastAsia" w:hAnsi="Times New Roman" w:cs="Times New Roman"/>
          <w:sz w:val="24"/>
          <w:szCs w:val="24"/>
        </w:rPr>
        <w:t xml:space="preserve">sur </w:t>
      </w:r>
      <w:r w:rsidRPr="00AB6C99">
        <w:rPr>
          <w:rFonts w:ascii="Times New Roman" w:eastAsiaTheme="majorEastAsia" w:hAnsi="Times New Roman" w:cs="Times New Roman"/>
          <w:sz w:val="24"/>
          <w:szCs w:val="24"/>
        </w:rPr>
        <w:t>la pensée de Collingwood qui existe en langue française dans les années 80. On ne peut pas en tirer la conclusion que Ricoeur serait entièrement influencé par Shalom, car Ricoeur lit l’anglais comme le français, et qu’il se nourrit de bien d’autres sources. Cependant, on doit reconnaître que la seule étude systématique de Collingwood en français débouche sur une critique injuste et l’attribution à Collingwood d’un label idéaliste</w:t>
      </w:r>
      <w:r w:rsidR="009B79E4">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rPr>
        <w:t xml:space="preserve"> </w:t>
      </w:r>
      <w:r w:rsidR="00342776">
        <w:rPr>
          <w:rFonts w:ascii="Times New Roman" w:eastAsiaTheme="majorEastAsia" w:hAnsi="Times New Roman" w:cs="Times New Roman"/>
          <w:sz w:val="24"/>
          <w:szCs w:val="24"/>
        </w:rPr>
        <w:t>Cet idéalisme-là, Shalom le définit comme « un monisme métaphysique »</w:t>
      </w:r>
      <w:r w:rsidR="00144291">
        <w:rPr>
          <w:rFonts w:ascii="Times New Roman" w:eastAsiaTheme="majorEastAsia" w:hAnsi="Times New Roman" w:cs="Times New Roman"/>
          <w:sz w:val="24"/>
          <w:szCs w:val="24"/>
        </w:rPr>
        <w:t xml:space="preserve"> (Shalom A., 1967, p.12)</w:t>
      </w:r>
      <w:r w:rsidR="009B79E4">
        <w:rPr>
          <w:rStyle w:val="Appelnotedebasdep"/>
          <w:rFonts w:ascii="Times New Roman" w:eastAsiaTheme="majorEastAsia" w:hAnsi="Times New Roman" w:cs="Times New Roman"/>
          <w:sz w:val="24"/>
          <w:szCs w:val="24"/>
        </w:rPr>
        <w:footnoteReference w:id="15"/>
      </w:r>
      <w:r w:rsidR="00DD7055">
        <w:rPr>
          <w:rFonts w:ascii="Times New Roman" w:eastAsiaTheme="majorEastAsia" w:hAnsi="Times New Roman" w:cs="Times New Roman"/>
          <w:sz w:val="24"/>
          <w:szCs w:val="24"/>
        </w:rPr>
        <w:t xml:space="preserve"> où l’esprit est </w:t>
      </w:r>
      <w:r w:rsidR="009B79E4">
        <w:rPr>
          <w:rFonts w:ascii="Times New Roman" w:eastAsiaTheme="majorEastAsia" w:hAnsi="Times New Roman" w:cs="Times New Roman"/>
          <w:sz w:val="24"/>
          <w:szCs w:val="24"/>
        </w:rPr>
        <w:t>la</w:t>
      </w:r>
      <w:r w:rsidR="00DD7055">
        <w:rPr>
          <w:rFonts w:ascii="Times New Roman" w:eastAsiaTheme="majorEastAsia" w:hAnsi="Times New Roman" w:cs="Times New Roman"/>
          <w:sz w:val="24"/>
          <w:szCs w:val="24"/>
        </w:rPr>
        <w:t xml:space="preserve"> « réalité unique</w:t>
      </w:r>
      <w:r w:rsidR="009B79E4">
        <w:rPr>
          <w:rFonts w:ascii="Times New Roman" w:eastAsiaTheme="majorEastAsia" w:hAnsi="Times New Roman" w:cs="Times New Roman"/>
          <w:sz w:val="24"/>
          <w:szCs w:val="24"/>
        </w:rPr>
        <w:t> »</w:t>
      </w:r>
      <w:r w:rsidR="00144291" w:rsidRPr="00144291">
        <w:rPr>
          <w:rFonts w:ascii="Times New Roman" w:eastAsiaTheme="majorEastAsia" w:hAnsi="Times New Roman" w:cs="Times New Roman"/>
          <w:sz w:val="24"/>
          <w:szCs w:val="24"/>
        </w:rPr>
        <w:t xml:space="preserve"> </w:t>
      </w:r>
      <w:r w:rsidR="00144291">
        <w:rPr>
          <w:rFonts w:ascii="Times New Roman" w:eastAsiaTheme="majorEastAsia" w:hAnsi="Times New Roman" w:cs="Times New Roman"/>
          <w:sz w:val="24"/>
          <w:szCs w:val="24"/>
        </w:rPr>
        <w:t>(Shalom A., 1967, p.68)</w:t>
      </w:r>
      <w:r w:rsidR="009B79E4">
        <w:rPr>
          <w:rFonts w:ascii="Times New Roman" w:eastAsiaTheme="majorEastAsia" w:hAnsi="Times New Roman" w:cs="Times New Roman"/>
          <w:sz w:val="24"/>
          <w:szCs w:val="24"/>
        </w:rPr>
        <w:t>, Collingwood serait alors « le représentant véritable de l’hégélianisme en Angleterre »</w:t>
      </w:r>
      <w:r w:rsidR="00144291">
        <w:rPr>
          <w:rFonts w:ascii="Times New Roman" w:eastAsiaTheme="majorEastAsia" w:hAnsi="Times New Roman" w:cs="Times New Roman"/>
          <w:sz w:val="24"/>
          <w:szCs w:val="24"/>
        </w:rPr>
        <w:t xml:space="preserve"> (Shalom A., 1967, p.69)</w:t>
      </w:r>
      <w:r w:rsidR="009B79E4">
        <w:rPr>
          <w:rFonts w:ascii="Times New Roman" w:eastAsiaTheme="majorEastAsia" w:hAnsi="Times New Roman" w:cs="Times New Roman"/>
          <w:sz w:val="24"/>
          <w:szCs w:val="24"/>
        </w:rPr>
        <w:t xml:space="preserve">, un hégélianisme </w:t>
      </w:r>
      <w:r w:rsidR="0077061C">
        <w:rPr>
          <w:rFonts w:ascii="Times New Roman" w:eastAsiaTheme="majorEastAsia" w:hAnsi="Times New Roman" w:cs="Times New Roman"/>
          <w:sz w:val="24"/>
          <w:szCs w:val="24"/>
        </w:rPr>
        <w:t>qui, selon la thèse programmatique d’Aron, devait être dépassé.</w:t>
      </w:r>
      <w:r w:rsidR="00144291">
        <w:rPr>
          <w:rFonts w:ascii="Times New Roman" w:eastAsiaTheme="majorEastAsia" w:hAnsi="Times New Roman" w:cs="Times New Roman"/>
          <w:sz w:val="24"/>
          <w:szCs w:val="24"/>
        </w:rPr>
        <w:t xml:space="preserve"> On remarque qu’il y aurait, dans l’interprétation de Shalom, une certaine superposition de la philosophie de F.H. Bradley et de celle de Collingwood.</w:t>
      </w:r>
    </w:p>
    <w:p w14:paraId="240656FB" w14:textId="00CD77FB"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Enfin, et c’est plus avantageux pour la propagation de la pensée de Collingwood, Ricoeur connait aussi Collingwood par l’ouvrage d</w:t>
      </w:r>
      <w:r w:rsidR="007B6419">
        <w:rPr>
          <w:rFonts w:ascii="Times New Roman" w:eastAsiaTheme="majorEastAsia" w:hAnsi="Times New Roman" w:cs="Times New Roman"/>
          <w:sz w:val="24"/>
          <w:szCs w:val="24"/>
        </w:rPr>
        <w:t>’</w:t>
      </w:r>
      <w:r w:rsidR="00775329">
        <w:rPr>
          <w:rFonts w:ascii="Times New Roman" w:eastAsiaTheme="majorEastAsia" w:hAnsi="Times New Roman" w:cs="Times New Roman"/>
          <w:sz w:val="24"/>
          <w:szCs w:val="24"/>
        </w:rPr>
        <w:t xml:space="preserve">Hans-Georg </w:t>
      </w:r>
      <w:r w:rsidRPr="00AB6C99">
        <w:rPr>
          <w:rFonts w:ascii="Times New Roman" w:eastAsiaTheme="majorEastAsia" w:hAnsi="Times New Roman" w:cs="Times New Roman"/>
          <w:sz w:val="24"/>
          <w:szCs w:val="24"/>
        </w:rPr>
        <w:t>Gadamer</w:t>
      </w:r>
      <w:r w:rsidR="00775329">
        <w:rPr>
          <w:rFonts w:ascii="Times New Roman" w:eastAsiaTheme="majorEastAsia" w:hAnsi="Times New Roman" w:cs="Times New Roman"/>
          <w:sz w:val="24"/>
          <w:szCs w:val="24"/>
        </w:rPr>
        <w:t xml:space="preserve">, </w:t>
      </w:r>
      <w:r w:rsidR="00775329">
        <w:rPr>
          <w:rFonts w:ascii="Times New Roman" w:eastAsiaTheme="majorEastAsia" w:hAnsi="Times New Roman" w:cs="Times New Roman"/>
          <w:i/>
          <w:iCs/>
          <w:sz w:val="24"/>
          <w:szCs w:val="24"/>
        </w:rPr>
        <w:t>Vérité et Méthode</w:t>
      </w:r>
      <w:r w:rsidRPr="00AB6C99">
        <w:rPr>
          <w:rFonts w:ascii="Times New Roman" w:eastAsiaTheme="majorEastAsia" w:hAnsi="Times New Roman" w:cs="Times New Roman"/>
          <w:sz w:val="24"/>
          <w:szCs w:val="24"/>
        </w:rPr>
        <w:t xml:space="preserve"> dont il a lancé la traduction en français. Une traduction qui a été réalisée</w:t>
      </w:r>
      <w:r w:rsidR="000C122E">
        <w:rPr>
          <w:rFonts w:ascii="Times New Roman" w:eastAsiaTheme="majorEastAsia" w:hAnsi="Times New Roman" w:cs="Times New Roman"/>
          <w:sz w:val="24"/>
          <w:szCs w:val="24"/>
        </w:rPr>
        <w:t>, en partie,</w:t>
      </w:r>
      <w:r w:rsidRPr="00AB6C99">
        <w:rPr>
          <w:rFonts w:ascii="Times New Roman" w:eastAsiaTheme="majorEastAsia" w:hAnsi="Times New Roman" w:cs="Times New Roman"/>
          <w:sz w:val="24"/>
          <w:szCs w:val="24"/>
        </w:rPr>
        <w:t xml:space="preserve"> par</w:t>
      </w:r>
      <w:r w:rsidR="00F10F7F">
        <w:rPr>
          <w:rFonts w:ascii="Times New Roman" w:eastAsiaTheme="majorEastAsia" w:hAnsi="Times New Roman" w:cs="Times New Roman"/>
          <w:sz w:val="24"/>
          <w:szCs w:val="24"/>
        </w:rPr>
        <w:t xml:space="preserve"> l’universitaire bordelais</w:t>
      </w:r>
      <w:r w:rsidRPr="00AB6C99">
        <w:rPr>
          <w:rFonts w:ascii="Times New Roman" w:eastAsiaTheme="majorEastAsia" w:hAnsi="Times New Roman" w:cs="Times New Roman"/>
          <w:sz w:val="24"/>
          <w:szCs w:val="24"/>
        </w:rPr>
        <w:t xml:space="preserve"> Pierre Fruchon</w:t>
      </w:r>
      <w:r w:rsidR="0077061C">
        <w:rPr>
          <w:rFonts w:ascii="Times New Roman" w:eastAsiaTheme="majorEastAsia" w:hAnsi="Times New Roman" w:cs="Times New Roman"/>
          <w:sz w:val="24"/>
          <w:szCs w:val="24"/>
        </w:rPr>
        <w:t xml:space="preserve"> (1920-1999)</w:t>
      </w:r>
      <w:r w:rsidRPr="00AB6C99">
        <w:rPr>
          <w:rFonts w:ascii="Times New Roman" w:eastAsiaTheme="majorEastAsia" w:hAnsi="Times New Roman" w:cs="Times New Roman"/>
          <w:sz w:val="24"/>
          <w:szCs w:val="24"/>
        </w:rPr>
        <w:t>, qui écrira une « Signification de l’histoire de la philosophie selon l’autobiographie de Collingwood » (1958) qui, sur beaucoup de points</w:t>
      </w:r>
      <w:r w:rsidR="000C122E">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rPr>
        <w:t xml:space="preserve"> est influencé</w:t>
      </w:r>
      <w:r w:rsidR="0077061C">
        <w:rPr>
          <w:rFonts w:ascii="Times New Roman" w:eastAsiaTheme="majorEastAsia" w:hAnsi="Times New Roman" w:cs="Times New Roman"/>
          <w:sz w:val="24"/>
          <w:szCs w:val="24"/>
        </w:rPr>
        <w:t>e</w:t>
      </w:r>
      <w:r w:rsidRPr="00AB6C99">
        <w:rPr>
          <w:rFonts w:ascii="Times New Roman" w:eastAsiaTheme="majorEastAsia" w:hAnsi="Times New Roman" w:cs="Times New Roman"/>
          <w:sz w:val="24"/>
          <w:szCs w:val="24"/>
        </w:rPr>
        <w:t xml:space="preserve"> par la théorie de la conversion radicale de Collingwood à l’historicisme proposée par Knox</w:t>
      </w:r>
      <w:r w:rsidR="00A96C37">
        <w:rPr>
          <w:rFonts w:ascii="Times New Roman" w:eastAsiaTheme="majorEastAsia" w:hAnsi="Times New Roman" w:cs="Times New Roman"/>
          <w:sz w:val="24"/>
          <w:szCs w:val="24"/>
        </w:rPr>
        <w:t xml:space="preserve">, qui insistera </w:t>
      </w:r>
      <w:r w:rsidRPr="00AB6C99">
        <w:rPr>
          <w:rFonts w:ascii="Times New Roman" w:eastAsiaTheme="majorEastAsia" w:hAnsi="Times New Roman" w:cs="Times New Roman"/>
          <w:sz w:val="24"/>
          <w:szCs w:val="24"/>
        </w:rPr>
        <w:t>sur le fait que l’auteur de l’</w:t>
      </w:r>
      <w:r w:rsidR="00A96C37">
        <w:rPr>
          <w:rFonts w:ascii="Times New Roman" w:eastAsiaTheme="majorEastAsia" w:hAnsi="Times New Roman" w:cs="Times New Roman"/>
          <w:i/>
          <w:iCs/>
          <w:sz w:val="24"/>
          <w:szCs w:val="24"/>
        </w:rPr>
        <w:t xml:space="preserve">Autobiography </w:t>
      </w:r>
      <w:r w:rsidRPr="00AB6C99">
        <w:rPr>
          <w:rFonts w:ascii="Times New Roman" w:eastAsiaTheme="majorEastAsia" w:hAnsi="Times New Roman" w:cs="Times New Roman"/>
          <w:sz w:val="24"/>
          <w:szCs w:val="24"/>
        </w:rPr>
        <w:t>n’est pas « le véritable Collingwood »</w:t>
      </w:r>
      <w:r w:rsidR="000C122E">
        <w:rPr>
          <w:rFonts w:ascii="Times New Roman" w:eastAsiaTheme="majorEastAsia" w:hAnsi="Times New Roman" w:cs="Times New Roman"/>
          <w:sz w:val="24"/>
          <w:szCs w:val="24"/>
        </w:rPr>
        <w:t xml:space="preserve">. </w:t>
      </w:r>
      <w:r w:rsidR="00815102">
        <w:rPr>
          <w:rFonts w:ascii="Times New Roman" w:eastAsiaTheme="majorEastAsia" w:hAnsi="Times New Roman" w:cs="Times New Roman"/>
          <w:sz w:val="24"/>
          <w:szCs w:val="24"/>
        </w:rPr>
        <w:t xml:space="preserve">Ce qui témoigne de l’influence </w:t>
      </w:r>
      <w:r w:rsidR="00060897">
        <w:rPr>
          <w:rFonts w:ascii="Times New Roman" w:eastAsiaTheme="majorEastAsia" w:hAnsi="Times New Roman" w:cs="Times New Roman"/>
          <w:sz w:val="24"/>
          <w:szCs w:val="24"/>
        </w:rPr>
        <w:t xml:space="preserve">des écrits du premier éditeur de Collingwood. </w:t>
      </w:r>
    </w:p>
    <w:p w14:paraId="22439D6C" w14:textId="7BD66EA9" w:rsidR="00AB6C99" w:rsidRPr="00AB6C99" w:rsidRDefault="00F10F7F" w:rsidP="0063157C">
      <w:pPr>
        <w:spacing w:line="360" w:lineRule="auto"/>
        <w:ind w:firstLine="708"/>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Ce travail archivistique permet de</w:t>
      </w:r>
      <w:r w:rsidR="00AB6C99" w:rsidRPr="00AB6C99">
        <w:rPr>
          <w:rFonts w:ascii="Times New Roman" w:eastAsiaTheme="majorEastAsia" w:hAnsi="Times New Roman" w:cs="Times New Roman"/>
          <w:sz w:val="24"/>
          <w:szCs w:val="24"/>
        </w:rPr>
        <w:t xml:space="preserve"> mieux comprendre la constellation d’auteurs qui a inspiré Ricoeur dans son travail sur Collingwood. Il </w:t>
      </w:r>
      <w:r w:rsidR="0077061C">
        <w:rPr>
          <w:rFonts w:ascii="Times New Roman" w:eastAsiaTheme="majorEastAsia" w:hAnsi="Times New Roman" w:cs="Times New Roman"/>
          <w:sz w:val="24"/>
          <w:szCs w:val="24"/>
        </w:rPr>
        <w:t>fait apparaître</w:t>
      </w:r>
      <w:r w:rsidR="00AB6C99" w:rsidRPr="00AB6C99">
        <w:rPr>
          <w:rFonts w:ascii="Times New Roman" w:eastAsiaTheme="majorEastAsia" w:hAnsi="Times New Roman" w:cs="Times New Roman"/>
          <w:sz w:val="24"/>
          <w:szCs w:val="24"/>
        </w:rPr>
        <w:t xml:space="preserve"> plus clairement </w:t>
      </w:r>
      <w:r>
        <w:rPr>
          <w:rFonts w:ascii="Times New Roman" w:eastAsiaTheme="majorEastAsia" w:hAnsi="Times New Roman" w:cs="Times New Roman"/>
          <w:sz w:val="24"/>
          <w:szCs w:val="24"/>
        </w:rPr>
        <w:t xml:space="preserve">la provenance de </w:t>
      </w:r>
      <w:r w:rsidR="00AB6C99" w:rsidRPr="00AB6C99">
        <w:rPr>
          <w:rFonts w:ascii="Times New Roman" w:eastAsiaTheme="majorEastAsia" w:hAnsi="Times New Roman" w:cs="Times New Roman"/>
          <w:sz w:val="24"/>
          <w:szCs w:val="24"/>
        </w:rPr>
        <w:t xml:space="preserve">cette ambiguïté de Ricoeur à l’égard de Collingwood. Il y a d’une part une prise au sérieux de Collingwood qui vient, </w:t>
      </w:r>
      <w:r w:rsidR="00692274">
        <w:rPr>
          <w:rFonts w:ascii="Times New Roman" w:eastAsiaTheme="majorEastAsia" w:hAnsi="Times New Roman" w:cs="Times New Roman"/>
          <w:sz w:val="24"/>
          <w:szCs w:val="24"/>
        </w:rPr>
        <w:t>très probablement</w:t>
      </w:r>
      <w:r w:rsidR="00AB6C99" w:rsidRPr="00AB6C99">
        <w:rPr>
          <w:rFonts w:ascii="Times New Roman" w:eastAsiaTheme="majorEastAsia" w:hAnsi="Times New Roman" w:cs="Times New Roman"/>
          <w:sz w:val="24"/>
          <w:szCs w:val="24"/>
        </w:rPr>
        <w:t xml:space="preserve">, des lectures ricoeuriennes de W.H. Dray, qu’il cite à plusieurs reprises. Cependant face aux textes de Dray, de Toulmin et de Mink, on observe une résistance présente dans les textes en langue française : une sorte de méfiance à l’égard de Collingwood. Après tout, n’est-il pas « un esprit curieux, un peu bizarre » comme l’écrit Marrou ? N’est-il pas en dehors de son temps, comme l’écrit Shalom, empêché de penser des idées nouvelles à cause même de son idéalisme ? N’est-il pas aussi, ce </w:t>
      </w:r>
      <w:r w:rsidR="007B6419">
        <w:rPr>
          <w:rFonts w:ascii="Times New Roman" w:eastAsiaTheme="majorEastAsia" w:hAnsi="Times New Roman" w:cs="Times New Roman"/>
          <w:sz w:val="24"/>
          <w:szCs w:val="24"/>
        </w:rPr>
        <w:t>pauvre</w:t>
      </w:r>
      <w:r w:rsidR="00AB6C99" w:rsidRPr="00AB6C99">
        <w:rPr>
          <w:rFonts w:ascii="Times New Roman" w:eastAsiaTheme="majorEastAsia" w:hAnsi="Times New Roman" w:cs="Times New Roman"/>
          <w:sz w:val="24"/>
          <w:szCs w:val="24"/>
        </w:rPr>
        <w:t xml:space="preserve"> homme </w:t>
      </w:r>
      <w:r w:rsidR="0077061C">
        <w:rPr>
          <w:rFonts w:ascii="Times New Roman" w:eastAsiaTheme="majorEastAsia" w:hAnsi="Times New Roman" w:cs="Times New Roman"/>
          <w:sz w:val="24"/>
          <w:szCs w:val="24"/>
        </w:rPr>
        <w:t xml:space="preserve">malade </w:t>
      </w:r>
      <w:r w:rsidR="00AB6C99" w:rsidRPr="00AB6C99">
        <w:rPr>
          <w:rFonts w:ascii="Times New Roman" w:eastAsiaTheme="majorEastAsia" w:hAnsi="Times New Roman" w:cs="Times New Roman"/>
          <w:sz w:val="24"/>
          <w:szCs w:val="24"/>
        </w:rPr>
        <w:t xml:space="preserve">qui </w:t>
      </w:r>
      <w:r w:rsidR="0077061C">
        <w:rPr>
          <w:rFonts w:ascii="Times New Roman" w:eastAsiaTheme="majorEastAsia" w:hAnsi="Times New Roman" w:cs="Times New Roman"/>
          <w:sz w:val="24"/>
          <w:szCs w:val="24"/>
        </w:rPr>
        <w:t xml:space="preserve">a cédé aux sirènes de l’historicisme et du relativisme </w:t>
      </w:r>
      <w:r w:rsidR="00AB6C99" w:rsidRPr="00AB6C99">
        <w:rPr>
          <w:rFonts w:ascii="Times New Roman" w:eastAsiaTheme="majorEastAsia" w:hAnsi="Times New Roman" w:cs="Times New Roman"/>
          <w:sz w:val="24"/>
          <w:szCs w:val="24"/>
        </w:rPr>
        <w:t>?</w:t>
      </w:r>
    </w:p>
    <w:p w14:paraId="3678D107" w14:textId="1649E0E4" w:rsidR="00AB6C99" w:rsidRPr="00AB6C99" w:rsidRDefault="00AB6C99" w:rsidP="0063157C">
      <w:pPr>
        <w:spacing w:line="360" w:lineRule="auto"/>
        <w:ind w:firstLine="708"/>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 xml:space="preserve">C’est avec ces </w:t>
      </w:r>
      <w:r w:rsidR="00507F20">
        <w:rPr>
          <w:rFonts w:ascii="Times New Roman" w:eastAsiaTheme="majorEastAsia" w:hAnsi="Times New Roman" w:cs="Times New Roman"/>
          <w:sz w:val="24"/>
          <w:szCs w:val="24"/>
        </w:rPr>
        <w:t>ressources</w:t>
      </w:r>
      <w:r w:rsidRPr="00AB6C99">
        <w:rPr>
          <w:rFonts w:ascii="Times New Roman" w:eastAsiaTheme="majorEastAsia" w:hAnsi="Times New Roman" w:cs="Times New Roman"/>
          <w:sz w:val="24"/>
          <w:szCs w:val="24"/>
        </w:rPr>
        <w:t xml:space="preserve"> que Ricoeur lit Collingwood et nous délivre un examen</w:t>
      </w:r>
      <w:r w:rsidR="00507F20">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 xml:space="preserve">de </w:t>
      </w:r>
      <w:r w:rsidR="00C4103B">
        <w:rPr>
          <w:rFonts w:ascii="Times New Roman" w:eastAsiaTheme="majorEastAsia" w:hAnsi="Times New Roman" w:cs="Times New Roman"/>
          <w:sz w:val="24"/>
          <w:szCs w:val="24"/>
        </w:rPr>
        <w:t>son épistémologie</w:t>
      </w:r>
      <w:r w:rsidRPr="00AB6C99">
        <w:rPr>
          <w:rFonts w:ascii="Times New Roman" w:eastAsiaTheme="majorEastAsia" w:hAnsi="Times New Roman" w:cs="Times New Roman"/>
          <w:sz w:val="24"/>
          <w:szCs w:val="24"/>
        </w:rPr>
        <w:t xml:space="preserve"> </w:t>
      </w:r>
      <w:r w:rsidR="00F10F7F">
        <w:rPr>
          <w:rFonts w:ascii="Times New Roman" w:eastAsiaTheme="majorEastAsia" w:hAnsi="Times New Roman" w:cs="Times New Roman"/>
          <w:sz w:val="24"/>
          <w:szCs w:val="24"/>
        </w:rPr>
        <w:t>dans le</w:t>
      </w:r>
      <w:r w:rsidRPr="00AB6C99">
        <w:rPr>
          <w:rFonts w:ascii="Times New Roman" w:eastAsiaTheme="majorEastAsia" w:hAnsi="Times New Roman" w:cs="Times New Roman"/>
          <w:sz w:val="24"/>
          <w:szCs w:val="24"/>
        </w:rPr>
        <w:t xml:space="preserve"> chapitre 3</w:t>
      </w:r>
      <w:r w:rsidR="00060897">
        <w:rPr>
          <w:rFonts w:ascii="Times New Roman" w:eastAsiaTheme="majorEastAsia" w:hAnsi="Times New Roman" w:cs="Times New Roman"/>
          <w:sz w:val="24"/>
          <w:szCs w:val="24"/>
        </w:rPr>
        <w:t xml:space="preserve"> du Tome III</w:t>
      </w:r>
      <w:r w:rsidR="00F10F7F">
        <w:rPr>
          <w:rFonts w:ascii="Times New Roman" w:eastAsiaTheme="majorEastAsia" w:hAnsi="Times New Roman" w:cs="Times New Roman"/>
          <w:sz w:val="24"/>
          <w:szCs w:val="24"/>
        </w:rPr>
        <w:t xml:space="preserve"> de </w:t>
      </w:r>
      <w:r w:rsidR="00F10F7F">
        <w:rPr>
          <w:rFonts w:ascii="Times New Roman" w:eastAsiaTheme="majorEastAsia" w:hAnsi="Times New Roman" w:cs="Times New Roman"/>
          <w:i/>
          <w:iCs/>
          <w:sz w:val="24"/>
          <w:szCs w:val="24"/>
        </w:rPr>
        <w:t>Temps et Récit</w:t>
      </w:r>
      <w:r w:rsidRPr="00AB6C99">
        <w:rPr>
          <w:rFonts w:ascii="Times New Roman" w:eastAsiaTheme="majorEastAsia" w:hAnsi="Times New Roman" w:cs="Times New Roman"/>
          <w:sz w:val="24"/>
          <w:szCs w:val="24"/>
        </w:rPr>
        <w:t xml:space="preserve"> </w:t>
      </w:r>
      <w:r w:rsidR="00F10F7F">
        <w:rPr>
          <w:rFonts w:ascii="Times New Roman" w:eastAsiaTheme="majorEastAsia" w:hAnsi="Times New Roman" w:cs="Times New Roman"/>
          <w:sz w:val="24"/>
          <w:szCs w:val="24"/>
        </w:rPr>
        <w:t>consacré à</w:t>
      </w:r>
      <w:r w:rsidRPr="00AB6C99">
        <w:rPr>
          <w:rFonts w:ascii="Times New Roman" w:eastAsiaTheme="majorEastAsia" w:hAnsi="Times New Roman" w:cs="Times New Roman"/>
          <w:sz w:val="24"/>
          <w:szCs w:val="24"/>
        </w:rPr>
        <w:t xml:space="preserve"> la « réalité du passé historique »</w:t>
      </w:r>
      <w:r w:rsidR="007B6419">
        <w:rPr>
          <w:rStyle w:val="Appelnotedebasdep"/>
          <w:rFonts w:ascii="Times New Roman" w:eastAsiaTheme="majorEastAsia" w:hAnsi="Times New Roman" w:cs="Times New Roman"/>
          <w:sz w:val="24"/>
          <w:szCs w:val="24"/>
        </w:rPr>
        <w:footnoteReference w:id="16"/>
      </w:r>
      <w:r w:rsidRPr="00AB6C99">
        <w:rPr>
          <w:rFonts w:ascii="Times New Roman" w:eastAsiaTheme="majorEastAsia" w:hAnsi="Times New Roman" w:cs="Times New Roman"/>
          <w:sz w:val="24"/>
          <w:szCs w:val="24"/>
        </w:rPr>
        <w:t xml:space="preserve">. Il ne s’agit donc pas, comme chez Marrou, d’interroger les limites de la subjectivité de l’historien mais de savoir si l’on peut nommer le passé « réel » et quel degré de réalité </w:t>
      </w:r>
      <w:r w:rsidR="00AE4002">
        <w:rPr>
          <w:rFonts w:ascii="Times New Roman" w:eastAsiaTheme="majorEastAsia" w:hAnsi="Times New Roman" w:cs="Times New Roman"/>
          <w:sz w:val="24"/>
          <w:szCs w:val="24"/>
        </w:rPr>
        <w:t>il est possible de lui</w:t>
      </w:r>
      <w:r w:rsidRPr="00AB6C99">
        <w:rPr>
          <w:rFonts w:ascii="Times New Roman" w:eastAsiaTheme="majorEastAsia" w:hAnsi="Times New Roman" w:cs="Times New Roman"/>
          <w:sz w:val="24"/>
          <w:szCs w:val="24"/>
        </w:rPr>
        <w:t xml:space="preserve"> accorder. C’est ici qu</w:t>
      </w:r>
      <w:r w:rsidR="00F10F7F">
        <w:rPr>
          <w:rFonts w:ascii="Times New Roman" w:eastAsiaTheme="majorEastAsia" w:hAnsi="Times New Roman" w:cs="Times New Roman"/>
          <w:sz w:val="24"/>
          <w:szCs w:val="24"/>
        </w:rPr>
        <w:t>e Ricoeur</w:t>
      </w:r>
      <w:r w:rsidRPr="00AB6C99">
        <w:rPr>
          <w:rFonts w:ascii="Times New Roman" w:eastAsiaTheme="majorEastAsia" w:hAnsi="Times New Roman" w:cs="Times New Roman"/>
          <w:sz w:val="24"/>
          <w:szCs w:val="24"/>
        </w:rPr>
        <w:t xml:space="preserve"> fait intervenir Collingwood. </w:t>
      </w:r>
      <w:r w:rsidR="00F10F7F">
        <w:rPr>
          <w:rFonts w:ascii="Times New Roman" w:eastAsiaTheme="majorEastAsia" w:hAnsi="Times New Roman" w:cs="Times New Roman"/>
          <w:sz w:val="24"/>
          <w:szCs w:val="24"/>
        </w:rPr>
        <w:t xml:space="preserve">Le philosophe français </w:t>
      </w:r>
      <w:r w:rsidRPr="00AB6C99">
        <w:rPr>
          <w:rFonts w:ascii="Times New Roman" w:eastAsiaTheme="majorEastAsia" w:hAnsi="Times New Roman" w:cs="Times New Roman"/>
          <w:sz w:val="24"/>
          <w:szCs w:val="24"/>
        </w:rPr>
        <w:t>propose de comprendre notre conception du passé, selon les grands genres platoniciens : « Je soutiens seulement que nous disons quelque chose de sensé sur le passé en le pensant successivement sous le signe du Même, de l’Autre, de l’Analogue</w:t>
      </w:r>
      <w:r w:rsidR="0099626A">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w:t>
      </w:r>
      <w:r w:rsidR="0099626A">
        <w:rPr>
          <w:rFonts w:ascii="Times New Roman" w:eastAsiaTheme="majorEastAsia" w:hAnsi="Times New Roman" w:cs="Times New Roman"/>
          <w:sz w:val="24"/>
          <w:szCs w:val="24"/>
        </w:rPr>
        <w:t xml:space="preserve"> (Ricoeur P., 1983, p.255).</w:t>
      </w:r>
      <w:r w:rsidRPr="00AB6C99">
        <w:rPr>
          <w:rFonts w:ascii="Times New Roman" w:eastAsiaTheme="majorEastAsia" w:hAnsi="Times New Roman" w:cs="Times New Roman"/>
          <w:sz w:val="24"/>
          <w:szCs w:val="24"/>
        </w:rPr>
        <w:t xml:space="preserve"> Cette référence au Même et à l’Autre n’est pas une référence tout à fait « </w:t>
      </w:r>
      <w:r w:rsidRPr="0099626A">
        <w:rPr>
          <w:rFonts w:ascii="Times New Roman" w:eastAsiaTheme="majorEastAsia" w:hAnsi="Times New Roman" w:cs="Times New Roman"/>
          <w:i/>
          <w:iCs/>
          <w:sz w:val="24"/>
          <w:szCs w:val="24"/>
        </w:rPr>
        <w:t>out of the blue </w:t>
      </w:r>
      <w:r w:rsidRPr="00AB6C99">
        <w:rPr>
          <w:rFonts w:ascii="Times New Roman" w:eastAsiaTheme="majorEastAsia" w:hAnsi="Times New Roman" w:cs="Times New Roman"/>
          <w:sz w:val="24"/>
          <w:szCs w:val="24"/>
        </w:rPr>
        <w:t>» comme l’écrivent Marion et Kobayashi</w:t>
      </w:r>
      <w:r w:rsidR="0099626A">
        <w:rPr>
          <w:rFonts w:ascii="Times New Roman" w:eastAsiaTheme="majorEastAsia" w:hAnsi="Times New Roman" w:cs="Times New Roman"/>
          <w:sz w:val="24"/>
          <w:szCs w:val="24"/>
        </w:rPr>
        <w:t xml:space="preserve"> (Kobayashi C., Marion M.</w:t>
      </w:r>
      <w:r w:rsidRPr="00AB6C99">
        <w:rPr>
          <w:rFonts w:ascii="Times New Roman" w:eastAsiaTheme="majorEastAsia" w:hAnsi="Times New Roman" w:cs="Times New Roman"/>
          <w:sz w:val="24"/>
          <w:szCs w:val="24"/>
        </w:rPr>
        <w:t>,</w:t>
      </w:r>
      <w:r w:rsidR="0099626A">
        <w:rPr>
          <w:rFonts w:ascii="Times New Roman" w:eastAsiaTheme="majorEastAsia" w:hAnsi="Times New Roman" w:cs="Times New Roman"/>
          <w:sz w:val="24"/>
          <w:szCs w:val="24"/>
        </w:rPr>
        <w:t xml:space="preserve"> 2011, p.100)</w:t>
      </w:r>
      <w:r w:rsidRPr="00AB6C99">
        <w:rPr>
          <w:rFonts w:ascii="Times New Roman" w:eastAsiaTheme="majorEastAsia" w:hAnsi="Times New Roman" w:cs="Times New Roman"/>
          <w:sz w:val="24"/>
          <w:szCs w:val="24"/>
        </w:rPr>
        <w:t xml:space="preserve"> mais bel et bien une reprise de la typologie de Marrou qui écrivait à propos de la démarche de l’historien : « On me permettra de la définir en termes platoniciens, comme une dialectique du Même et de l’Autre</w:t>
      </w:r>
      <w:r w:rsidR="0099626A">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w:t>
      </w:r>
      <w:r w:rsidR="0099626A">
        <w:rPr>
          <w:rFonts w:ascii="Times New Roman" w:eastAsiaTheme="majorEastAsia" w:hAnsi="Times New Roman" w:cs="Times New Roman"/>
          <w:sz w:val="24"/>
          <w:szCs w:val="24"/>
        </w:rPr>
        <w:t xml:space="preserve"> (Marrou H.-I, 1959, p.84). </w:t>
      </w:r>
      <w:r w:rsidR="007465E5">
        <w:rPr>
          <w:rFonts w:ascii="Times New Roman" w:eastAsiaTheme="majorEastAsia" w:hAnsi="Times New Roman" w:cs="Times New Roman"/>
          <w:sz w:val="24"/>
          <w:szCs w:val="24"/>
        </w:rPr>
        <w:t xml:space="preserve">Une reprise qui, compte tenu de </w:t>
      </w:r>
      <w:r w:rsidR="00411261">
        <w:rPr>
          <w:rFonts w:ascii="Times New Roman" w:eastAsiaTheme="majorEastAsia" w:hAnsi="Times New Roman" w:cs="Times New Roman"/>
          <w:sz w:val="24"/>
          <w:szCs w:val="24"/>
        </w:rPr>
        <w:t xml:space="preserve">l’intimité des deux auteurs, semble épargner à Ricoeur la peine de citer Marrou. </w:t>
      </w:r>
    </w:p>
    <w:p w14:paraId="53F7C4D8" w14:textId="788DA956"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 xml:space="preserve">La première approche de la réalité du passé historique, celle </w:t>
      </w:r>
      <w:r w:rsidR="004B6E0D">
        <w:rPr>
          <w:rFonts w:ascii="Times New Roman" w:eastAsiaTheme="majorEastAsia" w:hAnsi="Times New Roman" w:cs="Times New Roman"/>
          <w:sz w:val="24"/>
          <w:szCs w:val="24"/>
        </w:rPr>
        <w:t>qui est dite du</w:t>
      </w:r>
      <w:r w:rsidRPr="00AB6C99">
        <w:rPr>
          <w:rFonts w:ascii="Times New Roman" w:eastAsiaTheme="majorEastAsia" w:hAnsi="Times New Roman" w:cs="Times New Roman"/>
          <w:sz w:val="24"/>
          <w:szCs w:val="24"/>
        </w:rPr>
        <w:t xml:space="preserve"> </w:t>
      </w:r>
      <w:r w:rsidR="004B6E0D">
        <w:rPr>
          <w:rFonts w:ascii="Times New Roman" w:eastAsiaTheme="majorEastAsia" w:hAnsi="Times New Roman" w:cs="Times New Roman"/>
          <w:sz w:val="24"/>
          <w:szCs w:val="24"/>
        </w:rPr>
        <w:t>M</w:t>
      </w:r>
      <w:r w:rsidRPr="00AB6C99">
        <w:rPr>
          <w:rFonts w:ascii="Times New Roman" w:eastAsiaTheme="majorEastAsia" w:hAnsi="Times New Roman" w:cs="Times New Roman"/>
          <w:sz w:val="24"/>
          <w:szCs w:val="24"/>
        </w:rPr>
        <w:t>ême</w:t>
      </w:r>
      <w:r w:rsidR="004B6E0D">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rPr>
        <w:t xml:space="preserve"> est définie ainsi : « La première manière de penser la passéité du passé, c’est d’en retrancher l’aiguillon, à savoir la </w:t>
      </w:r>
      <w:r w:rsidRPr="00AB6C99">
        <w:rPr>
          <w:rFonts w:ascii="Times New Roman" w:eastAsiaTheme="majorEastAsia" w:hAnsi="Times New Roman" w:cs="Times New Roman"/>
          <w:i/>
          <w:iCs/>
          <w:sz w:val="24"/>
          <w:szCs w:val="24"/>
        </w:rPr>
        <w:t>distance temporelle</w:t>
      </w:r>
      <w:r w:rsidRPr="00AB6C99">
        <w:rPr>
          <w:rFonts w:ascii="Times New Roman" w:eastAsiaTheme="majorEastAsia" w:hAnsi="Times New Roman" w:cs="Times New Roman"/>
          <w:sz w:val="24"/>
          <w:szCs w:val="24"/>
        </w:rPr>
        <w:t xml:space="preserve">. […] Bref, le passé est-il intelligible autrement que comme </w:t>
      </w:r>
      <w:r w:rsidRPr="00AB6C99">
        <w:rPr>
          <w:rFonts w:ascii="Times New Roman" w:eastAsiaTheme="majorEastAsia" w:hAnsi="Times New Roman" w:cs="Times New Roman"/>
          <w:i/>
          <w:iCs/>
          <w:sz w:val="24"/>
          <w:szCs w:val="24"/>
        </w:rPr>
        <w:t>persistant</w:t>
      </w:r>
      <w:r w:rsidRPr="00AB6C99">
        <w:rPr>
          <w:rFonts w:ascii="Times New Roman" w:eastAsiaTheme="majorEastAsia" w:hAnsi="Times New Roman" w:cs="Times New Roman"/>
          <w:sz w:val="24"/>
          <w:szCs w:val="24"/>
        </w:rPr>
        <w:t xml:space="preserve"> dans le présent ? »</w:t>
      </w:r>
      <w:r w:rsidR="0099626A">
        <w:rPr>
          <w:rFonts w:ascii="Times New Roman" w:eastAsiaTheme="majorEastAsia" w:hAnsi="Times New Roman" w:cs="Times New Roman"/>
          <w:sz w:val="24"/>
          <w:szCs w:val="24"/>
        </w:rPr>
        <w:t xml:space="preserve"> (Ricoeur P., 1983, p.256)</w:t>
      </w:r>
      <w:r w:rsidRPr="00AB6C99">
        <w:rPr>
          <w:rFonts w:ascii="Times New Roman" w:eastAsiaTheme="majorEastAsia" w:hAnsi="Times New Roman" w:cs="Times New Roman"/>
          <w:sz w:val="24"/>
          <w:szCs w:val="24"/>
        </w:rPr>
        <w:t>. Et Ricoeur d’ajouter : « Cette conception identitaire est illustrée de façon éclatante par la conception de l’histoire comme « réeffectuation » (</w:t>
      </w:r>
      <w:r w:rsidRPr="00AB6C99">
        <w:rPr>
          <w:rFonts w:ascii="Times New Roman" w:eastAsiaTheme="majorEastAsia" w:hAnsi="Times New Roman" w:cs="Times New Roman"/>
          <w:i/>
          <w:iCs/>
          <w:sz w:val="24"/>
          <w:szCs w:val="24"/>
        </w:rPr>
        <w:t>re</w:t>
      </w:r>
      <w:r w:rsidR="000A6FC7">
        <w:rPr>
          <w:rFonts w:ascii="Times New Roman" w:eastAsiaTheme="majorEastAsia" w:hAnsi="Times New Roman" w:cs="Times New Roman"/>
          <w:i/>
          <w:iCs/>
          <w:sz w:val="24"/>
          <w:szCs w:val="24"/>
        </w:rPr>
        <w:t>-</w:t>
      </w:r>
      <w:r w:rsidRPr="00AB6C99">
        <w:rPr>
          <w:rFonts w:ascii="Times New Roman" w:eastAsiaTheme="majorEastAsia" w:hAnsi="Times New Roman" w:cs="Times New Roman"/>
          <w:i/>
          <w:iCs/>
          <w:sz w:val="24"/>
          <w:szCs w:val="24"/>
        </w:rPr>
        <w:t>enactment</w:t>
      </w:r>
      <w:r w:rsidRPr="00AB6C99">
        <w:rPr>
          <w:rFonts w:ascii="Times New Roman" w:eastAsiaTheme="majorEastAsia" w:hAnsi="Times New Roman" w:cs="Times New Roman"/>
          <w:sz w:val="24"/>
          <w:szCs w:val="24"/>
        </w:rPr>
        <w:t xml:space="preserve">) du passé, selon la formulation de Collingwood dans </w:t>
      </w:r>
      <w:r w:rsidRPr="00AB6C99">
        <w:rPr>
          <w:rFonts w:ascii="Times New Roman" w:eastAsiaTheme="majorEastAsia" w:hAnsi="Times New Roman" w:cs="Times New Roman"/>
          <w:i/>
          <w:iCs/>
          <w:sz w:val="24"/>
          <w:szCs w:val="24"/>
        </w:rPr>
        <w:t>The Idea of History</w:t>
      </w:r>
      <w:r w:rsidRPr="00AB6C99">
        <w:rPr>
          <w:rFonts w:ascii="Times New Roman" w:eastAsiaTheme="majorEastAsia" w:hAnsi="Times New Roman" w:cs="Times New Roman"/>
          <w:sz w:val="24"/>
          <w:szCs w:val="24"/>
        </w:rPr>
        <w:t xml:space="preserve"> » </w:t>
      </w:r>
      <w:r w:rsidR="0099626A">
        <w:rPr>
          <w:rFonts w:ascii="Times New Roman" w:eastAsiaTheme="majorEastAsia" w:hAnsi="Times New Roman" w:cs="Times New Roman"/>
          <w:sz w:val="24"/>
          <w:szCs w:val="24"/>
        </w:rPr>
        <w:t>(Ricoeur P., 1983, p.256)</w:t>
      </w:r>
      <w:r w:rsidR="0099626A" w:rsidRPr="00AB6C99">
        <w:rPr>
          <w:rFonts w:ascii="Times New Roman" w:eastAsiaTheme="majorEastAsia" w:hAnsi="Times New Roman" w:cs="Times New Roman"/>
          <w:sz w:val="24"/>
          <w:szCs w:val="24"/>
        </w:rPr>
        <w:t>.</w:t>
      </w:r>
    </w:p>
    <w:p w14:paraId="6347815C" w14:textId="23AECF3C"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 xml:space="preserve">Collingwood est donc présenté </w:t>
      </w:r>
      <w:r w:rsidR="00F10F7F">
        <w:rPr>
          <w:rFonts w:ascii="Times New Roman" w:eastAsiaTheme="majorEastAsia" w:hAnsi="Times New Roman" w:cs="Times New Roman"/>
          <w:sz w:val="24"/>
          <w:szCs w:val="24"/>
        </w:rPr>
        <w:t xml:space="preserve">ici, de manière plutôt contre-intuitive, </w:t>
      </w:r>
      <w:r w:rsidRPr="00AB6C99">
        <w:rPr>
          <w:rFonts w:ascii="Times New Roman" w:eastAsiaTheme="majorEastAsia" w:hAnsi="Times New Roman" w:cs="Times New Roman"/>
          <w:sz w:val="24"/>
          <w:szCs w:val="24"/>
        </w:rPr>
        <w:t xml:space="preserve">comme le philosophe d’une conception identitaire du passé et du présent. Avant de parvenir à cela, Ricoeur précise tout de même qu’il faut bien lire Collingwood, et que lui-même est au courant des débats qui concernent la compréhension du </w:t>
      </w:r>
      <w:r w:rsidR="000D425A">
        <w:rPr>
          <w:rFonts w:ascii="Times New Roman" w:eastAsiaTheme="majorEastAsia" w:hAnsi="Times New Roman" w:cs="Times New Roman"/>
          <w:sz w:val="24"/>
          <w:szCs w:val="24"/>
        </w:rPr>
        <w:t xml:space="preserve">concept de </w:t>
      </w:r>
      <w:r w:rsidRPr="00AB6C99">
        <w:rPr>
          <w:rFonts w:ascii="Times New Roman" w:eastAsiaTheme="majorEastAsia" w:hAnsi="Times New Roman" w:cs="Times New Roman"/>
          <w:i/>
          <w:iCs/>
          <w:sz w:val="24"/>
          <w:szCs w:val="24"/>
        </w:rPr>
        <w:t>re-enactment</w:t>
      </w:r>
      <w:r w:rsidRPr="00AB6C99">
        <w:rPr>
          <w:rFonts w:ascii="Times New Roman" w:eastAsiaTheme="majorEastAsia" w:hAnsi="Times New Roman" w:cs="Times New Roman"/>
          <w:sz w:val="24"/>
          <w:szCs w:val="24"/>
        </w:rPr>
        <w:t xml:space="preserve">. </w:t>
      </w:r>
      <w:r w:rsidR="0077061C">
        <w:rPr>
          <w:rFonts w:ascii="Times New Roman" w:eastAsiaTheme="majorEastAsia" w:hAnsi="Times New Roman" w:cs="Times New Roman"/>
          <w:sz w:val="24"/>
          <w:szCs w:val="24"/>
        </w:rPr>
        <w:t xml:space="preserve">Il écrit : </w:t>
      </w:r>
      <w:r w:rsidRPr="00AB6C99">
        <w:rPr>
          <w:rFonts w:ascii="Times New Roman" w:eastAsiaTheme="majorEastAsia" w:hAnsi="Times New Roman" w:cs="Times New Roman"/>
          <w:sz w:val="24"/>
          <w:szCs w:val="24"/>
        </w:rPr>
        <w:t>«</w:t>
      </w:r>
      <w:r w:rsidR="00794DE6">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 xml:space="preserve">Le </w:t>
      </w:r>
      <w:r w:rsidRPr="00AB6C99">
        <w:rPr>
          <w:rFonts w:ascii="Times New Roman" w:eastAsiaTheme="majorEastAsia" w:hAnsi="Times New Roman" w:cs="Times New Roman"/>
          <w:i/>
          <w:iCs/>
          <w:sz w:val="24"/>
          <w:szCs w:val="24"/>
        </w:rPr>
        <w:t>reenactment</w:t>
      </w:r>
      <w:r w:rsidR="000A6FC7">
        <w:rPr>
          <w:rStyle w:val="Appelnotedebasdep"/>
          <w:rFonts w:ascii="Times New Roman" w:eastAsiaTheme="majorEastAsia" w:hAnsi="Times New Roman" w:cs="Times New Roman"/>
          <w:i/>
          <w:iCs/>
          <w:sz w:val="24"/>
          <w:szCs w:val="24"/>
        </w:rPr>
        <w:footnoteReference w:id="17"/>
      </w:r>
      <w:r w:rsidRPr="00AB6C99">
        <w:rPr>
          <w:rFonts w:ascii="Times New Roman" w:eastAsiaTheme="majorEastAsia" w:hAnsi="Times New Roman" w:cs="Times New Roman"/>
          <w:sz w:val="24"/>
          <w:szCs w:val="24"/>
        </w:rPr>
        <w:t>, trop rapidement introduit, risque d’être entendu comme une manière d’intuition. Or, repenser n’est pas revivre. Repenser contient déjà le moment critique qui nous contraint au détour par l’imagination historique</w:t>
      </w:r>
      <w:r w:rsidR="0099626A">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w:t>
      </w:r>
      <w:r w:rsidR="0099626A">
        <w:rPr>
          <w:rFonts w:ascii="Times New Roman" w:eastAsiaTheme="majorEastAsia" w:hAnsi="Times New Roman" w:cs="Times New Roman"/>
          <w:sz w:val="24"/>
          <w:szCs w:val="24"/>
        </w:rPr>
        <w:t xml:space="preserve"> (Ricoeur P., 1983, p.259).</w:t>
      </w:r>
      <w:r w:rsidRPr="00AB6C99">
        <w:rPr>
          <w:rFonts w:ascii="Times New Roman" w:eastAsiaTheme="majorEastAsia" w:hAnsi="Times New Roman" w:cs="Times New Roman"/>
          <w:sz w:val="24"/>
          <w:szCs w:val="24"/>
        </w:rPr>
        <w:t xml:space="preserve">  Ce passage ne peut être compris que si l’on se rapporte au débat qui a vu se succéder les lectures du </w:t>
      </w:r>
      <w:r w:rsidRPr="00AB6C99">
        <w:rPr>
          <w:rFonts w:ascii="Times New Roman" w:eastAsiaTheme="majorEastAsia" w:hAnsi="Times New Roman" w:cs="Times New Roman"/>
          <w:i/>
          <w:iCs/>
          <w:sz w:val="24"/>
          <w:szCs w:val="24"/>
        </w:rPr>
        <w:t>re-enactment</w:t>
      </w:r>
      <w:r w:rsidRPr="00AB6C99">
        <w:rPr>
          <w:rFonts w:ascii="Times New Roman" w:eastAsiaTheme="majorEastAsia" w:hAnsi="Times New Roman" w:cs="Times New Roman"/>
          <w:sz w:val="24"/>
          <w:szCs w:val="24"/>
        </w:rPr>
        <w:t xml:space="preserve"> proposées par Knox et Donaga</w:t>
      </w:r>
      <w:r w:rsidR="0099626A">
        <w:rPr>
          <w:rFonts w:ascii="Times New Roman" w:eastAsiaTheme="majorEastAsia" w:hAnsi="Times New Roman" w:cs="Times New Roman"/>
          <w:sz w:val="24"/>
          <w:szCs w:val="24"/>
        </w:rPr>
        <w:t>n</w:t>
      </w:r>
      <w:r w:rsidRPr="00AB6C99">
        <w:rPr>
          <w:rFonts w:ascii="Times New Roman" w:eastAsiaTheme="majorEastAsia" w:hAnsi="Times New Roman" w:cs="Times New Roman"/>
          <w:sz w:val="24"/>
          <w:szCs w:val="24"/>
        </w:rPr>
        <w:t>, les critiques qu’ils ont apporté</w:t>
      </w:r>
      <w:r w:rsidR="007B6419">
        <w:rPr>
          <w:rFonts w:ascii="Times New Roman" w:eastAsiaTheme="majorEastAsia" w:hAnsi="Times New Roman" w:cs="Times New Roman"/>
          <w:sz w:val="24"/>
          <w:szCs w:val="24"/>
        </w:rPr>
        <w:t>es</w:t>
      </w:r>
      <w:r w:rsidRPr="00AB6C99">
        <w:rPr>
          <w:rFonts w:ascii="Times New Roman" w:eastAsiaTheme="majorEastAsia" w:hAnsi="Times New Roman" w:cs="Times New Roman"/>
          <w:sz w:val="24"/>
          <w:szCs w:val="24"/>
        </w:rPr>
        <w:t xml:space="preserve"> à l’épistémologie collingwoodienne, avant que ne vienne la mise au point de Louis Mink</w:t>
      </w:r>
      <w:r w:rsidR="0099626A">
        <w:rPr>
          <w:rFonts w:ascii="Times New Roman" w:eastAsiaTheme="majorEastAsia" w:hAnsi="Times New Roman" w:cs="Times New Roman"/>
          <w:sz w:val="24"/>
          <w:szCs w:val="24"/>
        </w:rPr>
        <w:t xml:space="preserve"> (Mink L.O., 1969)</w:t>
      </w:r>
      <w:r w:rsidRPr="00AB6C99">
        <w:rPr>
          <w:rFonts w:ascii="Times New Roman" w:eastAsiaTheme="majorEastAsia" w:hAnsi="Times New Roman" w:cs="Times New Roman"/>
          <w:sz w:val="24"/>
          <w:szCs w:val="24"/>
        </w:rPr>
        <w:t xml:space="preserve"> et surtout de William Dray</w:t>
      </w:r>
      <w:r w:rsidR="0099626A">
        <w:rPr>
          <w:rFonts w:ascii="Times New Roman" w:eastAsiaTheme="majorEastAsia" w:hAnsi="Times New Roman" w:cs="Times New Roman"/>
          <w:sz w:val="24"/>
          <w:szCs w:val="24"/>
        </w:rPr>
        <w:t xml:space="preserve"> (Dray W. 1995)</w:t>
      </w:r>
      <w:r w:rsidRPr="00AB6C99">
        <w:rPr>
          <w:rFonts w:ascii="Times New Roman" w:eastAsiaTheme="majorEastAsia" w:hAnsi="Times New Roman" w:cs="Times New Roman"/>
          <w:sz w:val="24"/>
          <w:szCs w:val="24"/>
        </w:rPr>
        <w:t xml:space="preserve"> : le </w:t>
      </w:r>
      <w:r w:rsidRPr="00AB6C99">
        <w:rPr>
          <w:rFonts w:ascii="Times New Roman" w:eastAsiaTheme="majorEastAsia" w:hAnsi="Times New Roman" w:cs="Times New Roman"/>
          <w:i/>
          <w:iCs/>
          <w:sz w:val="24"/>
          <w:szCs w:val="24"/>
        </w:rPr>
        <w:t>re-enactment</w:t>
      </w:r>
      <w:r w:rsidRPr="00AB6C99">
        <w:rPr>
          <w:rFonts w:ascii="Times New Roman" w:eastAsiaTheme="majorEastAsia" w:hAnsi="Times New Roman" w:cs="Times New Roman"/>
          <w:sz w:val="24"/>
          <w:szCs w:val="24"/>
        </w:rPr>
        <w:t xml:space="preserve"> n’est pas une action magique de l’historien,</w:t>
      </w:r>
      <w:r w:rsidR="001E3145">
        <w:rPr>
          <w:rFonts w:ascii="Times New Roman" w:eastAsiaTheme="majorEastAsia" w:hAnsi="Times New Roman" w:cs="Times New Roman"/>
          <w:sz w:val="24"/>
          <w:szCs w:val="24"/>
        </w:rPr>
        <w:t xml:space="preserve"> ni le résultat d’une opération intuitive,</w:t>
      </w:r>
      <w:r w:rsidRPr="00AB6C99">
        <w:rPr>
          <w:rFonts w:ascii="Times New Roman" w:eastAsiaTheme="majorEastAsia" w:hAnsi="Times New Roman" w:cs="Times New Roman"/>
          <w:sz w:val="24"/>
          <w:szCs w:val="24"/>
        </w:rPr>
        <w:t xml:space="preserve"> c’est l’aboutissement d’une </w:t>
      </w:r>
      <w:r w:rsidR="00C33F71">
        <w:rPr>
          <w:rFonts w:ascii="Times New Roman" w:eastAsiaTheme="majorEastAsia" w:hAnsi="Times New Roman" w:cs="Times New Roman"/>
          <w:sz w:val="24"/>
          <w:szCs w:val="24"/>
        </w:rPr>
        <w:t>méthode et d’une épistémologie historiques.</w:t>
      </w:r>
      <w:r w:rsidRPr="00AB6C99">
        <w:rPr>
          <w:rFonts w:ascii="Times New Roman" w:eastAsiaTheme="majorEastAsia" w:hAnsi="Times New Roman" w:cs="Times New Roman"/>
          <w:sz w:val="24"/>
          <w:szCs w:val="24"/>
        </w:rPr>
        <w:t xml:space="preserve"> </w:t>
      </w:r>
    </w:p>
    <w:p w14:paraId="493AA008" w14:textId="27DD2389"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Après avoir développé l’épistémologie collingwoodienne, Ricoeur la réfute par ces mots :</w:t>
      </w:r>
      <w:r w:rsidRPr="00AB6C99">
        <w:rPr>
          <w:rFonts w:ascii="Times New Roman" w:eastAsiaTheme="majorEastAsia" w:hAnsi="Times New Roman" w:cs="Times New Roman"/>
          <w:b/>
          <w:bCs/>
          <w:sz w:val="24"/>
          <w:szCs w:val="24"/>
        </w:rPr>
        <w:t xml:space="preserve"> </w:t>
      </w:r>
      <w:r w:rsidRPr="00AB6C99">
        <w:rPr>
          <w:rFonts w:ascii="Times New Roman" w:eastAsiaTheme="majorEastAsia" w:hAnsi="Times New Roman" w:cs="Times New Roman"/>
          <w:sz w:val="24"/>
          <w:szCs w:val="24"/>
        </w:rPr>
        <w:t>« Au terme de l’analyse, on en vient à dire que l’historien ne connaît pas du tout le passé, mais seulement sa propre pensée sur le passé ; l’histoire, pourtant n’a de sens que si l’historien sait qu’il réeffectue un acte qui n’est pas le sien</w:t>
      </w:r>
      <w:r w:rsidR="0099626A">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w:t>
      </w:r>
      <w:r w:rsidR="0099626A">
        <w:rPr>
          <w:rFonts w:ascii="Times New Roman" w:eastAsiaTheme="majorEastAsia" w:hAnsi="Times New Roman" w:cs="Times New Roman"/>
          <w:sz w:val="24"/>
          <w:szCs w:val="24"/>
        </w:rPr>
        <w:t xml:space="preserve"> (Ricoeur P., 1983, p.262).</w:t>
      </w:r>
      <w:r w:rsidRPr="00AB6C99">
        <w:rPr>
          <w:rFonts w:ascii="Times New Roman" w:eastAsiaTheme="majorEastAsia" w:hAnsi="Times New Roman" w:cs="Times New Roman"/>
          <w:sz w:val="24"/>
          <w:szCs w:val="24"/>
        </w:rPr>
        <w:t xml:space="preserve"> </w:t>
      </w:r>
    </w:p>
    <w:p w14:paraId="2B111A1F" w14:textId="16838FFC"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 xml:space="preserve">En somme, Collingwood est dépeint comme celui qui introduit par l’action de l’imagination en histoire et du </w:t>
      </w:r>
      <w:r w:rsidRPr="00AB6C99">
        <w:rPr>
          <w:rFonts w:ascii="Times New Roman" w:eastAsiaTheme="majorEastAsia" w:hAnsi="Times New Roman" w:cs="Times New Roman"/>
          <w:i/>
          <w:iCs/>
          <w:sz w:val="24"/>
          <w:szCs w:val="24"/>
        </w:rPr>
        <w:t>re-enactment</w:t>
      </w:r>
      <w:r w:rsidRPr="00AB6C99">
        <w:rPr>
          <w:rFonts w:ascii="Times New Roman" w:eastAsiaTheme="majorEastAsia" w:hAnsi="Times New Roman" w:cs="Times New Roman"/>
          <w:sz w:val="24"/>
          <w:szCs w:val="24"/>
        </w:rPr>
        <w:t xml:space="preserve">, une identité entre le passé et le présent, qui est l’identité même de l’esprit de l’historien : l’historien ne peut sortir de son propre esprit, donc </w:t>
      </w:r>
      <w:r w:rsidR="006F1FB1">
        <w:rPr>
          <w:rFonts w:ascii="Times New Roman" w:eastAsiaTheme="majorEastAsia" w:hAnsi="Times New Roman" w:cs="Times New Roman"/>
          <w:sz w:val="24"/>
          <w:szCs w:val="24"/>
        </w:rPr>
        <w:t xml:space="preserve">il ne détient </w:t>
      </w:r>
      <w:r w:rsidRPr="00AB6C99">
        <w:rPr>
          <w:rFonts w:ascii="Times New Roman" w:eastAsiaTheme="majorEastAsia" w:hAnsi="Times New Roman" w:cs="Times New Roman"/>
          <w:sz w:val="24"/>
          <w:szCs w:val="24"/>
        </w:rPr>
        <w:t xml:space="preserve">aucune connaissance de l’altérité. Par ailleurs, le </w:t>
      </w:r>
      <w:r w:rsidRPr="00AB6C99">
        <w:rPr>
          <w:rFonts w:ascii="Times New Roman" w:eastAsiaTheme="majorEastAsia" w:hAnsi="Times New Roman" w:cs="Times New Roman"/>
          <w:i/>
          <w:iCs/>
          <w:sz w:val="24"/>
          <w:szCs w:val="24"/>
        </w:rPr>
        <w:t>re-enactment</w:t>
      </w:r>
      <w:r w:rsidRPr="00AB6C99">
        <w:rPr>
          <w:rFonts w:ascii="Times New Roman" w:eastAsiaTheme="majorEastAsia" w:hAnsi="Times New Roman" w:cs="Times New Roman"/>
          <w:sz w:val="24"/>
          <w:szCs w:val="24"/>
        </w:rPr>
        <w:t>, en cherchant à saisir le passé dans son authenticité, oublierait les changements apportés par le temps, oublierait donc le développement temporel et négligerait les traces</w:t>
      </w:r>
      <w:r w:rsidR="001260D6">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les traditions</w:t>
      </w:r>
      <w:r w:rsidR="001260D6">
        <w:rPr>
          <w:rFonts w:ascii="Times New Roman" w:eastAsiaTheme="majorEastAsia" w:hAnsi="Times New Roman" w:cs="Times New Roman"/>
          <w:sz w:val="24"/>
          <w:szCs w:val="24"/>
        </w:rPr>
        <w:t>, ces médiations</w:t>
      </w:r>
      <w:r w:rsidRPr="00AB6C99">
        <w:rPr>
          <w:rFonts w:ascii="Times New Roman" w:eastAsiaTheme="majorEastAsia" w:hAnsi="Times New Roman" w:cs="Times New Roman"/>
          <w:sz w:val="24"/>
          <w:szCs w:val="24"/>
        </w:rPr>
        <w:t xml:space="preserve"> qui </w:t>
      </w:r>
      <w:r w:rsidR="001260D6">
        <w:rPr>
          <w:rFonts w:ascii="Times New Roman" w:eastAsiaTheme="majorEastAsia" w:hAnsi="Times New Roman" w:cs="Times New Roman"/>
          <w:sz w:val="24"/>
          <w:szCs w:val="24"/>
        </w:rPr>
        <w:t>donnent accès</w:t>
      </w:r>
      <w:r w:rsidRPr="00AB6C99">
        <w:rPr>
          <w:rFonts w:ascii="Times New Roman" w:eastAsiaTheme="majorEastAsia" w:hAnsi="Times New Roman" w:cs="Times New Roman"/>
          <w:sz w:val="24"/>
          <w:szCs w:val="24"/>
        </w:rPr>
        <w:t xml:space="preserve"> </w:t>
      </w:r>
      <w:r w:rsidR="001260D6">
        <w:rPr>
          <w:rFonts w:ascii="Times New Roman" w:eastAsiaTheme="majorEastAsia" w:hAnsi="Times New Roman" w:cs="Times New Roman"/>
          <w:sz w:val="24"/>
          <w:szCs w:val="24"/>
        </w:rPr>
        <w:t>au</w:t>
      </w:r>
      <w:r w:rsidRPr="00AB6C99">
        <w:rPr>
          <w:rFonts w:ascii="Times New Roman" w:eastAsiaTheme="majorEastAsia" w:hAnsi="Times New Roman" w:cs="Times New Roman"/>
          <w:sz w:val="24"/>
          <w:szCs w:val="24"/>
        </w:rPr>
        <w:t xml:space="preserve"> passé. </w:t>
      </w:r>
      <w:r w:rsidR="004371C8">
        <w:rPr>
          <w:rFonts w:ascii="Times New Roman" w:eastAsiaTheme="majorEastAsia" w:hAnsi="Times New Roman" w:cs="Times New Roman"/>
          <w:sz w:val="24"/>
          <w:szCs w:val="24"/>
        </w:rPr>
        <w:t xml:space="preserve">On en revient à la critique de Marrou : le </w:t>
      </w:r>
      <w:r w:rsidR="004371C8">
        <w:rPr>
          <w:rFonts w:ascii="Times New Roman" w:eastAsiaTheme="majorEastAsia" w:hAnsi="Times New Roman" w:cs="Times New Roman"/>
          <w:i/>
          <w:iCs/>
          <w:sz w:val="24"/>
          <w:szCs w:val="24"/>
        </w:rPr>
        <w:t>re-enactment</w:t>
      </w:r>
      <w:r w:rsidR="004371C8">
        <w:rPr>
          <w:rFonts w:ascii="Times New Roman" w:eastAsiaTheme="majorEastAsia" w:hAnsi="Times New Roman" w:cs="Times New Roman"/>
          <w:sz w:val="24"/>
          <w:szCs w:val="24"/>
        </w:rPr>
        <w:t xml:space="preserve"> promet plus qu’il n’est possible à l’historien de faire, une reproduction du passé à l’identique. </w:t>
      </w:r>
      <w:r w:rsidRPr="00AB6C99">
        <w:rPr>
          <w:rFonts w:ascii="Times New Roman" w:eastAsiaTheme="majorEastAsia" w:hAnsi="Times New Roman" w:cs="Times New Roman"/>
          <w:sz w:val="24"/>
          <w:szCs w:val="24"/>
        </w:rPr>
        <w:t xml:space="preserve"> </w:t>
      </w:r>
    </w:p>
    <w:p w14:paraId="3B5E625A" w14:textId="7FEC3720" w:rsidR="00B41C2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t xml:space="preserve">On </w:t>
      </w:r>
      <w:r w:rsidR="004371C8">
        <w:rPr>
          <w:rFonts w:ascii="Times New Roman" w:eastAsiaTheme="majorEastAsia" w:hAnsi="Times New Roman" w:cs="Times New Roman"/>
          <w:sz w:val="24"/>
          <w:szCs w:val="24"/>
        </w:rPr>
        <w:t>s’étonne</w:t>
      </w:r>
      <w:r w:rsidRPr="00AB6C99">
        <w:rPr>
          <w:rFonts w:ascii="Times New Roman" w:eastAsiaTheme="majorEastAsia" w:hAnsi="Times New Roman" w:cs="Times New Roman"/>
          <w:sz w:val="24"/>
          <w:szCs w:val="24"/>
        </w:rPr>
        <w:t xml:space="preserve"> d’une telle conclusion chez Ricoeur, alors même qu’il s’appuyait sur la réflexion de Dray, et qu’il écrivait que « repenser n’était pas revivre ». </w:t>
      </w:r>
      <w:r w:rsidRPr="0099626A">
        <w:rPr>
          <w:rFonts w:ascii="Times New Roman" w:eastAsiaTheme="majorEastAsia" w:hAnsi="Times New Roman" w:cs="Times New Roman"/>
          <w:sz w:val="24"/>
          <w:szCs w:val="24"/>
        </w:rPr>
        <w:t xml:space="preserve">Ricoeur semble tirer des conclusions qui ne découlent pas des prémisses de sa réflexion : il semble aussi oublier ce que Collingwood écrit dans </w:t>
      </w:r>
      <w:r w:rsidRPr="0099626A">
        <w:rPr>
          <w:rFonts w:ascii="Times New Roman" w:eastAsiaTheme="majorEastAsia" w:hAnsi="Times New Roman" w:cs="Times New Roman"/>
          <w:i/>
          <w:iCs/>
          <w:sz w:val="24"/>
          <w:szCs w:val="24"/>
        </w:rPr>
        <w:t>The Idea of history</w:t>
      </w:r>
      <w:r w:rsidRPr="0099626A">
        <w:rPr>
          <w:rFonts w:ascii="Times New Roman" w:eastAsiaTheme="majorEastAsia" w:hAnsi="Times New Roman" w:cs="Times New Roman"/>
          <w:sz w:val="24"/>
          <w:szCs w:val="24"/>
        </w:rPr>
        <w:t xml:space="preserve"> à propos de l’objet d’études de l’histoire : « </w:t>
      </w:r>
      <w:r w:rsidR="0099626A" w:rsidRPr="0099626A">
        <w:rPr>
          <w:rFonts w:ascii="Times New Roman" w:eastAsiaTheme="majorEastAsia" w:hAnsi="Times New Roman" w:cs="Times New Roman"/>
          <w:sz w:val="24"/>
          <w:szCs w:val="24"/>
        </w:rPr>
        <w:t>Troisièmement,</w:t>
      </w:r>
      <w:r w:rsidR="0099626A">
        <w:rPr>
          <w:rFonts w:ascii="Times New Roman" w:eastAsiaTheme="majorEastAsia" w:hAnsi="Times New Roman" w:cs="Times New Roman"/>
          <w:sz w:val="24"/>
          <w:szCs w:val="24"/>
        </w:rPr>
        <w:t xml:space="preserve"> la pensée elle-même, dans son immédiateté en tant qu’acte unique de la pensée dans son contexte unique au sein de la vie d’un penseur individuel, n’est pas l’objet de la connaissance historique. Elle ne peut être ré-effectuée ; si elle le pouvait, le temps lui-même serait annulé et l’historien serait la personne à propos de laquelle il pense, vivant à nouveau et sous tous les aspects de manière identique » (Collingwood R.G., 1946, p.303)</w:t>
      </w:r>
      <w:r w:rsidR="00E620A2">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 xml:space="preserve">Ricoeur affirme un effacement de la distance temporelle chez Collingwood que Collingwood lui-même refuse. Enfin dans </w:t>
      </w:r>
      <w:r w:rsidRPr="00AB6C99">
        <w:rPr>
          <w:rFonts w:ascii="Times New Roman" w:eastAsiaTheme="majorEastAsia" w:hAnsi="Times New Roman" w:cs="Times New Roman"/>
          <w:i/>
          <w:iCs/>
          <w:sz w:val="24"/>
          <w:szCs w:val="24"/>
        </w:rPr>
        <w:t>La mémoire, l’histoire et l’oubli</w:t>
      </w:r>
      <w:r w:rsidRPr="00AB6C99">
        <w:rPr>
          <w:rFonts w:ascii="Times New Roman" w:eastAsiaTheme="majorEastAsia" w:hAnsi="Times New Roman" w:cs="Times New Roman"/>
          <w:sz w:val="24"/>
          <w:szCs w:val="24"/>
        </w:rPr>
        <w:t xml:space="preserve">, en 2000, Ricoeur va plus loin, puisqu’il abandonne toute précaution et qu’il compare Collingwood à Michelet, le </w:t>
      </w:r>
      <w:r w:rsidRPr="00AB6C99">
        <w:rPr>
          <w:rFonts w:ascii="Times New Roman" w:eastAsiaTheme="majorEastAsia" w:hAnsi="Times New Roman" w:cs="Times New Roman"/>
          <w:i/>
          <w:iCs/>
          <w:sz w:val="24"/>
          <w:szCs w:val="24"/>
        </w:rPr>
        <w:t>re-enactment</w:t>
      </w:r>
      <w:r w:rsidRPr="00AB6C99">
        <w:rPr>
          <w:rFonts w:ascii="Times New Roman" w:eastAsiaTheme="majorEastAsia" w:hAnsi="Times New Roman" w:cs="Times New Roman"/>
          <w:sz w:val="24"/>
          <w:szCs w:val="24"/>
        </w:rPr>
        <w:t xml:space="preserve"> est compris alors comme la « résurrection »</w:t>
      </w:r>
      <w:r w:rsidR="00E17E28">
        <w:rPr>
          <w:rFonts w:ascii="Times New Roman" w:eastAsiaTheme="majorEastAsia" w:hAnsi="Times New Roman" w:cs="Times New Roman"/>
          <w:sz w:val="24"/>
          <w:szCs w:val="24"/>
        </w:rPr>
        <w:t xml:space="preserve"> du passé</w:t>
      </w:r>
      <w:r w:rsidRPr="00AB6C99">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vertAlign w:val="superscript"/>
        </w:rPr>
        <w:footnoteReference w:id="18"/>
      </w:r>
      <w:r w:rsidRPr="00AB6C99">
        <w:rPr>
          <w:rFonts w:ascii="Times New Roman" w:eastAsiaTheme="majorEastAsia" w:hAnsi="Times New Roman" w:cs="Times New Roman"/>
          <w:sz w:val="24"/>
          <w:szCs w:val="24"/>
        </w:rPr>
        <w:t xml:space="preserve"> </w:t>
      </w:r>
      <w:r w:rsidR="00B20F4C">
        <w:rPr>
          <w:rFonts w:ascii="Times New Roman" w:eastAsiaTheme="majorEastAsia" w:hAnsi="Times New Roman" w:cs="Times New Roman"/>
          <w:sz w:val="24"/>
          <w:szCs w:val="24"/>
        </w:rPr>
        <w:t xml:space="preserve">Un rapprochement de Collingwood et Michelet déjà </w:t>
      </w:r>
      <w:r w:rsidR="000B6F55">
        <w:rPr>
          <w:rFonts w:ascii="Times New Roman" w:eastAsiaTheme="majorEastAsia" w:hAnsi="Times New Roman" w:cs="Times New Roman"/>
          <w:sz w:val="24"/>
          <w:szCs w:val="24"/>
        </w:rPr>
        <w:t>opéré par</w:t>
      </w:r>
      <w:r w:rsidR="00B20F4C">
        <w:rPr>
          <w:rFonts w:ascii="Times New Roman" w:eastAsiaTheme="majorEastAsia" w:hAnsi="Times New Roman" w:cs="Times New Roman"/>
          <w:sz w:val="24"/>
          <w:szCs w:val="24"/>
        </w:rPr>
        <w:t xml:space="preserve"> Marrou</w:t>
      </w:r>
      <w:r w:rsidR="00E620A2">
        <w:rPr>
          <w:rFonts w:ascii="Times New Roman" w:eastAsiaTheme="majorEastAsia" w:hAnsi="Times New Roman" w:cs="Times New Roman"/>
          <w:sz w:val="24"/>
          <w:szCs w:val="24"/>
        </w:rPr>
        <w:t xml:space="preserve"> (Marrou H.-I., 1959 p.40).</w:t>
      </w:r>
      <w:r w:rsidR="00B20F4C">
        <w:rPr>
          <w:rFonts w:ascii="Times New Roman" w:eastAsiaTheme="majorEastAsia" w:hAnsi="Times New Roman" w:cs="Times New Roman"/>
          <w:sz w:val="24"/>
          <w:szCs w:val="24"/>
        </w:rPr>
        <w:t xml:space="preserve"> </w:t>
      </w:r>
    </w:p>
    <w:p w14:paraId="389EB75D" w14:textId="6743585A" w:rsidR="00AB6C99" w:rsidRPr="003D3C9E" w:rsidRDefault="00AB6C99" w:rsidP="0063157C">
      <w:pPr>
        <w:spacing w:line="360" w:lineRule="auto"/>
        <w:ind w:firstLine="708"/>
        <w:jc w:val="both"/>
        <w:rPr>
          <w:rFonts w:ascii="Times New Roman" w:eastAsiaTheme="majorEastAsia" w:hAnsi="Times New Roman" w:cs="Times New Roman"/>
          <w:sz w:val="24"/>
          <w:szCs w:val="24"/>
        </w:rPr>
      </w:pPr>
      <w:r w:rsidRPr="00F10F7F">
        <w:rPr>
          <w:rFonts w:ascii="Times New Roman" w:eastAsiaTheme="majorEastAsia" w:hAnsi="Times New Roman" w:cs="Times New Roman"/>
          <w:sz w:val="24"/>
          <w:szCs w:val="24"/>
        </w:rPr>
        <w:t xml:space="preserve">Les récentes publications des textes consacrés à l’anthropologie chez Collingwood tendent à disqualifier complètement la thèse ricoeurienne. Car si Collingwood est l’exemple du genre du « Même » en histoire, c’est qu’il s’opposerait à </w:t>
      </w:r>
      <w:r w:rsidR="00B41C29" w:rsidRPr="00F10F7F">
        <w:rPr>
          <w:rFonts w:ascii="Times New Roman" w:eastAsiaTheme="majorEastAsia" w:hAnsi="Times New Roman" w:cs="Times New Roman"/>
          <w:sz w:val="24"/>
          <w:szCs w:val="24"/>
        </w:rPr>
        <w:t>« </w:t>
      </w:r>
      <w:r w:rsidRPr="00F10F7F">
        <w:rPr>
          <w:rFonts w:ascii="Times New Roman" w:eastAsiaTheme="majorEastAsia" w:hAnsi="Times New Roman" w:cs="Times New Roman"/>
          <w:sz w:val="24"/>
          <w:szCs w:val="24"/>
        </w:rPr>
        <w:t>l’Autre</w:t>
      </w:r>
      <w:r w:rsidR="00B41C29" w:rsidRPr="00F10F7F">
        <w:rPr>
          <w:rFonts w:ascii="Times New Roman" w:eastAsiaTheme="majorEastAsia" w:hAnsi="Times New Roman" w:cs="Times New Roman"/>
          <w:sz w:val="24"/>
          <w:szCs w:val="24"/>
        </w:rPr>
        <w:t> »</w:t>
      </w:r>
      <w:r w:rsidRPr="00F10F7F">
        <w:rPr>
          <w:rFonts w:ascii="Times New Roman" w:eastAsiaTheme="majorEastAsia" w:hAnsi="Times New Roman" w:cs="Times New Roman"/>
          <w:sz w:val="24"/>
          <w:szCs w:val="24"/>
        </w:rPr>
        <w:t xml:space="preserve">, </w:t>
      </w:r>
      <w:r w:rsidR="009C2774" w:rsidRPr="00F10F7F">
        <w:rPr>
          <w:rFonts w:ascii="Times New Roman" w:eastAsiaTheme="majorEastAsia" w:hAnsi="Times New Roman" w:cs="Times New Roman"/>
          <w:sz w:val="24"/>
          <w:szCs w:val="24"/>
        </w:rPr>
        <w:t>et qu’il n’aurait pas conscience</w:t>
      </w:r>
      <w:r w:rsidRPr="00F10F7F">
        <w:rPr>
          <w:rFonts w:ascii="Times New Roman" w:eastAsiaTheme="majorEastAsia" w:hAnsi="Times New Roman" w:cs="Times New Roman"/>
          <w:sz w:val="24"/>
          <w:szCs w:val="24"/>
        </w:rPr>
        <w:t xml:space="preserve"> de </w:t>
      </w:r>
      <w:r w:rsidR="00B41C29" w:rsidRPr="00F10F7F">
        <w:rPr>
          <w:rFonts w:ascii="Times New Roman" w:eastAsiaTheme="majorEastAsia" w:hAnsi="Times New Roman" w:cs="Times New Roman"/>
          <w:sz w:val="24"/>
          <w:szCs w:val="24"/>
        </w:rPr>
        <w:t>l’</w:t>
      </w:r>
      <w:r w:rsidRPr="00F10F7F">
        <w:rPr>
          <w:rFonts w:ascii="Times New Roman" w:eastAsiaTheme="majorEastAsia" w:hAnsi="Times New Roman" w:cs="Times New Roman"/>
          <w:sz w:val="24"/>
          <w:szCs w:val="24"/>
        </w:rPr>
        <w:t>altérité des être</w:t>
      </w:r>
      <w:r w:rsidR="009C2774" w:rsidRPr="00F10F7F">
        <w:rPr>
          <w:rFonts w:ascii="Times New Roman" w:eastAsiaTheme="majorEastAsia" w:hAnsi="Times New Roman" w:cs="Times New Roman"/>
          <w:sz w:val="24"/>
          <w:szCs w:val="24"/>
        </w:rPr>
        <w:t>s</w:t>
      </w:r>
      <w:r w:rsidRPr="00F10F7F">
        <w:rPr>
          <w:rFonts w:ascii="Times New Roman" w:eastAsiaTheme="majorEastAsia" w:hAnsi="Times New Roman" w:cs="Times New Roman"/>
          <w:sz w:val="24"/>
          <w:szCs w:val="24"/>
        </w:rPr>
        <w:t xml:space="preserve"> du passé</w:t>
      </w:r>
      <w:r w:rsidRPr="00AB6C99">
        <w:rPr>
          <w:rFonts w:ascii="Times New Roman" w:eastAsiaTheme="majorEastAsia" w:hAnsi="Times New Roman" w:cs="Times New Roman"/>
          <w:sz w:val="24"/>
          <w:szCs w:val="24"/>
        </w:rPr>
        <w:t xml:space="preserve">. Or, Collingwood dans ses écrits anthropologiques ne cesse de critiquer la vision </w:t>
      </w:r>
      <w:r w:rsidR="009C2774">
        <w:rPr>
          <w:rFonts w:ascii="Times New Roman" w:eastAsiaTheme="majorEastAsia" w:hAnsi="Times New Roman" w:cs="Times New Roman"/>
          <w:sz w:val="24"/>
          <w:szCs w:val="24"/>
        </w:rPr>
        <w:t xml:space="preserve">des </w:t>
      </w:r>
      <w:r w:rsidR="00BA67F6">
        <w:rPr>
          <w:rFonts w:ascii="Times New Roman" w:eastAsiaTheme="majorEastAsia" w:hAnsi="Times New Roman" w:cs="Times New Roman"/>
          <w:sz w:val="24"/>
          <w:szCs w:val="24"/>
        </w:rPr>
        <w:t>anthropologues</w:t>
      </w:r>
      <w:r w:rsidRPr="00AB6C99">
        <w:rPr>
          <w:rFonts w:ascii="Times New Roman" w:eastAsiaTheme="majorEastAsia" w:hAnsi="Times New Roman" w:cs="Times New Roman"/>
          <w:sz w:val="24"/>
          <w:szCs w:val="24"/>
        </w:rPr>
        <w:t xml:space="preserve"> qui cherche</w:t>
      </w:r>
      <w:r w:rsidR="009C2774">
        <w:rPr>
          <w:rFonts w:ascii="Times New Roman" w:eastAsiaTheme="majorEastAsia" w:hAnsi="Times New Roman" w:cs="Times New Roman"/>
          <w:sz w:val="24"/>
          <w:szCs w:val="24"/>
        </w:rPr>
        <w:t>nt</w:t>
      </w:r>
      <w:r w:rsidRPr="00AB6C99">
        <w:rPr>
          <w:rFonts w:ascii="Times New Roman" w:eastAsiaTheme="majorEastAsia" w:hAnsi="Times New Roman" w:cs="Times New Roman"/>
          <w:sz w:val="24"/>
          <w:szCs w:val="24"/>
        </w:rPr>
        <w:t xml:space="preserve"> à réduire le passé, ou les différences culture</w:t>
      </w:r>
      <w:r w:rsidR="00B41C29">
        <w:rPr>
          <w:rFonts w:ascii="Times New Roman" w:eastAsiaTheme="majorEastAsia" w:hAnsi="Times New Roman" w:cs="Times New Roman"/>
          <w:sz w:val="24"/>
          <w:szCs w:val="24"/>
        </w:rPr>
        <w:t>l</w:t>
      </w:r>
      <w:r w:rsidR="000A6FC7">
        <w:rPr>
          <w:rFonts w:ascii="Times New Roman" w:eastAsiaTheme="majorEastAsia" w:hAnsi="Times New Roman" w:cs="Times New Roman"/>
          <w:sz w:val="24"/>
          <w:szCs w:val="24"/>
        </w:rPr>
        <w:t>le</w:t>
      </w:r>
      <w:r w:rsidR="00B41C29">
        <w:rPr>
          <w:rFonts w:ascii="Times New Roman" w:eastAsiaTheme="majorEastAsia" w:hAnsi="Times New Roman" w:cs="Times New Roman"/>
          <w:sz w:val="24"/>
          <w:szCs w:val="24"/>
        </w:rPr>
        <w:t>s</w:t>
      </w:r>
      <w:r w:rsidRPr="00AB6C99">
        <w:rPr>
          <w:rFonts w:ascii="Times New Roman" w:eastAsiaTheme="majorEastAsia" w:hAnsi="Times New Roman" w:cs="Times New Roman"/>
          <w:sz w:val="24"/>
          <w:szCs w:val="24"/>
        </w:rPr>
        <w:t>, en ne les saisissant qu’à travers un seul prisme, un même prisme, celui de la culture britannique</w:t>
      </w:r>
      <w:r w:rsidR="002B0784">
        <w:rPr>
          <w:rFonts w:ascii="Times New Roman" w:eastAsiaTheme="majorEastAsia" w:hAnsi="Times New Roman" w:cs="Times New Roman"/>
          <w:sz w:val="24"/>
          <w:szCs w:val="24"/>
        </w:rPr>
        <w:t>, ou bien en réduisant toute pensée religieuse et magique à une forme de sauvagerie pré-rationnelle</w:t>
      </w:r>
      <w:r w:rsidR="00E620A2">
        <w:rPr>
          <w:rFonts w:ascii="Times New Roman" w:eastAsiaTheme="majorEastAsia" w:hAnsi="Times New Roman" w:cs="Times New Roman"/>
          <w:sz w:val="24"/>
          <w:szCs w:val="24"/>
        </w:rPr>
        <w:t xml:space="preserve"> (Collingwood R.G., 2004, p.147-148)</w:t>
      </w:r>
      <w:r w:rsidRPr="00AB6C99">
        <w:rPr>
          <w:rFonts w:ascii="Times New Roman" w:eastAsiaTheme="majorEastAsia" w:hAnsi="Times New Roman" w:cs="Times New Roman"/>
          <w:sz w:val="24"/>
          <w:szCs w:val="24"/>
        </w:rPr>
        <w:t>. Et Collingwood d’affirmer la nécessité d’une prise de conscience de l’altérité, et d’une compréhension sympathique</w:t>
      </w:r>
      <w:r w:rsidR="00B703D4">
        <w:rPr>
          <w:rStyle w:val="Appelnotedebasdep"/>
          <w:rFonts w:ascii="Times New Roman" w:eastAsiaTheme="majorEastAsia" w:hAnsi="Times New Roman" w:cs="Times New Roman"/>
          <w:sz w:val="24"/>
          <w:szCs w:val="24"/>
        </w:rPr>
        <w:footnoteReference w:id="19"/>
      </w:r>
      <w:r w:rsidRPr="00AB6C99">
        <w:rPr>
          <w:rFonts w:ascii="Times New Roman" w:eastAsiaTheme="majorEastAsia" w:hAnsi="Times New Roman" w:cs="Times New Roman"/>
          <w:sz w:val="24"/>
          <w:szCs w:val="24"/>
        </w:rPr>
        <w:t xml:space="preserve"> de ce qui fait la différence des cultures, ainsi que la différence historique. </w:t>
      </w:r>
    </w:p>
    <w:p w14:paraId="3BED4047" w14:textId="69C682C9"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r>
      <w:r w:rsidR="000B6F55" w:rsidRPr="000B6F55">
        <w:rPr>
          <w:rFonts w:ascii="Times New Roman" w:eastAsiaTheme="majorEastAsia" w:hAnsi="Times New Roman" w:cs="Times New Roman"/>
          <w:sz w:val="24"/>
          <w:szCs w:val="24"/>
        </w:rPr>
        <w:t xml:space="preserve">Ainsi, l’auteur de </w:t>
      </w:r>
      <w:r w:rsidR="000B6F55" w:rsidRPr="000B6F55">
        <w:rPr>
          <w:rFonts w:ascii="Times New Roman" w:eastAsiaTheme="majorEastAsia" w:hAnsi="Times New Roman" w:cs="Times New Roman"/>
          <w:i/>
          <w:iCs/>
          <w:sz w:val="24"/>
          <w:szCs w:val="24"/>
        </w:rPr>
        <w:t>The Idea of History</w:t>
      </w:r>
      <w:r w:rsidR="000B6F55" w:rsidRPr="000B6F55">
        <w:rPr>
          <w:rFonts w:ascii="Times New Roman" w:eastAsiaTheme="majorEastAsia" w:hAnsi="Times New Roman" w:cs="Times New Roman"/>
          <w:sz w:val="24"/>
          <w:szCs w:val="24"/>
        </w:rPr>
        <w:t xml:space="preserve"> qui </w:t>
      </w:r>
      <w:r w:rsidRPr="00AB6C99">
        <w:rPr>
          <w:rFonts w:ascii="Times New Roman" w:eastAsiaTheme="majorEastAsia" w:hAnsi="Times New Roman" w:cs="Times New Roman"/>
          <w:sz w:val="24"/>
          <w:szCs w:val="24"/>
        </w:rPr>
        <w:t>critiquait ses contemporains</w:t>
      </w:r>
      <w:r w:rsidR="00AB1C39">
        <w:rPr>
          <w:rFonts w:ascii="Times New Roman" w:eastAsiaTheme="majorEastAsia" w:hAnsi="Times New Roman" w:cs="Times New Roman"/>
          <w:sz w:val="24"/>
          <w:szCs w:val="24"/>
        </w:rPr>
        <w:t xml:space="preserve"> amateurs d’une </w:t>
      </w:r>
      <w:r w:rsidR="00AB1C39">
        <w:rPr>
          <w:rFonts w:ascii="Times New Roman" w:eastAsiaTheme="majorEastAsia" w:hAnsi="Times New Roman" w:cs="Times New Roman"/>
          <w:i/>
          <w:iCs/>
          <w:sz w:val="24"/>
          <w:szCs w:val="24"/>
        </w:rPr>
        <w:t>philosophia perennis</w:t>
      </w:r>
      <w:r w:rsidR="000B6F55">
        <w:rPr>
          <w:rFonts w:ascii="Times New Roman" w:eastAsiaTheme="majorEastAsia" w:hAnsi="Times New Roman" w:cs="Times New Roman"/>
          <w:sz w:val="24"/>
          <w:szCs w:val="24"/>
        </w:rPr>
        <w:t xml:space="preserve"> et </w:t>
      </w:r>
      <w:r w:rsidRPr="00AB6C99">
        <w:rPr>
          <w:rFonts w:ascii="Times New Roman" w:eastAsiaTheme="majorEastAsia" w:hAnsi="Times New Roman" w:cs="Times New Roman"/>
          <w:sz w:val="24"/>
          <w:szCs w:val="24"/>
        </w:rPr>
        <w:t xml:space="preserve">qui écrivait dans </w:t>
      </w:r>
      <w:r w:rsidRPr="00AB6C99">
        <w:rPr>
          <w:rFonts w:ascii="Times New Roman" w:eastAsiaTheme="majorEastAsia" w:hAnsi="Times New Roman" w:cs="Times New Roman"/>
          <w:i/>
          <w:iCs/>
          <w:sz w:val="24"/>
          <w:szCs w:val="24"/>
        </w:rPr>
        <w:t>An Autobiography</w:t>
      </w:r>
      <w:r w:rsidRPr="00AB6C99">
        <w:rPr>
          <w:rFonts w:ascii="Times New Roman" w:eastAsiaTheme="majorEastAsia" w:hAnsi="Times New Roman" w:cs="Times New Roman"/>
          <w:sz w:val="24"/>
          <w:szCs w:val="24"/>
        </w:rPr>
        <w:t xml:space="preserve"> contre les réalistes qu’on ne pouvait saisir un problème du passé sans comprendre la question qui lui était préalable, et qu’il fallait refuser d’annuler le temps pour mettre côte à côte les réflexions politique de Hobbes et de Platon, comme s’ils se répondaient sur le même sujet à des siècles d’écart,</w:t>
      </w:r>
      <w:r w:rsidR="000B6F55">
        <w:rPr>
          <w:rFonts w:ascii="Times New Roman" w:eastAsiaTheme="majorEastAsia" w:hAnsi="Times New Roman" w:cs="Times New Roman"/>
          <w:sz w:val="24"/>
          <w:szCs w:val="24"/>
        </w:rPr>
        <w:t xml:space="preserve"> un tel historien n’aurait pu désirer identifier le passé et le présent. </w:t>
      </w:r>
    </w:p>
    <w:p w14:paraId="300266F7" w14:textId="1DA16E75" w:rsidR="00AB6C99" w:rsidRPr="00AB6C99"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r>
      <w:r w:rsidR="00B4721C">
        <w:rPr>
          <w:rFonts w:ascii="Times New Roman" w:eastAsiaTheme="majorEastAsia" w:hAnsi="Times New Roman" w:cs="Times New Roman"/>
          <w:sz w:val="24"/>
          <w:szCs w:val="24"/>
        </w:rPr>
        <w:t>On ne peut se</w:t>
      </w:r>
      <w:r w:rsidRPr="00AB6C99">
        <w:rPr>
          <w:rFonts w:ascii="Times New Roman" w:eastAsiaTheme="majorEastAsia" w:hAnsi="Times New Roman" w:cs="Times New Roman"/>
          <w:sz w:val="24"/>
          <w:szCs w:val="24"/>
        </w:rPr>
        <w:t xml:space="preserve"> satisfaire de cette conclusion de Ricoeur, et pourtant on en comprend les ressorts. A nouveau, comme chez Marrou, Collingwood est disqualifié trop aisément, parce qu’à l’origine il est compris comme un auteur génial, mais trop confus, trop négligeant à l’égard de la méthode historique</w:t>
      </w:r>
      <w:r w:rsidR="00E20AA8">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rPr>
        <w:t xml:space="preserve"> Collingwood en France, au sein du débat historiographique dirigé par</w:t>
      </w:r>
      <w:r w:rsidR="00345B1A">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Marrou,</w:t>
      </w:r>
      <w:r w:rsidR="00345B1A">
        <w:rPr>
          <w:rFonts w:ascii="Times New Roman" w:eastAsiaTheme="majorEastAsia" w:hAnsi="Times New Roman" w:cs="Times New Roman"/>
          <w:sz w:val="24"/>
          <w:szCs w:val="24"/>
        </w:rPr>
        <w:t xml:space="preserve"> inspiré par Aron,</w:t>
      </w:r>
      <w:r w:rsidRPr="00AB6C99">
        <w:rPr>
          <w:rFonts w:ascii="Times New Roman" w:eastAsiaTheme="majorEastAsia" w:hAnsi="Times New Roman" w:cs="Times New Roman"/>
          <w:sz w:val="24"/>
          <w:szCs w:val="24"/>
        </w:rPr>
        <w:t xml:space="preserve"> poursuivi ici par Ricoeur, n’occupe pas la place qui devrait lui revenir. </w:t>
      </w:r>
      <w:r w:rsidR="00B06995">
        <w:rPr>
          <w:rFonts w:ascii="Times New Roman" w:eastAsiaTheme="majorEastAsia" w:hAnsi="Times New Roman" w:cs="Times New Roman"/>
          <w:sz w:val="24"/>
          <w:szCs w:val="24"/>
        </w:rPr>
        <w:t>Ce biais interprétatif est dû, comme nous l’avons vu</w:t>
      </w:r>
      <w:r w:rsidR="00345B1A">
        <w:rPr>
          <w:rFonts w:ascii="Times New Roman" w:eastAsiaTheme="majorEastAsia" w:hAnsi="Times New Roman" w:cs="Times New Roman"/>
          <w:sz w:val="24"/>
          <w:szCs w:val="24"/>
        </w:rPr>
        <w:t>,</w:t>
      </w:r>
      <w:r w:rsidR="00B06995">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aux premières vagues de critiques à son égard, de la part des commentateurs britanniques, mais aussi francophones</w:t>
      </w:r>
      <w:r w:rsidR="00B06995">
        <w:rPr>
          <w:rFonts w:ascii="Times New Roman" w:eastAsiaTheme="majorEastAsia" w:hAnsi="Times New Roman" w:cs="Times New Roman"/>
          <w:sz w:val="24"/>
          <w:szCs w:val="24"/>
        </w:rPr>
        <w:t xml:space="preserve">. </w:t>
      </w:r>
      <w:r w:rsidRPr="00AB6C99">
        <w:rPr>
          <w:rFonts w:ascii="Times New Roman" w:eastAsiaTheme="majorEastAsia" w:hAnsi="Times New Roman" w:cs="Times New Roman"/>
          <w:sz w:val="24"/>
          <w:szCs w:val="24"/>
        </w:rPr>
        <w:t>On note aussi que Collingwood n’est compris que sur le terrain de l’épistémologie historique. Il est utilisé comme un allié dans le combat contre le positivisme, mais dès qu’il faut s’intéresser à ses arguments constructifs, et non seulement critiques, on en souligne les limites, et on l’écarte. Il est un épouvantail dans l’épistémologie historique. Il s’agit donc, d’une part</w:t>
      </w:r>
      <w:r w:rsidR="00F67DD7">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rPr>
        <w:t xml:space="preserve"> d’écarter son épistémologie : il s’est égaré dans sa théorie de la connaissance en négligeant un aspect fondamental du travail de l’historien, sa distance à l’égard du passé. </w:t>
      </w:r>
      <w:r w:rsidR="00F67DD7">
        <w:rPr>
          <w:rFonts w:ascii="Times New Roman" w:eastAsiaTheme="majorEastAsia" w:hAnsi="Times New Roman" w:cs="Times New Roman"/>
          <w:sz w:val="24"/>
          <w:szCs w:val="24"/>
        </w:rPr>
        <w:t>D’autre part</w:t>
      </w:r>
      <w:r w:rsidRPr="00AB6C99">
        <w:rPr>
          <w:rFonts w:ascii="Times New Roman" w:eastAsiaTheme="majorEastAsia" w:hAnsi="Times New Roman" w:cs="Times New Roman"/>
          <w:sz w:val="24"/>
          <w:szCs w:val="24"/>
        </w:rPr>
        <w:t xml:space="preserve">, </w:t>
      </w:r>
      <w:r w:rsidR="00F67DD7">
        <w:rPr>
          <w:rFonts w:ascii="Times New Roman" w:eastAsiaTheme="majorEastAsia" w:hAnsi="Times New Roman" w:cs="Times New Roman"/>
          <w:sz w:val="24"/>
          <w:szCs w:val="24"/>
        </w:rPr>
        <w:t>en suivant</w:t>
      </w:r>
      <w:r w:rsidRPr="00AB6C99">
        <w:rPr>
          <w:rFonts w:ascii="Times New Roman" w:eastAsiaTheme="majorEastAsia" w:hAnsi="Times New Roman" w:cs="Times New Roman"/>
          <w:sz w:val="24"/>
          <w:szCs w:val="24"/>
        </w:rPr>
        <w:t xml:space="preserve"> Shalom, on disqualifie la métaphysique de Collingwood jugée trop </w:t>
      </w:r>
      <w:r w:rsidR="008C6357" w:rsidRPr="00AB6C99">
        <w:rPr>
          <w:rFonts w:ascii="Times New Roman" w:eastAsiaTheme="majorEastAsia" w:hAnsi="Times New Roman" w:cs="Times New Roman"/>
          <w:sz w:val="24"/>
          <w:szCs w:val="24"/>
        </w:rPr>
        <w:t xml:space="preserve">hégélienne, </w:t>
      </w:r>
      <w:r w:rsidR="008C6357">
        <w:rPr>
          <w:rFonts w:ascii="Times New Roman" w:eastAsiaTheme="majorEastAsia" w:hAnsi="Times New Roman" w:cs="Times New Roman"/>
          <w:sz w:val="24"/>
          <w:szCs w:val="24"/>
        </w:rPr>
        <w:t>et</w:t>
      </w:r>
      <w:r w:rsidR="00303AA7">
        <w:rPr>
          <w:rFonts w:ascii="Times New Roman" w:eastAsiaTheme="majorEastAsia" w:hAnsi="Times New Roman" w:cs="Times New Roman"/>
          <w:sz w:val="24"/>
          <w:szCs w:val="24"/>
        </w:rPr>
        <w:t xml:space="preserve"> inspirée d’un idéalisme crocéen</w:t>
      </w:r>
      <w:r w:rsidRPr="00AB6C99">
        <w:rPr>
          <w:rFonts w:ascii="Times New Roman" w:eastAsiaTheme="majorEastAsia" w:hAnsi="Times New Roman" w:cs="Times New Roman"/>
          <w:sz w:val="24"/>
          <w:szCs w:val="24"/>
        </w:rPr>
        <w:t xml:space="preserve"> qui aboutit à cette aporie que Ricoeur souligne : l’historien ne connait</w:t>
      </w:r>
      <w:r w:rsidR="00FC572C">
        <w:rPr>
          <w:rFonts w:ascii="Times New Roman" w:eastAsiaTheme="majorEastAsia" w:hAnsi="Times New Roman" w:cs="Times New Roman"/>
          <w:sz w:val="24"/>
          <w:szCs w:val="24"/>
        </w:rPr>
        <w:t>rait</w:t>
      </w:r>
      <w:r w:rsidRPr="00AB6C99">
        <w:rPr>
          <w:rFonts w:ascii="Times New Roman" w:eastAsiaTheme="majorEastAsia" w:hAnsi="Times New Roman" w:cs="Times New Roman"/>
          <w:sz w:val="24"/>
          <w:szCs w:val="24"/>
        </w:rPr>
        <w:t xml:space="preserve"> que son propre esprit et non </w:t>
      </w:r>
      <w:r w:rsidR="00303AA7">
        <w:rPr>
          <w:rFonts w:ascii="Times New Roman" w:eastAsiaTheme="majorEastAsia" w:hAnsi="Times New Roman" w:cs="Times New Roman"/>
          <w:sz w:val="24"/>
          <w:szCs w:val="24"/>
        </w:rPr>
        <w:t>la réalité du passé</w:t>
      </w:r>
      <w:r w:rsidR="00B4721C">
        <w:rPr>
          <w:rFonts w:ascii="Times New Roman" w:eastAsiaTheme="majorEastAsia" w:hAnsi="Times New Roman" w:cs="Times New Roman"/>
          <w:sz w:val="24"/>
          <w:szCs w:val="24"/>
        </w:rPr>
        <w:t>, l’historien serait pris dans l’impasse de l’idéalisme subjectif.</w:t>
      </w:r>
    </w:p>
    <w:p w14:paraId="0B24CDEA" w14:textId="5C9991E4" w:rsidR="000F3C2D" w:rsidRDefault="00AB6C99" w:rsidP="0063157C">
      <w:pPr>
        <w:spacing w:line="360" w:lineRule="auto"/>
        <w:jc w:val="both"/>
        <w:rPr>
          <w:rFonts w:ascii="Times New Roman" w:eastAsiaTheme="majorEastAsia" w:hAnsi="Times New Roman" w:cs="Times New Roman"/>
          <w:sz w:val="24"/>
          <w:szCs w:val="24"/>
        </w:rPr>
      </w:pPr>
      <w:r w:rsidRPr="00AB6C99">
        <w:rPr>
          <w:rFonts w:ascii="Times New Roman" w:eastAsiaTheme="majorEastAsia" w:hAnsi="Times New Roman" w:cs="Times New Roman"/>
          <w:sz w:val="24"/>
          <w:szCs w:val="24"/>
        </w:rPr>
        <w:tab/>
      </w:r>
      <w:r w:rsidR="000A6FC7">
        <w:rPr>
          <w:rFonts w:ascii="Times New Roman" w:eastAsiaTheme="majorEastAsia" w:hAnsi="Times New Roman" w:cs="Times New Roman"/>
          <w:sz w:val="24"/>
          <w:szCs w:val="24"/>
        </w:rPr>
        <w:t xml:space="preserve">Cependant, </w:t>
      </w:r>
      <w:r w:rsidRPr="00AB6C99">
        <w:rPr>
          <w:rFonts w:ascii="Times New Roman" w:eastAsiaTheme="majorEastAsia" w:hAnsi="Times New Roman" w:cs="Times New Roman"/>
          <w:sz w:val="24"/>
          <w:szCs w:val="24"/>
        </w:rPr>
        <w:t xml:space="preserve">tout un continent </w:t>
      </w:r>
      <w:r w:rsidR="000A6FC7">
        <w:rPr>
          <w:rFonts w:ascii="Times New Roman" w:eastAsiaTheme="majorEastAsia" w:hAnsi="Times New Roman" w:cs="Times New Roman"/>
          <w:sz w:val="24"/>
          <w:szCs w:val="24"/>
        </w:rPr>
        <w:t xml:space="preserve">de Collingwood </w:t>
      </w:r>
      <w:r w:rsidR="00F67DD7">
        <w:rPr>
          <w:rFonts w:ascii="Times New Roman" w:eastAsiaTheme="majorEastAsia" w:hAnsi="Times New Roman" w:cs="Times New Roman"/>
          <w:sz w:val="24"/>
          <w:szCs w:val="24"/>
        </w:rPr>
        <w:t>est délaissé</w:t>
      </w:r>
      <w:r w:rsidRPr="00AB6C99">
        <w:rPr>
          <w:rFonts w:ascii="Times New Roman" w:eastAsiaTheme="majorEastAsia" w:hAnsi="Times New Roman" w:cs="Times New Roman"/>
          <w:sz w:val="24"/>
          <w:szCs w:val="24"/>
        </w:rPr>
        <w:t> : sa philosophie de l’art, sa théorie des concepts philosophiques, sa définition des présuppositions absolues, son anthropologie, sa philosophie morale</w:t>
      </w:r>
      <w:r w:rsidR="00326C11">
        <w:rPr>
          <w:rFonts w:ascii="Times New Roman" w:eastAsiaTheme="majorEastAsia" w:hAnsi="Times New Roman" w:cs="Times New Roman"/>
          <w:sz w:val="24"/>
          <w:szCs w:val="24"/>
        </w:rPr>
        <w:t xml:space="preserve"> </w:t>
      </w:r>
      <w:r w:rsidR="00F67DD7">
        <w:rPr>
          <w:rFonts w:ascii="Times New Roman" w:eastAsiaTheme="majorEastAsia" w:hAnsi="Times New Roman" w:cs="Times New Roman"/>
          <w:sz w:val="24"/>
          <w:szCs w:val="24"/>
        </w:rPr>
        <w:t>et même</w:t>
      </w:r>
      <w:r w:rsidR="00326C11">
        <w:rPr>
          <w:rFonts w:ascii="Times New Roman" w:eastAsiaTheme="majorEastAsia" w:hAnsi="Times New Roman" w:cs="Times New Roman"/>
          <w:sz w:val="24"/>
          <w:szCs w:val="24"/>
        </w:rPr>
        <w:t xml:space="preserve"> sa philosophie politique</w:t>
      </w:r>
      <w:r w:rsidR="00326C11">
        <w:rPr>
          <w:rStyle w:val="Appelnotedebasdep"/>
          <w:rFonts w:ascii="Times New Roman" w:eastAsiaTheme="majorEastAsia" w:hAnsi="Times New Roman" w:cs="Times New Roman"/>
          <w:sz w:val="24"/>
          <w:szCs w:val="24"/>
        </w:rPr>
        <w:footnoteReference w:id="20"/>
      </w:r>
      <w:r w:rsidR="00326C11">
        <w:rPr>
          <w:rFonts w:ascii="Times New Roman" w:eastAsiaTheme="majorEastAsia" w:hAnsi="Times New Roman" w:cs="Times New Roman"/>
          <w:sz w:val="24"/>
          <w:szCs w:val="24"/>
        </w:rPr>
        <w:t>.</w:t>
      </w:r>
      <w:r w:rsidRPr="00AB6C99">
        <w:rPr>
          <w:rFonts w:ascii="Times New Roman" w:eastAsiaTheme="majorEastAsia" w:hAnsi="Times New Roman" w:cs="Times New Roman"/>
          <w:sz w:val="24"/>
          <w:szCs w:val="24"/>
        </w:rPr>
        <w:t xml:space="preserve"> </w:t>
      </w:r>
      <w:r w:rsidR="001F1BF8">
        <w:rPr>
          <w:rFonts w:ascii="Times New Roman" w:eastAsiaTheme="majorEastAsia" w:hAnsi="Times New Roman" w:cs="Times New Roman"/>
          <w:sz w:val="24"/>
          <w:szCs w:val="24"/>
        </w:rPr>
        <w:t xml:space="preserve">A l’aube du XXIème siècle, une traduction du </w:t>
      </w:r>
      <w:r w:rsidR="001F1BF8">
        <w:rPr>
          <w:rFonts w:ascii="Times New Roman" w:eastAsiaTheme="majorEastAsia" w:hAnsi="Times New Roman" w:cs="Times New Roman"/>
          <w:i/>
          <w:iCs/>
          <w:sz w:val="24"/>
          <w:szCs w:val="24"/>
        </w:rPr>
        <w:t xml:space="preserve">New Leviathan </w:t>
      </w:r>
      <w:r w:rsidR="001F1BF8">
        <w:rPr>
          <w:rFonts w:ascii="Times New Roman" w:eastAsiaTheme="majorEastAsia" w:hAnsi="Times New Roman" w:cs="Times New Roman"/>
          <w:sz w:val="24"/>
          <w:szCs w:val="24"/>
        </w:rPr>
        <w:t>de Collingwood paraît aux éditions Kimé grâce au travail des époux Paulette et Lucien Carrive</w:t>
      </w:r>
      <w:r w:rsidR="00E620A2">
        <w:rPr>
          <w:rFonts w:ascii="Times New Roman" w:eastAsiaTheme="majorEastAsia" w:hAnsi="Times New Roman" w:cs="Times New Roman"/>
          <w:sz w:val="24"/>
          <w:szCs w:val="24"/>
        </w:rPr>
        <w:t xml:space="preserve"> (Collingwood R.G., 2001)</w:t>
      </w:r>
      <w:r w:rsidR="001F1BF8">
        <w:rPr>
          <w:rFonts w:ascii="Times New Roman" w:eastAsiaTheme="majorEastAsia" w:hAnsi="Times New Roman" w:cs="Times New Roman"/>
          <w:sz w:val="24"/>
          <w:szCs w:val="24"/>
        </w:rPr>
        <w:t>. Malheureusement cette édition ne rencontrera que peu d’échos, sûrement à cause du manque d’apparat critique</w:t>
      </w:r>
      <w:r w:rsidR="00E620A2">
        <w:rPr>
          <w:rFonts w:ascii="Times New Roman" w:eastAsiaTheme="majorEastAsia" w:hAnsi="Times New Roman" w:cs="Times New Roman"/>
          <w:sz w:val="24"/>
          <w:szCs w:val="24"/>
        </w:rPr>
        <w:t xml:space="preserve"> (Lurbe, P., 2003).</w:t>
      </w:r>
      <w:r w:rsidR="001F1BF8">
        <w:rPr>
          <w:rFonts w:ascii="Times New Roman" w:eastAsiaTheme="majorEastAsia" w:hAnsi="Times New Roman" w:cs="Times New Roman"/>
          <w:sz w:val="24"/>
          <w:szCs w:val="24"/>
        </w:rPr>
        <w:t xml:space="preserve"> Lorsqu’en 2006 Paulette Carrive reprend la plume pour étudier Collingwood, c’est à sa philosophie de l’histoire qu’elle retourne. </w:t>
      </w:r>
      <w:r w:rsidRPr="00AB6C99">
        <w:rPr>
          <w:rFonts w:ascii="Times New Roman" w:eastAsiaTheme="majorEastAsia" w:hAnsi="Times New Roman" w:cs="Times New Roman"/>
          <w:sz w:val="24"/>
          <w:szCs w:val="24"/>
        </w:rPr>
        <w:t>Collingwood est apparu en France sur la scène du débat en histoire</w:t>
      </w:r>
      <w:r w:rsidR="006E1B36">
        <w:rPr>
          <w:rFonts w:ascii="Times New Roman" w:eastAsiaTheme="majorEastAsia" w:hAnsi="Times New Roman" w:cs="Times New Roman"/>
          <w:sz w:val="24"/>
          <w:szCs w:val="24"/>
        </w:rPr>
        <w:t xml:space="preserve"> et</w:t>
      </w:r>
      <w:r w:rsidRPr="00AB6C99">
        <w:rPr>
          <w:rFonts w:ascii="Times New Roman" w:eastAsiaTheme="majorEastAsia" w:hAnsi="Times New Roman" w:cs="Times New Roman"/>
          <w:sz w:val="24"/>
          <w:szCs w:val="24"/>
        </w:rPr>
        <w:t xml:space="preserve"> c’est en histoire de la philosophie que ses traces réapparaissent, dans les années 90, </w:t>
      </w:r>
      <w:r w:rsidR="00303AA7">
        <w:rPr>
          <w:rFonts w:ascii="Times New Roman" w:eastAsiaTheme="majorEastAsia" w:hAnsi="Times New Roman" w:cs="Times New Roman"/>
          <w:sz w:val="24"/>
          <w:szCs w:val="24"/>
        </w:rPr>
        <w:t>sous la plume</w:t>
      </w:r>
      <w:r w:rsidRPr="00AB6C99">
        <w:rPr>
          <w:rFonts w:ascii="Times New Roman" w:eastAsiaTheme="majorEastAsia" w:hAnsi="Times New Roman" w:cs="Times New Roman"/>
          <w:sz w:val="24"/>
          <w:szCs w:val="24"/>
        </w:rPr>
        <w:t xml:space="preserve"> du Professeur Alain de Libera.</w:t>
      </w:r>
    </w:p>
    <w:p w14:paraId="05BFCA2F" w14:textId="3CBA1908" w:rsidR="003E42EC" w:rsidRPr="000F3C2D" w:rsidRDefault="000F3C2D" w:rsidP="000F3C2D">
      <w:pPr>
        <w:rPr>
          <w:rFonts w:ascii="Times New Roman" w:eastAsiaTheme="majorEastAsia" w:hAnsi="Times New Roman" w:cs="Times New Roman"/>
          <w:sz w:val="24"/>
          <w:szCs w:val="24"/>
        </w:rPr>
      </w:pPr>
      <w:r>
        <w:rPr>
          <w:rFonts w:ascii="Times New Roman" w:eastAsiaTheme="majorEastAsia" w:hAnsi="Times New Roman" w:cs="Times New Roman"/>
          <w:sz w:val="24"/>
          <w:szCs w:val="24"/>
        </w:rPr>
        <w:br w:type="page"/>
      </w:r>
    </w:p>
    <w:p w14:paraId="3B77C3B4" w14:textId="7F9D3333" w:rsidR="00D7324E" w:rsidRDefault="00A25417" w:rsidP="000F3C2D">
      <w:pPr>
        <w:pStyle w:val="Paragraphedeliste"/>
        <w:numPr>
          <w:ilvl w:val="0"/>
          <w:numId w:val="8"/>
        </w:numPr>
        <w:jc w:val="both"/>
        <w:rPr>
          <w:smallCaps/>
          <w:sz w:val="28"/>
          <w:szCs w:val="28"/>
          <w:lang w:val="fr-FR"/>
        </w:rPr>
      </w:pPr>
      <w:r w:rsidRPr="00075AF0">
        <w:rPr>
          <w:smallCaps/>
          <w:sz w:val="28"/>
          <w:szCs w:val="28"/>
          <w:lang w:val="fr-FR"/>
        </w:rPr>
        <w:t xml:space="preserve">La méthode collingwoodienne : une création d’Alain de Libera ? </w:t>
      </w:r>
    </w:p>
    <w:p w14:paraId="3C70C726" w14:textId="77777777" w:rsidR="000F3C2D" w:rsidRPr="000F3C2D" w:rsidRDefault="000F3C2D" w:rsidP="000F3C2D">
      <w:pPr>
        <w:pStyle w:val="Paragraphedeliste"/>
        <w:ind w:left="1080"/>
        <w:jc w:val="both"/>
        <w:rPr>
          <w:smallCaps/>
          <w:sz w:val="28"/>
          <w:szCs w:val="28"/>
          <w:lang w:val="fr-FR"/>
        </w:rPr>
      </w:pPr>
    </w:p>
    <w:p w14:paraId="4EAA4F2B" w14:textId="60FE54FE" w:rsidR="002161DB" w:rsidRPr="00FA5163" w:rsidRDefault="00490DCF" w:rsidP="0063157C">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ab/>
      </w:r>
      <w:r w:rsidR="005522D1">
        <w:rPr>
          <w:rFonts w:ascii="Times New Roman" w:hAnsi="Times New Roman" w:cs="Times New Roman"/>
          <w:sz w:val="24"/>
          <w:szCs w:val="24"/>
          <w:lang w:val="fr-FR"/>
        </w:rPr>
        <w:t xml:space="preserve">Le nouveau débat dans lequel </w:t>
      </w:r>
      <w:r w:rsidR="0053496C">
        <w:rPr>
          <w:rFonts w:ascii="Times New Roman" w:hAnsi="Times New Roman" w:cs="Times New Roman"/>
          <w:sz w:val="24"/>
          <w:szCs w:val="24"/>
          <w:lang w:val="fr-FR"/>
        </w:rPr>
        <w:t xml:space="preserve">Collingwood trouve une place en France, dans les années 90, ne concerne plus, à la manière de Marrou, l’établissement d’une théorie critique de l’histoire et du travail de l’historien. Ou, plus précisément, </w:t>
      </w:r>
      <w:r w:rsidR="00C21BF1">
        <w:rPr>
          <w:rFonts w:ascii="Times New Roman" w:hAnsi="Times New Roman" w:cs="Times New Roman"/>
          <w:sz w:val="24"/>
          <w:szCs w:val="24"/>
          <w:lang w:val="fr-FR"/>
        </w:rPr>
        <w:t>le débat s’est figé sur une certaine pratique de l’histoire, celle de l’historien de la philosophie</w:t>
      </w:r>
      <w:r w:rsidR="006E1B36">
        <w:rPr>
          <w:rFonts w:ascii="Times New Roman" w:hAnsi="Times New Roman" w:cs="Times New Roman"/>
          <w:sz w:val="24"/>
          <w:szCs w:val="24"/>
          <w:lang w:val="fr-FR"/>
        </w:rPr>
        <w:t>, qui n’est pas inspirée par l’herméneutique, ni par la tradition d’inspiration germanique, mais par une polémique française.</w:t>
      </w:r>
      <w:r w:rsidR="00C21BF1">
        <w:rPr>
          <w:rFonts w:ascii="Times New Roman" w:hAnsi="Times New Roman" w:cs="Times New Roman"/>
          <w:sz w:val="24"/>
          <w:szCs w:val="24"/>
          <w:lang w:val="fr-FR"/>
        </w:rPr>
        <w:t xml:space="preserve"> </w:t>
      </w:r>
      <w:r w:rsidR="006E1B36">
        <w:rPr>
          <w:rFonts w:ascii="Times New Roman" w:hAnsi="Times New Roman" w:cs="Times New Roman"/>
          <w:sz w:val="24"/>
          <w:szCs w:val="24"/>
          <w:lang w:val="fr-FR"/>
        </w:rPr>
        <w:t>Le débat dans lequel Collingwood est importé a été initié</w:t>
      </w:r>
      <w:r w:rsidR="00F67DD7">
        <w:rPr>
          <w:rFonts w:ascii="Times New Roman" w:hAnsi="Times New Roman" w:cs="Times New Roman"/>
          <w:sz w:val="24"/>
          <w:szCs w:val="24"/>
          <w:lang w:val="fr-FR"/>
        </w:rPr>
        <w:t>,</w:t>
      </w:r>
      <w:r w:rsidR="006E1B36">
        <w:rPr>
          <w:rFonts w:ascii="Times New Roman" w:hAnsi="Times New Roman" w:cs="Times New Roman"/>
          <w:sz w:val="24"/>
          <w:szCs w:val="24"/>
          <w:lang w:val="fr-FR"/>
        </w:rPr>
        <w:t xml:space="preserve"> en partie, dans </w:t>
      </w:r>
      <w:r w:rsidR="004C7A15">
        <w:rPr>
          <w:rFonts w:ascii="Times New Roman" w:hAnsi="Times New Roman" w:cs="Times New Roman"/>
          <w:sz w:val="24"/>
          <w:szCs w:val="24"/>
          <w:lang w:val="fr-FR"/>
        </w:rPr>
        <w:t xml:space="preserve">les années 50, </w:t>
      </w:r>
      <w:r w:rsidR="006E1B36">
        <w:rPr>
          <w:rFonts w:ascii="Times New Roman" w:hAnsi="Times New Roman" w:cs="Times New Roman"/>
          <w:sz w:val="24"/>
          <w:szCs w:val="24"/>
          <w:lang w:val="fr-FR"/>
        </w:rPr>
        <w:t>par</w:t>
      </w:r>
      <w:r w:rsidR="004C7A15">
        <w:rPr>
          <w:rFonts w:ascii="Times New Roman" w:hAnsi="Times New Roman" w:cs="Times New Roman"/>
          <w:sz w:val="24"/>
          <w:szCs w:val="24"/>
          <w:lang w:val="fr-FR"/>
        </w:rPr>
        <w:t xml:space="preserve"> la controverse </w:t>
      </w:r>
      <w:r w:rsidR="00DE790C">
        <w:rPr>
          <w:rFonts w:ascii="Times New Roman" w:hAnsi="Times New Roman" w:cs="Times New Roman"/>
          <w:sz w:val="24"/>
          <w:szCs w:val="24"/>
          <w:lang w:val="fr-FR"/>
        </w:rPr>
        <w:t xml:space="preserve">entre Ferdinand Alquié et Martial Guéroult, </w:t>
      </w:r>
      <w:r w:rsidR="006E1B36">
        <w:rPr>
          <w:rFonts w:ascii="Times New Roman" w:hAnsi="Times New Roman" w:cs="Times New Roman"/>
          <w:sz w:val="24"/>
          <w:szCs w:val="24"/>
          <w:lang w:val="fr-FR"/>
        </w:rPr>
        <w:t>autour de</w:t>
      </w:r>
      <w:r w:rsidR="00DE790C">
        <w:rPr>
          <w:rFonts w:ascii="Times New Roman" w:hAnsi="Times New Roman" w:cs="Times New Roman"/>
          <w:sz w:val="24"/>
          <w:szCs w:val="24"/>
          <w:lang w:val="fr-FR"/>
        </w:rPr>
        <w:t xml:space="preserve"> deux lectures différentes de Descartes</w:t>
      </w:r>
      <w:r w:rsidR="000F3C2D">
        <w:rPr>
          <w:rFonts w:ascii="Times New Roman" w:hAnsi="Times New Roman" w:cs="Times New Roman"/>
          <w:sz w:val="24"/>
          <w:szCs w:val="24"/>
          <w:lang w:val="fr-FR"/>
        </w:rPr>
        <w:t xml:space="preserve"> (Macherey P., 2014 ; Alquié F., 1950 ; Guéroult M., 1953)</w:t>
      </w:r>
      <w:r w:rsidR="006E1B36">
        <w:rPr>
          <w:rFonts w:ascii="Times New Roman" w:hAnsi="Times New Roman" w:cs="Times New Roman"/>
          <w:sz w:val="24"/>
          <w:szCs w:val="24"/>
          <w:lang w:val="fr-FR"/>
        </w:rPr>
        <w:t>.</w:t>
      </w:r>
      <w:r w:rsidR="00DE790C">
        <w:rPr>
          <w:rFonts w:ascii="Times New Roman" w:hAnsi="Times New Roman" w:cs="Times New Roman"/>
          <w:sz w:val="24"/>
          <w:szCs w:val="24"/>
          <w:lang w:val="fr-FR"/>
        </w:rPr>
        <w:t xml:space="preserve"> </w:t>
      </w:r>
      <w:r w:rsidR="006E1B36">
        <w:rPr>
          <w:rFonts w:ascii="Times New Roman" w:hAnsi="Times New Roman" w:cs="Times New Roman"/>
          <w:sz w:val="24"/>
          <w:szCs w:val="24"/>
          <w:lang w:val="fr-FR"/>
        </w:rPr>
        <w:t xml:space="preserve">Une lecture </w:t>
      </w:r>
      <w:r w:rsidR="00DE790C">
        <w:rPr>
          <w:rFonts w:ascii="Times New Roman" w:hAnsi="Times New Roman" w:cs="Times New Roman"/>
          <w:sz w:val="24"/>
          <w:szCs w:val="24"/>
          <w:lang w:val="fr-FR"/>
        </w:rPr>
        <w:t>qui met l’accent</w:t>
      </w:r>
      <w:r w:rsidR="006E1B36">
        <w:rPr>
          <w:rFonts w:ascii="Times New Roman" w:hAnsi="Times New Roman" w:cs="Times New Roman"/>
          <w:sz w:val="24"/>
          <w:szCs w:val="24"/>
          <w:lang w:val="fr-FR"/>
        </w:rPr>
        <w:t>,</w:t>
      </w:r>
      <w:r w:rsidR="00DE790C">
        <w:rPr>
          <w:rFonts w:ascii="Times New Roman" w:hAnsi="Times New Roman" w:cs="Times New Roman"/>
          <w:sz w:val="24"/>
          <w:szCs w:val="24"/>
          <w:lang w:val="fr-FR"/>
        </w:rPr>
        <w:t xml:space="preserve"> avec Alquié</w:t>
      </w:r>
      <w:r w:rsidR="006E1B36">
        <w:rPr>
          <w:rFonts w:ascii="Times New Roman" w:hAnsi="Times New Roman" w:cs="Times New Roman"/>
          <w:sz w:val="24"/>
          <w:szCs w:val="24"/>
          <w:lang w:val="fr-FR"/>
        </w:rPr>
        <w:t>,</w:t>
      </w:r>
      <w:r w:rsidR="00DE790C">
        <w:rPr>
          <w:rFonts w:ascii="Times New Roman" w:hAnsi="Times New Roman" w:cs="Times New Roman"/>
          <w:sz w:val="24"/>
          <w:szCs w:val="24"/>
          <w:lang w:val="fr-FR"/>
        </w:rPr>
        <w:t xml:space="preserve"> sur la genèse</w:t>
      </w:r>
      <w:r w:rsidR="006E1B36">
        <w:rPr>
          <w:rFonts w:ascii="Times New Roman" w:hAnsi="Times New Roman" w:cs="Times New Roman"/>
          <w:sz w:val="24"/>
          <w:szCs w:val="24"/>
          <w:lang w:val="fr-FR"/>
        </w:rPr>
        <w:t xml:space="preserve"> du texte</w:t>
      </w:r>
      <w:r w:rsidR="00DE790C">
        <w:rPr>
          <w:rFonts w:ascii="Times New Roman" w:hAnsi="Times New Roman" w:cs="Times New Roman"/>
          <w:sz w:val="24"/>
          <w:szCs w:val="24"/>
          <w:lang w:val="fr-FR"/>
        </w:rPr>
        <w:t>, son aspect existentiel en suivant l’évolution temporelle et le déploiement de l’œuvre cartésienne, tandis que Guéroult, défenseur d’une lecture des structures de l’œuvre, souhaite exposer les problèmes de la doctrine cartésienne selon les termes qui sont les siens en 1957 : « La validité logique de chaque système assume en effet celui-ci comme étant en soi et par soi, c’est-à-dire comme indépendant des conditions contingentes par lesquelles il a été mis au jour. Une validité logique ne commence pas en effet dans le temps. […] Ainsi toute philosophie est Idée éternelle, et l’on comprend qu’elle soit invulnérable à l’histoire. »</w:t>
      </w:r>
      <w:r w:rsidR="000F3C2D">
        <w:rPr>
          <w:rFonts w:ascii="Times New Roman" w:hAnsi="Times New Roman" w:cs="Times New Roman"/>
          <w:sz w:val="24"/>
          <w:szCs w:val="24"/>
          <w:lang w:val="fr-FR"/>
        </w:rPr>
        <w:t xml:space="preserve"> (Guéroult M., 1957)</w:t>
      </w:r>
      <w:r w:rsidR="002161DB">
        <w:rPr>
          <w:rFonts w:ascii="Times New Roman" w:hAnsi="Times New Roman" w:cs="Times New Roman"/>
          <w:sz w:val="24"/>
          <w:szCs w:val="24"/>
          <w:lang w:val="fr-FR"/>
        </w:rPr>
        <w:t xml:space="preserve"> Une controverse qui culmine au Colloque de Royaumont de 1955, sur Descartes</w:t>
      </w:r>
      <w:r w:rsidR="000F3C2D">
        <w:rPr>
          <w:rFonts w:ascii="Times New Roman" w:hAnsi="Times New Roman" w:cs="Times New Roman"/>
          <w:sz w:val="24"/>
          <w:szCs w:val="24"/>
          <w:lang w:val="fr-FR"/>
        </w:rPr>
        <w:t xml:space="preserve"> (Descartes Collectif, </w:t>
      </w:r>
      <w:r w:rsidR="000F3C2D" w:rsidRPr="000F3C2D">
        <w:rPr>
          <w:rFonts w:ascii="Times New Roman" w:hAnsi="Times New Roman" w:cs="Times New Roman"/>
          <w:sz w:val="24"/>
          <w:szCs w:val="24"/>
          <w:lang w:val="fr-FR"/>
        </w:rPr>
        <w:t>1957</w:t>
      </w:r>
      <w:r w:rsidR="000F3C2D">
        <w:rPr>
          <w:rFonts w:ascii="Times New Roman" w:hAnsi="Times New Roman" w:cs="Times New Roman"/>
          <w:i/>
          <w:iCs/>
          <w:sz w:val="24"/>
          <w:szCs w:val="24"/>
          <w:lang w:val="fr-FR"/>
        </w:rPr>
        <w:t>)</w:t>
      </w:r>
      <w:r w:rsidR="002161DB">
        <w:rPr>
          <w:rFonts w:ascii="Times New Roman" w:hAnsi="Times New Roman" w:cs="Times New Roman"/>
          <w:sz w:val="24"/>
          <w:szCs w:val="24"/>
          <w:lang w:val="fr-FR"/>
        </w:rPr>
        <w:t>, et s</w:t>
      </w:r>
      <w:r w:rsidR="00EE566F">
        <w:rPr>
          <w:rFonts w:ascii="Times New Roman" w:hAnsi="Times New Roman" w:cs="Times New Roman"/>
          <w:sz w:val="24"/>
          <w:szCs w:val="24"/>
          <w:lang w:val="fr-FR"/>
        </w:rPr>
        <w:t>e</w:t>
      </w:r>
      <w:r w:rsidR="002161DB">
        <w:rPr>
          <w:rFonts w:ascii="Times New Roman" w:hAnsi="Times New Roman" w:cs="Times New Roman"/>
          <w:sz w:val="24"/>
          <w:szCs w:val="24"/>
          <w:lang w:val="fr-FR"/>
        </w:rPr>
        <w:t xml:space="preserve"> poursui</w:t>
      </w:r>
      <w:r w:rsidR="00EE566F">
        <w:rPr>
          <w:rFonts w:ascii="Times New Roman" w:hAnsi="Times New Roman" w:cs="Times New Roman"/>
          <w:sz w:val="24"/>
          <w:szCs w:val="24"/>
          <w:lang w:val="fr-FR"/>
        </w:rPr>
        <w:t>t</w:t>
      </w:r>
      <w:r w:rsidR="002161DB">
        <w:rPr>
          <w:rFonts w:ascii="Times New Roman" w:hAnsi="Times New Roman" w:cs="Times New Roman"/>
          <w:sz w:val="24"/>
          <w:szCs w:val="24"/>
          <w:lang w:val="fr-FR"/>
        </w:rPr>
        <w:t xml:space="preserve"> jusqu’en 1972 </w:t>
      </w:r>
      <w:r w:rsidR="007D042F">
        <w:rPr>
          <w:rFonts w:ascii="Times New Roman" w:hAnsi="Times New Roman" w:cs="Times New Roman"/>
          <w:sz w:val="24"/>
          <w:szCs w:val="24"/>
          <w:lang w:val="fr-FR"/>
        </w:rPr>
        <w:t xml:space="preserve">au Colloque </w:t>
      </w:r>
      <w:r w:rsidR="00BE23C3">
        <w:rPr>
          <w:rFonts w:ascii="Times New Roman" w:hAnsi="Times New Roman" w:cs="Times New Roman"/>
          <w:sz w:val="24"/>
          <w:szCs w:val="24"/>
          <w:lang w:val="fr-FR"/>
        </w:rPr>
        <w:t>de Bruxelles</w:t>
      </w:r>
      <w:r w:rsidR="00FA5163">
        <w:rPr>
          <w:rFonts w:ascii="Times New Roman" w:hAnsi="Times New Roman" w:cs="Times New Roman"/>
          <w:sz w:val="24"/>
          <w:szCs w:val="24"/>
          <w:lang w:val="fr-FR"/>
        </w:rPr>
        <w:t xml:space="preserve">. Alquié à la Sorbonne, et Guéroult au Collège de France, ouvrent </w:t>
      </w:r>
      <w:r w:rsidR="000B6F55">
        <w:rPr>
          <w:rFonts w:ascii="Times New Roman" w:hAnsi="Times New Roman" w:cs="Times New Roman"/>
          <w:sz w:val="24"/>
          <w:szCs w:val="24"/>
          <w:lang w:val="fr-FR"/>
        </w:rPr>
        <w:t>l’un et l’autre</w:t>
      </w:r>
      <w:r w:rsidR="00FA5163">
        <w:rPr>
          <w:rFonts w:ascii="Times New Roman" w:hAnsi="Times New Roman" w:cs="Times New Roman"/>
          <w:sz w:val="24"/>
          <w:szCs w:val="24"/>
          <w:lang w:val="fr-FR"/>
        </w:rPr>
        <w:t xml:space="preserve"> la voie à des traditions d’historiens de la philosophie distincte</w:t>
      </w:r>
      <w:r w:rsidR="007E6256">
        <w:rPr>
          <w:rFonts w:ascii="Times New Roman" w:hAnsi="Times New Roman" w:cs="Times New Roman"/>
          <w:sz w:val="24"/>
          <w:szCs w:val="24"/>
          <w:lang w:val="fr-FR"/>
        </w:rPr>
        <w:t xml:space="preserve">. </w:t>
      </w:r>
      <w:r w:rsidR="00FA5163">
        <w:rPr>
          <w:rFonts w:ascii="Times New Roman" w:hAnsi="Times New Roman" w:cs="Times New Roman"/>
          <w:sz w:val="24"/>
          <w:szCs w:val="24"/>
          <w:lang w:val="fr-FR"/>
        </w:rPr>
        <w:t>Jean-Luc Marion fut l’élève d’Alquié</w:t>
      </w:r>
      <w:r w:rsidR="007E6256">
        <w:rPr>
          <w:rFonts w:ascii="Times New Roman" w:hAnsi="Times New Roman" w:cs="Times New Roman"/>
          <w:sz w:val="24"/>
          <w:szCs w:val="24"/>
        </w:rPr>
        <w:t xml:space="preserve">, quant à </w:t>
      </w:r>
      <w:r w:rsidR="00FA5163">
        <w:rPr>
          <w:rFonts w:ascii="Times New Roman" w:hAnsi="Times New Roman" w:cs="Times New Roman"/>
          <w:sz w:val="24"/>
          <w:szCs w:val="24"/>
          <w:lang w:val="fr-FR"/>
        </w:rPr>
        <w:t>Michel Foucault puis Alain de Libera</w:t>
      </w:r>
      <w:r w:rsidR="007E6256">
        <w:rPr>
          <w:rFonts w:ascii="Times New Roman" w:hAnsi="Times New Roman" w:cs="Times New Roman"/>
          <w:sz w:val="24"/>
          <w:szCs w:val="24"/>
          <w:lang w:val="fr-FR"/>
        </w:rPr>
        <w:t xml:space="preserve">, ils </w:t>
      </w:r>
      <w:r w:rsidR="00FA5163">
        <w:rPr>
          <w:rFonts w:ascii="Times New Roman" w:hAnsi="Times New Roman" w:cs="Times New Roman"/>
          <w:sz w:val="24"/>
          <w:szCs w:val="24"/>
          <w:lang w:val="fr-FR"/>
        </w:rPr>
        <w:t>revendiquent leur dette à l’égard de Martial Guéroult. C’est en ayant à l’esprit ces réflexions méthodologiques, ainsi que les concepts foucaldiens notamment de l’</w:t>
      </w:r>
      <w:r w:rsidR="00FA5163">
        <w:rPr>
          <w:rFonts w:ascii="Times New Roman" w:hAnsi="Times New Roman" w:cs="Times New Roman"/>
          <w:i/>
          <w:iCs/>
          <w:sz w:val="24"/>
          <w:szCs w:val="24"/>
          <w:lang w:val="fr-FR"/>
        </w:rPr>
        <w:t>Archéologie du Savoir</w:t>
      </w:r>
      <w:r w:rsidR="00FA5163">
        <w:rPr>
          <w:rFonts w:ascii="Times New Roman" w:hAnsi="Times New Roman" w:cs="Times New Roman"/>
          <w:sz w:val="24"/>
          <w:szCs w:val="24"/>
          <w:lang w:val="fr-FR"/>
        </w:rPr>
        <w:t>, et les inspirations de son « maître » Paul Veyne qu’Alain de Libera introduit en France la pensée de R.G. Collingwood.</w:t>
      </w:r>
    </w:p>
    <w:p w14:paraId="19FCEAC0" w14:textId="4743B0A4" w:rsidR="009D29B2" w:rsidRPr="000B6F55" w:rsidRDefault="00BE5661" w:rsidP="006315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lang w:val="fr-FR"/>
        </w:rPr>
        <w:t xml:space="preserve">Si Marrou et Ricoeur ont disqualifié l’épistémologie collingwoodienne, c’est sa méthode en histoire de la philosophie qui retient l’attention </w:t>
      </w:r>
      <w:r w:rsidR="009170EB">
        <w:rPr>
          <w:rFonts w:ascii="Times New Roman" w:hAnsi="Times New Roman" w:cs="Times New Roman"/>
          <w:sz w:val="24"/>
          <w:szCs w:val="24"/>
          <w:lang w:val="fr-FR"/>
        </w:rPr>
        <w:t>de l’historien de la philosophie médiévale</w:t>
      </w:r>
      <w:r>
        <w:rPr>
          <w:rFonts w:ascii="Times New Roman" w:hAnsi="Times New Roman" w:cs="Times New Roman"/>
          <w:sz w:val="24"/>
          <w:szCs w:val="24"/>
          <w:lang w:val="fr-FR"/>
        </w:rPr>
        <w:t>.</w:t>
      </w:r>
      <w:r w:rsidR="009170EB">
        <w:rPr>
          <w:rFonts w:ascii="Times New Roman" w:hAnsi="Times New Roman" w:cs="Times New Roman"/>
          <w:sz w:val="24"/>
          <w:szCs w:val="24"/>
          <w:lang w:val="fr-FR"/>
        </w:rPr>
        <w:t xml:space="preserve"> Pourtant, les influences d’Alain de Libera, notamment celle de Veyne à qui il doit sa notion d’intrigue en histoire, aurait pu l’empêcher de s’intéresser à Collingwood. En effet, Paul Veyne écrit dans </w:t>
      </w:r>
      <w:r w:rsidR="009170EB">
        <w:rPr>
          <w:rFonts w:ascii="Times New Roman" w:hAnsi="Times New Roman" w:cs="Times New Roman"/>
          <w:i/>
          <w:iCs/>
          <w:sz w:val="24"/>
          <w:szCs w:val="24"/>
          <w:lang w:val="fr-FR"/>
        </w:rPr>
        <w:t>Comme</w:t>
      </w:r>
      <w:r w:rsidR="000B6F55">
        <w:rPr>
          <w:rFonts w:ascii="Times New Roman" w:hAnsi="Times New Roman" w:cs="Times New Roman"/>
          <w:i/>
          <w:iCs/>
          <w:sz w:val="24"/>
          <w:szCs w:val="24"/>
          <w:lang w:val="fr-FR"/>
        </w:rPr>
        <w:t>n</w:t>
      </w:r>
      <w:r w:rsidR="009170EB">
        <w:rPr>
          <w:rFonts w:ascii="Times New Roman" w:hAnsi="Times New Roman" w:cs="Times New Roman"/>
          <w:i/>
          <w:iCs/>
          <w:sz w:val="24"/>
          <w:szCs w:val="24"/>
          <w:lang w:val="fr-FR"/>
        </w:rPr>
        <w:t>t on écrit l’histoire</w:t>
      </w:r>
      <w:r w:rsidR="009170EB">
        <w:rPr>
          <w:rFonts w:ascii="Times New Roman" w:hAnsi="Times New Roman" w:cs="Times New Roman"/>
          <w:sz w:val="24"/>
          <w:szCs w:val="24"/>
          <w:lang w:val="fr-FR"/>
        </w:rPr>
        <w:t> : « </w:t>
      </w:r>
      <w:r w:rsidR="009170EB" w:rsidRPr="00F65300">
        <w:rPr>
          <w:rFonts w:ascii="Times New Roman" w:hAnsi="Times New Roman" w:cs="Times New Roman"/>
          <w:sz w:val="24"/>
          <w:szCs w:val="24"/>
        </w:rPr>
        <w:t>L’historisme, de Herder et Hegel à Collingwood et Toynbee, est inutile ou faux</w:t>
      </w:r>
      <w:r w:rsidR="009170EB">
        <w:rPr>
          <w:rFonts w:ascii="Times New Roman" w:hAnsi="Times New Roman" w:cs="Times New Roman"/>
          <w:sz w:val="24"/>
          <w:szCs w:val="24"/>
        </w:rPr>
        <w:t xml:space="preserve"> </w:t>
      </w:r>
      <w:r w:rsidR="009170EB" w:rsidRPr="00F65300">
        <w:rPr>
          <w:rFonts w:ascii="Times New Roman" w:hAnsi="Times New Roman" w:cs="Times New Roman"/>
          <w:sz w:val="24"/>
          <w:szCs w:val="24"/>
        </w:rPr>
        <w:t>; il a suscité des difficultés, plutôt que résolu ou même posé des problèmes</w:t>
      </w:r>
      <w:r w:rsidR="009170EB">
        <w:rPr>
          <w:rFonts w:ascii="Times New Roman" w:hAnsi="Times New Roman" w:cs="Times New Roman"/>
          <w:sz w:val="24"/>
          <w:szCs w:val="24"/>
        </w:rPr>
        <w:t> »</w:t>
      </w:r>
      <w:r w:rsidR="000F3C2D">
        <w:rPr>
          <w:rFonts w:ascii="Times New Roman" w:hAnsi="Times New Roman" w:cs="Times New Roman"/>
          <w:sz w:val="24"/>
          <w:szCs w:val="24"/>
        </w:rPr>
        <w:t xml:space="preserve"> (Veyne P., 1971, p.43) </w:t>
      </w:r>
      <w:r w:rsidR="00B1016C">
        <w:rPr>
          <w:rFonts w:ascii="Times New Roman" w:hAnsi="Times New Roman" w:cs="Times New Roman"/>
          <w:sz w:val="24"/>
          <w:szCs w:val="24"/>
        </w:rPr>
        <w:t xml:space="preserve">Paul Veyne écarte </w:t>
      </w:r>
      <w:r w:rsidR="000F3C2D">
        <w:rPr>
          <w:rFonts w:ascii="Times New Roman" w:hAnsi="Times New Roman" w:cs="Times New Roman"/>
          <w:sz w:val="24"/>
          <w:szCs w:val="24"/>
        </w:rPr>
        <w:t>d’un revers de manche</w:t>
      </w:r>
      <w:r w:rsidR="00B1016C">
        <w:rPr>
          <w:rFonts w:ascii="Times New Roman" w:hAnsi="Times New Roman" w:cs="Times New Roman"/>
          <w:sz w:val="24"/>
          <w:szCs w:val="24"/>
        </w:rPr>
        <w:t xml:space="preserve"> la pensée de Collingwood, dont il ne cite pourtant aucune œuvre dans son livre, </w:t>
      </w:r>
      <w:r w:rsidR="00150B3B">
        <w:rPr>
          <w:rFonts w:ascii="Times New Roman" w:hAnsi="Times New Roman" w:cs="Times New Roman"/>
          <w:sz w:val="24"/>
          <w:szCs w:val="24"/>
        </w:rPr>
        <w:t>n’ayant pour seul</w:t>
      </w:r>
      <w:r w:rsidR="000B6F55">
        <w:rPr>
          <w:rFonts w:ascii="Times New Roman" w:hAnsi="Times New Roman" w:cs="Times New Roman"/>
          <w:sz w:val="24"/>
          <w:szCs w:val="24"/>
        </w:rPr>
        <w:t>e</w:t>
      </w:r>
      <w:r w:rsidR="00150B3B">
        <w:rPr>
          <w:rFonts w:ascii="Times New Roman" w:hAnsi="Times New Roman" w:cs="Times New Roman"/>
          <w:sz w:val="24"/>
          <w:szCs w:val="24"/>
        </w:rPr>
        <w:t xml:space="preserve"> référence que ce malheureux ouvrage d’Albert Shalom dont nous avons déjà parlé. Par ailleurs, le lecteur de </w:t>
      </w:r>
      <w:r w:rsidR="00150B3B">
        <w:rPr>
          <w:rFonts w:ascii="Times New Roman" w:hAnsi="Times New Roman" w:cs="Times New Roman"/>
          <w:i/>
          <w:iCs/>
          <w:sz w:val="24"/>
          <w:szCs w:val="24"/>
        </w:rPr>
        <w:t>The Idea of History</w:t>
      </w:r>
      <w:r w:rsidR="00150B3B">
        <w:rPr>
          <w:rFonts w:ascii="Times New Roman" w:hAnsi="Times New Roman" w:cs="Times New Roman"/>
          <w:sz w:val="24"/>
          <w:szCs w:val="24"/>
        </w:rPr>
        <w:t xml:space="preserve"> aurait beaucoup à dire </w:t>
      </w:r>
      <w:r w:rsidR="00FD5843">
        <w:rPr>
          <w:rFonts w:ascii="Times New Roman" w:hAnsi="Times New Roman" w:cs="Times New Roman"/>
          <w:sz w:val="24"/>
          <w:szCs w:val="24"/>
        </w:rPr>
        <w:t>de</w:t>
      </w:r>
      <w:r w:rsidR="00F67DD7">
        <w:rPr>
          <w:rFonts w:ascii="Times New Roman" w:hAnsi="Times New Roman" w:cs="Times New Roman"/>
          <w:sz w:val="24"/>
          <w:szCs w:val="24"/>
        </w:rPr>
        <w:t xml:space="preserve"> ce</w:t>
      </w:r>
      <w:r w:rsidR="00FD5843">
        <w:rPr>
          <w:rFonts w:ascii="Times New Roman" w:hAnsi="Times New Roman" w:cs="Times New Roman"/>
          <w:sz w:val="24"/>
          <w:szCs w:val="24"/>
        </w:rPr>
        <w:t xml:space="preserve"> </w:t>
      </w:r>
      <w:r w:rsidR="009170EB">
        <w:rPr>
          <w:rFonts w:ascii="Times New Roman" w:hAnsi="Times New Roman" w:cs="Times New Roman"/>
          <w:sz w:val="24"/>
          <w:szCs w:val="24"/>
        </w:rPr>
        <w:t xml:space="preserve">rapprochement de Toynbee et de Collingwood, si l’on se rapporte au paragraphe que ce dernier consacre à </w:t>
      </w:r>
      <w:r w:rsidR="006E1B36">
        <w:rPr>
          <w:rFonts w:ascii="Times New Roman" w:hAnsi="Times New Roman" w:cs="Times New Roman"/>
          <w:sz w:val="24"/>
          <w:szCs w:val="24"/>
        </w:rPr>
        <w:t xml:space="preserve">l’auteur de </w:t>
      </w:r>
      <w:r w:rsidR="006E1B36">
        <w:rPr>
          <w:rFonts w:ascii="Times New Roman" w:hAnsi="Times New Roman" w:cs="Times New Roman"/>
          <w:i/>
          <w:iCs/>
          <w:sz w:val="24"/>
          <w:szCs w:val="24"/>
        </w:rPr>
        <w:t>A Study of History</w:t>
      </w:r>
      <w:r w:rsidR="000F3C2D">
        <w:rPr>
          <w:rFonts w:ascii="Times New Roman" w:hAnsi="Times New Roman" w:cs="Times New Roman"/>
          <w:i/>
          <w:iCs/>
          <w:sz w:val="24"/>
          <w:szCs w:val="24"/>
        </w:rPr>
        <w:t xml:space="preserve"> </w:t>
      </w:r>
      <w:r w:rsidR="000F3C2D">
        <w:rPr>
          <w:rFonts w:ascii="Times New Roman" w:hAnsi="Times New Roman" w:cs="Times New Roman"/>
          <w:sz w:val="24"/>
          <w:szCs w:val="24"/>
        </w:rPr>
        <w:t>(Collingwood R.G., 1946, p.149)</w:t>
      </w:r>
      <w:r w:rsidR="00C9672C">
        <w:rPr>
          <w:rFonts w:ascii="Times New Roman" w:hAnsi="Times New Roman" w:cs="Times New Roman"/>
          <w:sz w:val="24"/>
          <w:szCs w:val="24"/>
        </w:rPr>
        <w:t>.</w:t>
      </w:r>
      <w:r w:rsidR="00C9672C">
        <w:rPr>
          <w:rStyle w:val="Appelnotedebasdep"/>
          <w:rFonts w:ascii="Times New Roman" w:hAnsi="Times New Roman" w:cs="Times New Roman"/>
          <w:sz w:val="24"/>
          <w:szCs w:val="24"/>
        </w:rPr>
        <w:footnoteReference w:id="21"/>
      </w:r>
      <w:r w:rsidR="000B6F55">
        <w:rPr>
          <w:rFonts w:ascii="Times New Roman" w:hAnsi="Times New Roman" w:cs="Times New Roman"/>
          <w:sz w:val="24"/>
          <w:szCs w:val="24"/>
        </w:rPr>
        <w:t xml:space="preserve"> </w:t>
      </w:r>
    </w:p>
    <w:p w14:paraId="124BFC1F" w14:textId="77777777" w:rsidR="00116DE3" w:rsidRDefault="00116DE3" w:rsidP="0063157C">
      <w:pPr>
        <w:spacing w:line="360" w:lineRule="auto"/>
        <w:jc w:val="both"/>
        <w:rPr>
          <w:rFonts w:ascii="Times New Roman" w:hAnsi="Times New Roman" w:cs="Times New Roman"/>
          <w:sz w:val="24"/>
          <w:szCs w:val="24"/>
          <w:lang w:val="fr-FR"/>
        </w:rPr>
      </w:pPr>
    </w:p>
    <w:p w14:paraId="25D245EE" w14:textId="4819BD62" w:rsidR="00854838" w:rsidRPr="00075AF0" w:rsidRDefault="00854838" w:rsidP="00075AF0">
      <w:pPr>
        <w:pStyle w:val="Paragraphedeliste"/>
        <w:numPr>
          <w:ilvl w:val="0"/>
          <w:numId w:val="10"/>
        </w:numPr>
        <w:spacing w:line="360" w:lineRule="auto"/>
        <w:jc w:val="both"/>
        <w:rPr>
          <w:rFonts w:ascii="Times New Roman" w:hAnsi="Times New Roman" w:cs="Times New Roman"/>
          <w:i/>
          <w:iCs/>
          <w:sz w:val="24"/>
          <w:szCs w:val="24"/>
          <w:lang w:val="fr-FR"/>
        </w:rPr>
      </w:pPr>
      <w:r w:rsidRPr="00075AF0">
        <w:rPr>
          <w:rFonts w:ascii="Times New Roman" w:hAnsi="Times New Roman" w:cs="Times New Roman"/>
          <w:i/>
          <w:iCs/>
          <w:sz w:val="24"/>
          <w:szCs w:val="24"/>
          <w:lang w:val="fr-FR"/>
        </w:rPr>
        <w:t>Un autre Collingwood</w:t>
      </w:r>
      <w:r w:rsidR="005F46D8" w:rsidRPr="00075AF0">
        <w:rPr>
          <w:rFonts w:ascii="Times New Roman" w:hAnsi="Times New Roman" w:cs="Times New Roman"/>
          <w:i/>
          <w:iCs/>
          <w:sz w:val="24"/>
          <w:szCs w:val="24"/>
          <w:lang w:val="fr-FR"/>
        </w:rPr>
        <w:t xml:space="preserve"> : pour une archéologie de la philosophie </w:t>
      </w:r>
    </w:p>
    <w:p w14:paraId="218C835A" w14:textId="76357F88" w:rsidR="008A579D" w:rsidRDefault="008A579D" w:rsidP="0063157C">
      <w:pPr>
        <w:spacing w:line="360" w:lineRule="auto"/>
        <w:jc w:val="both"/>
        <w:rPr>
          <w:rFonts w:ascii="Times New Roman" w:hAnsi="Times New Roman" w:cs="Times New Roman"/>
          <w:sz w:val="24"/>
          <w:szCs w:val="24"/>
          <w:lang w:val="fr-FR"/>
        </w:rPr>
      </w:pPr>
    </w:p>
    <w:p w14:paraId="7E4397F1" w14:textId="62C4DB39" w:rsidR="00116DE3" w:rsidRDefault="008A579D" w:rsidP="0063157C">
      <w:pPr>
        <w:spacing w:line="360" w:lineRule="auto"/>
        <w:jc w:val="both"/>
        <w:rPr>
          <w:rFonts w:ascii="Times New Roman" w:hAnsi="Times New Roman" w:cs="Times New Roman"/>
          <w:sz w:val="24"/>
          <w:szCs w:val="24"/>
        </w:rPr>
      </w:pPr>
      <w:r>
        <w:rPr>
          <w:rFonts w:ascii="Times New Roman" w:hAnsi="Times New Roman" w:cs="Times New Roman"/>
          <w:sz w:val="24"/>
          <w:szCs w:val="24"/>
          <w:lang w:val="fr-FR"/>
        </w:rPr>
        <w:tab/>
      </w:r>
      <w:r w:rsidR="009044C0">
        <w:rPr>
          <w:rFonts w:ascii="Times New Roman" w:hAnsi="Times New Roman" w:cs="Times New Roman"/>
          <w:sz w:val="24"/>
          <w:szCs w:val="24"/>
          <w:lang w:val="fr-FR"/>
        </w:rPr>
        <w:t>Dans un entretien qu’il donn</w:t>
      </w:r>
      <w:r w:rsidR="006E1B36">
        <w:rPr>
          <w:rFonts w:ascii="Times New Roman" w:hAnsi="Times New Roman" w:cs="Times New Roman"/>
          <w:sz w:val="24"/>
          <w:szCs w:val="24"/>
          <w:lang w:val="fr-FR"/>
        </w:rPr>
        <w:t>e</w:t>
      </w:r>
      <w:r w:rsidR="009044C0">
        <w:rPr>
          <w:rFonts w:ascii="Times New Roman" w:hAnsi="Times New Roman" w:cs="Times New Roman"/>
          <w:sz w:val="24"/>
          <w:szCs w:val="24"/>
          <w:lang w:val="fr-FR"/>
        </w:rPr>
        <w:t xml:space="preserve"> en 2009 à </w:t>
      </w:r>
      <w:r w:rsidR="00C40EF4">
        <w:rPr>
          <w:rFonts w:ascii="Times New Roman" w:hAnsi="Times New Roman" w:cs="Times New Roman"/>
          <w:sz w:val="24"/>
          <w:szCs w:val="24"/>
          <w:lang w:val="fr-FR"/>
        </w:rPr>
        <w:t xml:space="preserve">Henri de Monvallier pour </w:t>
      </w:r>
      <w:r w:rsidR="00C40EF4">
        <w:rPr>
          <w:rFonts w:ascii="Times New Roman" w:hAnsi="Times New Roman" w:cs="Times New Roman"/>
          <w:i/>
          <w:iCs/>
          <w:sz w:val="24"/>
          <w:szCs w:val="24"/>
          <w:lang w:val="fr-FR"/>
        </w:rPr>
        <w:t>Actu Philosophia</w:t>
      </w:r>
      <w:r w:rsidR="00C40EF4">
        <w:rPr>
          <w:rFonts w:ascii="Times New Roman" w:hAnsi="Times New Roman" w:cs="Times New Roman"/>
          <w:sz w:val="24"/>
          <w:szCs w:val="24"/>
          <w:lang w:val="fr-FR"/>
        </w:rPr>
        <w:t>, alors qu’il début</w:t>
      </w:r>
      <w:r w:rsidR="006E1B36">
        <w:rPr>
          <w:rFonts w:ascii="Times New Roman" w:hAnsi="Times New Roman" w:cs="Times New Roman"/>
          <w:sz w:val="24"/>
          <w:szCs w:val="24"/>
          <w:lang w:val="fr-FR"/>
        </w:rPr>
        <w:t>e</w:t>
      </w:r>
      <w:r w:rsidR="00246BC1">
        <w:rPr>
          <w:rFonts w:ascii="Times New Roman" w:hAnsi="Times New Roman" w:cs="Times New Roman"/>
          <w:sz w:val="24"/>
          <w:szCs w:val="24"/>
          <w:lang w:val="fr-FR"/>
        </w:rPr>
        <w:t xml:space="preserve"> l’écriture de</w:t>
      </w:r>
      <w:r w:rsidR="00C40EF4">
        <w:rPr>
          <w:rFonts w:ascii="Times New Roman" w:hAnsi="Times New Roman" w:cs="Times New Roman"/>
          <w:sz w:val="24"/>
          <w:szCs w:val="24"/>
          <w:lang w:val="fr-FR"/>
        </w:rPr>
        <w:t xml:space="preserve"> son œuvre </w:t>
      </w:r>
      <w:r w:rsidR="00C40EF4">
        <w:rPr>
          <w:rFonts w:ascii="Times New Roman" w:hAnsi="Times New Roman" w:cs="Times New Roman"/>
          <w:i/>
          <w:iCs/>
          <w:sz w:val="24"/>
          <w:szCs w:val="24"/>
          <w:lang w:val="fr-FR"/>
        </w:rPr>
        <w:t>Archéologie du sujet</w:t>
      </w:r>
      <w:r w:rsidR="00C40EF4">
        <w:rPr>
          <w:rFonts w:ascii="Times New Roman" w:hAnsi="Times New Roman" w:cs="Times New Roman"/>
          <w:sz w:val="24"/>
          <w:szCs w:val="24"/>
          <w:lang w:val="fr-FR"/>
        </w:rPr>
        <w:t xml:space="preserve">, </w:t>
      </w:r>
      <w:r w:rsidR="009170EB">
        <w:rPr>
          <w:rFonts w:ascii="Times New Roman" w:hAnsi="Times New Roman" w:cs="Times New Roman"/>
          <w:sz w:val="24"/>
          <w:szCs w:val="24"/>
          <w:lang w:val="fr-FR"/>
        </w:rPr>
        <w:t xml:space="preserve">Alain de </w:t>
      </w:r>
      <w:r w:rsidR="00C40EF4">
        <w:rPr>
          <w:rFonts w:ascii="Times New Roman" w:hAnsi="Times New Roman" w:cs="Times New Roman"/>
          <w:sz w:val="24"/>
          <w:szCs w:val="24"/>
          <w:lang w:val="fr-FR"/>
        </w:rPr>
        <w:t>Libera énon</w:t>
      </w:r>
      <w:r w:rsidR="006E1B36">
        <w:rPr>
          <w:rFonts w:ascii="Times New Roman" w:hAnsi="Times New Roman" w:cs="Times New Roman"/>
          <w:sz w:val="24"/>
          <w:szCs w:val="24"/>
          <w:lang w:val="fr-FR"/>
        </w:rPr>
        <w:t>ce</w:t>
      </w:r>
      <w:r w:rsidR="00C40EF4">
        <w:rPr>
          <w:rFonts w:ascii="Times New Roman" w:hAnsi="Times New Roman" w:cs="Times New Roman"/>
          <w:sz w:val="24"/>
          <w:szCs w:val="24"/>
          <w:lang w:val="fr-FR"/>
        </w:rPr>
        <w:t xml:space="preserve"> clairement la tradition méthodologique qui </w:t>
      </w:r>
      <w:r w:rsidR="006E1B36">
        <w:rPr>
          <w:rFonts w:ascii="Times New Roman" w:hAnsi="Times New Roman" w:cs="Times New Roman"/>
          <w:sz w:val="24"/>
          <w:szCs w:val="24"/>
          <w:lang w:val="fr-FR"/>
        </w:rPr>
        <w:t>est</w:t>
      </w:r>
      <w:r w:rsidR="00C40EF4">
        <w:rPr>
          <w:rFonts w:ascii="Times New Roman" w:hAnsi="Times New Roman" w:cs="Times New Roman"/>
          <w:sz w:val="24"/>
          <w:szCs w:val="24"/>
          <w:lang w:val="fr-FR"/>
        </w:rPr>
        <w:t xml:space="preserve"> la sienne : « L’une de </w:t>
      </w:r>
      <w:r w:rsidR="00116DE3" w:rsidRPr="00116DE3">
        <w:rPr>
          <w:rFonts w:ascii="Times New Roman" w:hAnsi="Times New Roman" w:cs="Times New Roman"/>
          <w:sz w:val="24"/>
          <w:szCs w:val="24"/>
        </w:rPr>
        <w:t>mes convictions est qu’il n’y a pas de problème éternel ou invariant et que chaque problème peut (et doit) faire l’objet d’une genèse. C’est ce que je disais tout à l’heure en invoquant chez Guéroult le croisement de l’évolution et de la structure. Mais il y a plus précis. En plus de Guéroult, de Foucault et de Veyne, il me faut citer un quatrième auteur (moins connu, sans doute, du public français) qui a beaucoup compté pour moi dans la conception et la mise en œuvre de ma méthodologie, je veux parler de Robin G. Collingwood (1889-1943)</w:t>
      </w:r>
      <w:r w:rsidR="00116DE3">
        <w:rPr>
          <w:rFonts w:ascii="Times New Roman" w:hAnsi="Times New Roman" w:cs="Times New Roman"/>
          <w:sz w:val="24"/>
          <w:szCs w:val="24"/>
        </w:rPr>
        <w:t> »</w:t>
      </w:r>
      <w:r w:rsidR="00171EF7">
        <w:rPr>
          <w:rFonts w:ascii="Times New Roman" w:hAnsi="Times New Roman" w:cs="Times New Roman"/>
          <w:sz w:val="24"/>
          <w:szCs w:val="24"/>
        </w:rPr>
        <w:t xml:space="preserve"> (Libera (de) A., 2009)</w:t>
      </w:r>
      <w:r w:rsidR="00576C1E">
        <w:rPr>
          <w:rFonts w:ascii="Times New Roman" w:hAnsi="Times New Roman" w:cs="Times New Roman"/>
          <w:sz w:val="24"/>
          <w:szCs w:val="24"/>
        </w:rPr>
        <w:t xml:space="preserve">. </w:t>
      </w:r>
      <w:r w:rsidR="006A69EA">
        <w:rPr>
          <w:rFonts w:ascii="Times New Roman" w:hAnsi="Times New Roman" w:cs="Times New Roman"/>
          <w:sz w:val="24"/>
          <w:szCs w:val="24"/>
        </w:rPr>
        <w:t xml:space="preserve">Cette filiation est reprise par Libera dans son séminaire du 20 mars 2014 au Collège de </w:t>
      </w:r>
      <w:r w:rsidR="00507AA6">
        <w:rPr>
          <w:rFonts w:ascii="Times New Roman" w:hAnsi="Times New Roman" w:cs="Times New Roman"/>
          <w:sz w:val="24"/>
          <w:szCs w:val="24"/>
        </w:rPr>
        <w:t>France lorsqu’il légitime l’usage de Collingwood :</w:t>
      </w:r>
      <w:r w:rsidR="00370D9D">
        <w:rPr>
          <w:rFonts w:ascii="Times New Roman" w:hAnsi="Times New Roman" w:cs="Times New Roman"/>
          <w:sz w:val="24"/>
          <w:szCs w:val="24"/>
        </w:rPr>
        <w:t xml:space="preserve"> </w:t>
      </w:r>
      <w:r w:rsidR="00370D9D" w:rsidRPr="00370D9D">
        <w:rPr>
          <w:rFonts w:ascii="Times New Roman" w:hAnsi="Times New Roman" w:cs="Times New Roman"/>
          <w:sz w:val="24"/>
          <w:szCs w:val="24"/>
        </w:rPr>
        <w:t xml:space="preserve">« Reprendre le programme des </w:t>
      </w:r>
      <w:r w:rsidR="00370D9D" w:rsidRPr="00370D9D">
        <w:rPr>
          <w:rFonts w:ascii="Times New Roman" w:hAnsi="Times New Roman" w:cs="Times New Roman"/>
          <w:i/>
          <w:iCs/>
          <w:sz w:val="24"/>
          <w:szCs w:val="24"/>
        </w:rPr>
        <w:t>Mots et les Choses</w:t>
      </w:r>
      <w:r w:rsidR="00370D9D" w:rsidRPr="00370D9D">
        <w:rPr>
          <w:rFonts w:ascii="Times New Roman" w:hAnsi="Times New Roman" w:cs="Times New Roman"/>
          <w:sz w:val="24"/>
          <w:szCs w:val="24"/>
        </w:rPr>
        <w:t xml:space="preserve"> dans un domaine comme celui de la logique médiévale pouvait sembler tout à fait absurde, mais j’ai mis un peu d’eau dans ce vin en cherchant – avec d’autres, à l’époque, bien qu’un peu isolé en France – à infléchir les notions d’ </w:t>
      </w:r>
      <w:r w:rsidR="00CB6FAD" w:rsidRPr="00CB6FAD">
        <w:t>“</w:t>
      </w:r>
      <w:r w:rsidR="00370D9D" w:rsidRPr="00370D9D">
        <w:rPr>
          <w:rFonts w:ascii="Times New Roman" w:hAnsi="Times New Roman" w:cs="Times New Roman"/>
          <w:sz w:val="24"/>
          <w:szCs w:val="24"/>
        </w:rPr>
        <w:t>épistémè</w:t>
      </w:r>
      <w:r w:rsidR="00BE27B1" w:rsidRPr="00BE27B1">
        <w:t>”</w:t>
      </w:r>
      <w:r w:rsidR="00370D9D" w:rsidRPr="00370D9D">
        <w:rPr>
          <w:rFonts w:ascii="Times New Roman" w:hAnsi="Times New Roman" w:cs="Times New Roman"/>
          <w:sz w:val="24"/>
          <w:szCs w:val="24"/>
        </w:rPr>
        <w:t xml:space="preserve">, de </w:t>
      </w:r>
      <w:r w:rsidR="00BE27B1" w:rsidRPr="00CB6FAD">
        <w:t>“</w:t>
      </w:r>
      <w:r w:rsidR="00370D9D" w:rsidRPr="00370D9D">
        <w:rPr>
          <w:rFonts w:ascii="Times New Roman" w:hAnsi="Times New Roman" w:cs="Times New Roman"/>
          <w:sz w:val="24"/>
          <w:szCs w:val="24"/>
        </w:rPr>
        <w:t>champ de présence</w:t>
      </w:r>
      <w:r w:rsidR="00BE27B1" w:rsidRPr="00BE27B1">
        <w:t>”</w:t>
      </w:r>
      <w:r w:rsidR="00BE27B1">
        <w:t xml:space="preserve">, </w:t>
      </w:r>
      <w:r w:rsidR="00370D9D" w:rsidRPr="00370D9D">
        <w:rPr>
          <w:rFonts w:ascii="Times New Roman" w:hAnsi="Times New Roman" w:cs="Times New Roman"/>
          <w:sz w:val="24"/>
          <w:szCs w:val="24"/>
        </w:rPr>
        <w:t>d’ </w:t>
      </w:r>
      <w:r w:rsidR="00BE27B1" w:rsidRPr="00CB6FAD">
        <w:t>“</w:t>
      </w:r>
      <w:r w:rsidR="00370D9D" w:rsidRPr="00370D9D">
        <w:rPr>
          <w:rFonts w:ascii="Times New Roman" w:hAnsi="Times New Roman" w:cs="Times New Roman"/>
          <w:i/>
          <w:iCs/>
          <w:sz w:val="24"/>
          <w:szCs w:val="24"/>
        </w:rPr>
        <w:t xml:space="preserve">a priori </w:t>
      </w:r>
      <w:r w:rsidR="00370D9D" w:rsidRPr="00370D9D">
        <w:rPr>
          <w:rFonts w:ascii="Times New Roman" w:hAnsi="Times New Roman" w:cs="Times New Roman"/>
          <w:sz w:val="24"/>
          <w:szCs w:val="24"/>
        </w:rPr>
        <w:t>historique</w:t>
      </w:r>
      <w:r w:rsidR="00BE27B1" w:rsidRPr="00BE27B1">
        <w:t>”</w:t>
      </w:r>
      <w:r w:rsidR="00BE27B1">
        <w:t xml:space="preserve"> </w:t>
      </w:r>
      <w:r w:rsidR="00370D9D" w:rsidRPr="00370D9D">
        <w:rPr>
          <w:rFonts w:ascii="Times New Roman" w:hAnsi="Times New Roman" w:cs="Times New Roman"/>
          <w:sz w:val="24"/>
          <w:szCs w:val="24"/>
        </w:rPr>
        <w:t>de Foucault, et cela grâce à la lecture d’un texte que je cite souvent, y compris dans ma leçon inaugurale, mais dont il faut dire des choses plus précises : l’autobiographie de Robin George Collingwood. Ce philosophe anglais est à peu près totalement oublié en France, mais il ne l’est pas partout (il ne l’est pas au Québec par exemple) »</w:t>
      </w:r>
      <w:r w:rsidR="00171EF7">
        <w:rPr>
          <w:rFonts w:ascii="Times New Roman" w:hAnsi="Times New Roman" w:cs="Times New Roman"/>
          <w:sz w:val="24"/>
          <w:szCs w:val="24"/>
        </w:rPr>
        <w:t xml:space="preserve"> (Libera (de) A., 2016, p.16-17).</w:t>
      </w:r>
      <w:r w:rsidR="006A245E">
        <w:rPr>
          <w:rFonts w:ascii="Times New Roman" w:hAnsi="Times New Roman" w:cs="Times New Roman"/>
          <w:sz w:val="24"/>
          <w:szCs w:val="24"/>
        </w:rPr>
        <w:t xml:space="preserve"> </w:t>
      </w:r>
      <w:r w:rsidR="0063636D">
        <w:rPr>
          <w:rFonts w:ascii="Times New Roman" w:hAnsi="Times New Roman" w:cs="Times New Roman"/>
          <w:sz w:val="24"/>
          <w:szCs w:val="24"/>
        </w:rPr>
        <w:t>Et Libera</w:t>
      </w:r>
      <w:r w:rsidR="00594AE0">
        <w:rPr>
          <w:rFonts w:ascii="Times New Roman" w:hAnsi="Times New Roman" w:cs="Times New Roman"/>
          <w:sz w:val="24"/>
          <w:szCs w:val="24"/>
        </w:rPr>
        <w:t xml:space="preserve"> précise</w:t>
      </w:r>
      <w:r w:rsidR="0063636D">
        <w:rPr>
          <w:rFonts w:ascii="Times New Roman" w:hAnsi="Times New Roman" w:cs="Times New Roman"/>
          <w:sz w:val="24"/>
          <w:szCs w:val="24"/>
        </w:rPr>
        <w:t xml:space="preserve"> ici </w:t>
      </w:r>
      <w:r w:rsidR="00594AE0">
        <w:rPr>
          <w:rFonts w:ascii="Times New Roman" w:hAnsi="Times New Roman" w:cs="Times New Roman"/>
          <w:sz w:val="24"/>
          <w:szCs w:val="24"/>
        </w:rPr>
        <w:t>le lien qu’il entretient avec</w:t>
      </w:r>
      <w:r w:rsidR="0063636D">
        <w:rPr>
          <w:rFonts w:ascii="Times New Roman" w:hAnsi="Times New Roman" w:cs="Times New Roman"/>
          <w:sz w:val="24"/>
          <w:szCs w:val="24"/>
        </w:rPr>
        <w:t xml:space="preserve"> l’</w:t>
      </w:r>
      <w:r w:rsidR="0063636D">
        <w:rPr>
          <w:rFonts w:ascii="Times New Roman" w:hAnsi="Times New Roman" w:cs="Times New Roman"/>
          <w:i/>
          <w:iCs/>
          <w:sz w:val="24"/>
          <w:szCs w:val="24"/>
        </w:rPr>
        <w:t>Autobiography</w:t>
      </w:r>
      <w:r w:rsidR="0063636D">
        <w:rPr>
          <w:rFonts w:ascii="Times New Roman" w:hAnsi="Times New Roman" w:cs="Times New Roman"/>
          <w:sz w:val="24"/>
          <w:szCs w:val="24"/>
        </w:rPr>
        <w:t> : « cette œuvre m’a aidé à mieux comprendre mon activité ; elle m’a encouragé à poursuivre mes recherches dans le domaine de l’histoire des corpus ; elle m’a fourni plusieurs principes philosophique</w:t>
      </w:r>
      <w:r w:rsidR="00797796">
        <w:rPr>
          <w:rFonts w:ascii="Times New Roman" w:hAnsi="Times New Roman" w:cs="Times New Roman"/>
          <w:sz w:val="24"/>
          <w:szCs w:val="24"/>
        </w:rPr>
        <w:t>s</w:t>
      </w:r>
      <w:r w:rsidR="0063636D">
        <w:rPr>
          <w:rFonts w:ascii="Times New Roman" w:hAnsi="Times New Roman" w:cs="Times New Roman"/>
          <w:sz w:val="24"/>
          <w:szCs w:val="24"/>
        </w:rPr>
        <w:t xml:space="preserve"> de base de l’approche que je disais auparavant </w:t>
      </w:r>
      <w:r w:rsidR="003A413E" w:rsidRPr="00CB6FAD">
        <w:t>“</w:t>
      </w:r>
      <w:r w:rsidR="0063636D">
        <w:rPr>
          <w:rFonts w:ascii="Times New Roman" w:hAnsi="Times New Roman" w:cs="Times New Roman"/>
          <w:sz w:val="24"/>
          <w:szCs w:val="24"/>
        </w:rPr>
        <w:t>épistémique</w:t>
      </w:r>
      <w:r w:rsidR="003A413E" w:rsidRPr="00BE27B1">
        <w:t>”</w:t>
      </w:r>
      <w:r w:rsidR="003A413E">
        <w:t xml:space="preserve"> </w:t>
      </w:r>
      <w:r w:rsidR="0063636D">
        <w:rPr>
          <w:rFonts w:ascii="Times New Roman" w:hAnsi="Times New Roman" w:cs="Times New Roman"/>
          <w:sz w:val="24"/>
          <w:szCs w:val="24"/>
        </w:rPr>
        <w:t xml:space="preserve">et dis aujourd’hui </w:t>
      </w:r>
      <w:r w:rsidR="003A413E" w:rsidRPr="00CB6FAD">
        <w:t>“</w:t>
      </w:r>
      <w:r w:rsidR="0063636D">
        <w:rPr>
          <w:rFonts w:ascii="Times New Roman" w:hAnsi="Times New Roman" w:cs="Times New Roman"/>
          <w:sz w:val="24"/>
          <w:szCs w:val="24"/>
        </w:rPr>
        <w:t>archéologique</w:t>
      </w:r>
      <w:r w:rsidR="003A413E" w:rsidRPr="00BE27B1">
        <w:t>”</w:t>
      </w:r>
      <w:r w:rsidR="003A413E">
        <w:t>.</w:t>
      </w:r>
      <w:r w:rsidR="009170EB">
        <w:t> »</w:t>
      </w:r>
    </w:p>
    <w:p w14:paraId="792A8215" w14:textId="30E88A13" w:rsidR="007279DC" w:rsidRDefault="0063636D" w:rsidP="0063157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170EB">
        <w:rPr>
          <w:rFonts w:ascii="Times New Roman" w:hAnsi="Times New Roman" w:cs="Times New Roman"/>
          <w:sz w:val="24"/>
          <w:szCs w:val="24"/>
        </w:rPr>
        <w:t>Cependant, ce terme, cette méthode « archéologique » qu’Alain de Libera utilise pour remplacer le vocable foucaldien d’</w:t>
      </w:r>
      <w:r w:rsidR="009170EB">
        <w:rPr>
          <w:rFonts w:ascii="Times New Roman" w:hAnsi="Times New Roman" w:cs="Times New Roman"/>
          <w:i/>
          <w:iCs/>
          <w:sz w:val="24"/>
          <w:szCs w:val="24"/>
        </w:rPr>
        <w:t>épistémé</w:t>
      </w:r>
      <w:r w:rsidR="009170EB">
        <w:rPr>
          <w:rFonts w:ascii="Times New Roman" w:hAnsi="Times New Roman" w:cs="Times New Roman"/>
          <w:sz w:val="24"/>
          <w:szCs w:val="24"/>
        </w:rPr>
        <w:t xml:space="preserve"> n’est en aucun cas un terme de Collingwood. Le mot d’archéologie semble davantage se rapporter à ce que Foucault entend dans </w:t>
      </w:r>
      <w:r w:rsidR="009170EB">
        <w:rPr>
          <w:rFonts w:ascii="Times New Roman" w:hAnsi="Times New Roman" w:cs="Times New Roman"/>
          <w:i/>
          <w:iCs/>
          <w:sz w:val="24"/>
          <w:szCs w:val="24"/>
        </w:rPr>
        <w:t>Archéologie du savoir</w:t>
      </w:r>
      <w:r w:rsidR="007321F4">
        <w:rPr>
          <w:rFonts w:ascii="Times New Roman" w:hAnsi="Times New Roman" w:cs="Times New Roman"/>
          <w:sz w:val="24"/>
          <w:szCs w:val="24"/>
        </w:rPr>
        <w:t xml:space="preserve"> par « description archéologique »</w:t>
      </w:r>
      <w:r w:rsidR="00171EF7">
        <w:rPr>
          <w:rFonts w:ascii="Times New Roman" w:hAnsi="Times New Roman" w:cs="Times New Roman"/>
          <w:sz w:val="24"/>
          <w:szCs w:val="24"/>
        </w:rPr>
        <w:t xml:space="preserve"> (Foucault M., 2014, p.182-183)</w:t>
      </w:r>
      <w:r w:rsidR="007321F4">
        <w:rPr>
          <w:rFonts w:ascii="Times New Roman" w:hAnsi="Times New Roman" w:cs="Times New Roman"/>
          <w:sz w:val="24"/>
          <w:szCs w:val="24"/>
        </w:rPr>
        <w:t xml:space="preserve">. </w:t>
      </w:r>
      <w:r w:rsidR="00897C95">
        <w:rPr>
          <w:rFonts w:ascii="Times New Roman" w:hAnsi="Times New Roman" w:cs="Times New Roman"/>
          <w:sz w:val="24"/>
          <w:szCs w:val="24"/>
        </w:rPr>
        <w:t>S</w:t>
      </w:r>
      <w:r w:rsidR="001E7386">
        <w:rPr>
          <w:rFonts w:ascii="Times New Roman" w:hAnsi="Times New Roman" w:cs="Times New Roman"/>
          <w:sz w:val="24"/>
          <w:szCs w:val="24"/>
        </w:rPr>
        <w:t>i</w:t>
      </w:r>
      <w:r w:rsidR="00897C95">
        <w:rPr>
          <w:rFonts w:ascii="Times New Roman" w:hAnsi="Times New Roman" w:cs="Times New Roman"/>
          <w:sz w:val="24"/>
          <w:szCs w:val="24"/>
        </w:rPr>
        <w:t xml:space="preserve"> R.G. Collingwood était bien historien et archéologue lui-même, et s’il précise à plusieurs endroits que l’a</w:t>
      </w:r>
      <w:r w:rsidR="00BE2E55">
        <w:rPr>
          <w:rFonts w:ascii="Times New Roman" w:hAnsi="Times New Roman" w:cs="Times New Roman"/>
          <w:sz w:val="24"/>
          <w:szCs w:val="24"/>
        </w:rPr>
        <w:t>rchéologie a été son laboratoire</w:t>
      </w:r>
      <w:r w:rsidR="00171EF7">
        <w:rPr>
          <w:rFonts w:ascii="Times New Roman" w:hAnsi="Times New Roman" w:cs="Times New Roman"/>
          <w:sz w:val="24"/>
          <w:szCs w:val="24"/>
        </w:rPr>
        <w:t xml:space="preserve"> (Collingwood R.G., 2017, 24-30) </w:t>
      </w:r>
      <w:r w:rsidR="00180E2F">
        <w:rPr>
          <w:rFonts w:ascii="Times New Roman" w:hAnsi="Times New Roman" w:cs="Times New Roman"/>
          <w:sz w:val="24"/>
          <w:szCs w:val="24"/>
        </w:rPr>
        <w:t xml:space="preserve">d’où ont émergé ses théories méthodologiques, notamment la fameuse logique des </w:t>
      </w:r>
      <w:r w:rsidR="00171EF7">
        <w:rPr>
          <w:rFonts w:ascii="Times New Roman" w:hAnsi="Times New Roman" w:cs="Times New Roman"/>
          <w:sz w:val="24"/>
          <w:szCs w:val="24"/>
        </w:rPr>
        <w:t>q</w:t>
      </w:r>
      <w:r w:rsidR="00180E2F">
        <w:rPr>
          <w:rFonts w:ascii="Times New Roman" w:hAnsi="Times New Roman" w:cs="Times New Roman"/>
          <w:sz w:val="24"/>
          <w:szCs w:val="24"/>
        </w:rPr>
        <w:t>uestions</w:t>
      </w:r>
      <w:r w:rsidR="00171EF7">
        <w:rPr>
          <w:rFonts w:ascii="Times New Roman" w:hAnsi="Times New Roman" w:cs="Times New Roman"/>
          <w:sz w:val="24"/>
          <w:szCs w:val="24"/>
        </w:rPr>
        <w:t>-</w:t>
      </w:r>
      <w:r w:rsidR="00180E2F">
        <w:rPr>
          <w:rFonts w:ascii="Times New Roman" w:hAnsi="Times New Roman" w:cs="Times New Roman"/>
          <w:sz w:val="24"/>
          <w:szCs w:val="24"/>
        </w:rPr>
        <w:t xml:space="preserve">éponses que reprend Libera, Collingwood n’a jamais utilisé </w:t>
      </w:r>
      <w:r w:rsidR="006955DB">
        <w:rPr>
          <w:rFonts w:ascii="Times New Roman" w:hAnsi="Times New Roman" w:cs="Times New Roman"/>
          <w:sz w:val="24"/>
          <w:szCs w:val="24"/>
        </w:rPr>
        <w:t>ce mot</w:t>
      </w:r>
      <w:r w:rsidR="00180E2F">
        <w:rPr>
          <w:rFonts w:ascii="Times New Roman" w:hAnsi="Times New Roman" w:cs="Times New Roman"/>
          <w:sz w:val="24"/>
          <w:szCs w:val="24"/>
        </w:rPr>
        <w:t xml:space="preserve"> d’archéologie </w:t>
      </w:r>
      <w:r w:rsidR="00363C75">
        <w:rPr>
          <w:rFonts w:ascii="Times New Roman" w:hAnsi="Times New Roman" w:cs="Times New Roman"/>
          <w:sz w:val="24"/>
          <w:szCs w:val="24"/>
        </w:rPr>
        <w:t xml:space="preserve">pour l’attribuer à l’activité philosophique. </w:t>
      </w:r>
      <w:r w:rsidR="00E15A36">
        <w:rPr>
          <w:rFonts w:ascii="Times New Roman" w:hAnsi="Times New Roman" w:cs="Times New Roman"/>
          <w:sz w:val="24"/>
          <w:szCs w:val="24"/>
        </w:rPr>
        <w:t>Néanmoins, l’usage de cette terminologie permet à Libera de faire un pont entre Collingwood et Foucault</w:t>
      </w:r>
      <w:r w:rsidR="0071250B">
        <w:rPr>
          <w:rFonts w:ascii="Times New Roman" w:hAnsi="Times New Roman" w:cs="Times New Roman"/>
          <w:sz w:val="24"/>
          <w:szCs w:val="24"/>
        </w:rPr>
        <w:t xml:space="preserve">, et d’aboutir ainsi à une définition précise du travail de l’historien comme « archéologue de la philosophie ». </w:t>
      </w:r>
      <w:r w:rsidR="00FB40DE">
        <w:rPr>
          <w:rFonts w:ascii="Times New Roman" w:hAnsi="Times New Roman" w:cs="Times New Roman"/>
          <w:sz w:val="24"/>
          <w:szCs w:val="24"/>
        </w:rPr>
        <w:t xml:space="preserve">Cet historien-là, dans la stricte tradition de Guéroult, ne peut entrer dans un ensemble de corpus, ou dans la pensée d’un auteur passé, </w:t>
      </w:r>
      <w:r w:rsidR="003739DF">
        <w:rPr>
          <w:rFonts w:ascii="Times New Roman" w:hAnsi="Times New Roman" w:cs="Times New Roman"/>
          <w:sz w:val="24"/>
          <w:szCs w:val="24"/>
        </w:rPr>
        <w:t>avec des préoccupations trop étrangères, il doit « réeffectuer un questionnaire d’origine »</w:t>
      </w:r>
      <w:r w:rsidR="00171EF7">
        <w:rPr>
          <w:rFonts w:ascii="Times New Roman" w:hAnsi="Times New Roman" w:cs="Times New Roman"/>
          <w:sz w:val="24"/>
          <w:szCs w:val="24"/>
        </w:rPr>
        <w:t xml:space="preserve"> (Libera (de) A., 2016, p.18)</w:t>
      </w:r>
      <w:r w:rsidR="003739DF">
        <w:rPr>
          <w:rFonts w:ascii="Times New Roman" w:hAnsi="Times New Roman" w:cs="Times New Roman"/>
          <w:sz w:val="24"/>
          <w:szCs w:val="24"/>
        </w:rPr>
        <w:t>.</w:t>
      </w:r>
      <w:r w:rsidR="00171EF7">
        <w:rPr>
          <w:rFonts w:ascii="Times New Roman" w:hAnsi="Times New Roman" w:cs="Times New Roman"/>
          <w:sz w:val="24"/>
          <w:szCs w:val="24"/>
        </w:rPr>
        <w:t xml:space="preserve"> </w:t>
      </w:r>
      <w:r w:rsidR="00CD4E6A">
        <w:rPr>
          <w:rFonts w:ascii="Times New Roman" w:hAnsi="Times New Roman" w:cs="Times New Roman"/>
          <w:sz w:val="24"/>
          <w:szCs w:val="24"/>
        </w:rPr>
        <w:t>Car, et c’est là ce que Libera appelle le projet de Collingwood : « L’historien ne fait pas l’histoire des questions qui ne se posent pas, ni ne sauraient se poser ; il fait l’histoire de questions qui méritent de se poser, et se posent</w:t>
      </w:r>
      <w:r w:rsidR="00171EF7">
        <w:rPr>
          <w:rFonts w:ascii="Times New Roman" w:hAnsi="Times New Roman" w:cs="Times New Roman"/>
          <w:sz w:val="24"/>
          <w:szCs w:val="24"/>
        </w:rPr>
        <w:t xml:space="preserve"> </w:t>
      </w:r>
      <w:r w:rsidR="00CD4E6A">
        <w:rPr>
          <w:rFonts w:ascii="Times New Roman" w:hAnsi="Times New Roman" w:cs="Times New Roman"/>
          <w:sz w:val="24"/>
          <w:szCs w:val="24"/>
        </w:rPr>
        <w:t>»</w:t>
      </w:r>
      <w:r w:rsidR="00171EF7">
        <w:rPr>
          <w:rFonts w:ascii="Times New Roman" w:hAnsi="Times New Roman" w:cs="Times New Roman"/>
          <w:sz w:val="24"/>
          <w:szCs w:val="24"/>
        </w:rPr>
        <w:t xml:space="preserve"> (Libera (de) A., 2016, p.18).</w:t>
      </w:r>
      <w:r w:rsidR="00CD4E6A">
        <w:rPr>
          <w:rFonts w:ascii="Times New Roman" w:hAnsi="Times New Roman" w:cs="Times New Roman"/>
          <w:sz w:val="24"/>
          <w:szCs w:val="24"/>
        </w:rPr>
        <w:t xml:space="preserve"> En ce sens, </w:t>
      </w:r>
      <w:r w:rsidR="00A01550">
        <w:rPr>
          <w:rFonts w:ascii="Times New Roman" w:hAnsi="Times New Roman" w:cs="Times New Roman"/>
          <w:sz w:val="24"/>
          <w:szCs w:val="24"/>
        </w:rPr>
        <w:t xml:space="preserve">l’interprétation qu’Alain de Libera fait de cette logique des </w:t>
      </w:r>
      <w:r w:rsidR="00171EF7">
        <w:rPr>
          <w:rFonts w:ascii="Times New Roman" w:hAnsi="Times New Roman" w:cs="Times New Roman"/>
          <w:sz w:val="24"/>
          <w:szCs w:val="24"/>
        </w:rPr>
        <w:t>q</w:t>
      </w:r>
      <w:r w:rsidR="00A01550">
        <w:rPr>
          <w:rFonts w:ascii="Times New Roman" w:hAnsi="Times New Roman" w:cs="Times New Roman"/>
          <w:sz w:val="24"/>
          <w:szCs w:val="24"/>
        </w:rPr>
        <w:t>uestions</w:t>
      </w:r>
      <w:r w:rsidR="00171EF7">
        <w:rPr>
          <w:rFonts w:ascii="Times New Roman" w:hAnsi="Times New Roman" w:cs="Times New Roman"/>
          <w:sz w:val="24"/>
          <w:szCs w:val="24"/>
        </w:rPr>
        <w:t>-r</w:t>
      </w:r>
      <w:r w:rsidR="00A01550">
        <w:rPr>
          <w:rFonts w:ascii="Times New Roman" w:hAnsi="Times New Roman" w:cs="Times New Roman"/>
          <w:sz w:val="24"/>
          <w:szCs w:val="24"/>
        </w:rPr>
        <w:t xml:space="preserve">éponses proposée par Collingwood </w:t>
      </w:r>
      <w:r w:rsidR="00FB0828">
        <w:rPr>
          <w:rFonts w:ascii="Times New Roman" w:hAnsi="Times New Roman" w:cs="Times New Roman"/>
          <w:sz w:val="24"/>
          <w:szCs w:val="24"/>
        </w:rPr>
        <w:t>semble très proche de la thèse d’un spécialiste de l’œuvre du philosophe britannique, Christopher Fear</w:t>
      </w:r>
      <w:r w:rsidR="00171EF7">
        <w:rPr>
          <w:rFonts w:ascii="Times New Roman" w:hAnsi="Times New Roman" w:cs="Times New Roman"/>
          <w:sz w:val="24"/>
          <w:szCs w:val="24"/>
        </w:rPr>
        <w:t xml:space="preserve"> (Fear C., 2013)</w:t>
      </w:r>
      <w:r w:rsidR="00A24645">
        <w:rPr>
          <w:rStyle w:val="Appelnotedebasdep"/>
          <w:rFonts w:ascii="Times New Roman" w:hAnsi="Times New Roman" w:cs="Times New Roman"/>
          <w:sz w:val="24"/>
          <w:szCs w:val="24"/>
        </w:rPr>
        <w:footnoteReference w:id="22"/>
      </w:r>
      <w:r w:rsidR="00FB0828">
        <w:rPr>
          <w:rFonts w:ascii="Times New Roman" w:hAnsi="Times New Roman" w:cs="Times New Roman"/>
          <w:sz w:val="24"/>
          <w:szCs w:val="24"/>
        </w:rPr>
        <w:t xml:space="preserve">. En effet, pour Libera, la </w:t>
      </w:r>
      <w:r w:rsidR="00C603B5">
        <w:rPr>
          <w:rFonts w:ascii="Times New Roman" w:hAnsi="Times New Roman" w:cs="Times New Roman"/>
          <w:sz w:val="24"/>
          <w:szCs w:val="24"/>
        </w:rPr>
        <w:t>logique proposée par Collingwood vient légitimer ce concept très controversé de « re-enactment », que Ricoeur traduisait</w:t>
      </w:r>
      <w:r w:rsidR="0016701A">
        <w:rPr>
          <w:rFonts w:ascii="Times New Roman" w:hAnsi="Times New Roman" w:cs="Times New Roman"/>
          <w:sz w:val="24"/>
          <w:szCs w:val="24"/>
        </w:rPr>
        <w:t xml:space="preserve"> par la « ré</w:t>
      </w:r>
      <w:r w:rsidR="00F67DD7">
        <w:rPr>
          <w:rFonts w:ascii="Times New Roman" w:hAnsi="Times New Roman" w:cs="Times New Roman"/>
          <w:sz w:val="24"/>
          <w:szCs w:val="24"/>
        </w:rPr>
        <w:t>-</w:t>
      </w:r>
      <w:r w:rsidR="0016701A">
        <w:rPr>
          <w:rFonts w:ascii="Times New Roman" w:hAnsi="Times New Roman" w:cs="Times New Roman"/>
          <w:sz w:val="24"/>
          <w:szCs w:val="24"/>
        </w:rPr>
        <w:t xml:space="preserve">effectuation » du passé. </w:t>
      </w:r>
      <w:r w:rsidR="00CC73BA">
        <w:rPr>
          <w:rFonts w:ascii="Times New Roman" w:hAnsi="Times New Roman" w:cs="Times New Roman"/>
          <w:sz w:val="24"/>
          <w:szCs w:val="24"/>
        </w:rPr>
        <w:t>L’historien doit rejouer un questionnement, pour Libera dans les termes mêmes des auteurs médiévaux, en faisant sien le langage médiéval,</w:t>
      </w:r>
      <w:r w:rsidR="00812B1B">
        <w:rPr>
          <w:rFonts w:ascii="Times New Roman" w:hAnsi="Times New Roman" w:cs="Times New Roman"/>
          <w:sz w:val="24"/>
          <w:szCs w:val="24"/>
        </w:rPr>
        <w:t xml:space="preserve"> et partant en faisant émerger les questions qui </w:t>
      </w:r>
      <w:r w:rsidR="00A00392">
        <w:rPr>
          <w:rFonts w:ascii="Times New Roman" w:hAnsi="Times New Roman" w:cs="Times New Roman"/>
          <w:sz w:val="24"/>
          <w:szCs w:val="24"/>
        </w:rPr>
        <w:t>appartiennent au texte étudié</w:t>
      </w:r>
      <w:r w:rsidR="002938A1">
        <w:rPr>
          <w:rFonts w:ascii="Times New Roman" w:hAnsi="Times New Roman" w:cs="Times New Roman"/>
          <w:sz w:val="24"/>
          <w:szCs w:val="24"/>
        </w:rPr>
        <w:t xml:space="preserve">. </w:t>
      </w:r>
      <w:r w:rsidR="00B2229C">
        <w:rPr>
          <w:rFonts w:ascii="Times New Roman" w:hAnsi="Times New Roman" w:cs="Times New Roman"/>
          <w:sz w:val="24"/>
          <w:szCs w:val="24"/>
        </w:rPr>
        <w:t>Ainsi</w:t>
      </w:r>
      <w:r w:rsidR="00640E6A">
        <w:rPr>
          <w:rFonts w:ascii="Times New Roman" w:hAnsi="Times New Roman" w:cs="Times New Roman"/>
          <w:sz w:val="24"/>
          <w:szCs w:val="24"/>
        </w:rPr>
        <w:t xml:space="preserve"> les textes médiévaux ne peuvent être </w:t>
      </w:r>
      <w:r w:rsidR="001929E6">
        <w:rPr>
          <w:rFonts w:ascii="Times New Roman" w:hAnsi="Times New Roman" w:cs="Times New Roman"/>
          <w:sz w:val="24"/>
          <w:szCs w:val="24"/>
        </w:rPr>
        <w:t xml:space="preserve">assemblés </w:t>
      </w:r>
      <w:r w:rsidR="00640E6A">
        <w:rPr>
          <w:rFonts w:ascii="Times New Roman" w:hAnsi="Times New Roman" w:cs="Times New Roman"/>
          <w:sz w:val="24"/>
          <w:szCs w:val="24"/>
        </w:rPr>
        <w:t xml:space="preserve">pour répondre à une question générale, ou pour illustrer un grand concept universel : le travail patient et humble de l’archéologue </w:t>
      </w:r>
      <w:r w:rsidR="00E31E04">
        <w:rPr>
          <w:rFonts w:ascii="Times New Roman" w:hAnsi="Times New Roman" w:cs="Times New Roman"/>
          <w:sz w:val="24"/>
          <w:szCs w:val="24"/>
        </w:rPr>
        <w:t>de la philosophie est de rejouer les réseaux, de retisser les liens qui ont permis l’émergence de tel ou tel texte. Pourtant, n’est-ce pas ici une contradiction avec le travail même de Collingwood en tant qu’archéologue, qui précise à plusieurs reprises qu’on n’approche pas d’un terrain archéologique avec une pensée vierge de questions, et que la seule fouille possible est celle qui est guidée par une question préliminaire</w:t>
      </w:r>
      <w:r w:rsidR="007279DC">
        <w:rPr>
          <w:rFonts w:ascii="Times New Roman" w:hAnsi="Times New Roman" w:cs="Times New Roman"/>
          <w:sz w:val="24"/>
          <w:szCs w:val="24"/>
        </w:rPr>
        <w:t xml:space="preserve">, voire </w:t>
      </w:r>
      <w:r w:rsidR="007279DC">
        <w:rPr>
          <w:rFonts w:ascii="Times New Roman" w:hAnsi="Times New Roman" w:cs="Times New Roman"/>
          <w:i/>
          <w:iCs/>
          <w:sz w:val="24"/>
          <w:szCs w:val="24"/>
        </w:rPr>
        <w:t>a priori </w:t>
      </w:r>
      <w:r w:rsidR="00171EF7">
        <w:rPr>
          <w:rFonts w:ascii="Times New Roman" w:hAnsi="Times New Roman" w:cs="Times New Roman"/>
          <w:sz w:val="24"/>
          <w:szCs w:val="24"/>
        </w:rPr>
        <w:t>(Collingwood R.G., 2017, p.126) ?</w:t>
      </w:r>
      <w:r w:rsidR="00324EF0">
        <w:rPr>
          <w:rStyle w:val="Appelnotedebasdep"/>
          <w:rFonts w:ascii="Times New Roman" w:hAnsi="Times New Roman" w:cs="Times New Roman"/>
          <w:sz w:val="24"/>
          <w:szCs w:val="24"/>
        </w:rPr>
        <w:footnoteReference w:id="23"/>
      </w:r>
      <w:r w:rsidR="000F53FE">
        <w:rPr>
          <w:rFonts w:ascii="Times New Roman" w:hAnsi="Times New Roman" w:cs="Times New Roman"/>
          <w:sz w:val="24"/>
          <w:szCs w:val="24"/>
        </w:rPr>
        <w:t xml:space="preserve"> </w:t>
      </w:r>
      <w:r w:rsidR="007279DC">
        <w:rPr>
          <w:rFonts w:ascii="Times New Roman" w:hAnsi="Times New Roman" w:cs="Times New Roman"/>
          <w:sz w:val="24"/>
          <w:szCs w:val="24"/>
        </w:rPr>
        <w:t xml:space="preserve">En d’autres termes, quelle part de l’activité philosophique demeure dans cette méthode d’histoire de la philosophie proposée par Alain de Libera, et surtout, correspond-elle à ce que Collingwood </w:t>
      </w:r>
      <w:r w:rsidR="00097048">
        <w:rPr>
          <w:rFonts w:ascii="Times New Roman" w:hAnsi="Times New Roman" w:cs="Times New Roman"/>
          <w:sz w:val="24"/>
          <w:szCs w:val="24"/>
        </w:rPr>
        <w:t xml:space="preserve">écrit ? </w:t>
      </w:r>
    </w:p>
    <w:p w14:paraId="3F134410" w14:textId="77777777" w:rsidR="00097048" w:rsidRDefault="00097048" w:rsidP="0063157C">
      <w:pPr>
        <w:spacing w:line="360" w:lineRule="auto"/>
        <w:jc w:val="both"/>
        <w:rPr>
          <w:rFonts w:ascii="Times New Roman" w:hAnsi="Times New Roman" w:cs="Times New Roman"/>
          <w:sz w:val="24"/>
          <w:szCs w:val="24"/>
        </w:rPr>
      </w:pPr>
    </w:p>
    <w:p w14:paraId="6A1187AA" w14:textId="55AB8997" w:rsidR="00097048" w:rsidRPr="00075AF0" w:rsidRDefault="00097048" w:rsidP="00075AF0">
      <w:pPr>
        <w:pStyle w:val="Paragraphedeliste"/>
        <w:numPr>
          <w:ilvl w:val="0"/>
          <w:numId w:val="10"/>
        </w:numPr>
        <w:spacing w:line="360" w:lineRule="auto"/>
        <w:jc w:val="both"/>
        <w:rPr>
          <w:rFonts w:ascii="Times New Roman" w:hAnsi="Times New Roman" w:cs="Times New Roman"/>
          <w:i/>
          <w:iCs/>
          <w:sz w:val="24"/>
          <w:szCs w:val="24"/>
        </w:rPr>
      </w:pPr>
      <w:r w:rsidRPr="00075AF0">
        <w:rPr>
          <w:rFonts w:ascii="Times New Roman" w:hAnsi="Times New Roman" w:cs="Times New Roman"/>
          <w:i/>
          <w:iCs/>
          <w:sz w:val="24"/>
          <w:szCs w:val="24"/>
        </w:rPr>
        <w:t xml:space="preserve">Pascal Engel et Alain de Libera : les vertus d’un Collingwood relativiste, discontinuiste, holiste </w:t>
      </w:r>
    </w:p>
    <w:p w14:paraId="56A1B390" w14:textId="77777777" w:rsidR="00097048" w:rsidRDefault="00097048" w:rsidP="0063157C">
      <w:pPr>
        <w:spacing w:line="360" w:lineRule="auto"/>
        <w:jc w:val="both"/>
        <w:rPr>
          <w:rFonts w:ascii="Times New Roman" w:hAnsi="Times New Roman" w:cs="Times New Roman"/>
          <w:b/>
          <w:bCs/>
          <w:sz w:val="24"/>
          <w:szCs w:val="24"/>
        </w:rPr>
      </w:pPr>
    </w:p>
    <w:p w14:paraId="2B34898D" w14:textId="2715755B" w:rsidR="00F6793F" w:rsidRPr="00F6793F" w:rsidRDefault="00F6793F" w:rsidP="0063157C">
      <w:pPr>
        <w:spacing w:line="360" w:lineRule="auto"/>
        <w:jc w:val="both"/>
        <w:rPr>
          <w:rFonts w:ascii="Times New Roman" w:hAnsi="Times New Roman" w:cs="Times New Roman"/>
          <w:sz w:val="24"/>
          <w:szCs w:val="24"/>
        </w:rPr>
      </w:pPr>
      <w:r w:rsidRPr="00F6793F">
        <w:rPr>
          <w:rFonts w:ascii="Times New Roman" w:hAnsi="Times New Roman" w:cs="Times New Roman"/>
          <w:sz w:val="24"/>
          <w:szCs w:val="24"/>
        </w:rPr>
        <w:tab/>
        <w:t>Dès les années 1990, dans l’</w:t>
      </w:r>
      <w:r w:rsidRPr="00F6793F">
        <w:rPr>
          <w:rFonts w:ascii="Times New Roman" w:hAnsi="Times New Roman" w:cs="Times New Roman"/>
          <w:i/>
          <w:iCs/>
          <w:sz w:val="24"/>
          <w:szCs w:val="24"/>
        </w:rPr>
        <w:t>Art des Généralités</w:t>
      </w:r>
      <w:r w:rsidRPr="00F6793F">
        <w:rPr>
          <w:rFonts w:ascii="Times New Roman" w:hAnsi="Times New Roman" w:cs="Times New Roman"/>
          <w:sz w:val="24"/>
          <w:szCs w:val="24"/>
        </w:rPr>
        <w:t xml:space="preserve">, ainsi que dans </w:t>
      </w:r>
      <w:r w:rsidRPr="00F6793F">
        <w:rPr>
          <w:rFonts w:ascii="Times New Roman" w:hAnsi="Times New Roman" w:cs="Times New Roman"/>
          <w:i/>
          <w:iCs/>
          <w:sz w:val="24"/>
          <w:szCs w:val="24"/>
        </w:rPr>
        <w:t>La Querelle des Universaux</w:t>
      </w:r>
      <w:r w:rsidRPr="00F6793F">
        <w:rPr>
          <w:rFonts w:ascii="Times New Roman" w:hAnsi="Times New Roman" w:cs="Times New Roman"/>
          <w:sz w:val="24"/>
          <w:szCs w:val="24"/>
        </w:rPr>
        <w:t xml:space="preserve">, Alain de Libera cherche à développer une méthode de l’histoire de la philosophie qui échappe au finalisme, à la téléologie et à l’histoire dite « métonymique » : </w:t>
      </w:r>
      <w:bookmarkStart w:id="0" w:name="_Hlk150173187"/>
      <w:r w:rsidRPr="00F6793F">
        <w:rPr>
          <w:rFonts w:ascii="Times New Roman" w:hAnsi="Times New Roman" w:cs="Times New Roman"/>
          <w:sz w:val="24"/>
          <w:szCs w:val="24"/>
        </w:rPr>
        <w:t>« qui exige qu’à chaque siècle corresponde une seule posture du savoir, attestée dans une œuvre singulière et marquée d’un seul nom propre. »</w:t>
      </w:r>
      <w:bookmarkEnd w:id="0"/>
      <w:r w:rsidR="00787A2D">
        <w:rPr>
          <w:rFonts w:ascii="Times New Roman" w:hAnsi="Times New Roman" w:cs="Times New Roman"/>
          <w:sz w:val="24"/>
          <w:szCs w:val="24"/>
        </w:rPr>
        <w:t xml:space="preserve"> (Libera (de) A., 2014, p.27)</w:t>
      </w:r>
      <w:r w:rsidRPr="00F6793F">
        <w:rPr>
          <w:rFonts w:ascii="Times New Roman" w:hAnsi="Times New Roman" w:cs="Times New Roman"/>
          <w:sz w:val="24"/>
          <w:szCs w:val="24"/>
        </w:rPr>
        <w:t xml:space="preserve"> </w:t>
      </w:r>
    </w:p>
    <w:p w14:paraId="198DBB7E" w14:textId="07F36363" w:rsidR="00F6793F" w:rsidRPr="00F6793F" w:rsidRDefault="00F6793F" w:rsidP="00787A2D">
      <w:pPr>
        <w:spacing w:line="360" w:lineRule="auto"/>
        <w:ind w:firstLine="708"/>
        <w:jc w:val="both"/>
        <w:rPr>
          <w:rFonts w:ascii="Times New Roman" w:hAnsi="Times New Roman" w:cs="Times New Roman"/>
          <w:sz w:val="24"/>
          <w:szCs w:val="24"/>
        </w:rPr>
      </w:pPr>
      <w:r w:rsidRPr="00F6793F">
        <w:rPr>
          <w:rFonts w:ascii="Times New Roman" w:hAnsi="Times New Roman" w:cs="Times New Roman"/>
          <w:sz w:val="24"/>
          <w:szCs w:val="24"/>
        </w:rPr>
        <w:t xml:space="preserve">Par ailleurs, désireux de s’intéresser à la </w:t>
      </w:r>
      <w:r w:rsidR="00787A2D">
        <w:rPr>
          <w:rFonts w:ascii="Times New Roman" w:hAnsi="Times New Roman" w:cs="Times New Roman"/>
          <w:sz w:val="24"/>
          <w:szCs w:val="24"/>
        </w:rPr>
        <w:t>q</w:t>
      </w:r>
      <w:r w:rsidRPr="00F6793F">
        <w:rPr>
          <w:rFonts w:ascii="Times New Roman" w:hAnsi="Times New Roman" w:cs="Times New Roman"/>
          <w:sz w:val="24"/>
          <w:szCs w:val="24"/>
        </w:rPr>
        <w:t xml:space="preserve">uerelle des </w:t>
      </w:r>
      <w:r w:rsidR="00787A2D">
        <w:rPr>
          <w:rFonts w:ascii="Times New Roman" w:hAnsi="Times New Roman" w:cs="Times New Roman"/>
          <w:sz w:val="24"/>
          <w:szCs w:val="24"/>
        </w:rPr>
        <w:t>u</w:t>
      </w:r>
      <w:r w:rsidRPr="00F6793F">
        <w:rPr>
          <w:rFonts w:ascii="Times New Roman" w:hAnsi="Times New Roman" w:cs="Times New Roman"/>
          <w:sz w:val="24"/>
          <w:szCs w:val="24"/>
        </w:rPr>
        <w:t xml:space="preserve">niversaux, sans en faire un problème éternel, Alain de Libera s’inspire de ce que Pascal Engel écrit dans </w:t>
      </w:r>
      <w:r w:rsidR="00787A2D">
        <w:rPr>
          <w:rFonts w:ascii="Times New Roman" w:hAnsi="Times New Roman" w:cs="Times New Roman"/>
          <w:sz w:val="24"/>
          <w:szCs w:val="24"/>
        </w:rPr>
        <w:t xml:space="preserve">son ouvrage </w:t>
      </w:r>
      <w:r w:rsidRPr="00F6793F">
        <w:rPr>
          <w:rFonts w:ascii="Times New Roman" w:hAnsi="Times New Roman" w:cs="Times New Roman"/>
          <w:i/>
          <w:iCs/>
          <w:sz w:val="24"/>
          <w:szCs w:val="24"/>
        </w:rPr>
        <w:t>La Dispute</w:t>
      </w:r>
      <w:r w:rsidR="00787A2D">
        <w:rPr>
          <w:rFonts w:ascii="Times New Roman" w:hAnsi="Times New Roman" w:cs="Times New Roman"/>
          <w:i/>
          <w:iCs/>
          <w:sz w:val="24"/>
          <w:szCs w:val="24"/>
        </w:rPr>
        <w:t xml:space="preserve"> </w:t>
      </w:r>
      <w:r w:rsidR="00787A2D">
        <w:rPr>
          <w:rFonts w:ascii="Times New Roman" w:hAnsi="Times New Roman" w:cs="Times New Roman"/>
          <w:sz w:val="24"/>
          <w:szCs w:val="24"/>
        </w:rPr>
        <w:t>(Engel P., 1997)</w:t>
      </w:r>
      <w:r w:rsidRPr="00F6793F">
        <w:rPr>
          <w:rFonts w:ascii="Times New Roman" w:hAnsi="Times New Roman" w:cs="Times New Roman"/>
          <w:sz w:val="24"/>
          <w:szCs w:val="24"/>
        </w:rPr>
        <w:t>. Ce livre a pour objectif de présenter un affrontement entre « un philosophe analytique » et un « philosophe continental ». La fin du livre est constituée d’un échange de lettres. Or, dans une de ces lettres, Analyphron, le philosophe d’obédience analytique écrit : « Collingwood défend ici – comme vous - une thèse que l’on peut appeler la thèse du</w:t>
      </w:r>
      <w:r w:rsidR="00787A2D">
        <w:rPr>
          <w:rFonts w:ascii="Times New Roman" w:hAnsi="Times New Roman" w:cs="Times New Roman"/>
          <w:sz w:val="24"/>
          <w:szCs w:val="24"/>
        </w:rPr>
        <w:t xml:space="preserve"> </w:t>
      </w:r>
      <w:r w:rsidRPr="00F6793F">
        <w:rPr>
          <w:rFonts w:ascii="Times New Roman" w:hAnsi="Times New Roman" w:cs="Times New Roman"/>
          <w:i/>
          <w:iCs/>
          <w:sz w:val="24"/>
          <w:szCs w:val="24"/>
        </w:rPr>
        <w:t>holisme des problèmes philosophiques</w:t>
      </w:r>
      <w:r w:rsidRPr="00F6793F">
        <w:rPr>
          <w:rFonts w:ascii="Times New Roman" w:hAnsi="Times New Roman" w:cs="Times New Roman"/>
          <w:sz w:val="24"/>
          <w:szCs w:val="24"/>
        </w:rPr>
        <w:t xml:space="preserve">. » Et d’expliquer : « Toute vérité, même globale, serait « transitoire » et relative à un ensemble de P, T, et C. La thèse opposée est ce que nous pouvons appeler </w:t>
      </w:r>
      <w:r w:rsidRPr="00F6793F">
        <w:rPr>
          <w:rFonts w:ascii="Times New Roman" w:hAnsi="Times New Roman" w:cs="Times New Roman"/>
          <w:i/>
          <w:iCs/>
          <w:sz w:val="24"/>
          <w:szCs w:val="24"/>
        </w:rPr>
        <w:t>l’atomisme</w:t>
      </w:r>
      <w:r w:rsidRPr="00F6793F">
        <w:rPr>
          <w:rFonts w:ascii="Times New Roman" w:hAnsi="Times New Roman" w:cs="Times New Roman"/>
          <w:sz w:val="24"/>
          <w:szCs w:val="24"/>
        </w:rPr>
        <w:t xml:space="preserve"> des problèmes, des concepts, des thèses philosophiques »</w:t>
      </w:r>
      <w:r w:rsidR="00787A2D">
        <w:rPr>
          <w:rFonts w:ascii="Times New Roman" w:hAnsi="Times New Roman" w:cs="Times New Roman"/>
          <w:sz w:val="24"/>
          <w:szCs w:val="24"/>
        </w:rPr>
        <w:t xml:space="preserve"> (Libera (de) A. 1999, p.487)</w:t>
      </w:r>
      <w:r w:rsidRPr="00F6793F">
        <w:rPr>
          <w:rFonts w:ascii="Times New Roman" w:hAnsi="Times New Roman" w:cs="Times New Roman"/>
          <w:sz w:val="24"/>
          <w:szCs w:val="24"/>
        </w:rPr>
        <w:t xml:space="preserve">. Colligwood est alors présenté comme un auteur partisan d’un holisme radical, qui affirmerait qu’on ne peut « parler d’un problème plus ou moins similaire chez les deux philosophes, ni l’isoler pour comparer leurs thèses. » </w:t>
      </w:r>
      <w:r w:rsidR="005725D7">
        <w:rPr>
          <w:rFonts w:ascii="Times New Roman" w:hAnsi="Times New Roman" w:cs="Times New Roman"/>
          <w:sz w:val="24"/>
          <w:szCs w:val="24"/>
        </w:rPr>
        <w:t xml:space="preserve">Ce qui est clairement une radicalisation de la position de Collingwood, </w:t>
      </w:r>
      <w:r w:rsidR="00DD1823">
        <w:rPr>
          <w:rFonts w:ascii="Times New Roman" w:hAnsi="Times New Roman" w:cs="Times New Roman"/>
          <w:sz w:val="24"/>
          <w:szCs w:val="24"/>
        </w:rPr>
        <w:t xml:space="preserve">afin d’en faire un partisan du relativisme absolu. </w:t>
      </w:r>
      <w:r w:rsidR="00DD1823" w:rsidRPr="00787A2D">
        <w:rPr>
          <w:rFonts w:ascii="Times New Roman" w:hAnsi="Times New Roman" w:cs="Times New Roman"/>
          <w:sz w:val="24"/>
          <w:szCs w:val="24"/>
        </w:rPr>
        <w:t xml:space="preserve">Collingwood écrit lui-même </w:t>
      </w:r>
      <w:r w:rsidR="001929E6" w:rsidRPr="00787A2D">
        <w:rPr>
          <w:rFonts w:ascii="Times New Roman" w:hAnsi="Times New Roman" w:cs="Times New Roman"/>
          <w:sz w:val="24"/>
          <w:szCs w:val="24"/>
        </w:rPr>
        <w:t xml:space="preserve">à ce sujet </w:t>
      </w:r>
      <w:r w:rsidR="00DD1823" w:rsidRPr="00787A2D">
        <w:rPr>
          <w:rFonts w:ascii="Times New Roman" w:hAnsi="Times New Roman" w:cs="Times New Roman"/>
          <w:sz w:val="24"/>
          <w:szCs w:val="24"/>
        </w:rPr>
        <w:t xml:space="preserve">dans son </w:t>
      </w:r>
      <w:r w:rsidR="00DD1823" w:rsidRPr="00787A2D">
        <w:rPr>
          <w:rFonts w:ascii="Times New Roman" w:hAnsi="Times New Roman" w:cs="Times New Roman"/>
          <w:i/>
          <w:iCs/>
          <w:sz w:val="24"/>
          <w:szCs w:val="24"/>
        </w:rPr>
        <w:t>Autobiography </w:t>
      </w:r>
      <w:r w:rsidR="00DD1823" w:rsidRPr="00787A2D">
        <w:rPr>
          <w:rFonts w:ascii="Times New Roman" w:hAnsi="Times New Roman" w:cs="Times New Roman"/>
          <w:sz w:val="24"/>
          <w:szCs w:val="24"/>
        </w:rPr>
        <w:t xml:space="preserve">: </w:t>
      </w:r>
      <w:r w:rsidRPr="00787A2D">
        <w:rPr>
          <w:rFonts w:ascii="Times New Roman" w:hAnsi="Times New Roman" w:cs="Times New Roman"/>
          <w:sz w:val="24"/>
          <w:szCs w:val="24"/>
        </w:rPr>
        <w:t>« </w:t>
      </w:r>
      <w:r w:rsidR="00787A2D" w:rsidRPr="00787A2D">
        <w:rPr>
          <w:rFonts w:ascii="Times New Roman" w:hAnsi="Times New Roman" w:cs="Times New Roman"/>
          <w:sz w:val="24"/>
          <w:szCs w:val="24"/>
        </w:rPr>
        <w:t>T</w:t>
      </w:r>
      <w:r w:rsidR="00787A2D">
        <w:rPr>
          <w:rFonts w:ascii="Times New Roman" w:hAnsi="Times New Roman" w:cs="Times New Roman"/>
          <w:sz w:val="24"/>
          <w:szCs w:val="24"/>
        </w:rPr>
        <w:t xml:space="preserve">out le monde admettrait que la </w:t>
      </w:r>
      <w:r w:rsidR="00787A2D">
        <w:rPr>
          <w:rFonts w:ascii="Times New Roman" w:hAnsi="Times New Roman" w:cs="Times New Roman"/>
          <w:i/>
          <w:iCs/>
          <w:sz w:val="24"/>
          <w:szCs w:val="24"/>
        </w:rPr>
        <w:t>République</w:t>
      </w:r>
      <w:r w:rsidR="00787A2D">
        <w:rPr>
          <w:rFonts w:ascii="Times New Roman" w:hAnsi="Times New Roman" w:cs="Times New Roman"/>
          <w:sz w:val="24"/>
          <w:szCs w:val="24"/>
        </w:rPr>
        <w:t xml:space="preserve"> de Platon et le </w:t>
      </w:r>
      <w:r w:rsidR="00787A2D">
        <w:rPr>
          <w:rFonts w:ascii="Times New Roman" w:hAnsi="Times New Roman" w:cs="Times New Roman"/>
          <w:i/>
          <w:iCs/>
          <w:sz w:val="24"/>
          <w:szCs w:val="24"/>
        </w:rPr>
        <w:t xml:space="preserve">Léviathan </w:t>
      </w:r>
      <w:r w:rsidR="00787A2D">
        <w:rPr>
          <w:rFonts w:ascii="Times New Roman" w:hAnsi="Times New Roman" w:cs="Times New Roman"/>
          <w:sz w:val="24"/>
          <w:szCs w:val="24"/>
        </w:rPr>
        <w:t xml:space="preserve">de Hobbes portent sur deux choses qui sont d’une certaine manière la même chose et d’une autre manière différente. </w:t>
      </w:r>
      <w:r w:rsidR="00787A2D" w:rsidRPr="00787A2D">
        <w:rPr>
          <w:rFonts w:ascii="Times New Roman" w:hAnsi="Times New Roman" w:cs="Times New Roman"/>
          <w:sz w:val="24"/>
          <w:szCs w:val="24"/>
        </w:rPr>
        <w:t>Ce n’est pas le sujet de discussions. Ce qui est discutable c’est le genre d’identité et l</w:t>
      </w:r>
      <w:r w:rsidR="00787A2D">
        <w:rPr>
          <w:rFonts w:ascii="Times New Roman" w:hAnsi="Times New Roman" w:cs="Times New Roman"/>
          <w:sz w:val="24"/>
          <w:szCs w:val="24"/>
        </w:rPr>
        <w:t xml:space="preserve">e genre de différence » </w:t>
      </w:r>
      <w:r w:rsidR="00787A2D" w:rsidRPr="00787A2D">
        <w:rPr>
          <w:rFonts w:ascii="Times New Roman" w:hAnsi="Times New Roman" w:cs="Times New Roman"/>
          <w:sz w:val="24"/>
          <w:szCs w:val="24"/>
        </w:rPr>
        <w:t>(Collingwood R.G., 2017, p.62).</w:t>
      </w:r>
      <w:r w:rsidR="00DD1823">
        <w:rPr>
          <w:rStyle w:val="Appelnotedebasdep"/>
          <w:rFonts w:ascii="Times New Roman" w:hAnsi="Times New Roman" w:cs="Times New Roman"/>
          <w:sz w:val="24"/>
          <w:szCs w:val="24"/>
          <w:lang w:val="en-US"/>
        </w:rPr>
        <w:footnoteReference w:id="24"/>
      </w:r>
      <w:r w:rsidR="00DD1823" w:rsidRPr="00787A2D">
        <w:rPr>
          <w:rFonts w:ascii="Times New Roman" w:hAnsi="Times New Roman" w:cs="Times New Roman"/>
          <w:sz w:val="24"/>
          <w:szCs w:val="24"/>
        </w:rPr>
        <w:t xml:space="preserve"> </w:t>
      </w:r>
      <w:r w:rsidR="00DD1823" w:rsidRPr="00BE10C1">
        <w:rPr>
          <w:rFonts w:ascii="Times New Roman" w:hAnsi="Times New Roman" w:cs="Times New Roman"/>
          <w:sz w:val="24"/>
          <w:szCs w:val="24"/>
        </w:rPr>
        <w:t>S</w:t>
      </w:r>
      <w:r w:rsidR="00BE10C1" w:rsidRPr="00BE10C1">
        <w:rPr>
          <w:rFonts w:ascii="Times New Roman" w:hAnsi="Times New Roman" w:cs="Times New Roman"/>
          <w:sz w:val="24"/>
          <w:szCs w:val="24"/>
        </w:rPr>
        <w:t>i Collingwood cherche aussi à s’opposer aux lectures de l</w:t>
      </w:r>
      <w:r w:rsidR="00BE10C1">
        <w:rPr>
          <w:rFonts w:ascii="Times New Roman" w:hAnsi="Times New Roman" w:cs="Times New Roman"/>
          <w:sz w:val="24"/>
          <w:szCs w:val="24"/>
        </w:rPr>
        <w:t xml:space="preserve">’histoire par les philosophes qu’il nomme « réalistes » en critiquant leur capacité à tirer </w:t>
      </w:r>
      <w:r w:rsidR="002B0042">
        <w:rPr>
          <w:rFonts w:ascii="Times New Roman" w:hAnsi="Times New Roman" w:cs="Times New Roman"/>
          <w:sz w:val="24"/>
          <w:szCs w:val="24"/>
        </w:rPr>
        <w:t xml:space="preserve">certaines propositions de leur contexte afin d’en évaluer la pertinence, ou de confronter </w:t>
      </w:r>
      <w:r w:rsidR="00203378">
        <w:rPr>
          <w:rFonts w:ascii="Times New Roman" w:hAnsi="Times New Roman" w:cs="Times New Roman"/>
          <w:sz w:val="24"/>
          <w:szCs w:val="24"/>
        </w:rPr>
        <w:t xml:space="preserve">des auteurs de traditions différentes, il ne désire cependant pas établir une altérité radicale </w:t>
      </w:r>
      <w:r w:rsidR="005F77E1">
        <w:rPr>
          <w:rFonts w:ascii="Times New Roman" w:hAnsi="Times New Roman" w:cs="Times New Roman"/>
          <w:sz w:val="24"/>
          <w:szCs w:val="24"/>
        </w:rPr>
        <w:t>entre les problèmes posées par les philosophes. En effet, la notion de processus</w:t>
      </w:r>
      <w:r w:rsidR="005D342F">
        <w:rPr>
          <w:rFonts w:ascii="Times New Roman" w:hAnsi="Times New Roman" w:cs="Times New Roman"/>
          <w:sz w:val="24"/>
          <w:szCs w:val="24"/>
        </w:rPr>
        <w:t xml:space="preserve"> que dév</w:t>
      </w:r>
      <w:r w:rsidR="003F53BD">
        <w:rPr>
          <w:rFonts w:ascii="Times New Roman" w:hAnsi="Times New Roman" w:cs="Times New Roman"/>
          <w:sz w:val="24"/>
          <w:szCs w:val="24"/>
        </w:rPr>
        <w:t xml:space="preserve">eloppe </w:t>
      </w:r>
      <w:r w:rsidR="00116DE6">
        <w:rPr>
          <w:rFonts w:ascii="Times New Roman" w:hAnsi="Times New Roman" w:cs="Times New Roman"/>
          <w:sz w:val="24"/>
          <w:szCs w:val="24"/>
        </w:rPr>
        <w:t>Collingwood</w:t>
      </w:r>
      <w:r w:rsidR="00AF0AAA">
        <w:rPr>
          <w:rFonts w:ascii="Times New Roman" w:hAnsi="Times New Roman" w:cs="Times New Roman"/>
          <w:sz w:val="24"/>
          <w:szCs w:val="24"/>
        </w:rPr>
        <w:t xml:space="preserve"> récuse </w:t>
      </w:r>
      <w:r w:rsidR="00694E66">
        <w:rPr>
          <w:rFonts w:ascii="Times New Roman" w:hAnsi="Times New Roman" w:cs="Times New Roman"/>
          <w:sz w:val="24"/>
          <w:szCs w:val="24"/>
        </w:rPr>
        <w:t xml:space="preserve">l’affirmation de Engel, car il y a bien quelque chose de « similaire » </w:t>
      </w:r>
      <w:r w:rsidR="000631C3">
        <w:rPr>
          <w:rFonts w:ascii="Times New Roman" w:hAnsi="Times New Roman" w:cs="Times New Roman"/>
          <w:sz w:val="24"/>
          <w:szCs w:val="24"/>
        </w:rPr>
        <w:t>entre l’</w:t>
      </w:r>
      <w:r w:rsidR="00F67DD7" w:rsidRPr="00F67DD7">
        <w:rPr>
          <w:rFonts w:ascii="Times New Roman" w:hAnsi="Times New Roman" w:cs="Times New Roman"/>
          <w:sz w:val="24"/>
          <w:szCs w:val="24"/>
        </w:rPr>
        <w:t>É</w:t>
      </w:r>
      <w:r w:rsidR="000631C3">
        <w:rPr>
          <w:rFonts w:ascii="Times New Roman" w:hAnsi="Times New Roman" w:cs="Times New Roman"/>
          <w:sz w:val="24"/>
          <w:szCs w:val="24"/>
        </w:rPr>
        <w:t xml:space="preserve">tat de Hobbes et la </w:t>
      </w:r>
      <w:r w:rsidR="000631C3">
        <w:rPr>
          <w:rFonts w:ascii="Times New Roman" w:hAnsi="Times New Roman" w:cs="Times New Roman"/>
          <w:i/>
          <w:iCs/>
          <w:sz w:val="24"/>
          <w:szCs w:val="24"/>
        </w:rPr>
        <w:t>polis</w:t>
      </w:r>
      <w:r w:rsidR="000631C3">
        <w:rPr>
          <w:rFonts w:ascii="Times New Roman" w:hAnsi="Times New Roman" w:cs="Times New Roman"/>
          <w:sz w:val="24"/>
          <w:szCs w:val="24"/>
        </w:rPr>
        <w:t xml:space="preserve"> de Platon, ils sont liés : «</w:t>
      </w:r>
      <w:r w:rsidR="00787A2D">
        <w:rPr>
          <w:rFonts w:ascii="Times New Roman" w:hAnsi="Times New Roman" w:cs="Times New Roman"/>
          <w:sz w:val="24"/>
          <w:szCs w:val="24"/>
        </w:rPr>
        <w:t xml:space="preserve"> par un processus historique traçable, au cours duquel l’un est devenu l’autre » </w:t>
      </w:r>
      <w:r w:rsidR="00787A2D" w:rsidRPr="00787A2D">
        <w:rPr>
          <w:rFonts w:ascii="Times New Roman" w:hAnsi="Times New Roman" w:cs="Times New Roman"/>
          <w:sz w:val="24"/>
          <w:szCs w:val="24"/>
        </w:rPr>
        <w:t>(Collingwood R.G., 2017, p.62</w:t>
      </w:r>
      <w:r w:rsidR="00787A2D">
        <w:rPr>
          <w:rFonts w:ascii="Times New Roman" w:hAnsi="Times New Roman" w:cs="Times New Roman"/>
          <w:sz w:val="24"/>
          <w:szCs w:val="24"/>
        </w:rPr>
        <w:t>)</w:t>
      </w:r>
      <w:r w:rsidR="00000D60">
        <w:rPr>
          <w:rStyle w:val="Appelnotedebasdep"/>
          <w:rFonts w:ascii="Times New Roman" w:hAnsi="Times New Roman" w:cs="Times New Roman"/>
          <w:sz w:val="24"/>
          <w:szCs w:val="24"/>
        </w:rPr>
        <w:footnoteReference w:id="25"/>
      </w:r>
      <w:r w:rsidR="006129C7">
        <w:rPr>
          <w:rFonts w:ascii="Times New Roman" w:hAnsi="Times New Roman" w:cs="Times New Roman"/>
          <w:sz w:val="24"/>
          <w:szCs w:val="24"/>
        </w:rPr>
        <w:t xml:space="preserve">, il y a donc bien chez Collingwood un problème politique, qui n’est pas un universel dont toutes les réponses au cours des siècles seraient des </w:t>
      </w:r>
      <w:r w:rsidR="001929E6">
        <w:rPr>
          <w:rFonts w:ascii="Times New Roman" w:hAnsi="Times New Roman" w:cs="Times New Roman"/>
          <w:sz w:val="24"/>
          <w:szCs w:val="24"/>
        </w:rPr>
        <w:t>exemplifications</w:t>
      </w:r>
      <w:r w:rsidR="006129C7">
        <w:rPr>
          <w:rFonts w:ascii="Times New Roman" w:hAnsi="Times New Roman" w:cs="Times New Roman"/>
          <w:sz w:val="24"/>
          <w:szCs w:val="24"/>
        </w:rPr>
        <w:t>, mais</w:t>
      </w:r>
      <w:r w:rsidR="00843FDF">
        <w:rPr>
          <w:rFonts w:ascii="Times New Roman" w:hAnsi="Times New Roman" w:cs="Times New Roman"/>
          <w:sz w:val="24"/>
          <w:szCs w:val="24"/>
        </w:rPr>
        <w:t xml:space="preserve"> un problème transitoire, qui change sans cesse, et qui change selon ce que Collingwood appelle dans son </w:t>
      </w:r>
      <w:r w:rsidR="00843FDF">
        <w:rPr>
          <w:rFonts w:ascii="Times New Roman" w:hAnsi="Times New Roman" w:cs="Times New Roman"/>
          <w:i/>
          <w:iCs/>
          <w:sz w:val="24"/>
          <w:szCs w:val="24"/>
        </w:rPr>
        <w:t>Essay on Metaphysics</w:t>
      </w:r>
      <w:r w:rsidR="00843FDF">
        <w:rPr>
          <w:rFonts w:ascii="Times New Roman" w:hAnsi="Times New Roman" w:cs="Times New Roman"/>
          <w:sz w:val="24"/>
          <w:szCs w:val="24"/>
        </w:rPr>
        <w:t xml:space="preserve"> les </w:t>
      </w:r>
      <w:r w:rsidR="00843FDF">
        <w:rPr>
          <w:rFonts w:ascii="Times New Roman" w:hAnsi="Times New Roman" w:cs="Times New Roman"/>
          <w:i/>
          <w:iCs/>
          <w:sz w:val="24"/>
          <w:szCs w:val="24"/>
        </w:rPr>
        <w:t>absolute presu</w:t>
      </w:r>
      <w:r w:rsidR="00000D60">
        <w:rPr>
          <w:rFonts w:ascii="Times New Roman" w:hAnsi="Times New Roman" w:cs="Times New Roman"/>
          <w:i/>
          <w:iCs/>
          <w:sz w:val="24"/>
          <w:szCs w:val="24"/>
        </w:rPr>
        <w:t>p</w:t>
      </w:r>
      <w:r w:rsidR="00843FDF">
        <w:rPr>
          <w:rFonts w:ascii="Times New Roman" w:hAnsi="Times New Roman" w:cs="Times New Roman"/>
          <w:i/>
          <w:iCs/>
          <w:sz w:val="24"/>
          <w:szCs w:val="24"/>
        </w:rPr>
        <w:t>positions</w:t>
      </w:r>
      <w:r w:rsidR="00787A2D">
        <w:rPr>
          <w:rFonts w:ascii="Times New Roman" w:hAnsi="Times New Roman" w:cs="Times New Roman"/>
          <w:i/>
          <w:iCs/>
          <w:sz w:val="24"/>
          <w:szCs w:val="24"/>
        </w:rPr>
        <w:t xml:space="preserve"> </w:t>
      </w:r>
      <w:r w:rsidR="00787A2D">
        <w:rPr>
          <w:rFonts w:ascii="Times New Roman" w:hAnsi="Times New Roman" w:cs="Times New Roman"/>
          <w:sz w:val="24"/>
          <w:szCs w:val="24"/>
        </w:rPr>
        <w:t>(Collingwood R.G., 1998, p.40)</w:t>
      </w:r>
      <w:r w:rsidR="001929E6">
        <w:rPr>
          <w:rFonts w:ascii="Times New Roman" w:hAnsi="Times New Roman" w:cs="Times New Roman"/>
          <w:i/>
          <w:iCs/>
          <w:sz w:val="24"/>
          <w:szCs w:val="24"/>
        </w:rPr>
        <w:t>.</w:t>
      </w:r>
      <w:r w:rsidR="00024C8A">
        <w:rPr>
          <w:rFonts w:ascii="Times New Roman" w:hAnsi="Times New Roman" w:cs="Times New Roman"/>
          <w:i/>
          <w:iCs/>
          <w:sz w:val="24"/>
          <w:szCs w:val="24"/>
        </w:rPr>
        <w:t xml:space="preserve"> </w:t>
      </w:r>
      <w:r w:rsidR="00024C8A">
        <w:rPr>
          <w:rFonts w:ascii="Times New Roman" w:hAnsi="Times New Roman" w:cs="Times New Roman"/>
          <w:sz w:val="24"/>
          <w:szCs w:val="24"/>
        </w:rPr>
        <w:t>Tous nos énoncés, écrit Collingwood, s’appuient sur des présuppositions, certaines présuppositions sont relatives, d’autres sont dites absolues, et c’est le rôle de la métaphysique que d’être une science de ces présuppositions absolues. De telles présuppositions ne nécessitent aucune vérification</w:t>
      </w:r>
      <w:r w:rsidR="00787A2D">
        <w:rPr>
          <w:rFonts w:ascii="Times New Roman" w:hAnsi="Times New Roman" w:cs="Times New Roman"/>
          <w:sz w:val="24"/>
          <w:szCs w:val="24"/>
        </w:rPr>
        <w:t xml:space="preserve"> (Collingwood R.G., 1998, p.42)</w:t>
      </w:r>
      <w:r w:rsidR="00024C8A">
        <w:rPr>
          <w:rFonts w:ascii="Times New Roman" w:hAnsi="Times New Roman" w:cs="Times New Roman"/>
          <w:sz w:val="24"/>
          <w:szCs w:val="24"/>
        </w:rPr>
        <w:t xml:space="preserve">, en tant qu’elles présupposent, elles sont préalables à toute pensée au sein d’un groupe, d’une nation, ou d’une époque. Et Collingwood explique précisément que c’est au métaphysicien de chercher à savoir si les présuppositions absolues sont toujours les mêmes dans différents groupes, </w:t>
      </w:r>
      <w:r w:rsidR="00024C8A">
        <w:rPr>
          <w:rFonts w:ascii="Times New Roman" w:hAnsi="Times New Roman" w:cs="Times New Roman"/>
          <w:i/>
          <w:iCs/>
          <w:sz w:val="24"/>
          <w:szCs w:val="24"/>
        </w:rPr>
        <w:t>semper, ubique, ab omnibus</w:t>
      </w:r>
      <w:r w:rsidR="00024C8A">
        <w:rPr>
          <w:rFonts w:ascii="Times New Roman" w:hAnsi="Times New Roman" w:cs="Times New Roman"/>
          <w:sz w:val="24"/>
          <w:szCs w:val="24"/>
        </w:rPr>
        <w:t xml:space="preserve">.  </w:t>
      </w:r>
      <w:r w:rsidR="00C36466">
        <w:rPr>
          <w:rFonts w:ascii="Times New Roman" w:hAnsi="Times New Roman" w:cs="Times New Roman"/>
          <w:sz w:val="24"/>
          <w:szCs w:val="24"/>
        </w:rPr>
        <w:t xml:space="preserve">Ainsi, si Collingwood préconise une certaine méfiance à l’égard des compréhensions trop anachroniques de conceptions philosophiques du passé, il ne désire pas non plus en faire des objets inaccessibles, </w:t>
      </w:r>
      <w:r w:rsidR="00E160D9">
        <w:rPr>
          <w:rFonts w:ascii="Times New Roman" w:hAnsi="Times New Roman" w:cs="Times New Roman"/>
          <w:sz w:val="24"/>
          <w:szCs w:val="24"/>
        </w:rPr>
        <w:t xml:space="preserve">issus de réflexions radicalement différentes des nôtres. </w:t>
      </w:r>
    </w:p>
    <w:p w14:paraId="366072E7" w14:textId="354D6177" w:rsidR="001929E6" w:rsidRDefault="00024C8A" w:rsidP="006315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 Collingwood lu par Engel diffère donc de celui que nous avons présenté ici. Pour Engel, il est relativiste et holiste, et c’est précisément cela qui semble intéresser Alain de Libera lorsqu’il le nourrit de ses lectures de Michel Foucault. </w:t>
      </w:r>
      <w:r w:rsidR="00F6793F" w:rsidRPr="00F6793F">
        <w:rPr>
          <w:rFonts w:ascii="Times New Roman" w:hAnsi="Times New Roman" w:cs="Times New Roman"/>
          <w:sz w:val="24"/>
          <w:szCs w:val="24"/>
        </w:rPr>
        <w:t xml:space="preserve">Ou plutôt, </w:t>
      </w:r>
      <w:r>
        <w:rPr>
          <w:rFonts w:ascii="Times New Roman" w:hAnsi="Times New Roman" w:cs="Times New Roman"/>
          <w:sz w:val="24"/>
          <w:szCs w:val="24"/>
        </w:rPr>
        <w:t xml:space="preserve">lorsqu’il </w:t>
      </w:r>
      <w:r w:rsidR="00F6793F" w:rsidRPr="00F6793F">
        <w:rPr>
          <w:rFonts w:ascii="Times New Roman" w:hAnsi="Times New Roman" w:cs="Times New Roman"/>
          <w:sz w:val="24"/>
          <w:szCs w:val="24"/>
        </w:rPr>
        <w:t>intègre dans le vin de Foucault, l’eau de Collingwood</w:t>
      </w:r>
      <w:r w:rsidR="009C61B9">
        <w:rPr>
          <w:rFonts w:ascii="Times New Roman" w:hAnsi="Times New Roman" w:cs="Times New Roman"/>
          <w:sz w:val="24"/>
          <w:szCs w:val="24"/>
        </w:rPr>
        <w:t xml:space="preserve"> (Libera (de) A., 2016, p.18).</w:t>
      </w:r>
      <w:r w:rsidR="00000D60">
        <w:rPr>
          <w:rFonts w:ascii="Times New Roman" w:hAnsi="Times New Roman" w:cs="Times New Roman"/>
          <w:sz w:val="24"/>
          <w:szCs w:val="24"/>
        </w:rPr>
        <w:t xml:space="preserve"> </w:t>
      </w:r>
      <w:r w:rsidR="00F6793F" w:rsidRPr="00F6793F">
        <w:rPr>
          <w:rFonts w:ascii="Times New Roman" w:hAnsi="Times New Roman" w:cs="Times New Roman"/>
          <w:sz w:val="24"/>
          <w:szCs w:val="24"/>
        </w:rPr>
        <w:t xml:space="preserve">Il retient de ce dernier la notion de présupposition </w:t>
      </w:r>
      <w:r w:rsidR="00502992">
        <w:rPr>
          <w:rFonts w:ascii="Times New Roman" w:hAnsi="Times New Roman" w:cs="Times New Roman"/>
          <w:sz w:val="24"/>
          <w:szCs w:val="24"/>
        </w:rPr>
        <w:t xml:space="preserve">absolue </w:t>
      </w:r>
      <w:r w:rsidR="00000D60">
        <w:rPr>
          <w:rFonts w:ascii="Times New Roman" w:hAnsi="Times New Roman" w:cs="Times New Roman"/>
          <w:sz w:val="24"/>
          <w:szCs w:val="24"/>
        </w:rPr>
        <w:t>qui serait, selon lui, « une version faible »</w:t>
      </w:r>
      <w:r w:rsidR="009C61B9">
        <w:rPr>
          <w:rFonts w:ascii="Times New Roman" w:hAnsi="Times New Roman" w:cs="Times New Roman"/>
          <w:sz w:val="24"/>
          <w:szCs w:val="24"/>
        </w:rPr>
        <w:t xml:space="preserve"> (Libera (de) A., 1999)</w:t>
      </w:r>
      <w:r w:rsidR="00000D60">
        <w:rPr>
          <w:rFonts w:ascii="Times New Roman" w:hAnsi="Times New Roman" w:cs="Times New Roman"/>
          <w:sz w:val="24"/>
          <w:szCs w:val="24"/>
        </w:rPr>
        <w:t xml:space="preserve"> de l’</w:t>
      </w:r>
      <w:r w:rsidR="00000D60">
        <w:rPr>
          <w:rFonts w:ascii="Times New Roman" w:hAnsi="Times New Roman" w:cs="Times New Roman"/>
          <w:i/>
          <w:iCs/>
          <w:sz w:val="24"/>
          <w:szCs w:val="24"/>
        </w:rPr>
        <w:t xml:space="preserve">épistémé </w:t>
      </w:r>
      <w:r w:rsidR="00000D60">
        <w:rPr>
          <w:rFonts w:ascii="Times New Roman" w:hAnsi="Times New Roman" w:cs="Times New Roman"/>
          <w:sz w:val="24"/>
          <w:szCs w:val="24"/>
        </w:rPr>
        <w:t>de Foucault.</w:t>
      </w:r>
      <w:r w:rsidR="001929E6">
        <w:rPr>
          <w:rFonts w:ascii="Times New Roman" w:hAnsi="Times New Roman" w:cs="Times New Roman"/>
          <w:sz w:val="24"/>
          <w:szCs w:val="24"/>
        </w:rPr>
        <w:t xml:space="preserve"> </w:t>
      </w:r>
      <w:r w:rsidR="00830E25">
        <w:rPr>
          <w:rFonts w:ascii="Times New Roman" w:hAnsi="Times New Roman" w:cs="Times New Roman"/>
          <w:sz w:val="24"/>
          <w:szCs w:val="24"/>
        </w:rPr>
        <w:t>La proximité entre le concept d</w:t>
      </w:r>
      <w:r w:rsidR="00830E25">
        <w:rPr>
          <w:rFonts w:ascii="Times New Roman" w:hAnsi="Times New Roman" w:cs="Times New Roman"/>
          <w:i/>
          <w:iCs/>
          <w:sz w:val="24"/>
          <w:szCs w:val="24"/>
        </w:rPr>
        <w:t xml:space="preserve">’épistémé </w:t>
      </w:r>
      <w:r w:rsidR="00830E25">
        <w:rPr>
          <w:rFonts w:ascii="Times New Roman" w:hAnsi="Times New Roman" w:cs="Times New Roman"/>
          <w:sz w:val="24"/>
          <w:szCs w:val="24"/>
        </w:rPr>
        <w:t xml:space="preserve">et les </w:t>
      </w:r>
      <w:r w:rsidR="00830E25">
        <w:rPr>
          <w:rFonts w:ascii="Times New Roman" w:hAnsi="Times New Roman" w:cs="Times New Roman"/>
          <w:i/>
          <w:iCs/>
          <w:sz w:val="24"/>
          <w:szCs w:val="24"/>
        </w:rPr>
        <w:t>absolute presu</w:t>
      </w:r>
      <w:r w:rsidR="00C2217B">
        <w:rPr>
          <w:rFonts w:ascii="Times New Roman" w:hAnsi="Times New Roman" w:cs="Times New Roman"/>
          <w:i/>
          <w:iCs/>
          <w:sz w:val="24"/>
          <w:szCs w:val="24"/>
        </w:rPr>
        <w:t>p</w:t>
      </w:r>
      <w:r w:rsidR="00830E25">
        <w:rPr>
          <w:rFonts w:ascii="Times New Roman" w:hAnsi="Times New Roman" w:cs="Times New Roman"/>
          <w:i/>
          <w:iCs/>
          <w:sz w:val="24"/>
          <w:szCs w:val="24"/>
        </w:rPr>
        <w:t>positions</w:t>
      </w:r>
      <w:r w:rsidR="00830E25">
        <w:rPr>
          <w:rFonts w:ascii="Times New Roman" w:hAnsi="Times New Roman" w:cs="Times New Roman"/>
          <w:sz w:val="24"/>
          <w:szCs w:val="24"/>
        </w:rPr>
        <w:t xml:space="preserve"> est flagrante, cependant </w:t>
      </w:r>
      <w:r w:rsidR="00DA6D67">
        <w:rPr>
          <w:rFonts w:ascii="Times New Roman" w:hAnsi="Times New Roman" w:cs="Times New Roman"/>
          <w:sz w:val="24"/>
          <w:szCs w:val="24"/>
        </w:rPr>
        <w:t xml:space="preserve">pour Collingwood c’est au métaphysicien qu’appartient ce travail d’étudier dans l’histoire de la science les présuppositions qui prévalent, par exemple la définition du concept de cause qui prévaut chez Newton, ou chez Kant, ou chez Einstein. On </w:t>
      </w:r>
      <w:r w:rsidR="00F00FD3">
        <w:rPr>
          <w:rFonts w:ascii="Times New Roman" w:hAnsi="Times New Roman" w:cs="Times New Roman"/>
          <w:sz w:val="24"/>
          <w:szCs w:val="24"/>
        </w:rPr>
        <w:t>n’</w:t>
      </w:r>
      <w:r w:rsidR="00DA6D67">
        <w:rPr>
          <w:rFonts w:ascii="Times New Roman" w:hAnsi="Times New Roman" w:cs="Times New Roman"/>
          <w:sz w:val="24"/>
          <w:szCs w:val="24"/>
        </w:rPr>
        <w:t>est donc pas dans le domaine exploré par Foucault dans l’</w:t>
      </w:r>
      <w:r w:rsidR="00DA6D67">
        <w:rPr>
          <w:rFonts w:ascii="Times New Roman" w:hAnsi="Times New Roman" w:cs="Times New Roman"/>
          <w:i/>
          <w:iCs/>
          <w:sz w:val="24"/>
          <w:szCs w:val="24"/>
        </w:rPr>
        <w:t>Archéologie du Savoir</w:t>
      </w:r>
      <w:r w:rsidR="00DA6D67">
        <w:rPr>
          <w:rFonts w:ascii="Times New Roman" w:hAnsi="Times New Roman" w:cs="Times New Roman"/>
          <w:sz w:val="24"/>
          <w:szCs w:val="24"/>
        </w:rPr>
        <w:t>, il ne s’agit pas pour Collingwood « d’isoler les conditions d’émergence des énoncés, les lois de leur coexistence »</w:t>
      </w:r>
      <w:r w:rsidR="009C61B9">
        <w:rPr>
          <w:rFonts w:ascii="Times New Roman" w:hAnsi="Times New Roman" w:cs="Times New Roman"/>
          <w:sz w:val="24"/>
          <w:szCs w:val="24"/>
        </w:rPr>
        <w:t xml:space="preserve"> (Foucault M., 2014, p.167)</w:t>
      </w:r>
      <w:r w:rsidR="00B25C0D">
        <w:rPr>
          <w:rFonts w:ascii="Times New Roman" w:hAnsi="Times New Roman" w:cs="Times New Roman"/>
          <w:sz w:val="24"/>
          <w:szCs w:val="24"/>
        </w:rPr>
        <w:t>, en somme les présuppositions absolues de Collingwood ne peuvent être éclairées par les sciences sociales, elles sont davantage des faits historiques reçues comme des lois ou des axiomes par les scientifiques d’une époque.</w:t>
      </w:r>
    </w:p>
    <w:p w14:paraId="529754AA" w14:textId="3B6BDD5D" w:rsidR="00B25C0D" w:rsidRDefault="00B25C0D" w:rsidP="006315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Cependant, c’est en teignant Collingwood de la pensée foucaldienne qu’Alain de Libera parvient à définir ce qu’il nomme en 1999 son « relativisme de style collingwoodien » et qu’il résume selon les thèses suivantes : </w:t>
      </w:r>
      <w:r w:rsidR="00F6793F" w:rsidRPr="00F6793F">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6214EE1B" w14:textId="19A3A067" w:rsidR="00F6793F" w:rsidRPr="00F6793F" w:rsidRDefault="00B25C0D" w:rsidP="006315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1) </w:t>
      </w:r>
      <w:r w:rsidR="00F6793F" w:rsidRPr="00F6793F">
        <w:rPr>
          <w:rFonts w:ascii="Times New Roman" w:hAnsi="Times New Roman" w:cs="Times New Roman"/>
          <w:sz w:val="24"/>
          <w:szCs w:val="24"/>
        </w:rPr>
        <w:t xml:space="preserve">L’objet de la </w:t>
      </w:r>
      <w:r w:rsidR="00F6793F" w:rsidRPr="00F6793F">
        <w:rPr>
          <w:rFonts w:ascii="Times New Roman" w:hAnsi="Times New Roman" w:cs="Times New Roman"/>
          <w:i/>
          <w:iCs/>
          <w:sz w:val="24"/>
          <w:szCs w:val="24"/>
        </w:rPr>
        <w:t xml:space="preserve">Problemgeschichte </w:t>
      </w:r>
      <w:r w:rsidR="00F6793F" w:rsidRPr="00F6793F">
        <w:rPr>
          <w:rFonts w:ascii="Times New Roman" w:hAnsi="Times New Roman" w:cs="Times New Roman"/>
          <w:sz w:val="24"/>
          <w:szCs w:val="24"/>
        </w:rPr>
        <w:t>n’est pas l’histoire des problèmes mais l’étude de</w:t>
      </w:r>
      <w:r w:rsidR="009C61B9">
        <w:rPr>
          <w:rFonts w:ascii="Times New Roman" w:hAnsi="Times New Roman" w:cs="Times New Roman"/>
          <w:sz w:val="24"/>
          <w:szCs w:val="24"/>
        </w:rPr>
        <w:t xml:space="preserve"> </w:t>
      </w:r>
      <w:r w:rsidR="00F6793F" w:rsidRPr="00F6793F">
        <w:rPr>
          <w:rFonts w:ascii="Times New Roman" w:hAnsi="Times New Roman" w:cs="Times New Roman"/>
          <w:sz w:val="24"/>
          <w:szCs w:val="24"/>
        </w:rPr>
        <w:t>la « structure de complexes constitués de questions et de réponses »</w:t>
      </w:r>
      <w:r w:rsidR="00E91AD3">
        <w:rPr>
          <w:rFonts w:ascii="Times New Roman" w:hAnsi="Times New Roman" w:cs="Times New Roman"/>
          <w:sz w:val="24"/>
          <w:szCs w:val="24"/>
        </w:rPr>
        <w:t xml:space="preserve"> (CQR)</w:t>
      </w:r>
      <w:r w:rsidR="00F6793F" w:rsidRPr="00F6793F">
        <w:rPr>
          <w:rFonts w:ascii="Times New Roman" w:hAnsi="Times New Roman" w:cs="Times New Roman"/>
          <w:sz w:val="24"/>
          <w:szCs w:val="24"/>
        </w:rPr>
        <w:t>.</w:t>
      </w:r>
    </w:p>
    <w:p w14:paraId="57FF5F8B" w14:textId="2ED1F6FA" w:rsidR="00F6793F" w:rsidRPr="00B25C0D" w:rsidRDefault="00F6793F" w:rsidP="0063157C">
      <w:pPr>
        <w:pStyle w:val="Paragraphedeliste"/>
        <w:numPr>
          <w:ilvl w:val="0"/>
          <w:numId w:val="6"/>
        </w:numPr>
        <w:spacing w:line="360" w:lineRule="auto"/>
        <w:jc w:val="both"/>
        <w:rPr>
          <w:rFonts w:ascii="Times New Roman" w:hAnsi="Times New Roman" w:cs="Times New Roman"/>
          <w:sz w:val="24"/>
          <w:szCs w:val="24"/>
        </w:rPr>
      </w:pPr>
      <w:r w:rsidRPr="00B25C0D">
        <w:rPr>
          <w:rFonts w:ascii="Times New Roman" w:hAnsi="Times New Roman" w:cs="Times New Roman"/>
          <w:sz w:val="24"/>
          <w:szCs w:val="24"/>
        </w:rPr>
        <w:t xml:space="preserve">L’historien n’a pas affaire </w:t>
      </w:r>
      <w:r w:rsidRPr="00B25C0D">
        <w:rPr>
          <w:rFonts w:ascii="Times New Roman" w:hAnsi="Times New Roman" w:cs="Times New Roman"/>
          <w:i/>
          <w:iCs/>
          <w:sz w:val="24"/>
          <w:szCs w:val="24"/>
        </w:rPr>
        <w:t xml:space="preserve">prima facie </w:t>
      </w:r>
      <w:r w:rsidRPr="00B25C0D">
        <w:rPr>
          <w:rFonts w:ascii="Times New Roman" w:hAnsi="Times New Roman" w:cs="Times New Roman"/>
          <w:sz w:val="24"/>
          <w:szCs w:val="24"/>
        </w:rPr>
        <w:t xml:space="preserve">à des « vérités philosophiques ». </w:t>
      </w:r>
      <w:r w:rsidR="00E91AD3">
        <w:rPr>
          <w:rFonts w:ascii="Times New Roman" w:hAnsi="Times New Roman" w:cs="Times New Roman"/>
          <w:sz w:val="24"/>
          <w:szCs w:val="24"/>
        </w:rPr>
        <w:t>[…]</w:t>
      </w:r>
    </w:p>
    <w:p w14:paraId="7B013A40" w14:textId="40F232F3" w:rsidR="00F6793F" w:rsidRPr="00B25C0D" w:rsidRDefault="00F6793F" w:rsidP="0063157C">
      <w:pPr>
        <w:pStyle w:val="Paragraphedeliste"/>
        <w:numPr>
          <w:ilvl w:val="0"/>
          <w:numId w:val="6"/>
        </w:numPr>
        <w:spacing w:line="360" w:lineRule="auto"/>
        <w:jc w:val="both"/>
        <w:rPr>
          <w:rFonts w:ascii="Times New Roman" w:hAnsi="Times New Roman" w:cs="Times New Roman"/>
          <w:sz w:val="24"/>
          <w:szCs w:val="24"/>
        </w:rPr>
      </w:pPr>
      <w:r w:rsidRPr="00B25C0D">
        <w:rPr>
          <w:rFonts w:ascii="Times New Roman" w:hAnsi="Times New Roman" w:cs="Times New Roman"/>
          <w:sz w:val="24"/>
          <w:szCs w:val="24"/>
        </w:rPr>
        <w:t xml:space="preserve">Il n’y a pas de problèmes permanents (ni </w:t>
      </w:r>
      <w:r w:rsidRPr="00B25C0D">
        <w:rPr>
          <w:rFonts w:ascii="Times New Roman" w:hAnsi="Times New Roman" w:cs="Times New Roman"/>
          <w:i/>
          <w:iCs/>
          <w:sz w:val="24"/>
          <w:szCs w:val="24"/>
        </w:rPr>
        <w:t>a fortiori</w:t>
      </w:r>
      <w:r w:rsidRPr="00B25C0D">
        <w:rPr>
          <w:rFonts w:ascii="Times New Roman" w:hAnsi="Times New Roman" w:cs="Times New Roman"/>
          <w:sz w:val="24"/>
          <w:szCs w:val="24"/>
        </w:rPr>
        <w:t xml:space="preserve"> de problèmes « éternels »)</w:t>
      </w:r>
      <w:r w:rsidR="00E91AD3">
        <w:rPr>
          <w:rFonts w:ascii="Times New Roman" w:hAnsi="Times New Roman" w:cs="Times New Roman"/>
          <w:sz w:val="24"/>
          <w:szCs w:val="24"/>
        </w:rPr>
        <w:t>. […]</w:t>
      </w:r>
    </w:p>
    <w:p w14:paraId="79249285" w14:textId="77777777" w:rsidR="00F6793F" w:rsidRPr="00F6793F" w:rsidRDefault="00F6793F" w:rsidP="0063157C">
      <w:pPr>
        <w:numPr>
          <w:ilvl w:val="0"/>
          <w:numId w:val="6"/>
        </w:numPr>
        <w:spacing w:line="360" w:lineRule="auto"/>
        <w:jc w:val="both"/>
        <w:rPr>
          <w:rFonts w:ascii="Times New Roman" w:hAnsi="Times New Roman" w:cs="Times New Roman"/>
          <w:sz w:val="24"/>
          <w:szCs w:val="24"/>
        </w:rPr>
      </w:pPr>
      <w:r w:rsidRPr="00F6793F">
        <w:rPr>
          <w:rFonts w:ascii="Times New Roman" w:hAnsi="Times New Roman" w:cs="Times New Roman"/>
          <w:sz w:val="24"/>
          <w:szCs w:val="24"/>
        </w:rPr>
        <w:t xml:space="preserve">Les problèmes transitoires comme </w:t>
      </w:r>
      <w:r w:rsidRPr="00F6793F">
        <w:rPr>
          <w:rFonts w:ascii="Times New Roman" w:hAnsi="Times New Roman" w:cs="Times New Roman"/>
          <w:i/>
          <w:iCs/>
          <w:sz w:val="24"/>
          <w:szCs w:val="24"/>
        </w:rPr>
        <w:t>p1, p2, p3 …</w:t>
      </w:r>
      <w:r w:rsidRPr="00F6793F">
        <w:rPr>
          <w:rFonts w:ascii="Times New Roman" w:hAnsi="Times New Roman" w:cs="Times New Roman"/>
          <w:sz w:val="24"/>
          <w:szCs w:val="24"/>
        </w:rPr>
        <w:t xml:space="preserve"> ne sont pas les </w:t>
      </w:r>
      <w:r w:rsidRPr="00F6793F">
        <w:rPr>
          <w:rFonts w:ascii="Times New Roman" w:hAnsi="Times New Roman" w:cs="Times New Roman"/>
          <w:i/>
          <w:iCs/>
          <w:sz w:val="24"/>
          <w:szCs w:val="24"/>
        </w:rPr>
        <w:t xml:space="preserve">instances </w:t>
      </w:r>
      <w:r w:rsidRPr="00F6793F">
        <w:rPr>
          <w:rFonts w:ascii="Times New Roman" w:hAnsi="Times New Roman" w:cs="Times New Roman"/>
          <w:sz w:val="24"/>
          <w:szCs w:val="24"/>
        </w:rPr>
        <w:t xml:space="preserve">d’un archi-problème P, mais des CQR eux-mêmes transitoires. </w:t>
      </w:r>
    </w:p>
    <w:p w14:paraId="0B160077" w14:textId="4C584B8D" w:rsidR="00F6793F" w:rsidRPr="00F6793F" w:rsidRDefault="00F6793F" w:rsidP="0063157C">
      <w:pPr>
        <w:numPr>
          <w:ilvl w:val="0"/>
          <w:numId w:val="6"/>
        </w:numPr>
        <w:spacing w:line="360" w:lineRule="auto"/>
        <w:jc w:val="both"/>
        <w:rPr>
          <w:rFonts w:ascii="Times New Roman" w:hAnsi="Times New Roman" w:cs="Times New Roman"/>
          <w:sz w:val="24"/>
          <w:szCs w:val="24"/>
        </w:rPr>
      </w:pPr>
      <w:r w:rsidRPr="00F6793F">
        <w:rPr>
          <w:rFonts w:ascii="Times New Roman" w:hAnsi="Times New Roman" w:cs="Times New Roman"/>
          <w:sz w:val="24"/>
          <w:szCs w:val="24"/>
        </w:rPr>
        <w:t>Dire qu’un CQR est « transitoire » ne signifie pas qu’il est conceptuellement volatile, mais que, au long d’un certain processus, il se transforme en autre chose</w:t>
      </w:r>
      <w:r w:rsidR="00E91AD3">
        <w:rPr>
          <w:rFonts w:ascii="Times New Roman" w:hAnsi="Times New Roman" w:cs="Times New Roman"/>
          <w:sz w:val="24"/>
          <w:szCs w:val="24"/>
        </w:rPr>
        <w:t xml:space="preserve"> […]</w:t>
      </w:r>
    </w:p>
    <w:p w14:paraId="661C8A5A" w14:textId="4AB4501E" w:rsidR="00F6793F" w:rsidRPr="00F6793F" w:rsidRDefault="00E91AD3" w:rsidP="0063157C">
      <w:pPr>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J’emprunte à P. Engel ma sixième thèse : « </w:t>
      </w:r>
      <w:r w:rsidR="00F6793F" w:rsidRPr="00F6793F">
        <w:rPr>
          <w:rFonts w:ascii="Times New Roman" w:hAnsi="Times New Roman" w:cs="Times New Roman"/>
          <w:sz w:val="24"/>
          <w:szCs w:val="24"/>
        </w:rPr>
        <w:t>Si un philosophe contemporain lit un auteur X du passé, et lui attribue la thèse T, alors que l’</w:t>
      </w:r>
      <w:r w:rsidR="00B25C0D" w:rsidRPr="00F6793F">
        <w:rPr>
          <w:rFonts w:ascii="Times New Roman" w:hAnsi="Times New Roman" w:cs="Times New Roman"/>
          <w:sz w:val="24"/>
          <w:szCs w:val="24"/>
        </w:rPr>
        <w:t>exégèse</w:t>
      </w:r>
      <w:r w:rsidR="00F6793F" w:rsidRPr="00F6793F">
        <w:rPr>
          <w:rFonts w:ascii="Times New Roman" w:hAnsi="Times New Roman" w:cs="Times New Roman"/>
          <w:sz w:val="24"/>
          <w:szCs w:val="24"/>
        </w:rPr>
        <w:t xml:space="preserve"> sérieuse montre que X n’a jamais soutenu T, il est parfaitement vain de continuer à faire cette attribution.</w:t>
      </w:r>
      <w:r>
        <w:rPr>
          <w:rFonts w:ascii="Times New Roman" w:hAnsi="Times New Roman" w:cs="Times New Roman"/>
          <w:sz w:val="24"/>
          <w:szCs w:val="24"/>
        </w:rPr>
        <w:t> » […]</w:t>
      </w:r>
      <w:r w:rsidR="00F6793F" w:rsidRPr="00F6793F">
        <w:rPr>
          <w:rFonts w:ascii="Times New Roman" w:hAnsi="Times New Roman" w:cs="Times New Roman"/>
          <w:sz w:val="24"/>
          <w:szCs w:val="24"/>
        </w:rPr>
        <w:t xml:space="preserve"> </w:t>
      </w:r>
    </w:p>
    <w:p w14:paraId="6FF49694" w14:textId="6FB8FB20" w:rsidR="00F6793F" w:rsidRPr="00F6793F" w:rsidRDefault="00F6793F" w:rsidP="0063157C">
      <w:pPr>
        <w:numPr>
          <w:ilvl w:val="0"/>
          <w:numId w:val="6"/>
        </w:numPr>
        <w:spacing w:line="360" w:lineRule="auto"/>
        <w:jc w:val="both"/>
        <w:rPr>
          <w:rFonts w:ascii="Times New Roman" w:hAnsi="Times New Roman" w:cs="Times New Roman"/>
          <w:sz w:val="24"/>
          <w:szCs w:val="24"/>
        </w:rPr>
      </w:pPr>
      <w:r w:rsidRPr="00F6793F">
        <w:rPr>
          <w:rFonts w:ascii="Times New Roman" w:hAnsi="Times New Roman" w:cs="Times New Roman"/>
          <w:sz w:val="24"/>
          <w:szCs w:val="24"/>
        </w:rPr>
        <w:t xml:space="preserve">Une fois considérée, décrite et analysée dans son CQR d’origine, une théorie peut être </w:t>
      </w:r>
      <w:r w:rsidRPr="00F6793F">
        <w:rPr>
          <w:rFonts w:ascii="Times New Roman" w:hAnsi="Times New Roman" w:cs="Times New Roman"/>
          <w:i/>
          <w:iCs/>
          <w:sz w:val="24"/>
          <w:szCs w:val="24"/>
        </w:rPr>
        <w:t>discutée</w:t>
      </w:r>
      <w:r w:rsidRPr="00F6793F">
        <w:rPr>
          <w:rFonts w:ascii="Times New Roman" w:hAnsi="Times New Roman" w:cs="Times New Roman"/>
          <w:sz w:val="24"/>
          <w:szCs w:val="24"/>
        </w:rPr>
        <w:t xml:space="preserve"> séparément et </w:t>
      </w:r>
      <w:r w:rsidRPr="00F6793F">
        <w:rPr>
          <w:rFonts w:ascii="Times New Roman" w:hAnsi="Times New Roman" w:cs="Times New Roman"/>
          <w:i/>
          <w:iCs/>
          <w:sz w:val="24"/>
          <w:szCs w:val="24"/>
        </w:rPr>
        <w:t>comparée</w:t>
      </w:r>
      <w:r w:rsidRPr="00F6793F">
        <w:rPr>
          <w:rFonts w:ascii="Times New Roman" w:hAnsi="Times New Roman" w:cs="Times New Roman"/>
          <w:sz w:val="24"/>
          <w:szCs w:val="24"/>
        </w:rPr>
        <w:t xml:space="preserve"> à une autre théorie appartenant à un CQR différent. Elle ne peut, cependant, être </w:t>
      </w:r>
      <w:r w:rsidRPr="00F6793F">
        <w:rPr>
          <w:rFonts w:ascii="Times New Roman" w:hAnsi="Times New Roman" w:cs="Times New Roman"/>
          <w:i/>
          <w:iCs/>
          <w:sz w:val="24"/>
          <w:szCs w:val="24"/>
        </w:rPr>
        <w:t xml:space="preserve">évaluée </w:t>
      </w:r>
      <w:r w:rsidRPr="00F6793F">
        <w:rPr>
          <w:rFonts w:ascii="Times New Roman" w:hAnsi="Times New Roman" w:cs="Times New Roman"/>
          <w:sz w:val="24"/>
          <w:szCs w:val="24"/>
        </w:rPr>
        <w:t>par rapport à ce second CQR.</w:t>
      </w:r>
      <w:r w:rsidR="00B25C0D">
        <w:rPr>
          <w:rFonts w:ascii="Times New Roman" w:hAnsi="Times New Roman" w:cs="Times New Roman"/>
          <w:sz w:val="24"/>
          <w:szCs w:val="24"/>
        </w:rPr>
        <w:t> »</w:t>
      </w:r>
      <w:r w:rsidR="009C61B9">
        <w:rPr>
          <w:rFonts w:ascii="Times New Roman" w:hAnsi="Times New Roman" w:cs="Times New Roman"/>
          <w:sz w:val="24"/>
          <w:szCs w:val="24"/>
        </w:rPr>
        <w:t xml:space="preserve"> (Libera (de) A., 1999, p.486-492).</w:t>
      </w:r>
    </w:p>
    <w:p w14:paraId="15419D96" w14:textId="2B46B0B7" w:rsidR="00F6793F" w:rsidRPr="00F6793F" w:rsidRDefault="00F6793F" w:rsidP="0063157C">
      <w:pPr>
        <w:spacing w:line="360" w:lineRule="auto"/>
        <w:ind w:firstLine="708"/>
        <w:jc w:val="both"/>
        <w:rPr>
          <w:rFonts w:ascii="Times New Roman" w:hAnsi="Times New Roman" w:cs="Times New Roman"/>
          <w:sz w:val="24"/>
          <w:szCs w:val="24"/>
        </w:rPr>
      </w:pPr>
      <w:r w:rsidRPr="00F6793F">
        <w:rPr>
          <w:rFonts w:ascii="Times New Roman" w:hAnsi="Times New Roman" w:cs="Times New Roman"/>
          <w:sz w:val="24"/>
          <w:szCs w:val="24"/>
        </w:rPr>
        <w:t xml:space="preserve">A ces thèses, Libera va ajouter, dans une confrontation avec Foucault une notion importante : « l’espace limité de communication ». Et de citer </w:t>
      </w:r>
      <w:r w:rsidR="00662230">
        <w:rPr>
          <w:rFonts w:ascii="Times New Roman" w:hAnsi="Times New Roman" w:cs="Times New Roman"/>
          <w:sz w:val="24"/>
          <w:szCs w:val="24"/>
        </w:rPr>
        <w:t>l’</w:t>
      </w:r>
      <w:r w:rsidRPr="00F6793F">
        <w:rPr>
          <w:rFonts w:ascii="Times New Roman" w:hAnsi="Times New Roman" w:cs="Times New Roman"/>
          <w:i/>
          <w:iCs/>
          <w:sz w:val="24"/>
          <w:szCs w:val="24"/>
        </w:rPr>
        <w:t>Archéologie du savoir</w:t>
      </w:r>
      <w:r w:rsidR="00C630B0">
        <w:rPr>
          <w:rFonts w:ascii="Times New Roman" w:hAnsi="Times New Roman" w:cs="Times New Roman"/>
          <w:sz w:val="24"/>
          <w:szCs w:val="24"/>
        </w:rPr>
        <w:t xml:space="preserve"> </w:t>
      </w:r>
      <w:r w:rsidRPr="00F6793F">
        <w:rPr>
          <w:rFonts w:ascii="Times New Roman" w:hAnsi="Times New Roman" w:cs="Times New Roman"/>
          <w:sz w:val="24"/>
          <w:szCs w:val="24"/>
        </w:rPr>
        <w:t>: « Cette unité […] ne permet pas non plus de dire laquelle de ces œuvres était la plus proche d’une destination première, ou ultime, laquelle formulerait le plus radicalement le projet général d’une science. Mais ce qu’elle permet de faire apparaître, c’est la mesure selon laquelle Buffon et Linné (ou Turgot et Quesnay, Broussais et Bichat) parlaient de « la même chose », en se plaçant au « même niveau » où à « la même distance », en déployant « le même champ conceptuel », en s’opposant sur « le même champ de bataille » ; et elle fait apparaître en revanche pourquoi on ne peut pas dire que Darwin parle de la même chose que Diderot</w:t>
      </w:r>
      <w:r w:rsidR="009C61B9">
        <w:rPr>
          <w:rFonts w:ascii="Times New Roman" w:hAnsi="Times New Roman" w:cs="Times New Roman"/>
          <w:sz w:val="24"/>
          <w:szCs w:val="24"/>
        </w:rPr>
        <w:t xml:space="preserve"> </w:t>
      </w:r>
      <w:r w:rsidRPr="00F6793F">
        <w:rPr>
          <w:rFonts w:ascii="Times New Roman" w:hAnsi="Times New Roman" w:cs="Times New Roman"/>
          <w:sz w:val="24"/>
          <w:szCs w:val="24"/>
        </w:rPr>
        <w:t>»</w:t>
      </w:r>
      <w:r w:rsidR="009C61B9">
        <w:rPr>
          <w:rFonts w:ascii="Times New Roman" w:hAnsi="Times New Roman" w:cs="Times New Roman"/>
          <w:sz w:val="24"/>
          <w:szCs w:val="24"/>
        </w:rPr>
        <w:t xml:space="preserve"> (Foucault M., 2014, p.146). </w:t>
      </w:r>
    </w:p>
    <w:p w14:paraId="73961F74" w14:textId="2468F44D" w:rsidR="00F6793F" w:rsidRPr="00F6793F" w:rsidRDefault="00F6793F" w:rsidP="0063157C">
      <w:pPr>
        <w:spacing w:line="360" w:lineRule="auto"/>
        <w:ind w:firstLine="708"/>
        <w:jc w:val="both"/>
        <w:rPr>
          <w:rFonts w:ascii="Times New Roman" w:hAnsi="Times New Roman" w:cs="Times New Roman"/>
          <w:sz w:val="24"/>
          <w:szCs w:val="24"/>
        </w:rPr>
      </w:pPr>
      <w:r w:rsidRPr="00F6793F">
        <w:rPr>
          <w:rFonts w:ascii="Times New Roman" w:hAnsi="Times New Roman" w:cs="Times New Roman"/>
          <w:sz w:val="24"/>
          <w:szCs w:val="24"/>
        </w:rPr>
        <w:t xml:space="preserve">Le grand souci de Libera, et la raison pour laquelle il reprend Foucault et Collingwood, </w:t>
      </w:r>
      <w:r w:rsidR="00F00FD3">
        <w:rPr>
          <w:rFonts w:ascii="Times New Roman" w:hAnsi="Times New Roman" w:cs="Times New Roman"/>
          <w:sz w:val="24"/>
          <w:szCs w:val="24"/>
        </w:rPr>
        <w:t>est de délimiter</w:t>
      </w:r>
      <w:r w:rsidRPr="00F6793F">
        <w:rPr>
          <w:rFonts w:ascii="Times New Roman" w:hAnsi="Times New Roman" w:cs="Times New Roman"/>
          <w:sz w:val="24"/>
          <w:szCs w:val="24"/>
        </w:rPr>
        <w:t xml:space="preserve"> un espace dans lequel des auteurs puissent parler le même langage et s’appuyer sur </w:t>
      </w:r>
      <w:r w:rsidR="00F00FD3">
        <w:rPr>
          <w:rFonts w:ascii="Times New Roman" w:hAnsi="Times New Roman" w:cs="Times New Roman"/>
          <w:sz w:val="24"/>
          <w:szCs w:val="24"/>
        </w:rPr>
        <w:t>le même ensemble de</w:t>
      </w:r>
      <w:r w:rsidRPr="00F6793F">
        <w:rPr>
          <w:rFonts w:ascii="Times New Roman" w:hAnsi="Times New Roman" w:cs="Times New Roman"/>
          <w:sz w:val="24"/>
          <w:szCs w:val="24"/>
        </w:rPr>
        <w:t xml:space="preserve"> textes pour justifier leur thèse. Il s’agit dans cette méthode dite de l’archéologie philosophique, de retrouver ce qui fait qu’un auteur défend une thèse, en s’appuyant sur ses réseaux, ses lectures, et tout le travail d’archives qui constitue la matière vivante de son ouvrage. Or, cette méthode implique aussi une attitude analytique en ce que </w:t>
      </w:r>
      <w:r w:rsidR="00502992">
        <w:rPr>
          <w:rFonts w:ascii="Times New Roman" w:hAnsi="Times New Roman" w:cs="Times New Roman"/>
          <w:sz w:val="24"/>
          <w:szCs w:val="24"/>
        </w:rPr>
        <w:t>les thèses</w:t>
      </w:r>
      <w:r w:rsidR="00E91AD3">
        <w:rPr>
          <w:rFonts w:ascii="Times New Roman" w:hAnsi="Times New Roman" w:cs="Times New Roman"/>
          <w:sz w:val="24"/>
          <w:szCs w:val="24"/>
        </w:rPr>
        <w:t xml:space="preserve"> </w:t>
      </w:r>
      <w:r w:rsidRPr="00F6793F">
        <w:rPr>
          <w:rFonts w:ascii="Times New Roman" w:hAnsi="Times New Roman" w:cs="Times New Roman"/>
          <w:sz w:val="24"/>
          <w:szCs w:val="24"/>
        </w:rPr>
        <w:t xml:space="preserve">6 et 7 témoignent qu’une fois le travail historique fait, il est possible </w:t>
      </w:r>
      <w:r w:rsidR="00192C0D">
        <w:rPr>
          <w:rFonts w:ascii="Times New Roman" w:hAnsi="Times New Roman" w:cs="Times New Roman"/>
          <w:sz w:val="24"/>
          <w:szCs w:val="24"/>
        </w:rPr>
        <w:t>d’opérer un dialogue</w:t>
      </w:r>
      <w:r w:rsidRPr="00F6793F">
        <w:rPr>
          <w:rFonts w:ascii="Times New Roman" w:hAnsi="Times New Roman" w:cs="Times New Roman"/>
          <w:sz w:val="24"/>
          <w:szCs w:val="24"/>
        </w:rPr>
        <w:t xml:space="preserve"> des idées et des concepts issus de traditions différentes.</w:t>
      </w:r>
      <w:r w:rsidR="00192C0D">
        <w:rPr>
          <w:rFonts w:ascii="Times New Roman" w:hAnsi="Times New Roman" w:cs="Times New Roman"/>
          <w:sz w:val="24"/>
          <w:szCs w:val="24"/>
        </w:rPr>
        <w:t xml:space="preserve"> Ce que la lecture de Collingwood par Engel ne semblait pas permettre</w:t>
      </w:r>
      <w:r w:rsidR="00E91AD3">
        <w:rPr>
          <w:rFonts w:ascii="Times New Roman" w:hAnsi="Times New Roman" w:cs="Times New Roman"/>
          <w:sz w:val="24"/>
          <w:szCs w:val="24"/>
        </w:rPr>
        <w:t xml:space="preserve">, en réduisant Collingwood à un relativisme absolu. Ainsi, le relativisme qu’Alain de Libera attribue à Collingwood, où qu’il produit à partir de Collingwood ne semble pas être absolu, mais relatif. </w:t>
      </w:r>
    </w:p>
    <w:p w14:paraId="61419A67" w14:textId="3ED1BF9E" w:rsidR="00F6793F" w:rsidRDefault="00D86691" w:rsidP="006315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1999, </w:t>
      </w:r>
      <w:r w:rsidR="00E91AD3">
        <w:rPr>
          <w:rFonts w:ascii="Times New Roman" w:hAnsi="Times New Roman" w:cs="Times New Roman"/>
          <w:sz w:val="24"/>
          <w:szCs w:val="24"/>
        </w:rPr>
        <w:t xml:space="preserve">Alain de </w:t>
      </w:r>
      <w:r>
        <w:rPr>
          <w:rFonts w:ascii="Times New Roman" w:hAnsi="Times New Roman" w:cs="Times New Roman"/>
          <w:sz w:val="24"/>
          <w:szCs w:val="24"/>
        </w:rPr>
        <w:t xml:space="preserve">Libera conclut ainsi </w:t>
      </w:r>
      <w:r w:rsidR="00654F88">
        <w:rPr>
          <w:rFonts w:ascii="Times New Roman" w:hAnsi="Times New Roman" w:cs="Times New Roman"/>
          <w:sz w:val="24"/>
          <w:szCs w:val="24"/>
        </w:rPr>
        <w:t xml:space="preserve">son article : </w:t>
      </w:r>
      <w:r w:rsidR="00F6793F" w:rsidRPr="00F6793F">
        <w:rPr>
          <w:rFonts w:ascii="Times New Roman" w:hAnsi="Times New Roman" w:cs="Times New Roman"/>
          <w:sz w:val="24"/>
          <w:szCs w:val="24"/>
        </w:rPr>
        <w:t xml:space="preserve">« Le temps n’est plus où la grenouille française ne pouvait choisir qu’entre deux types de bœufs : Rudolf Carnap et Victor Cousin. L’heure est venue pour tous les </w:t>
      </w:r>
      <w:r w:rsidR="00F6793F" w:rsidRPr="00F6793F">
        <w:rPr>
          <w:rFonts w:ascii="Times New Roman" w:hAnsi="Times New Roman" w:cs="Times New Roman"/>
          <w:i/>
          <w:iCs/>
          <w:sz w:val="24"/>
          <w:szCs w:val="24"/>
        </w:rPr>
        <w:t xml:space="preserve">froggies, </w:t>
      </w:r>
      <w:r w:rsidR="00F6793F" w:rsidRPr="00F6793F">
        <w:rPr>
          <w:rFonts w:ascii="Times New Roman" w:hAnsi="Times New Roman" w:cs="Times New Roman"/>
          <w:sz w:val="24"/>
          <w:szCs w:val="24"/>
        </w:rPr>
        <w:t xml:space="preserve">qu’ils soient continentaux ou analytiques, de dépasser les fausses querelles et de laisser les ruminants ruminer. Les philosophes doivent faire de la philosophie ; les historiens de la philosophie doivent faire de l’histoire de la philosophie. Ils peuvent se rencontrer, s’ils le veulent, et collaborer, s’ils le croient utiles. […] Le </w:t>
      </w:r>
      <w:r w:rsidR="00654F88" w:rsidRPr="00F6793F">
        <w:rPr>
          <w:rFonts w:ascii="Times New Roman" w:hAnsi="Times New Roman" w:cs="Times New Roman"/>
          <w:sz w:val="24"/>
          <w:szCs w:val="24"/>
        </w:rPr>
        <w:t>relativisme</w:t>
      </w:r>
      <w:r w:rsidR="00F6793F" w:rsidRPr="00F6793F">
        <w:rPr>
          <w:rFonts w:ascii="Times New Roman" w:hAnsi="Times New Roman" w:cs="Times New Roman"/>
          <w:sz w:val="24"/>
          <w:szCs w:val="24"/>
        </w:rPr>
        <w:t xml:space="preserve"> </w:t>
      </w:r>
      <w:r w:rsidR="00192C0D" w:rsidRPr="00F6793F">
        <w:rPr>
          <w:rFonts w:ascii="Times New Roman" w:hAnsi="Times New Roman" w:cs="Times New Roman"/>
          <w:sz w:val="24"/>
          <w:szCs w:val="24"/>
        </w:rPr>
        <w:t>collingwoodien</w:t>
      </w:r>
      <w:r w:rsidR="00F6793F" w:rsidRPr="00F6793F">
        <w:rPr>
          <w:rFonts w:ascii="Times New Roman" w:hAnsi="Times New Roman" w:cs="Times New Roman"/>
          <w:sz w:val="24"/>
          <w:szCs w:val="24"/>
        </w:rPr>
        <w:t xml:space="preserve"> que je défends n'a pas pour but de réduire la philosophie à l’histoire de la philosophie. Il n’a pas non plus pour conséquence d’enfermer l’activité philosophique dans des « schèmes conceptuels incommensurables » d’une époque à une autre. Sa seule ambition est de fournir une base et une méthode </w:t>
      </w:r>
      <w:r w:rsidR="00F6793F" w:rsidRPr="00F6793F">
        <w:rPr>
          <w:rFonts w:ascii="Times New Roman" w:hAnsi="Times New Roman" w:cs="Times New Roman"/>
          <w:i/>
          <w:iCs/>
          <w:sz w:val="24"/>
          <w:szCs w:val="24"/>
        </w:rPr>
        <w:t>particulières</w:t>
      </w:r>
      <w:r w:rsidR="00F6793F" w:rsidRPr="00F6793F">
        <w:rPr>
          <w:rFonts w:ascii="Times New Roman" w:hAnsi="Times New Roman" w:cs="Times New Roman"/>
          <w:sz w:val="24"/>
          <w:szCs w:val="24"/>
        </w:rPr>
        <w:t xml:space="preserve"> et </w:t>
      </w:r>
      <w:r w:rsidR="00F6793F" w:rsidRPr="00F6793F">
        <w:rPr>
          <w:rFonts w:ascii="Times New Roman" w:hAnsi="Times New Roman" w:cs="Times New Roman"/>
          <w:i/>
          <w:iCs/>
          <w:sz w:val="24"/>
          <w:szCs w:val="24"/>
        </w:rPr>
        <w:t>propres</w:t>
      </w:r>
      <w:r w:rsidR="00F6793F" w:rsidRPr="00F6793F">
        <w:rPr>
          <w:rFonts w:ascii="Times New Roman" w:hAnsi="Times New Roman" w:cs="Times New Roman"/>
          <w:sz w:val="24"/>
          <w:szCs w:val="24"/>
        </w:rPr>
        <w:t xml:space="preserve"> au travail de l’historien de la philosophie</w:t>
      </w:r>
      <w:r w:rsidR="009C61B9">
        <w:rPr>
          <w:rFonts w:ascii="Times New Roman" w:hAnsi="Times New Roman" w:cs="Times New Roman"/>
          <w:sz w:val="24"/>
          <w:szCs w:val="24"/>
        </w:rPr>
        <w:t xml:space="preserve"> </w:t>
      </w:r>
      <w:r w:rsidR="00F6793F" w:rsidRPr="00F6793F">
        <w:rPr>
          <w:rFonts w:ascii="Times New Roman" w:hAnsi="Times New Roman" w:cs="Times New Roman"/>
          <w:sz w:val="24"/>
          <w:szCs w:val="24"/>
        </w:rPr>
        <w:t>»</w:t>
      </w:r>
      <w:r w:rsidR="009C61B9">
        <w:rPr>
          <w:rFonts w:ascii="Times New Roman" w:hAnsi="Times New Roman" w:cs="Times New Roman"/>
          <w:sz w:val="24"/>
          <w:szCs w:val="24"/>
        </w:rPr>
        <w:t xml:space="preserve"> (Libera (de) A. 1999, p.493).</w:t>
      </w:r>
    </w:p>
    <w:p w14:paraId="5CC4E9FE" w14:textId="499D89AC" w:rsidR="00E91AD3" w:rsidRPr="00E8666A" w:rsidRDefault="00E91AD3" w:rsidP="0063157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Ainsi, ce relativisme </w:t>
      </w:r>
      <w:r w:rsidR="00E8666A">
        <w:rPr>
          <w:rFonts w:ascii="Times New Roman" w:hAnsi="Times New Roman" w:cs="Times New Roman"/>
          <w:sz w:val="24"/>
          <w:szCs w:val="24"/>
        </w:rPr>
        <w:t xml:space="preserve">en histoire </w:t>
      </w:r>
      <w:r>
        <w:rPr>
          <w:rFonts w:ascii="Times New Roman" w:hAnsi="Times New Roman" w:cs="Times New Roman"/>
          <w:sz w:val="24"/>
          <w:szCs w:val="24"/>
        </w:rPr>
        <w:t xml:space="preserve">qu’Alain de Libera attribue à Collingwood </w:t>
      </w:r>
      <w:r w:rsidR="00E8666A">
        <w:rPr>
          <w:rFonts w:ascii="Times New Roman" w:hAnsi="Times New Roman" w:cs="Times New Roman"/>
          <w:sz w:val="24"/>
          <w:szCs w:val="24"/>
        </w:rPr>
        <w:t xml:space="preserve">prête à confusion. Il ne faudrait pas que ce terme permette d’attribuer à Collingwood certaines positions qu’il récuse, notamment dans </w:t>
      </w:r>
      <w:r w:rsidR="00E8666A">
        <w:rPr>
          <w:rFonts w:ascii="Times New Roman" w:hAnsi="Times New Roman" w:cs="Times New Roman"/>
          <w:i/>
          <w:iCs/>
          <w:sz w:val="24"/>
          <w:szCs w:val="24"/>
        </w:rPr>
        <w:t>The New Leviathan</w:t>
      </w:r>
      <w:r w:rsidR="00E8666A">
        <w:rPr>
          <w:rFonts w:ascii="Times New Roman" w:hAnsi="Times New Roman" w:cs="Times New Roman"/>
          <w:sz w:val="24"/>
          <w:szCs w:val="24"/>
        </w:rPr>
        <w:t xml:space="preserve"> lorsqu’il s’élève contre le relativisme culturel en histoire</w:t>
      </w:r>
      <w:r w:rsidR="009C61B9">
        <w:rPr>
          <w:rFonts w:ascii="Times New Roman" w:hAnsi="Times New Roman" w:cs="Times New Roman"/>
          <w:sz w:val="24"/>
          <w:szCs w:val="24"/>
        </w:rPr>
        <w:t xml:space="preserve"> (Collingwood R.G., 199</w:t>
      </w:r>
      <w:r w:rsidR="00250E0B">
        <w:rPr>
          <w:rFonts w:ascii="Times New Roman" w:hAnsi="Times New Roman" w:cs="Times New Roman"/>
          <w:sz w:val="24"/>
          <w:szCs w:val="24"/>
        </w:rPr>
        <w:t>2 [1942]</w:t>
      </w:r>
      <w:r w:rsidR="009C61B9">
        <w:rPr>
          <w:rFonts w:ascii="Times New Roman" w:hAnsi="Times New Roman" w:cs="Times New Roman"/>
          <w:sz w:val="24"/>
          <w:szCs w:val="24"/>
        </w:rPr>
        <w:t>, p.489-490)</w:t>
      </w:r>
      <w:r w:rsidR="00E8666A">
        <w:rPr>
          <w:rFonts w:ascii="Times New Roman" w:hAnsi="Times New Roman" w:cs="Times New Roman"/>
          <w:sz w:val="24"/>
          <w:szCs w:val="24"/>
        </w:rPr>
        <w:t>.</w:t>
      </w:r>
      <w:r w:rsidR="002270E2">
        <w:rPr>
          <w:rFonts w:ascii="Times New Roman" w:hAnsi="Times New Roman" w:cs="Times New Roman"/>
          <w:sz w:val="24"/>
          <w:szCs w:val="24"/>
        </w:rPr>
        <w:t xml:space="preserve"> De même ce relativisme collingwoodien ne peut être rapproché d’une incommensurabilité épistémique des systèmes telle qu’elle est comprise par Thomas Kuhn</w:t>
      </w:r>
      <w:r w:rsidR="009C61B9">
        <w:rPr>
          <w:rFonts w:ascii="Times New Roman" w:hAnsi="Times New Roman" w:cs="Times New Roman"/>
          <w:sz w:val="24"/>
          <w:szCs w:val="24"/>
        </w:rPr>
        <w:t xml:space="preserve"> (Marion M., 2009)</w:t>
      </w:r>
      <w:r w:rsidR="002270E2">
        <w:rPr>
          <w:rFonts w:ascii="Times New Roman" w:hAnsi="Times New Roman" w:cs="Times New Roman"/>
          <w:sz w:val="24"/>
          <w:szCs w:val="24"/>
        </w:rPr>
        <w:t>. S’il faut entendre</w:t>
      </w:r>
      <w:r w:rsidR="00162583">
        <w:rPr>
          <w:rFonts w:ascii="Times New Roman" w:hAnsi="Times New Roman" w:cs="Times New Roman"/>
          <w:sz w:val="24"/>
          <w:szCs w:val="24"/>
        </w:rPr>
        <w:t>,</w:t>
      </w:r>
      <w:r w:rsidR="002270E2">
        <w:rPr>
          <w:rFonts w:ascii="Times New Roman" w:hAnsi="Times New Roman" w:cs="Times New Roman"/>
          <w:sz w:val="24"/>
          <w:szCs w:val="24"/>
        </w:rPr>
        <w:t xml:space="preserve"> avec Alain de Libera, le relativisme historique comme une volonté méthodologique d’écarter la recherche de « grands problèmes » en philosophie, pour s’intéresser à des problèmes « transitoires » relatifs à une époque, alors il semble que l’œuvre de Collingwood p</w:t>
      </w:r>
      <w:r w:rsidR="00F00FD3">
        <w:rPr>
          <w:rFonts w:ascii="Times New Roman" w:hAnsi="Times New Roman" w:cs="Times New Roman"/>
          <w:sz w:val="24"/>
          <w:szCs w:val="24"/>
        </w:rPr>
        <w:t>eut</w:t>
      </w:r>
      <w:r w:rsidR="002270E2">
        <w:rPr>
          <w:rFonts w:ascii="Times New Roman" w:hAnsi="Times New Roman" w:cs="Times New Roman"/>
          <w:sz w:val="24"/>
          <w:szCs w:val="24"/>
        </w:rPr>
        <w:t xml:space="preserve"> être intégré</w:t>
      </w:r>
      <w:r w:rsidR="00162583">
        <w:rPr>
          <w:rFonts w:ascii="Times New Roman" w:hAnsi="Times New Roman" w:cs="Times New Roman"/>
          <w:sz w:val="24"/>
          <w:szCs w:val="24"/>
        </w:rPr>
        <w:t>e</w:t>
      </w:r>
      <w:r w:rsidR="002270E2">
        <w:rPr>
          <w:rFonts w:ascii="Times New Roman" w:hAnsi="Times New Roman" w:cs="Times New Roman"/>
          <w:sz w:val="24"/>
          <w:szCs w:val="24"/>
        </w:rPr>
        <w:t xml:space="preserve"> à un tel programme.</w:t>
      </w:r>
    </w:p>
    <w:p w14:paraId="06C00270" w14:textId="7CA63D51" w:rsidR="00097048" w:rsidRDefault="00F6793F" w:rsidP="0063157C">
      <w:pPr>
        <w:spacing w:line="360" w:lineRule="auto"/>
        <w:jc w:val="both"/>
        <w:rPr>
          <w:rFonts w:ascii="Times New Roman" w:hAnsi="Times New Roman" w:cs="Times New Roman"/>
          <w:sz w:val="24"/>
          <w:szCs w:val="24"/>
        </w:rPr>
      </w:pPr>
      <w:r w:rsidRPr="00F6793F">
        <w:rPr>
          <w:rFonts w:ascii="Times New Roman" w:hAnsi="Times New Roman" w:cs="Times New Roman"/>
          <w:sz w:val="24"/>
          <w:szCs w:val="24"/>
        </w:rPr>
        <w:tab/>
      </w:r>
      <w:r w:rsidR="00654F88">
        <w:rPr>
          <w:rFonts w:ascii="Times New Roman" w:hAnsi="Times New Roman" w:cs="Times New Roman"/>
          <w:sz w:val="24"/>
          <w:szCs w:val="24"/>
        </w:rPr>
        <w:t xml:space="preserve">Une lecture plus approfondie des ouvrages de Libera, notamment sa </w:t>
      </w:r>
      <w:r w:rsidR="00654F88">
        <w:rPr>
          <w:rFonts w:ascii="Times New Roman" w:hAnsi="Times New Roman" w:cs="Times New Roman"/>
          <w:i/>
          <w:iCs/>
          <w:sz w:val="24"/>
          <w:szCs w:val="24"/>
        </w:rPr>
        <w:t>Querelle des Universaux</w:t>
      </w:r>
      <w:r w:rsidR="009F7D76">
        <w:rPr>
          <w:rFonts w:ascii="Times New Roman" w:hAnsi="Times New Roman" w:cs="Times New Roman"/>
          <w:i/>
          <w:iCs/>
          <w:sz w:val="24"/>
          <w:szCs w:val="24"/>
        </w:rPr>
        <w:t xml:space="preserve"> </w:t>
      </w:r>
      <w:r w:rsidR="009F7D76">
        <w:rPr>
          <w:rFonts w:ascii="Times New Roman" w:hAnsi="Times New Roman" w:cs="Times New Roman"/>
          <w:sz w:val="24"/>
          <w:szCs w:val="24"/>
        </w:rPr>
        <w:t>(Libera (de) A., 2014)</w:t>
      </w:r>
      <w:r w:rsidR="00654F88">
        <w:rPr>
          <w:rFonts w:ascii="Times New Roman" w:hAnsi="Times New Roman" w:cs="Times New Roman"/>
          <w:i/>
          <w:iCs/>
          <w:sz w:val="24"/>
          <w:szCs w:val="24"/>
        </w:rPr>
        <w:t xml:space="preserve"> </w:t>
      </w:r>
      <w:r w:rsidR="00654F88">
        <w:rPr>
          <w:rFonts w:ascii="Times New Roman" w:hAnsi="Times New Roman" w:cs="Times New Roman"/>
          <w:sz w:val="24"/>
          <w:szCs w:val="24"/>
        </w:rPr>
        <w:t>témoignera de la fécondité de cette méthode collingwoodienne</w:t>
      </w:r>
      <w:r w:rsidR="0055359F">
        <w:rPr>
          <w:rFonts w:ascii="Times New Roman" w:hAnsi="Times New Roman" w:cs="Times New Roman"/>
          <w:sz w:val="24"/>
          <w:szCs w:val="24"/>
        </w:rPr>
        <w:t xml:space="preserve"> appliquée à l’histoire de la philosophie. Une méthode qui semble avoir fait des émules parmi les historiens de la philosophie médiévale, </w:t>
      </w:r>
      <w:r w:rsidR="007E2E0B">
        <w:rPr>
          <w:rFonts w:ascii="Times New Roman" w:hAnsi="Times New Roman" w:cs="Times New Roman"/>
          <w:sz w:val="24"/>
          <w:szCs w:val="24"/>
        </w:rPr>
        <w:t xml:space="preserve">ou plutôt des continuateurs, car Olivier Boulnois dans sa </w:t>
      </w:r>
      <w:r w:rsidR="007E2E0B">
        <w:rPr>
          <w:rFonts w:ascii="Times New Roman" w:hAnsi="Times New Roman" w:cs="Times New Roman"/>
          <w:i/>
          <w:iCs/>
          <w:sz w:val="24"/>
          <w:szCs w:val="24"/>
        </w:rPr>
        <w:t>Généalogie de la liberté</w:t>
      </w:r>
      <w:r w:rsidR="007E2E0B">
        <w:rPr>
          <w:rFonts w:ascii="Times New Roman" w:hAnsi="Times New Roman" w:cs="Times New Roman"/>
          <w:sz w:val="24"/>
          <w:szCs w:val="24"/>
        </w:rPr>
        <w:t xml:space="preserve"> poursuit le débat méthodologique en citant Collingwood et Michel Foucault. S’il se déclare proche de la méthode archéologique d’Alain de Libera, il souhaite lui ajouter l’élément généalogique</w:t>
      </w:r>
      <w:r w:rsidR="006837B1">
        <w:rPr>
          <w:rFonts w:ascii="Times New Roman" w:hAnsi="Times New Roman" w:cs="Times New Roman"/>
          <w:sz w:val="24"/>
          <w:szCs w:val="24"/>
        </w:rPr>
        <w:t xml:space="preserve"> : « L’archéologie prend pour objet le savoir d’une époque donnée, constitué en discours définis, dont elle étudie les règles. La généalogie construit l’histoire de ces énoncés, en examinant leur </w:t>
      </w:r>
      <w:r w:rsidR="006837B1">
        <w:rPr>
          <w:rFonts w:ascii="Times New Roman" w:hAnsi="Times New Roman" w:cs="Times New Roman"/>
          <w:i/>
          <w:iCs/>
          <w:sz w:val="24"/>
          <w:szCs w:val="24"/>
        </w:rPr>
        <w:t xml:space="preserve">a priori </w:t>
      </w:r>
      <w:r w:rsidR="006837B1">
        <w:rPr>
          <w:rFonts w:ascii="Times New Roman" w:hAnsi="Times New Roman" w:cs="Times New Roman"/>
          <w:sz w:val="24"/>
          <w:szCs w:val="24"/>
        </w:rPr>
        <w:t>historique, le cadre qui leur donne sens et leur permet d’entrer dans le jeu du vrai et du faux. Elle étudie l’histoire dans sa dispersion, dans sa discontinuité pratique, productrice d’énoncés. </w:t>
      </w:r>
      <w:r w:rsidR="00CF35D8">
        <w:rPr>
          <w:rFonts w:ascii="Times New Roman" w:hAnsi="Times New Roman" w:cs="Times New Roman"/>
          <w:sz w:val="24"/>
          <w:szCs w:val="24"/>
        </w:rPr>
        <w:t>Mais une fois ressaisi leur sens, elle ne renonce pas à juger de leur vérité. » Il y aurait donc, dans cette approche généalogique</w:t>
      </w:r>
      <w:r w:rsidR="000F53FE">
        <w:rPr>
          <w:rFonts w:ascii="Times New Roman" w:hAnsi="Times New Roman" w:cs="Times New Roman"/>
          <w:sz w:val="24"/>
          <w:szCs w:val="24"/>
        </w:rPr>
        <w:t>,</w:t>
      </w:r>
      <w:r w:rsidR="00CF35D8">
        <w:rPr>
          <w:rFonts w:ascii="Times New Roman" w:hAnsi="Times New Roman" w:cs="Times New Roman"/>
          <w:sz w:val="24"/>
          <w:szCs w:val="24"/>
        </w:rPr>
        <w:t xml:space="preserve"> une prise en compte du processus temporel des concepts</w:t>
      </w:r>
      <w:r w:rsidR="005F6C63">
        <w:rPr>
          <w:rFonts w:ascii="Times New Roman" w:hAnsi="Times New Roman" w:cs="Times New Roman"/>
          <w:sz w:val="24"/>
          <w:szCs w:val="24"/>
        </w:rPr>
        <w:t>, et la possibilité de juger de leur véracité, ce qui, selon Boulnois, paraît manquer dans la version collingwoodienne de l’approche de Libera. Boulnois se situe donc dans cet entre-deux</w:t>
      </w:r>
      <w:r w:rsidR="000F53FE">
        <w:rPr>
          <w:rFonts w:ascii="Times New Roman" w:hAnsi="Times New Roman" w:cs="Times New Roman"/>
          <w:sz w:val="24"/>
          <w:szCs w:val="24"/>
        </w:rPr>
        <w:t>,</w:t>
      </w:r>
      <w:r w:rsidR="005F6C63">
        <w:rPr>
          <w:rFonts w:ascii="Times New Roman" w:hAnsi="Times New Roman" w:cs="Times New Roman"/>
          <w:sz w:val="24"/>
          <w:szCs w:val="24"/>
        </w:rPr>
        <w:t xml:space="preserve"> borné d’une part par le relativisme, d’autre part par ce qu’il nomme la méthode analytique et anachronique. Sa généalogie, en ce sens, r</w:t>
      </w:r>
      <w:r w:rsidR="00E354B5">
        <w:rPr>
          <w:rFonts w:ascii="Times New Roman" w:hAnsi="Times New Roman" w:cs="Times New Roman"/>
          <w:sz w:val="24"/>
          <w:szCs w:val="24"/>
        </w:rPr>
        <w:t>ejoint aussi l</w:t>
      </w:r>
      <w:r w:rsidR="00A607CA">
        <w:rPr>
          <w:rFonts w:ascii="Times New Roman" w:hAnsi="Times New Roman" w:cs="Times New Roman"/>
          <w:sz w:val="24"/>
          <w:szCs w:val="24"/>
        </w:rPr>
        <w:t xml:space="preserve">a conception </w:t>
      </w:r>
      <w:r w:rsidR="00E354B5">
        <w:rPr>
          <w:rFonts w:ascii="Times New Roman" w:hAnsi="Times New Roman" w:cs="Times New Roman"/>
          <w:sz w:val="24"/>
          <w:szCs w:val="24"/>
        </w:rPr>
        <w:t>collingwoodienne</w:t>
      </w:r>
      <w:r w:rsidR="00A607CA">
        <w:rPr>
          <w:rFonts w:ascii="Times New Roman" w:hAnsi="Times New Roman" w:cs="Times New Roman"/>
          <w:sz w:val="24"/>
          <w:szCs w:val="24"/>
        </w:rPr>
        <w:t xml:space="preserve"> de l’histoire de la philosophie</w:t>
      </w:r>
      <w:r w:rsidR="00EA7916">
        <w:rPr>
          <w:rFonts w:ascii="Times New Roman" w:hAnsi="Times New Roman" w:cs="Times New Roman"/>
          <w:sz w:val="24"/>
          <w:szCs w:val="24"/>
        </w:rPr>
        <w:t xml:space="preserve">, il ne s’agit pas pour lui de montrer qu’il y a eu un problème éternel de la liberté, auquel les médievaux </w:t>
      </w:r>
      <w:r w:rsidR="00196AB8">
        <w:rPr>
          <w:rFonts w:ascii="Times New Roman" w:hAnsi="Times New Roman" w:cs="Times New Roman"/>
          <w:sz w:val="24"/>
          <w:szCs w:val="24"/>
        </w:rPr>
        <w:t>auraient</w:t>
      </w:r>
      <w:r w:rsidR="00EA7916">
        <w:rPr>
          <w:rFonts w:ascii="Times New Roman" w:hAnsi="Times New Roman" w:cs="Times New Roman"/>
          <w:sz w:val="24"/>
          <w:szCs w:val="24"/>
        </w:rPr>
        <w:t xml:space="preserve"> répondu comme ceci ou comme cela, mais d’étudier </w:t>
      </w:r>
      <w:r w:rsidR="008479C6">
        <w:rPr>
          <w:rFonts w:ascii="Times New Roman" w:hAnsi="Times New Roman" w:cs="Times New Roman"/>
          <w:sz w:val="24"/>
          <w:szCs w:val="24"/>
        </w:rPr>
        <w:t>la notion de liberté dans son histoire : « Le problème de la liberté</w:t>
      </w:r>
      <w:r w:rsidR="00076F78">
        <w:rPr>
          <w:rFonts w:ascii="Times New Roman" w:hAnsi="Times New Roman" w:cs="Times New Roman"/>
          <w:sz w:val="24"/>
          <w:szCs w:val="24"/>
        </w:rPr>
        <w:t xml:space="preserve"> est un </w:t>
      </w:r>
      <w:r w:rsidR="00076F78">
        <w:rPr>
          <w:rFonts w:ascii="Times New Roman" w:hAnsi="Times New Roman" w:cs="Times New Roman"/>
          <w:i/>
          <w:iCs/>
          <w:sz w:val="24"/>
          <w:szCs w:val="24"/>
        </w:rPr>
        <w:t>artefact philosophique</w:t>
      </w:r>
      <w:r w:rsidR="00076F78">
        <w:rPr>
          <w:rFonts w:ascii="Times New Roman" w:hAnsi="Times New Roman" w:cs="Times New Roman"/>
          <w:sz w:val="24"/>
          <w:szCs w:val="24"/>
        </w:rPr>
        <w:t>, il provient d’un corpus, il s’inscrit dans une histoire, celle de la métaphysique occidentale. »</w:t>
      </w:r>
      <w:r w:rsidR="009F7D76">
        <w:rPr>
          <w:rFonts w:ascii="Times New Roman" w:hAnsi="Times New Roman" w:cs="Times New Roman"/>
          <w:sz w:val="24"/>
          <w:szCs w:val="24"/>
        </w:rPr>
        <w:t xml:space="preserve"> (Boulnois O., 2021).</w:t>
      </w:r>
    </w:p>
    <w:p w14:paraId="77DC1CEB" w14:textId="77777777" w:rsidR="00F00FD3" w:rsidRPr="003973E1" w:rsidRDefault="00F00FD3" w:rsidP="0063157C">
      <w:pPr>
        <w:spacing w:line="360" w:lineRule="auto"/>
        <w:jc w:val="both"/>
        <w:rPr>
          <w:rFonts w:ascii="Times New Roman" w:hAnsi="Times New Roman" w:cs="Times New Roman"/>
          <w:sz w:val="24"/>
          <w:szCs w:val="24"/>
        </w:rPr>
      </w:pPr>
    </w:p>
    <w:p w14:paraId="7A631216" w14:textId="77777777" w:rsidR="003973E1" w:rsidRPr="00075AF0" w:rsidRDefault="009D29B2" w:rsidP="0063157C">
      <w:pPr>
        <w:spacing w:line="360" w:lineRule="auto"/>
        <w:jc w:val="both"/>
        <w:rPr>
          <w:rFonts w:ascii="Times New Roman" w:hAnsi="Times New Roman" w:cs="Times New Roman"/>
          <w:smallCaps/>
          <w:sz w:val="24"/>
          <w:szCs w:val="24"/>
          <w:lang w:val="fr-FR"/>
        </w:rPr>
      </w:pPr>
      <w:r w:rsidRPr="00075AF0">
        <w:rPr>
          <w:rFonts w:ascii="Times New Roman" w:hAnsi="Times New Roman" w:cs="Times New Roman"/>
          <w:smallCaps/>
          <w:sz w:val="24"/>
          <w:szCs w:val="24"/>
          <w:lang w:val="fr-FR"/>
        </w:rPr>
        <w:t>Conclusion </w:t>
      </w:r>
    </w:p>
    <w:p w14:paraId="657244AF" w14:textId="6A06A9D7" w:rsidR="003973E1" w:rsidRDefault="003973E1" w:rsidP="0063157C">
      <w:pPr>
        <w:spacing w:line="360" w:lineRule="auto"/>
        <w:jc w:val="both"/>
        <w:rPr>
          <w:rFonts w:ascii="Times New Roman" w:hAnsi="Times New Roman" w:cs="Times New Roman"/>
          <w:sz w:val="24"/>
          <w:szCs w:val="24"/>
          <w:lang w:val="fr-FR"/>
        </w:rPr>
      </w:pPr>
      <w:r>
        <w:rPr>
          <w:rFonts w:ascii="Times New Roman" w:hAnsi="Times New Roman" w:cs="Times New Roman"/>
          <w:b/>
          <w:bCs/>
          <w:sz w:val="24"/>
          <w:szCs w:val="24"/>
          <w:lang w:val="fr-FR"/>
        </w:rPr>
        <w:tab/>
      </w:r>
      <w:r w:rsidR="005B5866">
        <w:rPr>
          <w:rFonts w:ascii="Times New Roman" w:hAnsi="Times New Roman" w:cs="Times New Roman"/>
          <w:sz w:val="24"/>
          <w:szCs w:val="24"/>
          <w:lang w:val="fr-FR"/>
        </w:rPr>
        <w:t xml:space="preserve">C’est </w:t>
      </w:r>
      <w:r w:rsidR="00446E86">
        <w:rPr>
          <w:rFonts w:ascii="Times New Roman" w:hAnsi="Times New Roman" w:cs="Times New Roman"/>
          <w:sz w:val="24"/>
          <w:szCs w:val="24"/>
          <w:lang w:val="fr-FR"/>
        </w:rPr>
        <w:t xml:space="preserve">au cœur des polémiques d’épistémologie historique et de méthode en histoire de la philosophie que Collingwood a trouvé une place en France. </w:t>
      </w:r>
      <w:r w:rsidR="008F0ACE">
        <w:rPr>
          <w:rFonts w:ascii="Times New Roman" w:hAnsi="Times New Roman" w:cs="Times New Roman"/>
          <w:sz w:val="24"/>
          <w:szCs w:val="24"/>
          <w:lang w:val="fr-FR"/>
        </w:rPr>
        <w:t>Les auteurs cités, Marrou, Ricoeur, Libera, Engel semblent n’avoir lu q</w:t>
      </w:r>
      <w:r w:rsidR="00C71CAD">
        <w:rPr>
          <w:rFonts w:ascii="Times New Roman" w:hAnsi="Times New Roman" w:cs="Times New Roman"/>
          <w:sz w:val="24"/>
          <w:szCs w:val="24"/>
          <w:lang w:val="fr-FR"/>
        </w:rPr>
        <w:t xml:space="preserve">ue </w:t>
      </w:r>
      <w:r w:rsidR="004B5421">
        <w:rPr>
          <w:rFonts w:ascii="Times New Roman" w:hAnsi="Times New Roman" w:cs="Times New Roman"/>
          <w:sz w:val="24"/>
          <w:szCs w:val="24"/>
          <w:lang w:val="fr-FR"/>
        </w:rPr>
        <w:t>peu d’</w:t>
      </w:r>
      <w:r w:rsidR="00C71CAD">
        <w:rPr>
          <w:rFonts w:ascii="Times New Roman" w:hAnsi="Times New Roman" w:cs="Times New Roman"/>
          <w:sz w:val="24"/>
          <w:szCs w:val="24"/>
          <w:lang w:val="fr-FR"/>
        </w:rPr>
        <w:t>ouvrages de Collingwood</w:t>
      </w:r>
      <w:r w:rsidR="004B5421">
        <w:rPr>
          <w:rFonts w:ascii="Times New Roman" w:hAnsi="Times New Roman" w:cs="Times New Roman"/>
          <w:sz w:val="24"/>
          <w:szCs w:val="24"/>
          <w:lang w:val="fr-FR"/>
        </w:rPr>
        <w:t xml:space="preserve">. Les livres cités sont </w:t>
      </w:r>
      <w:r w:rsidR="00784600">
        <w:rPr>
          <w:rFonts w:ascii="Times New Roman" w:hAnsi="Times New Roman" w:cs="Times New Roman"/>
          <w:sz w:val="24"/>
          <w:szCs w:val="24"/>
          <w:lang w:val="fr-FR"/>
        </w:rPr>
        <w:t>principalement l’</w:t>
      </w:r>
      <w:r w:rsidR="00C71CAD">
        <w:rPr>
          <w:rFonts w:ascii="Times New Roman" w:hAnsi="Times New Roman" w:cs="Times New Roman"/>
          <w:i/>
          <w:iCs/>
          <w:sz w:val="24"/>
          <w:szCs w:val="24"/>
          <w:lang w:val="fr-FR"/>
        </w:rPr>
        <w:t>Autobiography</w:t>
      </w:r>
      <w:r w:rsidR="00C71CAD">
        <w:rPr>
          <w:rFonts w:ascii="Times New Roman" w:hAnsi="Times New Roman" w:cs="Times New Roman"/>
          <w:sz w:val="24"/>
          <w:szCs w:val="24"/>
          <w:lang w:val="fr-FR"/>
        </w:rPr>
        <w:t xml:space="preserve"> et </w:t>
      </w:r>
      <w:r w:rsidR="00C71CAD">
        <w:rPr>
          <w:rFonts w:ascii="Times New Roman" w:hAnsi="Times New Roman" w:cs="Times New Roman"/>
          <w:i/>
          <w:iCs/>
          <w:sz w:val="24"/>
          <w:szCs w:val="24"/>
          <w:lang w:val="fr-FR"/>
        </w:rPr>
        <w:t>The Idea of History</w:t>
      </w:r>
      <w:r w:rsidR="004B5421">
        <w:rPr>
          <w:rFonts w:ascii="Times New Roman" w:hAnsi="Times New Roman" w:cs="Times New Roman"/>
          <w:sz w:val="24"/>
          <w:szCs w:val="24"/>
          <w:lang w:val="fr-FR"/>
        </w:rPr>
        <w:t xml:space="preserve">, Alain de Libera cite à plusieurs reprises </w:t>
      </w:r>
      <w:r w:rsidR="004B5421">
        <w:rPr>
          <w:rFonts w:ascii="Times New Roman" w:hAnsi="Times New Roman" w:cs="Times New Roman"/>
          <w:i/>
          <w:iCs/>
          <w:sz w:val="24"/>
          <w:szCs w:val="24"/>
          <w:lang w:val="fr-FR"/>
        </w:rPr>
        <w:t>An Essay On Metaphysics</w:t>
      </w:r>
      <w:r w:rsidR="00C71CAD">
        <w:rPr>
          <w:rFonts w:ascii="Times New Roman" w:hAnsi="Times New Roman" w:cs="Times New Roman"/>
          <w:sz w:val="24"/>
          <w:szCs w:val="24"/>
          <w:lang w:val="fr-FR"/>
        </w:rPr>
        <w:t>.</w:t>
      </w:r>
      <w:r w:rsidR="00A71DD5">
        <w:rPr>
          <w:rFonts w:ascii="Times New Roman" w:hAnsi="Times New Roman" w:cs="Times New Roman"/>
          <w:sz w:val="24"/>
          <w:szCs w:val="24"/>
          <w:lang w:val="fr-FR"/>
        </w:rPr>
        <w:t xml:space="preserve"> Or, le</w:t>
      </w:r>
      <w:r w:rsidR="00C71CAD">
        <w:rPr>
          <w:rFonts w:ascii="Times New Roman" w:hAnsi="Times New Roman" w:cs="Times New Roman"/>
          <w:sz w:val="24"/>
          <w:szCs w:val="24"/>
          <w:lang w:val="fr-FR"/>
        </w:rPr>
        <w:t xml:space="preserve"> premier ouvrage est très contextuel, </w:t>
      </w:r>
      <w:r w:rsidR="00B95F24">
        <w:rPr>
          <w:rFonts w:ascii="Times New Roman" w:hAnsi="Times New Roman" w:cs="Times New Roman"/>
          <w:sz w:val="24"/>
          <w:szCs w:val="24"/>
          <w:lang w:val="fr-FR"/>
        </w:rPr>
        <w:t xml:space="preserve">écrit par Collingwood pour régler ses comptes avec ce qu’il nomme les </w:t>
      </w:r>
      <w:r w:rsidR="00A71DD5">
        <w:rPr>
          <w:rFonts w:ascii="Times New Roman" w:hAnsi="Times New Roman" w:cs="Times New Roman"/>
          <w:sz w:val="24"/>
          <w:szCs w:val="24"/>
          <w:lang w:val="fr-FR"/>
        </w:rPr>
        <w:t>r</w:t>
      </w:r>
      <w:r w:rsidR="00B95F24">
        <w:rPr>
          <w:rFonts w:ascii="Times New Roman" w:hAnsi="Times New Roman" w:cs="Times New Roman"/>
          <w:sz w:val="24"/>
          <w:szCs w:val="24"/>
          <w:lang w:val="fr-FR"/>
        </w:rPr>
        <w:t>éalistes</w:t>
      </w:r>
      <w:r w:rsidR="00883C53">
        <w:rPr>
          <w:rFonts w:ascii="Times New Roman" w:hAnsi="Times New Roman" w:cs="Times New Roman"/>
          <w:sz w:val="24"/>
          <w:szCs w:val="24"/>
          <w:lang w:val="fr-FR"/>
        </w:rPr>
        <w:t xml:space="preserve"> qu’il accuse</w:t>
      </w:r>
      <w:r w:rsidR="00FD6244">
        <w:rPr>
          <w:rFonts w:ascii="Times New Roman" w:hAnsi="Times New Roman" w:cs="Times New Roman"/>
          <w:sz w:val="24"/>
          <w:szCs w:val="24"/>
          <w:lang w:val="fr-FR"/>
        </w:rPr>
        <w:t>, nous sommes en 1938, d’</w:t>
      </w:r>
      <w:r w:rsidR="00716C2E">
        <w:rPr>
          <w:rFonts w:ascii="Times New Roman" w:hAnsi="Times New Roman" w:cs="Times New Roman"/>
          <w:sz w:val="24"/>
          <w:szCs w:val="24"/>
          <w:lang w:val="fr-FR"/>
        </w:rPr>
        <w:t>être</w:t>
      </w:r>
      <w:r w:rsidR="00FD6244">
        <w:rPr>
          <w:rFonts w:ascii="Times New Roman" w:hAnsi="Times New Roman" w:cs="Times New Roman"/>
          <w:sz w:val="24"/>
          <w:szCs w:val="24"/>
          <w:lang w:val="fr-FR"/>
        </w:rPr>
        <w:t>, par leur</w:t>
      </w:r>
      <w:r w:rsidR="00716C2E">
        <w:rPr>
          <w:rFonts w:ascii="Times New Roman" w:hAnsi="Times New Roman" w:cs="Times New Roman"/>
          <w:sz w:val="24"/>
          <w:szCs w:val="24"/>
          <w:lang w:val="fr-FR"/>
        </w:rPr>
        <w:t xml:space="preserve"> détachement scientifique des affaires pratiques, </w:t>
      </w:r>
      <w:r w:rsidR="00A71DD5">
        <w:rPr>
          <w:rFonts w:ascii="Times New Roman" w:hAnsi="Times New Roman" w:cs="Times New Roman"/>
          <w:sz w:val="24"/>
          <w:szCs w:val="24"/>
          <w:lang w:val="fr-FR"/>
        </w:rPr>
        <w:t>« </w:t>
      </w:r>
      <w:r w:rsidR="009F7D76">
        <w:rPr>
          <w:rFonts w:ascii="Times New Roman" w:hAnsi="Times New Roman" w:cs="Times New Roman"/>
          <w:sz w:val="24"/>
          <w:szCs w:val="24"/>
          <w:lang w:val="fr-FR"/>
        </w:rPr>
        <w:t>les propagandistes du fascisme à venir » (Collingwood R.G., 2017, p.167)</w:t>
      </w:r>
      <w:r w:rsidR="00A71DD5">
        <w:rPr>
          <w:rStyle w:val="Appelnotedebasdep"/>
          <w:rFonts w:ascii="Times New Roman" w:hAnsi="Times New Roman" w:cs="Times New Roman"/>
          <w:i/>
          <w:iCs/>
          <w:sz w:val="24"/>
          <w:szCs w:val="24"/>
          <w:lang w:val="fr-FR"/>
        </w:rPr>
        <w:footnoteReference w:id="26"/>
      </w:r>
      <w:r w:rsidR="00E3521B">
        <w:rPr>
          <w:rFonts w:ascii="Times New Roman" w:hAnsi="Times New Roman" w:cs="Times New Roman"/>
          <w:sz w:val="24"/>
          <w:szCs w:val="24"/>
          <w:lang w:val="fr-FR"/>
        </w:rPr>
        <w:t xml:space="preserve">. Le second ouvrage est posthume, il est un assemblage de l’éditeur T.M. Knox. Cela ne diminue en rien la profondeur de la pensée de Collingwood dans ces écrits, mais </w:t>
      </w:r>
      <w:r w:rsidR="00464D83">
        <w:rPr>
          <w:rFonts w:ascii="Times New Roman" w:hAnsi="Times New Roman" w:cs="Times New Roman"/>
          <w:sz w:val="24"/>
          <w:szCs w:val="24"/>
          <w:lang w:val="fr-FR"/>
        </w:rPr>
        <w:t xml:space="preserve">une étude </w:t>
      </w:r>
      <w:r w:rsidR="009F7D76">
        <w:rPr>
          <w:rFonts w:ascii="Times New Roman" w:hAnsi="Times New Roman" w:cs="Times New Roman"/>
          <w:sz w:val="24"/>
          <w:szCs w:val="24"/>
          <w:lang w:val="fr-FR"/>
        </w:rPr>
        <w:t>d’autres de ses</w:t>
      </w:r>
      <w:r w:rsidR="00464D83">
        <w:rPr>
          <w:rFonts w:ascii="Times New Roman" w:hAnsi="Times New Roman" w:cs="Times New Roman"/>
          <w:sz w:val="24"/>
          <w:szCs w:val="24"/>
          <w:lang w:val="fr-FR"/>
        </w:rPr>
        <w:t xml:space="preserve"> ouvrages </w:t>
      </w:r>
      <w:r w:rsidR="005C6AC7">
        <w:rPr>
          <w:rFonts w:ascii="Times New Roman" w:hAnsi="Times New Roman" w:cs="Times New Roman"/>
          <w:sz w:val="24"/>
          <w:szCs w:val="24"/>
          <w:lang w:val="fr-FR"/>
        </w:rPr>
        <w:t xml:space="preserve">tels que </w:t>
      </w:r>
      <w:r w:rsidR="00566064">
        <w:rPr>
          <w:rFonts w:ascii="Times New Roman" w:hAnsi="Times New Roman" w:cs="Times New Roman"/>
          <w:i/>
          <w:iCs/>
          <w:sz w:val="24"/>
          <w:szCs w:val="24"/>
          <w:lang w:val="fr-FR"/>
        </w:rPr>
        <w:t xml:space="preserve">An </w:t>
      </w:r>
      <w:r w:rsidR="005C6AC7">
        <w:rPr>
          <w:rFonts w:ascii="Times New Roman" w:hAnsi="Times New Roman" w:cs="Times New Roman"/>
          <w:i/>
          <w:iCs/>
          <w:sz w:val="24"/>
          <w:szCs w:val="24"/>
          <w:lang w:val="fr-FR"/>
        </w:rPr>
        <w:t>Essay on Philosophical Method</w:t>
      </w:r>
      <w:r w:rsidR="005C6AC7">
        <w:rPr>
          <w:rFonts w:ascii="Times New Roman" w:hAnsi="Times New Roman" w:cs="Times New Roman"/>
          <w:sz w:val="24"/>
          <w:szCs w:val="24"/>
          <w:lang w:val="fr-FR"/>
        </w:rPr>
        <w:t xml:space="preserve">, </w:t>
      </w:r>
      <w:r w:rsidR="00566064">
        <w:rPr>
          <w:rFonts w:ascii="Times New Roman" w:hAnsi="Times New Roman" w:cs="Times New Roman"/>
          <w:i/>
          <w:iCs/>
          <w:sz w:val="24"/>
          <w:szCs w:val="24"/>
          <w:lang w:val="fr-FR"/>
        </w:rPr>
        <w:t xml:space="preserve">An </w:t>
      </w:r>
      <w:r w:rsidR="005C6AC7">
        <w:rPr>
          <w:rFonts w:ascii="Times New Roman" w:hAnsi="Times New Roman" w:cs="Times New Roman"/>
          <w:i/>
          <w:iCs/>
          <w:sz w:val="24"/>
          <w:szCs w:val="24"/>
          <w:lang w:val="fr-FR"/>
        </w:rPr>
        <w:t>Essay on Metaphysics</w:t>
      </w:r>
      <w:r w:rsidR="005C6AC7">
        <w:rPr>
          <w:rFonts w:ascii="Times New Roman" w:hAnsi="Times New Roman" w:cs="Times New Roman"/>
          <w:sz w:val="24"/>
          <w:szCs w:val="24"/>
          <w:lang w:val="fr-FR"/>
        </w:rPr>
        <w:t xml:space="preserve"> ou même son manuscrit </w:t>
      </w:r>
      <w:r w:rsidR="0070111C">
        <w:rPr>
          <w:rFonts w:ascii="Times New Roman" w:hAnsi="Times New Roman" w:cs="Times New Roman"/>
          <w:sz w:val="24"/>
          <w:szCs w:val="24"/>
          <w:lang w:val="fr-FR"/>
        </w:rPr>
        <w:t xml:space="preserve">retrouvé en 1995 et publié en 1999 sous le titre </w:t>
      </w:r>
      <w:r w:rsidR="0070111C">
        <w:rPr>
          <w:rFonts w:ascii="Times New Roman" w:hAnsi="Times New Roman" w:cs="Times New Roman"/>
          <w:i/>
          <w:iCs/>
          <w:sz w:val="24"/>
          <w:szCs w:val="24"/>
          <w:lang w:val="fr-FR"/>
        </w:rPr>
        <w:t>The Principles of History</w:t>
      </w:r>
      <w:r w:rsidR="0070111C">
        <w:rPr>
          <w:rFonts w:ascii="Times New Roman" w:hAnsi="Times New Roman" w:cs="Times New Roman"/>
          <w:sz w:val="24"/>
          <w:szCs w:val="24"/>
          <w:lang w:val="fr-FR"/>
        </w:rPr>
        <w:t xml:space="preserve"> permettrait </w:t>
      </w:r>
      <w:r w:rsidR="00E243D1">
        <w:rPr>
          <w:rFonts w:ascii="Times New Roman" w:hAnsi="Times New Roman" w:cs="Times New Roman"/>
          <w:sz w:val="24"/>
          <w:szCs w:val="24"/>
          <w:lang w:val="fr-FR"/>
        </w:rPr>
        <w:t xml:space="preserve">d’élargir </w:t>
      </w:r>
      <w:r w:rsidR="003F162A">
        <w:rPr>
          <w:rFonts w:ascii="Times New Roman" w:hAnsi="Times New Roman" w:cs="Times New Roman"/>
          <w:sz w:val="24"/>
          <w:szCs w:val="24"/>
          <w:lang w:val="fr-FR"/>
        </w:rPr>
        <w:t>cette approche collingwoodienne, en prenant en compte notamment le rôle de l’imagination en histoire, le rapport de l’historien avec les sources et les preuves</w:t>
      </w:r>
      <w:r w:rsidR="00E90E22">
        <w:rPr>
          <w:rFonts w:ascii="Times New Roman" w:hAnsi="Times New Roman" w:cs="Times New Roman"/>
          <w:sz w:val="24"/>
          <w:szCs w:val="24"/>
          <w:lang w:val="fr-FR"/>
        </w:rPr>
        <w:t xml:space="preserve">. Par ailleurs, les autres ouvrages de Collingwood </w:t>
      </w:r>
      <w:r w:rsidR="000F53FE">
        <w:rPr>
          <w:rFonts w:ascii="Times New Roman" w:hAnsi="Times New Roman" w:cs="Times New Roman"/>
          <w:sz w:val="24"/>
          <w:szCs w:val="24"/>
          <w:lang w:val="fr-FR"/>
        </w:rPr>
        <w:t>dévoilent</w:t>
      </w:r>
      <w:r w:rsidR="00E90E22">
        <w:rPr>
          <w:rFonts w:ascii="Times New Roman" w:hAnsi="Times New Roman" w:cs="Times New Roman"/>
          <w:sz w:val="24"/>
          <w:szCs w:val="24"/>
          <w:lang w:val="fr-FR"/>
        </w:rPr>
        <w:t xml:space="preserve"> la pratique d’historien de la philosophie de ce dernier, </w:t>
      </w:r>
      <w:r w:rsidR="00C640A7">
        <w:rPr>
          <w:rFonts w:ascii="Times New Roman" w:hAnsi="Times New Roman" w:cs="Times New Roman"/>
          <w:sz w:val="24"/>
          <w:szCs w:val="24"/>
          <w:lang w:val="fr-FR"/>
        </w:rPr>
        <w:t xml:space="preserve">que ce soit dans son étude de la métaphysique ou du concept de nature dans </w:t>
      </w:r>
      <w:r w:rsidR="00C640A7">
        <w:rPr>
          <w:rFonts w:ascii="Times New Roman" w:hAnsi="Times New Roman" w:cs="Times New Roman"/>
          <w:i/>
          <w:iCs/>
          <w:sz w:val="24"/>
          <w:szCs w:val="24"/>
          <w:lang w:val="fr-FR"/>
        </w:rPr>
        <w:t xml:space="preserve">The Idea of Nature. </w:t>
      </w:r>
    </w:p>
    <w:p w14:paraId="4DF589E0" w14:textId="39B6AAC4" w:rsidR="00D21168" w:rsidRDefault="00EE1054" w:rsidP="0063157C">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S’il est clair que le rapprochement entre l’histoire et la philosophie a occupé une part majoritai</w:t>
      </w:r>
      <w:r w:rsidR="005A6E60">
        <w:rPr>
          <w:rFonts w:ascii="Times New Roman" w:hAnsi="Times New Roman" w:cs="Times New Roman"/>
          <w:sz w:val="24"/>
          <w:szCs w:val="24"/>
          <w:lang w:val="fr-FR"/>
        </w:rPr>
        <w:t xml:space="preserve">re dans l’œuvre de Collingwood, on peut </w:t>
      </w:r>
      <w:r w:rsidR="00F64F1C">
        <w:rPr>
          <w:rFonts w:ascii="Times New Roman" w:hAnsi="Times New Roman" w:cs="Times New Roman"/>
          <w:sz w:val="24"/>
          <w:szCs w:val="24"/>
          <w:lang w:val="fr-FR"/>
        </w:rPr>
        <w:t xml:space="preserve">trouver à redire à deux égards de cette réception française : tout d’abord, </w:t>
      </w:r>
      <w:r w:rsidR="007370EB">
        <w:rPr>
          <w:rFonts w:ascii="Times New Roman" w:hAnsi="Times New Roman" w:cs="Times New Roman"/>
          <w:sz w:val="24"/>
          <w:szCs w:val="24"/>
          <w:lang w:val="fr-FR"/>
        </w:rPr>
        <w:t>la position épistémologique qui lui a été accordée ne rend pas justice au divers de son approche, par ailleurs</w:t>
      </w:r>
      <w:r w:rsidR="001D7BBC">
        <w:rPr>
          <w:rFonts w:ascii="Times New Roman" w:hAnsi="Times New Roman" w:cs="Times New Roman"/>
          <w:sz w:val="24"/>
          <w:szCs w:val="24"/>
          <w:lang w:val="fr-FR"/>
        </w:rPr>
        <w:t xml:space="preserve"> on s’étonne que d’autres thèmes collingwoodiens, tels que la philosophie de l’art, </w:t>
      </w:r>
      <w:r w:rsidR="00071A48">
        <w:rPr>
          <w:rFonts w:ascii="Times New Roman" w:hAnsi="Times New Roman" w:cs="Times New Roman"/>
          <w:sz w:val="24"/>
          <w:szCs w:val="24"/>
          <w:lang w:val="fr-FR"/>
        </w:rPr>
        <w:t xml:space="preserve">la logique, le langage, ou même sa déconstruction de la philosophie analytique n’aient pas davantage attiré </w:t>
      </w:r>
      <w:r w:rsidR="00B73644">
        <w:rPr>
          <w:rFonts w:ascii="Times New Roman" w:hAnsi="Times New Roman" w:cs="Times New Roman"/>
          <w:sz w:val="24"/>
          <w:szCs w:val="24"/>
          <w:lang w:val="fr-FR"/>
        </w:rPr>
        <w:t xml:space="preserve">les auteurs et autrices français. </w:t>
      </w:r>
      <w:r w:rsidR="00D21168">
        <w:rPr>
          <w:rFonts w:ascii="Times New Roman" w:hAnsi="Times New Roman" w:cs="Times New Roman"/>
          <w:sz w:val="24"/>
          <w:szCs w:val="24"/>
          <w:lang w:val="fr-FR"/>
        </w:rPr>
        <w:t>Il est clair que les conditions d’introduction et de réception d’un auteur dans un pays étranger sont souvent, par là même, étrangère</w:t>
      </w:r>
      <w:r w:rsidR="00F00FD3">
        <w:rPr>
          <w:rFonts w:ascii="Times New Roman" w:hAnsi="Times New Roman" w:cs="Times New Roman"/>
          <w:sz w:val="24"/>
          <w:szCs w:val="24"/>
          <w:lang w:val="fr-FR"/>
        </w:rPr>
        <w:t>s</w:t>
      </w:r>
      <w:r w:rsidR="00D21168">
        <w:rPr>
          <w:rFonts w:ascii="Times New Roman" w:hAnsi="Times New Roman" w:cs="Times New Roman"/>
          <w:sz w:val="24"/>
          <w:szCs w:val="24"/>
          <w:lang w:val="fr-FR"/>
        </w:rPr>
        <w:t xml:space="preserve"> à l’œuvre initiale. Ainsi Collingwood est-il sommé de s’expliquer avec la théorie critique de l’histoire de Aron, ainsi est-il allié avec le structuralisme et le relativisme d’Alain de Libera, et l’on en vient à le dépeindre avec Marrou comme un « esprit curieux, un peu bizarre ». Curieux certes pour des lecteurs qui tenteraient de le faire entrer dans les catégories françaises, bizarre pour qui le lit à l’aune des polémiques philosophiques de l’après seconde guerre mondiale. </w:t>
      </w:r>
    </w:p>
    <w:p w14:paraId="4676AC11" w14:textId="066CDF32" w:rsidR="00B66CFE" w:rsidRDefault="00D21168" w:rsidP="00B66CFE">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Or, pour échapper à cette double qualification, il faudrait précisément reprendre la méthode historique proposée par R.G. Collingwood, le réinscrire dans les réseaux qui étaient les siens, afin de voir émerger sa pensée non comme une réponse à des questions qui sont les nôtres et qui seraient des questions éternelles de la philosophie, mais en saisissant précisément les présuppositions et les questions auxquelles il était confronté, en tant que professeur d’Oxford, historien, archéologue et philosophe durant la première moitié du XXème siècle.</w:t>
      </w:r>
      <w:r w:rsidR="009F5295">
        <w:rPr>
          <w:rFonts w:ascii="Times New Roman" w:hAnsi="Times New Roman" w:cs="Times New Roman"/>
          <w:sz w:val="24"/>
          <w:szCs w:val="24"/>
          <w:lang w:val="fr-FR"/>
        </w:rPr>
        <w:t xml:space="preserve"> Ce travail de réinsertion de Collingwood dans la tradition britannique a été entrepris récemment par Sébastien Gandon</w:t>
      </w:r>
      <w:r w:rsidR="001C6C06">
        <w:rPr>
          <w:rFonts w:ascii="Times New Roman" w:hAnsi="Times New Roman" w:cs="Times New Roman"/>
          <w:sz w:val="24"/>
          <w:szCs w:val="24"/>
          <w:lang w:val="fr-FR"/>
        </w:rPr>
        <w:t xml:space="preserve"> </w:t>
      </w:r>
      <w:r w:rsidR="009F5295">
        <w:rPr>
          <w:rFonts w:ascii="Times New Roman" w:hAnsi="Times New Roman" w:cs="Times New Roman"/>
          <w:sz w:val="24"/>
          <w:szCs w:val="24"/>
          <w:lang w:val="fr-FR"/>
        </w:rPr>
        <w:t xml:space="preserve">(Université de Clermont-Ferrand) et Mathieu Marion (UQAM) au Printemps 2009 dans un numéro de la revue </w:t>
      </w:r>
      <w:r w:rsidR="009F5295">
        <w:rPr>
          <w:rFonts w:ascii="Times New Roman" w:hAnsi="Times New Roman" w:cs="Times New Roman"/>
          <w:i/>
          <w:iCs/>
          <w:sz w:val="24"/>
          <w:szCs w:val="24"/>
          <w:lang w:val="fr-FR"/>
        </w:rPr>
        <w:t>Philosophiques</w:t>
      </w:r>
      <w:r w:rsidR="009F5295">
        <w:rPr>
          <w:rFonts w:ascii="Times New Roman" w:hAnsi="Times New Roman" w:cs="Times New Roman"/>
          <w:sz w:val="24"/>
          <w:szCs w:val="24"/>
          <w:lang w:val="fr-FR"/>
        </w:rPr>
        <w:t xml:space="preserve"> consacré à l’Idéalisme britannique,</w:t>
      </w:r>
      <w:r w:rsidR="00D95563">
        <w:rPr>
          <w:rFonts w:ascii="Times New Roman" w:hAnsi="Times New Roman" w:cs="Times New Roman"/>
          <w:sz w:val="24"/>
          <w:szCs w:val="24"/>
          <w:lang w:val="fr-FR"/>
        </w:rPr>
        <w:t xml:space="preserve"> issu d’un colloque réuni en 2006 à Clermont-Ferrand autour des figures de Bradley et Collingwood,</w:t>
      </w:r>
      <w:r w:rsidR="009F5295">
        <w:rPr>
          <w:rFonts w:ascii="Times New Roman" w:hAnsi="Times New Roman" w:cs="Times New Roman"/>
          <w:sz w:val="24"/>
          <w:szCs w:val="24"/>
          <w:lang w:val="fr-FR"/>
        </w:rPr>
        <w:t xml:space="preserve"> où apparait notamment un article du Professeur Laurent Jaffro (Paris 1) qui expose les arguments de Collingwood contre G.E. Moore. </w:t>
      </w:r>
      <w:r w:rsidR="001C6C06">
        <w:rPr>
          <w:rFonts w:ascii="Times New Roman" w:hAnsi="Times New Roman" w:cs="Times New Roman"/>
          <w:sz w:val="24"/>
          <w:szCs w:val="24"/>
          <w:lang w:val="fr-FR"/>
        </w:rPr>
        <w:t>De même</w:t>
      </w:r>
      <w:r w:rsidR="00C2217B">
        <w:rPr>
          <w:rFonts w:ascii="Times New Roman" w:hAnsi="Times New Roman" w:cs="Times New Roman"/>
          <w:sz w:val="24"/>
          <w:szCs w:val="24"/>
          <w:lang w:val="fr-FR"/>
        </w:rPr>
        <w:t>,</w:t>
      </w:r>
      <w:r w:rsidR="001C6C06">
        <w:rPr>
          <w:rFonts w:ascii="Times New Roman" w:hAnsi="Times New Roman" w:cs="Times New Roman"/>
          <w:sz w:val="24"/>
          <w:szCs w:val="24"/>
          <w:lang w:val="fr-FR"/>
        </w:rPr>
        <w:t xml:space="preserve"> R.G. Collingwood est étudié en tant que source historique et inspiration méthodologique d’A. MacIntyre dans le contexte actuel de la nouvelle vague de réception d’A. MacIntyre en France</w:t>
      </w:r>
      <w:r w:rsidR="009F7D76">
        <w:rPr>
          <w:rFonts w:ascii="Times New Roman" w:hAnsi="Times New Roman" w:cs="Times New Roman"/>
          <w:sz w:val="24"/>
          <w:szCs w:val="24"/>
          <w:lang w:val="fr-FR"/>
        </w:rPr>
        <w:t xml:space="preserve"> (Lazrak O., 2023).</w:t>
      </w:r>
      <w:r w:rsidR="001C6C06">
        <w:rPr>
          <w:rFonts w:ascii="Times New Roman" w:hAnsi="Times New Roman" w:cs="Times New Roman"/>
          <w:sz w:val="24"/>
          <w:szCs w:val="24"/>
          <w:lang w:val="fr-FR"/>
        </w:rPr>
        <w:t xml:space="preserve"> </w:t>
      </w:r>
      <w:r w:rsidR="00D95563">
        <w:rPr>
          <w:rFonts w:ascii="Times New Roman" w:hAnsi="Times New Roman" w:cs="Times New Roman"/>
          <w:sz w:val="24"/>
          <w:szCs w:val="24"/>
          <w:lang w:val="fr-FR"/>
        </w:rPr>
        <w:t>Cette compréhension de Collingwoo</w:t>
      </w:r>
      <w:r w:rsidR="009F7D76">
        <w:rPr>
          <w:rFonts w:ascii="Times New Roman" w:hAnsi="Times New Roman" w:cs="Times New Roman"/>
          <w:sz w:val="24"/>
          <w:szCs w:val="24"/>
          <w:lang w:val="fr-FR"/>
        </w:rPr>
        <w:t>d,</w:t>
      </w:r>
      <w:r w:rsidR="00D95563">
        <w:rPr>
          <w:rFonts w:ascii="Times New Roman" w:hAnsi="Times New Roman" w:cs="Times New Roman"/>
          <w:sz w:val="24"/>
          <w:szCs w:val="24"/>
          <w:lang w:val="fr-FR"/>
        </w:rPr>
        <w:t xml:space="preserve"> philosophe ancré d</w:t>
      </w:r>
      <w:r w:rsidR="00B677E6">
        <w:rPr>
          <w:rFonts w:ascii="Times New Roman" w:hAnsi="Times New Roman" w:cs="Times New Roman"/>
          <w:sz w:val="24"/>
          <w:szCs w:val="24"/>
          <w:lang w:val="fr-FR"/>
        </w:rPr>
        <w:t>ans</w:t>
      </w:r>
      <w:r w:rsidR="00D95563">
        <w:rPr>
          <w:rFonts w:ascii="Times New Roman" w:hAnsi="Times New Roman" w:cs="Times New Roman"/>
          <w:sz w:val="24"/>
          <w:szCs w:val="24"/>
          <w:lang w:val="fr-FR"/>
        </w:rPr>
        <w:t xml:space="preserve"> son époque, </w:t>
      </w:r>
      <w:r w:rsidR="009F7D76">
        <w:rPr>
          <w:rFonts w:ascii="Times New Roman" w:hAnsi="Times New Roman" w:cs="Times New Roman"/>
          <w:sz w:val="24"/>
          <w:szCs w:val="24"/>
          <w:lang w:val="fr-FR"/>
        </w:rPr>
        <w:t xml:space="preserve">qui prend </w:t>
      </w:r>
      <w:r w:rsidR="00D95563">
        <w:rPr>
          <w:rFonts w:ascii="Times New Roman" w:hAnsi="Times New Roman" w:cs="Times New Roman"/>
          <w:sz w:val="24"/>
          <w:szCs w:val="24"/>
          <w:lang w:val="fr-FR"/>
        </w:rPr>
        <w:t xml:space="preserve">à rebours la thèse d’Albert Shalom, permet d’éclairer le rôle sérieux et important qu’il a joué à une époque où convergeaient la philosophie idéaliste britannique, l’émergence de la philosophie analytique et l’élaboration d’une approche contextualiste de l’histoire. </w:t>
      </w:r>
      <w:r w:rsidR="00B677E6">
        <w:rPr>
          <w:rFonts w:ascii="Times New Roman" w:hAnsi="Times New Roman" w:cs="Times New Roman"/>
          <w:sz w:val="24"/>
          <w:szCs w:val="24"/>
          <w:lang w:val="fr-FR"/>
        </w:rPr>
        <w:t xml:space="preserve">Cela suscite une réflexion sur le principe même de la réception d’un auteur étranger </w:t>
      </w:r>
      <w:r w:rsidR="00C2217B">
        <w:rPr>
          <w:rFonts w:ascii="Times New Roman" w:hAnsi="Times New Roman" w:cs="Times New Roman"/>
          <w:sz w:val="24"/>
          <w:szCs w:val="24"/>
          <w:lang w:val="fr-FR"/>
        </w:rPr>
        <w:t>dans le</w:t>
      </w:r>
      <w:r w:rsidR="00B677E6">
        <w:rPr>
          <w:rFonts w:ascii="Times New Roman" w:hAnsi="Times New Roman" w:cs="Times New Roman"/>
          <w:sz w:val="24"/>
          <w:szCs w:val="24"/>
          <w:lang w:val="fr-FR"/>
        </w:rPr>
        <w:t xml:space="preserve"> contexte philosophique français, il ne s’agit pas tant d’utiliser sa philosophie en la rendant disponible et en la faisant dialoguer avec nos questions contemporaines, mais plutôt en élaborant une pratique d’historien de la philosophie qui permette de mieux éclairer la philosophie de Collingwood dans son rapport à son époque, ce qui revient à se mettre à l’école de Collingwood, ou bien à partager ce</w:t>
      </w:r>
      <w:r w:rsidR="009F7D76">
        <w:rPr>
          <w:rFonts w:ascii="Times New Roman" w:hAnsi="Times New Roman" w:cs="Times New Roman"/>
          <w:sz w:val="24"/>
          <w:szCs w:val="24"/>
          <w:lang w:val="fr-FR"/>
        </w:rPr>
        <w:t>tte aspiration</w:t>
      </w:r>
      <w:r w:rsidR="00B677E6">
        <w:rPr>
          <w:rFonts w:ascii="Times New Roman" w:hAnsi="Times New Roman" w:cs="Times New Roman"/>
          <w:sz w:val="24"/>
          <w:szCs w:val="24"/>
          <w:lang w:val="fr-FR"/>
        </w:rPr>
        <w:t xml:space="preserve"> originel</w:t>
      </w:r>
      <w:r w:rsidR="009F7D76">
        <w:rPr>
          <w:rFonts w:ascii="Times New Roman" w:hAnsi="Times New Roman" w:cs="Times New Roman"/>
          <w:sz w:val="24"/>
          <w:szCs w:val="24"/>
          <w:lang w:val="fr-FR"/>
        </w:rPr>
        <w:t>le</w:t>
      </w:r>
      <w:r w:rsidR="00B677E6">
        <w:rPr>
          <w:rFonts w:ascii="Times New Roman" w:hAnsi="Times New Roman" w:cs="Times New Roman"/>
          <w:sz w:val="24"/>
          <w:szCs w:val="24"/>
          <w:lang w:val="fr-FR"/>
        </w:rPr>
        <w:t xml:space="preserve"> de </w:t>
      </w:r>
      <w:bookmarkStart w:id="1" w:name="_Hlk208053474"/>
      <w:r w:rsidR="00B677E6">
        <w:rPr>
          <w:rFonts w:ascii="Times New Roman" w:hAnsi="Times New Roman" w:cs="Times New Roman"/>
          <w:sz w:val="24"/>
          <w:szCs w:val="24"/>
          <w:lang w:val="fr-FR"/>
        </w:rPr>
        <w:t>Ferdinand Alquié : « mon premier rêve a été de coïncider avec l’auteur, de confondre ma démarche avec la sienne et donc, au sens strict, de ne pas avoir de méthode</w:t>
      </w:r>
      <w:r w:rsidR="0099435D">
        <w:rPr>
          <w:rFonts w:ascii="Times New Roman" w:hAnsi="Times New Roman" w:cs="Times New Roman"/>
          <w:sz w:val="24"/>
          <w:szCs w:val="24"/>
          <w:lang w:val="fr-FR"/>
        </w:rPr>
        <w:t xml:space="preserve"> </w:t>
      </w:r>
      <w:r w:rsidR="00B677E6">
        <w:rPr>
          <w:rFonts w:ascii="Times New Roman" w:hAnsi="Times New Roman" w:cs="Times New Roman"/>
          <w:sz w:val="24"/>
          <w:szCs w:val="24"/>
          <w:lang w:val="fr-FR"/>
        </w:rPr>
        <w:t>»</w:t>
      </w:r>
      <w:r w:rsidR="0099435D">
        <w:rPr>
          <w:rFonts w:ascii="Times New Roman" w:hAnsi="Times New Roman" w:cs="Times New Roman"/>
          <w:sz w:val="24"/>
          <w:szCs w:val="24"/>
          <w:lang w:val="fr-FR"/>
        </w:rPr>
        <w:t xml:space="preserve"> (Alquié F., 1973, p.297)</w:t>
      </w:r>
      <w:bookmarkEnd w:id="1"/>
      <w:r w:rsidR="0099435D">
        <w:rPr>
          <w:rFonts w:ascii="Times New Roman" w:hAnsi="Times New Roman" w:cs="Times New Roman"/>
          <w:sz w:val="24"/>
          <w:szCs w:val="24"/>
          <w:lang w:val="fr-FR"/>
        </w:rPr>
        <w:t>.</w:t>
      </w:r>
    </w:p>
    <w:p w14:paraId="6789BEDA" w14:textId="77777777" w:rsidR="00C01B45" w:rsidRDefault="00C01B45" w:rsidP="00B66CFE">
      <w:pPr>
        <w:spacing w:line="360" w:lineRule="auto"/>
        <w:jc w:val="both"/>
        <w:rPr>
          <w:rFonts w:ascii="Times New Roman" w:hAnsi="Times New Roman" w:cs="Times New Roman"/>
          <w:sz w:val="24"/>
          <w:szCs w:val="24"/>
          <w:lang w:val="fr-FR"/>
        </w:rPr>
      </w:pPr>
    </w:p>
    <w:p w14:paraId="5BEAF273" w14:textId="5CD23F6D" w:rsidR="00C01B45" w:rsidRPr="003E047D" w:rsidRDefault="00B66CFE" w:rsidP="00C01B45">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Université Catholique de Louvain, </w:t>
      </w:r>
      <w:r w:rsidR="00C01B45">
        <w:rPr>
          <w:rFonts w:ascii="Times New Roman" w:hAnsi="Times New Roman" w:cs="Times New Roman"/>
          <w:sz w:val="24"/>
          <w:szCs w:val="24"/>
          <w:lang w:val="fr-FR"/>
        </w:rPr>
        <w:tab/>
      </w:r>
      <w:r w:rsidR="00C01B45">
        <w:rPr>
          <w:rFonts w:ascii="Times New Roman" w:hAnsi="Times New Roman" w:cs="Times New Roman"/>
          <w:sz w:val="24"/>
          <w:szCs w:val="24"/>
          <w:lang w:val="fr-FR"/>
        </w:rPr>
        <w:tab/>
      </w:r>
      <w:r w:rsidR="00C01B45">
        <w:rPr>
          <w:rFonts w:ascii="Times New Roman" w:hAnsi="Times New Roman" w:cs="Times New Roman"/>
          <w:sz w:val="24"/>
          <w:szCs w:val="24"/>
          <w:lang w:val="fr-FR"/>
        </w:rPr>
        <w:tab/>
      </w:r>
      <w:r w:rsidR="00C01B45">
        <w:rPr>
          <w:rFonts w:ascii="Times New Roman" w:hAnsi="Times New Roman" w:cs="Times New Roman"/>
          <w:sz w:val="24"/>
          <w:szCs w:val="24"/>
          <w:lang w:val="fr-FR"/>
        </w:rPr>
        <w:tab/>
      </w:r>
      <w:r w:rsidR="00C01B45" w:rsidRPr="003E047D">
        <w:rPr>
          <w:rFonts w:ascii="Times New Roman" w:hAnsi="Times New Roman" w:cs="Times New Roman"/>
          <w:sz w:val="24"/>
          <w:szCs w:val="24"/>
          <w:lang w:val="fr-FR"/>
        </w:rPr>
        <w:t>Baudouin de Guillebon</w:t>
      </w:r>
    </w:p>
    <w:p w14:paraId="164F417A" w14:textId="3EB102F7" w:rsidR="00B66CFE" w:rsidRDefault="00B66CFE" w:rsidP="00B66CFE">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Institut supérieur de philosophie</w:t>
      </w:r>
    </w:p>
    <w:p w14:paraId="646A43AB" w14:textId="26CC17D1" w:rsidR="00C01B45" w:rsidRDefault="00C01B45" w:rsidP="00B66CFE">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Centre de Wulf-Mansion</w:t>
      </w:r>
    </w:p>
    <w:p w14:paraId="4FFFB65B" w14:textId="7C1A9B1A" w:rsidR="00C01B45" w:rsidRDefault="00C01B45" w:rsidP="00B66CFE">
      <w:pPr>
        <w:spacing w:line="360" w:lineRule="auto"/>
        <w:rPr>
          <w:rFonts w:ascii="Times New Roman" w:hAnsi="Times New Roman" w:cs="Times New Roman"/>
          <w:sz w:val="24"/>
          <w:szCs w:val="24"/>
          <w:lang w:val="fr-FR"/>
        </w:rPr>
      </w:pPr>
      <w:r>
        <w:rPr>
          <w:rFonts w:ascii="Times New Roman" w:hAnsi="Times New Roman" w:cs="Times New Roman"/>
          <w:sz w:val="24"/>
          <w:szCs w:val="24"/>
          <w:lang w:val="fr-FR"/>
        </w:rPr>
        <w:t>Place Cardinal Mercier, 14 – boîte L3.06.01</w:t>
      </w:r>
    </w:p>
    <w:p w14:paraId="2DE9E6D9" w14:textId="4DFCB2FB" w:rsidR="00C01B45" w:rsidRPr="00C01B45" w:rsidRDefault="00C01B45" w:rsidP="00B66CFE">
      <w:pPr>
        <w:spacing w:line="360" w:lineRule="auto"/>
        <w:rPr>
          <w:rFonts w:ascii="Times New Roman" w:hAnsi="Times New Roman" w:cs="Times New Roman"/>
          <w:sz w:val="24"/>
          <w:szCs w:val="24"/>
          <w:lang w:val="en-US"/>
        </w:rPr>
      </w:pPr>
      <w:r w:rsidRPr="00C01B45">
        <w:rPr>
          <w:rFonts w:ascii="Times New Roman" w:hAnsi="Times New Roman" w:cs="Times New Roman"/>
          <w:sz w:val="24"/>
          <w:szCs w:val="24"/>
          <w:lang w:val="en-US"/>
        </w:rPr>
        <w:t>B – 1348 Louvain</w:t>
      </w:r>
      <w:r>
        <w:rPr>
          <w:rFonts w:ascii="Times New Roman" w:hAnsi="Times New Roman" w:cs="Times New Roman"/>
          <w:sz w:val="24"/>
          <w:szCs w:val="24"/>
          <w:lang w:val="en-US"/>
        </w:rPr>
        <w:t>-la-Neuve</w:t>
      </w:r>
    </w:p>
    <w:p w14:paraId="183FEED5" w14:textId="633DF92F" w:rsidR="00B66CFE" w:rsidRPr="00C01B45" w:rsidRDefault="00C01B45" w:rsidP="00B66CFE">
      <w:pPr>
        <w:spacing w:line="360" w:lineRule="auto"/>
        <w:rPr>
          <w:rFonts w:ascii="Times New Roman" w:hAnsi="Times New Roman" w:cs="Times New Roman"/>
          <w:sz w:val="24"/>
          <w:szCs w:val="24"/>
        </w:rPr>
      </w:pPr>
      <w:r w:rsidRPr="00C01B45">
        <w:rPr>
          <w:rFonts w:ascii="Times New Roman" w:hAnsi="Times New Roman" w:cs="Times New Roman"/>
          <w:sz w:val="24"/>
          <w:szCs w:val="24"/>
        </w:rPr>
        <w:t>baudouin.deguillebon@uclouvain.be</w:t>
      </w:r>
    </w:p>
    <w:p w14:paraId="36E711A3" w14:textId="77777777" w:rsidR="00C01B45" w:rsidRPr="00C01B45" w:rsidRDefault="00C01B45" w:rsidP="00B66CFE">
      <w:pPr>
        <w:spacing w:line="360" w:lineRule="auto"/>
        <w:rPr>
          <w:rFonts w:ascii="Times New Roman" w:hAnsi="Times New Roman" w:cs="Times New Roman"/>
          <w:sz w:val="24"/>
          <w:szCs w:val="24"/>
        </w:rPr>
      </w:pPr>
    </w:p>
    <w:p w14:paraId="5F8B9587" w14:textId="77777777" w:rsidR="00C01B45" w:rsidRDefault="00AD5370" w:rsidP="00C01B45">
      <w:pPr>
        <w:jc w:val="center"/>
        <w:rPr>
          <w:smallCaps/>
          <w:sz w:val="24"/>
          <w:szCs w:val="24"/>
        </w:rPr>
      </w:pPr>
      <w:r w:rsidRPr="00C01B45">
        <w:rPr>
          <w:smallCaps/>
          <w:sz w:val="24"/>
          <w:szCs w:val="24"/>
        </w:rPr>
        <w:t xml:space="preserve">Bibliographie </w:t>
      </w:r>
    </w:p>
    <w:p w14:paraId="5BEBEA75" w14:textId="77777777" w:rsidR="00755957" w:rsidRDefault="00755957" w:rsidP="00755957">
      <w:pPr>
        <w:spacing w:line="240" w:lineRule="auto"/>
        <w:jc w:val="both"/>
        <w:rPr>
          <w:smallCaps/>
          <w:lang w:val="fr-FR"/>
        </w:rPr>
      </w:pPr>
    </w:p>
    <w:p w14:paraId="048E6BB1" w14:textId="77777777" w:rsidR="00755957" w:rsidRDefault="00755957" w:rsidP="00755957">
      <w:pPr>
        <w:spacing w:line="240" w:lineRule="auto"/>
        <w:jc w:val="both"/>
      </w:pPr>
      <w:r w:rsidRPr="00B63548">
        <w:rPr>
          <w:smallCaps/>
          <w:lang w:val="fr-FR"/>
        </w:rPr>
        <w:t>Al-Kasm</w:t>
      </w:r>
      <w:r>
        <w:rPr>
          <w:lang w:val="fr-FR"/>
        </w:rPr>
        <w:t>, Badi (</w:t>
      </w:r>
      <w:r>
        <w:t xml:space="preserve">1959). </w:t>
      </w:r>
      <w:r>
        <w:rPr>
          <w:i/>
          <w:iCs/>
        </w:rPr>
        <w:t>L’idée de preuve en métaphysique</w:t>
      </w:r>
      <w:r>
        <w:t>, Paris, PUF.</w:t>
      </w:r>
    </w:p>
    <w:p w14:paraId="66C608F7" w14:textId="77777777" w:rsidR="00755957" w:rsidRDefault="00755957" w:rsidP="00755957">
      <w:pPr>
        <w:spacing w:line="240" w:lineRule="auto"/>
        <w:jc w:val="both"/>
      </w:pPr>
      <w:r>
        <w:rPr>
          <w:sz w:val="24"/>
          <w:szCs w:val="24"/>
        </w:rPr>
        <w:fldChar w:fldCharType="begin"/>
      </w:r>
      <w:r w:rsidRPr="00AD5370">
        <w:rPr>
          <w:sz w:val="24"/>
          <w:szCs w:val="24"/>
        </w:rPr>
        <w:instrText xml:space="preserve"> ADDIN ZOTERO_BIBL {"uncited":[],"omitted":[],"custom":[]} CSL_BIBLIOGRAPHY </w:instrText>
      </w:r>
      <w:r>
        <w:rPr>
          <w:sz w:val="24"/>
          <w:szCs w:val="24"/>
        </w:rPr>
        <w:fldChar w:fldCharType="separate"/>
      </w:r>
      <w:r w:rsidRPr="00B63548">
        <w:rPr>
          <w:smallCaps/>
        </w:rPr>
        <w:t>Aron</w:t>
      </w:r>
      <w:r>
        <w:t>, Raymond (1938).</w:t>
      </w:r>
      <w:r w:rsidRPr="00B63548">
        <w:rPr>
          <w:i/>
          <w:iCs/>
        </w:rPr>
        <w:t xml:space="preserve"> </w:t>
      </w:r>
      <w:r w:rsidRPr="00A44D31">
        <w:rPr>
          <w:i/>
          <w:iCs/>
        </w:rPr>
        <w:t>Introduction à la philosophie de l'histoire, essai sur les limites de</w:t>
      </w:r>
      <w:r>
        <w:rPr>
          <w:i/>
          <w:iCs/>
        </w:rPr>
        <w:t xml:space="preserve"> </w:t>
      </w:r>
      <w:r w:rsidRPr="00A44D31">
        <w:rPr>
          <w:i/>
          <w:iCs/>
        </w:rPr>
        <w:t>l'objectivité historique</w:t>
      </w:r>
      <w:r>
        <w:rPr>
          <w:i/>
          <w:iCs/>
        </w:rPr>
        <w:t xml:space="preserve">, </w:t>
      </w:r>
      <w:r>
        <w:t>Paris,</w:t>
      </w:r>
      <w:r>
        <w:rPr>
          <w:i/>
          <w:iCs/>
        </w:rPr>
        <w:t xml:space="preserve"> </w:t>
      </w:r>
      <w:r>
        <w:t>Gallimard.</w:t>
      </w:r>
    </w:p>
    <w:p w14:paraId="5652D740" w14:textId="77777777" w:rsidR="00755957" w:rsidRDefault="00755957" w:rsidP="00755957">
      <w:pPr>
        <w:spacing w:line="240" w:lineRule="auto"/>
        <w:jc w:val="both"/>
      </w:pPr>
      <w:r>
        <w:t xml:space="preserve"> - (1970) </w:t>
      </w:r>
      <w:r>
        <w:rPr>
          <w:i/>
          <w:iCs/>
        </w:rPr>
        <w:t>La Philosophie Critique de l’Histoire : Essai sur une Théorie Allemande de l’Histoire</w:t>
      </w:r>
      <w:r>
        <w:t>, Paris, Seuil.</w:t>
      </w:r>
    </w:p>
    <w:p w14:paraId="4318A531" w14:textId="77777777" w:rsidR="00755957" w:rsidRDefault="00755957" w:rsidP="00755957">
      <w:pPr>
        <w:pStyle w:val="Bibliographie"/>
        <w:spacing w:line="240" w:lineRule="auto"/>
        <w:jc w:val="both"/>
      </w:pPr>
      <w:r w:rsidRPr="00FB1BD9">
        <w:rPr>
          <w:smallCaps/>
        </w:rPr>
        <w:t>Alquié</w:t>
      </w:r>
      <w:r>
        <w:t xml:space="preserve">, Ferdinand (1989). </w:t>
      </w:r>
      <w:r>
        <w:rPr>
          <w:i/>
          <w:iCs/>
        </w:rPr>
        <w:t>La découverte métaphysique de l’homme chez Descartes</w:t>
      </w:r>
      <w:r>
        <w:t xml:space="preserve">, Paris, PUF. </w:t>
      </w:r>
    </w:p>
    <w:p w14:paraId="238614B5" w14:textId="7B842EAB" w:rsidR="00755957" w:rsidRDefault="00755957" w:rsidP="00755957">
      <w:pPr>
        <w:spacing w:line="240" w:lineRule="auto"/>
        <w:jc w:val="both"/>
        <w:rPr>
          <w:lang w:val="fr-FR"/>
        </w:rPr>
      </w:pPr>
      <w:r>
        <w:rPr>
          <w:smallCaps/>
          <w:lang w:val="fr-FR"/>
        </w:rPr>
        <w:t xml:space="preserve">- (1973) </w:t>
      </w:r>
      <w:r>
        <w:rPr>
          <w:lang w:val="fr-FR"/>
        </w:rPr>
        <w:t xml:space="preserve">« Intention et déterminations dans la genèse de l’œuvre philosophique », </w:t>
      </w:r>
      <w:r>
        <w:rPr>
          <w:i/>
          <w:iCs/>
          <w:lang w:val="fr-FR"/>
        </w:rPr>
        <w:t>Revue de l’université de Bruxelles</w:t>
      </w:r>
      <w:r>
        <w:rPr>
          <w:lang w:val="fr-FR"/>
        </w:rPr>
        <w:t>, 3-4, 1973 p.296-328.</w:t>
      </w:r>
    </w:p>
    <w:p w14:paraId="69D5174D" w14:textId="77777777" w:rsidR="00755957" w:rsidRDefault="00755957" w:rsidP="00755957">
      <w:pPr>
        <w:spacing w:line="240" w:lineRule="auto"/>
        <w:jc w:val="both"/>
        <w:rPr>
          <w:lang w:val="en-US"/>
        </w:rPr>
      </w:pPr>
      <w:r w:rsidRPr="00FB1BD9">
        <w:rPr>
          <w:smallCaps/>
          <w:lang w:val="en-US"/>
        </w:rPr>
        <w:t>Boucher</w:t>
      </w:r>
      <w:r w:rsidRPr="00FB1BD9">
        <w:rPr>
          <w:lang w:val="en-US"/>
        </w:rPr>
        <w:t>, David (1989).</w:t>
      </w:r>
      <w:r>
        <w:rPr>
          <w:lang w:val="en-US"/>
        </w:rPr>
        <w:t xml:space="preserve"> </w:t>
      </w:r>
      <w:r w:rsidRPr="00FB1BD9">
        <w:rPr>
          <w:i/>
          <w:iCs/>
          <w:lang w:val="en-US"/>
        </w:rPr>
        <w:t>The Social and Political Thought of R. G. Collingwood</w:t>
      </w:r>
      <w:r w:rsidRPr="00FB1BD9">
        <w:rPr>
          <w:lang w:val="en-US"/>
        </w:rPr>
        <w:t>, West Nyack, Cambridge University Press, First Edition,.</w:t>
      </w:r>
    </w:p>
    <w:p w14:paraId="2EEBE3FA" w14:textId="3B5280D2" w:rsidR="00755957" w:rsidRPr="00FB1BD9" w:rsidRDefault="00755957" w:rsidP="00755957">
      <w:pPr>
        <w:spacing w:line="240" w:lineRule="auto"/>
        <w:jc w:val="both"/>
      </w:pPr>
      <w:r w:rsidRPr="00FB1BD9">
        <w:rPr>
          <w:smallCaps/>
        </w:rPr>
        <w:t>Barash</w:t>
      </w:r>
      <w:r w:rsidRPr="00FB1BD9">
        <w:t xml:space="preserve">, Jeffrey (2017). </w:t>
      </w:r>
      <w:r>
        <w:rPr>
          <w:lang w:val="fr-FR"/>
        </w:rPr>
        <w:t xml:space="preserve">« Qu’est-ce que la « réalité » du présent historique ? Réflexions à partir de la théorie de l’histoire chez Paul Ricoeur », </w:t>
      </w:r>
      <w:r>
        <w:rPr>
          <w:i/>
          <w:iCs/>
          <w:lang w:val="fr-FR"/>
        </w:rPr>
        <w:t>Le Télémaque</w:t>
      </w:r>
      <w:r>
        <w:rPr>
          <w:lang w:val="fr-FR"/>
        </w:rPr>
        <w:t>, 2017/1 (no.51), Presses Universitaires de Caen,</w:t>
      </w:r>
      <w:r w:rsidRPr="00FB1BD9">
        <w:rPr>
          <w:lang w:val="fr-FR"/>
        </w:rPr>
        <w:t xml:space="preserve"> </w:t>
      </w:r>
      <w:r>
        <w:rPr>
          <w:lang w:val="fr-FR"/>
        </w:rPr>
        <w:t xml:space="preserve">p.89-106. </w:t>
      </w:r>
    </w:p>
    <w:p w14:paraId="2A95C317" w14:textId="77777777" w:rsidR="00755957" w:rsidRDefault="00755957" w:rsidP="00755957">
      <w:pPr>
        <w:pStyle w:val="Bibliographie"/>
        <w:spacing w:line="240" w:lineRule="auto"/>
        <w:jc w:val="both"/>
      </w:pPr>
      <w:r w:rsidRPr="00FB1BD9">
        <w:rPr>
          <w:smallCaps/>
        </w:rPr>
        <w:t>Boulnois</w:t>
      </w:r>
      <w:r>
        <w:t xml:space="preserve">, Olivier (2021). </w:t>
      </w:r>
      <w:r>
        <w:rPr>
          <w:i/>
          <w:iCs/>
        </w:rPr>
        <w:t>Généalogie de la liberté</w:t>
      </w:r>
      <w:r>
        <w:t>, Paris, Seuil.</w:t>
      </w:r>
    </w:p>
    <w:p w14:paraId="4E6A17F4" w14:textId="6C5BB48E" w:rsidR="00755957" w:rsidRPr="00FB1BD9" w:rsidRDefault="00755957" w:rsidP="00755957">
      <w:pPr>
        <w:pStyle w:val="Bibliographie"/>
        <w:spacing w:line="240" w:lineRule="auto"/>
        <w:jc w:val="both"/>
        <w:rPr>
          <w:lang w:val="en-US"/>
        </w:rPr>
      </w:pPr>
      <w:r w:rsidRPr="004821AD">
        <w:rPr>
          <w:smallCaps/>
          <w:lang w:val="en-US"/>
        </w:rPr>
        <w:t>Buchdahl</w:t>
      </w:r>
      <w:r w:rsidRPr="00FB1BD9">
        <w:rPr>
          <w:lang w:val="en-US"/>
        </w:rPr>
        <w:t>, Ge</w:t>
      </w:r>
      <w:r>
        <w:rPr>
          <w:lang w:val="en-US"/>
        </w:rPr>
        <w:t>rd</w:t>
      </w:r>
      <w:r w:rsidRPr="00FB1BD9">
        <w:rPr>
          <w:lang w:val="en-US"/>
        </w:rPr>
        <w:t xml:space="preserve"> </w:t>
      </w:r>
      <w:r>
        <w:rPr>
          <w:lang w:val="en-US"/>
        </w:rPr>
        <w:t xml:space="preserve">(1958). </w:t>
      </w:r>
      <w:r w:rsidRPr="00FB1BD9">
        <w:rPr>
          <w:lang w:val="en-US"/>
        </w:rPr>
        <w:t xml:space="preserve">« Has Collingwood Been Unfortunate in His Critics? », </w:t>
      </w:r>
      <w:r w:rsidRPr="00FB1BD9">
        <w:rPr>
          <w:i/>
          <w:iCs/>
          <w:lang w:val="en-US"/>
        </w:rPr>
        <w:t>Australasian Journal of Philosophy</w:t>
      </w:r>
      <w:r w:rsidRPr="00FB1BD9">
        <w:rPr>
          <w:lang w:val="en-US"/>
        </w:rPr>
        <w:t xml:space="preserve">, </w:t>
      </w:r>
      <w:r>
        <w:rPr>
          <w:lang w:val="en-US"/>
        </w:rPr>
        <w:t>36, 1958, p.95-108.</w:t>
      </w:r>
    </w:p>
    <w:p w14:paraId="5725DA3C" w14:textId="0500914A" w:rsidR="00755957" w:rsidRDefault="00755957" w:rsidP="00755957">
      <w:pPr>
        <w:pStyle w:val="Bibliographie"/>
        <w:spacing w:line="240" w:lineRule="auto"/>
        <w:jc w:val="both"/>
      </w:pPr>
      <w:r w:rsidRPr="004821AD">
        <w:rPr>
          <w:smallCaps/>
        </w:rPr>
        <w:t>Carrive</w:t>
      </w:r>
      <w:r>
        <w:t xml:space="preserve">, Paulette, (2006). « La philosophie de l’histoire de R.G. Collingwood : les contes de fées », </w:t>
      </w:r>
      <w:r>
        <w:rPr>
          <w:i/>
          <w:iCs/>
        </w:rPr>
        <w:t>Archives de Philosophie</w:t>
      </w:r>
      <w:r>
        <w:t>, vol. 69, n° 3, 2006, p. 475</w:t>
      </w:r>
      <w:r>
        <w:rPr>
          <w:rFonts w:ascii="Cambria Math" w:hAnsi="Cambria Math" w:cs="Cambria Math"/>
        </w:rPr>
        <w:t>‑</w:t>
      </w:r>
      <w:r>
        <w:t>496.</w:t>
      </w:r>
    </w:p>
    <w:p w14:paraId="62320D88" w14:textId="77777777" w:rsidR="00755957" w:rsidRDefault="00755957" w:rsidP="00755957">
      <w:pPr>
        <w:spacing w:line="240" w:lineRule="auto"/>
        <w:jc w:val="both"/>
      </w:pPr>
      <w:r>
        <w:t xml:space="preserve">Cahier de Royaumont (1957), </w:t>
      </w:r>
      <w:r>
        <w:rPr>
          <w:i/>
          <w:iCs/>
        </w:rPr>
        <w:t>Descartes</w:t>
      </w:r>
      <w:r>
        <w:t>, Ed. de Minuit, Paris.</w:t>
      </w:r>
    </w:p>
    <w:p w14:paraId="353DFD2A" w14:textId="77777777" w:rsidR="00755957" w:rsidRPr="006018AC" w:rsidRDefault="00755957" w:rsidP="00755957">
      <w:pPr>
        <w:spacing w:line="240" w:lineRule="auto"/>
        <w:jc w:val="both"/>
      </w:pPr>
      <w:r w:rsidRPr="006018AC">
        <w:rPr>
          <w:smallCaps/>
        </w:rPr>
        <w:t>Cerutti</w:t>
      </w:r>
      <w:r w:rsidRPr="006018AC">
        <w:t xml:space="preserve">, Patrick (2018). </w:t>
      </w:r>
      <w:r w:rsidRPr="006018AC">
        <w:rPr>
          <w:i/>
          <w:iCs/>
        </w:rPr>
        <w:t>Histoire de l</w:t>
      </w:r>
      <w:r>
        <w:rPr>
          <w:i/>
          <w:iCs/>
        </w:rPr>
        <w:t xml:space="preserve">a philosophie : Idées, temporalités et contextes, </w:t>
      </w:r>
      <w:r>
        <w:t xml:space="preserve">textes réunis par P. Cerutti, Textes clés d'histoire de la philosophie, Paris, Vrin. </w:t>
      </w:r>
    </w:p>
    <w:p w14:paraId="2625F72C" w14:textId="77777777" w:rsidR="00755957" w:rsidRPr="004821AD" w:rsidRDefault="00755957" w:rsidP="00755957">
      <w:pPr>
        <w:pStyle w:val="Bibliographie"/>
        <w:spacing w:line="240" w:lineRule="auto"/>
        <w:jc w:val="both"/>
        <w:rPr>
          <w:lang w:val="en-US"/>
        </w:rPr>
      </w:pPr>
      <w:r w:rsidRPr="004821AD">
        <w:rPr>
          <w:smallCaps/>
          <w:lang w:val="en-US"/>
        </w:rPr>
        <w:t>Collingwood</w:t>
      </w:r>
      <w:r w:rsidRPr="007B6419">
        <w:rPr>
          <w:lang w:val="en-US"/>
        </w:rPr>
        <w:t>, R</w:t>
      </w:r>
      <w:r>
        <w:rPr>
          <w:lang w:val="en-US"/>
        </w:rPr>
        <w:t xml:space="preserve">obin </w:t>
      </w:r>
      <w:r w:rsidRPr="007B6419">
        <w:rPr>
          <w:lang w:val="en-US"/>
        </w:rPr>
        <w:t>G</w:t>
      </w:r>
      <w:r>
        <w:rPr>
          <w:lang w:val="en-US"/>
        </w:rPr>
        <w:t xml:space="preserve">eorges (1946). </w:t>
      </w:r>
      <w:r>
        <w:rPr>
          <w:i/>
          <w:iCs/>
          <w:lang w:val="en-US"/>
        </w:rPr>
        <w:t>The Idea of History</w:t>
      </w:r>
      <w:r>
        <w:rPr>
          <w:lang w:val="en-US"/>
        </w:rPr>
        <w:t>, Oxford, Clarendon Press.</w:t>
      </w:r>
    </w:p>
    <w:p w14:paraId="19880E55" w14:textId="77777777" w:rsidR="00755957" w:rsidRDefault="00755957" w:rsidP="00755957">
      <w:pPr>
        <w:pStyle w:val="Bibliographie"/>
        <w:spacing w:line="240" w:lineRule="auto"/>
        <w:jc w:val="both"/>
        <w:rPr>
          <w:lang w:val="en-US"/>
        </w:rPr>
      </w:pPr>
      <w:r>
        <w:rPr>
          <w:lang w:val="en-US"/>
        </w:rPr>
        <w:t xml:space="preserve">- (1960). </w:t>
      </w:r>
      <w:r w:rsidRPr="007B6419">
        <w:rPr>
          <w:i/>
          <w:iCs/>
          <w:lang w:val="en-US"/>
        </w:rPr>
        <w:t>The Idea of Nature</w:t>
      </w:r>
      <w:r w:rsidRPr="007B6419">
        <w:rPr>
          <w:lang w:val="en-US"/>
        </w:rPr>
        <w:t>, New York, Oxford University Press.</w:t>
      </w:r>
    </w:p>
    <w:p w14:paraId="139A80F6" w14:textId="77777777" w:rsidR="00755957" w:rsidRPr="009E1D31" w:rsidRDefault="00755957" w:rsidP="00755957">
      <w:pPr>
        <w:rPr>
          <w:lang w:val="en-US"/>
        </w:rPr>
      </w:pPr>
      <w:r>
        <w:rPr>
          <w:lang w:val="en-US"/>
        </w:rPr>
        <w:t xml:space="preserve">- (1992 [1942]). </w:t>
      </w:r>
      <w:r>
        <w:rPr>
          <w:i/>
          <w:iCs/>
          <w:lang w:val="en-US"/>
        </w:rPr>
        <w:t xml:space="preserve">The New Leviathan : Or Man, Society, Civilization and Barbarism, </w:t>
      </w:r>
      <w:r>
        <w:rPr>
          <w:lang w:val="en-US"/>
        </w:rPr>
        <w:t xml:space="preserve">Oxford University Press, nouvelle édition dirigée par David </w:t>
      </w:r>
      <w:r w:rsidRPr="00FE45B3">
        <w:rPr>
          <w:smallCaps/>
          <w:lang w:val="en-US"/>
        </w:rPr>
        <w:t>Boucher</w:t>
      </w:r>
      <w:r>
        <w:rPr>
          <w:lang w:val="en-US"/>
        </w:rPr>
        <w:t xml:space="preserve">. </w:t>
      </w:r>
    </w:p>
    <w:p w14:paraId="29522C0B" w14:textId="77777777" w:rsidR="00755957" w:rsidRDefault="00755957" w:rsidP="00755957">
      <w:pPr>
        <w:pStyle w:val="Bibliographie"/>
        <w:spacing w:line="240" w:lineRule="auto"/>
        <w:jc w:val="both"/>
        <w:rPr>
          <w:lang w:val="en-US"/>
        </w:rPr>
      </w:pPr>
      <w:r>
        <w:rPr>
          <w:lang w:val="en-US"/>
        </w:rPr>
        <w:t xml:space="preserve">- (1998 [1940]). </w:t>
      </w:r>
      <w:r>
        <w:rPr>
          <w:i/>
          <w:iCs/>
          <w:lang w:val="en-US"/>
        </w:rPr>
        <w:t>An Essay on Metaphysics</w:t>
      </w:r>
      <w:r>
        <w:rPr>
          <w:lang w:val="en-US"/>
        </w:rPr>
        <w:t>, Oxford, Clarendon Press, édition révisée.</w:t>
      </w:r>
    </w:p>
    <w:p w14:paraId="50707132" w14:textId="77777777" w:rsidR="00755957" w:rsidRDefault="00755957" w:rsidP="00755957">
      <w:pPr>
        <w:rPr>
          <w:lang w:val="en-US"/>
        </w:rPr>
      </w:pPr>
      <w:r>
        <w:rPr>
          <w:lang w:val="en-US"/>
        </w:rPr>
        <w:t xml:space="preserve">- (1999). </w:t>
      </w:r>
      <w:r w:rsidRPr="007B6419">
        <w:rPr>
          <w:i/>
          <w:iCs/>
          <w:lang w:val="en-US"/>
        </w:rPr>
        <w:t>The Principles of History: And Other Writings in Philosophy of History</w:t>
      </w:r>
      <w:r w:rsidRPr="007B6419">
        <w:rPr>
          <w:lang w:val="en-US"/>
        </w:rPr>
        <w:t>, Oxford, University Press</w:t>
      </w:r>
      <w:r>
        <w:rPr>
          <w:lang w:val="en-US"/>
        </w:rPr>
        <w:t>.</w:t>
      </w:r>
    </w:p>
    <w:p w14:paraId="04B364C8" w14:textId="77777777" w:rsidR="00755957" w:rsidRPr="00755957" w:rsidRDefault="00755957" w:rsidP="00755957">
      <w:pPr>
        <w:rPr>
          <w:lang w:val="en-US"/>
        </w:rPr>
      </w:pPr>
      <w:r w:rsidRPr="009E1D31">
        <w:t xml:space="preserve">- (2001). </w:t>
      </w:r>
      <w:r w:rsidRPr="009E1D31">
        <w:rPr>
          <w:i/>
          <w:iCs/>
        </w:rPr>
        <w:t>Le nouveau léviathan ou l</w:t>
      </w:r>
      <w:r>
        <w:rPr>
          <w:i/>
          <w:iCs/>
        </w:rPr>
        <w:t xml:space="preserve">'homme, la société, la civilisation et la barbarie, </w:t>
      </w:r>
      <w:r>
        <w:t xml:space="preserve">trad. </w:t>
      </w:r>
      <w:r w:rsidRPr="00755957">
        <w:rPr>
          <w:lang w:val="en-US"/>
        </w:rPr>
        <w:t xml:space="preserve">Lucien et Paulette </w:t>
      </w:r>
      <w:r w:rsidRPr="00755957">
        <w:rPr>
          <w:smallCaps/>
          <w:lang w:val="en-US"/>
        </w:rPr>
        <w:t>Carrive</w:t>
      </w:r>
      <w:r w:rsidRPr="00755957">
        <w:rPr>
          <w:lang w:val="en-US"/>
        </w:rPr>
        <w:t xml:space="preserve">, Kimé. </w:t>
      </w:r>
    </w:p>
    <w:p w14:paraId="712E096C" w14:textId="77777777" w:rsidR="00755957" w:rsidRPr="009E1D31" w:rsidRDefault="00755957" w:rsidP="00755957">
      <w:pPr>
        <w:rPr>
          <w:lang w:val="en-US"/>
        </w:rPr>
      </w:pPr>
      <w:r w:rsidRPr="00755957">
        <w:rPr>
          <w:lang w:val="en-US"/>
        </w:rPr>
        <w:t xml:space="preserve">-(2004). </w:t>
      </w:r>
      <w:r>
        <w:rPr>
          <w:i/>
          <w:iCs/>
          <w:lang w:val="en-US"/>
        </w:rPr>
        <w:t>The Philosophy of Enchantment</w:t>
      </w:r>
      <w:r>
        <w:rPr>
          <w:lang w:val="en-US"/>
        </w:rPr>
        <w:t xml:space="preserve">: </w:t>
      </w:r>
      <w:r>
        <w:rPr>
          <w:i/>
          <w:iCs/>
          <w:lang w:val="en-US"/>
        </w:rPr>
        <w:t>Studies in Folktale, Cultural Criticism, and Anthropology</w:t>
      </w:r>
      <w:r>
        <w:rPr>
          <w:lang w:val="en-US"/>
        </w:rPr>
        <w:t xml:space="preserve">, édité par David Boucher, Wendy James et Philip Smallwood, Oxford Clarendon Press. </w:t>
      </w:r>
    </w:p>
    <w:p w14:paraId="0E2C59FE" w14:textId="77777777" w:rsidR="00755957" w:rsidRDefault="00755957" w:rsidP="00755957">
      <w:pPr>
        <w:pStyle w:val="Bibliographie"/>
        <w:spacing w:line="240" w:lineRule="auto"/>
        <w:jc w:val="both"/>
        <w:rPr>
          <w:lang w:val="en-US"/>
        </w:rPr>
      </w:pPr>
      <w:r>
        <w:rPr>
          <w:lang w:val="en-US"/>
        </w:rPr>
        <w:t>-(2005[1933]).</w:t>
      </w:r>
      <w:r w:rsidRPr="007B6419">
        <w:rPr>
          <w:lang w:val="en-US"/>
        </w:rPr>
        <w:t xml:space="preserve"> </w:t>
      </w:r>
      <w:r w:rsidRPr="007B6419">
        <w:rPr>
          <w:i/>
          <w:iCs/>
          <w:lang w:val="en-US"/>
        </w:rPr>
        <w:t xml:space="preserve">An </w:t>
      </w:r>
      <w:r>
        <w:rPr>
          <w:i/>
          <w:iCs/>
          <w:lang w:val="en-US"/>
        </w:rPr>
        <w:t>E</w:t>
      </w:r>
      <w:r w:rsidRPr="007B6419">
        <w:rPr>
          <w:i/>
          <w:iCs/>
          <w:lang w:val="en-US"/>
        </w:rPr>
        <w:t xml:space="preserve">ssay on </w:t>
      </w:r>
      <w:r>
        <w:rPr>
          <w:i/>
          <w:iCs/>
          <w:lang w:val="en-US"/>
        </w:rPr>
        <w:t>P</w:t>
      </w:r>
      <w:r w:rsidRPr="007B6419">
        <w:rPr>
          <w:i/>
          <w:iCs/>
          <w:lang w:val="en-US"/>
        </w:rPr>
        <w:t xml:space="preserve">hilosophical </w:t>
      </w:r>
      <w:r>
        <w:rPr>
          <w:i/>
          <w:iCs/>
          <w:lang w:val="en-US"/>
        </w:rPr>
        <w:t>M</w:t>
      </w:r>
      <w:r w:rsidRPr="007B6419">
        <w:rPr>
          <w:i/>
          <w:iCs/>
          <w:lang w:val="en-US"/>
        </w:rPr>
        <w:t>ethod</w:t>
      </w:r>
      <w:r w:rsidRPr="007B6419">
        <w:rPr>
          <w:lang w:val="en-US"/>
        </w:rPr>
        <w:t>, Oxford, Clarendon Press</w:t>
      </w:r>
      <w:r>
        <w:rPr>
          <w:lang w:val="en-US"/>
        </w:rPr>
        <w:t>.</w:t>
      </w:r>
    </w:p>
    <w:p w14:paraId="56850C29" w14:textId="77777777" w:rsidR="00755957" w:rsidRDefault="00755957" w:rsidP="00755957">
      <w:pPr>
        <w:pStyle w:val="Bibliographie"/>
        <w:spacing w:line="240" w:lineRule="auto"/>
        <w:jc w:val="both"/>
        <w:rPr>
          <w:lang w:val="en-US"/>
        </w:rPr>
      </w:pPr>
      <w:r>
        <w:rPr>
          <w:lang w:val="en-US"/>
        </w:rPr>
        <w:t>- (2017 [1939]).</w:t>
      </w:r>
      <w:r w:rsidRPr="007B6419">
        <w:rPr>
          <w:lang w:val="en-US"/>
        </w:rPr>
        <w:t xml:space="preserve"> </w:t>
      </w:r>
      <w:r w:rsidRPr="007B6419">
        <w:rPr>
          <w:i/>
          <w:iCs/>
          <w:lang w:val="en-US"/>
        </w:rPr>
        <w:t>An Autobiography and Other Writings: With Essays on Collingwood’s Life and Work</w:t>
      </w:r>
      <w:r w:rsidRPr="007B6419">
        <w:rPr>
          <w:lang w:val="en-US"/>
        </w:rPr>
        <w:t>,</w:t>
      </w:r>
      <w:r>
        <w:rPr>
          <w:lang w:val="en-US"/>
        </w:rPr>
        <w:t xml:space="preserve"> édition dirigée David </w:t>
      </w:r>
      <w:r w:rsidRPr="00FE45B3">
        <w:rPr>
          <w:smallCaps/>
          <w:lang w:val="en-US"/>
        </w:rPr>
        <w:t>Boucher</w:t>
      </w:r>
      <w:r>
        <w:rPr>
          <w:lang w:val="en-US"/>
        </w:rPr>
        <w:t xml:space="preserve"> et Teresa </w:t>
      </w:r>
      <w:r w:rsidRPr="00FE45B3">
        <w:rPr>
          <w:smallCaps/>
          <w:lang w:val="en-US"/>
        </w:rPr>
        <w:t>Smith</w:t>
      </w:r>
      <w:r>
        <w:rPr>
          <w:lang w:val="en-US"/>
        </w:rPr>
        <w:t>,</w:t>
      </w:r>
      <w:r w:rsidRPr="007B6419">
        <w:rPr>
          <w:lang w:val="en-US"/>
        </w:rPr>
        <w:t xml:space="preserve"> Oxford, Oxford University Press</w:t>
      </w:r>
      <w:r>
        <w:rPr>
          <w:lang w:val="en-US"/>
        </w:rPr>
        <w:t>.</w:t>
      </w:r>
      <w:r w:rsidRPr="007B6419">
        <w:rPr>
          <w:lang w:val="en-US"/>
        </w:rPr>
        <w:t xml:space="preserve"> </w:t>
      </w:r>
    </w:p>
    <w:p w14:paraId="49306526" w14:textId="77777777" w:rsidR="00755957" w:rsidRPr="007B6419" w:rsidRDefault="00755957" w:rsidP="00755957">
      <w:pPr>
        <w:pStyle w:val="Bibliographie"/>
        <w:spacing w:line="240" w:lineRule="auto"/>
        <w:jc w:val="both"/>
        <w:rPr>
          <w:lang w:val="en-US"/>
        </w:rPr>
      </w:pPr>
      <w:r w:rsidRPr="00FE45B3">
        <w:rPr>
          <w:smallCaps/>
          <w:lang w:val="en-US"/>
        </w:rPr>
        <w:t>Collins</w:t>
      </w:r>
      <w:r>
        <w:rPr>
          <w:smallCaps/>
          <w:lang w:val="en-US"/>
        </w:rPr>
        <w:t>,</w:t>
      </w:r>
      <w:r w:rsidRPr="007B6419">
        <w:rPr>
          <w:lang w:val="en-US"/>
        </w:rPr>
        <w:t xml:space="preserve"> D</w:t>
      </w:r>
      <w:r>
        <w:rPr>
          <w:lang w:val="en-US"/>
        </w:rPr>
        <w:t>avid</w:t>
      </w:r>
      <w:r w:rsidRPr="007B6419">
        <w:rPr>
          <w:lang w:val="en-US"/>
        </w:rPr>
        <w:t xml:space="preserve"> </w:t>
      </w:r>
      <w:r>
        <w:rPr>
          <w:lang w:val="en-US"/>
        </w:rPr>
        <w:t>et</w:t>
      </w:r>
      <w:r w:rsidRPr="007B6419">
        <w:rPr>
          <w:lang w:val="en-US"/>
        </w:rPr>
        <w:t xml:space="preserve"> </w:t>
      </w:r>
      <w:r w:rsidRPr="00FE45B3">
        <w:rPr>
          <w:smallCaps/>
          <w:lang w:val="en-US"/>
        </w:rPr>
        <w:t>Williams</w:t>
      </w:r>
      <w:r w:rsidRPr="007B6419">
        <w:rPr>
          <w:lang w:val="en-US"/>
        </w:rPr>
        <w:t>, C</w:t>
      </w:r>
      <w:r>
        <w:rPr>
          <w:lang w:val="en-US"/>
        </w:rPr>
        <w:t>hristopher (2024).</w:t>
      </w:r>
      <w:r w:rsidRPr="007B6419">
        <w:rPr>
          <w:lang w:val="en-US"/>
        </w:rPr>
        <w:t xml:space="preserve"> </w:t>
      </w:r>
      <w:r w:rsidRPr="007B6419">
        <w:rPr>
          <w:i/>
          <w:iCs/>
          <w:lang w:val="en-US"/>
        </w:rPr>
        <w:t>Interpreting R. G. Collingwood: Critical Essays</w:t>
      </w:r>
      <w:r w:rsidRPr="007B6419">
        <w:rPr>
          <w:lang w:val="en-US"/>
        </w:rPr>
        <w:t>, Cambridge, United Kingdom; New York, Cambridge University Press.</w:t>
      </w:r>
    </w:p>
    <w:p w14:paraId="60A53DFE" w14:textId="45D7A568" w:rsidR="00755957" w:rsidRPr="007B6419" w:rsidRDefault="00755957" w:rsidP="00755957">
      <w:pPr>
        <w:pStyle w:val="Bibliographie"/>
        <w:spacing w:line="240" w:lineRule="auto"/>
        <w:jc w:val="both"/>
        <w:rPr>
          <w:lang w:val="en-US"/>
        </w:rPr>
      </w:pPr>
      <w:r w:rsidRPr="00FE45B3">
        <w:rPr>
          <w:smallCaps/>
          <w:lang w:val="en-US"/>
        </w:rPr>
        <w:t>Connelly</w:t>
      </w:r>
      <w:r>
        <w:rPr>
          <w:lang w:val="en-US"/>
        </w:rPr>
        <w:t>, James -</w:t>
      </w:r>
      <w:r w:rsidRPr="007B6419">
        <w:rPr>
          <w:lang w:val="en-US"/>
        </w:rPr>
        <w:t xml:space="preserve"> </w:t>
      </w:r>
      <w:r w:rsidRPr="00FE45B3">
        <w:rPr>
          <w:smallCaps/>
          <w:lang w:val="en-US"/>
        </w:rPr>
        <w:t>Johnson</w:t>
      </w:r>
      <w:r w:rsidRPr="007B6419">
        <w:rPr>
          <w:lang w:val="en-US"/>
        </w:rPr>
        <w:t>, P</w:t>
      </w:r>
      <w:r>
        <w:rPr>
          <w:lang w:val="en-US"/>
        </w:rPr>
        <w:t>atrick</w:t>
      </w:r>
      <w:r w:rsidRPr="007B6419">
        <w:rPr>
          <w:lang w:val="en-US"/>
        </w:rPr>
        <w:t xml:space="preserve"> </w:t>
      </w:r>
      <w:r>
        <w:rPr>
          <w:lang w:val="en-US"/>
        </w:rPr>
        <w:t>-</w:t>
      </w:r>
      <w:r w:rsidRPr="007B6419">
        <w:rPr>
          <w:lang w:val="en-US"/>
        </w:rPr>
        <w:t xml:space="preserve"> </w:t>
      </w:r>
      <w:r w:rsidRPr="00FE45B3">
        <w:rPr>
          <w:smallCaps/>
          <w:lang w:val="en-US"/>
        </w:rPr>
        <w:t>Leach</w:t>
      </w:r>
      <w:r w:rsidRPr="007B6419">
        <w:rPr>
          <w:lang w:val="en-US"/>
        </w:rPr>
        <w:t>, S</w:t>
      </w:r>
      <w:r>
        <w:rPr>
          <w:lang w:val="en-US"/>
        </w:rPr>
        <w:t>tephen (2015).</w:t>
      </w:r>
      <w:r w:rsidRPr="007B6419">
        <w:rPr>
          <w:lang w:val="en-US"/>
        </w:rPr>
        <w:t xml:space="preserve"> </w:t>
      </w:r>
      <w:r w:rsidRPr="007B6419">
        <w:rPr>
          <w:i/>
          <w:iCs/>
          <w:lang w:val="en-US"/>
        </w:rPr>
        <w:t>R. G. Collingwood: A Research Companion</w:t>
      </w:r>
      <w:r w:rsidRPr="007B6419">
        <w:rPr>
          <w:lang w:val="en-US"/>
        </w:rPr>
        <w:t>, New York</w:t>
      </w:r>
      <w:r>
        <w:rPr>
          <w:lang w:val="en-US"/>
        </w:rPr>
        <w:t>,</w:t>
      </w:r>
      <w:r w:rsidRPr="007B6419">
        <w:rPr>
          <w:lang w:val="en-US"/>
        </w:rPr>
        <w:t xml:space="preserve"> Bloomsbury Academi</w:t>
      </w:r>
      <w:r>
        <w:rPr>
          <w:lang w:val="en-US"/>
        </w:rPr>
        <w:t>c</w:t>
      </w:r>
      <w:r w:rsidRPr="007B6419">
        <w:rPr>
          <w:lang w:val="en-US"/>
        </w:rPr>
        <w:t>.</w:t>
      </w:r>
    </w:p>
    <w:p w14:paraId="3E481549" w14:textId="77777777" w:rsidR="00755957" w:rsidRDefault="00755957" w:rsidP="00755957">
      <w:pPr>
        <w:pStyle w:val="Bibliographie"/>
        <w:spacing w:line="240" w:lineRule="auto"/>
        <w:jc w:val="both"/>
      </w:pPr>
      <w:r w:rsidRPr="00FE45B3">
        <w:rPr>
          <w:smallCaps/>
        </w:rPr>
        <w:t>Cuchet</w:t>
      </w:r>
      <w:r>
        <w:t xml:space="preserve">, Guillaume, (2020). « Henri Marrou, lecteur de Raymond Aron », </w:t>
      </w:r>
      <w:r>
        <w:rPr>
          <w:i/>
          <w:iCs/>
        </w:rPr>
        <w:t>Faire de l’histoire religieuse dans une société srtie de la religion</w:t>
      </w:r>
      <w:r>
        <w:t>, Itinéraires, Paris, Éditions de la Sorbonne, p. 253</w:t>
      </w:r>
      <w:r>
        <w:rPr>
          <w:rFonts w:ascii="Cambria Math" w:hAnsi="Cambria Math" w:cs="Cambria Math"/>
        </w:rPr>
        <w:t>‑</w:t>
      </w:r>
      <w:r>
        <w:t>280.</w:t>
      </w:r>
    </w:p>
    <w:p w14:paraId="6E656D74" w14:textId="77777777" w:rsidR="00755957" w:rsidRDefault="00755957" w:rsidP="00755957">
      <w:pPr>
        <w:spacing w:line="240" w:lineRule="auto"/>
        <w:jc w:val="both"/>
      </w:pPr>
      <w:r w:rsidRPr="006C4234">
        <w:rPr>
          <w:smallCaps/>
        </w:rPr>
        <w:t>Dardel</w:t>
      </w:r>
      <w:r>
        <w:t xml:space="preserve">, </w:t>
      </w:r>
      <w:r w:rsidRPr="006C4234">
        <w:t>É</w:t>
      </w:r>
      <w:r>
        <w:t>ric (1946).</w:t>
      </w:r>
      <w:r w:rsidRPr="006C4234">
        <w:rPr>
          <w:i/>
          <w:iCs/>
        </w:rPr>
        <w:t xml:space="preserve"> </w:t>
      </w:r>
      <w:r>
        <w:rPr>
          <w:i/>
          <w:iCs/>
        </w:rPr>
        <w:t>L’Histoire, science du Concret</w:t>
      </w:r>
      <w:r>
        <w:t>, Paris, PUF.</w:t>
      </w:r>
    </w:p>
    <w:p w14:paraId="4424F679" w14:textId="77777777" w:rsidR="00755957" w:rsidRDefault="00755957" w:rsidP="00755957">
      <w:pPr>
        <w:spacing w:line="240" w:lineRule="auto"/>
        <w:jc w:val="both"/>
      </w:pPr>
      <w:r>
        <w:rPr>
          <w:smallCaps/>
        </w:rPr>
        <w:t xml:space="preserve">- (1952). </w:t>
      </w:r>
      <w:r>
        <w:rPr>
          <w:i/>
          <w:iCs/>
        </w:rPr>
        <w:t>L’Homme et la terre</w:t>
      </w:r>
      <w:r>
        <w:t>, Paris, PUF.</w:t>
      </w:r>
    </w:p>
    <w:p w14:paraId="59105932" w14:textId="77777777" w:rsidR="00755957" w:rsidRDefault="00755957" w:rsidP="00755957">
      <w:pPr>
        <w:spacing w:line="240" w:lineRule="auto"/>
        <w:jc w:val="both"/>
      </w:pPr>
      <w:r>
        <w:t xml:space="preserve">- (2014). </w:t>
      </w:r>
      <w:r w:rsidRPr="000B7C13">
        <w:rPr>
          <w:i/>
          <w:iCs/>
        </w:rPr>
        <w:t>É</w:t>
      </w:r>
      <w:r>
        <w:rPr>
          <w:i/>
          <w:iCs/>
        </w:rPr>
        <w:t>crits du Monde entier</w:t>
      </w:r>
      <w:r>
        <w:t>, Genève,</w:t>
      </w:r>
      <w:r w:rsidRPr="006C4234">
        <w:t xml:space="preserve"> </w:t>
      </w:r>
      <w:r>
        <w:t>Héros-Limite.</w:t>
      </w:r>
    </w:p>
    <w:p w14:paraId="633AB9D0" w14:textId="4DEE59CE" w:rsidR="00755957" w:rsidRDefault="00755957" w:rsidP="00755957">
      <w:pPr>
        <w:spacing w:line="240" w:lineRule="auto"/>
        <w:jc w:val="both"/>
      </w:pPr>
      <w:r w:rsidRPr="006C4234">
        <w:rPr>
          <w:smallCaps/>
        </w:rPr>
        <w:t>Davenson,</w:t>
      </w:r>
      <w:r>
        <w:t xml:space="preserve"> Henri (1939). « Denis de Rougemont : L’Amour et l’Occident », </w:t>
      </w:r>
      <w:r>
        <w:rPr>
          <w:i/>
          <w:iCs/>
        </w:rPr>
        <w:t>Esprit (1932-1939)</w:t>
      </w:r>
      <w:r>
        <w:t>, vol. 7, n° 79, 1939, p.70-76.</w:t>
      </w:r>
    </w:p>
    <w:p w14:paraId="5EF75AEB" w14:textId="34C3934C" w:rsidR="00755957" w:rsidRDefault="00755957" w:rsidP="00755957">
      <w:pPr>
        <w:pStyle w:val="Bibliographie"/>
        <w:spacing w:line="240" w:lineRule="auto"/>
        <w:jc w:val="both"/>
      </w:pPr>
      <w:r w:rsidRPr="006C4234">
        <w:rPr>
          <w:smallCaps/>
        </w:rPr>
        <w:t>De Strycker</w:t>
      </w:r>
      <w:r>
        <w:t xml:space="preserve">, Emile (1978). « Philosophie et Méthode, Actes du colloque de Bruxelles (Institut des Hautes Etudes de Belgique), édité par les soins de Ch. Perelman », </w:t>
      </w:r>
      <w:r>
        <w:rPr>
          <w:i/>
          <w:iCs/>
        </w:rPr>
        <w:t xml:space="preserve">Revue Belge de Philologie et </w:t>
      </w:r>
      <w:r w:rsidRPr="006C4234">
        <w:rPr>
          <w:i/>
          <w:iCs/>
        </w:rPr>
        <w:t>d'Histoire</w:t>
      </w:r>
      <w:r>
        <w:rPr>
          <w:i/>
          <w:iCs/>
        </w:rPr>
        <w:t xml:space="preserve">, </w:t>
      </w:r>
      <w:r>
        <w:t xml:space="preserve">56-3, 1978, p.780-782. </w:t>
      </w:r>
    </w:p>
    <w:p w14:paraId="5267DAF6" w14:textId="73AD0DF6" w:rsidR="00755957" w:rsidRDefault="00755957" w:rsidP="00755957">
      <w:pPr>
        <w:pStyle w:val="Bibliographie"/>
        <w:spacing w:line="240" w:lineRule="auto"/>
        <w:jc w:val="both"/>
      </w:pPr>
      <w:r w:rsidRPr="006C4234">
        <w:rPr>
          <w:smallCaps/>
        </w:rPr>
        <w:t>Devaux</w:t>
      </w:r>
      <w:r>
        <w:t xml:space="preserve">, André-A. (1971). « Albert Shalom, R. G. Collingwood, philosophe et historien », </w:t>
      </w:r>
      <w:r>
        <w:rPr>
          <w:i/>
          <w:iCs/>
        </w:rPr>
        <w:t>Revue Philosophique de Louvain</w:t>
      </w:r>
      <w:r>
        <w:t>, vol. 3, 1971, p. 431</w:t>
      </w:r>
      <w:r>
        <w:rPr>
          <w:rFonts w:ascii="Cambria Math" w:hAnsi="Cambria Math" w:cs="Cambria Math"/>
        </w:rPr>
        <w:t>‑</w:t>
      </w:r>
      <w:r>
        <w:t>432.</w:t>
      </w:r>
    </w:p>
    <w:p w14:paraId="7547F74A" w14:textId="77777777" w:rsidR="00755957" w:rsidRDefault="00755957" w:rsidP="00755957">
      <w:pPr>
        <w:pStyle w:val="Bibliographie"/>
        <w:spacing w:line="240" w:lineRule="auto"/>
        <w:jc w:val="both"/>
      </w:pPr>
      <w:r w:rsidRPr="006C4234">
        <w:rPr>
          <w:smallCaps/>
        </w:rPr>
        <w:t>Domenach</w:t>
      </w:r>
      <w:r>
        <w:t xml:space="preserve">, Léa et </w:t>
      </w:r>
      <w:r w:rsidRPr="006C4234">
        <w:rPr>
          <w:smallCaps/>
        </w:rPr>
        <w:t>Domenach</w:t>
      </w:r>
      <w:r>
        <w:t xml:space="preserve">, Hugo (2021). </w:t>
      </w:r>
      <w:r>
        <w:rPr>
          <w:i/>
          <w:iCs/>
        </w:rPr>
        <w:t>Les Murs Blancs</w:t>
      </w:r>
      <w:r>
        <w:t>, Paris, Grasset.</w:t>
      </w:r>
    </w:p>
    <w:p w14:paraId="64E6CF9C" w14:textId="147615E4" w:rsidR="00755957" w:rsidRPr="007B6419" w:rsidRDefault="00755957" w:rsidP="00755957">
      <w:pPr>
        <w:pStyle w:val="Bibliographie"/>
        <w:spacing w:line="240" w:lineRule="auto"/>
        <w:jc w:val="both"/>
        <w:rPr>
          <w:lang w:val="en-US"/>
        </w:rPr>
      </w:pPr>
      <w:r w:rsidRPr="00011D96">
        <w:rPr>
          <w:smallCaps/>
          <w:lang w:val="en-US"/>
        </w:rPr>
        <w:t>Donagan</w:t>
      </w:r>
      <w:r w:rsidRPr="007B6419">
        <w:rPr>
          <w:lang w:val="en-US"/>
        </w:rPr>
        <w:t>, A</w:t>
      </w:r>
      <w:r>
        <w:rPr>
          <w:lang w:val="en-US"/>
        </w:rPr>
        <w:t>lan (1956).</w:t>
      </w:r>
      <w:r w:rsidRPr="007B6419">
        <w:rPr>
          <w:lang w:val="en-US"/>
        </w:rPr>
        <w:t xml:space="preserve"> « The Verification of Historical Theses », </w:t>
      </w:r>
      <w:r w:rsidRPr="007B6419">
        <w:rPr>
          <w:i/>
          <w:iCs/>
          <w:lang w:val="en-US"/>
        </w:rPr>
        <w:t>The Philosophical Quarterly (1950-)</w:t>
      </w:r>
      <w:r w:rsidRPr="007B6419">
        <w:rPr>
          <w:lang w:val="en-US"/>
        </w:rPr>
        <w:t>, vol. 6, n° 24,</w:t>
      </w:r>
      <w:r>
        <w:rPr>
          <w:lang w:val="en-US"/>
        </w:rPr>
        <w:t xml:space="preserve"> 1956,</w:t>
      </w:r>
      <w:r w:rsidRPr="007B6419">
        <w:rPr>
          <w:lang w:val="en-US"/>
        </w:rPr>
        <w:t xml:space="preserve"> p</w:t>
      </w:r>
      <w:r>
        <w:rPr>
          <w:lang w:val="en-US"/>
        </w:rPr>
        <w:t>.</w:t>
      </w:r>
      <w:r w:rsidRPr="007B6419">
        <w:rPr>
          <w:lang w:val="en-US"/>
        </w:rPr>
        <w:t> 193</w:t>
      </w:r>
      <w:r w:rsidRPr="007B6419">
        <w:rPr>
          <w:rFonts w:ascii="Cambria Math" w:hAnsi="Cambria Math" w:cs="Cambria Math"/>
          <w:lang w:val="en-US"/>
        </w:rPr>
        <w:t>‑</w:t>
      </w:r>
      <w:r w:rsidRPr="007B6419">
        <w:rPr>
          <w:lang w:val="en-US"/>
        </w:rPr>
        <w:t>208.</w:t>
      </w:r>
    </w:p>
    <w:p w14:paraId="05B78C16" w14:textId="77777777" w:rsidR="00755957" w:rsidRPr="007B6419" w:rsidRDefault="00755957" w:rsidP="00755957">
      <w:pPr>
        <w:pStyle w:val="Bibliographie"/>
        <w:spacing w:line="240" w:lineRule="auto"/>
        <w:jc w:val="both"/>
        <w:rPr>
          <w:lang w:val="en-US"/>
        </w:rPr>
      </w:pPr>
      <w:r>
        <w:rPr>
          <w:lang w:val="en-US"/>
        </w:rPr>
        <w:t xml:space="preserve">- (1962). </w:t>
      </w:r>
      <w:r w:rsidRPr="007B6419">
        <w:rPr>
          <w:i/>
          <w:iCs/>
          <w:lang w:val="en-US"/>
        </w:rPr>
        <w:t>The Later Philosophy of R.G. Collingwood</w:t>
      </w:r>
      <w:r w:rsidRPr="007B6419">
        <w:rPr>
          <w:lang w:val="en-US"/>
        </w:rPr>
        <w:t>, Oxford, Clarendon Press</w:t>
      </w:r>
      <w:r>
        <w:rPr>
          <w:lang w:val="en-US"/>
        </w:rPr>
        <w:t>.</w:t>
      </w:r>
    </w:p>
    <w:p w14:paraId="6D85D77F" w14:textId="77777777" w:rsidR="00755957" w:rsidRPr="007B6419" w:rsidRDefault="00755957" w:rsidP="00755957">
      <w:pPr>
        <w:pStyle w:val="Bibliographie"/>
        <w:spacing w:line="240" w:lineRule="auto"/>
        <w:jc w:val="both"/>
        <w:rPr>
          <w:lang w:val="en-US"/>
        </w:rPr>
      </w:pPr>
      <w:r w:rsidRPr="00011D96">
        <w:rPr>
          <w:smallCaps/>
          <w:lang w:val="en-US"/>
        </w:rPr>
        <w:t>Dray</w:t>
      </w:r>
      <w:r w:rsidRPr="007B6419">
        <w:rPr>
          <w:lang w:val="en-US"/>
        </w:rPr>
        <w:t>, W</w:t>
      </w:r>
      <w:r>
        <w:rPr>
          <w:lang w:val="en-US"/>
        </w:rPr>
        <w:t xml:space="preserve">illiam </w:t>
      </w:r>
      <w:r w:rsidRPr="007B6419">
        <w:rPr>
          <w:lang w:val="en-US"/>
        </w:rPr>
        <w:t>H.</w:t>
      </w:r>
      <w:r>
        <w:rPr>
          <w:lang w:val="en-US"/>
        </w:rPr>
        <w:t xml:space="preserve"> (1995).</w:t>
      </w:r>
      <w:r w:rsidRPr="007B6419">
        <w:rPr>
          <w:lang w:val="en-US"/>
        </w:rPr>
        <w:t xml:space="preserve"> </w:t>
      </w:r>
      <w:r w:rsidRPr="007B6419">
        <w:rPr>
          <w:i/>
          <w:iCs/>
          <w:lang w:val="en-US"/>
        </w:rPr>
        <w:t>History as Re-Enactment : R.G. Collingwood’s Idea of History</w:t>
      </w:r>
      <w:r w:rsidRPr="007B6419">
        <w:rPr>
          <w:lang w:val="en-US"/>
        </w:rPr>
        <w:t>, Oxford, Clarendon</w:t>
      </w:r>
      <w:r>
        <w:rPr>
          <w:lang w:val="en-US"/>
        </w:rPr>
        <w:t>.</w:t>
      </w:r>
    </w:p>
    <w:p w14:paraId="42A9031F" w14:textId="77777777" w:rsidR="00755957" w:rsidRDefault="00755957" w:rsidP="00755957">
      <w:pPr>
        <w:pStyle w:val="Bibliographie"/>
        <w:spacing w:line="240" w:lineRule="auto"/>
        <w:jc w:val="both"/>
      </w:pPr>
      <w:r w:rsidRPr="00011D96">
        <w:rPr>
          <w:smallCaps/>
        </w:rPr>
        <w:t>Engel</w:t>
      </w:r>
      <w:r>
        <w:t xml:space="preserve">, Pascal, (2020). </w:t>
      </w:r>
      <w:r>
        <w:rPr>
          <w:i/>
          <w:iCs/>
        </w:rPr>
        <w:t>La Dispute : une introduction à la philosophie analytique</w:t>
      </w:r>
      <w:r>
        <w:t>, Paris, Minuit.</w:t>
      </w:r>
    </w:p>
    <w:p w14:paraId="68E989F6" w14:textId="77777777" w:rsidR="00755957" w:rsidRPr="00F22D8B" w:rsidRDefault="00755957" w:rsidP="00755957">
      <w:pPr>
        <w:spacing w:line="240" w:lineRule="auto"/>
        <w:jc w:val="both"/>
        <w:rPr>
          <w:lang w:val="en-US"/>
        </w:rPr>
      </w:pPr>
      <w:r w:rsidRPr="00011D96">
        <w:rPr>
          <w:smallCaps/>
          <w:lang w:val="en-US"/>
        </w:rPr>
        <w:t>Fear,</w:t>
      </w:r>
      <w:r>
        <w:rPr>
          <w:lang w:val="en-US"/>
        </w:rPr>
        <w:t xml:space="preserve"> Christopher (2013). </w:t>
      </w:r>
      <w:r w:rsidRPr="00A24645">
        <w:rPr>
          <w:lang w:val="en-US"/>
        </w:rPr>
        <w:t>« Old Problems R</w:t>
      </w:r>
      <w:r>
        <w:rPr>
          <w:lang w:val="en-US"/>
        </w:rPr>
        <w:t xml:space="preserve">e-opened, R.G. Collingwood and the History of Ideas </w:t>
      </w:r>
      <w:r w:rsidRPr="00A24645">
        <w:rPr>
          <w:lang w:val="en-US"/>
        </w:rPr>
        <w:t xml:space="preserve">», </w:t>
      </w:r>
      <w:r w:rsidRPr="00011D96">
        <w:rPr>
          <w:i/>
          <w:iCs/>
          <w:lang w:val="en-US"/>
        </w:rPr>
        <w:t>Doctoral Thesis</w:t>
      </w:r>
      <w:r w:rsidRPr="00A24645">
        <w:rPr>
          <w:lang w:val="en-US"/>
        </w:rPr>
        <w:t>, University of Exeter.</w:t>
      </w:r>
    </w:p>
    <w:p w14:paraId="625E8A11" w14:textId="77777777" w:rsidR="00755957" w:rsidRPr="00D863D0" w:rsidRDefault="00755957" w:rsidP="00755957">
      <w:pPr>
        <w:spacing w:line="240" w:lineRule="auto"/>
        <w:jc w:val="both"/>
        <w:rPr>
          <w:lang w:val="en-US"/>
        </w:rPr>
      </w:pPr>
      <w:r w:rsidRPr="00011D96">
        <w:rPr>
          <w:smallCaps/>
          <w:lang w:val="en-US"/>
        </w:rPr>
        <w:t>Foisneau</w:t>
      </w:r>
      <w:r>
        <w:rPr>
          <w:smallCaps/>
          <w:lang w:val="en-US"/>
        </w:rPr>
        <w:t xml:space="preserve">, </w:t>
      </w:r>
      <w:r w:rsidRPr="00D863D0">
        <w:rPr>
          <w:lang w:val="en-US"/>
        </w:rPr>
        <w:t>Luc</w:t>
      </w:r>
      <w:r>
        <w:rPr>
          <w:lang w:val="en-US"/>
        </w:rPr>
        <w:t xml:space="preserve"> (2005).</w:t>
      </w:r>
      <w:r>
        <w:rPr>
          <w:i/>
          <w:iCs/>
          <w:lang w:val="en-US"/>
        </w:rPr>
        <w:t xml:space="preserve"> "Leviathan"</w:t>
      </w:r>
      <w:r w:rsidRPr="00D863D0">
        <w:rPr>
          <w:i/>
          <w:iCs/>
          <w:lang w:val="en-US"/>
        </w:rPr>
        <w:t xml:space="preserve"> Between the Wars,</w:t>
      </w:r>
      <w:r>
        <w:rPr>
          <w:i/>
          <w:iCs/>
          <w:lang w:val="en-US"/>
        </w:rPr>
        <w:t xml:space="preserve"> Hobbes' Impact on Early Twentieth Century Political Philosophy, </w:t>
      </w:r>
      <w:r>
        <w:rPr>
          <w:lang w:val="en-US"/>
        </w:rPr>
        <w:t>Theology and Philosophy, Rechtsphilosophische Hefte, vol.11,</w:t>
      </w:r>
      <w:r w:rsidRPr="00D863D0">
        <w:rPr>
          <w:i/>
          <w:iCs/>
          <w:lang w:val="en-US"/>
        </w:rPr>
        <w:t xml:space="preserve"> </w:t>
      </w:r>
      <w:r w:rsidRPr="00D863D0">
        <w:rPr>
          <w:lang w:val="en-US"/>
        </w:rPr>
        <w:t>Peter Lang</w:t>
      </w:r>
      <w:r>
        <w:rPr>
          <w:lang w:val="en-US"/>
        </w:rPr>
        <w:t>.</w:t>
      </w:r>
    </w:p>
    <w:p w14:paraId="5FE39700" w14:textId="77777777" w:rsidR="00755957" w:rsidRDefault="00755957" w:rsidP="00755957">
      <w:pPr>
        <w:pStyle w:val="Bibliographie"/>
        <w:spacing w:line="240" w:lineRule="auto"/>
        <w:jc w:val="both"/>
      </w:pPr>
      <w:r w:rsidRPr="00011D96">
        <w:rPr>
          <w:smallCaps/>
        </w:rPr>
        <w:t>Foucault</w:t>
      </w:r>
      <w:r>
        <w:t xml:space="preserve">, Michel (2014). </w:t>
      </w:r>
      <w:r>
        <w:rPr>
          <w:i/>
          <w:iCs/>
        </w:rPr>
        <w:t>L’archéologie du savoir</w:t>
      </w:r>
      <w:r>
        <w:t>, Paris, Gallimard, 2014.</w:t>
      </w:r>
    </w:p>
    <w:p w14:paraId="3924B943" w14:textId="0C16CE0A" w:rsidR="00755957" w:rsidRDefault="00755957" w:rsidP="00755957">
      <w:pPr>
        <w:pStyle w:val="Bibliographie"/>
        <w:spacing w:line="240" w:lineRule="auto"/>
        <w:jc w:val="both"/>
      </w:pPr>
      <w:r w:rsidRPr="00011D96">
        <w:rPr>
          <w:smallCaps/>
        </w:rPr>
        <w:t>Fruchon</w:t>
      </w:r>
      <w:r>
        <w:t xml:space="preserve">, Pierre (1958). « Signification de l’histoire de la philosophie selon l’autobiographie de Collingwood », </w:t>
      </w:r>
      <w:r>
        <w:rPr>
          <w:i/>
          <w:iCs/>
        </w:rPr>
        <w:t>Les Études philosophiques</w:t>
      </w:r>
      <w:r>
        <w:t>, vol. 13, n° 2, 1958, p. 143</w:t>
      </w:r>
      <w:r>
        <w:rPr>
          <w:rFonts w:ascii="Cambria Math" w:hAnsi="Cambria Math" w:cs="Cambria Math"/>
        </w:rPr>
        <w:t>‑</w:t>
      </w:r>
      <w:r>
        <w:t>160.</w:t>
      </w:r>
    </w:p>
    <w:p w14:paraId="50E40625" w14:textId="6AACE51E" w:rsidR="00755957" w:rsidRDefault="00755957" w:rsidP="00755957">
      <w:pPr>
        <w:pStyle w:val="Bibliographie"/>
        <w:spacing w:line="240" w:lineRule="auto"/>
        <w:jc w:val="both"/>
      </w:pPr>
      <w:r w:rsidRPr="00011D96">
        <w:rPr>
          <w:smallCaps/>
        </w:rPr>
        <w:t>Gandon</w:t>
      </w:r>
      <w:r>
        <w:t xml:space="preserve">, Sébastien et </w:t>
      </w:r>
      <w:r w:rsidRPr="00011D96">
        <w:rPr>
          <w:smallCaps/>
        </w:rPr>
        <w:t>Marion</w:t>
      </w:r>
      <w:r>
        <w:t xml:space="preserve"> Mathieu (2009). « L’idéalisme britannique : histoire et actualité », </w:t>
      </w:r>
      <w:r>
        <w:rPr>
          <w:i/>
          <w:iCs/>
        </w:rPr>
        <w:t>Philosophiques</w:t>
      </w:r>
      <w:r>
        <w:t>, vol. 36, n° 1, 2009, p. 3</w:t>
      </w:r>
      <w:r>
        <w:rPr>
          <w:rFonts w:ascii="Cambria Math" w:hAnsi="Cambria Math" w:cs="Cambria Math"/>
        </w:rPr>
        <w:t>‑</w:t>
      </w:r>
      <w:r>
        <w:t>34.</w:t>
      </w:r>
    </w:p>
    <w:p w14:paraId="56CCAC3B" w14:textId="77777777" w:rsidR="00755957" w:rsidRDefault="00755957" w:rsidP="00755957">
      <w:pPr>
        <w:spacing w:line="240" w:lineRule="auto"/>
        <w:jc w:val="both"/>
      </w:pPr>
      <w:r w:rsidRPr="00011D96">
        <w:rPr>
          <w:smallCaps/>
        </w:rPr>
        <w:t>Guéroult</w:t>
      </w:r>
      <w:r>
        <w:t xml:space="preserve">, Martial (1953). </w:t>
      </w:r>
      <w:r>
        <w:rPr>
          <w:i/>
          <w:iCs/>
        </w:rPr>
        <w:t>Descartes selon l’ordre des raisons</w:t>
      </w:r>
      <w:r>
        <w:t xml:space="preserve">, Paris, Aubier. </w:t>
      </w:r>
    </w:p>
    <w:p w14:paraId="04F837C4" w14:textId="77777777" w:rsidR="00755957" w:rsidRPr="008247AA" w:rsidRDefault="00755957" w:rsidP="00755957">
      <w:pPr>
        <w:spacing w:line="240" w:lineRule="auto"/>
        <w:jc w:val="both"/>
        <w:rPr>
          <w:rFonts w:ascii="Calibri" w:hAnsi="Calibri" w:cs="Calibri"/>
          <w:kern w:val="0"/>
        </w:rPr>
      </w:pPr>
      <w:r>
        <w:rPr>
          <w:rFonts w:ascii="Calibri" w:hAnsi="Calibri" w:cs="Calibri"/>
          <w:kern w:val="0"/>
        </w:rPr>
        <w:t xml:space="preserve">- (1957). </w:t>
      </w:r>
      <w:r w:rsidRPr="00DE790C">
        <w:rPr>
          <w:rFonts w:ascii="Calibri" w:hAnsi="Calibri" w:cs="Calibri"/>
          <w:kern w:val="0"/>
        </w:rPr>
        <w:t>«</w:t>
      </w:r>
      <w:r>
        <w:rPr>
          <w:rFonts w:ascii="Calibri" w:hAnsi="Calibri" w:cs="Calibri"/>
          <w:kern w:val="0"/>
        </w:rPr>
        <w:t xml:space="preserve"> </w:t>
      </w:r>
      <w:r w:rsidRPr="00DE790C">
        <w:rPr>
          <w:rFonts w:ascii="Calibri" w:hAnsi="Calibri" w:cs="Calibri"/>
          <w:kern w:val="0"/>
        </w:rPr>
        <w:t>Logique, architectonique et structures constitutives des systèmes philosophiques »,</w:t>
      </w:r>
      <w:r>
        <w:rPr>
          <w:rFonts w:ascii="Calibri" w:hAnsi="Calibri" w:cs="Calibri"/>
          <w:kern w:val="0"/>
        </w:rPr>
        <w:t xml:space="preserve"> </w:t>
      </w:r>
      <w:r w:rsidRPr="00DE790C">
        <w:rPr>
          <w:rFonts w:ascii="Calibri" w:hAnsi="Calibri" w:cs="Calibri"/>
          <w:i/>
          <w:iCs/>
          <w:kern w:val="0"/>
        </w:rPr>
        <w:t>Encyclopédie française</w:t>
      </w:r>
      <w:r w:rsidRPr="00DE790C">
        <w:rPr>
          <w:rFonts w:ascii="Calibri" w:hAnsi="Calibri" w:cs="Calibri"/>
          <w:kern w:val="0"/>
        </w:rPr>
        <w:t>, vol. XIX, I</w:t>
      </w:r>
      <w:r>
        <w:rPr>
          <w:rFonts w:ascii="Calibri" w:hAnsi="Calibri" w:cs="Calibri"/>
          <w:kern w:val="0"/>
        </w:rPr>
        <w:t>ère</w:t>
      </w:r>
      <w:r w:rsidRPr="00DE790C">
        <w:rPr>
          <w:rFonts w:ascii="Calibri" w:hAnsi="Calibri" w:cs="Calibri"/>
          <w:kern w:val="0"/>
        </w:rPr>
        <w:t xml:space="preserve"> partie, section C, Paris</w:t>
      </w:r>
      <w:r>
        <w:rPr>
          <w:rFonts w:ascii="Calibri" w:hAnsi="Calibri" w:cs="Calibri"/>
          <w:kern w:val="0"/>
        </w:rPr>
        <w:t xml:space="preserve">. </w:t>
      </w:r>
    </w:p>
    <w:p w14:paraId="418015FF" w14:textId="55BA2790" w:rsidR="00755957" w:rsidRDefault="00755957" w:rsidP="00755957">
      <w:pPr>
        <w:pStyle w:val="Bibliographie"/>
        <w:spacing w:line="240" w:lineRule="auto"/>
        <w:jc w:val="both"/>
      </w:pPr>
      <w:r w:rsidRPr="008247AA">
        <w:rPr>
          <w:smallCaps/>
        </w:rPr>
        <w:t>Jaffro</w:t>
      </w:r>
      <w:r>
        <w:t xml:space="preserve">, Laurent (2008).  « Communauté et société, Collingwood contre les sociologues », </w:t>
      </w:r>
      <w:r>
        <w:rPr>
          <w:i/>
          <w:iCs/>
        </w:rPr>
        <w:t>Dialogue</w:t>
      </w:r>
      <w:r>
        <w:t>, vol. 47, n° 2, 2008, p. 253</w:t>
      </w:r>
      <w:r>
        <w:rPr>
          <w:rFonts w:ascii="Cambria Math" w:hAnsi="Cambria Math" w:cs="Cambria Math"/>
        </w:rPr>
        <w:t>‑</w:t>
      </w:r>
      <w:r>
        <w:t>271.</w:t>
      </w:r>
    </w:p>
    <w:p w14:paraId="69D8AF86" w14:textId="49433360" w:rsidR="00755957" w:rsidRPr="00755957" w:rsidRDefault="00755957" w:rsidP="00755957">
      <w:pPr>
        <w:pStyle w:val="Bibliographie"/>
        <w:spacing w:line="240" w:lineRule="auto"/>
        <w:jc w:val="both"/>
      </w:pPr>
      <w:r>
        <w:t xml:space="preserve">- (2009) « L’argument du sens commun et la « persécution des scientifiques ». </w:t>
      </w:r>
      <w:r w:rsidRPr="00755957">
        <w:t xml:space="preserve">Collingwood contre Moore », </w:t>
      </w:r>
      <w:r w:rsidRPr="00755957">
        <w:rPr>
          <w:i/>
          <w:iCs/>
        </w:rPr>
        <w:t>Philosophiques</w:t>
      </w:r>
      <w:r w:rsidRPr="00755957">
        <w:t>, vol. 36, n° 1,</w:t>
      </w:r>
      <w:r>
        <w:t xml:space="preserve"> 2009,</w:t>
      </w:r>
      <w:r w:rsidRPr="00755957">
        <w:t xml:space="preserve"> p. 131</w:t>
      </w:r>
      <w:r w:rsidRPr="00755957">
        <w:rPr>
          <w:rFonts w:ascii="Cambria Math" w:hAnsi="Cambria Math" w:cs="Cambria Math"/>
        </w:rPr>
        <w:t>‑</w:t>
      </w:r>
      <w:r w:rsidRPr="00755957">
        <w:t>147.</w:t>
      </w:r>
    </w:p>
    <w:p w14:paraId="38D2AA5B" w14:textId="77777777" w:rsidR="00755957" w:rsidRPr="008247AA" w:rsidRDefault="00755957" w:rsidP="00755957">
      <w:pPr>
        <w:spacing w:line="240" w:lineRule="auto"/>
        <w:jc w:val="both"/>
      </w:pPr>
      <w:r w:rsidRPr="008247AA">
        <w:rPr>
          <w:smallCaps/>
          <w:lang w:val="fr-FR"/>
        </w:rPr>
        <w:t>Janicaud</w:t>
      </w:r>
      <w:r>
        <w:rPr>
          <w:lang w:val="fr-FR"/>
        </w:rPr>
        <w:t xml:space="preserve">, Dominique (2001). </w:t>
      </w:r>
      <w:r w:rsidRPr="008247AA">
        <w:rPr>
          <w:i/>
          <w:iCs/>
        </w:rPr>
        <w:t>Heidegger en France</w:t>
      </w:r>
      <w:r w:rsidRPr="008247AA">
        <w:t>, Paris, A</w:t>
      </w:r>
      <w:r>
        <w:t xml:space="preserve">lbin Michel. </w:t>
      </w:r>
    </w:p>
    <w:p w14:paraId="04DE3682" w14:textId="640749D4" w:rsidR="00755957" w:rsidRDefault="00755957" w:rsidP="00755957">
      <w:pPr>
        <w:pStyle w:val="Bibliographie"/>
        <w:spacing w:line="240" w:lineRule="auto"/>
        <w:jc w:val="both"/>
        <w:rPr>
          <w:lang w:val="en-US"/>
        </w:rPr>
      </w:pPr>
      <w:r w:rsidRPr="008247AA">
        <w:rPr>
          <w:smallCaps/>
        </w:rPr>
        <w:t>Kobayashi,</w:t>
      </w:r>
      <w:r w:rsidRPr="008247AA">
        <w:t xml:space="preserve"> Chinastsu et </w:t>
      </w:r>
      <w:r w:rsidRPr="008247AA">
        <w:rPr>
          <w:smallCaps/>
        </w:rPr>
        <w:t>Marion</w:t>
      </w:r>
      <w:r w:rsidRPr="008247AA">
        <w:t>, Mathieu, (2011).</w:t>
      </w:r>
      <w:r>
        <w:t xml:space="preserve"> </w:t>
      </w:r>
      <w:r w:rsidRPr="008247AA">
        <w:rPr>
          <w:lang w:val="en-US"/>
        </w:rPr>
        <w:t>« </w:t>
      </w:r>
      <w:r w:rsidRPr="007B6419">
        <w:rPr>
          <w:lang w:val="en-US"/>
        </w:rPr>
        <w:t xml:space="preserve">Gadamer and Collingwood on Temporal Distance and Understanding », </w:t>
      </w:r>
      <w:r w:rsidRPr="007B6419">
        <w:rPr>
          <w:i/>
          <w:iCs/>
          <w:lang w:val="en-US"/>
        </w:rPr>
        <w:t>History and Theory</w:t>
      </w:r>
      <w:r w:rsidRPr="007B6419">
        <w:rPr>
          <w:lang w:val="en-US"/>
        </w:rPr>
        <w:t>, vol. 50, n° 4,</w:t>
      </w:r>
      <w:r>
        <w:rPr>
          <w:lang w:val="en-US"/>
        </w:rPr>
        <w:t xml:space="preserve"> 2011, p.</w:t>
      </w:r>
      <w:r w:rsidRPr="007B6419">
        <w:rPr>
          <w:lang w:val="en-US"/>
        </w:rPr>
        <w:t>81</w:t>
      </w:r>
      <w:r w:rsidRPr="007B6419">
        <w:rPr>
          <w:rFonts w:ascii="Cambria Math" w:hAnsi="Cambria Math" w:cs="Cambria Math"/>
          <w:lang w:val="en-US"/>
        </w:rPr>
        <w:t>‑</w:t>
      </w:r>
      <w:r w:rsidRPr="007B6419">
        <w:rPr>
          <w:lang w:val="en-US"/>
        </w:rPr>
        <w:t>103.</w:t>
      </w:r>
    </w:p>
    <w:p w14:paraId="5BDDDDB6" w14:textId="77777777" w:rsidR="00755957" w:rsidRPr="00F22D8B" w:rsidRDefault="00755957" w:rsidP="00755957">
      <w:pPr>
        <w:pStyle w:val="Bibliographie"/>
        <w:spacing w:line="240" w:lineRule="auto"/>
        <w:jc w:val="both"/>
        <w:rPr>
          <w:lang w:val="en-US"/>
        </w:rPr>
      </w:pPr>
      <w:r w:rsidRPr="008247AA">
        <w:rPr>
          <w:smallCaps/>
          <w:lang w:val="en-US"/>
        </w:rPr>
        <w:t>Krausz</w:t>
      </w:r>
      <w:r>
        <w:rPr>
          <w:i/>
          <w:iCs/>
          <w:smallCaps/>
          <w:lang w:val="en-US"/>
        </w:rPr>
        <w:t xml:space="preserve">, </w:t>
      </w:r>
      <w:r>
        <w:rPr>
          <w:lang w:val="en-US"/>
        </w:rPr>
        <w:t xml:space="preserve">Michaël (1972). </w:t>
      </w:r>
      <w:r>
        <w:rPr>
          <w:i/>
          <w:iCs/>
          <w:lang w:val="en-US"/>
        </w:rPr>
        <w:t>Cr</w:t>
      </w:r>
      <w:r w:rsidRPr="007B6419">
        <w:rPr>
          <w:i/>
          <w:iCs/>
          <w:lang w:val="en-US"/>
        </w:rPr>
        <w:t>itical Essays on the Philosophy of R. G. Collingwood</w:t>
      </w:r>
      <w:r>
        <w:rPr>
          <w:i/>
          <w:iCs/>
          <w:lang w:val="en-US"/>
        </w:rPr>
        <w:t>,</w:t>
      </w:r>
      <w:r w:rsidRPr="007B6419">
        <w:rPr>
          <w:lang w:val="en-US"/>
        </w:rPr>
        <w:t xml:space="preserve"> Oxford, Clarendon Press</w:t>
      </w:r>
      <w:r>
        <w:rPr>
          <w:lang w:val="en-US"/>
        </w:rPr>
        <w:t>.</w:t>
      </w:r>
    </w:p>
    <w:p w14:paraId="698F69B4" w14:textId="77777777" w:rsidR="00755957" w:rsidRDefault="00755957" w:rsidP="00755957">
      <w:pPr>
        <w:pStyle w:val="Bibliographie"/>
        <w:spacing w:line="240" w:lineRule="auto"/>
        <w:jc w:val="both"/>
      </w:pPr>
      <w:r w:rsidRPr="008247AA">
        <w:rPr>
          <w:smallCaps/>
        </w:rPr>
        <w:t>Langlois</w:t>
      </w:r>
      <w:r>
        <w:t xml:space="preserve">, Charles-V. et </w:t>
      </w:r>
      <w:r w:rsidRPr="008247AA">
        <w:rPr>
          <w:smallCaps/>
        </w:rPr>
        <w:t>Seignobos</w:t>
      </w:r>
      <w:r>
        <w:t xml:space="preserve">, Charles (1898). </w:t>
      </w:r>
      <w:r>
        <w:rPr>
          <w:i/>
          <w:iCs/>
        </w:rPr>
        <w:t>Introduction aux études historiques</w:t>
      </w:r>
      <w:r>
        <w:t>, Paris, Hachette et Cie.</w:t>
      </w:r>
    </w:p>
    <w:p w14:paraId="3DD70F62" w14:textId="77777777" w:rsidR="00755957" w:rsidRDefault="00755957" w:rsidP="00755957">
      <w:pPr>
        <w:pStyle w:val="Bibliographie"/>
        <w:spacing w:line="240" w:lineRule="auto"/>
        <w:jc w:val="both"/>
      </w:pPr>
      <w:r w:rsidRPr="008247AA">
        <w:rPr>
          <w:smallCaps/>
        </w:rPr>
        <w:t>Lapointe</w:t>
      </w:r>
      <w:r>
        <w:t xml:space="preserve">, Alexis et </w:t>
      </w:r>
      <w:r w:rsidRPr="008247AA">
        <w:rPr>
          <w:smallCaps/>
        </w:rPr>
        <w:t>Nadeau</w:t>
      </w:r>
      <w:r>
        <w:t xml:space="preserve"> Christian (2008).  </w:t>
      </w:r>
      <w:r w:rsidRPr="008247AA">
        <w:rPr>
          <w:i/>
          <w:iCs/>
        </w:rPr>
        <w:t>La</w:t>
      </w:r>
      <w:r>
        <w:t xml:space="preserve"> </w:t>
      </w:r>
      <w:r>
        <w:rPr>
          <w:i/>
          <w:iCs/>
        </w:rPr>
        <w:t>Philosophie de l’histoire : hommage offert Maurice Lagueux</w:t>
      </w:r>
      <w:r>
        <w:t>, Presses de l’Université Laval.</w:t>
      </w:r>
    </w:p>
    <w:p w14:paraId="7E75F924" w14:textId="77777777" w:rsidR="00755957" w:rsidRDefault="00755957" w:rsidP="00755957">
      <w:pPr>
        <w:spacing w:line="240" w:lineRule="auto"/>
        <w:jc w:val="both"/>
        <w:rPr>
          <w:lang w:val="en-US"/>
        </w:rPr>
      </w:pPr>
      <w:r w:rsidRPr="008247AA">
        <w:rPr>
          <w:smallCaps/>
          <w:lang w:val="en-US"/>
        </w:rPr>
        <w:t>Lazrak</w:t>
      </w:r>
      <w:r>
        <w:rPr>
          <w:lang w:val="en-US"/>
        </w:rPr>
        <w:t>, Ostiane</w:t>
      </w:r>
      <w:r w:rsidRPr="001C6C06">
        <w:rPr>
          <w:lang w:val="en-US"/>
        </w:rPr>
        <w:t xml:space="preserve"> </w:t>
      </w:r>
      <w:r>
        <w:rPr>
          <w:lang w:val="en-US"/>
        </w:rPr>
        <w:t>(2023). “</w:t>
      </w:r>
      <w:r w:rsidRPr="001C6C06">
        <w:rPr>
          <w:lang w:val="en-US"/>
        </w:rPr>
        <w:t>Is MacIntyre a Historicist? MacIntyre’s Philosophical History and its Sources</w:t>
      </w:r>
      <w:r>
        <w:rPr>
          <w:lang w:val="en-US"/>
        </w:rPr>
        <w:t xml:space="preserve">”, </w:t>
      </w:r>
      <w:r w:rsidRPr="001C6C06">
        <w:rPr>
          <w:i/>
          <w:iCs/>
          <w:lang w:val="en-US"/>
        </w:rPr>
        <w:t>The 16th Annual Conference of the International Society for MacIntyrean Enquiry</w:t>
      </w:r>
      <w:r>
        <w:rPr>
          <w:i/>
          <w:iCs/>
          <w:lang w:val="en-US"/>
        </w:rPr>
        <w:t xml:space="preserve">, </w:t>
      </w:r>
      <w:r>
        <w:rPr>
          <w:lang w:val="en-US"/>
        </w:rPr>
        <w:t>University of Navarra.</w:t>
      </w:r>
    </w:p>
    <w:p w14:paraId="0EE3D26B" w14:textId="115E2CFB" w:rsidR="00755957" w:rsidRPr="00755957" w:rsidRDefault="00755957" w:rsidP="00755957">
      <w:pPr>
        <w:pStyle w:val="Bibliographie"/>
        <w:spacing w:line="240" w:lineRule="auto"/>
        <w:jc w:val="both"/>
        <w:rPr>
          <w:lang w:val="en-US"/>
        </w:rPr>
      </w:pPr>
      <w:r w:rsidRPr="008247AA">
        <w:rPr>
          <w:smallCaps/>
          <w:lang w:val="en-US"/>
        </w:rPr>
        <w:t>Leach</w:t>
      </w:r>
      <w:r w:rsidRPr="007B6419">
        <w:rPr>
          <w:lang w:val="en-US"/>
        </w:rPr>
        <w:t>, S</w:t>
      </w:r>
      <w:r>
        <w:rPr>
          <w:lang w:val="en-US"/>
        </w:rPr>
        <w:t>tephen (2018).</w:t>
      </w:r>
      <w:r w:rsidRPr="007B6419">
        <w:rPr>
          <w:lang w:val="en-US"/>
        </w:rPr>
        <w:t xml:space="preserve"> « Collingwood and Archaeological Theory », in K. Dharamsi, G. D’Oro, et S. Leach (éd.) </w:t>
      </w:r>
      <w:r w:rsidRPr="00755957">
        <w:rPr>
          <w:i/>
          <w:iCs/>
          <w:lang w:val="en-US"/>
        </w:rPr>
        <w:t>Collingwood on Philosophical Methodology</w:t>
      </w:r>
      <w:r w:rsidRPr="00755957">
        <w:rPr>
          <w:lang w:val="en-US"/>
        </w:rPr>
        <w:t xml:space="preserve">, Springer Verlag, </w:t>
      </w:r>
      <w:r>
        <w:rPr>
          <w:lang w:val="en-US"/>
        </w:rPr>
        <w:t xml:space="preserve">2018, </w:t>
      </w:r>
      <w:r w:rsidRPr="00755957">
        <w:rPr>
          <w:lang w:val="en-US"/>
        </w:rPr>
        <w:t>p. 249</w:t>
      </w:r>
      <w:r w:rsidRPr="00755957">
        <w:rPr>
          <w:rFonts w:ascii="Cambria Math" w:hAnsi="Cambria Math" w:cs="Cambria Math"/>
          <w:lang w:val="en-US"/>
        </w:rPr>
        <w:t>‑</w:t>
      </w:r>
      <w:r w:rsidRPr="00755957">
        <w:rPr>
          <w:lang w:val="en-US"/>
        </w:rPr>
        <w:t>264.</w:t>
      </w:r>
    </w:p>
    <w:p w14:paraId="550BFB8E" w14:textId="53913AD0" w:rsidR="00755957" w:rsidRPr="00043408" w:rsidRDefault="00755957" w:rsidP="00755957">
      <w:pPr>
        <w:spacing w:line="240" w:lineRule="auto"/>
        <w:jc w:val="both"/>
        <w:rPr>
          <w:rFonts w:ascii="Times New Roman" w:hAnsi="Times New Roman" w:cs="Times New Roman"/>
          <w:sz w:val="24"/>
          <w:szCs w:val="24"/>
        </w:rPr>
      </w:pPr>
      <w:r w:rsidRPr="00755957">
        <w:rPr>
          <w:smallCaps/>
          <w:lang w:val="en-US"/>
        </w:rPr>
        <w:t>Leyvraz</w:t>
      </w:r>
      <w:r w:rsidRPr="00755957">
        <w:rPr>
          <w:lang w:val="en-US"/>
        </w:rPr>
        <w:t xml:space="preserve">, Jean-Pierre (1961). </w:t>
      </w:r>
      <w:r>
        <w:t xml:space="preserve">« Recension de </w:t>
      </w:r>
      <w:r>
        <w:rPr>
          <w:i/>
          <w:iCs/>
        </w:rPr>
        <w:t xml:space="preserve">L’idée de preuve en métaphysique » </w:t>
      </w:r>
      <w:r>
        <w:t xml:space="preserve">par Badi Al-Kasm </w:t>
      </w:r>
      <w:r w:rsidRPr="008247AA">
        <w:t>»</w:t>
      </w:r>
      <w:r>
        <w:t xml:space="preserve">, </w:t>
      </w:r>
      <w:r w:rsidRPr="00961DE9">
        <w:rPr>
          <w:i/>
          <w:iCs/>
        </w:rPr>
        <w:t>Revue</w:t>
      </w:r>
      <w:r>
        <w:rPr>
          <w:i/>
          <w:iCs/>
        </w:rPr>
        <w:t xml:space="preserve"> de Théologie et de Philosophie</w:t>
      </w:r>
      <w:r>
        <w:t>, vol.11, 1961, p.110-111.</w:t>
      </w:r>
    </w:p>
    <w:p w14:paraId="47BE68A0" w14:textId="78CB08CB" w:rsidR="00755957" w:rsidRDefault="00755957" w:rsidP="00755957">
      <w:pPr>
        <w:pStyle w:val="Bibliographie"/>
        <w:spacing w:line="240" w:lineRule="auto"/>
        <w:jc w:val="both"/>
      </w:pPr>
      <w:r w:rsidRPr="008247AA">
        <w:rPr>
          <w:smallCaps/>
        </w:rPr>
        <w:t>Libera</w:t>
      </w:r>
      <w:r>
        <w:t xml:space="preserve"> (de), Alain (1999). « Le relativisme historique : théorie des « complexes questions-réponses » et « traçabilité » », </w:t>
      </w:r>
      <w:r>
        <w:rPr>
          <w:i/>
          <w:iCs/>
        </w:rPr>
        <w:t>Les Études philosophiques</w:t>
      </w:r>
      <w:r>
        <w:t>, n° 4, 1999, p. 479</w:t>
      </w:r>
      <w:r>
        <w:rPr>
          <w:rFonts w:ascii="Cambria Math" w:hAnsi="Cambria Math" w:cs="Cambria Math"/>
        </w:rPr>
        <w:t>‑</w:t>
      </w:r>
      <w:r>
        <w:t>494.</w:t>
      </w:r>
    </w:p>
    <w:p w14:paraId="6EC0AD7F" w14:textId="77777777" w:rsidR="00755957" w:rsidRDefault="00755957" w:rsidP="00755957">
      <w:pPr>
        <w:spacing w:line="240" w:lineRule="auto"/>
        <w:jc w:val="both"/>
      </w:pPr>
      <w:r>
        <w:t xml:space="preserve">- (2009). « Entretien avec Alain de Libera : autour de l’Archéologie du sujet », </w:t>
      </w:r>
      <w:r w:rsidRPr="001F4AA0">
        <w:rPr>
          <w:i/>
          <w:iCs/>
        </w:rPr>
        <w:t>Actu Philosophia</w:t>
      </w:r>
      <w:r>
        <w:t xml:space="preserve">, </w:t>
      </w:r>
      <w:r w:rsidRPr="001F4AA0">
        <w:t>4</w:t>
      </w:r>
      <w:r>
        <w:t xml:space="preserve"> janvier.</w:t>
      </w:r>
    </w:p>
    <w:p w14:paraId="70CCC623" w14:textId="77777777" w:rsidR="00755957" w:rsidRDefault="00755957" w:rsidP="00755957">
      <w:pPr>
        <w:spacing w:line="240" w:lineRule="auto"/>
        <w:jc w:val="both"/>
      </w:pPr>
      <w:r>
        <w:t xml:space="preserve">- (2014). </w:t>
      </w:r>
      <w:r>
        <w:rPr>
          <w:i/>
          <w:iCs/>
        </w:rPr>
        <w:t>La querelle des universaux: de Platon à la fin du Moyen Âge</w:t>
      </w:r>
      <w:r>
        <w:t>, Paris, Points, [Nouvelle] édition augmentée d’une postface.</w:t>
      </w:r>
    </w:p>
    <w:p w14:paraId="7ADA2738" w14:textId="77777777" w:rsidR="00755957" w:rsidRDefault="00755957" w:rsidP="00755957">
      <w:pPr>
        <w:spacing w:line="240" w:lineRule="auto"/>
        <w:jc w:val="both"/>
      </w:pPr>
      <w:r>
        <w:t xml:space="preserve">- (2016). </w:t>
      </w:r>
      <w:r>
        <w:rPr>
          <w:i/>
          <w:iCs/>
        </w:rPr>
        <w:t>L’archéologie philosophique, séminaires du Collège de France</w:t>
      </w:r>
      <w:r>
        <w:t>, Paris, Vrin.</w:t>
      </w:r>
    </w:p>
    <w:p w14:paraId="1E1F8EF3" w14:textId="0A73FD41" w:rsidR="00755957" w:rsidRDefault="00755957" w:rsidP="00755957">
      <w:pPr>
        <w:pStyle w:val="Bibliographie"/>
        <w:spacing w:line="240" w:lineRule="auto"/>
        <w:jc w:val="both"/>
      </w:pPr>
      <w:r w:rsidRPr="001F4AA0">
        <w:rPr>
          <w:smallCaps/>
        </w:rPr>
        <w:t>Locas</w:t>
      </w:r>
      <w:r>
        <w:t xml:space="preserve">, Claude (1971). « R.G. Collingwood, Philosophe et Historien, par Albert Shalom. Paris, Presses Universitaires de France, 1967. 523 Pages. 30 F. », </w:t>
      </w:r>
      <w:r>
        <w:rPr>
          <w:i/>
          <w:iCs/>
        </w:rPr>
        <w:t>Dialogue: Canadian Philosophical Review / Revue Canadienne de Philosophie</w:t>
      </w:r>
      <w:r>
        <w:t xml:space="preserve">, vol. 10, n° 3, </w:t>
      </w:r>
      <w:r w:rsidR="00673C2E">
        <w:t xml:space="preserve">1971, </w:t>
      </w:r>
      <w:r>
        <w:t>p. 628</w:t>
      </w:r>
      <w:r>
        <w:rPr>
          <w:rFonts w:ascii="Cambria Math" w:hAnsi="Cambria Math" w:cs="Cambria Math"/>
        </w:rPr>
        <w:t>‑</w:t>
      </w:r>
      <w:r>
        <w:t>631.</w:t>
      </w:r>
    </w:p>
    <w:p w14:paraId="3BBBC0A4" w14:textId="77777777" w:rsidR="00755957" w:rsidRDefault="00755957" w:rsidP="00755957">
      <w:r w:rsidRPr="001F4AA0">
        <w:rPr>
          <w:smallCaps/>
        </w:rPr>
        <w:t>Lurbe</w:t>
      </w:r>
      <w:r>
        <w:t xml:space="preserve">, Pierre (2003). </w:t>
      </w:r>
      <w:r w:rsidRPr="00326C11">
        <w:t xml:space="preserve">« R.G. Collingwood – </w:t>
      </w:r>
      <w:r w:rsidRPr="00326C11">
        <w:rPr>
          <w:i/>
          <w:iCs/>
        </w:rPr>
        <w:t>Le Nouve</w:t>
      </w:r>
      <w:r>
        <w:rPr>
          <w:i/>
          <w:iCs/>
        </w:rPr>
        <w:t>au Léviathan</w:t>
      </w:r>
      <w:r>
        <w:t xml:space="preserve"> </w:t>
      </w:r>
      <w:r>
        <w:rPr>
          <w:i/>
          <w:iCs/>
        </w:rPr>
        <w:t>ou l’homme, la société, la civilisation et la barbarie</w:t>
      </w:r>
      <w:r>
        <w:t xml:space="preserve">. Introduction Paulette Carrive. Trad. Lucien Carrive. » </w:t>
      </w:r>
      <w:r>
        <w:rPr>
          <w:i/>
          <w:iCs/>
        </w:rPr>
        <w:t>Etudes anglaises</w:t>
      </w:r>
      <w:r>
        <w:t>, 2003/1 Tome 56, p. XLVIII.</w:t>
      </w:r>
    </w:p>
    <w:p w14:paraId="2CDA2E8B" w14:textId="77777777" w:rsidR="00755957" w:rsidRPr="00E620A2" w:rsidRDefault="00755957" w:rsidP="00755957">
      <w:pPr>
        <w:spacing w:line="240" w:lineRule="auto"/>
        <w:jc w:val="both"/>
      </w:pPr>
      <w:r w:rsidRPr="001F4AA0">
        <w:rPr>
          <w:smallCaps/>
        </w:rPr>
        <w:t>Macherey</w:t>
      </w:r>
      <w:r>
        <w:t xml:space="preserve">, Pierre (2014). </w:t>
      </w:r>
      <w:r>
        <w:rPr>
          <w:i/>
          <w:iCs/>
        </w:rPr>
        <w:t>Querelles Cartésiennes</w:t>
      </w:r>
      <w:r>
        <w:t xml:space="preserve">, Presses Universitaires du Septentrion, Villeneuve d’Ascq. </w:t>
      </w:r>
    </w:p>
    <w:p w14:paraId="4938519A" w14:textId="77777777" w:rsidR="00755957" w:rsidRPr="007B6419" w:rsidRDefault="00755957" w:rsidP="00755957">
      <w:pPr>
        <w:pStyle w:val="Bibliographie"/>
        <w:spacing w:line="240" w:lineRule="auto"/>
        <w:jc w:val="both"/>
        <w:rPr>
          <w:lang w:val="en-US"/>
        </w:rPr>
      </w:pPr>
      <w:r w:rsidRPr="001F4AA0">
        <w:rPr>
          <w:smallCaps/>
          <w:lang w:val="en-US"/>
        </w:rPr>
        <w:t>Marion</w:t>
      </w:r>
      <w:r w:rsidRPr="007B6419">
        <w:rPr>
          <w:lang w:val="en-US"/>
        </w:rPr>
        <w:t>, M</w:t>
      </w:r>
      <w:r>
        <w:rPr>
          <w:lang w:val="en-US"/>
        </w:rPr>
        <w:t>athieu (2009).</w:t>
      </w:r>
      <w:r w:rsidRPr="007B6419">
        <w:rPr>
          <w:lang w:val="en-US"/>
        </w:rPr>
        <w:t xml:space="preserve"> « Some Remarks on Collingwood and Relativism », </w:t>
      </w:r>
      <w:r w:rsidRPr="007B6419">
        <w:rPr>
          <w:i/>
          <w:iCs/>
          <w:lang w:val="en-US"/>
        </w:rPr>
        <w:t>Ethnographic Studies</w:t>
      </w:r>
      <w:r w:rsidRPr="007B6419">
        <w:rPr>
          <w:lang w:val="en-US"/>
        </w:rPr>
        <w:t>, vol. 11, p. 125</w:t>
      </w:r>
      <w:r w:rsidRPr="007B6419">
        <w:rPr>
          <w:rFonts w:ascii="Cambria Math" w:hAnsi="Cambria Math" w:cs="Cambria Math"/>
          <w:lang w:val="en-US"/>
        </w:rPr>
        <w:t>‑</w:t>
      </w:r>
      <w:r w:rsidRPr="007B6419">
        <w:rPr>
          <w:lang w:val="en-US"/>
        </w:rPr>
        <w:t>155.</w:t>
      </w:r>
    </w:p>
    <w:p w14:paraId="109F6940" w14:textId="22E9449D" w:rsidR="00755957" w:rsidRDefault="00755957" w:rsidP="00755957">
      <w:pPr>
        <w:pStyle w:val="Bibliographie"/>
        <w:spacing w:line="240" w:lineRule="auto"/>
      </w:pPr>
      <w:r w:rsidRPr="001F4AA0">
        <w:rPr>
          <w:smallCaps/>
        </w:rPr>
        <w:t>Marrou</w:t>
      </w:r>
      <w:r>
        <w:t xml:space="preserve">, Henri-I. (1954). </w:t>
      </w:r>
      <w:r>
        <w:rPr>
          <w:i/>
          <w:iCs/>
        </w:rPr>
        <w:t>De la connaissance historique</w:t>
      </w:r>
      <w:r>
        <w:t xml:space="preserve">, Paris, Seuil. </w:t>
      </w:r>
      <w:r>
        <w:br/>
        <w:t xml:space="preserve">- (1959). </w:t>
      </w:r>
      <w:r>
        <w:rPr>
          <w:i/>
          <w:iCs/>
        </w:rPr>
        <w:t>De la connaissance historique</w:t>
      </w:r>
      <w:r>
        <w:t>, Paris,</w:t>
      </w:r>
      <w:r w:rsidR="00673C2E">
        <w:t xml:space="preserve"> </w:t>
      </w:r>
      <w:r>
        <w:t>Seuil, 4e édition revue et augmentée.</w:t>
      </w:r>
    </w:p>
    <w:p w14:paraId="4E9569BB" w14:textId="77777777" w:rsidR="00755957" w:rsidRDefault="00755957" w:rsidP="00755957">
      <w:pPr>
        <w:pStyle w:val="Bibliographie"/>
        <w:spacing w:line="240" w:lineRule="auto"/>
        <w:jc w:val="both"/>
        <w:rPr>
          <w:lang w:val="en-US"/>
        </w:rPr>
      </w:pPr>
      <w:r w:rsidRPr="001F4AA0">
        <w:rPr>
          <w:smallCaps/>
          <w:lang w:val="en-US"/>
        </w:rPr>
        <w:t>Mink</w:t>
      </w:r>
      <w:r w:rsidRPr="007B6419">
        <w:rPr>
          <w:lang w:val="en-US"/>
        </w:rPr>
        <w:t>, L</w:t>
      </w:r>
      <w:r>
        <w:rPr>
          <w:lang w:val="en-US"/>
        </w:rPr>
        <w:t>ouis</w:t>
      </w:r>
      <w:r w:rsidRPr="007B6419">
        <w:rPr>
          <w:lang w:val="en-US"/>
        </w:rPr>
        <w:t>.O.</w:t>
      </w:r>
      <w:r>
        <w:rPr>
          <w:lang w:val="en-US"/>
        </w:rPr>
        <w:t xml:space="preserve"> (1969).</w:t>
      </w:r>
      <w:r w:rsidRPr="007B6419">
        <w:rPr>
          <w:lang w:val="en-US"/>
        </w:rPr>
        <w:t xml:space="preserve"> </w:t>
      </w:r>
      <w:r w:rsidRPr="007B6419">
        <w:rPr>
          <w:i/>
          <w:iCs/>
          <w:lang w:val="en-US"/>
        </w:rPr>
        <w:t>Mind, History, and Dialectic: The Philosophy of R. G. Collingwood</w:t>
      </w:r>
      <w:r w:rsidRPr="007B6419">
        <w:rPr>
          <w:lang w:val="en-US"/>
        </w:rPr>
        <w:t>, Bloomington, Indiana University Press</w:t>
      </w:r>
      <w:r>
        <w:rPr>
          <w:lang w:val="en-US"/>
        </w:rPr>
        <w:t>.</w:t>
      </w:r>
    </w:p>
    <w:p w14:paraId="55060E96" w14:textId="2683002C" w:rsidR="00755957" w:rsidRPr="001F4AA0" w:rsidRDefault="00755957" w:rsidP="00755957">
      <w:pPr>
        <w:spacing w:line="240" w:lineRule="auto"/>
        <w:jc w:val="both"/>
        <w:rPr>
          <w:lang w:val="fr-FR"/>
        </w:rPr>
      </w:pPr>
      <w:r w:rsidRPr="001F4AA0">
        <w:rPr>
          <w:smallCaps/>
          <w:lang w:val="fr-FR"/>
        </w:rPr>
        <w:t>Mougin,</w:t>
      </w:r>
      <w:r>
        <w:rPr>
          <w:lang w:val="fr-FR"/>
        </w:rPr>
        <w:t xml:space="preserve"> Henri (1946). </w:t>
      </w:r>
      <w:r w:rsidRPr="00326C11">
        <w:t>« </w:t>
      </w:r>
      <w:r>
        <w:t xml:space="preserve">Comme Dieu en France. Heidegger parmi nous. </w:t>
      </w:r>
      <w:r>
        <w:rPr>
          <w:lang w:val="fr-FR"/>
        </w:rPr>
        <w:t xml:space="preserve">», </w:t>
      </w:r>
      <w:r>
        <w:rPr>
          <w:i/>
          <w:iCs/>
          <w:lang w:val="fr-FR"/>
        </w:rPr>
        <w:t xml:space="preserve">Europe, </w:t>
      </w:r>
      <w:r>
        <w:rPr>
          <w:lang w:val="fr-FR"/>
        </w:rPr>
        <w:t>La Bibliothèque Française,</w:t>
      </w:r>
      <w:r>
        <w:rPr>
          <w:i/>
          <w:iCs/>
          <w:lang w:val="fr-FR"/>
        </w:rPr>
        <w:t xml:space="preserve"> </w:t>
      </w:r>
      <w:r>
        <w:rPr>
          <w:lang w:val="fr-FR"/>
        </w:rPr>
        <w:t xml:space="preserve">no.24, </w:t>
      </w:r>
      <w:r w:rsidR="00673C2E">
        <w:rPr>
          <w:lang w:val="fr-FR"/>
        </w:rPr>
        <w:t xml:space="preserve">1946, </w:t>
      </w:r>
      <w:r>
        <w:rPr>
          <w:lang w:val="fr-FR"/>
        </w:rPr>
        <w:t>p.132-138.</w:t>
      </w:r>
    </w:p>
    <w:p w14:paraId="646A80A8" w14:textId="0D5E5BD6" w:rsidR="00755957" w:rsidRDefault="00755957" w:rsidP="00755957">
      <w:pPr>
        <w:spacing w:line="240" w:lineRule="auto"/>
        <w:jc w:val="both"/>
        <w:rPr>
          <w:lang w:val="fr-FR"/>
        </w:rPr>
      </w:pPr>
      <w:r w:rsidRPr="003C1F9D">
        <w:rPr>
          <w:smallCaps/>
          <w:lang w:val="fr-FR"/>
        </w:rPr>
        <w:t>Palmier,</w:t>
      </w:r>
      <w:r>
        <w:rPr>
          <w:lang w:val="fr-FR"/>
        </w:rPr>
        <w:t xml:space="preserve"> Jean-Michel (1986). « Heidegger en France », </w:t>
      </w:r>
      <w:r>
        <w:rPr>
          <w:i/>
          <w:iCs/>
          <w:lang w:val="fr-FR"/>
        </w:rPr>
        <w:t xml:space="preserve">Magazine Littéraire, </w:t>
      </w:r>
      <w:r>
        <w:rPr>
          <w:lang w:val="fr-FR"/>
        </w:rPr>
        <w:t xml:space="preserve">n°235, </w:t>
      </w:r>
      <w:r w:rsidR="00673C2E">
        <w:rPr>
          <w:lang w:val="fr-FR"/>
        </w:rPr>
        <w:t xml:space="preserve">1986, </w:t>
      </w:r>
      <w:r>
        <w:rPr>
          <w:lang w:val="fr-FR"/>
        </w:rPr>
        <w:t>p.34-38.</w:t>
      </w:r>
    </w:p>
    <w:p w14:paraId="64D6AA02" w14:textId="77777777" w:rsidR="00755957" w:rsidRDefault="00755957" w:rsidP="00755957">
      <w:pPr>
        <w:spacing w:line="240" w:lineRule="auto"/>
        <w:jc w:val="both"/>
        <w:rPr>
          <w:lang w:val="fr-FR"/>
        </w:rPr>
      </w:pPr>
      <w:r w:rsidRPr="003C1F9D">
        <w:rPr>
          <w:smallCaps/>
          <w:lang w:val="fr-FR"/>
        </w:rPr>
        <w:t>Prost</w:t>
      </w:r>
      <w:r>
        <w:rPr>
          <w:lang w:val="fr-FR"/>
        </w:rPr>
        <w:t xml:space="preserve">, Antoine (2010 [1996]). </w:t>
      </w:r>
      <w:r>
        <w:rPr>
          <w:i/>
          <w:iCs/>
          <w:lang w:val="fr-FR"/>
        </w:rPr>
        <w:t>Douze leçons sur l’histoire</w:t>
      </w:r>
      <w:r>
        <w:rPr>
          <w:lang w:val="fr-FR"/>
        </w:rPr>
        <w:t>, Paris, Seuil.</w:t>
      </w:r>
    </w:p>
    <w:p w14:paraId="1A450E08" w14:textId="4D3BBE42" w:rsidR="00755957" w:rsidRPr="00F22D8B" w:rsidRDefault="00755957" w:rsidP="00755957">
      <w:pPr>
        <w:spacing w:line="240" w:lineRule="auto"/>
        <w:jc w:val="both"/>
        <w:rPr>
          <w:lang w:val="fr-FR"/>
        </w:rPr>
      </w:pPr>
      <w:r>
        <w:rPr>
          <w:lang w:val="fr-FR"/>
        </w:rPr>
        <w:t xml:space="preserve">- (1994). « Charles Seignobos revisité », </w:t>
      </w:r>
      <w:r>
        <w:rPr>
          <w:i/>
          <w:iCs/>
          <w:lang w:val="fr-FR"/>
        </w:rPr>
        <w:t>Vingtième siècle, Revue d’histoire</w:t>
      </w:r>
      <w:r>
        <w:rPr>
          <w:lang w:val="fr-FR"/>
        </w:rPr>
        <w:t>, 43,</w:t>
      </w:r>
      <w:r w:rsidR="00673C2E">
        <w:rPr>
          <w:lang w:val="fr-FR"/>
        </w:rPr>
        <w:t xml:space="preserve"> 1994,</w:t>
      </w:r>
      <w:r>
        <w:rPr>
          <w:lang w:val="fr-FR"/>
        </w:rPr>
        <w:t xml:space="preserve"> p.100-118.</w:t>
      </w:r>
    </w:p>
    <w:p w14:paraId="663813AF" w14:textId="77777777" w:rsidR="00755957" w:rsidRDefault="00755957" w:rsidP="00755957">
      <w:pPr>
        <w:pStyle w:val="Bibliographie"/>
        <w:spacing w:line="240" w:lineRule="auto"/>
        <w:jc w:val="both"/>
      </w:pPr>
      <w:r w:rsidRPr="003C1F9D">
        <w:rPr>
          <w:smallCaps/>
        </w:rPr>
        <w:t>Ricœur</w:t>
      </w:r>
      <w:r>
        <w:rPr>
          <w:smallCaps/>
        </w:rPr>
        <w:t xml:space="preserve">, </w:t>
      </w:r>
      <w:r>
        <w:t xml:space="preserve">Paul, (1983). </w:t>
      </w:r>
      <w:r>
        <w:rPr>
          <w:i/>
          <w:iCs/>
        </w:rPr>
        <w:t>Temps et récit, T.III</w:t>
      </w:r>
      <w:r>
        <w:t>, Paris, Éditions du Seuil.</w:t>
      </w:r>
    </w:p>
    <w:p w14:paraId="1058050E" w14:textId="77777777" w:rsidR="00755957" w:rsidRPr="003C1F9D" w:rsidRDefault="00755957" w:rsidP="00755957">
      <w:pPr>
        <w:rPr>
          <w:lang w:val="en-US"/>
        </w:rPr>
      </w:pPr>
      <w:r w:rsidRPr="003C1F9D">
        <w:rPr>
          <w:lang w:val="en-US"/>
        </w:rPr>
        <w:t xml:space="preserve">- (1984). </w:t>
      </w:r>
      <w:r w:rsidRPr="007B6419">
        <w:rPr>
          <w:i/>
          <w:iCs/>
          <w:lang w:val="en-US"/>
        </w:rPr>
        <w:t>The Reality of the Historical Past</w:t>
      </w:r>
      <w:r w:rsidRPr="007B6419">
        <w:rPr>
          <w:lang w:val="en-US"/>
        </w:rPr>
        <w:t xml:space="preserve">, </w:t>
      </w:r>
      <w:r>
        <w:rPr>
          <w:i/>
          <w:iCs/>
          <w:lang w:val="en-US"/>
        </w:rPr>
        <w:t xml:space="preserve">Aquinas </w:t>
      </w:r>
      <w:r w:rsidRPr="003C1F9D">
        <w:rPr>
          <w:i/>
          <w:iCs/>
          <w:lang w:val="en-US"/>
        </w:rPr>
        <w:t>Lectures</w:t>
      </w:r>
      <w:r>
        <w:rPr>
          <w:i/>
          <w:iCs/>
          <w:lang w:val="en-US"/>
        </w:rPr>
        <w:t xml:space="preserve">, </w:t>
      </w:r>
      <w:r w:rsidRPr="003C1F9D">
        <w:rPr>
          <w:lang w:val="en-US"/>
        </w:rPr>
        <w:t>Milwaukee,</w:t>
      </w:r>
      <w:r>
        <w:rPr>
          <w:lang w:val="en-US"/>
        </w:rPr>
        <w:t xml:space="preserve"> </w:t>
      </w:r>
      <w:r w:rsidRPr="007B6419">
        <w:rPr>
          <w:lang w:val="en-US"/>
        </w:rPr>
        <w:t>Marquette University Press</w:t>
      </w:r>
      <w:r>
        <w:rPr>
          <w:lang w:val="en-US"/>
        </w:rPr>
        <w:t xml:space="preserve">. </w:t>
      </w:r>
    </w:p>
    <w:p w14:paraId="1BC6B3D1" w14:textId="77777777" w:rsidR="00755957" w:rsidRDefault="00755957" w:rsidP="00755957">
      <w:pPr>
        <w:pStyle w:val="Bibliographie"/>
        <w:spacing w:line="240" w:lineRule="auto"/>
        <w:jc w:val="both"/>
      </w:pPr>
      <w:r w:rsidRPr="00755957">
        <w:t xml:space="preserve">- (1991). </w:t>
      </w:r>
      <w:r>
        <w:rPr>
          <w:i/>
          <w:iCs/>
        </w:rPr>
        <w:t>Temps et Récit, T. I.: L’intrigue et le récit historique</w:t>
      </w:r>
      <w:r>
        <w:t xml:space="preserve">, Paris, Seuil. </w:t>
      </w:r>
    </w:p>
    <w:p w14:paraId="30ED2893" w14:textId="77777777" w:rsidR="00755957" w:rsidRDefault="00755957" w:rsidP="00755957">
      <w:pPr>
        <w:pStyle w:val="Bibliographie"/>
        <w:spacing w:line="240" w:lineRule="auto"/>
      </w:pPr>
      <w:r w:rsidRPr="003C1F9D">
        <w:rPr>
          <w:smallCaps/>
        </w:rPr>
        <w:t>Shalom</w:t>
      </w:r>
      <w:r>
        <w:t xml:space="preserve">, Albert (1967). </w:t>
      </w:r>
      <w:r>
        <w:rPr>
          <w:i/>
          <w:iCs/>
        </w:rPr>
        <w:t>R. G. Collingwood : philosophe et historien</w:t>
      </w:r>
      <w:r>
        <w:t xml:space="preserve">, Paris, Presses universitaires de France. </w:t>
      </w:r>
    </w:p>
    <w:p w14:paraId="153A6C77" w14:textId="3BBC0AF1" w:rsidR="00755957" w:rsidRPr="00144291" w:rsidRDefault="00755957" w:rsidP="00755957">
      <w:pPr>
        <w:spacing w:line="240" w:lineRule="auto"/>
        <w:jc w:val="both"/>
      </w:pPr>
      <w:r>
        <w:rPr>
          <w:smallCaps/>
        </w:rPr>
        <w:t>- (1955).</w:t>
      </w:r>
      <w:r>
        <w:t xml:space="preserve"> « R.G. Collingwood et la Métaphysique » </w:t>
      </w:r>
      <w:r>
        <w:rPr>
          <w:i/>
          <w:iCs/>
        </w:rPr>
        <w:t xml:space="preserve">Les Etudes philosophiques, </w:t>
      </w:r>
      <w:r>
        <w:t>Nouvelle série, 10</w:t>
      </w:r>
      <w:r w:rsidRPr="005057ED">
        <w:rPr>
          <w:vertAlign w:val="superscript"/>
        </w:rPr>
        <w:t>e</w:t>
      </w:r>
      <w:r>
        <w:t xml:space="preserve"> année, No.4, </w:t>
      </w:r>
      <w:r w:rsidR="00673C2E">
        <w:t xml:space="preserve">1955, </w:t>
      </w:r>
      <w:r>
        <w:t>p.693-711.</w:t>
      </w:r>
    </w:p>
    <w:p w14:paraId="7D5FDBA1" w14:textId="5BB41F91" w:rsidR="00755957" w:rsidRDefault="00755957" w:rsidP="00755957">
      <w:pPr>
        <w:pStyle w:val="Bibliographie"/>
        <w:spacing w:line="240" w:lineRule="auto"/>
        <w:jc w:val="both"/>
      </w:pPr>
      <w:r w:rsidRPr="003C1F9D">
        <w:rPr>
          <w:smallCaps/>
        </w:rPr>
        <w:t>Veyne</w:t>
      </w:r>
      <w:r>
        <w:t xml:space="preserve">, Paul (1971). </w:t>
      </w:r>
      <w:r>
        <w:rPr>
          <w:i/>
          <w:iCs/>
        </w:rPr>
        <w:t xml:space="preserve">Comment on écrit </w:t>
      </w:r>
      <w:r w:rsidR="00673C2E">
        <w:rPr>
          <w:i/>
          <w:iCs/>
        </w:rPr>
        <w:t>l’histoire :</w:t>
      </w:r>
      <w:r>
        <w:rPr>
          <w:i/>
          <w:iCs/>
        </w:rPr>
        <w:t xml:space="preserve"> essai d’épistémologie</w:t>
      </w:r>
      <w:r>
        <w:t xml:space="preserve">, Paris, Seuil. </w:t>
      </w:r>
    </w:p>
    <w:p w14:paraId="6179BDDA" w14:textId="508F9215" w:rsidR="00755957" w:rsidRDefault="00755957" w:rsidP="00755957">
      <w:pPr>
        <w:pStyle w:val="Bibliographie"/>
        <w:spacing w:line="240" w:lineRule="auto"/>
        <w:jc w:val="both"/>
        <w:rPr>
          <w:lang w:val="en-US"/>
        </w:rPr>
      </w:pPr>
      <w:r w:rsidRPr="003C1F9D">
        <w:rPr>
          <w:smallCaps/>
          <w:lang w:val="en-US"/>
        </w:rPr>
        <w:t>Walsh</w:t>
      </w:r>
      <w:r w:rsidRPr="007B6419">
        <w:rPr>
          <w:lang w:val="en-US"/>
        </w:rPr>
        <w:t>, W</w:t>
      </w:r>
      <w:r>
        <w:rPr>
          <w:lang w:val="en-US"/>
        </w:rPr>
        <w:t xml:space="preserve">illiam </w:t>
      </w:r>
      <w:r w:rsidRPr="007B6419">
        <w:rPr>
          <w:lang w:val="en-US"/>
        </w:rPr>
        <w:t xml:space="preserve">H. et </w:t>
      </w:r>
      <w:r w:rsidRPr="003C1F9D">
        <w:rPr>
          <w:smallCaps/>
          <w:lang w:val="en-US"/>
        </w:rPr>
        <w:t>Ginsberg</w:t>
      </w:r>
      <w:r w:rsidRPr="007B6419">
        <w:rPr>
          <w:lang w:val="en-US"/>
        </w:rPr>
        <w:t>, M</w:t>
      </w:r>
      <w:r>
        <w:rPr>
          <w:lang w:val="en-US"/>
        </w:rPr>
        <w:t xml:space="preserve">orris (1947). </w:t>
      </w:r>
      <w:r w:rsidRPr="007B6419">
        <w:rPr>
          <w:lang w:val="en-US"/>
        </w:rPr>
        <w:t xml:space="preserve">« Symposium: The Character of a Historical Explanation », </w:t>
      </w:r>
      <w:r w:rsidRPr="007B6419">
        <w:rPr>
          <w:i/>
          <w:iCs/>
          <w:lang w:val="en-US"/>
        </w:rPr>
        <w:t>Proceedings of the Aristotelian Society, Supplementary Volumes</w:t>
      </w:r>
      <w:r w:rsidRPr="007B6419">
        <w:rPr>
          <w:lang w:val="en-US"/>
        </w:rPr>
        <w:t>, vol. 21,</w:t>
      </w:r>
      <w:r w:rsidR="00673C2E">
        <w:rPr>
          <w:lang w:val="en-US"/>
        </w:rPr>
        <w:t xml:space="preserve"> 1947,</w:t>
      </w:r>
      <w:r w:rsidRPr="007B6419">
        <w:rPr>
          <w:lang w:val="en-US"/>
        </w:rPr>
        <w:t xml:space="preserve"> p.33</w:t>
      </w:r>
      <w:r w:rsidRPr="007B6419">
        <w:rPr>
          <w:rFonts w:ascii="Cambria Math" w:hAnsi="Cambria Math" w:cs="Cambria Math"/>
          <w:lang w:val="en-US"/>
        </w:rPr>
        <w:t>‑</w:t>
      </w:r>
      <w:r w:rsidRPr="007B6419">
        <w:rPr>
          <w:lang w:val="en-US"/>
        </w:rPr>
        <w:t>77.</w:t>
      </w:r>
    </w:p>
    <w:p w14:paraId="16753288" w14:textId="41783883" w:rsidR="00755957" w:rsidRPr="00043408" w:rsidRDefault="00755957" w:rsidP="00755957">
      <w:pPr>
        <w:spacing w:line="240" w:lineRule="auto"/>
        <w:jc w:val="both"/>
        <w:rPr>
          <w:lang w:val="en-US"/>
        </w:rPr>
      </w:pPr>
      <w:r w:rsidRPr="003C1F9D">
        <w:rPr>
          <w:smallCaps/>
          <w:lang w:val="en-US"/>
        </w:rPr>
        <w:t>White</w:t>
      </w:r>
      <w:r w:rsidRPr="00043408">
        <w:rPr>
          <w:lang w:val="en-US"/>
        </w:rPr>
        <w:t xml:space="preserve"> </w:t>
      </w:r>
      <w:r>
        <w:rPr>
          <w:lang w:val="en-US"/>
        </w:rPr>
        <w:t>Hayden (1957).</w:t>
      </w:r>
      <w:r w:rsidRPr="006018AC">
        <w:rPr>
          <w:lang w:val="en-US"/>
        </w:rPr>
        <w:t xml:space="preserve"> </w:t>
      </w:r>
      <w:r w:rsidRPr="007B6419">
        <w:rPr>
          <w:lang w:val="en-US"/>
        </w:rPr>
        <w:t>«</w:t>
      </w:r>
      <w:r>
        <w:rPr>
          <w:lang w:val="en-US"/>
        </w:rPr>
        <w:t xml:space="preserve"> Collingwood and </w:t>
      </w:r>
      <w:r w:rsidR="00673C2E">
        <w:rPr>
          <w:lang w:val="en-US"/>
        </w:rPr>
        <w:t>Toynbee:</w:t>
      </w:r>
      <w:r>
        <w:rPr>
          <w:lang w:val="en-US"/>
        </w:rPr>
        <w:t xml:space="preserve"> Transitions in English Historical Thought </w:t>
      </w:r>
      <w:r w:rsidRPr="007B6419">
        <w:rPr>
          <w:lang w:val="en-US"/>
        </w:rPr>
        <w:t>»</w:t>
      </w:r>
      <w:r>
        <w:rPr>
          <w:lang w:val="en-US"/>
        </w:rPr>
        <w:t xml:space="preserve">, </w:t>
      </w:r>
      <w:r>
        <w:rPr>
          <w:i/>
          <w:iCs/>
          <w:lang w:val="en-US"/>
        </w:rPr>
        <w:t>English Miscellany</w:t>
      </w:r>
      <w:r>
        <w:rPr>
          <w:lang w:val="en-US"/>
        </w:rPr>
        <w:t xml:space="preserve">, </w:t>
      </w:r>
      <w:r w:rsidR="00673C2E">
        <w:rPr>
          <w:lang w:val="en-US"/>
        </w:rPr>
        <w:t xml:space="preserve">1957, </w:t>
      </w:r>
      <w:r>
        <w:rPr>
          <w:lang w:val="en-US"/>
        </w:rPr>
        <w:t>8</w:t>
      </w:r>
      <w:r w:rsidR="00673C2E">
        <w:rPr>
          <w:lang w:val="en-US"/>
        </w:rPr>
        <w:t>, p.</w:t>
      </w:r>
      <w:r>
        <w:rPr>
          <w:lang w:val="en-US"/>
        </w:rPr>
        <w:t xml:space="preserve">147-178. </w:t>
      </w:r>
    </w:p>
    <w:p w14:paraId="7E666ABF" w14:textId="3C1CD574" w:rsidR="00755957" w:rsidRPr="00673C2E" w:rsidRDefault="00755957" w:rsidP="00673C2E">
      <w:pPr>
        <w:spacing w:line="240" w:lineRule="auto"/>
        <w:jc w:val="both"/>
        <w:rPr>
          <w:lang w:val="en-US"/>
        </w:rPr>
      </w:pPr>
      <w:r>
        <w:rPr>
          <w:rFonts w:ascii="Times New Roman" w:hAnsi="Times New Roman" w:cs="Times New Roman"/>
          <w:sz w:val="24"/>
          <w:szCs w:val="24"/>
        </w:rPr>
        <w:fldChar w:fldCharType="end"/>
      </w:r>
    </w:p>
    <w:p w14:paraId="74710B2F" w14:textId="77777777" w:rsidR="00B66CFE" w:rsidRDefault="00B66CFE" w:rsidP="0063157C">
      <w:pPr>
        <w:spacing w:line="360" w:lineRule="auto"/>
        <w:jc w:val="both"/>
        <w:rPr>
          <w:rFonts w:ascii="Times New Roman" w:hAnsi="Times New Roman" w:cs="Times New Roman"/>
          <w:sz w:val="24"/>
          <w:szCs w:val="24"/>
        </w:rPr>
      </w:pPr>
    </w:p>
    <w:p w14:paraId="584F8E72" w14:textId="05B90C44" w:rsidR="00B66CFE" w:rsidRDefault="00B66CFE" w:rsidP="00B66CFE">
      <w:pPr>
        <w:spacing w:line="360" w:lineRule="auto"/>
        <w:jc w:val="both"/>
        <w:rPr>
          <w:rFonts w:ascii="Times New Roman" w:hAnsi="Times New Roman" w:cs="Times New Roman"/>
          <w:sz w:val="24"/>
          <w:szCs w:val="24"/>
          <w:lang w:val="fr-FR"/>
        </w:rPr>
      </w:pPr>
      <w:r w:rsidRPr="00673C2E">
        <w:rPr>
          <w:rFonts w:ascii="Times New Roman" w:hAnsi="Times New Roman" w:cs="Times New Roman"/>
          <w:smallCaps/>
          <w:sz w:val="24"/>
          <w:szCs w:val="24"/>
          <w:lang w:val="fr-FR"/>
        </w:rPr>
        <w:t>Résumé</w:t>
      </w:r>
      <w:r w:rsidR="00673C2E">
        <w:rPr>
          <w:rFonts w:ascii="Times New Roman" w:hAnsi="Times New Roman" w:cs="Times New Roman"/>
          <w:smallCaps/>
          <w:sz w:val="24"/>
          <w:szCs w:val="24"/>
          <w:lang w:val="fr-FR"/>
        </w:rPr>
        <w:t xml:space="preserve"> -</w:t>
      </w:r>
      <w:r w:rsidRPr="00673C2E">
        <w:rPr>
          <w:rFonts w:ascii="Times New Roman" w:hAnsi="Times New Roman" w:cs="Times New Roman"/>
          <w:smallCaps/>
          <w:sz w:val="24"/>
          <w:szCs w:val="24"/>
          <w:lang w:val="fr-FR"/>
        </w:rPr>
        <w:t> </w:t>
      </w:r>
      <w:r>
        <w:rPr>
          <w:rFonts w:ascii="Times New Roman" w:hAnsi="Times New Roman" w:cs="Times New Roman"/>
          <w:sz w:val="24"/>
          <w:szCs w:val="24"/>
          <w:lang w:val="fr-FR"/>
        </w:rPr>
        <w:t xml:space="preserve">Cet article étudie la réception française de l’œuvre du philosophe et historien britannique R.G. Collingwood (1889-1943). Connu en France pour sa théorie de l’histoire, Collingwood a été intégré à deux grands débats francophones, d’une part dans les années 50 dans l’ouvrage de H.I. Marrou </w:t>
      </w:r>
      <w:r>
        <w:rPr>
          <w:rFonts w:ascii="Times New Roman" w:hAnsi="Times New Roman" w:cs="Times New Roman"/>
          <w:i/>
          <w:iCs/>
          <w:sz w:val="24"/>
          <w:szCs w:val="24"/>
          <w:lang w:val="fr-FR"/>
        </w:rPr>
        <w:t>De la connaissance historique</w:t>
      </w:r>
      <w:r>
        <w:rPr>
          <w:rFonts w:ascii="Times New Roman" w:hAnsi="Times New Roman" w:cs="Times New Roman"/>
          <w:sz w:val="24"/>
          <w:szCs w:val="24"/>
          <w:lang w:val="fr-FR"/>
        </w:rPr>
        <w:t xml:space="preserve">, dont les arguments seront repris par P. Ricoeur dans </w:t>
      </w:r>
      <w:r>
        <w:rPr>
          <w:rFonts w:ascii="Times New Roman" w:hAnsi="Times New Roman" w:cs="Times New Roman"/>
          <w:i/>
          <w:iCs/>
          <w:sz w:val="24"/>
          <w:szCs w:val="24"/>
          <w:lang w:val="fr-FR"/>
        </w:rPr>
        <w:t>Temps et Récit</w:t>
      </w:r>
      <w:r>
        <w:rPr>
          <w:rFonts w:ascii="Times New Roman" w:hAnsi="Times New Roman" w:cs="Times New Roman"/>
          <w:sz w:val="24"/>
          <w:szCs w:val="24"/>
          <w:lang w:val="fr-FR"/>
        </w:rPr>
        <w:t xml:space="preserve">, d’autre part la « méthode » de Collingwood a été remise au goût du jour par les travaux d’Alain de Libera, dans son projet d’archéologie philosophique. C’est au gré de ces débats épistémologiques et méthodologiques que se dessine un portrait du philosophe anglais, un portrait souvent caricatural et dont on regrette le caractère fragmentaire. Cet article tente de démontrer les limites de ce portrait ainsi que de plaider pour une étude plus attentive de Collingwood en régime francophone. </w:t>
      </w:r>
    </w:p>
    <w:p w14:paraId="0D60096F" w14:textId="039DB9C6" w:rsidR="00673C2E" w:rsidRPr="00673C2E" w:rsidRDefault="00673C2E" w:rsidP="00B66CFE">
      <w:pPr>
        <w:spacing w:line="360" w:lineRule="auto"/>
        <w:jc w:val="both"/>
        <w:rPr>
          <w:rFonts w:ascii="Times New Roman" w:hAnsi="Times New Roman" w:cs="Times New Roman"/>
          <w:smallCaps/>
          <w:sz w:val="24"/>
          <w:szCs w:val="24"/>
          <w:lang w:val="en-US"/>
        </w:rPr>
      </w:pPr>
      <w:r>
        <w:rPr>
          <w:rFonts w:ascii="Times New Roman" w:hAnsi="Times New Roman" w:cs="Times New Roman"/>
          <w:sz w:val="24"/>
          <w:szCs w:val="24"/>
          <w:lang w:val="fr-FR"/>
        </w:rPr>
        <w:tab/>
      </w:r>
      <w:r w:rsidRPr="00673C2E">
        <w:rPr>
          <w:rFonts w:ascii="Times New Roman" w:hAnsi="Times New Roman" w:cs="Times New Roman"/>
          <w:smallCaps/>
          <w:sz w:val="24"/>
          <w:szCs w:val="24"/>
          <w:lang w:val="en-US"/>
        </w:rPr>
        <w:t xml:space="preserve">Abstract </w:t>
      </w:r>
      <w:r w:rsidRPr="00673C2E">
        <w:rPr>
          <w:rFonts w:ascii="Times New Roman" w:hAnsi="Times New Roman" w:cs="Times New Roman"/>
          <w:sz w:val="24"/>
          <w:szCs w:val="24"/>
          <w:lang w:val="en-US"/>
        </w:rPr>
        <w:t xml:space="preserve">- This article examines the French reception of the work of British philosopher and historian R.G. Collingwood (1889–1943). Known in France for his theory of history, Collingwood was incorporated into two major Francophone debates: first, in the 1950s in the work of H.I. Marrou's </w:t>
      </w:r>
      <w:r w:rsidRPr="00673C2E">
        <w:rPr>
          <w:rFonts w:ascii="Times New Roman" w:hAnsi="Times New Roman" w:cs="Times New Roman"/>
          <w:i/>
          <w:iCs/>
          <w:sz w:val="24"/>
          <w:szCs w:val="24"/>
          <w:lang w:val="en-US"/>
        </w:rPr>
        <w:t>De la connaissance historique</w:t>
      </w:r>
      <w:r w:rsidRPr="00673C2E">
        <w:rPr>
          <w:rFonts w:ascii="Times New Roman" w:hAnsi="Times New Roman" w:cs="Times New Roman"/>
          <w:sz w:val="24"/>
          <w:szCs w:val="24"/>
          <w:lang w:val="en-US"/>
        </w:rPr>
        <w:t xml:space="preserve"> whose arguments were taken up by P. Ricoeur in </w:t>
      </w:r>
      <w:r w:rsidRPr="00673C2E">
        <w:rPr>
          <w:rFonts w:ascii="Times New Roman" w:hAnsi="Times New Roman" w:cs="Times New Roman"/>
          <w:i/>
          <w:iCs/>
          <w:sz w:val="24"/>
          <w:szCs w:val="24"/>
          <w:lang w:val="en-US"/>
        </w:rPr>
        <w:t>Time and Narrative</w:t>
      </w:r>
      <w:r w:rsidRPr="00673C2E">
        <w:rPr>
          <w:rFonts w:ascii="Times New Roman" w:hAnsi="Times New Roman" w:cs="Times New Roman"/>
          <w:sz w:val="24"/>
          <w:szCs w:val="24"/>
          <w:lang w:val="en-US"/>
        </w:rPr>
        <w:t>, and on the other hand, Collingwood's ‘method’ was brought back into vogue by the work of Alain de Libera in his project on philosophical archaeology. It is through these epistemological and methodological debates that a portrait of the English philosopher emerges, a portrait that is often caricatural and regrettably fragmentary. This article attempts to demonstrate the limitations of this portrait and to argue for a more careful study of Collingwood in the French-speaking world.</w:t>
      </w:r>
    </w:p>
    <w:p w14:paraId="01BF9919" w14:textId="77777777" w:rsidR="00B66CFE" w:rsidRDefault="00B66CFE" w:rsidP="0063157C">
      <w:pPr>
        <w:spacing w:line="360" w:lineRule="auto"/>
        <w:jc w:val="both"/>
        <w:rPr>
          <w:rFonts w:ascii="Times New Roman" w:hAnsi="Times New Roman" w:cs="Times New Roman"/>
          <w:sz w:val="24"/>
          <w:szCs w:val="24"/>
          <w:lang w:val="en-US"/>
        </w:rPr>
      </w:pPr>
    </w:p>
    <w:p w14:paraId="7C63BE39" w14:textId="40899DE5" w:rsidR="00673C2E" w:rsidRPr="00673C2E" w:rsidRDefault="00673C2E" w:rsidP="00673C2E">
      <w:pPr>
        <w:spacing w:line="360" w:lineRule="auto"/>
        <w:jc w:val="both"/>
        <w:rPr>
          <w:rFonts w:ascii="Times New Roman" w:hAnsi="Times New Roman" w:cs="Times New Roman"/>
          <w:smallCaps/>
          <w:sz w:val="24"/>
          <w:szCs w:val="24"/>
        </w:rPr>
      </w:pPr>
      <w:r w:rsidRPr="00673C2E">
        <w:rPr>
          <w:rFonts w:ascii="Times New Roman" w:hAnsi="Times New Roman" w:cs="Times New Roman"/>
          <w:smallCaps/>
          <w:sz w:val="24"/>
          <w:szCs w:val="24"/>
        </w:rPr>
        <w:t>Remerciements </w:t>
      </w:r>
      <w:r>
        <w:rPr>
          <w:rFonts w:ascii="Times New Roman" w:hAnsi="Times New Roman" w:cs="Times New Roman"/>
          <w:smallCaps/>
          <w:sz w:val="24"/>
          <w:szCs w:val="24"/>
        </w:rPr>
        <w:t xml:space="preserve">- </w:t>
      </w:r>
      <w:r>
        <w:rPr>
          <w:rFonts w:ascii="Times New Roman" w:hAnsi="Times New Roman" w:cs="Times New Roman"/>
          <w:sz w:val="24"/>
          <w:szCs w:val="24"/>
        </w:rPr>
        <w:t xml:space="preserve">Mes remerciements vont tout d’abord à Jacob Schmutz pour ces relectures attentives, ses conseils précieux et ses références qui ont nourri cet article. Je tiens aussi à remercier Luc Foisneau et Mathieu Marion pour les échanges qui ont nourri ma réflexion, ainsi que les participants à la </w:t>
      </w:r>
      <w:r>
        <w:rPr>
          <w:rFonts w:ascii="Times New Roman" w:hAnsi="Times New Roman" w:cs="Times New Roman"/>
          <w:i/>
          <w:iCs/>
          <w:sz w:val="24"/>
          <w:szCs w:val="24"/>
        </w:rPr>
        <w:t>December Conference</w:t>
      </w:r>
      <w:r>
        <w:rPr>
          <w:rFonts w:ascii="Times New Roman" w:hAnsi="Times New Roman" w:cs="Times New Roman"/>
          <w:sz w:val="24"/>
          <w:szCs w:val="24"/>
        </w:rPr>
        <w:t xml:space="preserve"> (2023 et 2024) des </w:t>
      </w:r>
      <w:r>
        <w:rPr>
          <w:rFonts w:ascii="Times New Roman" w:hAnsi="Times New Roman" w:cs="Times New Roman"/>
          <w:i/>
          <w:iCs/>
          <w:sz w:val="24"/>
          <w:szCs w:val="24"/>
        </w:rPr>
        <w:t>British Idealism and Collingwood Studies</w:t>
      </w:r>
      <w:r>
        <w:rPr>
          <w:rFonts w:ascii="Times New Roman" w:hAnsi="Times New Roman" w:cs="Times New Roman"/>
          <w:sz w:val="24"/>
          <w:szCs w:val="24"/>
        </w:rPr>
        <w:t xml:space="preserve"> pour leurs questions, ainsi que pour les informations qu’ils m’ont données, notamment James Connelly, Christopher Fear et Colin Tyler. Mes remerciements vont aussi à Daniel Frey et Astrid Theveneaux de l’Institut Protestant de Théologie de m’avoir donné accès aux archives Paul Ricoeur. Enfin, je remercie les deux relecteurs anonymes pour leurs suggestions, ainsi que Benoît Thirion pour ses conseils et son œil aiguisé de relecteur. </w:t>
      </w:r>
    </w:p>
    <w:p w14:paraId="1CBA5B95" w14:textId="77777777" w:rsidR="00673C2E" w:rsidRPr="00673C2E" w:rsidRDefault="00673C2E" w:rsidP="0063157C">
      <w:pPr>
        <w:spacing w:line="360" w:lineRule="auto"/>
        <w:jc w:val="both"/>
        <w:rPr>
          <w:rFonts w:ascii="Times New Roman" w:hAnsi="Times New Roman" w:cs="Times New Roman"/>
          <w:sz w:val="24"/>
          <w:szCs w:val="24"/>
        </w:rPr>
      </w:pPr>
    </w:p>
    <w:sectPr w:rsidR="00673C2E" w:rsidRPr="00673C2E">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847532" w14:textId="77777777" w:rsidR="006023F8" w:rsidRDefault="006023F8" w:rsidP="002D0A66">
      <w:pPr>
        <w:spacing w:after="0" w:line="240" w:lineRule="auto"/>
      </w:pPr>
      <w:r>
        <w:separator/>
      </w:r>
    </w:p>
  </w:endnote>
  <w:endnote w:type="continuationSeparator" w:id="0">
    <w:p w14:paraId="3395DFD4" w14:textId="77777777" w:rsidR="006023F8" w:rsidRDefault="006023F8" w:rsidP="002D0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4974696"/>
      <w:docPartObj>
        <w:docPartGallery w:val="Page Numbers (Bottom of Page)"/>
        <w:docPartUnique/>
      </w:docPartObj>
    </w:sdtPr>
    <w:sdtContent>
      <w:p w14:paraId="737BD340" w14:textId="42296E85" w:rsidR="00396179" w:rsidRDefault="00396179">
        <w:pPr>
          <w:pStyle w:val="Pieddepage"/>
          <w:jc w:val="center"/>
        </w:pPr>
        <w:r>
          <w:fldChar w:fldCharType="begin"/>
        </w:r>
        <w:r>
          <w:instrText>PAGE   \* MERGEFORMAT</w:instrText>
        </w:r>
        <w:r>
          <w:fldChar w:fldCharType="separate"/>
        </w:r>
        <w:r>
          <w:rPr>
            <w:lang w:val="fr-FR"/>
          </w:rPr>
          <w:t>2</w:t>
        </w:r>
        <w:r>
          <w:fldChar w:fldCharType="end"/>
        </w:r>
      </w:p>
    </w:sdtContent>
  </w:sdt>
  <w:p w14:paraId="444EE969" w14:textId="77777777" w:rsidR="00396179" w:rsidRDefault="0039617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6E9E51" w14:textId="77777777" w:rsidR="006023F8" w:rsidRDefault="006023F8" w:rsidP="002D0A66">
      <w:pPr>
        <w:spacing w:after="0" w:line="240" w:lineRule="auto"/>
      </w:pPr>
      <w:r>
        <w:separator/>
      </w:r>
    </w:p>
  </w:footnote>
  <w:footnote w:type="continuationSeparator" w:id="0">
    <w:p w14:paraId="3B13F214" w14:textId="77777777" w:rsidR="006023F8" w:rsidRDefault="006023F8" w:rsidP="002D0A66">
      <w:pPr>
        <w:spacing w:after="0" w:line="240" w:lineRule="auto"/>
      </w:pPr>
      <w:r>
        <w:continuationSeparator/>
      </w:r>
    </w:p>
  </w:footnote>
  <w:footnote w:id="1">
    <w:p w14:paraId="63425855" w14:textId="4672DE93" w:rsidR="00B22247" w:rsidRPr="00B22247" w:rsidRDefault="00B22247" w:rsidP="0063157C">
      <w:pPr>
        <w:pStyle w:val="Notedebasdepage"/>
        <w:jc w:val="both"/>
      </w:pPr>
      <w:r>
        <w:rPr>
          <w:rStyle w:val="Appelnotedebasdep"/>
        </w:rPr>
        <w:footnoteRef/>
      </w:r>
      <w:r w:rsidRPr="00B22247">
        <w:t xml:space="preserve"> L’ouvrage de W.H. Dray, </w:t>
      </w:r>
      <w:r w:rsidRPr="00B22247">
        <w:rPr>
          <w:i/>
          <w:iCs/>
        </w:rPr>
        <w:t>Laws and explanation in history</w:t>
      </w:r>
      <w:r w:rsidRPr="00B22247">
        <w:t xml:space="preserve"> est tiré de sa thèse rédi</w:t>
      </w:r>
      <w:r>
        <w:t>gée à Oxford en 1955. Si cet ouvrage est connu pour sa critique des thèses de Carl Hempel sur les lois comme modèles d’explication en histoire, il est important de noter que la pensée de Dray s’appuie directement sur Collingwood, et plus précisément sur son</w:t>
      </w:r>
      <w:r w:rsidR="00C16653">
        <w:t xml:space="preserve"> livre</w:t>
      </w:r>
      <w:r>
        <w:t xml:space="preserve"> </w:t>
      </w:r>
      <w:r>
        <w:rPr>
          <w:i/>
          <w:iCs/>
        </w:rPr>
        <w:t>The Idea of History</w:t>
      </w:r>
      <w:r w:rsidR="00C16653">
        <w:t xml:space="preserve">. Dray demeure tributaire de la lecture intuitionniste de Walsh, et pour cause son ouvrage est publié l’année de l’article de Donagan. </w:t>
      </w:r>
    </w:p>
  </w:footnote>
  <w:footnote w:id="2">
    <w:p w14:paraId="2C5D058A" w14:textId="14ACFB67" w:rsidR="009510CD" w:rsidRPr="009510CD" w:rsidRDefault="009510CD" w:rsidP="0063157C">
      <w:pPr>
        <w:pStyle w:val="Notedebasdepage"/>
        <w:jc w:val="both"/>
        <w:rPr>
          <w:lang w:val="en-US"/>
        </w:rPr>
      </w:pPr>
      <w:r>
        <w:rPr>
          <w:rStyle w:val="Appelnotedebasdep"/>
        </w:rPr>
        <w:footnoteRef/>
      </w:r>
      <w:r w:rsidRPr="009510CD">
        <w:rPr>
          <w:lang w:val="en-US"/>
        </w:rPr>
        <w:t xml:space="preserve"> La revue </w:t>
      </w:r>
      <w:r w:rsidRPr="009510CD">
        <w:rPr>
          <w:i/>
          <w:iCs/>
          <w:lang w:val="en-US"/>
        </w:rPr>
        <w:t>British Idealism and Collingwood Studies</w:t>
      </w:r>
      <w:r w:rsidRPr="009510CD">
        <w:rPr>
          <w:lang w:val="en-US"/>
        </w:rPr>
        <w:t xml:space="preserve"> réunit un grand nombre de philosophes</w:t>
      </w:r>
      <w:r w:rsidR="007C5C1A">
        <w:rPr>
          <w:lang w:val="en-US"/>
        </w:rPr>
        <w:t xml:space="preserve">, </w:t>
      </w:r>
      <w:r w:rsidRPr="009510CD">
        <w:rPr>
          <w:lang w:val="en-US"/>
        </w:rPr>
        <w:t xml:space="preserve">la liste des noms n’est </w:t>
      </w:r>
      <w:r w:rsidR="007C5C1A">
        <w:rPr>
          <w:lang w:val="en-US"/>
        </w:rPr>
        <w:t>donc pas</w:t>
      </w:r>
      <w:r w:rsidRPr="009510CD">
        <w:rPr>
          <w:lang w:val="en-US"/>
        </w:rPr>
        <w:t xml:space="preserve"> exhaustive : Bruce Haddock (Cardiff University), Avital Simhony (Arizona State University), William Sweet (St Francis Xavier University, Canada), Colin Tyler (Hull University), Andrew Vincent (Cardiff University), Terry Diffey (Sussex University), Giuseppina d’Oro (Keele Universit</w:t>
      </w:r>
      <w:r>
        <w:rPr>
          <w:lang w:val="en-US"/>
        </w:rPr>
        <w:t>y), Stephen Leach (Keele University), Maria Dimova-Cookson (Durham University), Ian Hodder (Cambridge University), Rex Martin (Kansas University at Lawrence), W.D. Mander (Oxford University), Peter Nicholason (York University), James Patrick (St. Thomas More)</w:t>
      </w:r>
      <w:r w:rsidR="007C5C1A">
        <w:rPr>
          <w:lang w:val="en-US"/>
        </w:rPr>
        <w:t>, Alasdair Macintyre (Notre Dame), Guido Vanheeswijck (Leuven University, Belgium); Guy Stock (University of Dundee), Heikki Saari (Helsinki).</w:t>
      </w:r>
    </w:p>
  </w:footnote>
  <w:footnote w:id="3">
    <w:p w14:paraId="7F81CE89" w14:textId="610D9D1A" w:rsidR="003442BE" w:rsidRPr="003442BE" w:rsidRDefault="003442BE" w:rsidP="0063157C">
      <w:pPr>
        <w:pStyle w:val="Notedebasdepage"/>
        <w:jc w:val="both"/>
      </w:pPr>
      <w:r>
        <w:rPr>
          <w:rStyle w:val="Appelnotedebasdep"/>
        </w:rPr>
        <w:footnoteRef/>
      </w:r>
      <w:r w:rsidRPr="003442BE">
        <w:t xml:space="preserve"> Eric Dardel (1899-1967), géographe, auteur n</w:t>
      </w:r>
      <w:r>
        <w:t xml:space="preserve">otamment d’un ouvrage de méthodologie de l’histoire </w:t>
      </w:r>
      <w:r w:rsidR="0099435D">
        <w:t xml:space="preserve">(Dardel E., 1946) </w:t>
      </w:r>
      <w:r>
        <w:t>et d’un livre aux inspirations davantage anthropologiques</w:t>
      </w:r>
      <w:r w:rsidR="0099435D">
        <w:rPr>
          <w:i/>
          <w:iCs/>
        </w:rPr>
        <w:t xml:space="preserve"> </w:t>
      </w:r>
      <w:r w:rsidR="0099435D">
        <w:t>(Dardel E., 1952)</w:t>
      </w:r>
      <w:r>
        <w:t xml:space="preserve">, dans lequel il tente d’offrir une philosophie de la géographie, inspirée par la phénoménologie, surtout par Heidegger. En 2014, une nouvelle édition des textes de Dardel est parue sous le titre </w:t>
      </w:r>
      <w:r w:rsidR="000B7C13" w:rsidRPr="000B7C13">
        <w:rPr>
          <w:i/>
          <w:iCs/>
        </w:rPr>
        <w:t>É</w:t>
      </w:r>
      <w:r>
        <w:rPr>
          <w:i/>
          <w:iCs/>
        </w:rPr>
        <w:t>crits du Monde entier</w:t>
      </w:r>
      <w:r>
        <w:t xml:space="preserve">, Héros-Limite, Genève. </w:t>
      </w:r>
    </w:p>
  </w:footnote>
  <w:footnote w:id="4">
    <w:p w14:paraId="2108085E" w14:textId="56F75F34" w:rsidR="00CF1E8F" w:rsidRPr="00CF1E8F" w:rsidRDefault="00CF1E8F" w:rsidP="0063157C">
      <w:pPr>
        <w:pStyle w:val="Notedebasdepage"/>
        <w:jc w:val="both"/>
        <w:rPr>
          <w:lang w:val="fr-FR"/>
        </w:rPr>
      </w:pPr>
      <w:r>
        <w:rPr>
          <w:rStyle w:val="Appelnotedebasdep"/>
        </w:rPr>
        <w:footnoteRef/>
      </w:r>
      <w:r>
        <w:t xml:space="preserve"> </w:t>
      </w:r>
      <w:r>
        <w:rPr>
          <w:lang w:val="fr-FR"/>
        </w:rPr>
        <w:t xml:space="preserve">Cela est d’autant plus </w:t>
      </w:r>
      <w:r w:rsidR="006E7743">
        <w:rPr>
          <w:lang w:val="fr-FR"/>
        </w:rPr>
        <w:t>étonnant</w:t>
      </w:r>
      <w:r>
        <w:rPr>
          <w:lang w:val="fr-FR"/>
        </w:rPr>
        <w:t xml:space="preserve"> que la figure de Heidegger après la Seconde Guerre mondiale était « comme Dieu en France » pour reprendre le titre de l’article d’Henri Mougin </w:t>
      </w:r>
      <w:r w:rsidR="00043408">
        <w:rPr>
          <w:lang w:val="fr-FR"/>
        </w:rPr>
        <w:t>(Mougin H., 1946).</w:t>
      </w:r>
      <w:r>
        <w:rPr>
          <w:lang w:val="fr-FR"/>
        </w:rPr>
        <w:t xml:space="preserve"> </w:t>
      </w:r>
      <w:r w:rsidR="00043408">
        <w:rPr>
          <w:lang w:val="fr-FR"/>
        </w:rPr>
        <w:t>L</w:t>
      </w:r>
      <w:r>
        <w:rPr>
          <w:lang w:val="fr-FR"/>
        </w:rPr>
        <w:t>’auteur écrit à ce sujet : « Et maintenant, Heidegger a partout la parole. Il a paru, en deux mois, dans la presse française, cinq interviews du maître de l’existentialisme allemand. » (p.134) Voir aussi à ce sujet Jean-Michel Palmier</w:t>
      </w:r>
      <w:r w:rsidR="00043408">
        <w:rPr>
          <w:lang w:val="fr-FR"/>
        </w:rPr>
        <w:t>, 1986 p</w:t>
      </w:r>
      <w:r>
        <w:rPr>
          <w:lang w:val="fr-FR"/>
        </w:rPr>
        <w:t>.34-38. On peut ajouter à cela la véritable frénésie des pèlerins rendant visite à Heidegger après-guerre, dont témoigne l’ouvrage de Dominique Janicaud</w:t>
      </w:r>
      <w:r w:rsidR="00043408">
        <w:rPr>
          <w:lang w:val="fr-FR"/>
        </w:rPr>
        <w:t xml:space="preserve"> (Janicaud D., 2001)</w:t>
      </w:r>
      <w:r>
        <w:rPr>
          <w:lang w:val="fr-FR"/>
        </w:rPr>
        <w:t xml:space="preserve"> notamment p.82, ainsi que les échanges avec Jean Beaufret</w:t>
      </w:r>
      <w:r w:rsidR="006E7743">
        <w:rPr>
          <w:lang w:val="fr-FR"/>
        </w:rPr>
        <w:t xml:space="preserve"> et la diffusion d’une pensée heidegerro-beaufretienne dans les années 50. </w:t>
      </w:r>
    </w:p>
  </w:footnote>
  <w:footnote w:id="5">
    <w:p w14:paraId="024ACFD7" w14:textId="104C9D5A" w:rsidR="00502992" w:rsidRPr="00A44D31" w:rsidRDefault="00502992" w:rsidP="00CB7721">
      <w:pPr>
        <w:pStyle w:val="Notedebasdepage"/>
        <w:jc w:val="both"/>
      </w:pPr>
      <w:r>
        <w:rPr>
          <w:rStyle w:val="Appelnotedebasdep"/>
        </w:rPr>
        <w:footnoteRef/>
      </w:r>
      <w:r>
        <w:t xml:space="preserve"> </w:t>
      </w:r>
      <w:r w:rsidR="006E7743">
        <w:t xml:space="preserve">Les deux thèses </w:t>
      </w:r>
      <w:r w:rsidR="00A44D31">
        <w:t xml:space="preserve">de Raymond Aron </w:t>
      </w:r>
      <w:r w:rsidR="006E7743">
        <w:t>auxquelles Marrou se rapporte sont</w:t>
      </w:r>
      <w:r w:rsidR="00A44D31">
        <w:t xml:space="preserve"> la thèse principale </w:t>
      </w:r>
      <w:r w:rsidR="00A44D31" w:rsidRPr="00A44D31">
        <w:rPr>
          <w:i/>
          <w:iCs/>
        </w:rPr>
        <w:t>Introduction à la philosophie de l'histoire, essai sur les limites de</w:t>
      </w:r>
      <w:r w:rsidR="00A44D31">
        <w:rPr>
          <w:i/>
          <w:iCs/>
        </w:rPr>
        <w:t xml:space="preserve"> </w:t>
      </w:r>
      <w:r w:rsidR="00A44D31" w:rsidRPr="00A44D31">
        <w:rPr>
          <w:i/>
          <w:iCs/>
        </w:rPr>
        <w:t>l'objectivité historique</w:t>
      </w:r>
      <w:r w:rsidR="00A44D31">
        <w:rPr>
          <w:i/>
          <w:iCs/>
        </w:rPr>
        <w:t xml:space="preserve"> </w:t>
      </w:r>
      <w:r w:rsidR="00A44D31">
        <w:t>(1938)</w:t>
      </w:r>
      <w:r w:rsidR="00A44D31">
        <w:rPr>
          <w:i/>
          <w:iCs/>
        </w:rPr>
        <w:t xml:space="preserve"> </w:t>
      </w:r>
      <w:r w:rsidR="00A44D31">
        <w:t>et la thèse complémentaire :</w:t>
      </w:r>
      <w:r w:rsidR="00A44D31" w:rsidRPr="00A44D31">
        <w:rPr>
          <w:i/>
          <w:iCs/>
        </w:rPr>
        <w:t xml:space="preserve"> La Philosophie critique de l'histoire, essai sur une</w:t>
      </w:r>
      <w:r w:rsidR="00A44D31">
        <w:rPr>
          <w:i/>
          <w:iCs/>
        </w:rPr>
        <w:t xml:space="preserve"> </w:t>
      </w:r>
      <w:r w:rsidR="00A44D31" w:rsidRPr="00A44D31">
        <w:rPr>
          <w:i/>
          <w:iCs/>
        </w:rPr>
        <w:t>théorie allemande de l'histoire</w:t>
      </w:r>
      <w:r w:rsidR="00A44D31">
        <w:rPr>
          <w:i/>
          <w:iCs/>
        </w:rPr>
        <w:t xml:space="preserve"> </w:t>
      </w:r>
      <w:r w:rsidR="00A44D31">
        <w:t>(1938).</w:t>
      </w:r>
    </w:p>
  </w:footnote>
  <w:footnote w:id="6">
    <w:p w14:paraId="62DF0479" w14:textId="56E1FE29" w:rsidR="004932E5" w:rsidRPr="00712228" w:rsidRDefault="004932E5" w:rsidP="00CB7721">
      <w:pPr>
        <w:pStyle w:val="Notedebasdepage"/>
        <w:jc w:val="both"/>
        <w:rPr>
          <w:lang w:val="fr-FR"/>
        </w:rPr>
      </w:pPr>
      <w:r>
        <w:rPr>
          <w:rStyle w:val="Appelnotedebasdep"/>
        </w:rPr>
        <w:footnoteRef/>
      </w:r>
      <w:r>
        <w:t xml:space="preserve"> </w:t>
      </w:r>
      <w:r w:rsidR="00A50CA2">
        <w:rPr>
          <w:lang w:val="fr-FR"/>
        </w:rPr>
        <w:t xml:space="preserve">Antoine Prost </w:t>
      </w:r>
      <w:r w:rsidR="00043408">
        <w:rPr>
          <w:lang w:val="fr-FR"/>
        </w:rPr>
        <w:t xml:space="preserve">(Prost, A., 1996) </w:t>
      </w:r>
      <w:r w:rsidR="00087498">
        <w:rPr>
          <w:lang w:val="fr-FR"/>
        </w:rPr>
        <w:t xml:space="preserve">nuance les propos de H.I. Marrou sur Seignobos. </w:t>
      </w:r>
      <w:r w:rsidR="00521834">
        <w:rPr>
          <w:lang w:val="fr-FR"/>
        </w:rPr>
        <w:t>Il renvoie par ailleurs à son article « </w:t>
      </w:r>
      <w:r w:rsidR="00735FA2">
        <w:rPr>
          <w:lang w:val="fr-FR"/>
        </w:rPr>
        <w:t xml:space="preserve">Charles </w:t>
      </w:r>
      <w:r w:rsidR="00521834">
        <w:rPr>
          <w:lang w:val="fr-FR"/>
        </w:rPr>
        <w:t>Seignobos revisité »</w:t>
      </w:r>
      <w:r w:rsidR="00043408">
        <w:rPr>
          <w:lang w:val="fr-FR"/>
        </w:rPr>
        <w:t xml:space="preserve"> (Prost A., 1994)</w:t>
      </w:r>
      <w:r w:rsidR="00904C2F">
        <w:rPr>
          <w:lang w:val="fr-FR"/>
        </w:rPr>
        <w:t xml:space="preserve">. </w:t>
      </w:r>
      <w:r w:rsidR="00696B90">
        <w:rPr>
          <w:lang w:val="fr-FR"/>
        </w:rPr>
        <w:t>Dans son ouvrage, Antoine Prost, intègre Collingwood comme un classique de la réflexion sur l’histoire, et</w:t>
      </w:r>
      <w:r w:rsidR="00712228">
        <w:rPr>
          <w:lang w:val="fr-FR"/>
        </w:rPr>
        <w:t xml:space="preserve"> offre pas moins de quatre encadrés qui sont des extraits de </w:t>
      </w:r>
      <w:r w:rsidR="00712228">
        <w:rPr>
          <w:i/>
          <w:iCs/>
          <w:lang w:val="fr-FR"/>
        </w:rPr>
        <w:t>The Idea of History</w:t>
      </w:r>
      <w:r w:rsidR="00712228">
        <w:rPr>
          <w:lang w:val="fr-FR"/>
        </w:rPr>
        <w:t xml:space="preserve"> et de l’</w:t>
      </w:r>
      <w:r w:rsidR="00712228">
        <w:rPr>
          <w:i/>
          <w:iCs/>
          <w:lang w:val="fr-FR"/>
        </w:rPr>
        <w:t>Autobiography</w:t>
      </w:r>
      <w:r w:rsidR="00712228">
        <w:rPr>
          <w:lang w:val="fr-FR"/>
        </w:rPr>
        <w:t xml:space="preserve"> du philosophe anglais. Il écrit à son propos : « J’avoue un faible pour R</w:t>
      </w:r>
      <w:r w:rsidR="002D5B2D">
        <w:rPr>
          <w:lang w:val="fr-FR"/>
        </w:rPr>
        <w:t xml:space="preserve">obin </w:t>
      </w:r>
      <w:r w:rsidR="00712228">
        <w:rPr>
          <w:lang w:val="fr-FR"/>
        </w:rPr>
        <w:t>G</w:t>
      </w:r>
      <w:r w:rsidR="002D5B2D">
        <w:rPr>
          <w:lang w:val="fr-FR"/>
        </w:rPr>
        <w:t>eorge</w:t>
      </w:r>
      <w:r w:rsidR="00712228">
        <w:rPr>
          <w:lang w:val="fr-FR"/>
        </w:rPr>
        <w:t xml:space="preserve"> Collingwood »</w:t>
      </w:r>
      <w:r w:rsidR="002D5B2D">
        <w:rPr>
          <w:lang w:val="fr-FR"/>
        </w:rPr>
        <w:t xml:space="preserve"> (p.72). Cependant, Antoine Prost n’offre pas de lecture critique de Collingwood, et il ne l’intègre que pour le citer, pour l’utiliser comme support de ses leçons sur la preuve historique, sur l’importance du document, sur la connaissance de soi par l’histoire</w:t>
      </w:r>
      <w:r w:rsidR="00C035C4">
        <w:rPr>
          <w:lang w:val="fr-FR"/>
        </w:rPr>
        <w:t xml:space="preserve">. </w:t>
      </w:r>
      <w:r w:rsidR="004B4B07">
        <w:rPr>
          <w:lang w:val="fr-FR"/>
        </w:rPr>
        <w:t xml:space="preserve">Prost est sûrement l’un des premiers à souligner l’importance de l’influence de Collingwood pour le développement de la pensée sur l’histoire et la connaissance historique chez H.I. Marrou. </w:t>
      </w:r>
    </w:p>
  </w:footnote>
  <w:footnote w:id="7">
    <w:p w14:paraId="1D5F7345" w14:textId="291413AF" w:rsidR="00A44D31" w:rsidRPr="00A91A70" w:rsidRDefault="00A44D31" w:rsidP="00375311">
      <w:pPr>
        <w:pStyle w:val="Notedebasdepage"/>
        <w:jc w:val="both"/>
      </w:pPr>
      <w:r>
        <w:rPr>
          <w:rStyle w:val="Appelnotedebasdep"/>
        </w:rPr>
        <w:footnoteRef/>
      </w:r>
      <w:r w:rsidRPr="00A44D31">
        <w:t xml:space="preserve"> Susan Stebbing (1885-1943), philosophe britannique majeure, occupant un</w:t>
      </w:r>
      <w:r>
        <w:t xml:space="preserve"> rôle prépondérant et pionnier dans la fondation logico-mathématique de la philosophie britannique au début du XXème siècle. C’est en critiquant ses thèses que Collingwood emploie le label de « philosophie analytique » (</w:t>
      </w:r>
      <w:r w:rsidR="00043408">
        <w:t>Collingwood R.G., 2005</w:t>
      </w:r>
      <w:r>
        <w:rPr>
          <w:lang w:val="fr-FR"/>
        </w:rPr>
        <w:t xml:space="preserve">). C’est elle qui fonde en 1933 le journal </w:t>
      </w:r>
      <w:r>
        <w:rPr>
          <w:i/>
          <w:iCs/>
          <w:lang w:val="fr-FR"/>
        </w:rPr>
        <w:t>Analysis</w:t>
      </w:r>
      <w:r w:rsidR="00A91A70">
        <w:rPr>
          <w:i/>
          <w:iCs/>
          <w:lang w:val="fr-FR"/>
        </w:rPr>
        <w:t xml:space="preserve">, </w:t>
      </w:r>
      <w:r w:rsidR="00A91A70">
        <w:rPr>
          <w:lang w:val="fr-FR"/>
        </w:rPr>
        <w:t xml:space="preserve">cette même année elle fait la une des journaux britanniques en devenant la première femme au Royaume-Uni à occuper un poste de </w:t>
      </w:r>
      <w:r w:rsidR="00043408">
        <w:rPr>
          <w:lang w:val="fr-FR"/>
        </w:rPr>
        <w:t>p</w:t>
      </w:r>
      <w:r w:rsidR="00A91A70">
        <w:rPr>
          <w:lang w:val="fr-FR"/>
        </w:rPr>
        <w:t>rofesseur de philosophie à Bedford College.</w:t>
      </w:r>
    </w:p>
  </w:footnote>
  <w:footnote w:id="8">
    <w:p w14:paraId="2F9EB664" w14:textId="77777777" w:rsidR="00A10C02" w:rsidRPr="00375311" w:rsidRDefault="00A10C02" w:rsidP="00A10C02">
      <w:pPr>
        <w:pStyle w:val="Notedebasdepage"/>
        <w:rPr>
          <w:lang w:val="en-US"/>
        </w:rPr>
      </w:pPr>
      <w:r>
        <w:rPr>
          <w:rStyle w:val="Appelnotedebasdep"/>
        </w:rPr>
        <w:footnoteRef/>
      </w:r>
      <w:r w:rsidRPr="00B66033">
        <w:rPr>
          <w:lang w:val="en-US"/>
        </w:rPr>
        <w:t xml:space="preserve"> </w:t>
      </w:r>
      <w:r w:rsidRPr="00375311">
        <w:rPr>
          <w:rFonts w:ascii="Times New Roman" w:hAnsi="Times New Roman" w:cs="Times New Roman"/>
          <w:lang w:val="en-US"/>
        </w:rPr>
        <w:t>«</w:t>
      </w:r>
      <w:r w:rsidRPr="00375311">
        <w:rPr>
          <w:rFonts w:ascii="Times New Roman" w:hAnsi="Times New Roman" w:cs="Times New Roman"/>
          <w:sz w:val="24"/>
          <w:szCs w:val="24"/>
          <w:lang w:val="en-US"/>
        </w:rPr>
        <w:t xml:space="preserve"> </w:t>
      </w:r>
      <w:r w:rsidRPr="00375311">
        <w:rPr>
          <w:lang w:val="en-US"/>
        </w:rPr>
        <w:t>More recently still, the kind of logic which professes to be most up to date has inspired a text-book by Miss L. Susan Stebbing (</w:t>
      </w:r>
      <w:r w:rsidRPr="00375311">
        <w:rPr>
          <w:i/>
          <w:iCs/>
          <w:lang w:val="en-US"/>
        </w:rPr>
        <w:t xml:space="preserve">A Modern Introduction to Logic, edn.2, London, 1933). </w:t>
      </w:r>
      <w:r w:rsidRPr="00375311">
        <w:rPr>
          <w:lang w:val="en-US"/>
        </w:rPr>
        <w:t>This contains one chapter on historical method (chapter XIX, esp. pp.382-8). Its substance is derived entirely from a well-known French manual written by Langlois and Seignobos (</w:t>
      </w:r>
      <w:r w:rsidRPr="00375311">
        <w:rPr>
          <w:i/>
          <w:iCs/>
          <w:lang w:val="en-US"/>
        </w:rPr>
        <w:t>Introduction aux études historiques</w:t>
      </w:r>
      <w:r w:rsidRPr="00375311">
        <w:rPr>
          <w:lang w:val="en-US"/>
        </w:rPr>
        <w:t xml:space="preserve">, Paris, 1898) to expound the pre-scientific form of history which I call “scissors-and-paste history” </w:t>
      </w:r>
      <w:r w:rsidRPr="00375311">
        <w:rPr>
          <w:rFonts w:ascii="Times New Roman" w:hAnsi="Times New Roman" w:cs="Times New Roman"/>
          <w:lang w:val="en-US"/>
        </w:rPr>
        <w:t>».</w:t>
      </w:r>
    </w:p>
  </w:footnote>
  <w:footnote w:id="9">
    <w:p w14:paraId="0BB84C34" w14:textId="046EEBBF" w:rsidR="00502992" w:rsidRPr="007A452B" w:rsidRDefault="00502992" w:rsidP="000820A8">
      <w:pPr>
        <w:pStyle w:val="Notedebasdepage"/>
        <w:jc w:val="both"/>
        <w:rPr>
          <w:lang w:val="en-US"/>
        </w:rPr>
      </w:pPr>
      <w:r>
        <w:rPr>
          <w:rStyle w:val="Appelnotedebasdep"/>
        </w:rPr>
        <w:footnoteRef/>
      </w:r>
      <w:r w:rsidRPr="007A452B">
        <w:rPr>
          <w:lang w:val="en-US"/>
        </w:rPr>
        <w:t xml:space="preserve"> </w:t>
      </w:r>
      <w:r w:rsidR="00A4737E" w:rsidRPr="00A4737E">
        <w:rPr>
          <w:rFonts w:ascii="Times New Roman" w:hAnsi="Times New Roman" w:cs="Times New Roman"/>
          <w:lang w:val="en-US"/>
        </w:rPr>
        <w:t xml:space="preserve">« </w:t>
      </w:r>
      <w:r w:rsidR="00A4737E">
        <w:rPr>
          <w:lang w:val="en-US"/>
        </w:rPr>
        <w:t>T</w:t>
      </w:r>
      <w:r w:rsidR="00A4737E" w:rsidRPr="00A4737E">
        <w:rPr>
          <w:lang w:val="en-US"/>
        </w:rPr>
        <w:t>he “science of human nature” broke down because its method was distorted by the analogy of the natural sciences.</w:t>
      </w:r>
      <w:r w:rsidR="00A4737E" w:rsidRPr="00A4737E">
        <w:rPr>
          <w:rFonts w:ascii="Times New Roman" w:hAnsi="Times New Roman" w:cs="Times New Roman"/>
          <w:sz w:val="24"/>
          <w:szCs w:val="24"/>
          <w:lang w:val="en-US"/>
        </w:rPr>
        <w:t xml:space="preserve"> </w:t>
      </w:r>
      <w:r w:rsidR="00A4737E" w:rsidRPr="00A4737E">
        <w:rPr>
          <w:rFonts w:ascii="Times New Roman" w:hAnsi="Times New Roman" w:cs="Times New Roman"/>
          <w:lang w:val="en-US"/>
        </w:rPr>
        <w:t>»</w:t>
      </w:r>
    </w:p>
  </w:footnote>
  <w:footnote w:id="10">
    <w:p w14:paraId="43F3E2D5" w14:textId="13B1D522" w:rsidR="00502992" w:rsidRPr="000325D2" w:rsidRDefault="00502992" w:rsidP="000820A8">
      <w:pPr>
        <w:pStyle w:val="Notedebasdepage"/>
        <w:jc w:val="both"/>
      </w:pPr>
      <w:r>
        <w:rPr>
          <w:rStyle w:val="Appelnotedebasdep"/>
        </w:rPr>
        <w:footnoteRef/>
      </w:r>
      <w:r w:rsidRPr="00B66033">
        <w:t xml:space="preserve"> </w:t>
      </w:r>
      <w:r>
        <w:fldChar w:fldCharType="begin"/>
      </w:r>
      <w:r w:rsidR="00B66033" w:rsidRPr="00B66033">
        <w:instrText xml:space="preserve"> ADDIN ZOTERO_ITEM CSL_CITATION {"citationID":"wvkfUeJk","properties":{"formattedCitation":"Un relativisme qu\\uc0\\u8217{}Aron avait pris soin de bien distinguer de sa philosophie critique de l\\uc0\\u8217{}histoire, et qui, comme le marxisme, constituait une position ennemie. Voir G. {\\scaps Cuchet}, \\uc0\\u171{}\\uc0\\u160{}Henri Marrou, lecteur de Raymond Aron\\uc0\\u160{}\\uc0\\u187{}, in {\\i{}Faire de l\\uc0\\u8217{}histoire religieuse dans une soci\\uc0\\u233{}t\\uc0\\u233{} sortie de la religion}, Itin\\uc0\\u233{}raires, Paris, \\uc0\\u201{}ditions de la Sorbonne, 2020, pp.\\uc0\\u160{}253\\uc0\\u8209{}280.","plainCitation":"Un relativisme qu’Aron avait pris soin de bien distinguer de sa philosophie critique de l’histoire, et qui, comme le marxisme, constituait une position ennemie. Voir G. Cuchet, « Henri Marrou, lecteur de Raymond Aron », in Faire de l’histoire religieuse dans une société sortie de la religion, Itinéraires, Paris, Éditions de la Sorbonne, 2020, pp. 253</w:instrText>
      </w:r>
      <w:r w:rsidR="00B66033" w:rsidRPr="00B66033">
        <w:rPr>
          <w:rFonts w:ascii="Cambria Math" w:hAnsi="Cambria Math" w:cs="Cambria Math"/>
        </w:rPr>
        <w:instrText>‑</w:instrText>
      </w:r>
      <w:r w:rsidR="00B66033" w:rsidRPr="00B66033">
        <w:instrText xml:space="preserve">280.","noteIndex":60},"citationItems":[{"id":285,"uris":["http://zotero.org/users/10701145/items/4UNCNKZ8"],"itemData":{"id":285,"type":"chapter","collection-title":"Itinéraires","container-title":"Faire de l’histoire religieuse dans une société sortie de la religion","event-place":"Paris","ISBN":"979-10-351-0717-8","language":"fr","license":"https://www.openedition.org/12554","note":"container-title: Faire de l’histoire religieuse dans une société sortie de la religion\nDOI: 10.4000/books.psorbonne.92805","page":"253-280","publisher":"Éditions de la Sorbonne","publisher-place":"Paris","source":"OpenEdition Books","title":"Henri Marrou, lecteur de Raymond Aron","URL":"https://books.openedition.org/psorbonne/92805","author":[{"family":"Cuchet","given":"Guillaume"}],"accessed":{"date-parts":[["2024",11,28]]},"issued":{"date-parts":[["2020"]]}},"prefix":"Un relativisme qu'Aron avait pris soin de bien distinguer de sa philosophie critique de l'histoire, et qui, comme le marxisme, constituait une position ennemie. Voir "}],"schema":"https://github.com/citation-style-language/schema/raw/master/csl-citation.json"} </w:instrText>
      </w:r>
      <w:r>
        <w:fldChar w:fldCharType="separate"/>
      </w:r>
      <w:r w:rsidRPr="00B66033">
        <w:rPr>
          <w:rFonts w:ascii="Calibri" w:hAnsi="Calibri" w:cs="Calibri"/>
          <w:kern w:val="0"/>
        </w:rPr>
        <w:t xml:space="preserve">Un relativisme qu’Aron avait pris soin de bien distinguer de sa philosophie critique de l’histoire, et qui, comme le marxisme, constituait une position ennemie. </w:t>
      </w:r>
      <w:r w:rsidRPr="000325D2">
        <w:rPr>
          <w:rFonts w:ascii="Calibri" w:hAnsi="Calibri" w:cs="Calibri"/>
          <w:kern w:val="0"/>
        </w:rPr>
        <w:t>Voir</w:t>
      </w:r>
      <w:r w:rsidR="00043408">
        <w:rPr>
          <w:rFonts w:ascii="Calibri" w:hAnsi="Calibri" w:cs="Calibri"/>
          <w:kern w:val="0"/>
        </w:rPr>
        <w:t xml:space="preserve"> Cuchet G., 2020.</w:t>
      </w:r>
      <w:r>
        <w:fldChar w:fldCharType="end"/>
      </w:r>
    </w:p>
  </w:footnote>
  <w:footnote w:id="11">
    <w:p w14:paraId="2D2D6103" w14:textId="02F6A608" w:rsidR="00502992" w:rsidRPr="00AB35EF" w:rsidRDefault="00502992" w:rsidP="00144291">
      <w:pPr>
        <w:pStyle w:val="Notedebasdepage"/>
        <w:jc w:val="both"/>
        <w:rPr>
          <w:lang w:val="fr-FR"/>
        </w:rPr>
      </w:pPr>
      <w:r>
        <w:rPr>
          <w:rStyle w:val="Appelnotedebasdep"/>
        </w:rPr>
        <w:footnoteRef/>
      </w:r>
      <w:r>
        <w:t xml:space="preserve"> </w:t>
      </w:r>
      <w:r>
        <w:fldChar w:fldCharType="begin"/>
      </w:r>
      <w:r w:rsidR="00C71427">
        <w:instrText xml:space="preserve"> ADDIN ZOTERO_ITEM CSL_CITATION {"citationID":"fY3JlKR3","properties":{"formattedCitation":"Pour comprendre les liens personnels entre Marrou et Ricoeur voir L. {\\scaps Domenach} et H. {\\scaps Domenach}, {\\i{}Les Murs Blancs}, Grasset, 2021, Google-Books-ID: 0XYSEAAAQBAJ.","plainCitation":"Pour comprendre les liens personnels entre Marrou et Ricoeur voir L. Domenach et H. Domenach, Les Murs Blancs, Grasset, 2021, Google-Books-ID: 0XYSEAAAQBAJ.","dontUpdate":true,"noteIndex":59},"citationItems":[{"id":282,"uris":["http://zotero.org/users/10701145/items/JHWXRA7X"],"itemData":{"id":282,"type":"book","abstract":"« Personne ne soupçonne l’existence des Murs Blancs. Pourtant cette propriété a marqué l'histoire intellectuelle du XXème siècle. Elle a été aussi le lieu, où enfants, nous passions nos dimanche après-midi : la maison de nos grands-parents...Après la guerre, ce magnifique parc aux arbres centenaires niché dans le vieux Châtenay-Malabry, est choisi par le philosophe Emmanuel Mounier, pour y vivre en communauté avec les collaborateurs de la revue qu'il a fondé : Esprit. Quatre intellectuels, chrétiens de gauche et anciens résistants, comme lui, Henri-Irénée Marrou, Jean Baboulène, Paul Fraisse, Jean-Marie Domenach, le suivent avec leurs familles dans cette aventure. Ils sont bientôt rejoints par Paul Ricoeur.Pendant cinquante ans, les Murs Blancs sont le quartier général de leurs combats, dont la revue Esprit est le porte-voix : la guerre d’Algérie et la décolonisation, la lutte contre le totalitarisme communiste, la construction de l’Europe. Et bien sûr, Mai 68... Une vingtaine d’enfants, dont notre père, y sont élevés en collectivité. Malheureusement, les jalousies et les difficultés nourries par le quotidien de la vie en communauté y deviennent de plus en plus pesantes... Peut-être est-ce une des raisons pour lesquelles cette histoire est tombée dans l’oubli, et que personne n’avait pris la peine de nous la raconter jusqu'alors. Pourtant, beaucoup d’intellectuels, d'artistes et d’hommes politiques y ont fait leurs armes : Jacques Julliard, Jean Lebrun, Ivan Illich, Chris Marker, Jacques Delors et aussi... Emmanuel Macron. C'est grâce à leurs récits et confessions que nous avons pu renouer avec notre histoire : transformer un idéal difficile en récit familial et politique. »L. et H. Domenach","ISBN":"978-2-246-81454-2","language":"fr","note":"Google-Books-ID: 0XYSEAAAQBAJ","number-of-pages":"275","publisher":"Grasset","source":"Google Books","title":"Les Murs Blancs","author":[{"family":"Domenach","given":"Léa"},{"family":"Domenach","given":"Hugo"}],"issued":{"date-parts":[["2021",2,10]]}},"prefix":"Pour comprendre les liens personnels entre Marrou et Ricoeur voir"}],"schema":"https://github.com/citation-style-language/schema/raw/master/csl-citation.json"} </w:instrText>
      </w:r>
      <w:r>
        <w:fldChar w:fldCharType="separate"/>
      </w:r>
      <w:r w:rsidRPr="00AB35EF">
        <w:rPr>
          <w:rFonts w:ascii="Calibri" w:hAnsi="Calibri" w:cs="Calibri"/>
          <w:kern w:val="0"/>
        </w:rPr>
        <w:t xml:space="preserve">Pour comprendre les liens personnels entre Marrou et Ricoeur voir </w:t>
      </w:r>
      <w:r w:rsidR="00043408">
        <w:rPr>
          <w:rFonts w:ascii="Calibri" w:hAnsi="Calibri" w:cs="Calibri"/>
          <w:kern w:val="0"/>
        </w:rPr>
        <w:t>Domenach L., Domenach H., 2021.</w:t>
      </w:r>
      <w:r>
        <w:fldChar w:fldCharType="end"/>
      </w:r>
    </w:p>
  </w:footnote>
  <w:footnote w:id="12">
    <w:p w14:paraId="13579DB8" w14:textId="26A63B5D" w:rsidR="00502992" w:rsidRPr="00A05965" w:rsidRDefault="00502992" w:rsidP="00144291">
      <w:pPr>
        <w:pStyle w:val="Notedebasdepage"/>
        <w:jc w:val="both"/>
        <w:rPr>
          <w:lang w:val="en-US"/>
        </w:rPr>
      </w:pPr>
      <w:r>
        <w:rPr>
          <w:rStyle w:val="Appelnotedebasdep"/>
        </w:rPr>
        <w:footnoteRef/>
      </w:r>
      <w:r>
        <w:t xml:space="preserve"> Notamment dans la boîte </w:t>
      </w:r>
      <w:r>
        <w:rPr>
          <w:i/>
          <w:iCs/>
        </w:rPr>
        <w:t>Tome III, notes de lecture et brouillons manuscrits</w:t>
      </w:r>
      <w:r>
        <w:t>, cote 13-TR (1981-1984)</w:t>
      </w:r>
      <w:r w:rsidR="00387D73">
        <w:t xml:space="preserve">. </w:t>
      </w:r>
      <w:r w:rsidR="00387D73" w:rsidRPr="00387D73">
        <w:rPr>
          <w:lang w:val="en-US"/>
        </w:rPr>
        <w:t>Stephen Toulmin</w:t>
      </w:r>
      <w:r w:rsidR="00387D73">
        <w:rPr>
          <w:lang w:val="en-US"/>
        </w:rPr>
        <w:t xml:space="preserve"> (1922-2009)</w:t>
      </w:r>
      <w:r w:rsidR="00387D73" w:rsidRPr="00387D73">
        <w:rPr>
          <w:lang w:val="en-US"/>
        </w:rPr>
        <w:t xml:space="preserve"> a </w:t>
      </w:r>
      <w:r w:rsidR="00387D73">
        <w:rPr>
          <w:lang w:val="en-US"/>
        </w:rPr>
        <w:t xml:space="preserve">rédigé l’introduction de </w:t>
      </w:r>
      <w:r w:rsidR="00387D73" w:rsidRPr="00387D73">
        <w:rPr>
          <w:lang w:val="en-US"/>
        </w:rPr>
        <w:t xml:space="preserve">la réédition de R.G. Collingwood, </w:t>
      </w:r>
      <w:r w:rsidR="00387D73" w:rsidRPr="00387D73">
        <w:rPr>
          <w:i/>
          <w:iCs/>
          <w:lang w:val="en-US"/>
        </w:rPr>
        <w:t>An Autobiography</w:t>
      </w:r>
      <w:r w:rsidR="00387D73" w:rsidRPr="00387D73">
        <w:rPr>
          <w:lang w:val="en-US"/>
        </w:rPr>
        <w:t xml:space="preserve">, Clarendon Press, Oxford </w:t>
      </w:r>
      <w:r w:rsidR="00043408" w:rsidRPr="00387D73">
        <w:rPr>
          <w:lang w:val="en-US"/>
        </w:rPr>
        <w:t>1983;</w:t>
      </w:r>
      <w:r w:rsidR="00387D73" w:rsidRPr="00387D73">
        <w:rPr>
          <w:lang w:val="en-US"/>
        </w:rPr>
        <w:t xml:space="preserve"> Louis Mink</w:t>
      </w:r>
      <w:r w:rsidR="00387D73">
        <w:rPr>
          <w:lang w:val="en-US"/>
        </w:rPr>
        <w:t xml:space="preserve"> (1921-1983)</w:t>
      </w:r>
      <w:r w:rsidR="00387D73" w:rsidRPr="00387D73">
        <w:rPr>
          <w:lang w:val="en-US"/>
        </w:rPr>
        <w:t xml:space="preserve"> est l’auteur de </w:t>
      </w:r>
      <w:r w:rsidR="00387D73" w:rsidRPr="00387D73">
        <w:rPr>
          <w:i/>
          <w:iCs/>
          <w:lang w:val="en-US"/>
        </w:rPr>
        <w:t>Mind, History and Dialectic ; The Philosophy of</w:t>
      </w:r>
      <w:r w:rsidR="00387D73">
        <w:rPr>
          <w:i/>
          <w:iCs/>
          <w:lang w:val="en-US"/>
        </w:rPr>
        <w:t xml:space="preserve"> R.G. Collingwood</w:t>
      </w:r>
      <w:r w:rsidR="00387D73">
        <w:rPr>
          <w:lang w:val="en-US"/>
        </w:rPr>
        <w:t xml:space="preserve">, Indiana University Press, 1969 ; </w:t>
      </w:r>
      <w:r w:rsidR="00A05965">
        <w:rPr>
          <w:lang w:val="en-US"/>
        </w:rPr>
        <w:t>Hayden White (1928-2018) notamment dans “Collingwood and Toynbee : Transitions in English Historical Thought”</w:t>
      </w:r>
      <w:r w:rsidR="00043408">
        <w:rPr>
          <w:lang w:val="en-US"/>
        </w:rPr>
        <w:t xml:space="preserve"> (1957)</w:t>
      </w:r>
    </w:p>
  </w:footnote>
  <w:footnote w:id="13">
    <w:p w14:paraId="213D11BD" w14:textId="67DC07D9" w:rsidR="00502992" w:rsidRPr="00647269" w:rsidRDefault="00502992" w:rsidP="00144291">
      <w:pPr>
        <w:pStyle w:val="Notedebasdepage"/>
        <w:jc w:val="both"/>
      </w:pPr>
      <w:r>
        <w:rPr>
          <w:rStyle w:val="Appelnotedebasdep"/>
        </w:rPr>
        <w:footnoteRef/>
      </w:r>
      <w:r w:rsidRPr="00144291">
        <w:t xml:space="preserve"> </w:t>
      </w:r>
      <w:r w:rsidR="001348CC">
        <w:t xml:space="preserve">Voir aussi </w:t>
      </w:r>
      <w:r w:rsidR="00961DE9">
        <w:t>Shalom A. 1955</w:t>
      </w:r>
      <w:r w:rsidR="005057ED">
        <w:t xml:space="preserve">. Cet article a eu, semble-t-il, une influence sur un professeur de l’Université de Damas, </w:t>
      </w:r>
      <w:r w:rsidR="00BF41D7">
        <w:t xml:space="preserve">Dr. </w:t>
      </w:r>
      <w:r w:rsidR="005057ED">
        <w:t xml:space="preserve">Badi Al-Kasm </w:t>
      </w:r>
      <w:r w:rsidR="005F39CD">
        <w:t xml:space="preserve">qui publie </w:t>
      </w:r>
      <w:r w:rsidR="005F39CD">
        <w:rPr>
          <w:i/>
          <w:iCs/>
        </w:rPr>
        <w:t>L’idée de preuve en métaphysique</w:t>
      </w:r>
      <w:r w:rsidR="00961DE9">
        <w:t xml:space="preserve"> en </w:t>
      </w:r>
      <w:r w:rsidR="005F39CD">
        <w:t>1959</w:t>
      </w:r>
      <w:r w:rsidR="00961DE9">
        <w:t xml:space="preserve"> (Al-Kasm B., 1959)</w:t>
      </w:r>
      <w:r w:rsidR="005F39CD">
        <w:t xml:space="preserve"> </w:t>
      </w:r>
      <w:r w:rsidR="00C050A7">
        <w:t xml:space="preserve">dans lequel il </w:t>
      </w:r>
      <w:r w:rsidR="005F39CD">
        <w:t xml:space="preserve">s’intéresse particulièrement </w:t>
      </w:r>
      <w:r w:rsidR="00C050A7">
        <w:t>au</w:t>
      </w:r>
      <w:r w:rsidR="004B2A8A">
        <w:t xml:space="preserve"> chapitre </w:t>
      </w:r>
      <w:r w:rsidR="00C050A7">
        <w:t>VI, sous-partie 8 à</w:t>
      </w:r>
      <w:r w:rsidR="005F39CD">
        <w:t xml:space="preserve"> un ouvrage de Collingwood</w:t>
      </w:r>
      <w:r w:rsidR="00C050A7">
        <w:t xml:space="preserve"> qui est </w:t>
      </w:r>
      <w:r w:rsidR="005F39CD">
        <w:t>peu cité</w:t>
      </w:r>
      <w:r w:rsidR="00961DE9">
        <w:t xml:space="preserve"> en francophonie</w:t>
      </w:r>
      <w:r w:rsidR="00144291">
        <w:t> :</w:t>
      </w:r>
      <w:r w:rsidR="005F39CD">
        <w:t xml:space="preserve"> </w:t>
      </w:r>
      <w:r w:rsidR="005F39CD">
        <w:rPr>
          <w:i/>
          <w:iCs/>
        </w:rPr>
        <w:t>An Essay on Philosophical Method</w:t>
      </w:r>
      <w:r w:rsidR="005F39CD">
        <w:t xml:space="preserve">. L’ouvrage de </w:t>
      </w:r>
      <w:r w:rsidR="00117860">
        <w:t>Badi Al-Kasm n’a pas eu un grand retentissement</w:t>
      </w:r>
      <w:r w:rsidR="008915B5">
        <w:t xml:space="preserve">, </w:t>
      </w:r>
      <w:r w:rsidR="00946D5E">
        <w:t xml:space="preserve">malgré une recension dithyrambique par </w:t>
      </w:r>
      <w:r w:rsidR="00647269">
        <w:t xml:space="preserve">Jean-Pierre Leyvraz </w:t>
      </w:r>
      <w:r w:rsidR="00961DE9">
        <w:t>(Leyvraz J.-P., 1961).</w:t>
      </w:r>
    </w:p>
  </w:footnote>
  <w:footnote w:id="14">
    <w:p w14:paraId="2F8C0AC8" w14:textId="2162CAE1" w:rsidR="00502992" w:rsidRPr="00CC504D" w:rsidRDefault="00502992" w:rsidP="00144291">
      <w:pPr>
        <w:pStyle w:val="Notedebasdepage"/>
        <w:jc w:val="both"/>
        <w:rPr>
          <w:lang w:val="fr-FR"/>
        </w:rPr>
      </w:pPr>
      <w:r>
        <w:rPr>
          <w:rStyle w:val="Appelnotedebasdep"/>
        </w:rPr>
        <w:footnoteRef/>
      </w:r>
      <w:r>
        <w:t xml:space="preserve"> </w:t>
      </w:r>
      <w:r>
        <w:fldChar w:fldCharType="begin"/>
      </w:r>
      <w:r w:rsidR="00C71427">
        <w:instrText xml:space="preserve"> ADDIN ZOTERO_ITEM CSL_CITATION {"citationID":"A1nh5ULW","properties":{"formattedCitation":"Voir \\uc0\\u224{} ce sujet, la recension de l\\uc0\\u8217{}ouvrage de Shalom par A.-A. {\\scaps Devaux}, \\uc0\\u171{}\\uc0\\u160{}Albert Shalom, R. G. Collingwood, philosophe et historien\\uc0\\u160{}\\uc0\\u187{}, 1971, https://www.persee.fr/doc/phlou_0035-3841_1971_num_69_3_5622_t1_0431_0000_2, consult\\uc0\\u233{} le 26 novembre 2024.","plainCitation":"Voir à ce sujet, la recension de l’ouvrage de Shalom par A.-A. Devaux, « Albert Shalom, R. G. Collingwood, philosophe et historien », 1971, https://www.persee.fr/doc/phlou_0035-3841_1971_num_69_3_5622_t1_0431_0000_2, consulté le 26 novembre 2024.","dontUpdate":true,"noteIndex":65},"citationItems":[{"id":261,"uris":["http://zotero.org/users/10701145/items/7AGEDNKI"],"itemData":{"id":261,"type":"article-journal","container-title":"Revue Philosophique de Louvain","language":"Français","license":"free","note":"publisher: Persée - Portail des revues scientifiques en SHS","page":"431-432","source":"www.persee.fr","title":"Albert Shalom, R. G. Collingwood, philosophe et historien","volume":"3","author":[{"family":"Devaux","given":"André-A."}],"issued":{"date-parts":[["1971"]]}},"prefix":"Voir à ce sujet, la recension de l'ouvrage de Shalom par"}],"schema":"https://github.com/citation-style-language/schema/raw/master/csl-citation.json"} </w:instrText>
      </w:r>
      <w:r>
        <w:fldChar w:fldCharType="separate"/>
      </w:r>
      <w:r w:rsidRPr="00CC504D">
        <w:rPr>
          <w:rFonts w:ascii="Calibri" w:hAnsi="Calibri" w:cs="Calibri"/>
          <w:kern w:val="0"/>
        </w:rPr>
        <w:t>Voir à ce sujet</w:t>
      </w:r>
      <w:r w:rsidR="00961DE9">
        <w:rPr>
          <w:rFonts w:ascii="Calibri" w:hAnsi="Calibri" w:cs="Calibri"/>
          <w:kern w:val="0"/>
        </w:rPr>
        <w:t xml:space="preserve"> Devaux A.-A, 1971. </w:t>
      </w:r>
      <w:r>
        <w:fldChar w:fldCharType="end"/>
      </w:r>
      <w:r>
        <w:t xml:space="preserve"> </w:t>
      </w:r>
    </w:p>
  </w:footnote>
  <w:footnote w:id="15">
    <w:p w14:paraId="1FE1B8D0" w14:textId="660DE7D0" w:rsidR="009B79E4" w:rsidRPr="000820A8" w:rsidRDefault="009B79E4" w:rsidP="00144291">
      <w:pPr>
        <w:pStyle w:val="Notedebasdepage"/>
        <w:jc w:val="both"/>
      </w:pPr>
      <w:r>
        <w:rPr>
          <w:rStyle w:val="Appelnotedebasdep"/>
        </w:rPr>
        <w:footnoteRef/>
      </w:r>
      <w:r w:rsidRPr="00961DE9">
        <w:t xml:space="preserve"> </w:t>
      </w:r>
      <w:r w:rsidR="000820A8" w:rsidRPr="000820A8">
        <w:t>Il y a comme une s</w:t>
      </w:r>
      <w:r w:rsidR="000820A8">
        <w:t xml:space="preserve">uperposition de la philosophie de F.H. Bradley sur celle de R.G. Collingwood. </w:t>
      </w:r>
    </w:p>
  </w:footnote>
  <w:footnote w:id="16">
    <w:p w14:paraId="458F7D58" w14:textId="0A70512C" w:rsidR="007B6419" w:rsidRPr="00961DE9" w:rsidRDefault="007B6419" w:rsidP="00961DE9">
      <w:pPr>
        <w:pStyle w:val="Notedebasdepage"/>
        <w:jc w:val="both"/>
      </w:pPr>
      <w:r>
        <w:rPr>
          <w:rStyle w:val="Appelnotedebasdep"/>
        </w:rPr>
        <w:footnoteRef/>
      </w:r>
      <w:r>
        <w:t xml:space="preserve"> </w:t>
      </w:r>
      <w:r>
        <w:fldChar w:fldCharType="begin"/>
      </w:r>
      <w:r>
        <w:instrText xml:space="preserve"> ADDIN ZOTERO_ITEM CSL_CITATION {"citationID":"xFDtLk5C","properties":{"formattedCitation":"Un travail initi\\uc0\\u233{} par Ricoeur en 1984 dans ses Aquinas Lectures donn\\uc0\\u233{}es \\uc0\\u224{} la Marquette University, publi\\uc0\\u233{}es ensuite P. {\\scaps Ric\\uc0\\u339{}ur}, {\\i{}The Reality of the Historical Past}, Milwaukee\\uc0\\u8239{}: Marquette University Press, 1984.","plainCitation":"Un travail initié par Ricoeur en 1984 dans ses Aquinas Lectures données à la Marquette University, publiées ensuite P. Ricœur, The Reality of the Historical Past, Milwaukee : Marquette University Press, 1984.","noteIndex":74},"citationItems":[{"id":823,"uris":["http://zotero.org/users/10701145/items/Y4Z84QFE"],"itemData":{"id":823,"type":"book","abstract":"51 pages ; 19 cm; Includes bibliographical references (pages 37-51); \"Under the auspices of the Wisconsin-Alpha Chapter of Phi Sigma Tau.\"","ISBN":"978-0-87462-152-5","language":"eng","number-of-pages":"74","publisher":"Milwaukee : Marquette University Press","source":"Internet Archive","title":"The reality of the historical past","URL":"http://archive.org/details/realityofhistori0000ricu","author":[{"family":"Ricœur","given":"Paul"}],"contributor":[{"literal":"Internet Archive"}],"accessed":{"date-parts":[["2025",9,6]]},"issued":{"date-parts":[["1984"]]}},"prefix":"Un travail initié par Ricoeur en 1984 dans ses Aquinas Lectures données à la Marquette University, publiées ensuite "}],"schema":"https://github.com/citation-style-language/schema/raw/master/csl-citation.json"} </w:instrText>
      </w:r>
      <w:r>
        <w:fldChar w:fldCharType="separate"/>
      </w:r>
      <w:r w:rsidRPr="007B6419">
        <w:rPr>
          <w:rFonts w:ascii="Calibri" w:hAnsi="Calibri" w:cs="Calibri"/>
          <w:kern w:val="0"/>
        </w:rPr>
        <w:t xml:space="preserve">Un travail initié par Ricoeur en 1984 dans ses </w:t>
      </w:r>
      <w:r w:rsidRPr="00961DE9">
        <w:rPr>
          <w:rFonts w:ascii="Calibri" w:hAnsi="Calibri" w:cs="Calibri"/>
          <w:i/>
          <w:iCs/>
          <w:kern w:val="0"/>
        </w:rPr>
        <w:t>Aquinas Lectures</w:t>
      </w:r>
      <w:r w:rsidRPr="007B6419">
        <w:rPr>
          <w:rFonts w:ascii="Calibri" w:hAnsi="Calibri" w:cs="Calibri"/>
          <w:kern w:val="0"/>
        </w:rPr>
        <w:t xml:space="preserve"> données à la Marquette University, publiées ensuite</w:t>
      </w:r>
      <w:r w:rsidR="00961DE9">
        <w:rPr>
          <w:rFonts w:ascii="Calibri" w:hAnsi="Calibri" w:cs="Calibri"/>
          <w:kern w:val="0"/>
        </w:rPr>
        <w:t>, voir Ricoeur P., 1984</w:t>
      </w:r>
      <w:r w:rsidRPr="00961DE9">
        <w:rPr>
          <w:rFonts w:ascii="Calibri" w:hAnsi="Calibri" w:cs="Calibri"/>
          <w:kern w:val="0"/>
        </w:rPr>
        <w:t>.</w:t>
      </w:r>
      <w:r>
        <w:fldChar w:fldCharType="end"/>
      </w:r>
    </w:p>
  </w:footnote>
  <w:footnote w:id="17">
    <w:p w14:paraId="1582606B" w14:textId="7F5D565C" w:rsidR="000A6FC7" w:rsidRPr="000A6FC7" w:rsidRDefault="000A6FC7">
      <w:pPr>
        <w:pStyle w:val="Notedebasdepage"/>
        <w:rPr>
          <w:lang w:val="fr-FR"/>
        </w:rPr>
      </w:pPr>
      <w:r>
        <w:rPr>
          <w:rStyle w:val="Appelnotedebasdep"/>
        </w:rPr>
        <w:footnoteRef/>
      </w:r>
      <w:r>
        <w:t xml:space="preserve"> </w:t>
      </w:r>
      <w:r>
        <w:rPr>
          <w:lang w:val="fr-FR"/>
        </w:rPr>
        <w:t xml:space="preserve">Ricoeur écrit </w:t>
      </w:r>
      <w:r>
        <w:rPr>
          <w:i/>
          <w:iCs/>
          <w:lang w:val="fr-FR"/>
        </w:rPr>
        <w:t xml:space="preserve">reenactment </w:t>
      </w:r>
      <w:r>
        <w:rPr>
          <w:lang w:val="fr-FR"/>
        </w:rPr>
        <w:t xml:space="preserve">sans le trait d’union. </w:t>
      </w:r>
    </w:p>
  </w:footnote>
  <w:footnote w:id="18">
    <w:p w14:paraId="69C8360C" w14:textId="12E0EC1A" w:rsidR="00502992" w:rsidRPr="00167EB1" w:rsidRDefault="00502992" w:rsidP="00E620A2">
      <w:pPr>
        <w:pStyle w:val="Notedebasdepage"/>
        <w:jc w:val="both"/>
        <w:rPr>
          <w:lang w:val="fr-FR"/>
        </w:rPr>
      </w:pPr>
      <w:r>
        <w:rPr>
          <w:rStyle w:val="Appelnotedebasdep"/>
        </w:rPr>
        <w:footnoteRef/>
      </w:r>
      <w:r>
        <w:t xml:space="preserve"> </w:t>
      </w:r>
      <w:r>
        <w:rPr>
          <w:lang w:val="fr-FR"/>
        </w:rPr>
        <w:t xml:space="preserve">Voir à ce sujet </w:t>
      </w:r>
      <w:r w:rsidR="00961DE9">
        <w:rPr>
          <w:lang w:val="fr-FR"/>
        </w:rPr>
        <w:t xml:space="preserve">Barash J., 2017. </w:t>
      </w:r>
    </w:p>
  </w:footnote>
  <w:footnote w:id="19">
    <w:p w14:paraId="7CB24623" w14:textId="626B38DB" w:rsidR="00502992" w:rsidRPr="00B703D4" w:rsidRDefault="00502992" w:rsidP="00E620A2">
      <w:pPr>
        <w:pStyle w:val="Notedebasdepage"/>
        <w:jc w:val="both"/>
        <w:rPr>
          <w:lang w:val="fr-FR"/>
        </w:rPr>
      </w:pPr>
      <w:r>
        <w:rPr>
          <w:rStyle w:val="Appelnotedebasdep"/>
        </w:rPr>
        <w:footnoteRef/>
      </w:r>
      <w:r>
        <w:t xml:space="preserve"> </w:t>
      </w:r>
      <w:r>
        <w:rPr>
          <w:lang w:val="fr-FR"/>
        </w:rPr>
        <w:t xml:space="preserve">Une vertu de sympathie que Marrou développe dans le chapitre 4 à la page 92 et qui, selon lui, s’oppose radicalement au positivisme. </w:t>
      </w:r>
    </w:p>
  </w:footnote>
  <w:footnote w:id="20">
    <w:p w14:paraId="1FE6FB69" w14:textId="0812FE94" w:rsidR="00326C11" w:rsidRPr="00170C48" w:rsidRDefault="00326C11" w:rsidP="00E620A2">
      <w:pPr>
        <w:pStyle w:val="Notedebasdepage"/>
        <w:jc w:val="both"/>
      </w:pPr>
      <w:r>
        <w:rPr>
          <w:rStyle w:val="Appelnotedebasdep"/>
        </w:rPr>
        <w:footnoteRef/>
      </w:r>
      <w:r>
        <w:t xml:space="preserve"> On ne trouve mention du </w:t>
      </w:r>
      <w:r>
        <w:rPr>
          <w:i/>
          <w:iCs/>
        </w:rPr>
        <w:t xml:space="preserve">New Leviathan </w:t>
      </w:r>
      <w:r>
        <w:t xml:space="preserve">dans le paysage français qu’en 1944 dans la revue </w:t>
      </w:r>
      <w:r>
        <w:rPr>
          <w:i/>
          <w:iCs/>
        </w:rPr>
        <w:t xml:space="preserve">Fontaine </w:t>
      </w:r>
      <w:r>
        <w:t xml:space="preserve">fondée par Max-Pol Fouchet à Alger, à l’occasion d’un numéro spécial sur les « Aspects de la littérature anglaise de 1918 à 1940 ». </w:t>
      </w:r>
      <w:r w:rsidR="00170C48">
        <w:t xml:space="preserve">Cependant, tous les articles sont écrits par des auteurs anglais, et traduits en français. C’est à la page 56-200, dans un article écrit par D.W. Brogan, qu’on trouve ces mots : « Il a fallu omettre des hommes de lettres […] la réhabilitation de Hobbes dans le </w:t>
      </w:r>
      <w:r w:rsidR="00170C48">
        <w:rPr>
          <w:i/>
          <w:iCs/>
        </w:rPr>
        <w:t xml:space="preserve">Nouveau Leviathan </w:t>
      </w:r>
      <w:r w:rsidR="00170C48">
        <w:t xml:space="preserve">de Collingwood. » En France, une autre mention du </w:t>
      </w:r>
      <w:r w:rsidR="00D863D0">
        <w:rPr>
          <w:i/>
          <w:iCs/>
        </w:rPr>
        <w:t>New Leviathan</w:t>
      </w:r>
      <w:r w:rsidR="00170C48">
        <w:t xml:space="preserve"> se trouve dans l’ouvrage dirigé par Luc Foisneau </w:t>
      </w:r>
      <w:r w:rsidR="00D863D0">
        <w:t xml:space="preserve">(Foisneau L., 2005) </w:t>
      </w:r>
      <w:r w:rsidR="00170C48">
        <w:rPr>
          <w:i/>
          <w:iCs/>
        </w:rPr>
        <w:t xml:space="preserve">Hobbes Between the Wars, </w:t>
      </w:r>
      <w:r w:rsidR="00170C48">
        <w:t>Peter Lang, 2005 qui est le fruit d’un travail commun entre le CNRS et la British Academy, mais c’est à nouveau une mention en langue anglaise qui ne concerne donc pas la réception collingwoodienne.</w:t>
      </w:r>
    </w:p>
  </w:footnote>
  <w:footnote w:id="21">
    <w:p w14:paraId="69E3890A" w14:textId="339841C4" w:rsidR="00502992" w:rsidRPr="003D3C9E" w:rsidRDefault="00502992" w:rsidP="006E1B36">
      <w:pPr>
        <w:pStyle w:val="Notedebasdepage"/>
        <w:jc w:val="both"/>
      </w:pPr>
      <w:r>
        <w:rPr>
          <w:rStyle w:val="Appelnotedebasdep"/>
        </w:rPr>
        <w:footnoteRef/>
      </w:r>
      <w:r w:rsidRPr="000F3C2D">
        <w:t xml:space="preserve"> </w:t>
      </w:r>
      <w:r w:rsidRPr="00B960B3">
        <w:t>Il est intéressant de voir que Collingwood cherche à démontrer q</w:t>
      </w:r>
      <w:r>
        <w:t xml:space="preserve">ue la position de Toynbee est héritée du positivisme en ce qu’il s’appuie sur des méthodes des sciences naturelles pour écrire son histoire. </w:t>
      </w:r>
      <w:r w:rsidRPr="003614EC">
        <w:rPr>
          <w:lang w:val="en-US"/>
        </w:rPr>
        <w:t>Il écrit notamment : « This is the positivistic conception of individuality,</w:t>
      </w:r>
      <w:r>
        <w:rPr>
          <w:lang w:val="en-US"/>
        </w:rPr>
        <w:t xml:space="preserve"> the conception according to which the individual is constituted as such by being cut off from everything else by a sharp boundary distinguishing clearly what is within it from what is outside. </w:t>
      </w:r>
      <w:r w:rsidRPr="003D3C9E">
        <w:t>The inner and outer are mutually exclusive.</w:t>
      </w:r>
      <w:r w:rsidR="000F3C2D" w:rsidRPr="000F3C2D">
        <w:rPr>
          <w:rFonts w:ascii="Times New Roman" w:hAnsi="Times New Roman" w:cs="Times New Roman"/>
          <w:sz w:val="24"/>
          <w:szCs w:val="24"/>
        </w:rPr>
        <w:t xml:space="preserve"> </w:t>
      </w:r>
      <w:r w:rsidR="000F3C2D" w:rsidRPr="000F3C2D">
        <w:rPr>
          <w:rFonts w:ascii="Times New Roman" w:hAnsi="Times New Roman" w:cs="Times New Roman"/>
        </w:rPr>
        <w:t>»</w:t>
      </w:r>
      <w:r w:rsidRPr="000F3C2D">
        <w:t xml:space="preserve"> </w:t>
      </w:r>
      <w:r w:rsidRPr="00A40684">
        <w:t>Ainsi, Collingwood semble initier une critique du relativisme historique,</w:t>
      </w:r>
      <w:r>
        <w:t xml:space="preserve"> qu’il ne nomme pas ainsi</w:t>
      </w:r>
      <w:r w:rsidR="000F3C2D">
        <w:t> :</w:t>
      </w:r>
      <w:r>
        <w:t xml:space="preserve"> les relations entre les civilisations, entre les époques ne sont pas extérieures, elles sont bien internes, c’est ce qui légitime d’ailleurs le </w:t>
      </w:r>
      <w:r>
        <w:rPr>
          <w:i/>
          <w:iCs/>
        </w:rPr>
        <w:t>re-enactment</w:t>
      </w:r>
      <w:r>
        <w:t xml:space="preserve">. </w:t>
      </w:r>
      <w:r w:rsidRPr="00852F57">
        <w:rPr>
          <w:lang w:val="en-US"/>
        </w:rPr>
        <w:t>La vision positiviste de Toynbee le force à voir les civilisations en termes biologiques, il oublie une chose : « one forgets that the historical fact, as it actually exists and as the historian actually knows it, is always a process in wh</w:t>
      </w:r>
      <w:r>
        <w:rPr>
          <w:lang w:val="en-US"/>
        </w:rPr>
        <w:t>ich something is changing into something else.</w:t>
      </w:r>
      <w:r w:rsidR="000F3C2D" w:rsidRPr="000F3C2D">
        <w:rPr>
          <w:rFonts w:ascii="Times New Roman" w:hAnsi="Times New Roman" w:cs="Times New Roman"/>
          <w:sz w:val="24"/>
          <w:szCs w:val="24"/>
          <w:lang w:val="en-US"/>
        </w:rPr>
        <w:t xml:space="preserve"> </w:t>
      </w:r>
      <w:r w:rsidR="000F3C2D" w:rsidRPr="000F3C2D">
        <w:rPr>
          <w:rFonts w:ascii="Times New Roman" w:hAnsi="Times New Roman" w:cs="Times New Roman"/>
          <w:lang w:val="en-US"/>
        </w:rPr>
        <w:t>»</w:t>
      </w:r>
      <w:r>
        <w:rPr>
          <w:lang w:val="en-US"/>
        </w:rPr>
        <w:t xml:space="preserve"> </w:t>
      </w:r>
      <w:r w:rsidRPr="003D3C9E">
        <w:t xml:space="preserve">(p.163). </w:t>
      </w:r>
    </w:p>
  </w:footnote>
  <w:footnote w:id="22">
    <w:p w14:paraId="2AA934D8" w14:textId="21F40AF6" w:rsidR="00502992" w:rsidRPr="006E1B36" w:rsidRDefault="00502992" w:rsidP="00171EF7">
      <w:pPr>
        <w:pStyle w:val="Notedebasdepage"/>
        <w:jc w:val="both"/>
      </w:pPr>
      <w:r>
        <w:rPr>
          <w:rStyle w:val="Appelnotedebasdep"/>
        </w:rPr>
        <w:footnoteRef/>
      </w:r>
      <w:r w:rsidRPr="00171EF7">
        <w:t xml:space="preserve"> </w:t>
      </w:r>
      <w:r w:rsidR="006E1B36" w:rsidRPr="006E1B36">
        <w:t>Pour C</w:t>
      </w:r>
      <w:r w:rsidR="00171EF7">
        <w:t>hristopher</w:t>
      </w:r>
      <w:r w:rsidR="006E1B36" w:rsidRPr="006E1B36">
        <w:t xml:space="preserve"> Fear, la notion de </w:t>
      </w:r>
      <w:r w:rsidR="006E1B36" w:rsidRPr="006E1B36">
        <w:rPr>
          <w:i/>
          <w:iCs/>
        </w:rPr>
        <w:t>re-enactment</w:t>
      </w:r>
      <w:r w:rsidR="006E1B36" w:rsidRPr="006E1B36">
        <w:t xml:space="preserve"> ne p</w:t>
      </w:r>
      <w:r w:rsidR="006E1B36">
        <w:t>eut être comprise sans lien avec cette logique des</w:t>
      </w:r>
      <w:r w:rsidR="00171EF7">
        <w:t xml:space="preserve"> q</w:t>
      </w:r>
      <w:r w:rsidR="006E1B36">
        <w:t>uestions</w:t>
      </w:r>
      <w:r w:rsidR="00171EF7">
        <w:t>-r</w:t>
      </w:r>
      <w:r w:rsidR="006E1B36">
        <w:t>éponses</w:t>
      </w:r>
      <w:r w:rsidR="000F53FE">
        <w:t>, voir notamment Part V.</w:t>
      </w:r>
    </w:p>
  </w:footnote>
  <w:footnote w:id="23">
    <w:p w14:paraId="59CC4B55" w14:textId="10B513E9" w:rsidR="00502992" w:rsidRPr="00D863D0" w:rsidRDefault="00502992">
      <w:pPr>
        <w:pStyle w:val="Notedebasdepage"/>
        <w:rPr>
          <w:lang w:val="en-US"/>
        </w:rPr>
      </w:pPr>
      <w:r>
        <w:rPr>
          <w:rStyle w:val="Appelnotedebasdep"/>
        </w:rPr>
        <w:footnoteRef/>
      </w:r>
      <w:r w:rsidRPr="00324EF0">
        <w:rPr>
          <w:lang w:val="en-US"/>
        </w:rPr>
        <w:t xml:space="preserve"> </w:t>
      </w:r>
      <w:r>
        <w:fldChar w:fldCharType="begin"/>
      </w:r>
      <w:r w:rsidR="00C71427">
        <w:rPr>
          <w:lang w:val="en-US"/>
        </w:rPr>
        <w:instrText xml:space="preserve"> ADDIN ZOTERO_ITEM CSL_CITATION {"citationID":"uWcyiaZH","properties":{"formattedCitation":"\"But I will say that, for nearer twenty years than ten, I have been preaching to my archaeological friends the duty of never digging either a five-thousand-pound site or a five-shilling trench without being certain that you can satisfy an inquirer who asks you \\uc0\\u171{}\\uc0\\u160{}What are you doing this piece of work for?\\uc0\\u160{}\\uc0\\u187{} David {\\scaps Boucher} et Teresa {\\scaps Smith}, {\\i{}op. cit.}, p.\\uc0\\u160{}126.","plainCitation":"\"But I will say that, for nearer twenty years than ten, I have been preaching to my archaeological friends the duty of never digging either a five-thousand-pound site or a five-shilling trench without being certain that you can satisfy an inquirer who asks you « What are you doing this piece of work for? » David Boucher et Teresa Smith, op. cit., p. 126.","dontUpdate":true,"noteIndex":105},"citationItems":[{"id":271,"uris":["http://zotero.org/users/10701145/items/STHGQS5Y"],"itemData":{"id":271,"type":"book","abstract":"This volume presents a many-faceted view of the Oxford philosopher R. G. Collingwood. At its center is his Autobiography, published in 1939, which has the status of a cult classic for its compelling \"story of his thought\". Collingwood's work has enjoyed renewed attention in recent years, with new editions of his great philosophical works. This volume republishes the Autobiography alongside a previously unpublished account by Collingwood of a journey to the East Indies in 1938-1939. These writings are accompanied by eleven specially written essays. Several of these examine aspects of Collingwood's life--not just the Autobiography, but what he doesn't discuss in that work, from his childhood to his professorship at Oxford. And the essays also examine aspects of his work on philosophy, politics, history, and archaeology, in the context of his life.","edition":"Reprint edition","event-place":"Oxford","ISBN":"978-0-19-880120-7","language":"English","number-of-pages":"644","publisher":"Oxford University Press","publisher-place":"Oxford","source":"Amazon","title":"An Autobiography and other writings: with essays on Collingwood's life and work","title-short":"R. G. Collingwood","author":[{"family":"Collingwood","given":"R. G."}],"editor":[{"family":"Smith","given":"Teresa"},{"family":"Boucher","given":"David"}],"issued":{"date-parts":[["2017",12,28]]}},"locator":"126","label":"page","prefix":"\"But I will say that, for nearer twenty years than ten, I have been preaching to my archaeological friends the duty of never digging either a five-thousand-pound site or a five-shilling trench without being certain that you can satisfy an inquirer who asks you \"What are you doing this piece of work for?\""}],"schema":"https://github.com/citation-style-language/schema/raw/master/csl-citation.json"} </w:instrText>
      </w:r>
      <w:r>
        <w:fldChar w:fldCharType="separate"/>
      </w:r>
      <w:r w:rsidRPr="00324EF0">
        <w:rPr>
          <w:rFonts w:cstheme="minorHAnsi"/>
          <w:sz w:val="22"/>
          <w:szCs w:val="22"/>
          <w:lang w:val="en-US"/>
        </w:rPr>
        <w:t>« </w:t>
      </w:r>
      <w:r w:rsidRPr="00324EF0">
        <w:rPr>
          <w:rFonts w:ascii="Calibri" w:hAnsi="Calibri" w:cs="Calibri"/>
          <w:kern w:val="0"/>
          <w:lang w:val="en-US"/>
        </w:rPr>
        <w:t xml:space="preserve">But I will say that, for nearer twenty years than ten, I have been preaching to my archaeological friends the duty of never digging either a five-thousand-pound site or a five-shilling trench without being certain that you can satisfy an inquirer who asks you </w:t>
      </w:r>
      <w:r>
        <w:rPr>
          <w:rFonts w:ascii="Calibri" w:hAnsi="Calibri" w:cs="Calibri"/>
          <w:kern w:val="0"/>
          <w:lang w:val="en-US"/>
        </w:rPr>
        <w:t>"</w:t>
      </w:r>
      <w:r w:rsidRPr="00324EF0">
        <w:rPr>
          <w:rFonts w:ascii="Calibri" w:hAnsi="Calibri" w:cs="Calibri"/>
          <w:kern w:val="0"/>
          <w:lang w:val="en-US"/>
        </w:rPr>
        <w:t>What are you doing this piece of work for?</w:t>
      </w:r>
      <w:r>
        <w:rPr>
          <w:rFonts w:ascii="Calibri" w:hAnsi="Calibri" w:cs="Calibri"/>
          <w:kern w:val="0"/>
          <w:lang w:val="en-US"/>
        </w:rPr>
        <w:t>"</w:t>
      </w:r>
      <w:r w:rsidRPr="00324EF0">
        <w:rPr>
          <w:rFonts w:ascii="Calibri" w:hAnsi="Calibri" w:cs="Calibri"/>
          <w:kern w:val="0"/>
          <w:lang w:val="en-US"/>
        </w:rPr>
        <w:t> </w:t>
      </w:r>
      <w:r w:rsidRPr="00D863D0">
        <w:rPr>
          <w:rFonts w:ascii="Calibri" w:hAnsi="Calibri" w:cs="Calibri"/>
          <w:kern w:val="0"/>
          <w:lang w:val="en-US"/>
        </w:rPr>
        <w:t>»</w:t>
      </w:r>
      <w:r>
        <w:fldChar w:fldCharType="end"/>
      </w:r>
      <w:r w:rsidR="00787A2D" w:rsidRPr="00D863D0">
        <w:rPr>
          <w:lang w:val="en-US"/>
        </w:rPr>
        <w:t xml:space="preserve"> </w:t>
      </w:r>
    </w:p>
  </w:footnote>
  <w:footnote w:id="24">
    <w:p w14:paraId="21CCF037" w14:textId="60E5445F" w:rsidR="00502992" w:rsidRPr="00600444" w:rsidRDefault="00502992">
      <w:pPr>
        <w:pStyle w:val="Notedebasdepage"/>
        <w:rPr>
          <w:lang w:val="en-US"/>
        </w:rPr>
      </w:pPr>
      <w:r>
        <w:rPr>
          <w:rStyle w:val="Appelnotedebasdep"/>
        </w:rPr>
        <w:footnoteRef/>
      </w:r>
      <w:r w:rsidRPr="00600444">
        <w:rPr>
          <w:lang w:val="en-US"/>
        </w:rPr>
        <w:t xml:space="preserve"> </w:t>
      </w:r>
      <w:r w:rsidR="00787A2D" w:rsidRPr="00787A2D">
        <w:rPr>
          <w:lang w:val="en-US"/>
        </w:rPr>
        <w:t xml:space="preserve">« Anybody would admit that Plato’s </w:t>
      </w:r>
      <w:r w:rsidR="00787A2D" w:rsidRPr="00787A2D">
        <w:rPr>
          <w:i/>
          <w:iCs/>
          <w:lang w:val="en-US"/>
        </w:rPr>
        <w:t xml:space="preserve">Republic </w:t>
      </w:r>
      <w:r w:rsidR="00787A2D" w:rsidRPr="00787A2D">
        <w:rPr>
          <w:lang w:val="en-US"/>
        </w:rPr>
        <w:t xml:space="preserve">and Hobbes’s </w:t>
      </w:r>
      <w:r w:rsidR="00787A2D" w:rsidRPr="00787A2D">
        <w:rPr>
          <w:i/>
          <w:iCs/>
          <w:lang w:val="en-US"/>
        </w:rPr>
        <w:t xml:space="preserve">Leviathan </w:t>
      </w:r>
      <w:r w:rsidR="00787A2D" w:rsidRPr="00787A2D">
        <w:rPr>
          <w:lang w:val="en-US"/>
        </w:rPr>
        <w:t>are about two things which are in one way the same thing and in another way different. That is not in dispute. What is in dispute is the kind of sameness and the kind of difference »</w:t>
      </w:r>
      <w:r w:rsidR="00787A2D">
        <w:rPr>
          <w:lang w:val="en-US"/>
        </w:rPr>
        <w:t>.</w:t>
      </w:r>
    </w:p>
  </w:footnote>
  <w:footnote w:id="25">
    <w:p w14:paraId="221D4430" w14:textId="33483E14" w:rsidR="00502992" w:rsidRPr="003D3C9E" w:rsidRDefault="00502992">
      <w:pPr>
        <w:pStyle w:val="Notedebasdepage"/>
        <w:rPr>
          <w:lang w:val="en-US"/>
        </w:rPr>
      </w:pPr>
      <w:r>
        <w:rPr>
          <w:rStyle w:val="Appelnotedebasdep"/>
        </w:rPr>
        <w:footnoteRef/>
      </w:r>
      <w:r w:rsidRPr="003D3C9E">
        <w:rPr>
          <w:lang w:val="en-US"/>
        </w:rPr>
        <w:t xml:space="preserve"> </w:t>
      </w:r>
      <w:r w:rsidR="00787A2D" w:rsidRPr="00787A2D">
        <w:rPr>
          <w:lang w:val="en-US"/>
        </w:rPr>
        <w:t>« </w:t>
      </w:r>
      <w:r w:rsidR="00787A2D">
        <w:rPr>
          <w:lang w:val="en-US"/>
        </w:rPr>
        <w:t>B</w:t>
      </w:r>
      <w:r w:rsidR="00787A2D" w:rsidRPr="00787A2D">
        <w:rPr>
          <w:lang w:val="en-US"/>
        </w:rPr>
        <w:t>y a traceable historical process, whereby one has turned into the other »</w:t>
      </w:r>
      <w:r w:rsidR="00787A2D">
        <w:rPr>
          <w:lang w:val="en-US"/>
        </w:rPr>
        <w:t>.</w:t>
      </w:r>
      <w:r w:rsidR="00787A2D" w:rsidRPr="003D3C9E">
        <w:rPr>
          <w:lang w:val="en-US"/>
        </w:rPr>
        <w:t xml:space="preserve"> </w:t>
      </w:r>
    </w:p>
  </w:footnote>
  <w:footnote w:id="26">
    <w:p w14:paraId="06733748" w14:textId="48E57DBC" w:rsidR="00502992" w:rsidRPr="00600444" w:rsidRDefault="00502992">
      <w:pPr>
        <w:pStyle w:val="Notedebasdepage"/>
        <w:rPr>
          <w:lang w:val="en-US"/>
        </w:rPr>
      </w:pPr>
      <w:r w:rsidRPr="009F7D76">
        <w:rPr>
          <w:rStyle w:val="Appelnotedebasdep"/>
        </w:rPr>
        <w:footnoteRef/>
      </w:r>
      <w:r w:rsidR="009F7D76" w:rsidRPr="009F7D76">
        <w:rPr>
          <w:lang w:val="en-US"/>
        </w:rPr>
        <w:t>« the propagandists of a coming Fascism »</w:t>
      </w:r>
      <w:r w:rsidR="009F7D76">
        <w:rPr>
          <w:lang w:val="en-US"/>
        </w:rPr>
        <w:t>.</w:t>
      </w:r>
      <w:r w:rsidR="009F7D76" w:rsidRPr="009F7D76">
        <w:rPr>
          <w:i/>
          <w:iCs/>
          <w:lang w:val="en-US"/>
        </w:rPr>
        <w: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6F3262"/>
    <w:multiLevelType w:val="hybridMultilevel"/>
    <w:tmpl w:val="D6BEEC94"/>
    <w:lvl w:ilvl="0" w:tplc="3C2E2D8C">
      <w:start w:val="3"/>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2F3F4825"/>
    <w:multiLevelType w:val="hybridMultilevel"/>
    <w:tmpl w:val="3A3A25D2"/>
    <w:lvl w:ilvl="0" w:tplc="40BCD078">
      <w:start w:val="1"/>
      <w:numFmt w:val="upp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4AD0817"/>
    <w:multiLevelType w:val="hybridMultilevel"/>
    <w:tmpl w:val="4CB63698"/>
    <w:lvl w:ilvl="0" w:tplc="20E8B654">
      <w:start w:val="1"/>
      <w:numFmt w:val="lowerLetter"/>
      <w:lvlText w:val="%1)"/>
      <w:lvlJc w:val="left"/>
      <w:pPr>
        <w:ind w:left="1068" w:hanging="36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3" w15:restartNumberingAfterBreak="0">
    <w:nsid w:val="38CC180E"/>
    <w:multiLevelType w:val="hybridMultilevel"/>
    <w:tmpl w:val="E41820DE"/>
    <w:lvl w:ilvl="0" w:tplc="7B8E6298">
      <w:start w:val="18"/>
      <w:numFmt w:val="bullet"/>
      <w:lvlText w:val=""/>
      <w:lvlJc w:val="left"/>
      <w:pPr>
        <w:ind w:left="720" w:hanging="360"/>
      </w:pPr>
      <w:rPr>
        <w:rFonts w:ascii="Wingdings" w:eastAsiaTheme="minorHAnsi"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3B043EA5"/>
    <w:multiLevelType w:val="hybridMultilevel"/>
    <w:tmpl w:val="855C797A"/>
    <w:lvl w:ilvl="0" w:tplc="2C6444B6">
      <w:start w:val="2"/>
      <w:numFmt w:val="decimal"/>
      <w:lvlText w:val="%1)"/>
      <w:lvlJc w:val="left"/>
      <w:pPr>
        <w:ind w:left="1068" w:hanging="36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5" w15:restartNumberingAfterBreak="0">
    <w:nsid w:val="4D6B52A5"/>
    <w:multiLevelType w:val="hybridMultilevel"/>
    <w:tmpl w:val="7CCC29FC"/>
    <w:lvl w:ilvl="0" w:tplc="D68A023E">
      <w:start w:val="1"/>
      <w:numFmt w:val="decimal"/>
      <w:lvlText w:val="%1)"/>
      <w:lvlJc w:val="left"/>
      <w:pPr>
        <w:ind w:left="1068" w:hanging="36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6" w15:restartNumberingAfterBreak="0">
    <w:nsid w:val="54E81737"/>
    <w:multiLevelType w:val="hybridMultilevel"/>
    <w:tmpl w:val="0874A884"/>
    <w:lvl w:ilvl="0" w:tplc="0DF24388">
      <w:start w:val="1"/>
      <w:numFmt w:val="decimal"/>
      <w:lvlText w:val="%1)"/>
      <w:lvlJc w:val="left"/>
      <w:pPr>
        <w:ind w:left="1068" w:hanging="36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7" w15:restartNumberingAfterBreak="0">
    <w:nsid w:val="5C0609A9"/>
    <w:multiLevelType w:val="hybridMultilevel"/>
    <w:tmpl w:val="E49A92E0"/>
    <w:lvl w:ilvl="0" w:tplc="B7248D7A">
      <w:start w:val="16"/>
      <w:numFmt w:val="bullet"/>
      <w:lvlText w:val=""/>
      <w:lvlJc w:val="left"/>
      <w:pPr>
        <w:ind w:left="1080" w:hanging="360"/>
      </w:pPr>
      <w:rPr>
        <w:rFonts w:ascii="Wingdings" w:eastAsiaTheme="minorHAnsi" w:hAnsi="Wingdings" w:cs="Times New Roman" w:hint="default"/>
        <w:b w:val="0"/>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8" w15:restartNumberingAfterBreak="0">
    <w:nsid w:val="5E8442C5"/>
    <w:multiLevelType w:val="hybridMultilevel"/>
    <w:tmpl w:val="62CA3CE4"/>
    <w:lvl w:ilvl="0" w:tplc="B86EEF48">
      <w:start w:val="1"/>
      <w:numFmt w:val="lowerLetter"/>
      <w:lvlText w:val="%1)"/>
      <w:lvlJc w:val="left"/>
      <w:pPr>
        <w:ind w:left="1068" w:hanging="360"/>
      </w:pPr>
      <w:rPr>
        <w:rFonts w:hint="default"/>
        <w:b w:val="0"/>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9" w15:restartNumberingAfterBreak="0">
    <w:nsid w:val="64DB6561"/>
    <w:multiLevelType w:val="hybridMultilevel"/>
    <w:tmpl w:val="F90E3FFE"/>
    <w:lvl w:ilvl="0" w:tplc="898C6804">
      <w:start w:val="1"/>
      <w:numFmt w:val="upp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16cid:durableId="1578400260">
    <w:abstractNumId w:val="3"/>
  </w:num>
  <w:num w:numId="2" w16cid:durableId="215897095">
    <w:abstractNumId w:val="6"/>
  </w:num>
  <w:num w:numId="3" w16cid:durableId="885602511">
    <w:abstractNumId w:val="0"/>
  </w:num>
  <w:num w:numId="4" w16cid:durableId="1231817426">
    <w:abstractNumId w:val="7"/>
  </w:num>
  <w:num w:numId="5" w16cid:durableId="797532031">
    <w:abstractNumId w:val="5"/>
  </w:num>
  <w:num w:numId="6" w16cid:durableId="78260867">
    <w:abstractNumId w:val="4"/>
  </w:num>
  <w:num w:numId="7" w16cid:durableId="802842925">
    <w:abstractNumId w:val="1"/>
  </w:num>
  <w:num w:numId="8" w16cid:durableId="814877404">
    <w:abstractNumId w:val="9"/>
  </w:num>
  <w:num w:numId="9" w16cid:durableId="966280013">
    <w:abstractNumId w:val="2"/>
  </w:num>
  <w:num w:numId="10" w16cid:durableId="12960639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A66"/>
    <w:rsid w:val="00000D60"/>
    <w:rsid w:val="0000739C"/>
    <w:rsid w:val="00012598"/>
    <w:rsid w:val="000171BF"/>
    <w:rsid w:val="00024C8A"/>
    <w:rsid w:val="00025658"/>
    <w:rsid w:val="000325D2"/>
    <w:rsid w:val="00036109"/>
    <w:rsid w:val="00040EA4"/>
    <w:rsid w:val="0004291D"/>
    <w:rsid w:val="00043408"/>
    <w:rsid w:val="00043BD6"/>
    <w:rsid w:val="00057A0C"/>
    <w:rsid w:val="00057EE2"/>
    <w:rsid w:val="00060897"/>
    <w:rsid w:val="000624C3"/>
    <w:rsid w:val="000631C3"/>
    <w:rsid w:val="00064DA5"/>
    <w:rsid w:val="00065E56"/>
    <w:rsid w:val="00071A48"/>
    <w:rsid w:val="00075AF0"/>
    <w:rsid w:val="00076F78"/>
    <w:rsid w:val="00080F65"/>
    <w:rsid w:val="000820A8"/>
    <w:rsid w:val="00087498"/>
    <w:rsid w:val="00092424"/>
    <w:rsid w:val="000936FC"/>
    <w:rsid w:val="00094C20"/>
    <w:rsid w:val="00095055"/>
    <w:rsid w:val="00097048"/>
    <w:rsid w:val="000A6FC7"/>
    <w:rsid w:val="000B651C"/>
    <w:rsid w:val="000B6F55"/>
    <w:rsid w:val="000B7C13"/>
    <w:rsid w:val="000C0556"/>
    <w:rsid w:val="000C122E"/>
    <w:rsid w:val="000C4CF1"/>
    <w:rsid w:val="000C7BAA"/>
    <w:rsid w:val="000C7CE1"/>
    <w:rsid w:val="000D425A"/>
    <w:rsid w:val="000E0330"/>
    <w:rsid w:val="000E5789"/>
    <w:rsid w:val="000F0634"/>
    <w:rsid w:val="000F3C2D"/>
    <w:rsid w:val="000F53FE"/>
    <w:rsid w:val="0010101D"/>
    <w:rsid w:val="00116DE3"/>
    <w:rsid w:val="00116DE6"/>
    <w:rsid w:val="001173FC"/>
    <w:rsid w:val="00117860"/>
    <w:rsid w:val="001260D6"/>
    <w:rsid w:val="001320EC"/>
    <w:rsid w:val="00132BB7"/>
    <w:rsid w:val="001339C7"/>
    <w:rsid w:val="001348CC"/>
    <w:rsid w:val="001376F1"/>
    <w:rsid w:val="00142A43"/>
    <w:rsid w:val="00142F4B"/>
    <w:rsid w:val="00144291"/>
    <w:rsid w:val="00150B3B"/>
    <w:rsid w:val="00162583"/>
    <w:rsid w:val="0016285A"/>
    <w:rsid w:val="00162D48"/>
    <w:rsid w:val="0016701A"/>
    <w:rsid w:val="00170C48"/>
    <w:rsid w:val="00171EF7"/>
    <w:rsid w:val="00180E2F"/>
    <w:rsid w:val="00183087"/>
    <w:rsid w:val="00183B45"/>
    <w:rsid w:val="00184D39"/>
    <w:rsid w:val="00187AF0"/>
    <w:rsid w:val="001929E6"/>
    <w:rsid w:val="00192C0D"/>
    <w:rsid w:val="001944F5"/>
    <w:rsid w:val="00196AB8"/>
    <w:rsid w:val="00197D91"/>
    <w:rsid w:val="001A6525"/>
    <w:rsid w:val="001C4D65"/>
    <w:rsid w:val="001C67C9"/>
    <w:rsid w:val="001C6C06"/>
    <w:rsid w:val="001D19E2"/>
    <w:rsid w:val="001D7BBC"/>
    <w:rsid w:val="001E3145"/>
    <w:rsid w:val="001E7386"/>
    <w:rsid w:val="001E741F"/>
    <w:rsid w:val="001F1BF8"/>
    <w:rsid w:val="001F249B"/>
    <w:rsid w:val="00203378"/>
    <w:rsid w:val="00206547"/>
    <w:rsid w:val="00214881"/>
    <w:rsid w:val="002161DB"/>
    <w:rsid w:val="00223DFD"/>
    <w:rsid w:val="00227035"/>
    <w:rsid w:val="002270E2"/>
    <w:rsid w:val="0023532E"/>
    <w:rsid w:val="00246BC1"/>
    <w:rsid w:val="00250E0B"/>
    <w:rsid w:val="00257819"/>
    <w:rsid w:val="00261E78"/>
    <w:rsid w:val="00262C70"/>
    <w:rsid w:val="00281993"/>
    <w:rsid w:val="00285C2E"/>
    <w:rsid w:val="002938A1"/>
    <w:rsid w:val="00297A7B"/>
    <w:rsid w:val="002B0042"/>
    <w:rsid w:val="002B0784"/>
    <w:rsid w:val="002B0CB5"/>
    <w:rsid w:val="002B1734"/>
    <w:rsid w:val="002B5714"/>
    <w:rsid w:val="002C500F"/>
    <w:rsid w:val="002C631A"/>
    <w:rsid w:val="002D0A66"/>
    <w:rsid w:val="002D179E"/>
    <w:rsid w:val="002D4D74"/>
    <w:rsid w:val="002D5B2D"/>
    <w:rsid w:val="002D5EB6"/>
    <w:rsid w:val="002D78B7"/>
    <w:rsid w:val="002D7EDA"/>
    <w:rsid w:val="002E097A"/>
    <w:rsid w:val="002F44CB"/>
    <w:rsid w:val="00300F09"/>
    <w:rsid w:val="00303AA7"/>
    <w:rsid w:val="003104E7"/>
    <w:rsid w:val="00311F0B"/>
    <w:rsid w:val="00312938"/>
    <w:rsid w:val="0031485C"/>
    <w:rsid w:val="00315E00"/>
    <w:rsid w:val="0031738E"/>
    <w:rsid w:val="00320EC2"/>
    <w:rsid w:val="00320EE9"/>
    <w:rsid w:val="00324EF0"/>
    <w:rsid w:val="00325B8B"/>
    <w:rsid w:val="00326C11"/>
    <w:rsid w:val="003408E6"/>
    <w:rsid w:val="003416B1"/>
    <w:rsid w:val="00341FDF"/>
    <w:rsid w:val="00342404"/>
    <w:rsid w:val="00342776"/>
    <w:rsid w:val="003442BE"/>
    <w:rsid w:val="00344F3E"/>
    <w:rsid w:val="00345B1A"/>
    <w:rsid w:val="003614EC"/>
    <w:rsid w:val="00363C75"/>
    <w:rsid w:val="00365392"/>
    <w:rsid w:val="003676C5"/>
    <w:rsid w:val="00370D9D"/>
    <w:rsid w:val="003739DF"/>
    <w:rsid w:val="00375311"/>
    <w:rsid w:val="00380CA3"/>
    <w:rsid w:val="003827AF"/>
    <w:rsid w:val="00382C1B"/>
    <w:rsid w:val="0038332F"/>
    <w:rsid w:val="00383B91"/>
    <w:rsid w:val="00386EDF"/>
    <w:rsid w:val="00387C6B"/>
    <w:rsid w:val="00387D73"/>
    <w:rsid w:val="00396179"/>
    <w:rsid w:val="003973E1"/>
    <w:rsid w:val="003A413E"/>
    <w:rsid w:val="003A5121"/>
    <w:rsid w:val="003A6696"/>
    <w:rsid w:val="003A7572"/>
    <w:rsid w:val="003B64DC"/>
    <w:rsid w:val="003C4A66"/>
    <w:rsid w:val="003C4EC6"/>
    <w:rsid w:val="003D3C9E"/>
    <w:rsid w:val="003E047D"/>
    <w:rsid w:val="003E326D"/>
    <w:rsid w:val="003E42EC"/>
    <w:rsid w:val="003E4F94"/>
    <w:rsid w:val="003E591E"/>
    <w:rsid w:val="003F162A"/>
    <w:rsid w:val="003F53BD"/>
    <w:rsid w:val="00404ACC"/>
    <w:rsid w:val="00411261"/>
    <w:rsid w:val="00412939"/>
    <w:rsid w:val="00421967"/>
    <w:rsid w:val="00422869"/>
    <w:rsid w:val="00431505"/>
    <w:rsid w:val="004342C3"/>
    <w:rsid w:val="0043431A"/>
    <w:rsid w:val="004371C8"/>
    <w:rsid w:val="004403C4"/>
    <w:rsid w:val="004405E5"/>
    <w:rsid w:val="004462C7"/>
    <w:rsid w:val="00446E86"/>
    <w:rsid w:val="00450CFE"/>
    <w:rsid w:val="004536F6"/>
    <w:rsid w:val="004619D3"/>
    <w:rsid w:val="00464D83"/>
    <w:rsid w:val="004737E3"/>
    <w:rsid w:val="00474DA4"/>
    <w:rsid w:val="00480736"/>
    <w:rsid w:val="0048263B"/>
    <w:rsid w:val="004876C2"/>
    <w:rsid w:val="00490DCF"/>
    <w:rsid w:val="004932E5"/>
    <w:rsid w:val="00495C09"/>
    <w:rsid w:val="00496775"/>
    <w:rsid w:val="004A15B5"/>
    <w:rsid w:val="004A2671"/>
    <w:rsid w:val="004B2A8A"/>
    <w:rsid w:val="004B4AF2"/>
    <w:rsid w:val="004B4B07"/>
    <w:rsid w:val="004B5421"/>
    <w:rsid w:val="004B5D7C"/>
    <w:rsid w:val="004B6B11"/>
    <w:rsid w:val="004B6E0D"/>
    <w:rsid w:val="004C55B3"/>
    <w:rsid w:val="004C575C"/>
    <w:rsid w:val="004C7115"/>
    <w:rsid w:val="004C7A15"/>
    <w:rsid w:val="004D4306"/>
    <w:rsid w:val="004D6868"/>
    <w:rsid w:val="004D69D5"/>
    <w:rsid w:val="004D70A5"/>
    <w:rsid w:val="004E0929"/>
    <w:rsid w:val="004E643E"/>
    <w:rsid w:val="004F0D99"/>
    <w:rsid w:val="00502992"/>
    <w:rsid w:val="005057ED"/>
    <w:rsid w:val="00506B3C"/>
    <w:rsid w:val="00507AA6"/>
    <w:rsid w:val="00507F20"/>
    <w:rsid w:val="00517346"/>
    <w:rsid w:val="00521834"/>
    <w:rsid w:val="0052501A"/>
    <w:rsid w:val="00525772"/>
    <w:rsid w:val="0053496C"/>
    <w:rsid w:val="00536A6F"/>
    <w:rsid w:val="005467DB"/>
    <w:rsid w:val="005522D1"/>
    <w:rsid w:val="0055359F"/>
    <w:rsid w:val="005549CF"/>
    <w:rsid w:val="00560BDD"/>
    <w:rsid w:val="00564D6E"/>
    <w:rsid w:val="00566064"/>
    <w:rsid w:val="005725D7"/>
    <w:rsid w:val="0057266E"/>
    <w:rsid w:val="00575391"/>
    <w:rsid w:val="00575A97"/>
    <w:rsid w:val="00576C1E"/>
    <w:rsid w:val="005804B6"/>
    <w:rsid w:val="00587650"/>
    <w:rsid w:val="00590B77"/>
    <w:rsid w:val="00594AE0"/>
    <w:rsid w:val="005A4A64"/>
    <w:rsid w:val="005A5AAB"/>
    <w:rsid w:val="005A6E60"/>
    <w:rsid w:val="005B5866"/>
    <w:rsid w:val="005C6AC7"/>
    <w:rsid w:val="005D03F6"/>
    <w:rsid w:val="005D25DE"/>
    <w:rsid w:val="005D342F"/>
    <w:rsid w:val="005D57D1"/>
    <w:rsid w:val="005D6F6D"/>
    <w:rsid w:val="005E3283"/>
    <w:rsid w:val="005F39CD"/>
    <w:rsid w:val="005F40AB"/>
    <w:rsid w:val="005F46D8"/>
    <w:rsid w:val="005F6C63"/>
    <w:rsid w:val="005F7368"/>
    <w:rsid w:val="005F77E1"/>
    <w:rsid w:val="00600444"/>
    <w:rsid w:val="006023F8"/>
    <w:rsid w:val="00602D6C"/>
    <w:rsid w:val="0060412A"/>
    <w:rsid w:val="00607D81"/>
    <w:rsid w:val="006129C7"/>
    <w:rsid w:val="00620411"/>
    <w:rsid w:val="006229E7"/>
    <w:rsid w:val="006309AC"/>
    <w:rsid w:val="0063157C"/>
    <w:rsid w:val="0063419F"/>
    <w:rsid w:val="00634FEA"/>
    <w:rsid w:val="00635658"/>
    <w:rsid w:val="006359F3"/>
    <w:rsid w:val="00635A46"/>
    <w:rsid w:val="0063636D"/>
    <w:rsid w:val="00640E6A"/>
    <w:rsid w:val="006445D7"/>
    <w:rsid w:val="00646679"/>
    <w:rsid w:val="00647269"/>
    <w:rsid w:val="00654F88"/>
    <w:rsid w:val="00662230"/>
    <w:rsid w:val="006652C1"/>
    <w:rsid w:val="00673C2E"/>
    <w:rsid w:val="00675002"/>
    <w:rsid w:val="0067631F"/>
    <w:rsid w:val="006804D4"/>
    <w:rsid w:val="006828CE"/>
    <w:rsid w:val="006837B1"/>
    <w:rsid w:val="00690D0B"/>
    <w:rsid w:val="00692274"/>
    <w:rsid w:val="00692445"/>
    <w:rsid w:val="00694E66"/>
    <w:rsid w:val="006955DB"/>
    <w:rsid w:val="00696B90"/>
    <w:rsid w:val="006A1007"/>
    <w:rsid w:val="006A1086"/>
    <w:rsid w:val="006A208A"/>
    <w:rsid w:val="006A245E"/>
    <w:rsid w:val="006A309B"/>
    <w:rsid w:val="006A351F"/>
    <w:rsid w:val="006A69EA"/>
    <w:rsid w:val="006B4B8E"/>
    <w:rsid w:val="006B64BA"/>
    <w:rsid w:val="006C1031"/>
    <w:rsid w:val="006C7624"/>
    <w:rsid w:val="006D6180"/>
    <w:rsid w:val="006E1B36"/>
    <w:rsid w:val="006E7743"/>
    <w:rsid w:val="006E79AE"/>
    <w:rsid w:val="006F03FA"/>
    <w:rsid w:val="006F0CD9"/>
    <w:rsid w:val="006F0FD2"/>
    <w:rsid w:val="006F1FB1"/>
    <w:rsid w:val="006F2F39"/>
    <w:rsid w:val="006F5C15"/>
    <w:rsid w:val="00700353"/>
    <w:rsid w:val="0070111C"/>
    <w:rsid w:val="00704EA4"/>
    <w:rsid w:val="00706F99"/>
    <w:rsid w:val="00712228"/>
    <w:rsid w:val="0071250B"/>
    <w:rsid w:val="00713CA9"/>
    <w:rsid w:val="00714066"/>
    <w:rsid w:val="00716C2E"/>
    <w:rsid w:val="007205CF"/>
    <w:rsid w:val="0072303E"/>
    <w:rsid w:val="007279DC"/>
    <w:rsid w:val="007301DB"/>
    <w:rsid w:val="00730FDD"/>
    <w:rsid w:val="007321F4"/>
    <w:rsid w:val="007338BF"/>
    <w:rsid w:val="00734961"/>
    <w:rsid w:val="00735FA2"/>
    <w:rsid w:val="007370EB"/>
    <w:rsid w:val="0074065E"/>
    <w:rsid w:val="007465E5"/>
    <w:rsid w:val="00755957"/>
    <w:rsid w:val="007610EB"/>
    <w:rsid w:val="00766063"/>
    <w:rsid w:val="0077061C"/>
    <w:rsid w:val="0077462E"/>
    <w:rsid w:val="00775329"/>
    <w:rsid w:val="00775BE0"/>
    <w:rsid w:val="0078329A"/>
    <w:rsid w:val="00784600"/>
    <w:rsid w:val="00784858"/>
    <w:rsid w:val="00786270"/>
    <w:rsid w:val="00787A2D"/>
    <w:rsid w:val="00794DE6"/>
    <w:rsid w:val="00794FCD"/>
    <w:rsid w:val="00796765"/>
    <w:rsid w:val="00797796"/>
    <w:rsid w:val="007A2C71"/>
    <w:rsid w:val="007A452B"/>
    <w:rsid w:val="007A5278"/>
    <w:rsid w:val="007B511B"/>
    <w:rsid w:val="007B6419"/>
    <w:rsid w:val="007C5C1A"/>
    <w:rsid w:val="007C79E2"/>
    <w:rsid w:val="007D042F"/>
    <w:rsid w:val="007E2E0B"/>
    <w:rsid w:val="007E6256"/>
    <w:rsid w:val="007F03EA"/>
    <w:rsid w:val="007F0E2A"/>
    <w:rsid w:val="007F3BB2"/>
    <w:rsid w:val="007F5408"/>
    <w:rsid w:val="007F580F"/>
    <w:rsid w:val="007F6279"/>
    <w:rsid w:val="00800918"/>
    <w:rsid w:val="008039C9"/>
    <w:rsid w:val="00812B1B"/>
    <w:rsid w:val="00815102"/>
    <w:rsid w:val="008157F7"/>
    <w:rsid w:val="0082369D"/>
    <w:rsid w:val="0082562C"/>
    <w:rsid w:val="00830E25"/>
    <w:rsid w:val="00832672"/>
    <w:rsid w:val="008366D7"/>
    <w:rsid w:val="00837A12"/>
    <w:rsid w:val="00841034"/>
    <w:rsid w:val="00841FCE"/>
    <w:rsid w:val="00843FDF"/>
    <w:rsid w:val="00844870"/>
    <w:rsid w:val="00846085"/>
    <w:rsid w:val="008463E9"/>
    <w:rsid w:val="008479C6"/>
    <w:rsid w:val="00852F57"/>
    <w:rsid w:val="00854422"/>
    <w:rsid w:val="00854838"/>
    <w:rsid w:val="00867034"/>
    <w:rsid w:val="008733E2"/>
    <w:rsid w:val="0087533F"/>
    <w:rsid w:val="00883C53"/>
    <w:rsid w:val="008915B5"/>
    <w:rsid w:val="00892775"/>
    <w:rsid w:val="00892E22"/>
    <w:rsid w:val="00897C95"/>
    <w:rsid w:val="008A02B7"/>
    <w:rsid w:val="008A4121"/>
    <w:rsid w:val="008A579D"/>
    <w:rsid w:val="008B56CB"/>
    <w:rsid w:val="008C6357"/>
    <w:rsid w:val="008C6D23"/>
    <w:rsid w:val="008D17E1"/>
    <w:rsid w:val="008D5BC5"/>
    <w:rsid w:val="008E23CE"/>
    <w:rsid w:val="008E41C0"/>
    <w:rsid w:val="008F0ACE"/>
    <w:rsid w:val="008F2055"/>
    <w:rsid w:val="008F3AB6"/>
    <w:rsid w:val="00900D58"/>
    <w:rsid w:val="00903B94"/>
    <w:rsid w:val="009044C0"/>
    <w:rsid w:val="00904C2F"/>
    <w:rsid w:val="0091178D"/>
    <w:rsid w:val="0091545C"/>
    <w:rsid w:val="009170EB"/>
    <w:rsid w:val="0091738B"/>
    <w:rsid w:val="00930F9A"/>
    <w:rsid w:val="00932900"/>
    <w:rsid w:val="00946D5E"/>
    <w:rsid w:val="009510CD"/>
    <w:rsid w:val="00952C65"/>
    <w:rsid w:val="00954068"/>
    <w:rsid w:val="009549B6"/>
    <w:rsid w:val="00957215"/>
    <w:rsid w:val="00961DE9"/>
    <w:rsid w:val="00967E51"/>
    <w:rsid w:val="00971323"/>
    <w:rsid w:val="00980CDE"/>
    <w:rsid w:val="009876FC"/>
    <w:rsid w:val="009912E0"/>
    <w:rsid w:val="00993752"/>
    <w:rsid w:val="0099435D"/>
    <w:rsid w:val="0099626A"/>
    <w:rsid w:val="009969B1"/>
    <w:rsid w:val="009A0AB0"/>
    <w:rsid w:val="009A384D"/>
    <w:rsid w:val="009B79E4"/>
    <w:rsid w:val="009C2774"/>
    <w:rsid w:val="009C5422"/>
    <w:rsid w:val="009C61B9"/>
    <w:rsid w:val="009D29B2"/>
    <w:rsid w:val="009D7379"/>
    <w:rsid w:val="009E5F48"/>
    <w:rsid w:val="009E7AE8"/>
    <w:rsid w:val="009F4538"/>
    <w:rsid w:val="009F5295"/>
    <w:rsid w:val="009F624F"/>
    <w:rsid w:val="009F7D76"/>
    <w:rsid w:val="00A00392"/>
    <w:rsid w:val="00A00820"/>
    <w:rsid w:val="00A00BB9"/>
    <w:rsid w:val="00A01550"/>
    <w:rsid w:val="00A01CD3"/>
    <w:rsid w:val="00A03CEC"/>
    <w:rsid w:val="00A05965"/>
    <w:rsid w:val="00A10C02"/>
    <w:rsid w:val="00A10EAD"/>
    <w:rsid w:val="00A1133E"/>
    <w:rsid w:val="00A212E4"/>
    <w:rsid w:val="00A236CB"/>
    <w:rsid w:val="00A24645"/>
    <w:rsid w:val="00A25417"/>
    <w:rsid w:val="00A25757"/>
    <w:rsid w:val="00A31993"/>
    <w:rsid w:val="00A35EE2"/>
    <w:rsid w:val="00A36A65"/>
    <w:rsid w:val="00A37F2A"/>
    <w:rsid w:val="00A40684"/>
    <w:rsid w:val="00A44D31"/>
    <w:rsid w:val="00A44F64"/>
    <w:rsid w:val="00A4737E"/>
    <w:rsid w:val="00A50889"/>
    <w:rsid w:val="00A50CA2"/>
    <w:rsid w:val="00A5183F"/>
    <w:rsid w:val="00A554F8"/>
    <w:rsid w:val="00A607CA"/>
    <w:rsid w:val="00A6597C"/>
    <w:rsid w:val="00A70339"/>
    <w:rsid w:val="00A7091E"/>
    <w:rsid w:val="00A71DD5"/>
    <w:rsid w:val="00A75325"/>
    <w:rsid w:val="00A76AEE"/>
    <w:rsid w:val="00A804EC"/>
    <w:rsid w:val="00A806A9"/>
    <w:rsid w:val="00A91A70"/>
    <w:rsid w:val="00A93F41"/>
    <w:rsid w:val="00A946F8"/>
    <w:rsid w:val="00A956C2"/>
    <w:rsid w:val="00A96C37"/>
    <w:rsid w:val="00AA6330"/>
    <w:rsid w:val="00AB125D"/>
    <w:rsid w:val="00AB1C39"/>
    <w:rsid w:val="00AB35EF"/>
    <w:rsid w:val="00AB6C99"/>
    <w:rsid w:val="00AD5370"/>
    <w:rsid w:val="00AD7400"/>
    <w:rsid w:val="00AE1386"/>
    <w:rsid w:val="00AE4002"/>
    <w:rsid w:val="00AE53D3"/>
    <w:rsid w:val="00AE59AD"/>
    <w:rsid w:val="00AF0AAA"/>
    <w:rsid w:val="00AF3B63"/>
    <w:rsid w:val="00B02EED"/>
    <w:rsid w:val="00B06995"/>
    <w:rsid w:val="00B1016C"/>
    <w:rsid w:val="00B10335"/>
    <w:rsid w:val="00B1668D"/>
    <w:rsid w:val="00B20EC6"/>
    <w:rsid w:val="00B20F4C"/>
    <w:rsid w:val="00B22247"/>
    <w:rsid w:val="00B2229C"/>
    <w:rsid w:val="00B22308"/>
    <w:rsid w:val="00B23846"/>
    <w:rsid w:val="00B24C17"/>
    <w:rsid w:val="00B25BE0"/>
    <w:rsid w:val="00B25C0D"/>
    <w:rsid w:val="00B30F37"/>
    <w:rsid w:val="00B33AED"/>
    <w:rsid w:val="00B36796"/>
    <w:rsid w:val="00B36C6F"/>
    <w:rsid w:val="00B40035"/>
    <w:rsid w:val="00B41C29"/>
    <w:rsid w:val="00B42B26"/>
    <w:rsid w:val="00B4721C"/>
    <w:rsid w:val="00B4765D"/>
    <w:rsid w:val="00B56F92"/>
    <w:rsid w:val="00B60A79"/>
    <w:rsid w:val="00B615CF"/>
    <w:rsid w:val="00B644F4"/>
    <w:rsid w:val="00B65D86"/>
    <w:rsid w:val="00B66033"/>
    <w:rsid w:val="00B66CFE"/>
    <w:rsid w:val="00B6710E"/>
    <w:rsid w:val="00B677E6"/>
    <w:rsid w:val="00B703D4"/>
    <w:rsid w:val="00B73644"/>
    <w:rsid w:val="00B73BB1"/>
    <w:rsid w:val="00B7588D"/>
    <w:rsid w:val="00B81062"/>
    <w:rsid w:val="00B81E28"/>
    <w:rsid w:val="00B85497"/>
    <w:rsid w:val="00B87A9F"/>
    <w:rsid w:val="00B93523"/>
    <w:rsid w:val="00B93FE9"/>
    <w:rsid w:val="00B95F24"/>
    <w:rsid w:val="00B960B3"/>
    <w:rsid w:val="00B9767A"/>
    <w:rsid w:val="00BA127D"/>
    <w:rsid w:val="00BA19B6"/>
    <w:rsid w:val="00BA2529"/>
    <w:rsid w:val="00BA51BD"/>
    <w:rsid w:val="00BA67F6"/>
    <w:rsid w:val="00BB419B"/>
    <w:rsid w:val="00BB789E"/>
    <w:rsid w:val="00BC3549"/>
    <w:rsid w:val="00BC37F1"/>
    <w:rsid w:val="00BD7154"/>
    <w:rsid w:val="00BE10C1"/>
    <w:rsid w:val="00BE23C3"/>
    <w:rsid w:val="00BE27B1"/>
    <w:rsid w:val="00BE2E55"/>
    <w:rsid w:val="00BE5661"/>
    <w:rsid w:val="00BF0898"/>
    <w:rsid w:val="00BF2FC9"/>
    <w:rsid w:val="00BF3A19"/>
    <w:rsid w:val="00BF41D7"/>
    <w:rsid w:val="00BF4FF2"/>
    <w:rsid w:val="00BF726F"/>
    <w:rsid w:val="00C01B45"/>
    <w:rsid w:val="00C035C4"/>
    <w:rsid w:val="00C050A7"/>
    <w:rsid w:val="00C14D7C"/>
    <w:rsid w:val="00C16653"/>
    <w:rsid w:val="00C17960"/>
    <w:rsid w:val="00C209BC"/>
    <w:rsid w:val="00C21BF1"/>
    <w:rsid w:val="00C2217B"/>
    <w:rsid w:val="00C3295F"/>
    <w:rsid w:val="00C3331A"/>
    <w:rsid w:val="00C33F71"/>
    <w:rsid w:val="00C36466"/>
    <w:rsid w:val="00C372F7"/>
    <w:rsid w:val="00C40EF4"/>
    <w:rsid w:val="00C4103B"/>
    <w:rsid w:val="00C413E3"/>
    <w:rsid w:val="00C506FD"/>
    <w:rsid w:val="00C54C0E"/>
    <w:rsid w:val="00C55FA2"/>
    <w:rsid w:val="00C603B5"/>
    <w:rsid w:val="00C630B0"/>
    <w:rsid w:val="00C640A7"/>
    <w:rsid w:val="00C71427"/>
    <w:rsid w:val="00C71CAD"/>
    <w:rsid w:val="00C7242A"/>
    <w:rsid w:val="00C73B79"/>
    <w:rsid w:val="00C7458C"/>
    <w:rsid w:val="00C81D7E"/>
    <w:rsid w:val="00C8372E"/>
    <w:rsid w:val="00C8412A"/>
    <w:rsid w:val="00C8604B"/>
    <w:rsid w:val="00C867A1"/>
    <w:rsid w:val="00C90382"/>
    <w:rsid w:val="00C915BC"/>
    <w:rsid w:val="00C93D72"/>
    <w:rsid w:val="00C9672C"/>
    <w:rsid w:val="00CA471B"/>
    <w:rsid w:val="00CA6A66"/>
    <w:rsid w:val="00CB6FAD"/>
    <w:rsid w:val="00CB7721"/>
    <w:rsid w:val="00CC2E8F"/>
    <w:rsid w:val="00CC37D1"/>
    <w:rsid w:val="00CC504D"/>
    <w:rsid w:val="00CC73BA"/>
    <w:rsid w:val="00CD060F"/>
    <w:rsid w:val="00CD0ADC"/>
    <w:rsid w:val="00CD0D21"/>
    <w:rsid w:val="00CD232F"/>
    <w:rsid w:val="00CD4B8A"/>
    <w:rsid w:val="00CD4E6A"/>
    <w:rsid w:val="00CE0ECD"/>
    <w:rsid w:val="00CE61A3"/>
    <w:rsid w:val="00CE7505"/>
    <w:rsid w:val="00CE7E04"/>
    <w:rsid w:val="00CF0ACE"/>
    <w:rsid w:val="00CF1E8F"/>
    <w:rsid w:val="00CF35D8"/>
    <w:rsid w:val="00CF4514"/>
    <w:rsid w:val="00CF7929"/>
    <w:rsid w:val="00D05BE8"/>
    <w:rsid w:val="00D07110"/>
    <w:rsid w:val="00D11880"/>
    <w:rsid w:val="00D1281F"/>
    <w:rsid w:val="00D13855"/>
    <w:rsid w:val="00D13FC4"/>
    <w:rsid w:val="00D16773"/>
    <w:rsid w:val="00D21168"/>
    <w:rsid w:val="00D212A7"/>
    <w:rsid w:val="00D2280F"/>
    <w:rsid w:val="00D244E8"/>
    <w:rsid w:val="00D42AE0"/>
    <w:rsid w:val="00D4370F"/>
    <w:rsid w:val="00D43FA0"/>
    <w:rsid w:val="00D46BB9"/>
    <w:rsid w:val="00D47AD1"/>
    <w:rsid w:val="00D47F46"/>
    <w:rsid w:val="00D50A4E"/>
    <w:rsid w:val="00D56734"/>
    <w:rsid w:val="00D606C5"/>
    <w:rsid w:val="00D61FEE"/>
    <w:rsid w:val="00D63AE7"/>
    <w:rsid w:val="00D652D7"/>
    <w:rsid w:val="00D65CD2"/>
    <w:rsid w:val="00D7174A"/>
    <w:rsid w:val="00D7324E"/>
    <w:rsid w:val="00D863D0"/>
    <w:rsid w:val="00D86691"/>
    <w:rsid w:val="00D925B9"/>
    <w:rsid w:val="00D953A8"/>
    <w:rsid w:val="00D95563"/>
    <w:rsid w:val="00DA125F"/>
    <w:rsid w:val="00DA3265"/>
    <w:rsid w:val="00DA414A"/>
    <w:rsid w:val="00DA5D98"/>
    <w:rsid w:val="00DA6D67"/>
    <w:rsid w:val="00DB35ED"/>
    <w:rsid w:val="00DB6203"/>
    <w:rsid w:val="00DC061E"/>
    <w:rsid w:val="00DC29CD"/>
    <w:rsid w:val="00DD1823"/>
    <w:rsid w:val="00DD3DB0"/>
    <w:rsid w:val="00DD3FE1"/>
    <w:rsid w:val="00DD7055"/>
    <w:rsid w:val="00DE1E7B"/>
    <w:rsid w:val="00DE6280"/>
    <w:rsid w:val="00DE790C"/>
    <w:rsid w:val="00DF0117"/>
    <w:rsid w:val="00E13C25"/>
    <w:rsid w:val="00E14C0E"/>
    <w:rsid w:val="00E15A36"/>
    <w:rsid w:val="00E160D9"/>
    <w:rsid w:val="00E17E28"/>
    <w:rsid w:val="00E2098F"/>
    <w:rsid w:val="00E20AA8"/>
    <w:rsid w:val="00E243D1"/>
    <w:rsid w:val="00E30B43"/>
    <w:rsid w:val="00E30C67"/>
    <w:rsid w:val="00E31E04"/>
    <w:rsid w:val="00E3521B"/>
    <w:rsid w:val="00E354B5"/>
    <w:rsid w:val="00E4218F"/>
    <w:rsid w:val="00E42AAE"/>
    <w:rsid w:val="00E51B07"/>
    <w:rsid w:val="00E5208E"/>
    <w:rsid w:val="00E5292E"/>
    <w:rsid w:val="00E54EF3"/>
    <w:rsid w:val="00E572DD"/>
    <w:rsid w:val="00E620A2"/>
    <w:rsid w:val="00E63709"/>
    <w:rsid w:val="00E7036E"/>
    <w:rsid w:val="00E81A60"/>
    <w:rsid w:val="00E8666A"/>
    <w:rsid w:val="00E90E22"/>
    <w:rsid w:val="00E91AD3"/>
    <w:rsid w:val="00EA4074"/>
    <w:rsid w:val="00EA7916"/>
    <w:rsid w:val="00EC034C"/>
    <w:rsid w:val="00EC5F22"/>
    <w:rsid w:val="00ED70C6"/>
    <w:rsid w:val="00EE1054"/>
    <w:rsid w:val="00EE566F"/>
    <w:rsid w:val="00EE7098"/>
    <w:rsid w:val="00EF5572"/>
    <w:rsid w:val="00EF7CF1"/>
    <w:rsid w:val="00F00FD3"/>
    <w:rsid w:val="00F0255D"/>
    <w:rsid w:val="00F05CAF"/>
    <w:rsid w:val="00F10F7F"/>
    <w:rsid w:val="00F12399"/>
    <w:rsid w:val="00F138CE"/>
    <w:rsid w:val="00F138F5"/>
    <w:rsid w:val="00F21410"/>
    <w:rsid w:val="00F23FB9"/>
    <w:rsid w:val="00F258A4"/>
    <w:rsid w:val="00F32FF9"/>
    <w:rsid w:val="00F341F1"/>
    <w:rsid w:val="00F356C6"/>
    <w:rsid w:val="00F3730C"/>
    <w:rsid w:val="00F4722D"/>
    <w:rsid w:val="00F47F25"/>
    <w:rsid w:val="00F55264"/>
    <w:rsid w:val="00F6139D"/>
    <w:rsid w:val="00F6321F"/>
    <w:rsid w:val="00F64F1C"/>
    <w:rsid w:val="00F65300"/>
    <w:rsid w:val="00F6793F"/>
    <w:rsid w:val="00F67DD7"/>
    <w:rsid w:val="00F7291B"/>
    <w:rsid w:val="00F730B5"/>
    <w:rsid w:val="00F7738F"/>
    <w:rsid w:val="00F81F87"/>
    <w:rsid w:val="00F82BA0"/>
    <w:rsid w:val="00F87B27"/>
    <w:rsid w:val="00F96556"/>
    <w:rsid w:val="00F978E1"/>
    <w:rsid w:val="00F979A1"/>
    <w:rsid w:val="00FA0E4E"/>
    <w:rsid w:val="00FA13ED"/>
    <w:rsid w:val="00FA5163"/>
    <w:rsid w:val="00FA6780"/>
    <w:rsid w:val="00FB0828"/>
    <w:rsid w:val="00FB40DE"/>
    <w:rsid w:val="00FC260F"/>
    <w:rsid w:val="00FC572C"/>
    <w:rsid w:val="00FD2EB3"/>
    <w:rsid w:val="00FD41F7"/>
    <w:rsid w:val="00FD430A"/>
    <w:rsid w:val="00FD5843"/>
    <w:rsid w:val="00FD6244"/>
    <w:rsid w:val="00FE09CE"/>
    <w:rsid w:val="00FE6216"/>
    <w:rsid w:val="00FF3278"/>
    <w:rsid w:val="00FF4CE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2654F"/>
  <w15:chartTrackingRefBased/>
  <w15:docId w15:val="{886CE0D3-C62E-40DE-BBB9-EA3C9C4B2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2D0A6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2D0A6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2D0A66"/>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2D0A66"/>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2D0A66"/>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2D0A6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2D0A6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2D0A6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2D0A6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D0A66"/>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2D0A66"/>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2D0A66"/>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2D0A66"/>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2D0A66"/>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2D0A6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2D0A6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2D0A6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2D0A66"/>
    <w:rPr>
      <w:rFonts w:eastAsiaTheme="majorEastAsia" w:cstheme="majorBidi"/>
      <w:color w:val="272727" w:themeColor="text1" w:themeTint="D8"/>
    </w:rPr>
  </w:style>
  <w:style w:type="paragraph" w:styleId="Titre">
    <w:name w:val="Title"/>
    <w:basedOn w:val="Normal"/>
    <w:next w:val="Normal"/>
    <w:link w:val="TitreCar"/>
    <w:uiPriority w:val="10"/>
    <w:qFormat/>
    <w:rsid w:val="002D0A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D0A6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D0A66"/>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D0A6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D0A66"/>
    <w:pPr>
      <w:spacing w:before="160"/>
      <w:jc w:val="center"/>
    </w:pPr>
    <w:rPr>
      <w:i/>
      <w:iCs/>
      <w:color w:val="404040" w:themeColor="text1" w:themeTint="BF"/>
    </w:rPr>
  </w:style>
  <w:style w:type="character" w:customStyle="1" w:styleId="CitationCar">
    <w:name w:val="Citation Car"/>
    <w:basedOn w:val="Policepardfaut"/>
    <w:link w:val="Citation"/>
    <w:uiPriority w:val="29"/>
    <w:rsid w:val="002D0A66"/>
    <w:rPr>
      <w:i/>
      <w:iCs/>
      <w:color w:val="404040" w:themeColor="text1" w:themeTint="BF"/>
    </w:rPr>
  </w:style>
  <w:style w:type="paragraph" w:styleId="Paragraphedeliste">
    <w:name w:val="List Paragraph"/>
    <w:basedOn w:val="Normal"/>
    <w:uiPriority w:val="34"/>
    <w:qFormat/>
    <w:rsid w:val="002D0A66"/>
    <w:pPr>
      <w:ind w:left="720"/>
      <w:contextualSpacing/>
    </w:pPr>
  </w:style>
  <w:style w:type="character" w:styleId="Accentuationintense">
    <w:name w:val="Intense Emphasis"/>
    <w:basedOn w:val="Policepardfaut"/>
    <w:uiPriority w:val="21"/>
    <w:qFormat/>
    <w:rsid w:val="002D0A66"/>
    <w:rPr>
      <w:i/>
      <w:iCs/>
      <w:color w:val="2F5496" w:themeColor="accent1" w:themeShade="BF"/>
    </w:rPr>
  </w:style>
  <w:style w:type="paragraph" w:styleId="Citationintense">
    <w:name w:val="Intense Quote"/>
    <w:basedOn w:val="Normal"/>
    <w:next w:val="Normal"/>
    <w:link w:val="CitationintenseCar"/>
    <w:uiPriority w:val="30"/>
    <w:qFormat/>
    <w:rsid w:val="002D0A6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2D0A66"/>
    <w:rPr>
      <w:i/>
      <w:iCs/>
      <w:color w:val="2F5496" w:themeColor="accent1" w:themeShade="BF"/>
    </w:rPr>
  </w:style>
  <w:style w:type="character" w:styleId="Rfrenceintense">
    <w:name w:val="Intense Reference"/>
    <w:basedOn w:val="Policepardfaut"/>
    <w:uiPriority w:val="32"/>
    <w:qFormat/>
    <w:rsid w:val="002D0A66"/>
    <w:rPr>
      <w:b/>
      <w:bCs/>
      <w:smallCaps/>
      <w:color w:val="2F5496" w:themeColor="accent1" w:themeShade="BF"/>
      <w:spacing w:val="5"/>
    </w:rPr>
  </w:style>
  <w:style w:type="paragraph" w:styleId="Notedebasdepage">
    <w:name w:val="footnote text"/>
    <w:basedOn w:val="Normal"/>
    <w:link w:val="NotedebasdepageCar"/>
    <w:uiPriority w:val="99"/>
    <w:semiHidden/>
    <w:unhideWhenUsed/>
    <w:rsid w:val="002D0A6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D0A66"/>
    <w:rPr>
      <w:sz w:val="20"/>
      <w:szCs w:val="20"/>
    </w:rPr>
  </w:style>
  <w:style w:type="character" w:styleId="Appelnotedebasdep">
    <w:name w:val="footnote reference"/>
    <w:basedOn w:val="Policepardfaut"/>
    <w:uiPriority w:val="99"/>
    <w:semiHidden/>
    <w:unhideWhenUsed/>
    <w:rsid w:val="002D0A66"/>
    <w:rPr>
      <w:vertAlign w:val="superscript"/>
    </w:rPr>
  </w:style>
  <w:style w:type="character" w:styleId="Marquedecommentaire">
    <w:name w:val="annotation reference"/>
    <w:basedOn w:val="Policepardfaut"/>
    <w:uiPriority w:val="99"/>
    <w:semiHidden/>
    <w:unhideWhenUsed/>
    <w:rsid w:val="00F6139D"/>
    <w:rPr>
      <w:sz w:val="16"/>
      <w:szCs w:val="16"/>
    </w:rPr>
  </w:style>
  <w:style w:type="paragraph" w:styleId="Commentaire">
    <w:name w:val="annotation text"/>
    <w:basedOn w:val="Normal"/>
    <w:link w:val="CommentaireCar"/>
    <w:uiPriority w:val="99"/>
    <w:unhideWhenUsed/>
    <w:rsid w:val="00F6139D"/>
    <w:pPr>
      <w:spacing w:line="240" w:lineRule="auto"/>
    </w:pPr>
    <w:rPr>
      <w:sz w:val="20"/>
      <w:szCs w:val="20"/>
    </w:rPr>
  </w:style>
  <w:style w:type="character" w:customStyle="1" w:styleId="CommentaireCar">
    <w:name w:val="Commentaire Car"/>
    <w:basedOn w:val="Policepardfaut"/>
    <w:link w:val="Commentaire"/>
    <w:uiPriority w:val="99"/>
    <w:rsid w:val="00F6139D"/>
    <w:rPr>
      <w:sz w:val="20"/>
      <w:szCs w:val="20"/>
    </w:rPr>
  </w:style>
  <w:style w:type="paragraph" w:styleId="Objetducommentaire">
    <w:name w:val="annotation subject"/>
    <w:basedOn w:val="Commentaire"/>
    <w:next w:val="Commentaire"/>
    <w:link w:val="ObjetducommentaireCar"/>
    <w:uiPriority w:val="99"/>
    <w:semiHidden/>
    <w:unhideWhenUsed/>
    <w:rsid w:val="00F6139D"/>
    <w:rPr>
      <w:b/>
      <w:bCs/>
    </w:rPr>
  </w:style>
  <w:style w:type="character" w:customStyle="1" w:styleId="ObjetducommentaireCar">
    <w:name w:val="Objet du commentaire Car"/>
    <w:basedOn w:val="CommentaireCar"/>
    <w:link w:val="Objetducommentaire"/>
    <w:uiPriority w:val="99"/>
    <w:semiHidden/>
    <w:rsid w:val="00F6139D"/>
    <w:rPr>
      <w:b/>
      <w:bCs/>
      <w:sz w:val="20"/>
      <w:szCs w:val="20"/>
    </w:rPr>
  </w:style>
  <w:style w:type="paragraph" w:styleId="Bibliographie">
    <w:name w:val="Bibliography"/>
    <w:basedOn w:val="Normal"/>
    <w:next w:val="Normal"/>
    <w:uiPriority w:val="37"/>
    <w:unhideWhenUsed/>
    <w:rsid w:val="00713CA9"/>
  </w:style>
  <w:style w:type="paragraph" w:styleId="Rvision">
    <w:name w:val="Revision"/>
    <w:hidden/>
    <w:uiPriority w:val="99"/>
    <w:semiHidden/>
    <w:rsid w:val="003D3C9E"/>
    <w:pPr>
      <w:spacing w:after="0" w:line="240" w:lineRule="auto"/>
    </w:pPr>
  </w:style>
  <w:style w:type="paragraph" w:styleId="Textedebulles">
    <w:name w:val="Balloon Text"/>
    <w:basedOn w:val="Normal"/>
    <w:link w:val="TextedebullesCar"/>
    <w:uiPriority w:val="99"/>
    <w:semiHidden/>
    <w:unhideWhenUsed/>
    <w:rsid w:val="003D3C9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D3C9E"/>
    <w:rPr>
      <w:rFonts w:ascii="Segoe UI" w:hAnsi="Segoe UI" w:cs="Segoe UI"/>
      <w:sz w:val="18"/>
      <w:szCs w:val="18"/>
    </w:rPr>
  </w:style>
  <w:style w:type="character" w:styleId="Lienhypertexte">
    <w:name w:val="Hyperlink"/>
    <w:basedOn w:val="Policepardfaut"/>
    <w:uiPriority w:val="99"/>
    <w:unhideWhenUsed/>
    <w:rsid w:val="003D3C9E"/>
    <w:rPr>
      <w:color w:val="0563C1" w:themeColor="hyperlink"/>
      <w:u w:val="single"/>
    </w:rPr>
  </w:style>
  <w:style w:type="character" w:styleId="Mentionnonrsolue">
    <w:name w:val="Unresolved Mention"/>
    <w:basedOn w:val="Policepardfaut"/>
    <w:uiPriority w:val="99"/>
    <w:semiHidden/>
    <w:unhideWhenUsed/>
    <w:rsid w:val="003D3C9E"/>
    <w:rPr>
      <w:color w:val="605E5C"/>
      <w:shd w:val="clear" w:color="auto" w:fill="E1DFDD"/>
    </w:rPr>
  </w:style>
  <w:style w:type="character" w:styleId="Accentuation">
    <w:name w:val="Emphasis"/>
    <w:basedOn w:val="Policepardfaut"/>
    <w:uiPriority w:val="20"/>
    <w:qFormat/>
    <w:rsid w:val="00EF7CF1"/>
    <w:rPr>
      <w:i/>
      <w:iCs/>
    </w:rPr>
  </w:style>
  <w:style w:type="paragraph" w:customStyle="1" w:styleId="notesbaspage">
    <w:name w:val="notesbaspage"/>
    <w:basedOn w:val="Normal"/>
    <w:rsid w:val="00F87B27"/>
    <w:pPr>
      <w:spacing w:before="100" w:beforeAutospacing="1" w:after="100" w:afterAutospacing="1" w:line="240" w:lineRule="auto"/>
    </w:pPr>
    <w:rPr>
      <w:rFonts w:ascii="Times New Roman" w:eastAsia="Times New Roman" w:hAnsi="Times New Roman" w:cs="Times New Roman"/>
      <w:kern w:val="0"/>
      <w:sz w:val="24"/>
      <w:szCs w:val="24"/>
      <w:lang w:eastAsia="fr-BE"/>
      <w14:ligatures w14:val="none"/>
    </w:rPr>
  </w:style>
  <w:style w:type="paragraph" w:styleId="En-tte">
    <w:name w:val="header"/>
    <w:basedOn w:val="Normal"/>
    <w:link w:val="En-tteCar"/>
    <w:uiPriority w:val="99"/>
    <w:unhideWhenUsed/>
    <w:rsid w:val="00396179"/>
    <w:pPr>
      <w:tabs>
        <w:tab w:val="center" w:pos="4536"/>
        <w:tab w:val="right" w:pos="9072"/>
      </w:tabs>
      <w:spacing w:after="0" w:line="240" w:lineRule="auto"/>
    </w:pPr>
  </w:style>
  <w:style w:type="character" w:customStyle="1" w:styleId="En-tteCar">
    <w:name w:val="En-tête Car"/>
    <w:basedOn w:val="Policepardfaut"/>
    <w:link w:val="En-tte"/>
    <w:uiPriority w:val="99"/>
    <w:rsid w:val="00396179"/>
  </w:style>
  <w:style w:type="paragraph" w:styleId="Pieddepage">
    <w:name w:val="footer"/>
    <w:basedOn w:val="Normal"/>
    <w:link w:val="PieddepageCar"/>
    <w:uiPriority w:val="99"/>
    <w:unhideWhenUsed/>
    <w:rsid w:val="0039617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961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5254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DE129B174670A428C7A0DFBFBE1FEB0" ma:contentTypeVersion="16" ma:contentTypeDescription="Crée un document." ma:contentTypeScope="" ma:versionID="08f3b17d844595d1cf44ea16b57685a5">
  <xsd:schema xmlns:xsd="http://www.w3.org/2001/XMLSchema" xmlns:xs="http://www.w3.org/2001/XMLSchema" xmlns:p="http://schemas.microsoft.com/office/2006/metadata/properties" xmlns:ns3="0890d196-6276-4e2a-92e1-d39673ae469e" xmlns:ns4="bfb99935-0b09-45dd-b2bb-aa1bf9a4bf32" targetNamespace="http://schemas.microsoft.com/office/2006/metadata/properties" ma:root="true" ma:fieldsID="dbf9f6a4373e90ff39940e31580cdcbf" ns3:_="" ns4:_="">
    <xsd:import namespace="0890d196-6276-4e2a-92e1-d39673ae469e"/>
    <xsd:import namespace="bfb99935-0b09-45dd-b2bb-aa1bf9a4bf32"/>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ServiceAutoTags" minOccurs="0"/>
                <xsd:element ref="ns3:MediaLengthInSeconds" minOccurs="0"/>
                <xsd:element ref="ns3:MediaServiceSearchProperties" minOccurs="0"/>
                <xsd:element ref="ns3:MediaServiceSystemTags" minOccurs="0"/>
                <xsd:element ref="ns3:MediaServiceGenerationTime" minOccurs="0"/>
                <xsd:element ref="ns3:MediaServiceEventHashCode"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90d196-6276-4e2a-92e1-d39673ae46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b99935-0b09-45dd-b2bb-aa1bf9a4bf32" elementFormDefault="qualified">
    <xsd:import namespace="http://schemas.microsoft.com/office/2006/documentManagement/types"/>
    <xsd:import namespace="http://schemas.microsoft.com/office/infopath/2007/PartnerControls"/>
    <xsd:element name="SharedWithUsers" ma:index="11"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Partagé avec détails" ma:internalName="SharedWithDetails" ma:readOnly="true">
      <xsd:simpleType>
        <xsd:restriction base="dms:Note">
          <xsd:maxLength value="255"/>
        </xsd:restriction>
      </xsd:simpleType>
    </xsd:element>
    <xsd:element name="SharingHintHash" ma:index="13"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0890d196-6276-4e2a-92e1-d39673ae469e" xsi:nil="true"/>
  </documentManagement>
</p:properties>
</file>

<file path=customXml/itemProps1.xml><?xml version="1.0" encoding="utf-8"?>
<ds:datastoreItem xmlns:ds="http://schemas.openxmlformats.org/officeDocument/2006/customXml" ds:itemID="{C4550A54-554A-4C37-A1C9-85DC8E623F31}">
  <ds:schemaRefs>
    <ds:schemaRef ds:uri="http://schemas.microsoft.com/sharepoint/v3/contenttype/forms"/>
  </ds:schemaRefs>
</ds:datastoreItem>
</file>

<file path=customXml/itemProps2.xml><?xml version="1.0" encoding="utf-8"?>
<ds:datastoreItem xmlns:ds="http://schemas.openxmlformats.org/officeDocument/2006/customXml" ds:itemID="{A0DBC013-98C4-4BEF-8886-F4698D8FC6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90d196-6276-4e2a-92e1-d39673ae469e"/>
    <ds:schemaRef ds:uri="bfb99935-0b09-45dd-b2bb-aa1bf9a4bf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33C36D-CBEE-445B-B1B1-399BA89CDBDE}">
  <ds:schemaRefs>
    <ds:schemaRef ds:uri="http://schemas.openxmlformats.org/officeDocument/2006/bibliography"/>
  </ds:schemaRefs>
</ds:datastoreItem>
</file>

<file path=customXml/itemProps4.xml><?xml version="1.0" encoding="utf-8"?>
<ds:datastoreItem xmlns:ds="http://schemas.openxmlformats.org/officeDocument/2006/customXml" ds:itemID="{2AA0053D-244C-4802-8E1E-6C94696D42CE}">
  <ds:schemaRefs>
    <ds:schemaRef ds:uri="http://schemas.microsoft.com/office/2006/metadata/properties"/>
    <ds:schemaRef ds:uri="http://schemas.microsoft.com/office/infopath/2007/PartnerControls"/>
    <ds:schemaRef ds:uri="0890d196-6276-4e2a-92e1-d39673ae469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12016</Words>
  <Characters>62123</Characters>
  <Application>Microsoft Office Word</Application>
  <DocSecurity>0</DocSecurity>
  <Lines>900</Lines>
  <Paragraphs>219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Baudouin de Guillebon</dc:creator>
  <cp:keywords/>
  <dc:description/>
  <cp:lastModifiedBy>Baudouin de Guillebon</cp:lastModifiedBy>
  <cp:revision>2</cp:revision>
  <dcterms:created xsi:type="dcterms:W3CDTF">2025-12-04T15:13:00Z</dcterms:created>
  <dcterms:modified xsi:type="dcterms:W3CDTF">2025-12-04T15:13:00Z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id="xVyAaBpM"/&gt;&lt;style id="http://www.zotero.org/styles/uclouvain-centre-charles-de-visscher-pour-le-droit-international-et-europeen" hasBibliography="1" bibliographyStyleHasBeenSet="1"/&gt;&lt;prefs&gt;&lt;pref </vt:lpwstr>
  </property>
  <property fmtid="{D5CDD505-2E9C-101B-9397-08002B2CF9AE}" pid="3" name="ZOTERO_PREF_2">
    <vt:lpwstr>name="fieldType" value="Field"/&gt;&lt;pref name="noteType" value="1"/&gt;&lt;/prefs&gt;&lt;/data&gt;</vt:lpwstr>
  </property>
  <property fmtid="{D5CDD505-2E9C-101B-9397-08002B2CF9AE}" pid="4" name="ContentTypeId">
    <vt:lpwstr>0x0101007DE129B174670A428C7A0DFBFBE1FEB0</vt:lpwstr>
  </property>
</Properties>
</file>