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036951" w14:textId="77777777" w:rsidR="008D7994" w:rsidRPr="00335F51" w:rsidRDefault="008D7994" w:rsidP="008D7994">
      <w:pPr>
        <w:rPr>
          <w:rFonts w:ascii="Garamond" w:hAnsi="Garamond" w:cs="Times New Roman"/>
          <w:b/>
          <w:bCs/>
        </w:rPr>
      </w:pPr>
      <w:r w:rsidRPr="00335F51">
        <w:rPr>
          <w:rFonts w:ascii="Garamond" w:hAnsi="Garamond" w:cs="Times New Roman"/>
          <w:b/>
          <w:bCs/>
        </w:rPr>
        <w:t xml:space="preserve">Synodality </w:t>
      </w:r>
      <w:r w:rsidRPr="00335F51">
        <w:rPr>
          <w:rFonts w:ascii="Garamond" w:hAnsi="Garamond" w:cs="Times New Roman"/>
          <w:b/>
          <w:bCs/>
          <w:i/>
          <w:iCs/>
        </w:rPr>
        <w:t>in</w:t>
      </w:r>
      <w:r w:rsidRPr="00335F51">
        <w:rPr>
          <w:rFonts w:ascii="Garamond" w:hAnsi="Garamond" w:cs="Times New Roman"/>
          <w:b/>
          <w:bCs/>
        </w:rPr>
        <w:t xml:space="preserve"> the Church or Synodality </w:t>
      </w:r>
      <w:r w:rsidRPr="00335F51">
        <w:rPr>
          <w:rFonts w:ascii="Garamond" w:hAnsi="Garamond" w:cs="Times New Roman"/>
          <w:b/>
          <w:bCs/>
          <w:i/>
          <w:iCs/>
        </w:rPr>
        <w:t>of</w:t>
      </w:r>
      <w:r w:rsidRPr="00335F51">
        <w:rPr>
          <w:rFonts w:ascii="Garamond" w:hAnsi="Garamond" w:cs="Times New Roman"/>
          <w:b/>
          <w:bCs/>
        </w:rPr>
        <w:t xml:space="preserve"> the Church: </w:t>
      </w:r>
    </w:p>
    <w:p w14:paraId="6ADB81E0" w14:textId="561782D8" w:rsidR="008D7994" w:rsidRPr="00FB47FC" w:rsidRDefault="008D7994" w:rsidP="008D7994">
      <w:pPr>
        <w:rPr>
          <w:rFonts w:ascii="Garamond" w:hAnsi="Garamond" w:cs="Times New Roman"/>
        </w:rPr>
      </w:pPr>
      <w:r w:rsidRPr="00335F51">
        <w:rPr>
          <w:rFonts w:ascii="Garamond" w:hAnsi="Garamond" w:cs="Times New Roman"/>
        </w:rPr>
        <w:t>An Ecclesiological Quest through the Fathers to Present</w:t>
      </w:r>
      <w:r w:rsidRPr="00FB47FC">
        <w:rPr>
          <w:rFonts w:ascii="Garamond" w:hAnsi="Garamond" w:cs="Times New Roman"/>
        </w:rPr>
        <w:t xml:space="preserve"> </w:t>
      </w:r>
    </w:p>
    <w:p w14:paraId="021265F7" w14:textId="77777777" w:rsidR="008D7994" w:rsidRPr="00FB47FC" w:rsidRDefault="008D7994" w:rsidP="008D7994">
      <w:pPr>
        <w:rPr>
          <w:rFonts w:ascii="Garamond" w:hAnsi="Garamond" w:cs="Times New Roman"/>
        </w:rPr>
      </w:pPr>
    </w:p>
    <w:p w14:paraId="16DE6450" w14:textId="77777777" w:rsidR="008D7994" w:rsidRPr="002934DC" w:rsidRDefault="008D7994" w:rsidP="008D7994">
      <w:pPr>
        <w:rPr>
          <w:rFonts w:ascii="Garamond" w:hAnsi="Garamond" w:cs="Times New Roman"/>
          <w:b/>
          <w:bCs/>
        </w:rPr>
      </w:pPr>
      <w:r w:rsidRPr="002934DC">
        <w:rPr>
          <w:rFonts w:ascii="Garamond" w:hAnsi="Garamond" w:cs="Times New Roman"/>
          <w:b/>
          <w:bCs/>
        </w:rPr>
        <w:t>Abstract</w:t>
      </w:r>
    </w:p>
    <w:p w14:paraId="6CBB11A7" w14:textId="77777777" w:rsidR="008D7994" w:rsidRPr="00FB47FC" w:rsidRDefault="008D7994" w:rsidP="008D7994">
      <w:pPr>
        <w:rPr>
          <w:rFonts w:ascii="Garamond" w:hAnsi="Garamond" w:cs="Times New Roman"/>
        </w:rPr>
      </w:pPr>
    </w:p>
    <w:p w14:paraId="5FA1142D" w14:textId="7B31BC15" w:rsidR="008D7994" w:rsidRPr="00FB47FC" w:rsidRDefault="008D7994" w:rsidP="008D7994">
      <w:pPr>
        <w:rPr>
          <w:rFonts w:ascii="Garamond" w:hAnsi="Garamond" w:cs="Times New Roman"/>
        </w:rPr>
      </w:pPr>
      <w:r w:rsidRPr="000E06CB">
        <w:rPr>
          <w:rFonts w:ascii="Garamond" w:hAnsi="Garamond" w:cs="Times New Roman"/>
        </w:rPr>
        <w:t>In recent times, much has been said about the ecclesiological concept of synodality with the climax marked by the three-year Synod on Synodality (2021-2024). Yet the occasion of the 1700th anniversary of the First Ecumenical Council of Nicaea provides another opportunity to examine the concept of synodality upon which the Council could be better understood, both historically and theologically. But then, the Council shades light not only upon itself but on the Fathers, whose study provide better understanding of the development and praxis of synodality. Within this broader framework, I embark on an ecclesiological quest that is addressed to the present reality of being a synodal church</w:t>
      </w:r>
      <w:r w:rsidRPr="00FB47FC">
        <w:rPr>
          <w:rFonts w:ascii="Garamond" w:hAnsi="Garamond" w:cs="Times New Roman"/>
        </w:rPr>
        <w:t xml:space="preserve">. Being a synodal </w:t>
      </w:r>
      <w:r>
        <w:rPr>
          <w:rFonts w:ascii="Garamond" w:hAnsi="Garamond" w:cs="Times New Roman"/>
        </w:rPr>
        <w:t>c</w:t>
      </w:r>
      <w:r w:rsidRPr="00FB47FC">
        <w:rPr>
          <w:rFonts w:ascii="Garamond" w:hAnsi="Garamond" w:cs="Times New Roman"/>
        </w:rPr>
        <w:t>hurch in the shadows of the Council of Nicaea and of the Fathers raises the question of whether a historical, ecclessiological understan</w:t>
      </w:r>
      <w:r>
        <w:rPr>
          <w:rFonts w:ascii="Garamond" w:hAnsi="Garamond" w:cs="Times New Roman"/>
        </w:rPr>
        <w:t>d</w:t>
      </w:r>
      <w:r w:rsidRPr="00FB47FC">
        <w:rPr>
          <w:rFonts w:ascii="Garamond" w:hAnsi="Garamond" w:cs="Times New Roman"/>
        </w:rPr>
        <w:t xml:space="preserve">ing of the concept of synodality would lead us to a ‘synodality </w:t>
      </w:r>
      <w:r w:rsidRPr="00FB47FC">
        <w:rPr>
          <w:rFonts w:ascii="Garamond" w:hAnsi="Garamond" w:cs="Times New Roman"/>
          <w:i/>
          <w:iCs/>
        </w:rPr>
        <w:t>in</w:t>
      </w:r>
      <w:r w:rsidRPr="00FB47FC">
        <w:rPr>
          <w:rFonts w:ascii="Garamond" w:hAnsi="Garamond" w:cs="Times New Roman"/>
        </w:rPr>
        <w:t xml:space="preserve"> the </w:t>
      </w:r>
      <w:r>
        <w:rPr>
          <w:rFonts w:ascii="Garamond" w:hAnsi="Garamond" w:cs="Times New Roman"/>
        </w:rPr>
        <w:t>c</w:t>
      </w:r>
      <w:r w:rsidRPr="00FB47FC">
        <w:rPr>
          <w:rFonts w:ascii="Garamond" w:hAnsi="Garamond" w:cs="Times New Roman"/>
        </w:rPr>
        <w:t xml:space="preserve">hurch’ or a ‘synodality </w:t>
      </w:r>
      <w:r w:rsidRPr="00FB47FC">
        <w:rPr>
          <w:rFonts w:ascii="Garamond" w:hAnsi="Garamond" w:cs="Times New Roman"/>
          <w:i/>
          <w:iCs/>
        </w:rPr>
        <w:t>of</w:t>
      </w:r>
      <w:r w:rsidRPr="00FB47FC">
        <w:rPr>
          <w:rFonts w:ascii="Garamond" w:hAnsi="Garamond" w:cs="Times New Roman"/>
        </w:rPr>
        <w:t xml:space="preserve"> the </w:t>
      </w:r>
      <w:r>
        <w:rPr>
          <w:rFonts w:ascii="Garamond" w:hAnsi="Garamond" w:cs="Times New Roman"/>
        </w:rPr>
        <w:t>c</w:t>
      </w:r>
      <w:r w:rsidRPr="00FB47FC">
        <w:rPr>
          <w:rFonts w:ascii="Garamond" w:hAnsi="Garamond" w:cs="Times New Roman"/>
        </w:rPr>
        <w:t>hurch’. I am compelled by this central question to a) investigate how the study of the Fathers could provide evidence for a differentiated participative structure of synodal praxis, and b) analyse the question of the synonymity of the church and synod which is taken from the Fathers into contemporary ecclesiolgical debates</w:t>
      </w:r>
      <w:r>
        <w:rPr>
          <w:rFonts w:ascii="Garamond" w:hAnsi="Garamond" w:cs="Times New Roman"/>
        </w:rPr>
        <w:t>, particularly by Hans Küng</w:t>
      </w:r>
      <w:r w:rsidRPr="00FB47FC">
        <w:rPr>
          <w:rFonts w:ascii="Garamond" w:hAnsi="Garamond" w:cs="Times New Roman"/>
        </w:rPr>
        <w:t xml:space="preserve">. The objective of this search is to better understand how the patristic sources on the subject matter opens up to a contemporary insistence on understanding synodality as a ‘way of being’ </w:t>
      </w:r>
      <w:r>
        <w:rPr>
          <w:rFonts w:ascii="Garamond" w:hAnsi="Garamond" w:cs="Times New Roman"/>
        </w:rPr>
        <w:t>c</w:t>
      </w:r>
      <w:r w:rsidRPr="00FB47FC">
        <w:rPr>
          <w:rFonts w:ascii="Garamond" w:hAnsi="Garamond" w:cs="Times New Roman"/>
        </w:rPr>
        <w:t xml:space="preserve">hurch rather than </w:t>
      </w:r>
      <w:r>
        <w:rPr>
          <w:rFonts w:ascii="Garamond" w:hAnsi="Garamond" w:cs="Times New Roman"/>
        </w:rPr>
        <w:t xml:space="preserve">a title for a series of </w:t>
      </w:r>
      <w:r w:rsidRPr="00FB47FC">
        <w:rPr>
          <w:rFonts w:ascii="Garamond" w:hAnsi="Garamond" w:cs="Times New Roman"/>
        </w:rPr>
        <w:t>periodic events in the church only aimed a</w:t>
      </w:r>
      <w:r>
        <w:rPr>
          <w:rFonts w:ascii="Garamond" w:hAnsi="Garamond" w:cs="Times New Roman"/>
        </w:rPr>
        <w:t>t</w:t>
      </w:r>
      <w:r w:rsidRPr="00FB47FC">
        <w:rPr>
          <w:rFonts w:ascii="Garamond" w:hAnsi="Garamond" w:cs="Times New Roman"/>
        </w:rPr>
        <w:t xml:space="preserve"> making structural changes. </w:t>
      </w:r>
    </w:p>
    <w:p w14:paraId="418FDA63" w14:textId="77777777" w:rsidR="008D7994" w:rsidRPr="00FB47FC" w:rsidRDefault="008D7994" w:rsidP="008D7994">
      <w:pPr>
        <w:rPr>
          <w:rFonts w:ascii="Garamond" w:hAnsi="Garamond" w:cs="Times New Roman"/>
        </w:rPr>
      </w:pPr>
    </w:p>
    <w:p w14:paraId="46B9F237" w14:textId="77777777" w:rsidR="008D7994" w:rsidRPr="00FB47FC" w:rsidRDefault="008D7994" w:rsidP="008D7994">
      <w:pPr>
        <w:rPr>
          <w:rFonts w:ascii="Garamond" w:hAnsi="Garamond" w:cs="Times New Roman"/>
        </w:rPr>
      </w:pPr>
    </w:p>
    <w:p w14:paraId="288956D4" w14:textId="77777777" w:rsidR="008D7994" w:rsidRPr="002934DC" w:rsidRDefault="008D7994" w:rsidP="008D7994">
      <w:pPr>
        <w:rPr>
          <w:rFonts w:ascii="Garamond" w:hAnsi="Garamond" w:cs="Times New Roman"/>
          <w:b/>
          <w:bCs/>
        </w:rPr>
      </w:pPr>
      <w:r w:rsidRPr="002934DC">
        <w:rPr>
          <w:rFonts w:ascii="Garamond" w:hAnsi="Garamond" w:cs="Times New Roman"/>
          <w:b/>
          <w:bCs/>
        </w:rPr>
        <w:t xml:space="preserve">The Many </w:t>
      </w:r>
      <w:r w:rsidRPr="00335F51">
        <w:rPr>
          <w:rFonts w:ascii="Garamond" w:hAnsi="Garamond" w:cs="Times New Roman"/>
          <w:b/>
          <w:bCs/>
        </w:rPr>
        <w:t>Voices of the Fathers: ‘Synodality’, ‘Conciliarity’, ‘Collegiality’</w:t>
      </w:r>
    </w:p>
    <w:p w14:paraId="37D4DD9B" w14:textId="77777777" w:rsidR="008D7994" w:rsidRDefault="008D7994" w:rsidP="008D7994">
      <w:pPr>
        <w:rPr>
          <w:rFonts w:ascii="Garamond" w:hAnsi="Garamond" w:cs="Times New Roman"/>
        </w:rPr>
      </w:pPr>
    </w:p>
    <w:p w14:paraId="14929ABE" w14:textId="43F9CEC3" w:rsidR="008D7994" w:rsidRPr="00FB47FC" w:rsidRDefault="008D7994" w:rsidP="008D7994">
      <w:pPr>
        <w:rPr>
          <w:rFonts w:ascii="Garamond" w:hAnsi="Garamond" w:cs="Times New Roman"/>
        </w:rPr>
      </w:pPr>
      <w:r>
        <w:rPr>
          <w:rFonts w:ascii="Garamond" w:hAnsi="Garamond" w:cs="Times New Roman"/>
        </w:rPr>
        <w:t>From the NT and OT study of synodality the two paradigms of the ‘synodality in the church’ and ‘synodality of the church’ emerge, the former in the collegial pattern of leadership, and the other in the lived experience of believers</w:t>
      </w:r>
      <w:r w:rsidR="00D717CB">
        <w:rPr>
          <w:rFonts w:ascii="Garamond" w:hAnsi="Garamond" w:cs="Times New Roman"/>
        </w:rPr>
        <w:t xml:space="preserve"> (whether Israelites or early Christians).</w:t>
      </w:r>
    </w:p>
    <w:p w14:paraId="7255FD7B" w14:textId="77777777" w:rsidR="00D717CB" w:rsidRDefault="00D717CB" w:rsidP="008D7994">
      <w:pPr>
        <w:rPr>
          <w:rFonts w:ascii="Garamond" w:hAnsi="Garamond" w:cs="Times New Roman"/>
        </w:rPr>
      </w:pPr>
    </w:p>
    <w:p w14:paraId="7C464DEF" w14:textId="56A26DF0" w:rsidR="008D7994" w:rsidRPr="00FB47FC" w:rsidRDefault="008D7994" w:rsidP="008D7994">
      <w:pPr>
        <w:rPr>
          <w:rFonts w:ascii="Garamond" w:hAnsi="Garamond" w:cs="Times New Roman"/>
        </w:rPr>
      </w:pPr>
      <w:r w:rsidRPr="00FB47FC">
        <w:rPr>
          <w:rFonts w:ascii="Garamond" w:hAnsi="Garamond" w:cs="Times New Roman"/>
        </w:rPr>
        <w:t>Within the early Church, synodality took the form of conciliar practices that dealt with the challenge of maintaining unity in the church</w:t>
      </w:r>
      <w:r>
        <w:rPr>
          <w:rFonts w:ascii="Garamond" w:hAnsi="Garamond" w:cs="Times New Roman"/>
        </w:rPr>
        <w:t>, favouring the paradigm of ‘synodality in the church’</w:t>
      </w:r>
      <w:r w:rsidRPr="00FB47FC">
        <w:rPr>
          <w:rFonts w:ascii="Garamond" w:hAnsi="Garamond" w:cs="Times New Roman"/>
        </w:rPr>
        <w:t xml:space="preserve">. </w:t>
      </w:r>
      <w:r w:rsidR="00D717CB">
        <w:rPr>
          <w:rFonts w:ascii="Garamond" w:hAnsi="Garamond" w:cs="Times New Roman"/>
        </w:rPr>
        <w:t>W</w:t>
      </w:r>
      <w:r w:rsidR="00D717CB" w:rsidRPr="00FB47FC">
        <w:rPr>
          <w:rFonts w:ascii="Garamond" w:hAnsi="Garamond" w:cs="Times New Roman"/>
        </w:rPr>
        <w:t>ithin this historical epoch</w:t>
      </w:r>
      <w:r w:rsidR="00D717CB">
        <w:rPr>
          <w:rFonts w:ascii="Garamond" w:hAnsi="Garamond" w:cs="Times New Roman"/>
        </w:rPr>
        <w:t>,</w:t>
      </w:r>
      <w:r w:rsidR="00D717CB" w:rsidRPr="00FB47FC">
        <w:rPr>
          <w:rFonts w:ascii="Garamond" w:hAnsi="Garamond" w:cs="Times New Roman"/>
        </w:rPr>
        <w:t xml:space="preserve"> </w:t>
      </w:r>
      <w:r w:rsidRPr="00FB47FC">
        <w:rPr>
          <w:rFonts w:ascii="Garamond" w:hAnsi="Garamond" w:cs="Times New Roman"/>
        </w:rPr>
        <w:t xml:space="preserve">the understanding of ‘Synod’ or ‘Council’ could be applied interchangeably. It was the time of the development of the ‘monarchical episcopacy’, first exemplified in </w:t>
      </w:r>
      <w:r w:rsidRPr="00335F51">
        <w:rPr>
          <w:rFonts w:ascii="Garamond" w:hAnsi="Garamond" w:cs="Times New Roman"/>
        </w:rPr>
        <w:t>Ignatius of Antioch</w:t>
      </w:r>
      <w:r w:rsidRPr="00FB47FC">
        <w:rPr>
          <w:rFonts w:ascii="Garamond" w:hAnsi="Garamond" w:cs="Times New Roman"/>
        </w:rPr>
        <w:t xml:space="preserve">. Yet there are records that show that Ignatius was in contact with other bishops. However, the question of whether the bishops met in some form of council was not evident in the writings of the Greek Fathers. From three of Ignatius’ epistles, one finds </w:t>
      </w:r>
      <w:r w:rsidRPr="004044DC">
        <w:rPr>
          <w:rFonts w:ascii="Garamond" w:hAnsi="Garamond" w:cs="Times New Roman"/>
          <w:u w:val="single"/>
        </w:rPr>
        <w:t>three references</w:t>
      </w:r>
      <w:r w:rsidRPr="00FB47FC">
        <w:rPr>
          <w:rFonts w:ascii="Garamond" w:hAnsi="Garamond" w:cs="Times New Roman"/>
        </w:rPr>
        <w:t xml:space="preserve"> to a form of ‘council’. </w:t>
      </w:r>
      <w:r w:rsidRPr="00335F51">
        <w:rPr>
          <w:rFonts w:ascii="Garamond" w:hAnsi="Garamond" w:cs="Times New Roman"/>
        </w:rPr>
        <w:t xml:space="preserve">In the </w:t>
      </w:r>
      <w:r w:rsidRPr="00335F51">
        <w:rPr>
          <w:rFonts w:ascii="Garamond" w:hAnsi="Garamond" w:cs="Times New Roman"/>
          <w:i/>
        </w:rPr>
        <w:t>Epistle to the Trallians</w:t>
      </w:r>
      <w:r w:rsidRPr="00335F51">
        <w:rPr>
          <w:rFonts w:ascii="Garamond" w:hAnsi="Garamond" w:cs="Times New Roman"/>
        </w:rPr>
        <w:t xml:space="preserve"> 3, Ignatius refers to the “council of God” (</w:t>
      </w:r>
      <w:r w:rsidRPr="00335F51">
        <w:rPr>
          <w:rFonts w:ascii="Garamond" w:hAnsi="Garamond" w:cs="Times New Roman"/>
          <w:i/>
        </w:rPr>
        <w:t>synedrion theou</w:t>
      </w:r>
      <w:r w:rsidRPr="00335F51">
        <w:rPr>
          <w:rFonts w:ascii="Garamond" w:hAnsi="Garamond" w:cs="Times New Roman"/>
        </w:rPr>
        <w:t>)</w:t>
      </w:r>
      <w:r w:rsidRPr="00FB47FC">
        <w:rPr>
          <w:rFonts w:ascii="Garamond" w:hAnsi="Garamond" w:cs="Times New Roman"/>
        </w:rPr>
        <w:t>.</w:t>
      </w:r>
      <w:r w:rsidRPr="00FB47FC">
        <w:rPr>
          <w:rStyle w:val="FootnoteReference"/>
          <w:rFonts w:ascii="Garamond" w:hAnsi="Garamond" w:cs="Times New Roman"/>
        </w:rPr>
        <w:footnoteReference w:id="1"/>
      </w:r>
      <w:r w:rsidRPr="00FB47FC">
        <w:rPr>
          <w:rFonts w:ascii="Garamond" w:hAnsi="Garamond" w:cs="Times New Roman"/>
        </w:rPr>
        <w:t xml:space="preserve"> In the same line, Ignatius also refers to </w:t>
      </w:r>
      <w:r w:rsidRPr="00335F51">
        <w:rPr>
          <w:rFonts w:ascii="Garamond" w:hAnsi="Garamond" w:cs="Times New Roman"/>
        </w:rPr>
        <w:t>a “band of the apostles” (</w:t>
      </w:r>
      <w:r w:rsidRPr="00335F51">
        <w:rPr>
          <w:rFonts w:ascii="Garamond" w:hAnsi="Garamond" w:cs="Times New Roman"/>
          <w:i/>
        </w:rPr>
        <w:t>syndesmon apostolon</w:t>
      </w:r>
      <w:r w:rsidRPr="00335F51">
        <w:rPr>
          <w:rFonts w:ascii="Garamond" w:hAnsi="Garamond" w:cs="Times New Roman"/>
        </w:rPr>
        <w:t>)</w:t>
      </w:r>
      <w:r w:rsidRPr="00FB47FC">
        <w:rPr>
          <w:rFonts w:ascii="Garamond" w:hAnsi="Garamond" w:cs="Times New Roman"/>
        </w:rPr>
        <w:t xml:space="preserve"> also in the same sense of a ‘council’ (</w:t>
      </w:r>
      <w:r w:rsidRPr="00FB47FC">
        <w:rPr>
          <w:rFonts w:ascii="Garamond" w:hAnsi="Garamond" w:cs="Times New Roman"/>
          <w:i/>
        </w:rPr>
        <w:t>synedrion</w:t>
      </w:r>
      <w:r w:rsidRPr="00FB47FC">
        <w:rPr>
          <w:rFonts w:ascii="Garamond" w:hAnsi="Garamond" w:cs="Times New Roman"/>
        </w:rPr>
        <w:t xml:space="preserve">), and this is connected to his definition of </w:t>
      </w:r>
      <w:r w:rsidRPr="00335F51">
        <w:rPr>
          <w:rFonts w:ascii="Garamond" w:hAnsi="Garamond" w:cs="Times New Roman"/>
        </w:rPr>
        <w:t>any assembly that is qualified to be called a Church (</w:t>
      </w:r>
      <w:r w:rsidRPr="00335F51">
        <w:rPr>
          <w:rFonts w:ascii="Garamond" w:hAnsi="Garamond" w:cs="Times New Roman"/>
          <w:i/>
        </w:rPr>
        <w:t>Choris touton ekklesia ou kaleitai</w:t>
      </w:r>
      <w:r w:rsidRPr="00335F51">
        <w:rPr>
          <w:rFonts w:ascii="Garamond" w:hAnsi="Garamond" w:cs="Times New Roman"/>
        </w:rPr>
        <w:t>).</w:t>
      </w:r>
      <w:r w:rsidRPr="00FB47FC">
        <w:rPr>
          <w:rFonts w:ascii="Garamond" w:hAnsi="Garamond" w:cs="Times New Roman"/>
        </w:rPr>
        <w:t xml:space="preserve"> Ecclesiologically, a council of a defined quality distinguishes a true Church </w:t>
      </w:r>
      <w:r w:rsidRPr="00335F51">
        <w:rPr>
          <w:rFonts w:ascii="Garamond" w:hAnsi="Garamond" w:cs="Times New Roman"/>
        </w:rPr>
        <w:t xml:space="preserve">from the various kinds of assemblies that were organized in various places at that time. In the </w:t>
      </w:r>
      <w:r w:rsidRPr="00335F51">
        <w:rPr>
          <w:rFonts w:ascii="Garamond" w:hAnsi="Garamond" w:cs="Times New Roman"/>
          <w:i/>
        </w:rPr>
        <w:t xml:space="preserve">Epistle to the Philadelphians </w:t>
      </w:r>
      <w:r w:rsidRPr="00335F51">
        <w:rPr>
          <w:rFonts w:ascii="Garamond" w:hAnsi="Garamond" w:cs="Times New Roman"/>
        </w:rPr>
        <w:t xml:space="preserve">8, </w:t>
      </w:r>
      <w:r w:rsidR="00D717CB" w:rsidRPr="00335F51">
        <w:rPr>
          <w:rFonts w:ascii="Garamond" w:hAnsi="Garamond" w:cs="Times New Roman"/>
        </w:rPr>
        <w:t>Ignatius</w:t>
      </w:r>
      <w:r w:rsidRPr="00335F51">
        <w:rPr>
          <w:rFonts w:ascii="Garamond" w:hAnsi="Garamond" w:cs="Times New Roman"/>
        </w:rPr>
        <w:t xml:space="preserve"> denounces division among the people, urged them to return to the unity of God (</w:t>
      </w:r>
      <w:r w:rsidRPr="00335F51">
        <w:rPr>
          <w:rFonts w:ascii="Garamond" w:hAnsi="Garamond" w:cs="Times New Roman"/>
          <w:i/>
        </w:rPr>
        <w:t>enoteta tou Theou</w:t>
      </w:r>
      <w:r w:rsidRPr="00335F51">
        <w:rPr>
          <w:rFonts w:ascii="Garamond" w:hAnsi="Garamond" w:cs="Times New Roman"/>
        </w:rPr>
        <w:t>) and to the “council of the bishop” (</w:t>
      </w:r>
      <w:r w:rsidRPr="00335F51">
        <w:rPr>
          <w:rFonts w:ascii="Garamond" w:hAnsi="Garamond" w:cs="Times New Roman"/>
          <w:i/>
        </w:rPr>
        <w:t>synedrion tou episkopou</w:t>
      </w:r>
      <w:r w:rsidRPr="00335F51">
        <w:rPr>
          <w:rFonts w:ascii="Garamond" w:hAnsi="Garamond" w:cs="Times New Roman"/>
        </w:rPr>
        <w:t>),</w:t>
      </w:r>
      <w:r w:rsidRPr="00FB47FC">
        <w:rPr>
          <w:rFonts w:ascii="Garamond" w:hAnsi="Garamond" w:cs="Times New Roman"/>
        </w:rPr>
        <w:t xml:space="preserve"> thus demonstrating how the episcopacy is linked to the unity of the Church.</w:t>
      </w:r>
      <w:r w:rsidRPr="00FB47FC">
        <w:rPr>
          <w:rStyle w:val="FootnoteReference"/>
          <w:rFonts w:ascii="Garamond" w:hAnsi="Garamond" w:cs="Times New Roman"/>
        </w:rPr>
        <w:footnoteReference w:id="2"/>
      </w:r>
      <w:r w:rsidRPr="00FB47FC">
        <w:rPr>
          <w:rFonts w:ascii="Garamond" w:hAnsi="Garamond" w:cs="Times New Roman"/>
        </w:rPr>
        <w:t xml:space="preserve"> Furthermore, in the </w:t>
      </w:r>
      <w:r w:rsidRPr="00335F51">
        <w:rPr>
          <w:rFonts w:ascii="Garamond" w:hAnsi="Garamond" w:cs="Times New Roman"/>
          <w:i/>
        </w:rPr>
        <w:t xml:space="preserve">Epistle to Polycarp </w:t>
      </w:r>
      <w:r w:rsidRPr="00335F51">
        <w:rPr>
          <w:rFonts w:ascii="Garamond" w:hAnsi="Garamond" w:cs="Times New Roman"/>
        </w:rPr>
        <w:t>8,</w:t>
      </w:r>
      <w:r w:rsidRPr="00FB47FC">
        <w:rPr>
          <w:rFonts w:ascii="Garamond" w:hAnsi="Garamond" w:cs="Times New Roman"/>
        </w:rPr>
        <w:t xml:space="preserve"> Ignatius makes a request to Polycarp to convoke “a  council that is pleasing </w:t>
      </w:r>
      <w:r w:rsidRPr="00FB47FC">
        <w:rPr>
          <w:rFonts w:ascii="Garamond" w:hAnsi="Garamond" w:cs="Times New Roman"/>
        </w:rPr>
        <w:lastRenderedPageBreak/>
        <w:t>to God” (</w:t>
      </w:r>
      <w:r w:rsidRPr="00FB47FC">
        <w:rPr>
          <w:rFonts w:ascii="Garamond" w:hAnsi="Garamond" w:cs="Times New Roman"/>
          <w:i/>
        </w:rPr>
        <w:t>symboulion agagein theoprepestaton</w:t>
      </w:r>
      <w:r w:rsidRPr="00FB47FC">
        <w:rPr>
          <w:rFonts w:ascii="Garamond" w:hAnsi="Garamond" w:cs="Times New Roman"/>
        </w:rPr>
        <w:t>).</w:t>
      </w:r>
      <w:r w:rsidRPr="00FB47FC">
        <w:rPr>
          <w:rStyle w:val="FootnoteReference"/>
          <w:rFonts w:ascii="Garamond" w:hAnsi="Garamond" w:cs="Times New Roman"/>
        </w:rPr>
        <w:footnoteReference w:id="3"/>
      </w:r>
      <w:r w:rsidRPr="00FB47FC">
        <w:rPr>
          <w:rFonts w:ascii="Garamond" w:hAnsi="Garamond" w:cs="Times New Roman"/>
        </w:rPr>
        <w:t xml:space="preserve"> Following this, there was already a structure as to who has the power to convoke a council, at what time the convocation of a council could be deemed necessary, as well as the importance of the council in the identity of the Church, and of local churches.</w:t>
      </w:r>
      <w:r>
        <w:rPr>
          <w:rFonts w:ascii="Garamond" w:hAnsi="Garamond" w:cs="Times New Roman"/>
        </w:rPr>
        <w:t xml:space="preserve"> </w:t>
      </w:r>
      <w:r w:rsidR="00D717CB">
        <w:rPr>
          <w:rFonts w:ascii="Garamond" w:hAnsi="Garamond" w:cs="Times New Roman"/>
        </w:rPr>
        <w:t>Ignatius tilts towards the more collegial type of synodality although he attempts to</w:t>
      </w:r>
      <w:r>
        <w:rPr>
          <w:rFonts w:ascii="Garamond" w:hAnsi="Garamond" w:cs="Times New Roman"/>
        </w:rPr>
        <w:t xml:space="preserve"> balance the two paradigms: of/in.</w:t>
      </w:r>
    </w:p>
    <w:p w14:paraId="3028C6BB" w14:textId="7DCE3B80" w:rsidR="008D7994" w:rsidRPr="00FB47FC" w:rsidRDefault="008D7994" w:rsidP="008D7994">
      <w:pPr>
        <w:rPr>
          <w:rFonts w:ascii="Garamond" w:hAnsi="Garamond" w:cs="Times New Roman"/>
        </w:rPr>
      </w:pPr>
      <w:r w:rsidRPr="00FB47FC">
        <w:rPr>
          <w:rFonts w:ascii="Garamond" w:hAnsi="Garamond" w:cs="Times New Roman"/>
        </w:rPr>
        <w:tab/>
        <w:t xml:space="preserve">Clearly the council at the time was local in nature, or trans-local. And since they required the bishops “to take to the road”, Paul Valliere suggests that consequently “the standard term for an episcopal assembly came from the base-noun </w:t>
      </w:r>
      <w:r w:rsidRPr="00FB47FC">
        <w:rPr>
          <w:rFonts w:ascii="Garamond" w:hAnsi="Garamond" w:cs="Times New Roman"/>
          <w:i/>
        </w:rPr>
        <w:t>hodos</w:t>
      </w:r>
      <w:r w:rsidRPr="00FB47FC">
        <w:rPr>
          <w:rFonts w:ascii="Garamond" w:hAnsi="Garamond" w:cs="Times New Roman"/>
        </w:rPr>
        <w:t xml:space="preserve"> meaning ‘road’.”</w:t>
      </w:r>
      <w:r w:rsidRPr="00FB47FC">
        <w:rPr>
          <w:rStyle w:val="FootnoteReference"/>
          <w:rFonts w:ascii="Garamond" w:hAnsi="Garamond" w:cs="Times New Roman"/>
        </w:rPr>
        <w:footnoteReference w:id="4"/>
      </w:r>
      <w:r w:rsidRPr="00FB47FC">
        <w:rPr>
          <w:rFonts w:ascii="Garamond" w:hAnsi="Garamond" w:cs="Times New Roman"/>
        </w:rPr>
        <w:t xml:space="preserve"> In what appears to be the earliest articulation of this ancient practice, Valliere quotes Nicholas of Cusa (1401-64) as referring to the assembly thus: “It is called a synod from </w:t>
      </w:r>
      <w:r w:rsidRPr="00FB47FC">
        <w:rPr>
          <w:rFonts w:ascii="Garamond" w:hAnsi="Garamond" w:cs="Times New Roman"/>
          <w:i/>
        </w:rPr>
        <w:t>syn</w:t>
      </w:r>
      <w:r w:rsidRPr="00FB47FC">
        <w:rPr>
          <w:rFonts w:ascii="Garamond" w:hAnsi="Garamond" w:cs="Times New Roman"/>
        </w:rPr>
        <w:t xml:space="preserve"> which means ‘at the same time’ and </w:t>
      </w:r>
      <w:r w:rsidRPr="00FB47FC">
        <w:rPr>
          <w:rFonts w:ascii="Garamond" w:hAnsi="Garamond" w:cs="Times New Roman"/>
          <w:i/>
        </w:rPr>
        <w:t>hodos</w:t>
      </w:r>
      <w:r w:rsidRPr="00FB47FC">
        <w:rPr>
          <w:rFonts w:ascii="Garamond" w:hAnsi="Garamond" w:cs="Times New Roman"/>
        </w:rPr>
        <w:t xml:space="preserve"> or ‘way’ because all travel in one way towards the same end.”</w:t>
      </w:r>
      <w:r w:rsidRPr="00FB47FC">
        <w:rPr>
          <w:rStyle w:val="FootnoteReference"/>
          <w:rFonts w:ascii="Garamond" w:hAnsi="Garamond" w:cs="Times New Roman"/>
        </w:rPr>
        <w:footnoteReference w:id="5"/>
      </w:r>
      <w:r w:rsidRPr="00FB47FC">
        <w:rPr>
          <w:rFonts w:ascii="Garamond" w:hAnsi="Garamond" w:cs="Times New Roman"/>
        </w:rPr>
        <w:t xml:space="preserve"> Prior to Nicholas of Cusa, the Greek term </w:t>
      </w:r>
      <w:r w:rsidRPr="00FB47FC">
        <w:rPr>
          <w:rFonts w:ascii="Garamond" w:hAnsi="Garamond" w:cs="Times New Roman"/>
          <w:i/>
        </w:rPr>
        <w:t>synodos</w:t>
      </w:r>
      <w:r w:rsidRPr="00FB47FC">
        <w:rPr>
          <w:rFonts w:ascii="Garamond" w:hAnsi="Garamond" w:cs="Times New Roman"/>
        </w:rPr>
        <w:t xml:space="preserve"> only appeared explicitly in the letters of Bishop Dionysius of Alexandria (c. 200-265) who applied the term in describing “a number of gatherings that took place before his time.”</w:t>
      </w:r>
      <w:r w:rsidRPr="00FB47FC">
        <w:rPr>
          <w:rStyle w:val="FootnoteReference"/>
          <w:rFonts w:ascii="Garamond" w:hAnsi="Garamond" w:cs="Times New Roman"/>
        </w:rPr>
        <w:footnoteReference w:id="6"/>
      </w:r>
      <w:r w:rsidRPr="00FB47FC">
        <w:rPr>
          <w:rFonts w:ascii="Garamond" w:hAnsi="Garamond" w:cs="Times New Roman"/>
        </w:rPr>
        <w:t xml:space="preserve"> Of particular mention are the Synods of Iconium and Synnada, both of which appear to have been focused on the challenge posed by Montanism at the time. . Obviously, “the frequent synods were needed to preserve the integrity of faith and to emphasize the obligation of observance of the canon and moral regulations and promote ecclesiastical unity.”</w:t>
      </w:r>
      <w:r w:rsidRPr="00FB47FC">
        <w:rPr>
          <w:rStyle w:val="FootnoteReference"/>
          <w:rFonts w:ascii="Garamond" w:hAnsi="Garamond" w:cs="Times New Roman"/>
        </w:rPr>
        <w:footnoteReference w:id="7"/>
      </w:r>
    </w:p>
    <w:p w14:paraId="275CC5FB" w14:textId="054E69C1" w:rsidR="008D7994" w:rsidRPr="00FB47FC" w:rsidRDefault="008D7994" w:rsidP="008D7994">
      <w:pPr>
        <w:rPr>
          <w:rFonts w:ascii="Garamond" w:hAnsi="Garamond" w:cs="Times New Roman"/>
        </w:rPr>
      </w:pPr>
      <w:r w:rsidRPr="00FB47FC">
        <w:rPr>
          <w:rFonts w:ascii="Garamond" w:hAnsi="Garamond" w:cs="Times New Roman"/>
        </w:rPr>
        <w:tab/>
        <w:t>The idea of many local churches constituting the one Church is a synodal understanding that we find in Ignatius of Antioch. The basis of this is two-fold, first is “the divine order that makes the Church a single body”, and the second is the double criteria of a faithful as laid out by Ignatius, namely “the dignity of baptism” as well as “friendship with Christ.”</w:t>
      </w:r>
      <w:r w:rsidRPr="00FB47FC">
        <w:rPr>
          <w:rStyle w:val="FootnoteReference"/>
          <w:rFonts w:ascii="Garamond" w:hAnsi="Garamond" w:cs="Times New Roman"/>
        </w:rPr>
        <w:footnoteReference w:id="8"/>
      </w:r>
      <w:r w:rsidRPr="00FB47FC">
        <w:rPr>
          <w:rFonts w:ascii="Garamond" w:hAnsi="Garamond" w:cs="Times New Roman"/>
        </w:rPr>
        <w:t xml:space="preserve"> Consequently, Ignatius in his epistle </w:t>
      </w:r>
      <w:r w:rsidRPr="00FB47FC">
        <w:rPr>
          <w:rFonts w:ascii="Garamond" w:hAnsi="Garamond" w:cs="Times New Roman"/>
          <w:i/>
        </w:rPr>
        <w:t>To the Ephesians</w:t>
      </w:r>
      <w:r w:rsidRPr="00FB47FC">
        <w:rPr>
          <w:rFonts w:ascii="Garamond" w:hAnsi="Garamond" w:cs="Times New Roman"/>
        </w:rPr>
        <w:t xml:space="preserve"> would consider Christians as “traveling companions” (</w:t>
      </w:r>
      <w:r w:rsidRPr="00FB47FC">
        <w:rPr>
          <w:rFonts w:ascii="Garamond" w:hAnsi="Garamond" w:cs="Times New Roman"/>
          <w:i/>
        </w:rPr>
        <w:t>synodoi</w:t>
      </w:r>
      <w:r w:rsidRPr="00FB47FC">
        <w:rPr>
          <w:rFonts w:ascii="Garamond" w:hAnsi="Garamond" w:cs="Times New Roman"/>
        </w:rPr>
        <w:t>),</w:t>
      </w:r>
      <w:r w:rsidRPr="00FB47FC">
        <w:rPr>
          <w:rStyle w:val="FootnoteReference"/>
          <w:rFonts w:ascii="Garamond" w:hAnsi="Garamond" w:cs="Times New Roman"/>
        </w:rPr>
        <w:footnoteReference w:id="9"/>
      </w:r>
      <w:r w:rsidRPr="00FB47FC">
        <w:rPr>
          <w:rFonts w:ascii="Garamond" w:hAnsi="Garamond" w:cs="Times New Roman"/>
        </w:rPr>
        <w:t xml:space="preserve"> who are marked by the seal of baptism and whose lives reflect an intimate relationship with Christ. The practical understanding of </w:t>
      </w:r>
      <w:r w:rsidRPr="00FB47FC">
        <w:rPr>
          <w:rFonts w:ascii="Garamond" w:hAnsi="Garamond" w:cs="Times New Roman"/>
          <w:i/>
        </w:rPr>
        <w:t>synodoi</w:t>
      </w:r>
      <w:r w:rsidRPr="00FB47FC">
        <w:rPr>
          <w:rFonts w:ascii="Garamond" w:hAnsi="Garamond" w:cs="Times New Roman"/>
        </w:rPr>
        <w:t xml:space="preserve"> becomes clearer in St. Cyprain of Carthage, who </w:t>
      </w:r>
      <w:r w:rsidR="00D717CB">
        <w:rPr>
          <w:rFonts w:ascii="Garamond" w:hAnsi="Garamond" w:cs="Times New Roman"/>
        </w:rPr>
        <w:t>addressed</w:t>
      </w:r>
      <w:r w:rsidRPr="00FB47FC">
        <w:rPr>
          <w:rFonts w:ascii="Garamond" w:hAnsi="Garamond" w:cs="Times New Roman"/>
        </w:rPr>
        <w:t xml:space="preserve"> his priests thus: “it has been a resolve of mine, right from the beginning of my episcopate, to do nothing on my own private judgment without your counsel and the consent of the people (</w:t>
      </w:r>
      <w:r w:rsidRPr="00FB47FC">
        <w:rPr>
          <w:rFonts w:ascii="Garamond" w:hAnsi="Garamond" w:cs="Times New Roman"/>
          <w:i/>
        </w:rPr>
        <w:t>nihil sine consilio vestro et sine consensus plebis</w:t>
      </w:r>
      <w:r w:rsidRPr="00FB47FC">
        <w:rPr>
          <w:rFonts w:ascii="Garamond" w:hAnsi="Garamond" w:cs="Times New Roman"/>
        </w:rPr>
        <w:t>).”</w:t>
      </w:r>
      <w:r w:rsidRPr="00FB47FC">
        <w:rPr>
          <w:rStyle w:val="FootnoteReference"/>
          <w:rFonts w:ascii="Garamond" w:hAnsi="Garamond" w:cs="Times New Roman"/>
        </w:rPr>
        <w:footnoteReference w:id="10"/>
      </w:r>
      <w:r w:rsidRPr="00FB47FC">
        <w:rPr>
          <w:rFonts w:ascii="Garamond" w:hAnsi="Garamond" w:cs="Times New Roman"/>
        </w:rPr>
        <w:t xml:space="preserve"> </w:t>
      </w:r>
      <w:r w:rsidRPr="000E06CB">
        <w:rPr>
          <w:rFonts w:ascii="Garamond" w:hAnsi="Garamond" w:cs="Times New Roman"/>
        </w:rPr>
        <w:t xml:space="preserve">The </w:t>
      </w:r>
      <w:r w:rsidRPr="000E06CB">
        <w:rPr>
          <w:rFonts w:ascii="Garamond" w:hAnsi="Garamond" w:cs="Times New Roman"/>
          <w:i/>
        </w:rPr>
        <w:t>Nota Explicativa</w:t>
      </w:r>
      <w:r w:rsidRPr="000E06CB">
        <w:rPr>
          <w:rFonts w:ascii="Garamond" w:hAnsi="Garamond" w:cs="Times New Roman"/>
        </w:rPr>
        <w:t xml:space="preserve"> to </w:t>
      </w:r>
      <w:r w:rsidRPr="000E06CB">
        <w:rPr>
          <w:rFonts w:ascii="Garamond" w:hAnsi="Garamond" w:cs="Times New Roman"/>
          <w:i/>
        </w:rPr>
        <w:t>The Letters of St. Cyprian of Carthage</w:t>
      </w:r>
      <w:r w:rsidRPr="000E06CB">
        <w:rPr>
          <w:rFonts w:ascii="Garamond" w:hAnsi="Garamond" w:cs="Times New Roman"/>
        </w:rPr>
        <w:t xml:space="preserve"> offers further references to the synodal praxis that one could find in the epistles of St. Cyprian. For instance, “in </w:t>
      </w:r>
      <w:r w:rsidRPr="000E06CB">
        <w:rPr>
          <w:rFonts w:ascii="Garamond" w:hAnsi="Garamond" w:cs="Times New Roman"/>
          <w:i/>
        </w:rPr>
        <w:t>Epistle</w:t>
      </w:r>
      <w:r w:rsidRPr="000E06CB">
        <w:rPr>
          <w:rFonts w:ascii="Garamond" w:hAnsi="Garamond" w:cs="Times New Roman"/>
        </w:rPr>
        <w:t xml:space="preserve"> 17.3.2 (to his </w:t>
      </w:r>
      <w:r w:rsidRPr="000E06CB">
        <w:rPr>
          <w:rFonts w:ascii="Garamond" w:hAnsi="Garamond" w:cs="Times New Roman"/>
          <w:i/>
        </w:rPr>
        <w:t>plebs</w:t>
      </w:r>
      <w:r w:rsidRPr="000E06CB">
        <w:rPr>
          <w:rFonts w:ascii="Garamond" w:hAnsi="Garamond" w:cs="Times New Roman"/>
        </w:rPr>
        <w:t>), the clergy are not even mentioned but he adds, to the sententia of the people, the confessors and an assembly of bishops (</w:t>
      </w:r>
      <w:r w:rsidRPr="000E06CB">
        <w:rPr>
          <w:rFonts w:ascii="Garamond" w:hAnsi="Garamond" w:cs="Times New Roman"/>
          <w:i/>
        </w:rPr>
        <w:t>convocatio episcopis</w:t>
      </w:r>
      <w:r w:rsidRPr="000E06CB">
        <w:rPr>
          <w:rFonts w:ascii="Garamond" w:hAnsi="Garamond" w:cs="Times New Roman"/>
        </w:rPr>
        <w:t xml:space="preserve">); in </w:t>
      </w:r>
      <w:r w:rsidRPr="000E06CB">
        <w:rPr>
          <w:rFonts w:ascii="Garamond" w:hAnsi="Garamond" w:cs="Times New Roman"/>
          <w:i/>
        </w:rPr>
        <w:t>Epistle</w:t>
      </w:r>
      <w:r w:rsidRPr="000E06CB">
        <w:rPr>
          <w:rFonts w:ascii="Garamond" w:hAnsi="Garamond" w:cs="Times New Roman"/>
        </w:rPr>
        <w:t xml:space="preserve"> 19.2.2 (to his clergy) the formular also now adds, more uncompromisingly, the bishops (</w:t>
      </w:r>
      <w:r w:rsidRPr="000E06CB">
        <w:rPr>
          <w:rFonts w:ascii="Garamond" w:hAnsi="Garamond" w:cs="Times New Roman"/>
          <w:i/>
        </w:rPr>
        <w:t>praepositi cum clero convenientes praesente etiam stantium plebe</w:t>
      </w:r>
      <w:r w:rsidRPr="000E06CB">
        <w:rPr>
          <w:rFonts w:ascii="Garamond" w:hAnsi="Garamond" w:cs="Times New Roman"/>
        </w:rPr>
        <w:t xml:space="preserve">); in Epistle 20.3.2 (to Rome) </w:t>
      </w:r>
      <w:r w:rsidRPr="000E06CB">
        <w:rPr>
          <w:rFonts w:ascii="Garamond" w:hAnsi="Garamond" w:cs="Times New Roman"/>
          <w:i/>
        </w:rPr>
        <w:t>plebs</w:t>
      </w:r>
      <w:r w:rsidRPr="000E06CB">
        <w:rPr>
          <w:rFonts w:ascii="Garamond" w:hAnsi="Garamond" w:cs="Times New Roman"/>
        </w:rPr>
        <w:t xml:space="preserve">, </w:t>
      </w:r>
      <w:r w:rsidRPr="000E06CB">
        <w:rPr>
          <w:rFonts w:ascii="Garamond" w:hAnsi="Garamond" w:cs="Times New Roman"/>
          <w:i/>
        </w:rPr>
        <w:t>confessores</w:t>
      </w:r>
      <w:r w:rsidRPr="000E06CB">
        <w:rPr>
          <w:rFonts w:ascii="Garamond" w:hAnsi="Garamond" w:cs="Times New Roman"/>
        </w:rPr>
        <w:t xml:space="preserve"> and </w:t>
      </w:r>
      <w:r w:rsidRPr="000E06CB">
        <w:rPr>
          <w:rFonts w:ascii="Garamond" w:hAnsi="Garamond" w:cs="Times New Roman"/>
          <w:i/>
        </w:rPr>
        <w:t>clerus</w:t>
      </w:r>
      <w:r w:rsidRPr="000E06CB">
        <w:rPr>
          <w:rFonts w:ascii="Garamond" w:hAnsi="Garamond" w:cs="Times New Roman"/>
        </w:rPr>
        <w:t xml:space="preserve"> are simply omitted, and the bishops alone are authoritatively mentioned (</w:t>
      </w:r>
      <w:r w:rsidRPr="000E06CB">
        <w:rPr>
          <w:rFonts w:ascii="Garamond" w:hAnsi="Garamond" w:cs="Times New Roman"/>
          <w:i/>
        </w:rPr>
        <w:t>plures praepositi</w:t>
      </w:r>
      <w:r w:rsidRPr="000E06CB">
        <w:rPr>
          <w:rFonts w:ascii="Garamond" w:hAnsi="Garamond" w:cs="Times New Roman"/>
        </w:rPr>
        <w:t>).”</w:t>
      </w:r>
      <w:r w:rsidRPr="00335F51">
        <w:rPr>
          <w:rStyle w:val="FootnoteReference"/>
          <w:rFonts w:ascii="Garamond" w:hAnsi="Garamond" w:cs="Times New Roman"/>
        </w:rPr>
        <w:footnoteReference w:id="11"/>
      </w:r>
      <w:r w:rsidRPr="00FB47FC">
        <w:rPr>
          <w:rFonts w:ascii="Garamond" w:hAnsi="Garamond" w:cs="Times New Roman"/>
        </w:rPr>
        <w:t xml:space="preserve"> Despite the differences in the forms of synodal relationship expressed by St. Cyprian – toward the clergy (counsel – consultation) and the laity (consent – permission – approval), one notices a culture of synodality that is not circumscribed to the collegiality</w:t>
      </w:r>
      <w:r>
        <w:rPr>
          <w:rFonts w:ascii="Garamond" w:hAnsi="Garamond" w:cs="Times New Roman"/>
        </w:rPr>
        <w:t xml:space="preserve">, a synodality </w:t>
      </w:r>
      <w:r w:rsidRPr="00D717CB">
        <w:rPr>
          <w:rFonts w:ascii="Garamond" w:hAnsi="Garamond" w:cs="Times New Roman"/>
          <w:i/>
          <w:iCs/>
        </w:rPr>
        <w:t>of</w:t>
      </w:r>
      <w:r>
        <w:rPr>
          <w:rFonts w:ascii="Garamond" w:hAnsi="Garamond" w:cs="Times New Roman"/>
        </w:rPr>
        <w:t xml:space="preserve"> the church</w:t>
      </w:r>
      <w:r w:rsidRPr="00FB47FC">
        <w:rPr>
          <w:rFonts w:ascii="Garamond" w:hAnsi="Garamond" w:cs="Times New Roman"/>
        </w:rPr>
        <w:t xml:space="preserve">. Certainly, the model of synodality in St. Cyprian is not comprehensive in its participative structure, but then it presents us with what could be </w:t>
      </w:r>
      <w:r w:rsidRPr="00FB47FC">
        <w:rPr>
          <w:rFonts w:ascii="Garamond" w:hAnsi="Garamond" w:cs="Times New Roman"/>
        </w:rPr>
        <w:lastRenderedPageBreak/>
        <w:t xml:space="preserve">described as a differentiated participative structure of synodal relationships within the Church, which is ultimately aimed at ensuring the participation of all </w:t>
      </w:r>
      <w:r w:rsidRPr="00FB47FC">
        <w:rPr>
          <w:rFonts w:ascii="Garamond" w:hAnsi="Garamond" w:cs="Times New Roman"/>
          <w:i/>
          <w:iCs/>
        </w:rPr>
        <w:t>albeit</w:t>
      </w:r>
      <w:r w:rsidRPr="00FB47FC">
        <w:rPr>
          <w:rFonts w:ascii="Garamond" w:hAnsi="Garamond" w:cs="Times New Roman"/>
        </w:rPr>
        <w:t xml:space="preserve"> in different blocs.</w:t>
      </w:r>
    </w:p>
    <w:p w14:paraId="2D24040E" w14:textId="63C85E08" w:rsidR="008D7994" w:rsidRPr="00FB47FC" w:rsidRDefault="008D7994" w:rsidP="008D7994">
      <w:pPr>
        <w:rPr>
          <w:rFonts w:ascii="Garamond" w:hAnsi="Garamond" w:cs="Times New Roman"/>
        </w:rPr>
      </w:pPr>
      <w:r w:rsidRPr="00FB47FC">
        <w:rPr>
          <w:rFonts w:ascii="Garamond" w:hAnsi="Garamond" w:cs="Times New Roman"/>
        </w:rPr>
        <w:tab/>
        <w:t>Given the creation of ecclesiastical provinces in the 4</w:t>
      </w:r>
      <w:r w:rsidRPr="00FB47FC">
        <w:rPr>
          <w:rFonts w:ascii="Garamond" w:hAnsi="Garamond" w:cs="Times New Roman"/>
          <w:vertAlign w:val="superscript"/>
        </w:rPr>
        <w:t>th</w:t>
      </w:r>
      <w:r w:rsidRPr="00FB47FC">
        <w:rPr>
          <w:rFonts w:ascii="Garamond" w:hAnsi="Garamond" w:cs="Times New Roman"/>
        </w:rPr>
        <w:t xml:space="preserve"> century, synodality began to assume a more developed institutional status through the provincial councils.</w:t>
      </w:r>
      <w:r>
        <w:rPr>
          <w:rFonts w:ascii="Garamond" w:hAnsi="Garamond" w:cs="Times New Roman"/>
        </w:rPr>
        <w:t xml:space="preserve"> This marks the intesification of the ‘synodality in the church’ paradigm.</w:t>
      </w:r>
      <w:r w:rsidRPr="00FB47FC">
        <w:rPr>
          <w:rFonts w:ascii="Garamond" w:hAnsi="Garamond" w:cs="Times New Roman"/>
        </w:rPr>
        <w:t xml:space="preserve"> What emerged subsequently were the five apostolic Sees of Rome, Alexandria, Antioch, Constantinople, and Jerusalem. Procedures for convoking and presiding over Synods were already gazetted by the Apostolic canons. The institutionalization of synods became clearer with the First Ecumenical Council in Nicea (325)</w:t>
      </w:r>
      <w:r>
        <w:rPr>
          <w:rStyle w:val="FootnoteReference"/>
          <w:rFonts w:ascii="Garamond" w:hAnsi="Garamond" w:cs="Times New Roman"/>
        </w:rPr>
        <w:footnoteReference w:id="12"/>
      </w:r>
      <w:r w:rsidRPr="00FB47FC">
        <w:rPr>
          <w:rFonts w:ascii="Garamond" w:hAnsi="Garamond" w:cs="Times New Roman"/>
        </w:rPr>
        <w:t>, and this was followed by “successive Councils in the First millennium, which gave authentic shape to the identity of the one Catholic Church.”</w:t>
      </w:r>
      <w:r>
        <w:rPr>
          <w:rStyle w:val="FootnoteReference"/>
          <w:rFonts w:ascii="Garamond" w:hAnsi="Garamond" w:cs="Times New Roman"/>
        </w:rPr>
        <w:footnoteReference w:id="13"/>
      </w:r>
      <w:r w:rsidRPr="00FB47FC">
        <w:rPr>
          <w:rFonts w:ascii="Garamond" w:hAnsi="Garamond" w:cs="Times New Roman"/>
        </w:rPr>
        <w:t xml:space="preserve"> </w:t>
      </w:r>
      <w:r w:rsidRPr="000E06CB">
        <w:rPr>
          <w:rFonts w:ascii="Garamond" w:hAnsi="Garamond" w:cs="Times New Roman"/>
        </w:rPr>
        <w:t xml:space="preserve">Indeed, these Councils provided “a gradual classification required for exercising the authority of an Ecumenical Council: the </w:t>
      </w:r>
      <w:r w:rsidRPr="000E06CB">
        <w:rPr>
          <w:rFonts w:ascii="Garamond" w:hAnsi="Garamond" w:cs="Times New Roman"/>
        </w:rPr>
        <w:sym w:font="Symbol" w:char="F073"/>
      </w:r>
      <w:r w:rsidRPr="000E06CB">
        <w:rPr>
          <w:rFonts w:ascii="Garamond" w:hAnsi="Garamond" w:cs="Times New Roman"/>
        </w:rPr>
        <w:sym w:font="Symbol" w:char="F075"/>
      </w:r>
      <w:r w:rsidRPr="000E06CB">
        <w:rPr>
          <w:rFonts w:ascii="Garamond" w:hAnsi="Garamond" w:cs="Times New Roman"/>
        </w:rPr>
        <w:sym w:font="Symbol" w:char="F06D"/>
      </w:r>
      <w:r w:rsidRPr="000E06CB">
        <w:rPr>
          <w:rFonts w:ascii="Garamond" w:hAnsi="Garamond" w:cs="Times New Roman"/>
        </w:rPr>
        <w:sym w:font="Symbol" w:char="F066"/>
      </w:r>
      <w:r w:rsidRPr="000E06CB">
        <w:rPr>
          <w:rFonts w:ascii="Garamond" w:hAnsi="Garamond" w:cs="Times New Roman"/>
        </w:rPr>
        <w:sym w:font="Symbol" w:char="F077"/>
      </w:r>
      <w:r w:rsidRPr="000E06CB">
        <w:rPr>
          <w:rFonts w:ascii="Garamond" w:hAnsi="Garamond" w:cs="Times New Roman"/>
        </w:rPr>
        <w:sym w:font="Symbol" w:char="F06E"/>
      </w:r>
      <w:r w:rsidRPr="000E06CB">
        <w:rPr>
          <w:rFonts w:ascii="Garamond" w:hAnsi="Garamond" w:cs="Times New Roman"/>
        </w:rPr>
        <w:t>í</w:t>
      </w:r>
      <w:r w:rsidRPr="000E06CB">
        <w:rPr>
          <w:rFonts w:ascii="Garamond" w:hAnsi="Garamond" w:cs="Times New Roman"/>
        </w:rPr>
        <w:sym w:font="Symbol" w:char="F061"/>
      </w:r>
      <w:r w:rsidRPr="000E06CB">
        <w:rPr>
          <w:rFonts w:ascii="Garamond" w:hAnsi="Garamond" w:cs="Times New Roman"/>
        </w:rPr>
        <w:t xml:space="preserve"> (</w:t>
      </w:r>
      <w:r w:rsidRPr="000E06CB">
        <w:rPr>
          <w:rFonts w:ascii="Garamond" w:hAnsi="Garamond" w:cs="Times New Roman"/>
          <w:i/>
        </w:rPr>
        <w:t>symphonia</w:t>
      </w:r>
      <w:r w:rsidRPr="000E06CB">
        <w:rPr>
          <w:rFonts w:ascii="Garamond" w:hAnsi="Garamond" w:cs="Times New Roman"/>
        </w:rPr>
        <w:t xml:space="preserve">) of the heads of the various Churches, </w:t>
      </w:r>
      <w:r w:rsidRPr="000E06CB">
        <w:rPr>
          <w:rFonts w:ascii="Garamond" w:hAnsi="Garamond" w:cs="Times New Roman"/>
        </w:rPr>
        <w:sym w:font="Symbol" w:char="F073"/>
      </w:r>
      <w:r w:rsidRPr="000E06CB">
        <w:rPr>
          <w:rFonts w:ascii="Garamond" w:hAnsi="Garamond" w:cs="Times New Roman"/>
        </w:rPr>
        <w:sym w:font="Symbol" w:char="F075"/>
      </w:r>
      <w:r w:rsidRPr="000E06CB">
        <w:rPr>
          <w:rFonts w:ascii="Garamond" w:hAnsi="Garamond" w:cs="Times New Roman"/>
        </w:rPr>
        <w:sym w:font="Symbol" w:char="F06E"/>
      </w:r>
      <w:r w:rsidRPr="000E06CB">
        <w:rPr>
          <w:rFonts w:ascii="Garamond" w:hAnsi="Garamond" w:cs="Times New Roman"/>
        </w:rPr>
        <w:sym w:font="Symbol" w:char="F065"/>
      </w:r>
      <w:r w:rsidRPr="000E06CB">
        <w:rPr>
          <w:rFonts w:ascii="Garamond" w:hAnsi="Garamond" w:cs="Times New Roman"/>
        </w:rPr>
        <w:sym w:font="Symbol" w:char="F072"/>
      </w:r>
      <w:r w:rsidRPr="000E06CB">
        <w:rPr>
          <w:rFonts w:ascii="Garamond" w:hAnsi="Garamond" w:cs="Times New Roman"/>
        </w:rPr>
        <w:sym w:font="Symbol" w:char="F067"/>
      </w:r>
      <w:r w:rsidRPr="000E06CB">
        <w:rPr>
          <w:rFonts w:ascii="Garamond" w:hAnsi="Garamond" w:cs="Times New Roman"/>
        </w:rPr>
        <w:sym w:font="Symbol" w:char="F065"/>
      </w:r>
      <w:r w:rsidRPr="000E06CB">
        <w:rPr>
          <w:rFonts w:ascii="Garamond" w:hAnsi="Garamond" w:cs="Times New Roman"/>
        </w:rPr>
        <w:t>í</w:t>
      </w:r>
      <w:r w:rsidRPr="000E06CB">
        <w:rPr>
          <w:rFonts w:ascii="Garamond" w:hAnsi="Garamond" w:cs="Times New Roman"/>
        </w:rPr>
        <w:sym w:font="Symbol" w:char="F061"/>
      </w:r>
      <w:r w:rsidRPr="000E06CB">
        <w:rPr>
          <w:rFonts w:ascii="Garamond" w:hAnsi="Garamond" w:cs="Times New Roman"/>
        </w:rPr>
        <w:t xml:space="preserve">  (</w:t>
      </w:r>
      <w:r w:rsidRPr="000E06CB">
        <w:rPr>
          <w:rFonts w:ascii="Garamond" w:hAnsi="Garamond" w:cs="Times New Roman"/>
          <w:i/>
        </w:rPr>
        <w:t>synergeía</w:t>
      </w:r>
      <w:r w:rsidRPr="000E06CB">
        <w:rPr>
          <w:rFonts w:ascii="Garamond" w:hAnsi="Garamond" w:cs="Times New Roman"/>
        </w:rPr>
        <w:t xml:space="preserve">) of the Bishop of Rome, the </w:t>
      </w:r>
      <w:r w:rsidRPr="000E06CB">
        <w:rPr>
          <w:rFonts w:ascii="Garamond" w:hAnsi="Garamond" w:cs="Times New Roman"/>
        </w:rPr>
        <w:sym w:font="Symbol" w:char="F073"/>
      </w:r>
      <w:r w:rsidRPr="000E06CB">
        <w:rPr>
          <w:rFonts w:ascii="Garamond" w:hAnsi="Garamond" w:cs="Times New Roman"/>
        </w:rPr>
        <w:sym w:font="Symbol" w:char="F075"/>
      </w:r>
      <w:r w:rsidRPr="000E06CB">
        <w:rPr>
          <w:rFonts w:ascii="Garamond" w:hAnsi="Garamond" w:cs="Times New Roman"/>
        </w:rPr>
        <w:sym w:font="Symbol" w:char="F06D"/>
      </w:r>
      <w:r w:rsidRPr="000E06CB">
        <w:rPr>
          <w:rFonts w:ascii="Garamond" w:hAnsi="Garamond" w:cs="Times New Roman"/>
        </w:rPr>
        <w:sym w:font="Symbol" w:char="F066"/>
      </w:r>
      <w:r w:rsidRPr="000E06CB">
        <w:rPr>
          <w:rFonts w:ascii="Garamond" w:hAnsi="Garamond" w:cs="Times New Roman"/>
        </w:rPr>
        <w:sym w:font="Symbol" w:char="F072"/>
      </w:r>
      <w:r w:rsidRPr="000E06CB">
        <w:rPr>
          <w:rFonts w:ascii="Garamond" w:hAnsi="Garamond" w:cs="Times New Roman"/>
        </w:rPr>
        <w:t>ó</w:t>
      </w:r>
      <w:r w:rsidRPr="000E06CB">
        <w:rPr>
          <w:rFonts w:ascii="Garamond" w:hAnsi="Garamond" w:cs="Times New Roman"/>
        </w:rPr>
        <w:sym w:font="Symbol" w:char="F06E"/>
      </w:r>
      <w:r w:rsidRPr="000E06CB">
        <w:rPr>
          <w:rFonts w:ascii="Garamond" w:hAnsi="Garamond" w:cs="Times New Roman"/>
        </w:rPr>
        <w:sym w:font="Symbol" w:char="F068"/>
      </w:r>
      <w:r w:rsidRPr="000E06CB">
        <w:rPr>
          <w:rFonts w:ascii="Garamond" w:hAnsi="Garamond" w:cs="Times New Roman"/>
        </w:rPr>
        <w:sym w:font="Symbol" w:char="F073"/>
      </w:r>
      <w:r w:rsidRPr="000E06CB">
        <w:rPr>
          <w:rFonts w:ascii="Garamond" w:hAnsi="Garamond" w:cs="Times New Roman"/>
        </w:rPr>
        <w:sym w:font="Symbol" w:char="F069"/>
      </w:r>
      <w:r w:rsidRPr="000E06CB">
        <w:rPr>
          <w:rFonts w:ascii="Garamond" w:hAnsi="Garamond" w:cs="Times New Roman"/>
        </w:rPr>
        <w:sym w:font="Symbol" w:char="F056"/>
      </w:r>
      <w:r w:rsidRPr="000E06CB">
        <w:rPr>
          <w:rFonts w:ascii="Garamond" w:hAnsi="Garamond" w:cs="Times New Roman"/>
        </w:rPr>
        <w:t xml:space="preserve"> (</w:t>
      </w:r>
      <w:r w:rsidRPr="000E06CB">
        <w:rPr>
          <w:rFonts w:ascii="Garamond" w:hAnsi="Garamond" w:cs="Times New Roman"/>
          <w:i/>
        </w:rPr>
        <w:t>symphrónesis</w:t>
      </w:r>
      <w:r w:rsidRPr="000E06CB">
        <w:rPr>
          <w:rFonts w:ascii="Garamond" w:hAnsi="Garamond" w:cs="Times New Roman"/>
        </w:rPr>
        <w:t>) of the other Patriarchs and agreement of its teaching with that of preceding Council.</w:t>
      </w:r>
      <w:r w:rsidRPr="00FB47FC">
        <w:rPr>
          <w:rFonts w:ascii="Garamond" w:hAnsi="Garamond" w:cs="Times New Roman"/>
        </w:rPr>
        <w:t>”</w:t>
      </w:r>
      <w:r w:rsidRPr="00FB47FC">
        <w:rPr>
          <w:rStyle w:val="FootnoteReference"/>
          <w:rFonts w:ascii="Garamond" w:hAnsi="Garamond" w:cs="Times New Roman"/>
        </w:rPr>
        <w:footnoteReference w:id="14"/>
      </w:r>
      <w:r w:rsidRPr="00FB47FC">
        <w:rPr>
          <w:rFonts w:ascii="Garamond" w:hAnsi="Garamond" w:cs="Times New Roman"/>
        </w:rPr>
        <w:t xml:space="preserve"> Although participation in Ecumenical Councils was limited to bishops, the provincial Synods were open to the possible participation of priests and monks, while the entire community (including the laity) were allowed to participate in local synods.</w:t>
      </w:r>
    </w:p>
    <w:p w14:paraId="59BC46B4" w14:textId="77777777" w:rsidR="008D7994" w:rsidRDefault="008D7994" w:rsidP="008D7994">
      <w:pPr>
        <w:rPr>
          <w:rFonts w:ascii="Garamond" w:hAnsi="Garamond" w:cs="Times New Roman"/>
        </w:rPr>
      </w:pPr>
    </w:p>
    <w:p w14:paraId="42ED9128" w14:textId="77777777" w:rsidR="002934DC" w:rsidRPr="00FB47FC" w:rsidRDefault="002934DC" w:rsidP="008D7994">
      <w:pPr>
        <w:rPr>
          <w:rFonts w:ascii="Garamond" w:hAnsi="Garamond" w:cs="Times New Roman"/>
        </w:rPr>
      </w:pPr>
    </w:p>
    <w:p w14:paraId="26F15B62" w14:textId="77777777" w:rsidR="008D7994" w:rsidRPr="002934DC" w:rsidRDefault="008D7994" w:rsidP="008D7994">
      <w:pPr>
        <w:rPr>
          <w:rFonts w:ascii="Garamond" w:hAnsi="Garamond" w:cs="Times New Roman"/>
          <w:b/>
          <w:bCs/>
        </w:rPr>
      </w:pPr>
      <w:r w:rsidRPr="002934DC">
        <w:rPr>
          <w:rFonts w:ascii="Garamond" w:hAnsi="Garamond" w:cs="Times New Roman"/>
          <w:b/>
          <w:bCs/>
        </w:rPr>
        <w:t>A Brief Account of the Second Millennium</w:t>
      </w:r>
    </w:p>
    <w:p w14:paraId="144B78F9" w14:textId="77777777" w:rsidR="008D7994" w:rsidRPr="00FB47FC" w:rsidRDefault="008D7994" w:rsidP="008D7994">
      <w:pPr>
        <w:rPr>
          <w:rFonts w:ascii="Garamond" w:hAnsi="Garamond" w:cs="Times New Roman"/>
        </w:rPr>
      </w:pPr>
    </w:p>
    <w:p w14:paraId="2E6CAF0A" w14:textId="1387D5A3" w:rsidR="008D7994" w:rsidRPr="00FB47FC" w:rsidRDefault="008D7994" w:rsidP="008D7994">
      <w:pPr>
        <w:rPr>
          <w:rFonts w:ascii="Garamond" w:hAnsi="Garamond" w:cs="Times New Roman"/>
        </w:rPr>
      </w:pPr>
      <w:r w:rsidRPr="00FB47FC">
        <w:rPr>
          <w:rFonts w:ascii="Garamond" w:hAnsi="Garamond" w:cs="Times New Roman"/>
        </w:rPr>
        <w:t>In the Second millennium, the culture of synodality in the Roman Catholic Church experienced a checkered history. Some of the developments in the preceding century were reversed with the schism between the East and the West.</w:t>
      </w:r>
      <w:r w:rsidR="00D717CB">
        <w:rPr>
          <w:rStyle w:val="FootnoteReference"/>
          <w:rFonts w:ascii="Garamond" w:hAnsi="Garamond" w:cs="Times New Roman"/>
        </w:rPr>
        <w:footnoteReference w:id="15"/>
      </w:r>
      <w:r w:rsidRPr="00FB47FC">
        <w:rPr>
          <w:rFonts w:ascii="Garamond" w:hAnsi="Garamond" w:cs="Times New Roman"/>
        </w:rPr>
        <w:t xml:space="preserve"> Eventually, the Church in the West experienced the Gregorian reform as well as the agitations for the ‘libertas Ecclesiae’, both of which strengthened the primatial authority of the Pope that inadvertently “weakened the identity of the local churches.”</w:t>
      </w:r>
      <w:r w:rsidRPr="00FB47FC">
        <w:rPr>
          <w:rStyle w:val="FootnoteReference"/>
          <w:rFonts w:ascii="Garamond" w:hAnsi="Garamond" w:cs="Times New Roman"/>
        </w:rPr>
        <w:footnoteReference w:id="16"/>
      </w:r>
      <w:r w:rsidRPr="00FB47FC">
        <w:rPr>
          <w:rFonts w:ascii="Garamond" w:hAnsi="Garamond" w:cs="Times New Roman"/>
        </w:rPr>
        <w:t xml:space="preserve"> This was as a result of the centralization of authority with its reorganizing effect. The hitherto broad membership of synods was reconfigured into a few bishops that function as the Pope’s council. It was not until the crisis of the Reformation that the urgency of a wider consultation reemerged as a necessity in the Church. The destination was Trent. The Council of Trent reinstated the celebration of synods at both the diocesan and provincial levels. Unfortunately, given the sensitive pastoral situation at that historical period, the participation of the laity in synods was not allowed. </w:t>
      </w:r>
      <w:r w:rsidR="00D717CB">
        <w:rPr>
          <w:rFonts w:ascii="Garamond" w:hAnsi="Garamond" w:cs="Times New Roman"/>
        </w:rPr>
        <w:t xml:space="preserve">Some theologians took advantage of that to </w:t>
      </w:r>
      <w:r w:rsidRPr="00FB47FC">
        <w:rPr>
          <w:rFonts w:ascii="Garamond" w:hAnsi="Garamond" w:cs="Times New Roman"/>
        </w:rPr>
        <w:t xml:space="preserve">promote the “hierarchological vision of the Church as </w:t>
      </w:r>
      <w:r w:rsidRPr="00FB47FC">
        <w:rPr>
          <w:rFonts w:ascii="Garamond" w:hAnsi="Garamond" w:cs="Times New Roman"/>
          <w:i/>
        </w:rPr>
        <w:t>societas perfecta et inaequalium</w:t>
      </w:r>
      <w:r w:rsidRPr="00FB47FC">
        <w:rPr>
          <w:rFonts w:ascii="Garamond" w:hAnsi="Garamond" w:cs="Times New Roman"/>
        </w:rPr>
        <w:t xml:space="preserve">”, thus making a clear separation between the </w:t>
      </w:r>
      <w:r w:rsidRPr="00FB47FC">
        <w:rPr>
          <w:rFonts w:ascii="Garamond" w:hAnsi="Garamond" w:cs="Times New Roman"/>
          <w:i/>
        </w:rPr>
        <w:t>Ecclesia docens</w:t>
      </w:r>
      <w:r w:rsidRPr="00FB47FC">
        <w:rPr>
          <w:rFonts w:ascii="Garamond" w:hAnsi="Garamond" w:cs="Times New Roman"/>
        </w:rPr>
        <w:t xml:space="preserve"> as represented by the Bishops and ultimately by the Pope and </w:t>
      </w:r>
      <w:r w:rsidRPr="00FB47FC">
        <w:rPr>
          <w:rFonts w:ascii="Garamond" w:hAnsi="Garamond" w:cs="Times New Roman"/>
          <w:i/>
        </w:rPr>
        <w:t>Ecclesia discens</w:t>
      </w:r>
      <w:r w:rsidRPr="00FB47FC">
        <w:rPr>
          <w:rFonts w:ascii="Garamond" w:hAnsi="Garamond" w:cs="Times New Roman"/>
        </w:rPr>
        <w:t xml:space="preserve"> that was easily associated with the rest of the faithful.</w:t>
      </w:r>
      <w:r w:rsidRPr="00FB47FC">
        <w:rPr>
          <w:rStyle w:val="FootnoteReference"/>
          <w:rFonts w:ascii="Garamond" w:hAnsi="Garamond" w:cs="Times New Roman"/>
        </w:rPr>
        <w:footnoteReference w:id="17"/>
      </w:r>
      <w:r w:rsidRPr="00FB47FC">
        <w:rPr>
          <w:rFonts w:ascii="Garamond" w:hAnsi="Garamond" w:cs="Times New Roman"/>
        </w:rPr>
        <w:t xml:space="preserve"> This pyramidic understanding of the Church was further intensified by the First Vatican Council’s dogma on </w:t>
      </w:r>
      <w:r w:rsidRPr="00FB47FC">
        <w:rPr>
          <w:rFonts w:ascii="Garamond" w:hAnsi="Garamond" w:cs="Times New Roman"/>
        </w:rPr>
        <w:lastRenderedPageBreak/>
        <w:t>papal infallibility, even when it is interpreted as not affecting the consensus of the People of God.</w:t>
      </w:r>
    </w:p>
    <w:p w14:paraId="1A83F085" w14:textId="77777777" w:rsidR="008D7994" w:rsidRPr="00FB47FC" w:rsidRDefault="008D7994" w:rsidP="008D7994">
      <w:pPr>
        <w:rPr>
          <w:rFonts w:ascii="Garamond" w:hAnsi="Garamond" w:cs="Times New Roman"/>
        </w:rPr>
      </w:pPr>
    </w:p>
    <w:p w14:paraId="52AEE8A5" w14:textId="77777777" w:rsidR="008D7994" w:rsidRPr="00FB47FC" w:rsidRDefault="008D7994" w:rsidP="008D7994">
      <w:pPr>
        <w:rPr>
          <w:rFonts w:ascii="Garamond" w:hAnsi="Garamond" w:cs="Times New Roman"/>
        </w:rPr>
      </w:pPr>
    </w:p>
    <w:p w14:paraId="1B1FE2FA" w14:textId="537C4299" w:rsidR="008D7994" w:rsidRPr="002934DC" w:rsidRDefault="00D717CB" w:rsidP="008D7994">
      <w:pPr>
        <w:rPr>
          <w:rFonts w:ascii="Garamond" w:hAnsi="Garamond" w:cs="Times New Roman"/>
          <w:b/>
          <w:bCs/>
        </w:rPr>
      </w:pPr>
      <w:r w:rsidRPr="00335F51">
        <w:rPr>
          <w:rFonts w:ascii="Garamond" w:hAnsi="Garamond" w:cs="Times New Roman"/>
          <w:b/>
          <w:bCs/>
        </w:rPr>
        <w:t xml:space="preserve">Hans Küng: </w:t>
      </w:r>
      <w:r w:rsidR="004044DC" w:rsidRPr="00335F51">
        <w:rPr>
          <w:rFonts w:ascii="Garamond" w:hAnsi="Garamond" w:cs="Times New Roman"/>
          <w:b/>
          <w:bCs/>
        </w:rPr>
        <w:t>Th</w:t>
      </w:r>
      <w:r w:rsidR="008D7994" w:rsidRPr="00335F51">
        <w:rPr>
          <w:rFonts w:ascii="Garamond" w:hAnsi="Garamond" w:cs="Times New Roman"/>
          <w:b/>
          <w:bCs/>
        </w:rPr>
        <w:t>e Synonymity of the Church and Synod</w:t>
      </w:r>
    </w:p>
    <w:p w14:paraId="31534CEA" w14:textId="77777777" w:rsidR="008D7994" w:rsidRPr="00FB47FC" w:rsidRDefault="008D7994" w:rsidP="008D7994">
      <w:pPr>
        <w:rPr>
          <w:rFonts w:ascii="Garamond" w:hAnsi="Garamond" w:cs="Times New Roman"/>
        </w:rPr>
      </w:pPr>
    </w:p>
    <w:p w14:paraId="63BA7A68" w14:textId="6C7C3D8C" w:rsidR="008D7994" w:rsidRPr="00335F51" w:rsidRDefault="008D7994" w:rsidP="008D7994">
      <w:pPr>
        <w:rPr>
          <w:rFonts w:ascii="Garamond" w:hAnsi="Garamond" w:cs="Times New Roman"/>
        </w:rPr>
      </w:pPr>
      <w:r w:rsidRPr="00FB47FC">
        <w:rPr>
          <w:rFonts w:ascii="Garamond" w:hAnsi="Garamond" w:cs="Times New Roman"/>
        </w:rPr>
        <w:t xml:space="preserve">In the period of the Second Vatican Council, there was already an understanding that synodality has always been the </w:t>
      </w:r>
      <w:r w:rsidRPr="00FB47FC">
        <w:rPr>
          <w:rFonts w:ascii="Garamond" w:hAnsi="Garamond" w:cs="Times New Roman"/>
          <w:i/>
        </w:rPr>
        <w:t>modus existendi</w:t>
      </w:r>
      <w:r w:rsidRPr="00FB47FC">
        <w:rPr>
          <w:rFonts w:ascii="Garamond" w:hAnsi="Garamond" w:cs="Times New Roman"/>
        </w:rPr>
        <w:t xml:space="preserve"> of the Church and this could stretch back to the Fathers</w:t>
      </w:r>
      <w:r w:rsidR="00D717CB">
        <w:rPr>
          <w:rFonts w:ascii="Garamond" w:hAnsi="Garamond" w:cs="Times New Roman"/>
        </w:rPr>
        <w:t>. Part of the</w:t>
      </w:r>
      <w:r w:rsidRPr="00FB47FC">
        <w:rPr>
          <w:rFonts w:ascii="Garamond" w:hAnsi="Garamond" w:cs="Times New Roman"/>
        </w:rPr>
        <w:t xml:space="preserve"> ecclesiological discourse </w:t>
      </w:r>
      <w:r w:rsidR="00D717CB">
        <w:rPr>
          <w:rFonts w:ascii="Garamond" w:hAnsi="Garamond" w:cs="Times New Roman"/>
        </w:rPr>
        <w:t xml:space="preserve">at Vatican II </w:t>
      </w:r>
      <w:r w:rsidRPr="00FB47FC">
        <w:rPr>
          <w:rFonts w:ascii="Garamond" w:hAnsi="Garamond" w:cs="Times New Roman"/>
        </w:rPr>
        <w:t>includ</w:t>
      </w:r>
      <w:r w:rsidR="00D717CB">
        <w:rPr>
          <w:rFonts w:ascii="Garamond" w:hAnsi="Garamond" w:cs="Times New Roman"/>
        </w:rPr>
        <w:t>e</w:t>
      </w:r>
      <w:r w:rsidRPr="00FB47FC">
        <w:rPr>
          <w:rFonts w:ascii="Garamond" w:hAnsi="Garamond" w:cs="Times New Roman"/>
        </w:rPr>
        <w:t xml:space="preserve"> the relationship between the Church and synod. Hans Küng recalls this understanding of the relationship between the Church and the synod in his 1960 inaugural lecture at Tübingen,</w:t>
      </w:r>
      <w:r w:rsidRPr="00FB47FC">
        <w:rPr>
          <w:rStyle w:val="FootnoteReference"/>
          <w:rFonts w:ascii="Garamond" w:hAnsi="Garamond" w:cs="Times New Roman"/>
        </w:rPr>
        <w:footnoteReference w:id="18"/>
      </w:r>
      <w:r w:rsidRPr="00FB47FC">
        <w:rPr>
          <w:rFonts w:ascii="Garamond" w:hAnsi="Garamond" w:cs="Times New Roman"/>
        </w:rPr>
        <w:t xml:space="preserve"> in his attempt to develop a theology of ecumenical council. Küng addressed a new question at the heels of </w:t>
      </w:r>
      <w:r w:rsidR="00D717CB">
        <w:rPr>
          <w:rFonts w:ascii="Garamond" w:hAnsi="Garamond" w:cs="Times New Roman"/>
        </w:rPr>
        <w:t>Vatican II</w:t>
      </w:r>
      <w:r w:rsidRPr="00FB47FC">
        <w:rPr>
          <w:rFonts w:ascii="Garamond" w:hAnsi="Garamond" w:cs="Times New Roman"/>
        </w:rPr>
        <w:t xml:space="preserve">: </w:t>
      </w:r>
      <w:r w:rsidRPr="00335F51">
        <w:rPr>
          <w:rFonts w:ascii="Garamond" w:hAnsi="Garamond" w:cs="Times New Roman"/>
        </w:rPr>
        <w:t>“Is there such a thing as a theological consideration of the essence of the ecumenical council; that is, is there a theology of the ecumenical council?”</w:t>
      </w:r>
      <w:r w:rsidRPr="00FB47FC">
        <w:rPr>
          <w:rStyle w:val="FootnoteReference"/>
          <w:rFonts w:ascii="Garamond" w:hAnsi="Garamond" w:cs="Times New Roman"/>
        </w:rPr>
        <w:footnoteReference w:id="19"/>
      </w:r>
      <w:r w:rsidRPr="00FB47FC">
        <w:rPr>
          <w:rFonts w:ascii="Garamond" w:hAnsi="Garamond" w:cs="Times New Roman"/>
        </w:rPr>
        <w:t xml:space="preserve"> After pointing out the inadequacies of approaching such a theological question from canonical and historical </w:t>
      </w:r>
      <w:r w:rsidR="00D717CB">
        <w:rPr>
          <w:rFonts w:ascii="Garamond" w:hAnsi="Garamond" w:cs="Times New Roman"/>
        </w:rPr>
        <w:t>perspectives</w:t>
      </w:r>
      <w:r w:rsidRPr="00FB47FC">
        <w:rPr>
          <w:rFonts w:ascii="Garamond" w:hAnsi="Garamond" w:cs="Times New Roman"/>
        </w:rPr>
        <w:t>, Küng demonstrat</w:t>
      </w:r>
      <w:r w:rsidR="00D717CB">
        <w:rPr>
          <w:rFonts w:ascii="Garamond" w:hAnsi="Garamond" w:cs="Times New Roman"/>
        </w:rPr>
        <w:t>es</w:t>
      </w:r>
      <w:r w:rsidRPr="00FB47FC">
        <w:rPr>
          <w:rFonts w:ascii="Garamond" w:hAnsi="Garamond" w:cs="Times New Roman"/>
        </w:rPr>
        <w:t xml:space="preserve"> the etymological connection </w:t>
      </w:r>
      <w:r w:rsidRPr="00335F51">
        <w:rPr>
          <w:rFonts w:ascii="Garamond" w:hAnsi="Garamond" w:cs="Times New Roman"/>
        </w:rPr>
        <w:t xml:space="preserve">between </w:t>
      </w:r>
      <w:r w:rsidRPr="00335F51">
        <w:rPr>
          <w:rFonts w:ascii="Garamond" w:hAnsi="Garamond" w:cs="Times New Roman"/>
          <w:i/>
        </w:rPr>
        <w:t>concilium</w:t>
      </w:r>
      <w:r w:rsidRPr="00335F51">
        <w:rPr>
          <w:rFonts w:ascii="Garamond" w:hAnsi="Garamond" w:cs="Times New Roman"/>
        </w:rPr>
        <w:t xml:space="preserve"> and </w:t>
      </w:r>
      <w:r w:rsidRPr="00335F51">
        <w:rPr>
          <w:rFonts w:ascii="Garamond" w:hAnsi="Garamond" w:cs="Times New Roman"/>
          <w:i/>
        </w:rPr>
        <w:t>ekklesia</w:t>
      </w:r>
      <w:r w:rsidRPr="00335F51">
        <w:rPr>
          <w:rFonts w:ascii="Garamond" w:hAnsi="Garamond" w:cs="Times New Roman"/>
        </w:rPr>
        <w:t xml:space="preserve">, both of which share same linguistic root of “calling” (Latin </w:t>
      </w:r>
      <w:r w:rsidRPr="00335F51">
        <w:rPr>
          <w:rFonts w:ascii="Garamond" w:hAnsi="Garamond" w:cs="Times New Roman"/>
          <w:i/>
        </w:rPr>
        <w:t>calo</w:t>
      </w:r>
      <w:r w:rsidRPr="00335F51">
        <w:rPr>
          <w:rFonts w:ascii="Garamond" w:hAnsi="Garamond" w:cs="Times New Roman"/>
        </w:rPr>
        <w:t xml:space="preserve"> and Greek </w:t>
      </w:r>
      <w:r w:rsidRPr="00335F51">
        <w:rPr>
          <w:rFonts w:ascii="Garamond" w:hAnsi="Garamond" w:cs="Times New Roman"/>
          <w:i/>
        </w:rPr>
        <w:t>kalō</w:t>
      </w:r>
      <w:r w:rsidRPr="00335F51">
        <w:rPr>
          <w:rFonts w:ascii="Garamond" w:hAnsi="Garamond" w:cs="Times New Roman"/>
        </w:rPr>
        <w:t>). This ‘calling’ is a work of divine grace that initiates a new covenant that is no longer subject to the religious distinctions of the Old Testament (cf. Rom.9:24; 1Cor.7, 18-20). The ‘calling’ is addressed to every individual not as a singular entity but only “as a member of the one people, of the one body.”</w:t>
      </w:r>
      <w:r w:rsidRPr="00335F51">
        <w:rPr>
          <w:rStyle w:val="FootnoteReference"/>
          <w:rFonts w:ascii="Garamond" w:hAnsi="Garamond" w:cs="Times New Roman"/>
        </w:rPr>
        <w:footnoteReference w:id="20"/>
      </w:r>
      <w:r w:rsidRPr="00335F51">
        <w:rPr>
          <w:rFonts w:ascii="Garamond" w:hAnsi="Garamond" w:cs="Times New Roman"/>
        </w:rPr>
        <w:t xml:space="preserve"> With this background, Küng brings the two concepts together and affirms that “The whole </w:t>
      </w:r>
      <w:r w:rsidRPr="00335F51">
        <w:rPr>
          <w:rFonts w:ascii="Garamond" w:hAnsi="Garamond" w:cs="Times New Roman"/>
          <w:i/>
        </w:rPr>
        <w:t xml:space="preserve">ekklesia </w:t>
      </w:r>
      <w:r w:rsidRPr="00335F51">
        <w:rPr>
          <w:rFonts w:ascii="Garamond" w:hAnsi="Garamond" w:cs="Times New Roman"/>
        </w:rPr>
        <w:t xml:space="preserve">is the mystic community of believers in Christ. It is – to express it in other words – the great </w:t>
      </w:r>
      <w:r w:rsidRPr="00335F51">
        <w:rPr>
          <w:rFonts w:ascii="Garamond" w:hAnsi="Garamond" w:cs="Times New Roman"/>
          <w:i/>
        </w:rPr>
        <w:t>concilium</w:t>
      </w:r>
      <w:r w:rsidRPr="00335F51">
        <w:rPr>
          <w:rFonts w:ascii="Garamond" w:hAnsi="Garamond" w:cs="Times New Roman"/>
        </w:rPr>
        <w:t xml:space="preserve"> of believers which God himself has called through Jesus Christ in the Spirit.”</w:t>
      </w:r>
      <w:r w:rsidRPr="00335F51">
        <w:rPr>
          <w:rStyle w:val="FootnoteReference"/>
          <w:rFonts w:ascii="Garamond" w:hAnsi="Garamond" w:cs="Times New Roman"/>
        </w:rPr>
        <w:footnoteReference w:id="21"/>
      </w:r>
      <w:r w:rsidRPr="00335F51">
        <w:rPr>
          <w:rFonts w:ascii="Garamond" w:hAnsi="Garamond" w:cs="Times New Roman"/>
        </w:rPr>
        <w:t xml:space="preserve"> </w:t>
      </w:r>
      <w:r w:rsidR="00D717CB" w:rsidRPr="00335F51">
        <w:rPr>
          <w:rFonts w:ascii="Garamond" w:hAnsi="Garamond" w:cs="Times New Roman"/>
        </w:rPr>
        <w:t>F</w:t>
      </w:r>
      <w:r w:rsidRPr="00335F51">
        <w:rPr>
          <w:rFonts w:ascii="Garamond" w:hAnsi="Garamond" w:cs="Times New Roman"/>
        </w:rPr>
        <w:t>urther</w:t>
      </w:r>
      <w:r w:rsidR="00D717CB" w:rsidRPr="00335F51">
        <w:rPr>
          <w:rFonts w:ascii="Garamond" w:hAnsi="Garamond" w:cs="Times New Roman"/>
        </w:rPr>
        <w:t>, he</w:t>
      </w:r>
      <w:r w:rsidRPr="00335F51">
        <w:rPr>
          <w:rFonts w:ascii="Garamond" w:hAnsi="Garamond" w:cs="Times New Roman"/>
        </w:rPr>
        <w:t xml:space="preserve"> equate</w:t>
      </w:r>
      <w:r w:rsidR="00D717CB" w:rsidRPr="00335F51">
        <w:rPr>
          <w:rFonts w:ascii="Garamond" w:hAnsi="Garamond" w:cs="Times New Roman"/>
        </w:rPr>
        <w:t>s</w:t>
      </w:r>
      <w:r w:rsidRPr="00335F51">
        <w:rPr>
          <w:rFonts w:ascii="Garamond" w:hAnsi="Garamond" w:cs="Times New Roman"/>
        </w:rPr>
        <w:t xml:space="preserve"> the Church to an ecumenical council </w:t>
      </w:r>
      <w:r w:rsidR="00D717CB" w:rsidRPr="00335F51">
        <w:rPr>
          <w:rFonts w:ascii="Garamond" w:hAnsi="Garamond" w:cs="Times New Roman"/>
        </w:rPr>
        <w:t>since</w:t>
      </w:r>
      <w:r w:rsidRPr="00335F51">
        <w:rPr>
          <w:rFonts w:ascii="Garamond" w:hAnsi="Garamond" w:cs="Times New Roman"/>
        </w:rPr>
        <w:t xml:space="preserve"> the witness of the gospel is addressed to the entire </w:t>
      </w:r>
      <w:r w:rsidRPr="00335F51">
        <w:rPr>
          <w:rFonts w:ascii="Garamond" w:hAnsi="Garamond" w:cs="Times New Roman"/>
          <w:i/>
        </w:rPr>
        <w:t>oikumene</w:t>
      </w:r>
      <w:r w:rsidRPr="00335F51">
        <w:rPr>
          <w:rFonts w:ascii="Garamond" w:hAnsi="Garamond" w:cs="Times New Roman"/>
        </w:rPr>
        <w:t xml:space="preserve"> (Rom.10:18). Küng concludes that the </w:t>
      </w:r>
      <w:r w:rsidRPr="00335F51">
        <w:rPr>
          <w:rFonts w:ascii="Garamond" w:hAnsi="Garamond" w:cs="Times New Roman"/>
          <w:i/>
        </w:rPr>
        <w:t>ekklesia</w:t>
      </w:r>
      <w:r w:rsidRPr="00335F51">
        <w:rPr>
          <w:rFonts w:ascii="Garamond" w:hAnsi="Garamond" w:cs="Times New Roman"/>
        </w:rPr>
        <w:t xml:space="preserve"> is indeed “a </w:t>
      </w:r>
      <w:r w:rsidRPr="00335F51">
        <w:rPr>
          <w:rFonts w:ascii="Garamond" w:hAnsi="Garamond" w:cs="Times New Roman"/>
          <w:i/>
        </w:rPr>
        <w:t>concilium oecumenicum</w:t>
      </w:r>
      <w:r w:rsidRPr="00335F51">
        <w:rPr>
          <w:rFonts w:ascii="Garamond" w:hAnsi="Garamond" w:cs="Times New Roman"/>
        </w:rPr>
        <w:t>”, and even categorically claims that “the church is an ecumenical council.”</w:t>
      </w:r>
      <w:r w:rsidRPr="00335F51">
        <w:rPr>
          <w:rStyle w:val="FootnoteReference"/>
          <w:rFonts w:ascii="Garamond" w:hAnsi="Garamond" w:cs="Times New Roman"/>
        </w:rPr>
        <w:footnoteReference w:id="22"/>
      </w:r>
      <w:r w:rsidRPr="00335F51">
        <w:rPr>
          <w:rFonts w:ascii="Garamond" w:hAnsi="Garamond" w:cs="Times New Roman"/>
        </w:rPr>
        <w:t xml:space="preserve"> Thus, he blurred the gap between the paradigms ‘of/in’, and in fact fuses them together.</w:t>
      </w:r>
    </w:p>
    <w:p w14:paraId="03F6D9FA" w14:textId="77DC4A9E" w:rsidR="008D7994" w:rsidRPr="00FB47FC" w:rsidRDefault="008D7994" w:rsidP="008D7994">
      <w:pPr>
        <w:ind w:firstLine="720"/>
        <w:rPr>
          <w:rFonts w:ascii="Garamond" w:hAnsi="Garamond" w:cs="Times New Roman"/>
        </w:rPr>
      </w:pPr>
      <w:r w:rsidRPr="00335F51">
        <w:rPr>
          <w:rFonts w:ascii="Garamond" w:hAnsi="Garamond" w:cs="Times New Roman"/>
        </w:rPr>
        <w:t xml:space="preserve">Küng’s argument may have radically challenged the authority structure of the Church, </w:t>
      </w:r>
      <w:r w:rsidR="00D717CB" w:rsidRPr="00335F51">
        <w:rPr>
          <w:rFonts w:ascii="Garamond" w:hAnsi="Garamond" w:cs="Times New Roman"/>
        </w:rPr>
        <w:t>but this</w:t>
      </w:r>
      <w:r w:rsidRPr="00335F51">
        <w:rPr>
          <w:rFonts w:ascii="Garamond" w:hAnsi="Garamond" w:cs="Times New Roman"/>
        </w:rPr>
        <w:t xml:space="preserve"> m</w:t>
      </w:r>
      <w:r w:rsidR="00D717CB" w:rsidRPr="00335F51">
        <w:rPr>
          <w:rFonts w:ascii="Garamond" w:hAnsi="Garamond" w:cs="Times New Roman"/>
        </w:rPr>
        <w:t>ight</w:t>
      </w:r>
      <w:r w:rsidRPr="00335F51">
        <w:rPr>
          <w:rFonts w:ascii="Garamond" w:hAnsi="Garamond" w:cs="Times New Roman"/>
        </w:rPr>
        <w:t xml:space="preserve"> be aimed at disposing ecclesial authority to a greater fulfillment of its purpose. </w:t>
      </w:r>
      <w:r w:rsidR="00D717CB" w:rsidRPr="00335F51">
        <w:rPr>
          <w:rFonts w:ascii="Garamond" w:hAnsi="Garamond" w:cs="Times New Roman"/>
        </w:rPr>
        <w:t>In line with this, he maintains</w:t>
      </w:r>
      <w:r w:rsidRPr="00335F51">
        <w:rPr>
          <w:rFonts w:ascii="Garamond" w:hAnsi="Garamond" w:cs="Times New Roman"/>
        </w:rPr>
        <w:t xml:space="preserve"> that the ecumenical council must satisfy the double conditions of apostolicity. First, it must pay attention to apostolic succession, that is, it must be conducted “in the apostolic spirit, in inner agreement with the apostles.”</w:t>
      </w:r>
      <w:r w:rsidRPr="00335F51">
        <w:rPr>
          <w:rStyle w:val="FootnoteReference"/>
          <w:rFonts w:ascii="Garamond" w:hAnsi="Garamond" w:cs="Times New Roman"/>
        </w:rPr>
        <w:footnoteReference w:id="23"/>
      </w:r>
      <w:r w:rsidRPr="00335F51">
        <w:rPr>
          <w:rFonts w:ascii="Garamond" w:hAnsi="Garamond" w:cs="Times New Roman"/>
        </w:rPr>
        <w:t xml:space="preserve"> This </w:t>
      </w:r>
      <w:r w:rsidR="00D717CB" w:rsidRPr="00335F51">
        <w:rPr>
          <w:rFonts w:ascii="Garamond" w:hAnsi="Garamond" w:cs="Times New Roman"/>
        </w:rPr>
        <w:t xml:space="preserve">broad </w:t>
      </w:r>
      <w:r w:rsidRPr="00335F51">
        <w:rPr>
          <w:rFonts w:ascii="Garamond" w:hAnsi="Garamond" w:cs="Times New Roman"/>
        </w:rPr>
        <w:t xml:space="preserve">definition of apostolicity </w:t>
      </w:r>
      <w:r w:rsidR="00D717CB" w:rsidRPr="00335F51">
        <w:rPr>
          <w:rFonts w:ascii="Garamond" w:hAnsi="Garamond" w:cs="Times New Roman"/>
        </w:rPr>
        <w:t>incorporates</w:t>
      </w:r>
      <w:r w:rsidRPr="00335F51">
        <w:rPr>
          <w:rFonts w:ascii="Garamond" w:hAnsi="Garamond" w:cs="Times New Roman"/>
        </w:rPr>
        <w:t xml:space="preserve"> the priesthood of all baptized . Second, the council is only considered to be in agreement with the apostles “when it conforms to the Holy Scriptures which</w:t>
      </w:r>
      <w:r w:rsidRPr="00FB47FC">
        <w:rPr>
          <w:rFonts w:ascii="Garamond" w:hAnsi="Garamond" w:cs="Times New Roman"/>
        </w:rPr>
        <w:t xml:space="preserve"> the apostles have handed down to us in the church and under whose authority both church and council must stand.”</w:t>
      </w:r>
      <w:r w:rsidRPr="00FB47FC">
        <w:rPr>
          <w:rStyle w:val="FootnoteReference"/>
          <w:rFonts w:ascii="Garamond" w:hAnsi="Garamond" w:cs="Times New Roman"/>
        </w:rPr>
        <w:footnoteReference w:id="24"/>
      </w:r>
      <w:r w:rsidRPr="00FB47FC">
        <w:rPr>
          <w:rFonts w:ascii="Garamond" w:hAnsi="Garamond" w:cs="Times New Roman"/>
        </w:rPr>
        <w:t xml:space="preserve"> In the light of this, Küng further explains that </w:t>
      </w:r>
      <w:r w:rsidRPr="00335F51">
        <w:rPr>
          <w:rFonts w:ascii="Garamond" w:hAnsi="Garamond" w:cs="Times New Roman"/>
        </w:rPr>
        <w:t xml:space="preserve">“An ecumenical council can proclaim no new revelation, but only interpret the old anew; its word is not the inspired word of God, but the word of man spoken with the help of the Spirit. As a limited human word, the word of the council – even though it teaches the inerrant truth with the help of the Spirit promised to the </w:t>
      </w:r>
      <w:r w:rsidRPr="00335F51">
        <w:rPr>
          <w:rFonts w:ascii="Garamond" w:hAnsi="Garamond" w:cs="Times New Roman"/>
        </w:rPr>
        <w:lastRenderedPageBreak/>
        <w:t xml:space="preserve">church – can, according to the encyclical </w:t>
      </w:r>
      <w:r w:rsidRPr="00335F51">
        <w:rPr>
          <w:rFonts w:ascii="Garamond" w:hAnsi="Garamond" w:cs="Times New Roman"/>
          <w:i/>
        </w:rPr>
        <w:t>Humani Generis</w:t>
      </w:r>
      <w:r w:rsidRPr="00335F51">
        <w:rPr>
          <w:rFonts w:ascii="Garamond" w:hAnsi="Garamond" w:cs="Times New Roman"/>
        </w:rPr>
        <w:t>, be clarified, supplemented and perfected.”</w:t>
      </w:r>
      <w:r w:rsidRPr="00335F51">
        <w:rPr>
          <w:rStyle w:val="FootnoteReference"/>
          <w:rFonts w:ascii="Garamond" w:hAnsi="Garamond" w:cs="Times New Roman"/>
        </w:rPr>
        <w:footnoteReference w:id="25"/>
      </w:r>
    </w:p>
    <w:p w14:paraId="3014F867" w14:textId="33B887C6" w:rsidR="008D7994" w:rsidRPr="00FB47FC" w:rsidRDefault="008D7994" w:rsidP="008D7994">
      <w:pPr>
        <w:ind w:firstLine="720"/>
        <w:rPr>
          <w:rFonts w:ascii="Garamond" w:hAnsi="Garamond" w:cs="Times New Roman"/>
        </w:rPr>
      </w:pPr>
      <w:r w:rsidRPr="00FB47FC">
        <w:rPr>
          <w:rFonts w:ascii="Garamond" w:hAnsi="Garamond" w:cs="Times New Roman"/>
        </w:rPr>
        <w:t xml:space="preserve">To provide further clarity, it is interesting to indicate that Küng already distinguishes </w:t>
      </w:r>
      <w:r w:rsidRPr="00335F51">
        <w:rPr>
          <w:rFonts w:ascii="Garamond" w:hAnsi="Garamond" w:cs="Times New Roman"/>
        </w:rPr>
        <w:t xml:space="preserve">between the </w:t>
      </w:r>
      <w:r w:rsidRPr="00335F51">
        <w:rPr>
          <w:rFonts w:ascii="Garamond" w:hAnsi="Garamond" w:cs="Times New Roman"/>
          <w:i/>
        </w:rPr>
        <w:t>representative</w:t>
      </w:r>
      <w:r w:rsidRPr="00335F51">
        <w:rPr>
          <w:rFonts w:ascii="Garamond" w:hAnsi="Garamond" w:cs="Times New Roman"/>
        </w:rPr>
        <w:t xml:space="preserve"> ecumenical council which is convoked by humans and the </w:t>
      </w:r>
      <w:r w:rsidRPr="00335F51">
        <w:rPr>
          <w:rFonts w:ascii="Garamond" w:hAnsi="Garamond" w:cs="Times New Roman"/>
          <w:i/>
        </w:rPr>
        <w:t>real</w:t>
      </w:r>
      <w:r w:rsidRPr="00335F51">
        <w:rPr>
          <w:rFonts w:ascii="Garamond" w:hAnsi="Garamond" w:cs="Times New Roman"/>
        </w:rPr>
        <w:t xml:space="preserve"> ecumenical council called by God</w:t>
      </w:r>
      <w:r w:rsidRPr="00FB47FC">
        <w:rPr>
          <w:rFonts w:ascii="Garamond" w:hAnsi="Garamond" w:cs="Times New Roman"/>
        </w:rPr>
        <w:t>. On the one hand, he argues that “the church is essentially an ecumenical council called by God” which is not dependent on the representative ecumenical council.</w:t>
      </w:r>
      <w:r w:rsidRPr="00FB47FC">
        <w:rPr>
          <w:rStyle w:val="FootnoteReference"/>
          <w:rFonts w:ascii="Garamond" w:hAnsi="Garamond" w:cs="Times New Roman"/>
        </w:rPr>
        <w:footnoteReference w:id="26"/>
      </w:r>
      <w:r w:rsidRPr="00FB47FC">
        <w:rPr>
          <w:rFonts w:ascii="Garamond" w:hAnsi="Garamond" w:cs="Times New Roman"/>
        </w:rPr>
        <w:t xml:space="preserve"> In fact, the Church can exist and have survived through history without the representative ecumenical councils. On the other hand, “the nature of the church as an ecumenical council called by God does not require the </w:t>
      </w:r>
      <w:r w:rsidRPr="00FB47FC">
        <w:rPr>
          <w:rFonts w:ascii="Garamond" w:hAnsi="Garamond" w:cs="Times New Roman"/>
          <w:i/>
        </w:rPr>
        <w:t>existence</w:t>
      </w:r>
      <w:r w:rsidRPr="00FB47FC">
        <w:rPr>
          <w:rFonts w:ascii="Garamond" w:hAnsi="Garamond" w:cs="Times New Roman"/>
        </w:rPr>
        <w:t xml:space="preserve"> of an ecumenical council called by men.”</w:t>
      </w:r>
      <w:r w:rsidRPr="00FB47FC">
        <w:rPr>
          <w:rStyle w:val="FootnoteReference"/>
          <w:rFonts w:ascii="Garamond" w:hAnsi="Garamond" w:cs="Times New Roman"/>
        </w:rPr>
        <w:footnoteReference w:id="27"/>
      </w:r>
      <w:r w:rsidRPr="00FB47FC">
        <w:rPr>
          <w:rFonts w:ascii="Garamond" w:hAnsi="Garamond" w:cs="Times New Roman"/>
        </w:rPr>
        <w:t xml:space="preserve"> However, the contingent existence of the ‘ecumenical council called by men’ does not render it ‘vague’ since it still operates eminently in its representation of the one, holy, catholic and apostolic Church. Küng fully understands the ‘difficult task’ to which the council is called particularly in responding to the turbulent times and seasons, and so he did not intend to ridicule the council. And so, Küng’s argument theologically deepen</w:t>
      </w:r>
      <w:r w:rsidR="00D717CB">
        <w:rPr>
          <w:rFonts w:ascii="Garamond" w:hAnsi="Garamond" w:cs="Times New Roman"/>
        </w:rPr>
        <w:t>s</w:t>
      </w:r>
      <w:r w:rsidRPr="00FB47FC">
        <w:rPr>
          <w:rFonts w:ascii="Garamond" w:hAnsi="Garamond" w:cs="Times New Roman"/>
        </w:rPr>
        <w:t xml:space="preserve"> the understanding of synodality as a particular self-understanding (identity, ecclesiology, </w:t>
      </w:r>
      <w:r w:rsidRPr="00FB47FC">
        <w:rPr>
          <w:rFonts w:ascii="Garamond" w:hAnsi="Garamond" w:cs="Times New Roman"/>
          <w:i/>
          <w:iCs/>
        </w:rPr>
        <w:t>modus vivendi</w:t>
      </w:r>
      <w:r w:rsidRPr="00FB47FC">
        <w:rPr>
          <w:rFonts w:ascii="Garamond" w:hAnsi="Garamond" w:cs="Times New Roman"/>
        </w:rPr>
        <w:t xml:space="preserve">) </w:t>
      </w:r>
      <w:r w:rsidRPr="008D7994">
        <w:rPr>
          <w:rFonts w:ascii="Garamond" w:hAnsi="Garamond" w:cs="Times New Roman"/>
          <w:b/>
          <w:bCs/>
          <w:i/>
          <w:iCs/>
        </w:rPr>
        <w:t xml:space="preserve">of </w:t>
      </w:r>
      <w:r w:rsidRPr="00FB47FC">
        <w:rPr>
          <w:rFonts w:ascii="Garamond" w:hAnsi="Garamond" w:cs="Times New Roman"/>
        </w:rPr>
        <w:t xml:space="preserve">the Church rather than an event that is targeting at achieving certain objectives </w:t>
      </w:r>
      <w:r w:rsidRPr="008D7994">
        <w:rPr>
          <w:rFonts w:ascii="Garamond" w:hAnsi="Garamond" w:cs="Times New Roman"/>
          <w:b/>
          <w:bCs/>
          <w:i/>
          <w:iCs/>
        </w:rPr>
        <w:t>in</w:t>
      </w:r>
      <w:r w:rsidRPr="00FB47FC">
        <w:rPr>
          <w:rFonts w:ascii="Garamond" w:hAnsi="Garamond" w:cs="Times New Roman"/>
        </w:rPr>
        <w:t xml:space="preserve"> the Church. </w:t>
      </w:r>
    </w:p>
    <w:p w14:paraId="21E2E9CD" w14:textId="5C3BEEA8" w:rsidR="008D7994" w:rsidRPr="00FB47FC" w:rsidRDefault="008D7994" w:rsidP="008D7994">
      <w:pPr>
        <w:rPr>
          <w:rFonts w:ascii="Garamond" w:hAnsi="Garamond" w:cs="Times New Roman"/>
        </w:rPr>
      </w:pPr>
      <w:r w:rsidRPr="00FB47FC">
        <w:rPr>
          <w:rFonts w:ascii="Garamond" w:hAnsi="Garamond" w:cs="Times New Roman"/>
        </w:rPr>
        <w:tab/>
      </w:r>
      <w:r>
        <w:rPr>
          <w:rFonts w:ascii="Garamond" w:hAnsi="Garamond" w:cs="Times New Roman"/>
        </w:rPr>
        <w:t xml:space="preserve">Both </w:t>
      </w:r>
      <w:r w:rsidR="00D717CB">
        <w:rPr>
          <w:rFonts w:ascii="Garamond" w:hAnsi="Garamond" w:cs="Times New Roman"/>
        </w:rPr>
        <w:t xml:space="preserve">paradigms </w:t>
      </w:r>
      <w:r>
        <w:rPr>
          <w:rFonts w:ascii="Garamond" w:hAnsi="Garamond" w:cs="Times New Roman"/>
        </w:rPr>
        <w:t xml:space="preserve">are important. </w:t>
      </w:r>
      <w:r w:rsidR="00D717CB">
        <w:rPr>
          <w:rFonts w:ascii="Garamond" w:hAnsi="Garamond" w:cs="Times New Roman"/>
        </w:rPr>
        <w:t>C</w:t>
      </w:r>
      <w:r w:rsidRPr="00FB47FC">
        <w:rPr>
          <w:rFonts w:ascii="Garamond" w:hAnsi="Garamond" w:cs="Times New Roman"/>
        </w:rPr>
        <w:t xml:space="preserve">ollegial-synodality maintains the communion within the Church </w:t>
      </w:r>
      <w:r>
        <w:rPr>
          <w:rFonts w:ascii="Garamond" w:hAnsi="Garamond" w:cs="Times New Roman"/>
        </w:rPr>
        <w:t>through</w:t>
      </w:r>
      <w:r w:rsidRPr="00FB47FC">
        <w:rPr>
          <w:rFonts w:ascii="Garamond" w:hAnsi="Garamond" w:cs="Times New Roman"/>
        </w:rPr>
        <w:t xml:space="preserve"> the praxis of synodality </w:t>
      </w:r>
      <w:r w:rsidRPr="00FB47FC">
        <w:rPr>
          <w:rFonts w:ascii="Garamond" w:hAnsi="Garamond" w:cs="Times New Roman"/>
          <w:i/>
        </w:rPr>
        <w:t>in</w:t>
      </w:r>
      <w:r w:rsidRPr="00FB47FC">
        <w:rPr>
          <w:rFonts w:ascii="Garamond" w:hAnsi="Garamond" w:cs="Times New Roman"/>
        </w:rPr>
        <w:t xml:space="preserve"> the Church. </w:t>
      </w:r>
      <w:r w:rsidR="00D717CB">
        <w:rPr>
          <w:rFonts w:ascii="Garamond" w:hAnsi="Garamond" w:cs="Times New Roman"/>
        </w:rPr>
        <w:t>But</w:t>
      </w:r>
      <w:r w:rsidRPr="00FB47FC">
        <w:rPr>
          <w:rFonts w:ascii="Garamond" w:hAnsi="Garamond" w:cs="Times New Roman"/>
        </w:rPr>
        <w:t xml:space="preserve"> a theological foundation for a synodality </w:t>
      </w:r>
      <w:r w:rsidRPr="00FB47FC">
        <w:rPr>
          <w:rFonts w:ascii="Garamond" w:hAnsi="Garamond" w:cs="Times New Roman"/>
          <w:i/>
        </w:rPr>
        <w:t>of</w:t>
      </w:r>
      <w:r w:rsidRPr="00FB47FC">
        <w:rPr>
          <w:rFonts w:ascii="Garamond" w:hAnsi="Garamond" w:cs="Times New Roman"/>
        </w:rPr>
        <w:t xml:space="preserve"> the Church is rooted not simply in episcopal collegiality but rather in baptism that grounds the </w:t>
      </w:r>
      <w:r w:rsidRPr="00FB47FC">
        <w:rPr>
          <w:rFonts w:ascii="Garamond" w:hAnsi="Garamond" w:cs="Times New Roman"/>
          <w:i/>
        </w:rPr>
        <w:t>sensus fidelium</w:t>
      </w:r>
      <w:r w:rsidRPr="00FB47FC">
        <w:rPr>
          <w:rFonts w:ascii="Garamond" w:hAnsi="Garamond" w:cs="Times New Roman"/>
        </w:rPr>
        <w:t xml:space="preserve"> of the People of God. And this is where Küng’s double understanding of ecumenical council begins to make sense once again.</w:t>
      </w:r>
    </w:p>
    <w:p w14:paraId="1930130D" w14:textId="77777777" w:rsidR="008D7994" w:rsidRPr="00FB47FC" w:rsidRDefault="008D7994" w:rsidP="008D7994">
      <w:pPr>
        <w:rPr>
          <w:rFonts w:ascii="Garamond" w:hAnsi="Garamond" w:cs="Times New Roman"/>
        </w:rPr>
      </w:pPr>
    </w:p>
    <w:p w14:paraId="64578853" w14:textId="77777777" w:rsidR="008D7994" w:rsidRPr="002934DC" w:rsidRDefault="008D7994" w:rsidP="008D7994">
      <w:pPr>
        <w:rPr>
          <w:rFonts w:ascii="Garamond" w:hAnsi="Garamond" w:cs="Times New Roman"/>
          <w:b/>
          <w:bCs/>
        </w:rPr>
      </w:pPr>
      <w:r w:rsidRPr="002934DC">
        <w:rPr>
          <w:rFonts w:ascii="Garamond" w:hAnsi="Garamond" w:cs="Times New Roman"/>
          <w:b/>
          <w:bCs/>
        </w:rPr>
        <w:t>Conclusion</w:t>
      </w:r>
    </w:p>
    <w:p w14:paraId="0D15D79C" w14:textId="77777777" w:rsidR="008D7994" w:rsidRPr="00FB47FC" w:rsidRDefault="008D7994" w:rsidP="008D7994">
      <w:pPr>
        <w:rPr>
          <w:rFonts w:ascii="Garamond" w:hAnsi="Garamond" w:cs="Times New Roman"/>
        </w:rPr>
      </w:pPr>
    </w:p>
    <w:p w14:paraId="0F40EB45" w14:textId="023F7F0C" w:rsidR="00803626" w:rsidRDefault="008D7994">
      <w:pPr>
        <w:rPr>
          <w:rFonts w:ascii="Garamond" w:hAnsi="Garamond"/>
        </w:rPr>
      </w:pPr>
      <w:r>
        <w:rPr>
          <w:rFonts w:ascii="Garamond" w:hAnsi="Garamond"/>
        </w:rPr>
        <w:t xml:space="preserve">The understanding of synodality </w:t>
      </w:r>
      <w:r w:rsidR="00D717CB">
        <w:rPr>
          <w:rFonts w:ascii="Garamond" w:hAnsi="Garamond"/>
        </w:rPr>
        <w:t>among</w:t>
      </w:r>
      <w:r>
        <w:rPr>
          <w:rFonts w:ascii="Garamond" w:hAnsi="Garamond"/>
        </w:rPr>
        <w:t xml:space="preserve"> the Fathers stem from their analysis of what should be the modality of organizing councils in the church. This is understood in terms of the functions, levels of consultations, the nature of the consultation, and the contributions of each of the consituent parts (bishops, priests, and laity) that make up the ecclesial assembly. What emerges from this when considered theologically is a synodal praxis that is differentiated in its structure. Limiting this praxis to the structure implies that it is not clear whether the contributions of certains parts (priests and laity) could account for the content of the synodal praxis in terms of really shaping ecclesial teaching and practices. If we stop our narrative here, then we are left with a form of synodality </w:t>
      </w:r>
      <w:r w:rsidRPr="003867FA">
        <w:rPr>
          <w:rFonts w:ascii="Garamond" w:hAnsi="Garamond"/>
          <w:i/>
          <w:iCs/>
        </w:rPr>
        <w:t>in</w:t>
      </w:r>
      <w:r>
        <w:rPr>
          <w:rFonts w:ascii="Garamond" w:hAnsi="Garamond"/>
        </w:rPr>
        <w:t xml:space="preserve"> the church, which is only but a practice within the church and without which the church can still function. However, the perspective on the synonymity of synod and church opens us the debate on the understanding of synodality as a proper attribute </w:t>
      </w:r>
      <w:r w:rsidRPr="003867FA">
        <w:rPr>
          <w:rFonts w:ascii="Garamond" w:hAnsi="Garamond"/>
          <w:i/>
          <w:iCs/>
        </w:rPr>
        <w:t>of</w:t>
      </w:r>
      <w:r>
        <w:rPr>
          <w:rFonts w:ascii="Garamond" w:hAnsi="Garamond"/>
        </w:rPr>
        <w:t xml:space="preserve"> the church, an ecclesial identity, an ecclesiology. The synonymity of the two implies that synodality is no longer limited to the authority of the bishops but is rather grounded in the baptism that is received by all. By linking </w:t>
      </w:r>
      <w:r w:rsidRPr="003867FA">
        <w:rPr>
          <w:rFonts w:ascii="Garamond" w:hAnsi="Garamond"/>
          <w:i/>
          <w:iCs/>
        </w:rPr>
        <w:t>concilium</w:t>
      </w:r>
      <w:r>
        <w:rPr>
          <w:rFonts w:ascii="Garamond" w:hAnsi="Garamond"/>
        </w:rPr>
        <w:t xml:space="preserve"> and </w:t>
      </w:r>
      <w:r w:rsidRPr="003867FA">
        <w:rPr>
          <w:rFonts w:ascii="Garamond" w:hAnsi="Garamond"/>
          <w:i/>
          <w:iCs/>
        </w:rPr>
        <w:t>ekklesia</w:t>
      </w:r>
      <w:r>
        <w:rPr>
          <w:rFonts w:ascii="Garamond" w:hAnsi="Garamond"/>
        </w:rPr>
        <w:t xml:space="preserve">, Küng futher clarifies the tendency to understand synodality from  exclusivist terms through his double distinction of ecumenical council. </w:t>
      </w:r>
    </w:p>
    <w:p w14:paraId="5A576807" w14:textId="77777777" w:rsidR="00D717CB" w:rsidRDefault="00D717CB">
      <w:pPr>
        <w:rPr>
          <w:rFonts w:ascii="Garamond" w:hAnsi="Garamond"/>
        </w:rPr>
      </w:pPr>
    </w:p>
    <w:p w14:paraId="0E0AF366" w14:textId="77777777" w:rsidR="00D717CB" w:rsidRDefault="00D717CB">
      <w:pPr>
        <w:rPr>
          <w:rFonts w:ascii="Garamond" w:hAnsi="Garamond"/>
        </w:rPr>
      </w:pPr>
    </w:p>
    <w:p w14:paraId="035A999A" w14:textId="77777777" w:rsidR="00D717CB" w:rsidRDefault="00D717CB">
      <w:pPr>
        <w:rPr>
          <w:rFonts w:ascii="Garamond" w:hAnsi="Garamond"/>
        </w:rPr>
      </w:pPr>
    </w:p>
    <w:p w14:paraId="720B34EC" w14:textId="42348639" w:rsidR="00D717CB" w:rsidRPr="00D717CB" w:rsidRDefault="00D717CB" w:rsidP="00D717CB">
      <w:pPr>
        <w:jc w:val="right"/>
        <w:rPr>
          <w:rFonts w:ascii="Garamond" w:hAnsi="Garamond"/>
          <w:b/>
          <w:bCs/>
          <w:sz w:val="18"/>
          <w:szCs w:val="18"/>
        </w:rPr>
      </w:pPr>
      <w:r w:rsidRPr="00D717CB">
        <w:rPr>
          <w:rFonts w:ascii="Garamond" w:hAnsi="Garamond"/>
          <w:b/>
          <w:bCs/>
          <w:sz w:val="18"/>
          <w:szCs w:val="18"/>
        </w:rPr>
        <w:t>Ikenna Paschal Okpaleke</w:t>
      </w:r>
    </w:p>
    <w:p w14:paraId="580797C4" w14:textId="2AEC6D22" w:rsidR="00D717CB" w:rsidRPr="00D717CB" w:rsidRDefault="00D717CB" w:rsidP="00D717CB">
      <w:pPr>
        <w:jc w:val="right"/>
        <w:rPr>
          <w:rFonts w:ascii="Garamond" w:hAnsi="Garamond"/>
          <w:sz w:val="18"/>
          <w:szCs w:val="18"/>
        </w:rPr>
      </w:pPr>
      <w:r w:rsidRPr="00D717CB">
        <w:rPr>
          <w:rFonts w:ascii="Garamond" w:hAnsi="Garamond"/>
          <w:sz w:val="18"/>
          <w:szCs w:val="18"/>
        </w:rPr>
        <w:t>Faculty of Theology and Religious Studies</w:t>
      </w:r>
    </w:p>
    <w:p w14:paraId="2D9708DD" w14:textId="460DD829" w:rsidR="00D717CB" w:rsidRPr="00D717CB" w:rsidRDefault="00D717CB" w:rsidP="00D717CB">
      <w:pPr>
        <w:jc w:val="right"/>
        <w:rPr>
          <w:rFonts w:ascii="Garamond" w:hAnsi="Garamond"/>
          <w:sz w:val="18"/>
          <w:szCs w:val="18"/>
        </w:rPr>
      </w:pPr>
      <w:r w:rsidRPr="00D717CB">
        <w:rPr>
          <w:rFonts w:ascii="Garamond" w:hAnsi="Garamond"/>
          <w:sz w:val="18"/>
          <w:szCs w:val="18"/>
        </w:rPr>
        <w:t>Catholic University of Louvain (UCLouvain)</w:t>
      </w:r>
    </w:p>
    <w:p w14:paraId="25F146C3" w14:textId="14D52CA0" w:rsidR="00D717CB" w:rsidRPr="00D717CB" w:rsidRDefault="00D717CB" w:rsidP="00D717CB">
      <w:pPr>
        <w:jc w:val="right"/>
        <w:rPr>
          <w:rFonts w:ascii="Garamond" w:hAnsi="Garamond"/>
          <w:sz w:val="18"/>
          <w:szCs w:val="18"/>
        </w:rPr>
      </w:pPr>
      <w:r w:rsidRPr="00D717CB">
        <w:rPr>
          <w:rFonts w:ascii="Garamond" w:hAnsi="Garamond"/>
          <w:sz w:val="18"/>
          <w:szCs w:val="18"/>
        </w:rPr>
        <w:t>Grand Place 45, Box L3.01.01</w:t>
      </w:r>
    </w:p>
    <w:p w14:paraId="7D30A5E3" w14:textId="1082FCA6" w:rsidR="00D717CB" w:rsidRPr="00D717CB" w:rsidRDefault="00D717CB" w:rsidP="00D717CB">
      <w:pPr>
        <w:jc w:val="right"/>
        <w:rPr>
          <w:rFonts w:ascii="Garamond" w:hAnsi="Garamond"/>
          <w:sz w:val="18"/>
          <w:szCs w:val="18"/>
        </w:rPr>
      </w:pPr>
      <w:r w:rsidRPr="00D717CB">
        <w:rPr>
          <w:rFonts w:ascii="Garamond" w:hAnsi="Garamond"/>
          <w:sz w:val="18"/>
          <w:szCs w:val="18"/>
        </w:rPr>
        <w:t>1348 Louvain-la- Neuve, BE</w:t>
      </w:r>
    </w:p>
    <w:p w14:paraId="3A30D135" w14:textId="74E737E9" w:rsidR="00D717CB" w:rsidRPr="00D717CB" w:rsidRDefault="00D717CB" w:rsidP="00D717CB">
      <w:pPr>
        <w:jc w:val="right"/>
        <w:rPr>
          <w:rFonts w:ascii="Garamond" w:hAnsi="Garamond"/>
          <w:sz w:val="18"/>
          <w:szCs w:val="18"/>
        </w:rPr>
      </w:pPr>
      <w:r w:rsidRPr="00D717CB">
        <w:rPr>
          <w:rFonts w:ascii="Garamond" w:hAnsi="Garamond"/>
          <w:sz w:val="18"/>
          <w:szCs w:val="18"/>
        </w:rPr>
        <w:t>Ikenna.okpaleke@uclouvain.be</w:t>
      </w:r>
    </w:p>
    <w:sectPr w:rsidR="00D717CB" w:rsidRPr="00D717CB" w:rsidSect="008D7994">
      <w:footerReference w:type="even" r:id="rId7"/>
      <w:footerReference w:type="default" r:id="rId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6649A9" w14:textId="77777777" w:rsidR="00B03352" w:rsidRDefault="00B03352" w:rsidP="008D7994">
      <w:r>
        <w:separator/>
      </w:r>
    </w:p>
  </w:endnote>
  <w:endnote w:type="continuationSeparator" w:id="0">
    <w:p w14:paraId="41A0B57A" w14:textId="77777777" w:rsidR="00B03352" w:rsidRDefault="00B03352" w:rsidP="008D7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00"/>
    <w:family w:val="roman"/>
    <w:pitch w:val="variable"/>
    <w:sig w:usb0="00000287" w:usb1="00000002" w:usb2="00000000" w:usb3="00000000" w:csb0="0000009F" w:csb1="00000000"/>
  </w:font>
  <w:font w:name="Symbol">
    <w:panose1 w:val="05050102010706020507"/>
    <w:charset w:val="02"/>
    <w:family w:val="decorative"/>
    <w:pitch w:val="variable"/>
    <w:sig w:usb0="00000003" w:usb1="10000000" w:usb2="00000000" w:usb3="00000000" w:csb0="8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12873664"/>
      <w:docPartObj>
        <w:docPartGallery w:val="Page Numbers (Bottom of Page)"/>
        <w:docPartUnique/>
      </w:docPartObj>
    </w:sdtPr>
    <w:sdtContent>
      <w:p w14:paraId="1E441C4B" w14:textId="703C1B67" w:rsidR="008D7994" w:rsidRDefault="008D7994" w:rsidP="00FD096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2728424" w14:textId="77777777" w:rsidR="008D7994" w:rsidRDefault="008D7994" w:rsidP="008D799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Garamond" w:hAnsi="Garamond"/>
        <w:sz w:val="21"/>
        <w:szCs w:val="21"/>
      </w:rPr>
      <w:id w:val="-103732103"/>
      <w:docPartObj>
        <w:docPartGallery w:val="Page Numbers (Bottom of Page)"/>
        <w:docPartUnique/>
      </w:docPartObj>
    </w:sdtPr>
    <w:sdtContent>
      <w:p w14:paraId="6D40E0E7" w14:textId="64B734D4" w:rsidR="008D7994" w:rsidRPr="008D7994" w:rsidRDefault="008D7994" w:rsidP="00FD0964">
        <w:pPr>
          <w:pStyle w:val="Footer"/>
          <w:framePr w:wrap="none" w:vAnchor="text" w:hAnchor="margin" w:xAlign="right" w:y="1"/>
          <w:rPr>
            <w:rStyle w:val="PageNumber"/>
            <w:rFonts w:ascii="Garamond" w:hAnsi="Garamond"/>
            <w:sz w:val="21"/>
            <w:szCs w:val="21"/>
          </w:rPr>
        </w:pPr>
        <w:r w:rsidRPr="008D7994">
          <w:rPr>
            <w:rStyle w:val="PageNumber"/>
            <w:rFonts w:ascii="Garamond" w:hAnsi="Garamond"/>
            <w:sz w:val="21"/>
            <w:szCs w:val="21"/>
          </w:rPr>
          <w:fldChar w:fldCharType="begin"/>
        </w:r>
        <w:r w:rsidRPr="008D7994">
          <w:rPr>
            <w:rStyle w:val="PageNumber"/>
            <w:rFonts w:ascii="Garamond" w:hAnsi="Garamond"/>
            <w:sz w:val="21"/>
            <w:szCs w:val="21"/>
          </w:rPr>
          <w:instrText xml:space="preserve"> PAGE </w:instrText>
        </w:r>
        <w:r w:rsidRPr="008D7994">
          <w:rPr>
            <w:rStyle w:val="PageNumber"/>
            <w:rFonts w:ascii="Garamond" w:hAnsi="Garamond"/>
            <w:sz w:val="21"/>
            <w:szCs w:val="21"/>
          </w:rPr>
          <w:fldChar w:fldCharType="separate"/>
        </w:r>
        <w:r w:rsidRPr="008D7994">
          <w:rPr>
            <w:rStyle w:val="PageNumber"/>
            <w:rFonts w:ascii="Garamond" w:hAnsi="Garamond"/>
            <w:noProof/>
            <w:sz w:val="21"/>
            <w:szCs w:val="21"/>
          </w:rPr>
          <w:t>2</w:t>
        </w:r>
        <w:r w:rsidRPr="008D7994">
          <w:rPr>
            <w:rStyle w:val="PageNumber"/>
            <w:rFonts w:ascii="Garamond" w:hAnsi="Garamond"/>
            <w:sz w:val="21"/>
            <w:szCs w:val="21"/>
          </w:rPr>
          <w:fldChar w:fldCharType="end"/>
        </w:r>
      </w:p>
    </w:sdtContent>
  </w:sdt>
  <w:p w14:paraId="0F77428D" w14:textId="77777777" w:rsidR="008D7994" w:rsidRPr="008D7994" w:rsidRDefault="008D7994" w:rsidP="008D7994">
    <w:pPr>
      <w:pStyle w:val="Footer"/>
      <w:ind w:right="360"/>
      <w:rPr>
        <w:rFonts w:ascii="Garamond" w:hAnsi="Garamond"/>
        <w:sz w:val="21"/>
        <w:szCs w:val="2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2D0EB0" w14:textId="77777777" w:rsidR="00B03352" w:rsidRDefault="00B03352" w:rsidP="008D7994">
      <w:r>
        <w:separator/>
      </w:r>
    </w:p>
  </w:footnote>
  <w:footnote w:type="continuationSeparator" w:id="0">
    <w:p w14:paraId="64C839D3" w14:textId="77777777" w:rsidR="00B03352" w:rsidRDefault="00B03352" w:rsidP="008D7994">
      <w:r>
        <w:continuationSeparator/>
      </w:r>
    </w:p>
  </w:footnote>
  <w:footnote w:id="1">
    <w:p w14:paraId="0164D278"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Bart D. Ehrman, ed. and trans., </w:t>
      </w:r>
      <w:r w:rsidRPr="00FB47FC">
        <w:rPr>
          <w:rFonts w:ascii="Garamond" w:hAnsi="Garamond"/>
          <w:i/>
          <w:lang w:val="en-US"/>
        </w:rPr>
        <w:t xml:space="preserve">The Apostolic Fathers: I Clement, II Clement, Ignatius, Polycarp, Didache </w:t>
      </w:r>
      <w:r w:rsidRPr="00FB47FC">
        <w:rPr>
          <w:rFonts w:ascii="Garamond" w:hAnsi="Garamond"/>
          <w:lang w:val="en-US"/>
        </w:rPr>
        <w:t>(Cambridge/ London: Harvard University Press, 2003), 258/259.</w:t>
      </w:r>
    </w:p>
  </w:footnote>
  <w:footnote w:id="2">
    <w:p w14:paraId="13EB006A"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Ehrman, ed. and trans., </w:t>
      </w:r>
      <w:r w:rsidRPr="00FB47FC">
        <w:rPr>
          <w:rFonts w:ascii="Garamond" w:hAnsi="Garamond"/>
          <w:i/>
          <w:lang w:val="en-US"/>
        </w:rPr>
        <w:t>The Apostolic Fathers</w:t>
      </w:r>
      <w:r w:rsidRPr="00FB47FC">
        <w:rPr>
          <w:rFonts w:ascii="Garamond" w:hAnsi="Garamond"/>
          <w:lang w:val="en-US"/>
        </w:rPr>
        <w:t>, 290/291.</w:t>
      </w:r>
    </w:p>
  </w:footnote>
  <w:footnote w:id="3">
    <w:p w14:paraId="397BAC8A"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Ehrman, ed. and trans., </w:t>
      </w:r>
      <w:r w:rsidRPr="00FB47FC">
        <w:rPr>
          <w:rFonts w:ascii="Garamond" w:hAnsi="Garamond"/>
          <w:i/>
          <w:lang w:val="en-US"/>
        </w:rPr>
        <w:t>The Apostolic Fathers</w:t>
      </w:r>
      <w:r w:rsidRPr="00FB47FC">
        <w:rPr>
          <w:rFonts w:ascii="Garamond" w:hAnsi="Garamond"/>
          <w:lang w:val="en-US"/>
        </w:rPr>
        <w:t>, 318/319.</w:t>
      </w:r>
    </w:p>
  </w:footnote>
  <w:footnote w:id="4">
    <w:p w14:paraId="5896FACB"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Paul Valliere, </w:t>
      </w:r>
      <w:r w:rsidRPr="00FB47FC">
        <w:rPr>
          <w:rFonts w:ascii="Garamond" w:hAnsi="Garamond"/>
          <w:i/>
          <w:lang w:val="en-US"/>
        </w:rPr>
        <w:t>Conciliarism: A History of Decision-Making in the Church</w:t>
      </w:r>
      <w:r w:rsidRPr="00FB47FC">
        <w:rPr>
          <w:rFonts w:ascii="Garamond" w:hAnsi="Garamond"/>
          <w:lang w:val="en-US"/>
        </w:rPr>
        <w:t xml:space="preserve"> (Cambridge: Cambridge University Press, 2012), 50.</w:t>
      </w:r>
    </w:p>
  </w:footnote>
  <w:footnote w:id="5">
    <w:p w14:paraId="33201903"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Nicholas of Cusa, </w:t>
      </w:r>
      <w:r w:rsidRPr="00FB47FC">
        <w:rPr>
          <w:rFonts w:ascii="Garamond" w:hAnsi="Garamond"/>
          <w:i/>
          <w:lang w:val="en-US"/>
        </w:rPr>
        <w:t>The Catholic Concordance</w:t>
      </w:r>
      <w:r w:rsidRPr="00FB47FC">
        <w:rPr>
          <w:rFonts w:ascii="Garamond" w:hAnsi="Garamond"/>
          <w:lang w:val="en-US"/>
        </w:rPr>
        <w:t>, ed. And trans. Paul E. Sigmund (Cambridge: Cambridge University Press, 1991), 49.</w:t>
      </w:r>
    </w:p>
  </w:footnote>
  <w:footnote w:id="6">
    <w:p w14:paraId="716C44B4"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Valliere, </w:t>
      </w:r>
      <w:r w:rsidRPr="00FB47FC">
        <w:rPr>
          <w:rFonts w:ascii="Garamond" w:hAnsi="Garamond"/>
          <w:i/>
          <w:lang w:val="en-US"/>
        </w:rPr>
        <w:t>Conciliarism</w:t>
      </w:r>
      <w:r w:rsidRPr="00FB47FC">
        <w:rPr>
          <w:rFonts w:ascii="Garamond" w:hAnsi="Garamond"/>
          <w:lang w:val="en-US"/>
        </w:rPr>
        <w:t>, 52.</w:t>
      </w:r>
    </w:p>
  </w:footnote>
  <w:footnote w:id="7">
    <w:p w14:paraId="6194AB91"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Margaret Abiodun </w:t>
      </w:r>
      <w:proofErr w:type="spellStart"/>
      <w:r w:rsidRPr="00FB47FC">
        <w:rPr>
          <w:rFonts w:ascii="Garamond" w:hAnsi="Garamond"/>
          <w:lang w:val="en-US"/>
        </w:rPr>
        <w:t>Fagbamigbe</w:t>
      </w:r>
      <w:proofErr w:type="spellEnd"/>
      <w:r w:rsidRPr="00FB47FC">
        <w:rPr>
          <w:rFonts w:ascii="Garamond" w:hAnsi="Garamond"/>
          <w:lang w:val="en-US"/>
        </w:rPr>
        <w:t xml:space="preserve">, “‘Synod’ in the Teachings of Church Fathers: Lessons for a Synodal Church Today,” </w:t>
      </w:r>
      <w:r w:rsidRPr="00FB47FC">
        <w:rPr>
          <w:rFonts w:ascii="Garamond" w:hAnsi="Garamond"/>
          <w:i/>
          <w:lang w:val="en-US"/>
        </w:rPr>
        <w:t>The Catholic Voyage</w:t>
      </w:r>
      <w:r w:rsidRPr="00FB47FC">
        <w:rPr>
          <w:rFonts w:ascii="Garamond" w:hAnsi="Garamond"/>
          <w:lang w:val="en-US"/>
        </w:rPr>
        <w:t xml:space="preserve"> 20, no.1 (2023): 19-37; 30.</w:t>
      </w:r>
    </w:p>
  </w:footnote>
  <w:footnote w:id="8">
    <w:p w14:paraId="12B4E62C"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ITC, </w:t>
      </w:r>
      <w:r w:rsidRPr="00FB47FC">
        <w:rPr>
          <w:rFonts w:ascii="Garamond" w:hAnsi="Garamond"/>
          <w:i/>
          <w:lang w:val="en-US"/>
        </w:rPr>
        <w:t>Synodality in the Life and Mission of the Church</w:t>
      </w:r>
      <w:r w:rsidRPr="00FB47FC">
        <w:rPr>
          <w:rFonts w:ascii="Garamond" w:hAnsi="Garamond"/>
          <w:lang w:val="en-US"/>
        </w:rPr>
        <w:t>, §25.</w:t>
      </w:r>
    </w:p>
  </w:footnote>
  <w:footnote w:id="9">
    <w:p w14:paraId="40EEEA18"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Ehrman, ed. and trans., </w:t>
      </w:r>
      <w:r w:rsidRPr="00FB47FC">
        <w:rPr>
          <w:rFonts w:ascii="Garamond" w:hAnsi="Garamond"/>
          <w:i/>
          <w:lang w:val="en-US"/>
        </w:rPr>
        <w:t>The Apostolic Fathers</w:t>
      </w:r>
      <w:r w:rsidRPr="00FB47FC">
        <w:rPr>
          <w:rFonts w:ascii="Garamond" w:hAnsi="Garamond"/>
          <w:lang w:val="en-US"/>
        </w:rPr>
        <w:t>, 228/229.</w:t>
      </w:r>
    </w:p>
  </w:footnote>
  <w:footnote w:id="10">
    <w:p w14:paraId="289778D5"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G.W. Clarke, ed., </w:t>
      </w:r>
      <w:r w:rsidRPr="00FB47FC">
        <w:rPr>
          <w:rFonts w:ascii="Garamond" w:hAnsi="Garamond"/>
          <w:i/>
          <w:lang w:val="en-US"/>
        </w:rPr>
        <w:t>The Letters of St. Cyprian of Carthage</w:t>
      </w:r>
      <w:r w:rsidRPr="00FB47FC">
        <w:rPr>
          <w:rFonts w:ascii="Garamond" w:hAnsi="Garamond"/>
          <w:lang w:val="en-US"/>
        </w:rPr>
        <w:t xml:space="preserve">, Vol.: Letters 1-27, </w:t>
      </w:r>
      <w:r w:rsidRPr="00FB47FC">
        <w:rPr>
          <w:rFonts w:ascii="Garamond" w:hAnsi="Garamond"/>
          <w:i/>
          <w:lang w:val="en-US"/>
        </w:rPr>
        <w:t xml:space="preserve">Ancient Christian Writers: The Works of the Fathers in Translation </w:t>
      </w:r>
      <w:r w:rsidRPr="00FB47FC">
        <w:rPr>
          <w:rFonts w:ascii="Garamond" w:hAnsi="Garamond"/>
          <w:lang w:val="en-US"/>
        </w:rPr>
        <w:t>No.43 (Ramsey: Newman Press, 1984), 14:4 (p.89)</w:t>
      </w:r>
    </w:p>
  </w:footnote>
  <w:footnote w:id="11">
    <w:p w14:paraId="56033C40"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Clarke, ed., </w:t>
      </w:r>
      <w:r w:rsidRPr="00FB47FC">
        <w:rPr>
          <w:rFonts w:ascii="Garamond" w:hAnsi="Garamond"/>
          <w:i/>
          <w:lang w:val="en-US"/>
        </w:rPr>
        <w:t>The Letters of St. Cyprian of Carthage</w:t>
      </w:r>
      <w:r w:rsidRPr="00FB47FC">
        <w:rPr>
          <w:rFonts w:ascii="Garamond" w:hAnsi="Garamond"/>
          <w:lang w:val="en-US"/>
        </w:rPr>
        <w:t>, 268.</w:t>
      </w:r>
    </w:p>
  </w:footnote>
  <w:footnote w:id="12">
    <w:p w14:paraId="552B37EB" w14:textId="77777777" w:rsidR="008D7994" w:rsidRPr="00932A72" w:rsidRDefault="008D7994" w:rsidP="008D7994">
      <w:pPr>
        <w:pStyle w:val="FootnoteText"/>
        <w:rPr>
          <w:rFonts w:ascii="Garamond" w:hAnsi="Garamond"/>
          <w:lang w:val="en-US"/>
        </w:rPr>
      </w:pPr>
      <w:r w:rsidRPr="00932A72">
        <w:rPr>
          <w:rStyle w:val="FootnoteReference"/>
          <w:rFonts w:ascii="Garamond" w:hAnsi="Garamond"/>
        </w:rPr>
        <w:footnoteRef/>
      </w:r>
      <w:r w:rsidRPr="00932A72">
        <w:rPr>
          <w:rFonts w:ascii="Garamond" w:hAnsi="Garamond"/>
        </w:rPr>
        <w:t xml:space="preserve"> </w:t>
      </w:r>
      <w:r w:rsidRPr="00932A72">
        <w:rPr>
          <w:rFonts w:ascii="Garamond" w:hAnsi="Garamond"/>
          <w:lang w:val="en-US"/>
        </w:rPr>
        <w:t>The Council functioned in a strictly in an episcopal-collegial style</w:t>
      </w:r>
      <w:r>
        <w:rPr>
          <w:rFonts w:ascii="Garamond" w:hAnsi="Garamond"/>
          <w:lang w:val="en-US"/>
        </w:rPr>
        <w:t xml:space="preserve"> (cf. Canons 4 &amp; 6)</w:t>
      </w:r>
      <w:r w:rsidRPr="00932A72">
        <w:rPr>
          <w:rFonts w:ascii="Garamond" w:hAnsi="Garamond"/>
          <w:lang w:val="en-US"/>
        </w:rPr>
        <w:t xml:space="preserve">, while the resolutions were later communicated to the people. Nevertheless, one clear indication of an inclusive praxis of synodality in the church then was indicated by the criterion of being elected a bishop by the people, followed by the ratifications of a bishop: “But, if it happen that any of the clergy who are now in the Church should die, then those who have been lately received are to succeed to the office of the deceased; always provided that they shall appear to be worthy, </w:t>
      </w:r>
      <w:r w:rsidRPr="00932A72">
        <w:rPr>
          <w:rFonts w:ascii="Garamond" w:hAnsi="Garamond"/>
          <w:u w:val="single"/>
          <w:lang w:val="en-US"/>
        </w:rPr>
        <w:t>and that the people elect them</w:t>
      </w:r>
      <w:r w:rsidRPr="00932A72">
        <w:rPr>
          <w:rFonts w:ascii="Garamond" w:hAnsi="Garamond"/>
          <w:lang w:val="en-US"/>
        </w:rPr>
        <w:t xml:space="preserve">, and that the bishop of Alexandria shall concur in the election and ratify it.” The First Council of Nicaea (A.D. 325), </w:t>
      </w:r>
      <w:r w:rsidRPr="00932A72">
        <w:rPr>
          <w:rFonts w:ascii="Garamond" w:hAnsi="Garamond"/>
          <w:i/>
          <w:iCs/>
          <w:lang w:val="en-US"/>
        </w:rPr>
        <w:t>The Synodal Letter</w:t>
      </w:r>
      <w:r w:rsidRPr="00932A72">
        <w:rPr>
          <w:rFonts w:ascii="Garamond" w:hAnsi="Garamond"/>
          <w:lang w:val="en-US"/>
        </w:rPr>
        <w:t xml:space="preserve">, </w:t>
      </w:r>
      <w:hyperlink r:id="rId1" w:history="1">
        <w:r w:rsidRPr="00932A72">
          <w:rPr>
            <w:rStyle w:val="Hyperlink"/>
            <w:rFonts w:ascii="Garamond" w:hAnsi="Garamond"/>
            <w:lang w:val="en-US"/>
          </w:rPr>
          <w:t>https://www.newadvent.org/fathers/3801.htm</w:t>
        </w:r>
      </w:hyperlink>
      <w:r w:rsidRPr="00932A72">
        <w:rPr>
          <w:rFonts w:ascii="Garamond" w:hAnsi="Garamond"/>
          <w:lang w:val="en-US"/>
        </w:rPr>
        <w:t xml:space="preserve"> (accessed 28 January 2025)</w:t>
      </w:r>
    </w:p>
  </w:footnote>
  <w:footnote w:id="13">
    <w:p w14:paraId="760D15F3" w14:textId="77777777" w:rsidR="008D7994" w:rsidRPr="00932A72" w:rsidRDefault="008D7994" w:rsidP="008D7994">
      <w:pPr>
        <w:pStyle w:val="FootnoteText"/>
        <w:rPr>
          <w:lang w:val="en-US"/>
        </w:rPr>
      </w:pPr>
      <w:r>
        <w:rPr>
          <w:rStyle w:val="FootnoteReference"/>
        </w:rPr>
        <w:footnoteRef/>
      </w:r>
      <w:r>
        <w:t xml:space="preserve"> </w:t>
      </w:r>
      <w:r w:rsidRPr="00FB47FC">
        <w:rPr>
          <w:rFonts w:ascii="Garamond" w:hAnsi="Garamond"/>
          <w:lang w:val="en-US"/>
        </w:rPr>
        <w:t xml:space="preserve">ITC, </w:t>
      </w:r>
      <w:r w:rsidRPr="00FB47FC">
        <w:rPr>
          <w:rFonts w:ascii="Garamond" w:hAnsi="Garamond"/>
          <w:i/>
          <w:lang w:val="en-US"/>
        </w:rPr>
        <w:t>Synodality in the Life and Mission of the Church</w:t>
      </w:r>
      <w:r w:rsidRPr="00FB47FC">
        <w:rPr>
          <w:rFonts w:ascii="Garamond" w:hAnsi="Garamond"/>
          <w:lang w:val="en-US"/>
        </w:rPr>
        <w:t>, §29.</w:t>
      </w:r>
    </w:p>
  </w:footnote>
  <w:footnote w:id="14">
    <w:p w14:paraId="6F0FF479"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ITC, </w:t>
      </w:r>
      <w:r w:rsidRPr="00FB47FC">
        <w:rPr>
          <w:rFonts w:ascii="Garamond" w:hAnsi="Garamond"/>
          <w:i/>
          <w:lang w:val="en-US"/>
        </w:rPr>
        <w:t>Synodality in the Life and Mission of the Church</w:t>
      </w:r>
      <w:r w:rsidRPr="00FB47FC">
        <w:rPr>
          <w:rFonts w:ascii="Garamond" w:hAnsi="Garamond"/>
          <w:lang w:val="en-US"/>
        </w:rPr>
        <w:t>, §29.</w:t>
      </w:r>
    </w:p>
  </w:footnote>
  <w:footnote w:id="15">
    <w:p w14:paraId="24B78B3F" w14:textId="2A0B12C9" w:rsidR="00D717CB" w:rsidRPr="00D717CB" w:rsidRDefault="00D717CB">
      <w:pPr>
        <w:pStyle w:val="FootnoteText"/>
        <w:rPr>
          <w:rFonts w:ascii="Garamond" w:hAnsi="Garamond"/>
          <w:lang w:val="en-US"/>
        </w:rPr>
      </w:pPr>
      <w:r w:rsidRPr="00D717CB">
        <w:rPr>
          <w:rStyle w:val="FootnoteReference"/>
          <w:rFonts w:ascii="Garamond" w:hAnsi="Garamond"/>
        </w:rPr>
        <w:footnoteRef/>
      </w:r>
      <w:r w:rsidRPr="00D717CB">
        <w:rPr>
          <w:rFonts w:ascii="Garamond" w:hAnsi="Garamond"/>
        </w:rPr>
        <w:t xml:space="preserve"> </w:t>
      </w:r>
      <w:r w:rsidRPr="00D717CB">
        <w:rPr>
          <w:rFonts w:ascii="Garamond" w:hAnsi="Garamond"/>
          <w:lang w:val="en-US"/>
        </w:rPr>
        <w:t xml:space="preserve">Norman Tanner lists the schism as one of the factors that led to the qualitative decline of the councils. See. </w:t>
      </w:r>
      <w:r w:rsidRPr="00D717CB">
        <w:rPr>
          <w:rFonts w:ascii="Garamond" w:hAnsi="Garamond" w:cstheme="majorHAnsi"/>
          <w:lang w:val="en-US"/>
        </w:rPr>
        <w:t xml:space="preserve">Norman Tanner, ed., </w:t>
      </w:r>
      <w:r w:rsidRPr="00D717CB">
        <w:rPr>
          <w:rFonts w:ascii="Garamond" w:hAnsi="Garamond" w:cstheme="majorHAnsi"/>
          <w:i/>
          <w:iCs/>
          <w:lang w:val="en-US"/>
        </w:rPr>
        <w:t>Decrees of the Ecumenical Councils</w:t>
      </w:r>
      <w:r w:rsidRPr="00D717CB">
        <w:rPr>
          <w:rFonts w:ascii="Garamond" w:hAnsi="Garamond" w:cstheme="majorHAnsi"/>
          <w:lang w:val="en-US"/>
        </w:rPr>
        <w:t>, Volume 1: Nicaea I to Lateran V (Washington, DC: Georgetown University Press), 82-83.</w:t>
      </w:r>
    </w:p>
  </w:footnote>
  <w:footnote w:id="16">
    <w:p w14:paraId="5222C70F"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ITC, </w:t>
      </w:r>
      <w:r w:rsidRPr="00FB47FC">
        <w:rPr>
          <w:rFonts w:ascii="Garamond" w:hAnsi="Garamond"/>
          <w:i/>
          <w:lang w:val="en-US"/>
        </w:rPr>
        <w:t>Synodality in the Life and Mission of the Church</w:t>
      </w:r>
      <w:r w:rsidRPr="00FB47FC">
        <w:rPr>
          <w:rFonts w:ascii="Garamond" w:hAnsi="Garamond"/>
          <w:lang w:val="en-US"/>
        </w:rPr>
        <w:t>, §32.</w:t>
      </w:r>
    </w:p>
  </w:footnote>
  <w:footnote w:id="17">
    <w:p w14:paraId="1B3B6318"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ITC, </w:t>
      </w:r>
      <w:r w:rsidRPr="00FB47FC">
        <w:rPr>
          <w:rFonts w:ascii="Garamond" w:hAnsi="Garamond"/>
          <w:i/>
          <w:lang w:val="en-US"/>
        </w:rPr>
        <w:t>Synodality in the Life and Mission of the Church</w:t>
      </w:r>
      <w:r w:rsidRPr="00FB47FC">
        <w:rPr>
          <w:rFonts w:ascii="Garamond" w:hAnsi="Garamond"/>
          <w:lang w:val="en-US"/>
        </w:rPr>
        <w:t>, §35.</w:t>
      </w:r>
    </w:p>
  </w:footnote>
  <w:footnote w:id="18">
    <w:p w14:paraId="71504EB9"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rPr>
        <w:t xml:space="preserve"> Cf. Hans Küng, “Das theologische Verständnis des Ökumenischen Konzils,“ </w:t>
      </w:r>
      <w:r w:rsidRPr="00FB47FC">
        <w:rPr>
          <w:rFonts w:ascii="Garamond" w:hAnsi="Garamond"/>
          <w:i/>
        </w:rPr>
        <w:t>Theologische Quartalschrift</w:t>
      </w:r>
      <w:r w:rsidRPr="00FB47FC">
        <w:rPr>
          <w:rFonts w:ascii="Garamond" w:hAnsi="Garamond"/>
        </w:rPr>
        <w:t xml:space="preserve"> 141, no.1 (1961): 50-77; 56, 60. </w:t>
      </w:r>
      <w:r w:rsidRPr="00FB47FC">
        <w:rPr>
          <w:rFonts w:ascii="Garamond" w:hAnsi="Garamond"/>
          <w:lang w:val="en-US"/>
        </w:rPr>
        <w:t xml:space="preserve">This article was later translated by John W. Kleiner and published in English as Hans Küng, “The Ecumenical Council in Theological Perspective,” </w:t>
      </w:r>
      <w:r w:rsidRPr="00FB47FC">
        <w:rPr>
          <w:rFonts w:ascii="Garamond" w:hAnsi="Garamond"/>
          <w:i/>
          <w:lang w:val="en-US"/>
        </w:rPr>
        <w:t>Dialog</w:t>
      </w:r>
      <w:r w:rsidRPr="00FB47FC">
        <w:rPr>
          <w:rFonts w:ascii="Garamond" w:hAnsi="Garamond"/>
          <w:lang w:val="en-US"/>
        </w:rPr>
        <w:t xml:space="preserve"> 1, no.2 (1962): 40-49.</w:t>
      </w:r>
    </w:p>
  </w:footnote>
  <w:footnote w:id="19">
    <w:p w14:paraId="30E8FDCD"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Küng, “The Ecumenical Council in Theological Perspective,” 40.</w:t>
      </w:r>
    </w:p>
  </w:footnote>
  <w:footnote w:id="20">
    <w:p w14:paraId="755D7F34"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Küng, “The Ecumenical Council in Theological Perspective,” 43.</w:t>
      </w:r>
    </w:p>
  </w:footnote>
  <w:footnote w:id="21">
    <w:p w14:paraId="1EE5F703"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Küng, “The Ecumenical Council in Theological Perspective,” 43.</w:t>
      </w:r>
    </w:p>
  </w:footnote>
  <w:footnote w:id="22">
    <w:p w14:paraId="7741F0FF" w14:textId="3E5893E5"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Küng, “The Ecumenical Council in Theological Perspective,” 43.</w:t>
      </w:r>
      <w:r>
        <w:rPr>
          <w:rFonts w:ascii="Garamond" w:hAnsi="Garamond"/>
          <w:lang w:val="en-US"/>
        </w:rPr>
        <w:t xml:space="preserve"> </w:t>
      </w:r>
    </w:p>
  </w:footnote>
  <w:footnote w:id="23">
    <w:p w14:paraId="37C76EB5"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Küng, “The Ecumenical Council in Theological Perspective,” 47.</w:t>
      </w:r>
    </w:p>
  </w:footnote>
  <w:footnote w:id="24">
    <w:p w14:paraId="78EEEA32" w14:textId="50C2675B"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Küng, “The Ecumenical Council in Theological Perspective,” 47.</w:t>
      </w:r>
      <w:r w:rsidR="00D717CB">
        <w:rPr>
          <w:rFonts w:ascii="Garamond" w:hAnsi="Garamond"/>
          <w:lang w:val="en-US"/>
        </w:rPr>
        <w:t xml:space="preserve"> </w:t>
      </w:r>
      <w:proofErr w:type="spellStart"/>
      <w:r w:rsidR="00D717CB" w:rsidRPr="00FB47FC">
        <w:rPr>
          <w:rFonts w:ascii="Garamond" w:hAnsi="Garamond"/>
        </w:rPr>
        <w:t>There</w:t>
      </w:r>
      <w:proofErr w:type="spellEnd"/>
      <w:r w:rsidR="00D717CB" w:rsidRPr="00FB47FC">
        <w:rPr>
          <w:rFonts w:ascii="Garamond" w:hAnsi="Garamond"/>
        </w:rPr>
        <w:t xml:space="preserve"> </w:t>
      </w:r>
      <w:proofErr w:type="spellStart"/>
      <w:r w:rsidR="00D717CB" w:rsidRPr="00FB47FC">
        <w:rPr>
          <w:rFonts w:ascii="Garamond" w:hAnsi="Garamond"/>
        </w:rPr>
        <w:t>is</w:t>
      </w:r>
      <w:proofErr w:type="spellEnd"/>
      <w:r w:rsidR="00D717CB" w:rsidRPr="00FB47FC">
        <w:rPr>
          <w:rFonts w:ascii="Garamond" w:hAnsi="Garamond"/>
        </w:rPr>
        <w:t xml:space="preserve"> </w:t>
      </w:r>
      <w:proofErr w:type="spellStart"/>
      <w:r w:rsidR="00D717CB" w:rsidRPr="00FB47FC">
        <w:rPr>
          <w:rFonts w:ascii="Garamond" w:hAnsi="Garamond"/>
        </w:rPr>
        <w:t>evidently</w:t>
      </w:r>
      <w:proofErr w:type="spellEnd"/>
      <w:r w:rsidR="00D717CB" w:rsidRPr="00FB47FC">
        <w:rPr>
          <w:rFonts w:ascii="Garamond" w:hAnsi="Garamond"/>
        </w:rPr>
        <w:t xml:space="preserve"> an </w:t>
      </w:r>
      <w:proofErr w:type="spellStart"/>
      <w:r w:rsidR="00D717CB" w:rsidRPr="00FB47FC">
        <w:rPr>
          <w:rFonts w:ascii="Garamond" w:hAnsi="Garamond"/>
        </w:rPr>
        <w:t>influence</w:t>
      </w:r>
      <w:proofErr w:type="spellEnd"/>
      <w:r w:rsidR="00D717CB" w:rsidRPr="00FB47FC">
        <w:rPr>
          <w:rFonts w:ascii="Garamond" w:hAnsi="Garamond"/>
        </w:rPr>
        <w:t xml:space="preserve"> </w:t>
      </w:r>
      <w:proofErr w:type="spellStart"/>
      <w:r w:rsidR="00D717CB" w:rsidRPr="00FB47FC">
        <w:rPr>
          <w:rFonts w:ascii="Garamond" w:hAnsi="Garamond"/>
        </w:rPr>
        <w:t>of</w:t>
      </w:r>
      <w:proofErr w:type="spellEnd"/>
      <w:r w:rsidR="00D717CB" w:rsidRPr="00FB47FC">
        <w:rPr>
          <w:rFonts w:ascii="Garamond" w:hAnsi="Garamond"/>
        </w:rPr>
        <w:t xml:space="preserve"> Martin </w:t>
      </w:r>
      <w:proofErr w:type="spellStart"/>
      <w:r w:rsidR="00D717CB" w:rsidRPr="00FB47FC">
        <w:rPr>
          <w:rFonts w:ascii="Garamond" w:hAnsi="Garamond"/>
        </w:rPr>
        <w:t>Luther’s</w:t>
      </w:r>
      <w:proofErr w:type="spellEnd"/>
      <w:r w:rsidR="00D717CB" w:rsidRPr="00FB47FC">
        <w:rPr>
          <w:rFonts w:ascii="Garamond" w:hAnsi="Garamond"/>
        </w:rPr>
        <w:t xml:space="preserve"> </w:t>
      </w:r>
      <w:proofErr w:type="spellStart"/>
      <w:r w:rsidR="00D717CB" w:rsidRPr="00FB47FC">
        <w:rPr>
          <w:rFonts w:ascii="Garamond" w:hAnsi="Garamond"/>
        </w:rPr>
        <w:t>conciliar</w:t>
      </w:r>
      <w:proofErr w:type="spellEnd"/>
      <w:r w:rsidR="00D717CB" w:rsidRPr="00FB47FC">
        <w:rPr>
          <w:rFonts w:ascii="Garamond" w:hAnsi="Garamond"/>
        </w:rPr>
        <w:t xml:space="preserve"> </w:t>
      </w:r>
      <w:proofErr w:type="spellStart"/>
      <w:r w:rsidR="00D717CB" w:rsidRPr="00FB47FC">
        <w:rPr>
          <w:rFonts w:ascii="Garamond" w:hAnsi="Garamond"/>
        </w:rPr>
        <w:t>theology</w:t>
      </w:r>
      <w:proofErr w:type="spellEnd"/>
      <w:r w:rsidR="00D717CB" w:rsidRPr="00FB47FC">
        <w:rPr>
          <w:rFonts w:ascii="Garamond" w:hAnsi="Garamond"/>
        </w:rPr>
        <w:t xml:space="preserve">, </w:t>
      </w:r>
      <w:proofErr w:type="spellStart"/>
      <w:r w:rsidR="00D717CB" w:rsidRPr="00FB47FC">
        <w:rPr>
          <w:rFonts w:ascii="Garamond" w:hAnsi="Garamond"/>
        </w:rPr>
        <w:t>particularly</w:t>
      </w:r>
      <w:proofErr w:type="spellEnd"/>
      <w:r w:rsidR="00D717CB" w:rsidRPr="00FB47FC">
        <w:rPr>
          <w:rFonts w:ascii="Garamond" w:hAnsi="Garamond"/>
        </w:rPr>
        <w:t xml:space="preserve"> in </w:t>
      </w:r>
      <w:proofErr w:type="spellStart"/>
      <w:r w:rsidR="00D717CB" w:rsidRPr="00FB47FC">
        <w:rPr>
          <w:rFonts w:ascii="Garamond" w:hAnsi="Garamond"/>
        </w:rPr>
        <w:t>the</w:t>
      </w:r>
      <w:proofErr w:type="spellEnd"/>
      <w:r w:rsidR="00D717CB" w:rsidRPr="00FB47FC">
        <w:rPr>
          <w:rFonts w:ascii="Garamond" w:hAnsi="Garamond"/>
        </w:rPr>
        <w:t xml:space="preserve"> </w:t>
      </w:r>
      <w:proofErr w:type="spellStart"/>
      <w:r w:rsidR="00D717CB" w:rsidRPr="00FB47FC">
        <w:rPr>
          <w:rFonts w:ascii="Garamond" w:hAnsi="Garamond"/>
        </w:rPr>
        <w:t>treatise</w:t>
      </w:r>
      <w:proofErr w:type="spellEnd"/>
      <w:r w:rsidR="00D717CB" w:rsidRPr="00FB47FC">
        <w:rPr>
          <w:rFonts w:ascii="Garamond" w:hAnsi="Garamond"/>
        </w:rPr>
        <w:t xml:space="preserve"> “On </w:t>
      </w:r>
      <w:proofErr w:type="spellStart"/>
      <w:r w:rsidR="00D717CB" w:rsidRPr="00FB47FC">
        <w:rPr>
          <w:rFonts w:ascii="Garamond" w:hAnsi="Garamond"/>
        </w:rPr>
        <w:t>the</w:t>
      </w:r>
      <w:proofErr w:type="spellEnd"/>
      <w:r w:rsidR="00D717CB" w:rsidRPr="00FB47FC">
        <w:rPr>
          <w:rFonts w:ascii="Garamond" w:hAnsi="Garamond"/>
        </w:rPr>
        <w:t xml:space="preserve"> </w:t>
      </w:r>
      <w:proofErr w:type="spellStart"/>
      <w:r w:rsidR="00D717CB" w:rsidRPr="00FB47FC">
        <w:rPr>
          <w:rFonts w:ascii="Garamond" w:hAnsi="Garamond"/>
        </w:rPr>
        <w:t>Councils</w:t>
      </w:r>
      <w:proofErr w:type="spellEnd"/>
      <w:r w:rsidR="00D717CB" w:rsidRPr="00FB47FC">
        <w:rPr>
          <w:rFonts w:ascii="Garamond" w:hAnsi="Garamond"/>
        </w:rPr>
        <w:t xml:space="preserve"> and </w:t>
      </w:r>
      <w:proofErr w:type="spellStart"/>
      <w:r w:rsidR="00D717CB" w:rsidRPr="00FB47FC">
        <w:rPr>
          <w:rFonts w:ascii="Garamond" w:hAnsi="Garamond"/>
        </w:rPr>
        <w:t>the</w:t>
      </w:r>
      <w:proofErr w:type="spellEnd"/>
      <w:r w:rsidR="00D717CB" w:rsidRPr="00FB47FC">
        <w:rPr>
          <w:rFonts w:ascii="Garamond" w:hAnsi="Garamond"/>
        </w:rPr>
        <w:t xml:space="preserve"> </w:t>
      </w:r>
      <w:proofErr w:type="spellStart"/>
      <w:r w:rsidR="00D717CB" w:rsidRPr="00FB47FC">
        <w:rPr>
          <w:rFonts w:ascii="Garamond" w:hAnsi="Garamond"/>
        </w:rPr>
        <w:t>Churches</w:t>
      </w:r>
      <w:proofErr w:type="spellEnd"/>
      <w:r w:rsidR="00D717CB" w:rsidRPr="00FB47FC">
        <w:rPr>
          <w:rFonts w:ascii="Garamond" w:hAnsi="Garamond"/>
        </w:rPr>
        <w:t xml:space="preserve">” (1539) in </w:t>
      </w:r>
      <w:proofErr w:type="spellStart"/>
      <w:r w:rsidR="00D717CB" w:rsidRPr="00FB47FC">
        <w:rPr>
          <w:rFonts w:ascii="Garamond" w:hAnsi="Garamond"/>
        </w:rPr>
        <w:t>Küng’s</w:t>
      </w:r>
      <w:proofErr w:type="spellEnd"/>
      <w:r w:rsidR="00D717CB" w:rsidRPr="00FB47FC">
        <w:rPr>
          <w:rFonts w:ascii="Garamond" w:hAnsi="Garamond"/>
        </w:rPr>
        <w:t xml:space="preserve"> </w:t>
      </w:r>
      <w:proofErr w:type="spellStart"/>
      <w:r w:rsidR="00D717CB" w:rsidRPr="00FB47FC">
        <w:rPr>
          <w:rFonts w:ascii="Garamond" w:hAnsi="Garamond"/>
        </w:rPr>
        <w:t>thesis</w:t>
      </w:r>
      <w:proofErr w:type="spellEnd"/>
      <w:r w:rsidR="00D717CB" w:rsidRPr="00FB47FC">
        <w:rPr>
          <w:rFonts w:ascii="Garamond" w:hAnsi="Garamond"/>
        </w:rPr>
        <w:t xml:space="preserve">. </w:t>
      </w:r>
      <w:proofErr w:type="spellStart"/>
      <w:r w:rsidR="00D717CB" w:rsidRPr="00FB47FC">
        <w:rPr>
          <w:rFonts w:ascii="Garamond" w:hAnsi="Garamond"/>
        </w:rPr>
        <w:t>Typically</w:t>
      </w:r>
      <w:proofErr w:type="spellEnd"/>
      <w:r w:rsidR="00D717CB" w:rsidRPr="00FB47FC">
        <w:rPr>
          <w:rFonts w:ascii="Garamond" w:hAnsi="Garamond"/>
        </w:rPr>
        <w:t xml:space="preserve">, Küng </w:t>
      </w:r>
      <w:proofErr w:type="spellStart"/>
      <w:r w:rsidR="00D717CB" w:rsidRPr="00FB47FC">
        <w:rPr>
          <w:rFonts w:ascii="Garamond" w:hAnsi="Garamond"/>
        </w:rPr>
        <w:t>refers</w:t>
      </w:r>
      <w:proofErr w:type="spellEnd"/>
      <w:r w:rsidR="00D717CB" w:rsidRPr="00FB47FC">
        <w:rPr>
          <w:rFonts w:ascii="Garamond" w:hAnsi="Garamond"/>
        </w:rPr>
        <w:t xml:space="preserve"> </w:t>
      </w:r>
      <w:proofErr w:type="spellStart"/>
      <w:r w:rsidR="00D717CB" w:rsidRPr="00FB47FC">
        <w:rPr>
          <w:rFonts w:ascii="Garamond" w:hAnsi="Garamond"/>
        </w:rPr>
        <w:t>to</w:t>
      </w:r>
      <w:proofErr w:type="spellEnd"/>
      <w:r w:rsidR="00D717CB" w:rsidRPr="00FB47FC">
        <w:rPr>
          <w:rFonts w:ascii="Garamond" w:hAnsi="Garamond"/>
        </w:rPr>
        <w:t xml:space="preserve"> </w:t>
      </w:r>
      <w:proofErr w:type="spellStart"/>
      <w:r w:rsidR="00D717CB" w:rsidRPr="00FB47FC">
        <w:rPr>
          <w:rFonts w:ascii="Garamond" w:hAnsi="Garamond"/>
        </w:rPr>
        <w:t>this</w:t>
      </w:r>
      <w:proofErr w:type="spellEnd"/>
      <w:r w:rsidR="00D717CB" w:rsidRPr="00FB47FC">
        <w:rPr>
          <w:rFonts w:ascii="Garamond" w:hAnsi="Garamond"/>
        </w:rPr>
        <w:t xml:space="preserve"> </w:t>
      </w:r>
      <w:proofErr w:type="spellStart"/>
      <w:r w:rsidR="00D717CB" w:rsidRPr="00FB47FC">
        <w:rPr>
          <w:rFonts w:ascii="Garamond" w:hAnsi="Garamond"/>
        </w:rPr>
        <w:t>influence</w:t>
      </w:r>
      <w:proofErr w:type="spellEnd"/>
      <w:r w:rsidR="00D717CB" w:rsidRPr="00FB47FC">
        <w:rPr>
          <w:rFonts w:ascii="Garamond" w:hAnsi="Garamond"/>
        </w:rPr>
        <w:t xml:space="preserve"> and </w:t>
      </w:r>
      <w:proofErr w:type="spellStart"/>
      <w:r w:rsidR="00D717CB" w:rsidRPr="00FB47FC">
        <w:rPr>
          <w:rFonts w:ascii="Garamond" w:hAnsi="Garamond"/>
        </w:rPr>
        <w:t>even</w:t>
      </w:r>
      <w:proofErr w:type="spellEnd"/>
      <w:r w:rsidR="00D717CB" w:rsidRPr="00FB47FC">
        <w:rPr>
          <w:rFonts w:ascii="Garamond" w:hAnsi="Garamond"/>
        </w:rPr>
        <w:t xml:space="preserve"> </w:t>
      </w:r>
      <w:proofErr w:type="spellStart"/>
      <w:r w:rsidR="00D717CB" w:rsidRPr="00FB47FC">
        <w:rPr>
          <w:rFonts w:ascii="Garamond" w:hAnsi="Garamond"/>
        </w:rPr>
        <w:t>insists</w:t>
      </w:r>
      <w:proofErr w:type="spellEnd"/>
      <w:r w:rsidR="00D717CB" w:rsidRPr="00FB47FC">
        <w:rPr>
          <w:rFonts w:ascii="Garamond" w:hAnsi="Garamond"/>
        </w:rPr>
        <w:t xml:space="preserve"> </w:t>
      </w:r>
      <w:proofErr w:type="spellStart"/>
      <w:r w:rsidR="00D717CB" w:rsidRPr="00FB47FC">
        <w:rPr>
          <w:rFonts w:ascii="Garamond" w:hAnsi="Garamond"/>
        </w:rPr>
        <w:t>that</w:t>
      </w:r>
      <w:proofErr w:type="spellEnd"/>
      <w:r w:rsidR="00D717CB" w:rsidRPr="00FB47FC">
        <w:rPr>
          <w:rFonts w:ascii="Garamond" w:hAnsi="Garamond"/>
        </w:rPr>
        <w:t xml:space="preserve"> </w:t>
      </w:r>
      <w:proofErr w:type="spellStart"/>
      <w:r w:rsidR="00D717CB" w:rsidRPr="00FB47FC">
        <w:rPr>
          <w:rFonts w:ascii="Garamond" w:hAnsi="Garamond"/>
        </w:rPr>
        <w:t>it</w:t>
      </w:r>
      <w:proofErr w:type="spellEnd"/>
      <w:r w:rsidR="00D717CB" w:rsidRPr="00FB47FC">
        <w:rPr>
          <w:rFonts w:ascii="Garamond" w:hAnsi="Garamond"/>
        </w:rPr>
        <w:t xml:space="preserve"> </w:t>
      </w:r>
      <w:proofErr w:type="spellStart"/>
      <w:r w:rsidR="00D717CB" w:rsidRPr="00FB47FC">
        <w:rPr>
          <w:rFonts w:ascii="Garamond" w:hAnsi="Garamond"/>
        </w:rPr>
        <w:t>does</w:t>
      </w:r>
      <w:proofErr w:type="spellEnd"/>
      <w:r w:rsidR="00D717CB" w:rsidRPr="00FB47FC">
        <w:rPr>
          <w:rFonts w:ascii="Garamond" w:hAnsi="Garamond"/>
        </w:rPr>
        <w:t xml:space="preserve"> not </w:t>
      </w:r>
      <w:proofErr w:type="spellStart"/>
      <w:r w:rsidR="00D717CB" w:rsidRPr="00FB47FC">
        <w:rPr>
          <w:rFonts w:ascii="Garamond" w:hAnsi="Garamond"/>
        </w:rPr>
        <w:t>contradict</w:t>
      </w:r>
      <w:proofErr w:type="spellEnd"/>
      <w:r w:rsidR="00D717CB" w:rsidRPr="00FB47FC">
        <w:rPr>
          <w:rFonts w:ascii="Garamond" w:hAnsi="Garamond"/>
        </w:rPr>
        <w:t xml:space="preserve"> </w:t>
      </w:r>
      <w:proofErr w:type="spellStart"/>
      <w:r w:rsidR="00D717CB" w:rsidRPr="00FB47FC">
        <w:rPr>
          <w:rFonts w:ascii="Garamond" w:hAnsi="Garamond"/>
        </w:rPr>
        <w:t>the</w:t>
      </w:r>
      <w:proofErr w:type="spellEnd"/>
      <w:r w:rsidR="00D717CB" w:rsidRPr="00FB47FC">
        <w:rPr>
          <w:rFonts w:ascii="Garamond" w:hAnsi="Garamond"/>
        </w:rPr>
        <w:t xml:space="preserve"> Catholic </w:t>
      </w:r>
      <w:proofErr w:type="spellStart"/>
      <w:r w:rsidR="00D717CB" w:rsidRPr="00FB47FC">
        <w:rPr>
          <w:rFonts w:ascii="Garamond" w:hAnsi="Garamond"/>
        </w:rPr>
        <w:t>position</w:t>
      </w:r>
      <w:proofErr w:type="spellEnd"/>
      <w:r w:rsidR="00D717CB" w:rsidRPr="00FB47FC">
        <w:rPr>
          <w:rFonts w:ascii="Garamond" w:hAnsi="Garamond"/>
        </w:rPr>
        <w:t xml:space="preserve"> on </w:t>
      </w:r>
      <w:proofErr w:type="spellStart"/>
      <w:r w:rsidR="00D717CB" w:rsidRPr="00FB47FC">
        <w:rPr>
          <w:rFonts w:ascii="Garamond" w:hAnsi="Garamond"/>
        </w:rPr>
        <w:t>the</w:t>
      </w:r>
      <w:proofErr w:type="spellEnd"/>
      <w:r w:rsidR="00D717CB" w:rsidRPr="00FB47FC">
        <w:rPr>
          <w:rFonts w:ascii="Garamond" w:hAnsi="Garamond"/>
        </w:rPr>
        <w:t xml:space="preserve"> </w:t>
      </w:r>
      <w:proofErr w:type="spellStart"/>
      <w:r w:rsidR="00D717CB" w:rsidRPr="00FB47FC">
        <w:rPr>
          <w:rFonts w:ascii="Garamond" w:hAnsi="Garamond"/>
        </w:rPr>
        <w:t>relationship</w:t>
      </w:r>
      <w:proofErr w:type="spellEnd"/>
      <w:r w:rsidR="00D717CB" w:rsidRPr="00FB47FC">
        <w:rPr>
          <w:rFonts w:ascii="Garamond" w:hAnsi="Garamond"/>
        </w:rPr>
        <w:t xml:space="preserve"> </w:t>
      </w:r>
      <w:proofErr w:type="spellStart"/>
      <w:r w:rsidR="00D717CB" w:rsidRPr="00FB47FC">
        <w:rPr>
          <w:rFonts w:ascii="Garamond" w:hAnsi="Garamond"/>
        </w:rPr>
        <w:t>between</w:t>
      </w:r>
      <w:proofErr w:type="spellEnd"/>
      <w:r w:rsidR="00D717CB" w:rsidRPr="00FB47FC">
        <w:rPr>
          <w:rFonts w:ascii="Garamond" w:hAnsi="Garamond"/>
        </w:rPr>
        <w:t xml:space="preserve"> </w:t>
      </w:r>
      <w:proofErr w:type="spellStart"/>
      <w:r w:rsidR="00D717CB" w:rsidRPr="00FB47FC">
        <w:rPr>
          <w:rFonts w:ascii="Garamond" w:hAnsi="Garamond"/>
        </w:rPr>
        <w:t>the</w:t>
      </w:r>
      <w:proofErr w:type="spellEnd"/>
      <w:r w:rsidR="00D717CB" w:rsidRPr="00FB47FC">
        <w:rPr>
          <w:rFonts w:ascii="Garamond" w:hAnsi="Garamond"/>
        </w:rPr>
        <w:t xml:space="preserve"> </w:t>
      </w:r>
      <w:proofErr w:type="spellStart"/>
      <w:r w:rsidR="00D717CB" w:rsidRPr="00FB47FC">
        <w:rPr>
          <w:rFonts w:ascii="Garamond" w:hAnsi="Garamond"/>
        </w:rPr>
        <w:t>council</w:t>
      </w:r>
      <w:proofErr w:type="spellEnd"/>
      <w:r w:rsidR="00D717CB" w:rsidRPr="00FB47FC">
        <w:rPr>
          <w:rFonts w:ascii="Garamond" w:hAnsi="Garamond"/>
        </w:rPr>
        <w:t xml:space="preserve"> and </w:t>
      </w:r>
      <w:proofErr w:type="spellStart"/>
      <w:r w:rsidR="00D717CB" w:rsidRPr="00FB47FC">
        <w:rPr>
          <w:rFonts w:ascii="Garamond" w:hAnsi="Garamond"/>
        </w:rPr>
        <w:t>the</w:t>
      </w:r>
      <w:proofErr w:type="spellEnd"/>
      <w:r w:rsidR="00D717CB" w:rsidRPr="00FB47FC">
        <w:rPr>
          <w:rFonts w:ascii="Garamond" w:hAnsi="Garamond"/>
        </w:rPr>
        <w:t xml:space="preserve"> Word </w:t>
      </w:r>
      <w:proofErr w:type="spellStart"/>
      <w:r w:rsidR="00D717CB" w:rsidRPr="00FB47FC">
        <w:rPr>
          <w:rFonts w:ascii="Garamond" w:hAnsi="Garamond"/>
        </w:rPr>
        <w:t>of</w:t>
      </w:r>
      <w:proofErr w:type="spellEnd"/>
      <w:r w:rsidR="00D717CB" w:rsidRPr="00FB47FC">
        <w:rPr>
          <w:rFonts w:ascii="Garamond" w:hAnsi="Garamond"/>
        </w:rPr>
        <w:t xml:space="preserve"> </w:t>
      </w:r>
      <w:proofErr w:type="spellStart"/>
      <w:r w:rsidR="00D717CB" w:rsidRPr="00FB47FC">
        <w:rPr>
          <w:rFonts w:ascii="Garamond" w:hAnsi="Garamond"/>
        </w:rPr>
        <w:t>God</w:t>
      </w:r>
      <w:proofErr w:type="spellEnd"/>
      <w:r w:rsidR="00D717CB" w:rsidRPr="00FB47FC">
        <w:rPr>
          <w:rFonts w:ascii="Garamond" w:hAnsi="Garamond"/>
        </w:rPr>
        <w:t>.</w:t>
      </w:r>
    </w:p>
  </w:footnote>
  <w:footnote w:id="25">
    <w:p w14:paraId="009B7535"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Küng, “The Ecumenical Council in Theological Perspective,” 47.</w:t>
      </w:r>
    </w:p>
  </w:footnote>
  <w:footnote w:id="26">
    <w:p w14:paraId="66EC1B16"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Küng, “The Ecumenical Council in Theological Perspective,” 44.</w:t>
      </w:r>
    </w:p>
  </w:footnote>
  <w:footnote w:id="27">
    <w:p w14:paraId="0AD81AF9" w14:textId="77777777" w:rsidR="008D7994" w:rsidRPr="00FB47FC" w:rsidRDefault="008D7994" w:rsidP="008D7994">
      <w:pPr>
        <w:pStyle w:val="FootnoteText"/>
        <w:jc w:val="both"/>
        <w:rPr>
          <w:rFonts w:ascii="Garamond" w:hAnsi="Garamond"/>
          <w:lang w:val="en-US"/>
        </w:rPr>
      </w:pPr>
      <w:r w:rsidRPr="00FB47FC">
        <w:rPr>
          <w:rStyle w:val="FootnoteReference"/>
          <w:rFonts w:ascii="Garamond" w:hAnsi="Garamond"/>
        </w:rPr>
        <w:footnoteRef/>
      </w:r>
      <w:r w:rsidRPr="00FB47FC">
        <w:rPr>
          <w:rFonts w:ascii="Garamond" w:hAnsi="Garamond"/>
          <w:lang w:val="en-US"/>
        </w:rPr>
        <w:t xml:space="preserve"> Küng, “The Ecumenical Council in Theological Perspective,” 44.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7994"/>
    <w:rsid w:val="000909E7"/>
    <w:rsid w:val="000E06CB"/>
    <w:rsid w:val="00183F09"/>
    <w:rsid w:val="002934DC"/>
    <w:rsid w:val="00335F51"/>
    <w:rsid w:val="003E0D83"/>
    <w:rsid w:val="004044DC"/>
    <w:rsid w:val="0045195D"/>
    <w:rsid w:val="00702273"/>
    <w:rsid w:val="00803626"/>
    <w:rsid w:val="008D7994"/>
    <w:rsid w:val="00A217C2"/>
    <w:rsid w:val="00B03352"/>
    <w:rsid w:val="00B91062"/>
    <w:rsid w:val="00D717CB"/>
    <w:rsid w:val="00ED07CE"/>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384A684D"/>
  <w15:chartTrackingRefBased/>
  <w15:docId w15:val="{BD6045D8-CF62-C946-BD58-8FD92130D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7994"/>
  </w:style>
  <w:style w:type="paragraph" w:styleId="Heading1">
    <w:name w:val="heading 1"/>
    <w:basedOn w:val="Normal"/>
    <w:next w:val="Normal"/>
    <w:link w:val="Heading1Char"/>
    <w:uiPriority w:val="9"/>
    <w:qFormat/>
    <w:rsid w:val="008D799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D799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D799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D799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D799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D799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D799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D799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D799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799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D799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D799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D799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D799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D799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D799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D799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D7994"/>
    <w:rPr>
      <w:rFonts w:eastAsiaTheme="majorEastAsia" w:cstheme="majorBidi"/>
      <w:color w:val="272727" w:themeColor="text1" w:themeTint="D8"/>
    </w:rPr>
  </w:style>
  <w:style w:type="paragraph" w:styleId="Title">
    <w:name w:val="Title"/>
    <w:basedOn w:val="Normal"/>
    <w:next w:val="Normal"/>
    <w:link w:val="TitleChar"/>
    <w:uiPriority w:val="10"/>
    <w:qFormat/>
    <w:rsid w:val="008D799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D799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D799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D799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D799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D7994"/>
    <w:rPr>
      <w:i/>
      <w:iCs/>
      <w:color w:val="404040" w:themeColor="text1" w:themeTint="BF"/>
    </w:rPr>
  </w:style>
  <w:style w:type="paragraph" w:styleId="ListParagraph">
    <w:name w:val="List Paragraph"/>
    <w:basedOn w:val="Normal"/>
    <w:uiPriority w:val="34"/>
    <w:qFormat/>
    <w:rsid w:val="008D7994"/>
    <w:pPr>
      <w:ind w:left="720"/>
      <w:contextualSpacing/>
    </w:pPr>
  </w:style>
  <w:style w:type="character" w:styleId="IntenseEmphasis">
    <w:name w:val="Intense Emphasis"/>
    <w:basedOn w:val="DefaultParagraphFont"/>
    <w:uiPriority w:val="21"/>
    <w:qFormat/>
    <w:rsid w:val="008D7994"/>
    <w:rPr>
      <w:i/>
      <w:iCs/>
      <w:color w:val="2F5496" w:themeColor="accent1" w:themeShade="BF"/>
    </w:rPr>
  </w:style>
  <w:style w:type="paragraph" w:styleId="IntenseQuote">
    <w:name w:val="Intense Quote"/>
    <w:basedOn w:val="Normal"/>
    <w:next w:val="Normal"/>
    <w:link w:val="IntenseQuoteChar"/>
    <w:uiPriority w:val="30"/>
    <w:qFormat/>
    <w:rsid w:val="008D799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D7994"/>
    <w:rPr>
      <w:i/>
      <w:iCs/>
      <w:color w:val="2F5496" w:themeColor="accent1" w:themeShade="BF"/>
    </w:rPr>
  </w:style>
  <w:style w:type="character" w:styleId="IntenseReference">
    <w:name w:val="Intense Reference"/>
    <w:basedOn w:val="DefaultParagraphFont"/>
    <w:uiPriority w:val="32"/>
    <w:qFormat/>
    <w:rsid w:val="008D7994"/>
    <w:rPr>
      <w:b/>
      <w:bCs/>
      <w:smallCaps/>
      <w:color w:val="2F5496" w:themeColor="accent1" w:themeShade="BF"/>
      <w:spacing w:val="5"/>
    </w:rPr>
  </w:style>
  <w:style w:type="paragraph" w:styleId="FootnoteText">
    <w:name w:val="footnote text"/>
    <w:basedOn w:val="Normal"/>
    <w:link w:val="FootnoteTextChar"/>
    <w:uiPriority w:val="99"/>
    <w:unhideWhenUsed/>
    <w:rsid w:val="008D7994"/>
    <w:rPr>
      <w:rFonts w:ascii="Times New Roman" w:eastAsia="SimSun" w:hAnsi="Times New Roman" w:cs="Times New Roman"/>
      <w:kern w:val="0"/>
      <w:sz w:val="20"/>
      <w:szCs w:val="20"/>
      <w:lang w:val="de-DE" w:eastAsia="zh-CN"/>
      <w14:ligatures w14:val="none"/>
    </w:rPr>
  </w:style>
  <w:style w:type="character" w:customStyle="1" w:styleId="FootnoteTextChar">
    <w:name w:val="Footnote Text Char"/>
    <w:basedOn w:val="DefaultParagraphFont"/>
    <w:link w:val="FootnoteText"/>
    <w:uiPriority w:val="99"/>
    <w:qFormat/>
    <w:rsid w:val="008D7994"/>
    <w:rPr>
      <w:rFonts w:ascii="Times New Roman" w:eastAsia="SimSun" w:hAnsi="Times New Roman" w:cs="Times New Roman"/>
      <w:kern w:val="0"/>
      <w:sz w:val="20"/>
      <w:szCs w:val="20"/>
      <w:lang w:val="de-DE" w:eastAsia="zh-CN"/>
      <w14:ligatures w14:val="none"/>
    </w:rPr>
  </w:style>
  <w:style w:type="character" w:styleId="FootnoteReference">
    <w:name w:val="footnote reference"/>
    <w:basedOn w:val="DefaultParagraphFont"/>
    <w:uiPriority w:val="99"/>
    <w:unhideWhenUsed/>
    <w:qFormat/>
    <w:rsid w:val="008D7994"/>
    <w:rPr>
      <w:vertAlign w:val="superscript"/>
    </w:rPr>
  </w:style>
  <w:style w:type="character" w:customStyle="1" w:styleId="FootnoteAnchor">
    <w:name w:val="Footnote Anchor"/>
    <w:qFormat/>
    <w:rsid w:val="008D7994"/>
    <w:rPr>
      <w:vertAlign w:val="superscript"/>
    </w:rPr>
  </w:style>
  <w:style w:type="character" w:styleId="Hyperlink">
    <w:name w:val="Hyperlink"/>
    <w:basedOn w:val="DefaultParagraphFont"/>
    <w:uiPriority w:val="99"/>
    <w:unhideWhenUsed/>
    <w:rsid w:val="008D7994"/>
    <w:rPr>
      <w:color w:val="0563C1" w:themeColor="hyperlink"/>
      <w:u w:val="single"/>
    </w:rPr>
  </w:style>
  <w:style w:type="character" w:styleId="CommentReference">
    <w:name w:val="annotation reference"/>
    <w:basedOn w:val="DefaultParagraphFont"/>
    <w:uiPriority w:val="99"/>
    <w:semiHidden/>
    <w:unhideWhenUsed/>
    <w:rsid w:val="008D7994"/>
    <w:rPr>
      <w:sz w:val="16"/>
      <w:szCs w:val="16"/>
    </w:rPr>
  </w:style>
  <w:style w:type="paragraph" w:styleId="Revision">
    <w:name w:val="Revision"/>
    <w:hidden/>
    <w:uiPriority w:val="99"/>
    <w:semiHidden/>
    <w:rsid w:val="008D7994"/>
  </w:style>
  <w:style w:type="paragraph" w:styleId="Footer">
    <w:name w:val="footer"/>
    <w:basedOn w:val="Normal"/>
    <w:link w:val="FooterChar"/>
    <w:uiPriority w:val="99"/>
    <w:unhideWhenUsed/>
    <w:rsid w:val="008D7994"/>
    <w:pPr>
      <w:tabs>
        <w:tab w:val="center" w:pos="4513"/>
        <w:tab w:val="right" w:pos="9026"/>
      </w:tabs>
    </w:pPr>
  </w:style>
  <w:style w:type="character" w:customStyle="1" w:styleId="FooterChar">
    <w:name w:val="Footer Char"/>
    <w:basedOn w:val="DefaultParagraphFont"/>
    <w:link w:val="Footer"/>
    <w:uiPriority w:val="99"/>
    <w:rsid w:val="008D7994"/>
  </w:style>
  <w:style w:type="character" w:styleId="PageNumber">
    <w:name w:val="page number"/>
    <w:basedOn w:val="DefaultParagraphFont"/>
    <w:uiPriority w:val="99"/>
    <w:semiHidden/>
    <w:unhideWhenUsed/>
    <w:rsid w:val="008D7994"/>
  </w:style>
  <w:style w:type="paragraph" w:styleId="Header">
    <w:name w:val="header"/>
    <w:basedOn w:val="Normal"/>
    <w:link w:val="HeaderChar"/>
    <w:uiPriority w:val="99"/>
    <w:unhideWhenUsed/>
    <w:rsid w:val="008D7994"/>
    <w:pPr>
      <w:tabs>
        <w:tab w:val="center" w:pos="4513"/>
        <w:tab w:val="right" w:pos="9026"/>
      </w:tabs>
    </w:pPr>
  </w:style>
  <w:style w:type="character" w:customStyle="1" w:styleId="HeaderChar">
    <w:name w:val="Header Char"/>
    <w:basedOn w:val="DefaultParagraphFont"/>
    <w:link w:val="Header"/>
    <w:uiPriority w:val="99"/>
    <w:rsid w:val="008D79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newadvent.org/fathers/3801.htm" TargetMode="Externa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8895C7-54C5-F148-A4B4-DF853593D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5</Pages>
  <Words>2600</Words>
  <Characters>14483</Characters>
  <Application>Microsoft Office Word</Application>
  <DocSecurity>0</DocSecurity>
  <Lines>222</Lines>
  <Paragraphs>36</Paragraphs>
  <ScaleCrop>false</ScaleCrop>
  <Company/>
  <LinksUpToDate>false</LinksUpToDate>
  <CharactersWithSpaces>17047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7</cp:revision>
  <cp:lastPrinted>2025-09-17T09:12:00Z</cp:lastPrinted>
  <dcterms:created xsi:type="dcterms:W3CDTF">2025-09-16T22:04:00Z</dcterms:created>
  <dcterms:modified xsi:type="dcterms:W3CDTF">2025-11-04T08:24:00Z</dcterms:modified>
</cp:coreProperties>
</file>