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DDF9FB" w14:textId="1361F70F" w:rsidR="005A08E5" w:rsidRPr="00963A1D" w:rsidRDefault="009E58CF" w:rsidP="009E58CF">
      <w:pPr>
        <w:ind w:firstLine="0"/>
        <w:jc w:val="center"/>
        <w:rPr>
          <w:rFonts w:asciiTheme="majorHAnsi" w:hAnsiTheme="majorHAnsi" w:cstheme="majorHAnsi"/>
          <w:color w:val="000000" w:themeColor="text1"/>
        </w:rPr>
      </w:pPr>
      <w:r w:rsidRPr="00963A1D">
        <w:rPr>
          <w:rFonts w:asciiTheme="majorHAnsi" w:hAnsiTheme="majorHAnsi" w:cstheme="majorHAnsi"/>
          <w:color w:val="000000" w:themeColor="text1"/>
        </w:rPr>
        <w:t>SYNODALITY AND THE CRISIS OF THE PASTORAL CULTURE</w:t>
      </w:r>
    </w:p>
    <w:p w14:paraId="32CBF504" w14:textId="77777777" w:rsidR="00AB76CF" w:rsidRPr="00963A1D" w:rsidRDefault="00AB76CF" w:rsidP="00963A1D">
      <w:pPr>
        <w:ind w:firstLine="0"/>
        <w:rPr>
          <w:rFonts w:asciiTheme="majorHAnsi" w:hAnsiTheme="majorHAnsi" w:cstheme="majorHAnsi"/>
          <w:color w:val="000000" w:themeColor="text1"/>
        </w:rPr>
      </w:pPr>
    </w:p>
    <w:p w14:paraId="7DAD654A" w14:textId="293E6B16" w:rsidR="008709F0" w:rsidRDefault="008709F0" w:rsidP="00963A1D">
      <w:pPr>
        <w:ind w:firstLine="0"/>
        <w:rPr>
          <w:rFonts w:asciiTheme="majorHAnsi" w:hAnsiTheme="majorHAnsi" w:cstheme="majorHAnsi"/>
          <w:color w:val="000000" w:themeColor="text1"/>
        </w:rPr>
      </w:pPr>
      <w:r>
        <w:rPr>
          <w:rFonts w:asciiTheme="majorHAnsi" w:hAnsiTheme="majorHAnsi" w:cstheme="majorHAnsi"/>
          <w:color w:val="000000" w:themeColor="text1"/>
        </w:rPr>
        <w:t>ABSTRACT</w:t>
      </w:r>
      <w:bookmarkStart w:id="0" w:name="_GoBack"/>
      <w:bookmarkEnd w:id="0"/>
    </w:p>
    <w:p w14:paraId="115053F6" w14:textId="77777777" w:rsidR="008709F0" w:rsidRDefault="008709F0" w:rsidP="00963A1D">
      <w:pPr>
        <w:ind w:firstLine="0"/>
        <w:rPr>
          <w:rFonts w:asciiTheme="majorHAnsi" w:hAnsiTheme="majorHAnsi" w:cstheme="majorHAnsi"/>
          <w:color w:val="000000" w:themeColor="text1"/>
        </w:rPr>
      </w:pPr>
    </w:p>
    <w:p w14:paraId="55836455" w14:textId="0013C3EF" w:rsidR="00AB76CF" w:rsidRPr="00963A1D" w:rsidRDefault="00AB76CF"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Much has been said about synodality as a form of ecclesiology that </w:t>
      </w:r>
      <w:proofErr w:type="gramStart"/>
      <w:r w:rsidRPr="00963A1D">
        <w:rPr>
          <w:rFonts w:asciiTheme="majorHAnsi" w:hAnsiTheme="majorHAnsi" w:cstheme="majorHAnsi"/>
          <w:color w:val="000000" w:themeColor="text1"/>
        </w:rPr>
        <w:t>takes into account</w:t>
      </w:r>
      <w:proofErr w:type="gramEnd"/>
      <w:r w:rsidRPr="00963A1D">
        <w:rPr>
          <w:rFonts w:asciiTheme="majorHAnsi" w:hAnsiTheme="majorHAnsi" w:cstheme="majorHAnsi"/>
          <w:color w:val="000000" w:themeColor="text1"/>
        </w:rPr>
        <w:t xml:space="preserve"> the nature of the </w:t>
      </w:r>
      <w:r w:rsidR="009E58CF">
        <w:rPr>
          <w:rFonts w:asciiTheme="majorHAnsi" w:hAnsiTheme="majorHAnsi" w:cstheme="majorHAnsi"/>
          <w:color w:val="000000" w:themeColor="text1"/>
        </w:rPr>
        <w:t>c</w:t>
      </w:r>
      <w:r w:rsidRPr="00963A1D">
        <w:rPr>
          <w:rFonts w:asciiTheme="majorHAnsi" w:hAnsiTheme="majorHAnsi" w:cstheme="majorHAnsi"/>
          <w:color w:val="000000" w:themeColor="text1"/>
        </w:rPr>
        <w:t>hurch as a pilgrim community, where the participation of everyone is at the center of ecclesial life. Yet one wonders whether the idea of synodality is not already foreseen in a pastoral community in which active participation of the faithful also implies a comprehensive co-participation of all. In other words, are we rather facing an ecclesiological crisis due to pastoral inefficiency</w:t>
      </w:r>
      <w:r w:rsidR="00D33733" w:rsidRPr="00963A1D">
        <w:rPr>
          <w:rFonts w:asciiTheme="majorHAnsi" w:hAnsiTheme="majorHAnsi" w:cstheme="majorHAnsi"/>
          <w:color w:val="000000" w:themeColor="text1"/>
        </w:rPr>
        <w:t>,</w:t>
      </w:r>
      <w:r w:rsidRPr="00963A1D">
        <w:rPr>
          <w:rFonts w:asciiTheme="majorHAnsi" w:hAnsiTheme="majorHAnsi" w:cstheme="majorHAnsi"/>
          <w:color w:val="000000" w:themeColor="text1"/>
        </w:rPr>
        <w:t xml:space="preserve"> or is the idea of synodality necessary even without addressing the pastoral problem? This article argues that beyond the buzz generated by the concept of synodality, nothing would be achieved if the pastoral question is not addressed. Where synodality is channeled towards pastoral crisis, then the question remains whether it adds anything extra beyond revising what is already there</w:t>
      </w:r>
      <w:r w:rsidR="00AB3DC7" w:rsidRPr="00963A1D">
        <w:rPr>
          <w:rFonts w:asciiTheme="majorHAnsi" w:hAnsiTheme="majorHAnsi" w:cstheme="majorHAnsi"/>
          <w:color w:val="000000" w:themeColor="text1"/>
        </w:rPr>
        <w:t>.</w:t>
      </w:r>
    </w:p>
    <w:p w14:paraId="1C913EE3" w14:textId="7B372943" w:rsidR="00536AE0" w:rsidRDefault="00536AE0" w:rsidP="00963A1D">
      <w:pPr>
        <w:ind w:firstLine="0"/>
        <w:rPr>
          <w:rFonts w:asciiTheme="majorHAnsi" w:hAnsiTheme="majorHAnsi" w:cstheme="majorHAnsi"/>
          <w:color w:val="000000" w:themeColor="text1"/>
        </w:rPr>
      </w:pPr>
    </w:p>
    <w:p w14:paraId="0E36E50E" w14:textId="77777777" w:rsidR="009E58CF" w:rsidRPr="00963A1D" w:rsidRDefault="009E58CF" w:rsidP="00963A1D">
      <w:pPr>
        <w:ind w:firstLine="0"/>
        <w:rPr>
          <w:rFonts w:asciiTheme="majorHAnsi" w:hAnsiTheme="majorHAnsi" w:cstheme="majorHAnsi"/>
          <w:color w:val="000000" w:themeColor="text1"/>
        </w:rPr>
      </w:pPr>
    </w:p>
    <w:p w14:paraId="5639EBAD" w14:textId="72C7EF60" w:rsidR="00536AE0" w:rsidRDefault="009E58CF" w:rsidP="00963A1D">
      <w:pPr>
        <w:ind w:firstLine="0"/>
        <w:rPr>
          <w:rFonts w:asciiTheme="majorHAnsi" w:hAnsiTheme="majorHAnsi" w:cstheme="majorHAnsi"/>
          <w:color w:val="000000" w:themeColor="text1"/>
        </w:rPr>
      </w:pPr>
      <w:r>
        <w:rPr>
          <w:rFonts w:asciiTheme="majorHAnsi" w:hAnsiTheme="majorHAnsi" w:cstheme="majorHAnsi"/>
          <w:color w:val="000000" w:themeColor="text1"/>
        </w:rPr>
        <w:t>KEYWORDS: Synodality, pastoral, conversion, introspection, agenda, church</w:t>
      </w:r>
    </w:p>
    <w:p w14:paraId="29DB5443" w14:textId="5E3C6900" w:rsidR="009E58CF" w:rsidRDefault="009E58CF" w:rsidP="00963A1D">
      <w:pPr>
        <w:ind w:firstLine="0"/>
        <w:rPr>
          <w:rFonts w:asciiTheme="majorHAnsi" w:hAnsiTheme="majorHAnsi" w:cstheme="majorHAnsi"/>
          <w:color w:val="000000" w:themeColor="text1"/>
        </w:rPr>
      </w:pPr>
    </w:p>
    <w:p w14:paraId="4E951CF6" w14:textId="77777777" w:rsidR="009E58CF" w:rsidRPr="00963A1D" w:rsidRDefault="009E58CF" w:rsidP="00963A1D">
      <w:pPr>
        <w:ind w:firstLine="0"/>
        <w:rPr>
          <w:rFonts w:asciiTheme="majorHAnsi" w:hAnsiTheme="majorHAnsi" w:cstheme="majorHAnsi"/>
          <w:color w:val="000000" w:themeColor="text1"/>
        </w:rPr>
      </w:pPr>
    </w:p>
    <w:p w14:paraId="0D6A984D" w14:textId="0E343A7B" w:rsidR="00536AE0" w:rsidRPr="00963A1D" w:rsidRDefault="00536AE0"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Pastoral Reality in the Church Today</w:t>
      </w:r>
    </w:p>
    <w:p w14:paraId="04B43B82" w14:textId="77777777" w:rsidR="00DA4395" w:rsidRPr="00963A1D" w:rsidRDefault="00DA4395" w:rsidP="00963A1D">
      <w:pPr>
        <w:ind w:firstLine="0"/>
        <w:rPr>
          <w:rFonts w:asciiTheme="majorHAnsi" w:hAnsiTheme="majorHAnsi" w:cstheme="majorHAnsi"/>
          <w:color w:val="000000" w:themeColor="text1"/>
        </w:rPr>
      </w:pPr>
    </w:p>
    <w:p w14:paraId="4A0F987C" w14:textId="20AC0796" w:rsidR="00055A00" w:rsidRPr="00963A1D" w:rsidRDefault="00BF4BE6" w:rsidP="009E58CF">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To claim that the set of crises in the Roman Catholic pastoral field certainly </w:t>
      </w:r>
      <w:r w:rsidR="00A74107" w:rsidRPr="00963A1D">
        <w:rPr>
          <w:rFonts w:asciiTheme="majorHAnsi" w:hAnsiTheme="majorHAnsi" w:cstheme="majorHAnsi"/>
          <w:color w:val="000000" w:themeColor="text1"/>
        </w:rPr>
        <w:t>consists of the very issues that necessitated the current clamor for synodality is absolutely in order. These issues would include the sexual abuse by the clergy, the abuse of authority that is often described as clericalism, the question of exclusion, particularly in the decision-making process of the church that impedes pastoral efficiency and accountability as well as the lack of attentiveness to the struggles of those at the periphery, especially the poor, migrants and those grappling with their sexuality.</w:t>
      </w:r>
      <w:r w:rsidR="00DA4395" w:rsidRPr="00963A1D">
        <w:rPr>
          <w:rFonts w:asciiTheme="majorHAnsi" w:hAnsiTheme="majorHAnsi" w:cstheme="majorHAnsi"/>
          <w:color w:val="000000" w:themeColor="text1"/>
        </w:rPr>
        <w:t xml:space="preserve"> Part of the consequences of these is that many people to leave the church and the church continues to lose its credibility especially in the secular world of today. If the pastoral concerns are at once the motive for a more synodal church, it means that synodality ought to serve a pastoral purpose. Where this is the case, it is therefore important to put pastoral issues at the front in the deliberations on synodality. If synodality suggests a church that walks together, then it ought also to promote a church that serves one another for the sake of the Christ-promised abundant life (cf. Jn.10:10) and the salvation of souls. as such, the essence of the idea of co-responsible church is not intended primarily for the struggle for power but of co-participation in ecclesial </w:t>
      </w:r>
      <w:r w:rsidR="00DA4395" w:rsidRPr="00963A1D">
        <w:rPr>
          <w:rFonts w:asciiTheme="majorHAnsi" w:hAnsiTheme="majorHAnsi" w:cstheme="majorHAnsi"/>
          <w:i/>
          <w:color w:val="000000" w:themeColor="text1"/>
        </w:rPr>
        <w:t>diakonia</w:t>
      </w:r>
      <w:r w:rsidR="00DA4395" w:rsidRPr="00963A1D">
        <w:rPr>
          <w:rFonts w:asciiTheme="majorHAnsi" w:hAnsiTheme="majorHAnsi" w:cstheme="majorHAnsi"/>
          <w:color w:val="000000" w:themeColor="text1"/>
        </w:rPr>
        <w:t xml:space="preserve">. This suggests a reversal of the gradual emergence of the clericalization of pastoral care that we find in the church. Describing this clericalization of the pastoral as </w:t>
      </w:r>
      <w:r w:rsidR="00DA4395" w:rsidRPr="00963A1D">
        <w:rPr>
          <w:rFonts w:asciiTheme="majorHAnsi" w:hAnsiTheme="majorHAnsi" w:cstheme="majorHAnsi"/>
          <w:i/>
          <w:color w:val="000000" w:themeColor="text1"/>
        </w:rPr>
        <w:t>terminus ad quem</w:t>
      </w:r>
      <w:r w:rsidR="00DA4395" w:rsidRPr="00963A1D">
        <w:rPr>
          <w:rFonts w:asciiTheme="majorHAnsi" w:hAnsiTheme="majorHAnsi" w:cstheme="majorHAnsi"/>
          <w:color w:val="000000" w:themeColor="text1"/>
        </w:rPr>
        <w:t xml:space="preserve"> of the historical development, Heinz Schuster remarks that</w:t>
      </w:r>
      <w:r w:rsidR="00AA72E4" w:rsidRPr="00963A1D">
        <w:rPr>
          <w:rFonts w:asciiTheme="majorHAnsi" w:hAnsiTheme="majorHAnsi" w:cstheme="majorHAnsi"/>
          <w:color w:val="000000" w:themeColor="text1"/>
        </w:rPr>
        <w:t xml:space="preserve">: “In the end, the individual clergyman was defined as the historical continuation of the person and function of Christ (‘Christ’s representative,’ ‘God’s viceroy,’ ‘channel of all graces,’ ‘shepherd </w:t>
      </w:r>
      <w:r w:rsidR="00AA72E4" w:rsidRPr="00963A1D">
        <w:rPr>
          <w:rFonts w:asciiTheme="majorHAnsi" w:hAnsiTheme="majorHAnsi" w:cstheme="majorHAnsi"/>
          <w:color w:val="000000" w:themeColor="text1"/>
        </w:rPr>
        <w:lastRenderedPageBreak/>
        <w:t>of flock,’ etc.). And the individual Christians and the church congregation stood before him passively, as something ‘directed,’ ‘led,’ and indeed ‘sanctified’ by him.”</w:t>
      </w:r>
      <w:r w:rsidR="00AA72E4" w:rsidRPr="00963A1D">
        <w:rPr>
          <w:rStyle w:val="FootnoteReference"/>
          <w:rFonts w:asciiTheme="majorHAnsi" w:hAnsiTheme="majorHAnsi" w:cstheme="majorHAnsi"/>
          <w:color w:val="000000" w:themeColor="text1"/>
        </w:rPr>
        <w:footnoteReference w:id="1"/>
      </w:r>
    </w:p>
    <w:p w14:paraId="5A88029F" w14:textId="6B3017BE" w:rsidR="00A4167C" w:rsidRPr="00963A1D" w:rsidRDefault="00055A00"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 xml:space="preserve">The point is not to </w:t>
      </w:r>
      <w:r w:rsidR="00A4167C" w:rsidRPr="00963A1D">
        <w:rPr>
          <w:rFonts w:asciiTheme="majorHAnsi" w:hAnsiTheme="majorHAnsi" w:cstheme="majorHAnsi"/>
          <w:color w:val="000000" w:themeColor="text1"/>
        </w:rPr>
        <w:t>scapegoat</w:t>
      </w:r>
      <w:r w:rsidRPr="00963A1D">
        <w:rPr>
          <w:rFonts w:asciiTheme="majorHAnsi" w:hAnsiTheme="majorHAnsi" w:cstheme="majorHAnsi"/>
          <w:color w:val="000000" w:themeColor="text1"/>
        </w:rPr>
        <w:t xml:space="preserve"> clerics as the </w:t>
      </w:r>
      <w:r w:rsidR="00A4167C" w:rsidRPr="00963A1D">
        <w:rPr>
          <w:rFonts w:asciiTheme="majorHAnsi" w:hAnsiTheme="majorHAnsi" w:cstheme="majorHAnsi"/>
          <w:color w:val="000000" w:themeColor="text1"/>
        </w:rPr>
        <w:t xml:space="preserve">sole </w:t>
      </w:r>
      <w:r w:rsidRPr="00963A1D">
        <w:rPr>
          <w:rFonts w:asciiTheme="majorHAnsi" w:hAnsiTheme="majorHAnsi" w:cstheme="majorHAnsi"/>
          <w:color w:val="000000" w:themeColor="text1"/>
        </w:rPr>
        <w:t xml:space="preserve">cause of pastoral crisis, but to underscore how the abandonment of our role as the baptized has altered the nature of the church as a co-responsible community. </w:t>
      </w:r>
      <w:r w:rsidR="00663A09" w:rsidRPr="00963A1D">
        <w:rPr>
          <w:rFonts w:asciiTheme="majorHAnsi" w:hAnsiTheme="majorHAnsi" w:cstheme="majorHAnsi"/>
          <w:color w:val="000000" w:themeColor="text1"/>
        </w:rPr>
        <w:t>C</w:t>
      </w:r>
      <w:r w:rsidRPr="00963A1D">
        <w:rPr>
          <w:rFonts w:asciiTheme="majorHAnsi" w:hAnsiTheme="majorHAnsi" w:cstheme="majorHAnsi"/>
          <w:color w:val="000000" w:themeColor="text1"/>
        </w:rPr>
        <w:t xml:space="preserve">lericalization is only a definition of such dereliction of shared responsibility in the church. </w:t>
      </w:r>
      <w:r w:rsidR="00A4167C" w:rsidRPr="00963A1D">
        <w:rPr>
          <w:rFonts w:asciiTheme="majorHAnsi" w:hAnsiTheme="majorHAnsi" w:cstheme="majorHAnsi"/>
          <w:color w:val="000000" w:themeColor="text1"/>
        </w:rPr>
        <w:t>Put in proper perspective, “An ecclesial mentality shaped by synodal thinking joyfully welcomes and promotes the grace in virtue of which all the baptised are qualified and called to be missionary disciples.” The fact remains that “the great challenge for pastoral conversion that follows from this for the life of the Church is to intensify the mutual collaboration of all in evangelising witness based on everyone’s gifts and roles, without clericalising lay people and without turning the clergy into lay people, and in any case avoiding the temptation of ‘an excessive clericalism which keeps them [lay people] away from decision-making’.” (ITC §104</w:t>
      </w:r>
      <w:r w:rsidR="00652DCB" w:rsidRPr="00963A1D">
        <w:rPr>
          <w:rFonts w:asciiTheme="majorHAnsi" w:hAnsiTheme="majorHAnsi" w:cstheme="majorHAnsi"/>
          <w:color w:val="000000" w:themeColor="text1"/>
        </w:rPr>
        <w:t>; EG §102</w:t>
      </w:r>
      <w:r w:rsidR="00A4167C" w:rsidRPr="00963A1D">
        <w:rPr>
          <w:rFonts w:asciiTheme="majorHAnsi" w:hAnsiTheme="majorHAnsi" w:cstheme="majorHAnsi"/>
          <w:color w:val="000000" w:themeColor="text1"/>
        </w:rPr>
        <w:t xml:space="preserve">) </w:t>
      </w:r>
      <w:r w:rsidR="00652DCB" w:rsidRPr="00963A1D">
        <w:rPr>
          <w:rFonts w:asciiTheme="majorHAnsi" w:hAnsiTheme="majorHAnsi" w:cstheme="majorHAnsi"/>
          <w:color w:val="000000" w:themeColor="text1"/>
        </w:rPr>
        <w:t>The co-responsibility of synodality is best conceived as a form of shared responsibility of the people of God, each in their proper roles without confusion or scrabbling.</w:t>
      </w:r>
    </w:p>
    <w:p w14:paraId="7B15F8B3" w14:textId="410DE2CA" w:rsidR="000275F1" w:rsidRPr="00963A1D" w:rsidRDefault="00055A00"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The challenge is to interrogate and renew contemporary pastoral practice in a way that captures the essence of synodality. This hermeneutical task requires that we pay attention to historical and social contexts (Gadamer and Ricoeur) of both the pastoral situation and the clamour for a synodal church. As David Klemm suggests, “hermeneutics has the task of allowing the meanings in texts and existence to speak again. Sacred scriptures, classic literature, and legal codes are texts that carry an intent to speak into a human situation.” He insists that since “human situations change in unforeseen ways</w:t>
      </w:r>
      <w:r w:rsidR="00DB08E3" w:rsidRPr="00963A1D">
        <w:rPr>
          <w:rFonts w:asciiTheme="majorHAnsi" w:hAnsiTheme="majorHAnsi" w:cstheme="majorHAnsi"/>
          <w:color w:val="000000" w:themeColor="text1"/>
        </w:rPr>
        <w:t>, these texts call for hermeneutics to assist them in speaking again.”</w:t>
      </w:r>
      <w:r w:rsidR="00DB08E3" w:rsidRPr="00963A1D">
        <w:rPr>
          <w:rStyle w:val="FootnoteReference"/>
          <w:rFonts w:asciiTheme="majorHAnsi" w:hAnsiTheme="majorHAnsi" w:cstheme="majorHAnsi"/>
          <w:color w:val="000000" w:themeColor="text1"/>
        </w:rPr>
        <w:footnoteReference w:id="2"/>
      </w:r>
      <w:r w:rsidR="00DB08E3" w:rsidRPr="00963A1D">
        <w:rPr>
          <w:rFonts w:asciiTheme="majorHAnsi" w:hAnsiTheme="majorHAnsi" w:cstheme="majorHAnsi"/>
          <w:color w:val="000000" w:themeColor="text1"/>
        </w:rPr>
        <w:t xml:space="preserve"> Klemm’s position is as valid as for texts as it is for praxis</w:t>
      </w:r>
      <w:r w:rsidR="000275F1" w:rsidRPr="00963A1D">
        <w:rPr>
          <w:rFonts w:asciiTheme="majorHAnsi" w:hAnsiTheme="majorHAnsi" w:cstheme="majorHAnsi"/>
          <w:color w:val="000000" w:themeColor="text1"/>
        </w:rPr>
        <w:t xml:space="preserve">, and even combines both in a pastoral setting. In fact, the hermeneutic process of an authentic pastoral cycle is synodal in character. </w:t>
      </w:r>
      <w:r w:rsidR="00AB4C90" w:rsidRPr="00963A1D">
        <w:rPr>
          <w:rFonts w:asciiTheme="majorHAnsi" w:hAnsiTheme="majorHAnsi" w:cstheme="majorHAnsi"/>
          <w:color w:val="000000" w:themeColor="text1"/>
        </w:rPr>
        <w:t>The</w:t>
      </w:r>
      <w:r w:rsidR="000275F1" w:rsidRPr="00963A1D">
        <w:rPr>
          <w:rFonts w:asciiTheme="majorHAnsi" w:hAnsiTheme="majorHAnsi" w:cstheme="majorHAnsi"/>
          <w:color w:val="000000" w:themeColor="text1"/>
        </w:rPr>
        <w:t xml:space="preserve"> model offered </w:t>
      </w:r>
      <w:r w:rsidR="00AB4C90" w:rsidRPr="00963A1D">
        <w:rPr>
          <w:rFonts w:asciiTheme="majorHAnsi" w:hAnsiTheme="majorHAnsi" w:cstheme="majorHAnsi"/>
          <w:color w:val="000000" w:themeColor="text1"/>
        </w:rPr>
        <w:t xml:space="preserve">by </w:t>
      </w:r>
      <w:r w:rsidR="000275F1" w:rsidRPr="00963A1D">
        <w:rPr>
          <w:rFonts w:asciiTheme="majorHAnsi" w:hAnsiTheme="majorHAnsi" w:cstheme="majorHAnsi"/>
          <w:color w:val="000000" w:themeColor="text1"/>
        </w:rPr>
        <w:t>Anglican theologians at the Oxford Center for Ecclesiology and Practical Theology (OxCEPT)</w:t>
      </w:r>
      <w:r w:rsidR="00AB4C90" w:rsidRPr="00963A1D">
        <w:rPr>
          <w:rFonts w:asciiTheme="majorHAnsi" w:hAnsiTheme="majorHAnsi" w:cstheme="majorHAnsi"/>
          <w:color w:val="000000" w:themeColor="text1"/>
        </w:rPr>
        <w:t xml:space="preserve"> </w:t>
      </w:r>
      <w:proofErr w:type="gramStart"/>
      <w:r w:rsidR="00AB4C90" w:rsidRPr="00963A1D">
        <w:rPr>
          <w:rFonts w:asciiTheme="majorHAnsi" w:hAnsiTheme="majorHAnsi" w:cstheme="majorHAnsi"/>
          <w:color w:val="000000" w:themeColor="text1"/>
        </w:rPr>
        <w:t>takes into account</w:t>
      </w:r>
      <w:proofErr w:type="gramEnd"/>
      <w:r w:rsidR="00AB4C90" w:rsidRPr="00963A1D">
        <w:rPr>
          <w:rFonts w:asciiTheme="majorHAnsi" w:hAnsiTheme="majorHAnsi" w:cstheme="majorHAnsi"/>
          <w:color w:val="000000" w:themeColor="text1"/>
        </w:rPr>
        <w:t xml:space="preserve"> a number of factors including the need for pastoral action, a broad range of analytical elements to be considered, the centrality of the faith tradition, dialogue, the value of time and space in anticipation of the ‘novum’, taking actions, and engaging in yet another cycle. Here is the sketch</w:t>
      </w:r>
      <w:r w:rsidR="00AB4C90" w:rsidRPr="00963A1D">
        <w:rPr>
          <w:rStyle w:val="FootnoteReference"/>
          <w:rFonts w:asciiTheme="majorHAnsi" w:hAnsiTheme="majorHAnsi" w:cstheme="majorHAnsi"/>
          <w:color w:val="000000" w:themeColor="text1"/>
        </w:rPr>
        <w:footnoteReference w:id="3"/>
      </w:r>
      <w:r w:rsidR="00AB4C90" w:rsidRPr="00963A1D">
        <w:rPr>
          <w:rFonts w:asciiTheme="majorHAnsi" w:hAnsiTheme="majorHAnsi" w:cstheme="majorHAnsi"/>
          <w:color w:val="000000" w:themeColor="text1"/>
        </w:rPr>
        <w:t>:</w:t>
      </w:r>
    </w:p>
    <w:p w14:paraId="2AB6A34B" w14:textId="2977AF49" w:rsidR="000275F1" w:rsidRPr="00963A1D" w:rsidRDefault="000275F1" w:rsidP="00963A1D">
      <w:pPr>
        <w:rPr>
          <w:rFonts w:asciiTheme="majorHAnsi" w:hAnsiTheme="majorHAnsi" w:cstheme="majorHAnsi"/>
          <w:color w:val="000000" w:themeColor="text1"/>
        </w:rPr>
      </w:pPr>
    </w:p>
    <w:p w14:paraId="065A467D" w14:textId="504EE5E0" w:rsidR="000275F1" w:rsidRPr="00963A1D" w:rsidRDefault="000275F1" w:rsidP="00963A1D">
      <w:pPr>
        <w:rPr>
          <w:rFonts w:asciiTheme="majorHAnsi" w:hAnsiTheme="majorHAnsi" w:cstheme="majorHAnsi"/>
          <w:color w:val="000000" w:themeColor="text1"/>
        </w:rPr>
      </w:pPr>
    </w:p>
    <w:p w14:paraId="7DD5B29D" w14:textId="518C333C" w:rsidR="000275F1" w:rsidRPr="00963A1D" w:rsidRDefault="00CA1290" w:rsidP="00963A1D">
      <w:pPr>
        <w:rPr>
          <w:rFonts w:asciiTheme="majorHAnsi" w:hAnsiTheme="majorHAnsi" w:cstheme="majorHAnsi"/>
          <w:color w:val="000000" w:themeColor="text1"/>
        </w:rPr>
      </w:pPr>
      <w:r w:rsidRPr="00963A1D">
        <w:rPr>
          <w:rFonts w:asciiTheme="majorHAnsi" w:hAnsiTheme="majorHAnsi" w:cstheme="majorHAnsi"/>
          <w:noProof/>
          <w:color w:val="000000" w:themeColor="text1"/>
        </w:rPr>
        <w:lastRenderedPageBreak/>
        <w:drawing>
          <wp:inline distT="0" distB="0" distL="0" distR="0" wp14:anchorId="0A96580C" wp14:editId="0919A887">
            <wp:extent cx="5382228" cy="3669030"/>
            <wp:effectExtent l="0" t="63500" r="3175" b="7747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69753E3" w14:textId="77777777" w:rsidR="000275F1" w:rsidRPr="00963A1D" w:rsidRDefault="000275F1" w:rsidP="00963A1D">
      <w:pPr>
        <w:rPr>
          <w:rFonts w:asciiTheme="majorHAnsi" w:hAnsiTheme="majorHAnsi" w:cstheme="majorHAnsi"/>
          <w:color w:val="000000" w:themeColor="text1"/>
        </w:rPr>
      </w:pPr>
    </w:p>
    <w:p w14:paraId="00390963" w14:textId="77777777" w:rsidR="000275F1" w:rsidRPr="00963A1D" w:rsidRDefault="000275F1" w:rsidP="00963A1D">
      <w:pPr>
        <w:rPr>
          <w:rFonts w:asciiTheme="majorHAnsi" w:hAnsiTheme="majorHAnsi" w:cstheme="majorHAnsi"/>
          <w:color w:val="000000" w:themeColor="text1"/>
        </w:rPr>
      </w:pPr>
    </w:p>
    <w:p w14:paraId="076C130D" w14:textId="17B3703E" w:rsidR="000275F1" w:rsidRPr="00963A1D" w:rsidRDefault="00AB4C90"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Quite interesting is that this pastoral process does not give room for rushed conversations and decisions</w:t>
      </w:r>
      <w:r w:rsidR="005742D4" w:rsidRPr="00963A1D">
        <w:rPr>
          <w:rFonts w:asciiTheme="majorHAnsi" w:hAnsiTheme="majorHAnsi" w:cstheme="majorHAnsi"/>
          <w:color w:val="000000" w:themeColor="text1"/>
        </w:rPr>
        <w:t xml:space="preserve"> that may be influenced by particular interests at a given time. The elements of ‘time’ and ‘space’ become necessary for the process of discernment. These two elements are pointers to the fact that pastoral guidance is a pneumatological project and not a managerial task. Within the cycle, the elements of ‘time’ and ‘space’ are preceded by a dialogical engagement with the faith tradition that includes the exercises of Scriptural reflection, prayer, silence, and spiritual practices that open the heart and mind to inspiration and direction of the Holy Spirit. More importantly, the process demonstrates that the cycle is a never-ending process. It is synodal, a continuous pilgrimage of faith that is a way of living </w:t>
      </w:r>
      <w:r w:rsidR="005742D4" w:rsidRPr="00963A1D">
        <w:rPr>
          <w:rFonts w:asciiTheme="majorHAnsi" w:hAnsiTheme="majorHAnsi" w:cstheme="majorHAnsi"/>
          <w:i/>
          <w:color w:val="000000" w:themeColor="text1"/>
        </w:rPr>
        <w:t>of</w:t>
      </w:r>
      <w:r w:rsidR="005742D4" w:rsidRPr="00963A1D">
        <w:rPr>
          <w:rFonts w:asciiTheme="majorHAnsi" w:hAnsiTheme="majorHAnsi" w:cstheme="majorHAnsi"/>
          <w:color w:val="000000" w:themeColor="text1"/>
        </w:rPr>
        <w:t xml:space="preserve"> the church.</w:t>
      </w:r>
    </w:p>
    <w:p w14:paraId="348EBFAB" w14:textId="03494870" w:rsidR="00055A00" w:rsidRPr="00963A1D" w:rsidRDefault="00DB08E3"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 xml:space="preserve">In relation to synodality that is linked to pastoral praxis, </w:t>
      </w:r>
      <w:r w:rsidR="005742D4" w:rsidRPr="00963A1D">
        <w:rPr>
          <w:rFonts w:asciiTheme="majorHAnsi" w:hAnsiTheme="majorHAnsi" w:cstheme="majorHAnsi"/>
          <w:color w:val="000000" w:themeColor="text1"/>
        </w:rPr>
        <w:t>the hermeneutic process</w:t>
      </w:r>
      <w:r w:rsidRPr="00963A1D">
        <w:rPr>
          <w:rFonts w:asciiTheme="majorHAnsi" w:hAnsiTheme="majorHAnsi" w:cstheme="majorHAnsi"/>
          <w:color w:val="000000" w:themeColor="text1"/>
        </w:rPr>
        <w:t xml:space="preserve"> raised the following questions: How can the pastoral life of the church </w:t>
      </w:r>
      <w:r w:rsidRPr="00963A1D">
        <w:rPr>
          <w:rFonts w:asciiTheme="majorHAnsi" w:hAnsiTheme="majorHAnsi" w:cstheme="majorHAnsi"/>
          <w:i/>
          <w:color w:val="000000" w:themeColor="text1"/>
        </w:rPr>
        <w:t>speak again</w:t>
      </w:r>
      <w:r w:rsidRPr="00963A1D">
        <w:rPr>
          <w:rFonts w:asciiTheme="majorHAnsi" w:hAnsiTheme="majorHAnsi" w:cstheme="majorHAnsi"/>
          <w:color w:val="000000" w:themeColor="text1"/>
        </w:rPr>
        <w:t>, and this time in a more intense synodal manner? The primary concern is to find ways of making synodality resound again in the church in the face of the pastoral crisis of today. Whether ‘speaking again’ is involved in pastoral praxis or synodality, the ecclesial texts – Sacred Scriptures and Tradition – should be to ‘speak again’.</w:t>
      </w:r>
    </w:p>
    <w:p w14:paraId="2D6CAF41" w14:textId="77777777" w:rsidR="00040B13" w:rsidRPr="00963A1D" w:rsidRDefault="00040B13" w:rsidP="00963A1D">
      <w:pPr>
        <w:rPr>
          <w:rFonts w:asciiTheme="majorHAnsi" w:hAnsiTheme="majorHAnsi" w:cstheme="majorHAnsi"/>
          <w:color w:val="000000" w:themeColor="text1"/>
        </w:rPr>
      </w:pPr>
    </w:p>
    <w:p w14:paraId="42B3C709" w14:textId="05E775B8" w:rsidR="00341F02" w:rsidRPr="00963A1D" w:rsidRDefault="00341F02" w:rsidP="00963A1D">
      <w:pPr>
        <w:rPr>
          <w:rFonts w:asciiTheme="majorHAnsi" w:hAnsiTheme="majorHAnsi" w:cstheme="majorHAnsi"/>
          <w:color w:val="000000" w:themeColor="text1"/>
        </w:rPr>
      </w:pPr>
    </w:p>
    <w:p w14:paraId="1B9BD855" w14:textId="110C51D5" w:rsidR="00341F02" w:rsidRPr="00963A1D" w:rsidRDefault="00341F02"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Scriptures</w:t>
      </w:r>
      <w:r w:rsidR="005A16A8" w:rsidRPr="00963A1D">
        <w:rPr>
          <w:rFonts w:asciiTheme="majorHAnsi" w:hAnsiTheme="majorHAnsi" w:cstheme="majorHAnsi"/>
          <w:color w:val="000000" w:themeColor="text1"/>
        </w:rPr>
        <w:t xml:space="preserve"> and Tradition</w:t>
      </w:r>
    </w:p>
    <w:p w14:paraId="16A06BB2" w14:textId="23505911" w:rsidR="00703E50" w:rsidRPr="00963A1D" w:rsidRDefault="00703E50" w:rsidP="00963A1D">
      <w:pPr>
        <w:ind w:firstLine="0"/>
        <w:rPr>
          <w:rFonts w:asciiTheme="majorHAnsi" w:hAnsiTheme="majorHAnsi" w:cstheme="majorHAnsi"/>
          <w:color w:val="000000" w:themeColor="text1"/>
        </w:rPr>
      </w:pPr>
    </w:p>
    <w:p w14:paraId="13191A19" w14:textId="2FBD95E1" w:rsidR="007A69FA" w:rsidRPr="00963A1D" w:rsidRDefault="007A69FA"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Both Scripture and </w:t>
      </w:r>
      <w:r w:rsidR="00703E50" w:rsidRPr="00963A1D">
        <w:rPr>
          <w:rFonts w:asciiTheme="majorHAnsi" w:hAnsiTheme="majorHAnsi" w:cstheme="majorHAnsi"/>
          <w:color w:val="000000" w:themeColor="text1"/>
        </w:rPr>
        <w:t>Tradition can sometimes initiate a synodal reflection</w:t>
      </w:r>
      <w:r w:rsidRPr="00963A1D">
        <w:rPr>
          <w:rFonts w:asciiTheme="majorHAnsi" w:hAnsiTheme="majorHAnsi" w:cstheme="majorHAnsi"/>
          <w:color w:val="000000" w:themeColor="text1"/>
        </w:rPr>
        <w:t xml:space="preserve"> that challenges the faithful (lay and clergy) in their different positions</w:t>
      </w:r>
      <w:r w:rsidR="00703E50" w:rsidRPr="00963A1D">
        <w:rPr>
          <w:rFonts w:asciiTheme="majorHAnsi" w:hAnsiTheme="majorHAnsi" w:cstheme="majorHAnsi"/>
          <w:color w:val="000000" w:themeColor="text1"/>
        </w:rPr>
        <w:t xml:space="preserve">. This often happens in contested questions where there appears to be a rigid stance between groups in the church leading to crisis. </w:t>
      </w:r>
      <w:r w:rsidRPr="00963A1D">
        <w:rPr>
          <w:rFonts w:asciiTheme="majorHAnsi" w:hAnsiTheme="majorHAnsi" w:cstheme="majorHAnsi"/>
          <w:color w:val="000000" w:themeColor="text1"/>
        </w:rPr>
        <w:t xml:space="preserve">In </w:t>
      </w:r>
      <w:r w:rsidRPr="00963A1D">
        <w:rPr>
          <w:rFonts w:asciiTheme="majorHAnsi" w:hAnsiTheme="majorHAnsi" w:cstheme="majorHAnsi"/>
          <w:color w:val="000000" w:themeColor="text1"/>
        </w:rPr>
        <w:lastRenderedPageBreak/>
        <w:t>relation to the Sa</w:t>
      </w:r>
      <w:r w:rsidR="007B464D" w:rsidRPr="00963A1D">
        <w:rPr>
          <w:rFonts w:asciiTheme="majorHAnsi" w:hAnsiTheme="majorHAnsi" w:cstheme="majorHAnsi"/>
          <w:color w:val="000000" w:themeColor="text1"/>
        </w:rPr>
        <w:t>c</w:t>
      </w:r>
      <w:r w:rsidRPr="00963A1D">
        <w:rPr>
          <w:rFonts w:asciiTheme="majorHAnsi" w:hAnsiTheme="majorHAnsi" w:cstheme="majorHAnsi"/>
          <w:color w:val="000000" w:themeColor="text1"/>
        </w:rPr>
        <w:t>red Scriptures</w:t>
      </w:r>
      <w:r w:rsidR="007B464D" w:rsidRPr="00963A1D">
        <w:rPr>
          <w:rFonts w:asciiTheme="majorHAnsi" w:hAnsiTheme="majorHAnsi" w:cstheme="majorHAnsi"/>
          <w:color w:val="000000" w:themeColor="text1"/>
        </w:rPr>
        <w:t>, the church is guided in a synodal way through what the Commission on Spirituality calls the “imaginative contemplation”</w:t>
      </w:r>
      <w:r w:rsidR="00931AF8" w:rsidRPr="00963A1D">
        <w:rPr>
          <w:rFonts w:asciiTheme="majorHAnsi" w:hAnsiTheme="majorHAnsi" w:cstheme="majorHAnsi"/>
          <w:color w:val="000000" w:themeColor="text1"/>
        </w:rPr>
        <w:t xml:space="preserve"> that leads to “a deep, affective knowledge and love of Christ, and a deeper understanding love of the mysteries of faith.”</w:t>
      </w:r>
      <w:r w:rsidR="00931AF8" w:rsidRPr="00963A1D">
        <w:rPr>
          <w:rStyle w:val="FootnoteReference"/>
          <w:rFonts w:asciiTheme="majorHAnsi" w:hAnsiTheme="majorHAnsi" w:cstheme="majorHAnsi"/>
          <w:color w:val="000000" w:themeColor="text1"/>
        </w:rPr>
        <w:footnoteReference w:id="4"/>
      </w:r>
      <w:r w:rsidR="00931AF8" w:rsidRPr="00963A1D">
        <w:rPr>
          <w:rFonts w:asciiTheme="majorHAnsi" w:hAnsiTheme="majorHAnsi" w:cstheme="majorHAnsi"/>
          <w:color w:val="000000" w:themeColor="text1"/>
        </w:rPr>
        <w:t xml:space="preserve"> As a way of being church, synodality evokes a contemplative spirituality. It is an understanding that the Scripture is not a piece of literature to be scholarly analyzed, but a spiritual tool for synodal liv</w:t>
      </w:r>
      <w:r w:rsidR="00E343D3" w:rsidRPr="00963A1D">
        <w:rPr>
          <w:rFonts w:asciiTheme="majorHAnsi" w:hAnsiTheme="majorHAnsi" w:cstheme="majorHAnsi"/>
          <w:color w:val="000000" w:themeColor="text1"/>
        </w:rPr>
        <w:t>i</w:t>
      </w:r>
      <w:r w:rsidR="00931AF8" w:rsidRPr="00963A1D">
        <w:rPr>
          <w:rFonts w:asciiTheme="majorHAnsi" w:hAnsiTheme="majorHAnsi" w:cstheme="majorHAnsi"/>
          <w:color w:val="000000" w:themeColor="text1"/>
        </w:rPr>
        <w:t>ng. Through this approach to Scriptures, we discover “that it is not we who reads a text, but the text that read us.” And with this disposition the Scripture “moves us into a sort of conversion of heart and mind, expanding our horizons, opening and renewing us, redirecting our actions, g</w:t>
      </w:r>
      <w:r w:rsidR="00E343D3" w:rsidRPr="00963A1D">
        <w:rPr>
          <w:rFonts w:asciiTheme="majorHAnsi" w:hAnsiTheme="majorHAnsi" w:cstheme="majorHAnsi"/>
          <w:color w:val="000000" w:themeColor="text1"/>
        </w:rPr>
        <w:t>i</w:t>
      </w:r>
      <w:r w:rsidR="00931AF8" w:rsidRPr="00963A1D">
        <w:rPr>
          <w:rFonts w:asciiTheme="majorHAnsi" w:hAnsiTheme="majorHAnsi" w:cstheme="majorHAnsi"/>
          <w:color w:val="000000" w:themeColor="text1"/>
        </w:rPr>
        <w:t>ving us a new way of seeing and understanding.”</w:t>
      </w:r>
      <w:r w:rsidR="00931AF8" w:rsidRPr="00963A1D">
        <w:rPr>
          <w:rStyle w:val="FootnoteReference"/>
          <w:rFonts w:asciiTheme="majorHAnsi" w:hAnsiTheme="majorHAnsi" w:cstheme="majorHAnsi"/>
          <w:color w:val="000000" w:themeColor="text1"/>
        </w:rPr>
        <w:footnoteReference w:id="5"/>
      </w:r>
      <w:r w:rsidR="00931AF8" w:rsidRPr="00963A1D">
        <w:rPr>
          <w:rFonts w:asciiTheme="majorHAnsi" w:hAnsiTheme="majorHAnsi" w:cstheme="majorHAnsi"/>
          <w:color w:val="000000" w:themeColor="text1"/>
        </w:rPr>
        <w:t xml:space="preserve"> Now, there are several instances in the Gospel where the act</w:t>
      </w:r>
      <w:r w:rsidR="00E343D3" w:rsidRPr="00963A1D">
        <w:rPr>
          <w:rFonts w:asciiTheme="majorHAnsi" w:hAnsiTheme="majorHAnsi" w:cstheme="majorHAnsi"/>
          <w:color w:val="000000" w:themeColor="text1"/>
        </w:rPr>
        <w:t>i</w:t>
      </w:r>
      <w:r w:rsidR="00931AF8" w:rsidRPr="00963A1D">
        <w:rPr>
          <w:rFonts w:asciiTheme="majorHAnsi" w:hAnsiTheme="majorHAnsi" w:cstheme="majorHAnsi"/>
          <w:color w:val="000000" w:themeColor="text1"/>
        </w:rPr>
        <w:t>ons and words of Jesus challenge us to a new way of see</w:t>
      </w:r>
      <w:r w:rsidR="00E343D3" w:rsidRPr="00963A1D">
        <w:rPr>
          <w:rFonts w:asciiTheme="majorHAnsi" w:hAnsiTheme="majorHAnsi" w:cstheme="majorHAnsi"/>
          <w:color w:val="000000" w:themeColor="text1"/>
        </w:rPr>
        <w:t>i</w:t>
      </w:r>
      <w:r w:rsidR="00931AF8" w:rsidRPr="00963A1D">
        <w:rPr>
          <w:rFonts w:asciiTheme="majorHAnsi" w:hAnsiTheme="majorHAnsi" w:cstheme="majorHAnsi"/>
          <w:color w:val="000000" w:themeColor="text1"/>
        </w:rPr>
        <w:t xml:space="preserve">ng and </w:t>
      </w:r>
      <w:r w:rsidR="00337F90" w:rsidRPr="00963A1D">
        <w:rPr>
          <w:rFonts w:asciiTheme="majorHAnsi" w:hAnsiTheme="majorHAnsi" w:cstheme="majorHAnsi"/>
          <w:color w:val="000000" w:themeColor="text1"/>
        </w:rPr>
        <w:t>understanding contrary to commonly accepted norms. Jesus challenged the status quo wh</w:t>
      </w:r>
      <w:r w:rsidR="00E343D3" w:rsidRPr="00963A1D">
        <w:rPr>
          <w:rFonts w:asciiTheme="majorHAnsi" w:hAnsiTheme="majorHAnsi" w:cstheme="majorHAnsi"/>
          <w:color w:val="000000" w:themeColor="text1"/>
        </w:rPr>
        <w:t>i</w:t>
      </w:r>
      <w:r w:rsidR="00337F90" w:rsidRPr="00963A1D">
        <w:rPr>
          <w:rFonts w:asciiTheme="majorHAnsi" w:hAnsiTheme="majorHAnsi" w:cstheme="majorHAnsi"/>
          <w:color w:val="000000" w:themeColor="text1"/>
        </w:rPr>
        <w:t>le maintaining fidelity to his mission. In the forgiving and healing of the paralytic (Mk.2:1-12); the dinning with tax collectors and sinners (Mk.2:13-17); the questioning about Sabbath (Mk.2:23-27); and the story of the women accused of adultery (Jn.8:1-11), as in many other episodes the mission of Christ was at stake. He always focused on salvation even if it means hold</w:t>
      </w:r>
      <w:r w:rsidR="00E343D3" w:rsidRPr="00963A1D">
        <w:rPr>
          <w:rFonts w:asciiTheme="majorHAnsi" w:hAnsiTheme="majorHAnsi" w:cstheme="majorHAnsi"/>
          <w:color w:val="000000" w:themeColor="text1"/>
        </w:rPr>
        <w:t>i</w:t>
      </w:r>
      <w:r w:rsidR="00337F90" w:rsidRPr="00963A1D">
        <w:rPr>
          <w:rFonts w:asciiTheme="majorHAnsi" w:hAnsiTheme="majorHAnsi" w:cstheme="majorHAnsi"/>
          <w:color w:val="000000" w:themeColor="text1"/>
        </w:rPr>
        <w:t>ng in a balanced tension the act of healing and forgiv</w:t>
      </w:r>
      <w:r w:rsidR="00E343D3" w:rsidRPr="00963A1D">
        <w:rPr>
          <w:rFonts w:asciiTheme="majorHAnsi" w:hAnsiTheme="majorHAnsi" w:cstheme="majorHAnsi"/>
          <w:color w:val="000000" w:themeColor="text1"/>
        </w:rPr>
        <w:t>e</w:t>
      </w:r>
      <w:r w:rsidR="00337F90" w:rsidRPr="00963A1D">
        <w:rPr>
          <w:rFonts w:asciiTheme="majorHAnsi" w:hAnsiTheme="majorHAnsi" w:cstheme="majorHAnsi"/>
          <w:color w:val="000000" w:themeColor="text1"/>
        </w:rPr>
        <w:t>ness (which invariably is a recognition and condemnation of sin rather than its affirmation). In many of these instances, Jesus is always pitched between two camps, on the one hand are those in need of his pastoral care and on the other hand</w:t>
      </w:r>
      <w:r w:rsidR="00835534" w:rsidRPr="00963A1D">
        <w:rPr>
          <w:rFonts w:asciiTheme="majorHAnsi" w:hAnsiTheme="majorHAnsi" w:cstheme="majorHAnsi"/>
          <w:color w:val="000000" w:themeColor="text1"/>
        </w:rPr>
        <w:t xml:space="preserve"> those who understand the law and are critical of his intent</w:t>
      </w:r>
      <w:r w:rsidR="00E343D3" w:rsidRPr="00963A1D">
        <w:rPr>
          <w:rFonts w:asciiTheme="majorHAnsi" w:hAnsiTheme="majorHAnsi" w:cstheme="majorHAnsi"/>
          <w:color w:val="000000" w:themeColor="text1"/>
        </w:rPr>
        <w:t>i</w:t>
      </w:r>
      <w:r w:rsidR="00835534" w:rsidRPr="00963A1D">
        <w:rPr>
          <w:rFonts w:asciiTheme="majorHAnsi" w:hAnsiTheme="majorHAnsi" w:cstheme="majorHAnsi"/>
          <w:color w:val="000000" w:themeColor="text1"/>
        </w:rPr>
        <w:t>ons, methods, and orthodoxy. In fact, in the case of Jesus’ conversation with t</w:t>
      </w:r>
      <w:r w:rsidR="00E343D3" w:rsidRPr="00963A1D">
        <w:rPr>
          <w:rFonts w:asciiTheme="majorHAnsi" w:hAnsiTheme="majorHAnsi" w:cstheme="majorHAnsi"/>
          <w:color w:val="000000" w:themeColor="text1"/>
        </w:rPr>
        <w:t>h</w:t>
      </w:r>
      <w:r w:rsidR="00835534" w:rsidRPr="00963A1D">
        <w:rPr>
          <w:rFonts w:asciiTheme="majorHAnsi" w:hAnsiTheme="majorHAnsi" w:cstheme="majorHAnsi"/>
          <w:color w:val="000000" w:themeColor="text1"/>
        </w:rPr>
        <w:t>e Sam</w:t>
      </w:r>
      <w:r w:rsidR="00E343D3" w:rsidRPr="00963A1D">
        <w:rPr>
          <w:rFonts w:asciiTheme="majorHAnsi" w:hAnsiTheme="majorHAnsi" w:cstheme="majorHAnsi"/>
          <w:color w:val="000000" w:themeColor="text1"/>
        </w:rPr>
        <w:t>a</w:t>
      </w:r>
      <w:r w:rsidR="00835534" w:rsidRPr="00963A1D">
        <w:rPr>
          <w:rFonts w:asciiTheme="majorHAnsi" w:hAnsiTheme="majorHAnsi" w:cstheme="majorHAnsi"/>
          <w:color w:val="000000" w:themeColor="text1"/>
        </w:rPr>
        <w:t>ritan woman, his disciples could no longer withhold the ‘scandal’ and so question him “What do you want?” or “Why are you speaking with her?” (Jn.4:27). The end result was the co</w:t>
      </w:r>
      <w:r w:rsidR="00E343D3" w:rsidRPr="00963A1D">
        <w:rPr>
          <w:rFonts w:asciiTheme="majorHAnsi" w:hAnsiTheme="majorHAnsi" w:cstheme="majorHAnsi"/>
          <w:color w:val="000000" w:themeColor="text1"/>
        </w:rPr>
        <w:t>n</w:t>
      </w:r>
      <w:r w:rsidR="00835534" w:rsidRPr="00963A1D">
        <w:rPr>
          <w:rFonts w:asciiTheme="majorHAnsi" w:hAnsiTheme="majorHAnsi" w:cstheme="majorHAnsi"/>
          <w:color w:val="000000" w:themeColor="text1"/>
        </w:rPr>
        <w:t>version of the entire community. Of course, our rational minds are subject to order and logic but the logic of the church is subject to the ‘novum’ of the Holy Spirit. Sometimes the church’s recourse to logic is in desperate search for security, which sometimes absconds from t</w:t>
      </w:r>
      <w:r w:rsidR="00E343D3" w:rsidRPr="00963A1D">
        <w:rPr>
          <w:rFonts w:asciiTheme="majorHAnsi" w:hAnsiTheme="majorHAnsi" w:cstheme="majorHAnsi"/>
          <w:color w:val="000000" w:themeColor="text1"/>
        </w:rPr>
        <w:t>h</w:t>
      </w:r>
      <w:r w:rsidR="00835534" w:rsidRPr="00963A1D">
        <w:rPr>
          <w:rFonts w:asciiTheme="majorHAnsi" w:hAnsiTheme="majorHAnsi" w:cstheme="majorHAnsi"/>
          <w:color w:val="000000" w:themeColor="text1"/>
        </w:rPr>
        <w:t>e radicality of t</w:t>
      </w:r>
      <w:r w:rsidR="00E343D3" w:rsidRPr="00963A1D">
        <w:rPr>
          <w:rFonts w:asciiTheme="majorHAnsi" w:hAnsiTheme="majorHAnsi" w:cstheme="majorHAnsi"/>
          <w:color w:val="000000" w:themeColor="text1"/>
        </w:rPr>
        <w:t>h</w:t>
      </w:r>
      <w:r w:rsidR="00835534" w:rsidRPr="00963A1D">
        <w:rPr>
          <w:rFonts w:asciiTheme="majorHAnsi" w:hAnsiTheme="majorHAnsi" w:cstheme="majorHAnsi"/>
          <w:color w:val="000000" w:themeColor="text1"/>
        </w:rPr>
        <w:t>e Gospel. A commitment to the unsettling nature of Scriptures makes dialogue, patience, listening and openness import</w:t>
      </w:r>
      <w:r w:rsidR="00E343D3" w:rsidRPr="00963A1D">
        <w:rPr>
          <w:rFonts w:asciiTheme="majorHAnsi" w:hAnsiTheme="majorHAnsi" w:cstheme="majorHAnsi"/>
          <w:color w:val="000000" w:themeColor="text1"/>
        </w:rPr>
        <w:t>a</w:t>
      </w:r>
      <w:r w:rsidR="00835534" w:rsidRPr="00963A1D">
        <w:rPr>
          <w:rFonts w:asciiTheme="majorHAnsi" w:hAnsiTheme="majorHAnsi" w:cstheme="majorHAnsi"/>
          <w:color w:val="000000" w:themeColor="text1"/>
        </w:rPr>
        <w:t>n</w:t>
      </w:r>
      <w:r w:rsidR="00E343D3" w:rsidRPr="00963A1D">
        <w:rPr>
          <w:rFonts w:asciiTheme="majorHAnsi" w:hAnsiTheme="majorHAnsi" w:cstheme="majorHAnsi"/>
          <w:color w:val="000000" w:themeColor="text1"/>
        </w:rPr>
        <w:t>t</w:t>
      </w:r>
      <w:r w:rsidR="00835534" w:rsidRPr="00963A1D">
        <w:rPr>
          <w:rFonts w:asciiTheme="majorHAnsi" w:hAnsiTheme="majorHAnsi" w:cstheme="majorHAnsi"/>
          <w:color w:val="000000" w:themeColor="text1"/>
        </w:rPr>
        <w:t xml:space="preserve"> in t</w:t>
      </w:r>
      <w:r w:rsidR="00E343D3" w:rsidRPr="00963A1D">
        <w:rPr>
          <w:rFonts w:asciiTheme="majorHAnsi" w:hAnsiTheme="majorHAnsi" w:cstheme="majorHAnsi"/>
          <w:color w:val="000000" w:themeColor="text1"/>
        </w:rPr>
        <w:t>h</w:t>
      </w:r>
      <w:r w:rsidR="00835534" w:rsidRPr="00963A1D">
        <w:rPr>
          <w:rFonts w:asciiTheme="majorHAnsi" w:hAnsiTheme="majorHAnsi" w:cstheme="majorHAnsi"/>
          <w:color w:val="000000" w:themeColor="text1"/>
        </w:rPr>
        <w:t>e life of the church. Peter understood this at the house of Cornelius (Acts 10:1-11:18), and the Council of Jerusalem (Acts 15:1-35) that followed set an earlier template for a synodal behavior for the church. Hinged on openness to the Spirit, dialogue and discernment, the Council even reached into tradition (the Old Testament) and thereupon “locates the discernment of the community within the history of God’s revelation and covenantal promise.”</w:t>
      </w:r>
      <w:r w:rsidR="00E343D3" w:rsidRPr="00963A1D">
        <w:rPr>
          <w:rStyle w:val="FootnoteReference"/>
          <w:rFonts w:asciiTheme="majorHAnsi" w:hAnsiTheme="majorHAnsi" w:cstheme="majorHAnsi"/>
          <w:color w:val="000000" w:themeColor="text1"/>
        </w:rPr>
        <w:footnoteReference w:id="6"/>
      </w:r>
      <w:r w:rsidR="00835534" w:rsidRPr="00963A1D">
        <w:rPr>
          <w:rFonts w:asciiTheme="majorHAnsi" w:hAnsiTheme="majorHAnsi" w:cstheme="majorHAnsi"/>
          <w:color w:val="000000" w:themeColor="text1"/>
        </w:rPr>
        <w:t xml:space="preserve"> </w:t>
      </w:r>
    </w:p>
    <w:p w14:paraId="67E2FD75" w14:textId="72FB5A21" w:rsidR="00703E50" w:rsidRPr="00963A1D" w:rsidRDefault="007A69FA"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In relation to the Tradition, t</w:t>
      </w:r>
      <w:r w:rsidR="00703E50" w:rsidRPr="00963A1D">
        <w:rPr>
          <w:rFonts w:asciiTheme="majorHAnsi" w:hAnsiTheme="majorHAnsi" w:cstheme="majorHAnsi"/>
          <w:color w:val="000000" w:themeColor="text1"/>
        </w:rPr>
        <w:t xml:space="preserve">heologians of the ressourcement demonstrate the value of Tradition in an ecclesiological understanding that allows for proper co-participation in the church. Even the senses of ‘catholicity’ and ‘communion’ were taken up by theologians like Yves Congar and Henri de Lubac to promote a more inclusive and often paradoxical understanding of the church. An example of a contentious issue that </w:t>
      </w:r>
      <w:r w:rsidRPr="00963A1D">
        <w:rPr>
          <w:rFonts w:asciiTheme="majorHAnsi" w:hAnsiTheme="majorHAnsi" w:cstheme="majorHAnsi"/>
          <w:color w:val="000000" w:themeColor="text1"/>
        </w:rPr>
        <w:t>creates</w:t>
      </w:r>
      <w:r w:rsidR="00703E50" w:rsidRPr="00963A1D">
        <w:rPr>
          <w:rFonts w:asciiTheme="majorHAnsi" w:hAnsiTheme="majorHAnsi" w:cstheme="majorHAnsi"/>
          <w:color w:val="000000" w:themeColor="text1"/>
        </w:rPr>
        <w:t xml:space="preserve"> tension</w:t>
      </w:r>
      <w:r w:rsidRPr="00963A1D">
        <w:rPr>
          <w:rFonts w:asciiTheme="majorHAnsi" w:hAnsiTheme="majorHAnsi" w:cstheme="majorHAnsi"/>
          <w:color w:val="000000" w:themeColor="text1"/>
        </w:rPr>
        <w:t xml:space="preserve"> between the faithful and the Magisterium is the appointment of bishops. </w:t>
      </w:r>
      <w:r w:rsidR="00703E50" w:rsidRPr="00963A1D">
        <w:rPr>
          <w:rFonts w:asciiTheme="majorHAnsi" w:hAnsiTheme="majorHAnsi" w:cstheme="majorHAnsi"/>
          <w:color w:val="000000" w:themeColor="text1"/>
        </w:rPr>
        <w:t xml:space="preserve">While the choice of </w:t>
      </w:r>
      <w:r w:rsidRPr="00963A1D">
        <w:rPr>
          <w:rFonts w:asciiTheme="majorHAnsi" w:hAnsiTheme="majorHAnsi" w:cstheme="majorHAnsi"/>
          <w:color w:val="000000" w:themeColor="text1"/>
        </w:rPr>
        <w:t xml:space="preserve">bishopric </w:t>
      </w:r>
      <w:r w:rsidR="00703E50" w:rsidRPr="00963A1D">
        <w:rPr>
          <w:rFonts w:asciiTheme="majorHAnsi" w:hAnsiTheme="majorHAnsi" w:cstheme="majorHAnsi"/>
          <w:color w:val="000000" w:themeColor="text1"/>
        </w:rPr>
        <w:t xml:space="preserve">candidates from outside </w:t>
      </w:r>
      <w:r w:rsidRPr="00963A1D">
        <w:rPr>
          <w:rFonts w:asciiTheme="majorHAnsi" w:hAnsiTheme="majorHAnsi" w:cstheme="majorHAnsi"/>
          <w:color w:val="000000" w:themeColor="text1"/>
        </w:rPr>
        <w:t>a particular</w:t>
      </w:r>
      <w:r w:rsidR="00703E50" w:rsidRPr="00963A1D">
        <w:rPr>
          <w:rFonts w:asciiTheme="majorHAnsi" w:hAnsiTheme="majorHAnsi" w:cstheme="majorHAnsi"/>
          <w:color w:val="000000" w:themeColor="text1"/>
        </w:rPr>
        <w:t xml:space="preserve"> diocese is commonly practiced</w:t>
      </w:r>
      <w:r w:rsidRPr="00963A1D">
        <w:rPr>
          <w:rFonts w:asciiTheme="majorHAnsi" w:hAnsiTheme="majorHAnsi" w:cstheme="majorHAnsi"/>
          <w:color w:val="000000" w:themeColor="text1"/>
        </w:rPr>
        <w:t xml:space="preserve"> today</w:t>
      </w:r>
      <w:r w:rsidR="00703E50" w:rsidRPr="00963A1D">
        <w:rPr>
          <w:rFonts w:asciiTheme="majorHAnsi" w:hAnsiTheme="majorHAnsi" w:cstheme="majorHAnsi"/>
          <w:color w:val="000000" w:themeColor="text1"/>
        </w:rPr>
        <w:t xml:space="preserve">, the tradition of the </w:t>
      </w:r>
      <w:r w:rsidR="00703E50" w:rsidRPr="00963A1D">
        <w:rPr>
          <w:rFonts w:asciiTheme="majorHAnsi" w:hAnsiTheme="majorHAnsi" w:cstheme="majorHAnsi"/>
          <w:color w:val="000000" w:themeColor="text1"/>
        </w:rPr>
        <w:lastRenderedPageBreak/>
        <w:t>church recognizes that “the one who is to be head over all should be elected by all.”</w:t>
      </w:r>
      <w:r w:rsidR="00703E50" w:rsidRPr="00963A1D">
        <w:rPr>
          <w:rStyle w:val="FootnoteReference"/>
          <w:rFonts w:asciiTheme="majorHAnsi" w:hAnsiTheme="majorHAnsi" w:cstheme="majorHAnsi"/>
          <w:color w:val="000000" w:themeColor="text1"/>
        </w:rPr>
        <w:footnoteReference w:id="7"/>
      </w:r>
      <w:r w:rsidR="00703E50" w:rsidRPr="00963A1D">
        <w:rPr>
          <w:rFonts w:asciiTheme="majorHAnsi" w:hAnsiTheme="majorHAnsi" w:cstheme="majorHAnsi"/>
          <w:color w:val="000000" w:themeColor="text1"/>
        </w:rPr>
        <w:t xml:space="preserve"> This instruction was given by Pope Celestine I (422-432) who emphasized that “no one should be made a bishop over the unwilling; the consent and desire of the clergy, the people and the order is required.”</w:t>
      </w:r>
      <w:r w:rsidR="00703E50" w:rsidRPr="00963A1D">
        <w:rPr>
          <w:rStyle w:val="FootnoteReference"/>
          <w:rFonts w:asciiTheme="majorHAnsi" w:hAnsiTheme="majorHAnsi" w:cstheme="majorHAnsi"/>
          <w:color w:val="000000" w:themeColor="text1"/>
        </w:rPr>
        <w:footnoteReference w:id="8"/>
      </w:r>
      <w:r w:rsidR="00703E50" w:rsidRPr="00963A1D">
        <w:rPr>
          <w:rFonts w:asciiTheme="majorHAnsi" w:hAnsiTheme="majorHAnsi" w:cstheme="majorHAnsi"/>
          <w:color w:val="000000" w:themeColor="text1"/>
        </w:rPr>
        <w:t xml:space="preserve"> Theologians such as John Quinn, Paul Lakeland, Richard R. Gaillardetz and John M. Huels worry that there appears to be a gradual departure from this form of co-participation in the election of bishops in recent history, and they decry this trend as inimical to true Roman Catholic ecclesiology. </w:t>
      </w:r>
      <w:r w:rsidRPr="00963A1D">
        <w:rPr>
          <w:rFonts w:asciiTheme="majorHAnsi" w:hAnsiTheme="majorHAnsi" w:cstheme="majorHAnsi"/>
          <w:color w:val="000000" w:themeColor="text1"/>
        </w:rPr>
        <w:t>Sadly</w:t>
      </w:r>
      <w:r w:rsidR="00703E50" w:rsidRPr="00963A1D">
        <w:rPr>
          <w:rFonts w:asciiTheme="majorHAnsi" w:hAnsiTheme="majorHAnsi" w:cstheme="majorHAnsi"/>
          <w:color w:val="000000" w:themeColor="text1"/>
        </w:rPr>
        <w:t>, neither the Second Vatican Council documents (</w:t>
      </w:r>
      <w:r w:rsidR="00703E50" w:rsidRPr="00963A1D">
        <w:rPr>
          <w:rFonts w:asciiTheme="majorHAnsi" w:hAnsiTheme="majorHAnsi" w:cstheme="majorHAnsi"/>
          <w:i/>
          <w:color w:val="000000" w:themeColor="text1"/>
        </w:rPr>
        <w:t>Lumen Gentium</w:t>
      </w:r>
      <w:r w:rsidR="00703E50" w:rsidRPr="00963A1D">
        <w:rPr>
          <w:rFonts w:asciiTheme="majorHAnsi" w:hAnsiTheme="majorHAnsi" w:cstheme="majorHAnsi"/>
          <w:color w:val="000000" w:themeColor="text1"/>
        </w:rPr>
        <w:t xml:space="preserve">, </w:t>
      </w:r>
      <w:r w:rsidR="00703E50" w:rsidRPr="00963A1D">
        <w:rPr>
          <w:rFonts w:asciiTheme="majorHAnsi" w:hAnsiTheme="majorHAnsi" w:cstheme="majorHAnsi"/>
          <w:i/>
          <w:color w:val="000000" w:themeColor="text1"/>
        </w:rPr>
        <w:t>Christus Dominus</w:t>
      </w:r>
      <w:r w:rsidR="00703E50" w:rsidRPr="00963A1D">
        <w:rPr>
          <w:rFonts w:asciiTheme="majorHAnsi" w:hAnsiTheme="majorHAnsi" w:cstheme="majorHAnsi"/>
          <w:color w:val="000000" w:themeColor="text1"/>
        </w:rPr>
        <w:t xml:space="preserve">) nor the 1983 </w:t>
      </w:r>
      <w:r w:rsidR="00703E50" w:rsidRPr="00963A1D">
        <w:rPr>
          <w:rFonts w:asciiTheme="majorHAnsi" w:hAnsiTheme="majorHAnsi" w:cstheme="majorHAnsi"/>
          <w:i/>
          <w:color w:val="000000" w:themeColor="text1"/>
        </w:rPr>
        <w:t>Code of Canon Law</w:t>
      </w:r>
      <w:r w:rsidR="00703E50" w:rsidRPr="00963A1D">
        <w:rPr>
          <w:rFonts w:asciiTheme="majorHAnsi" w:hAnsiTheme="majorHAnsi" w:cstheme="majorHAnsi"/>
          <w:color w:val="000000" w:themeColor="text1"/>
        </w:rPr>
        <w:t xml:space="preserve"> was explicit on a co-participatory process</w:t>
      </w:r>
      <w:r w:rsidRPr="00963A1D">
        <w:rPr>
          <w:rFonts w:asciiTheme="majorHAnsi" w:hAnsiTheme="majorHAnsi" w:cstheme="majorHAnsi"/>
          <w:color w:val="000000" w:themeColor="text1"/>
        </w:rPr>
        <w:t xml:space="preserve"> of electing bishops</w:t>
      </w:r>
      <w:r w:rsidR="00703E50" w:rsidRPr="00963A1D">
        <w:rPr>
          <w:rFonts w:asciiTheme="majorHAnsi" w:hAnsiTheme="majorHAnsi" w:cstheme="majorHAnsi"/>
          <w:color w:val="000000" w:themeColor="text1"/>
        </w:rPr>
        <w:t>. In fact, the consultation of priests and laity in the process is to happen individually, secretly</w:t>
      </w:r>
      <w:r w:rsidRPr="00963A1D">
        <w:rPr>
          <w:rFonts w:asciiTheme="majorHAnsi" w:hAnsiTheme="majorHAnsi" w:cstheme="majorHAnsi"/>
          <w:color w:val="000000" w:themeColor="text1"/>
        </w:rPr>
        <w:t>,</w:t>
      </w:r>
      <w:r w:rsidR="00703E50" w:rsidRPr="00963A1D">
        <w:rPr>
          <w:rFonts w:asciiTheme="majorHAnsi" w:hAnsiTheme="majorHAnsi" w:cstheme="majorHAnsi"/>
          <w:color w:val="000000" w:themeColor="text1"/>
        </w:rPr>
        <w:t xml:space="preserve"> and only when it </w:t>
      </w:r>
      <w:r w:rsidRPr="00963A1D">
        <w:rPr>
          <w:rFonts w:asciiTheme="majorHAnsi" w:hAnsiTheme="majorHAnsi" w:cstheme="majorHAnsi"/>
          <w:color w:val="000000" w:themeColor="text1"/>
        </w:rPr>
        <w:t xml:space="preserve">is </w:t>
      </w:r>
      <w:r w:rsidR="00703E50" w:rsidRPr="00963A1D">
        <w:rPr>
          <w:rFonts w:asciiTheme="majorHAnsi" w:hAnsiTheme="majorHAnsi" w:cstheme="majorHAnsi"/>
          <w:color w:val="000000" w:themeColor="text1"/>
        </w:rPr>
        <w:t>judged expedient (Canon 377§3).</w:t>
      </w:r>
      <w:r w:rsidR="00E343D3" w:rsidRPr="00963A1D">
        <w:rPr>
          <w:rFonts w:asciiTheme="majorHAnsi" w:hAnsiTheme="majorHAnsi" w:cstheme="majorHAnsi"/>
          <w:color w:val="000000" w:themeColor="text1"/>
        </w:rPr>
        <w:t xml:space="preserve"> Granted that “the Church is God’s work and not a purely human construction,” it is important to create a culture of communal discernment and mutual listening to God and to one another lest the church be overrun by political divisions and calculations. Already this is happening in the polarizations that we experience in the church today, most of which are simply transferred from the secular political climate.</w:t>
      </w:r>
    </w:p>
    <w:p w14:paraId="4A9F265D" w14:textId="43FE2A2F" w:rsidR="00A741AB" w:rsidRPr="00963A1D" w:rsidRDefault="00A741AB"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 xml:space="preserve">Both the Scripture and Tradition confronts the emergence and presence of ‘ecclesio-political cliques’ whose agenda is only aimed at accessing, defining, and redefining power in the church. Many a time, the agenda is not for the service of evangelization and salvation for which the church exists but for intentions that are rather directed to the self. Automatically, this raises the question of </w:t>
      </w:r>
      <w:r w:rsidR="00F9282D" w:rsidRPr="00963A1D">
        <w:rPr>
          <w:rFonts w:asciiTheme="majorHAnsi" w:hAnsiTheme="majorHAnsi" w:cstheme="majorHAnsi"/>
          <w:color w:val="000000" w:themeColor="text1"/>
        </w:rPr>
        <w:t>the goals and objectives of programs, process and movements in the church, including the current Synod on synodality.</w:t>
      </w:r>
      <w:r w:rsidRPr="00963A1D">
        <w:rPr>
          <w:rFonts w:asciiTheme="majorHAnsi" w:hAnsiTheme="majorHAnsi" w:cstheme="majorHAnsi"/>
          <w:color w:val="000000" w:themeColor="text1"/>
        </w:rPr>
        <w:t xml:space="preserve">  </w:t>
      </w:r>
    </w:p>
    <w:p w14:paraId="3C57FA81" w14:textId="77777777" w:rsidR="00FF50E8" w:rsidRPr="00963A1D" w:rsidRDefault="00FF50E8" w:rsidP="00963A1D">
      <w:pPr>
        <w:rPr>
          <w:rFonts w:asciiTheme="majorHAnsi" w:hAnsiTheme="majorHAnsi" w:cstheme="majorHAnsi"/>
          <w:color w:val="000000" w:themeColor="text1"/>
        </w:rPr>
      </w:pPr>
    </w:p>
    <w:p w14:paraId="169CB336" w14:textId="77777777" w:rsidR="00FF50E8" w:rsidRPr="00963A1D" w:rsidRDefault="00FF50E8" w:rsidP="00963A1D">
      <w:pPr>
        <w:rPr>
          <w:rFonts w:asciiTheme="majorHAnsi" w:hAnsiTheme="majorHAnsi" w:cstheme="majorHAnsi"/>
          <w:color w:val="000000" w:themeColor="text1"/>
        </w:rPr>
      </w:pPr>
    </w:p>
    <w:p w14:paraId="07DE1CFB" w14:textId="1493EF18" w:rsidR="00536AE0" w:rsidRPr="00963A1D" w:rsidRDefault="00536AE0"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Agenda or No Agenda?</w:t>
      </w:r>
    </w:p>
    <w:p w14:paraId="0A482258" w14:textId="0C5A4D68" w:rsidR="00FF50E8" w:rsidRPr="00963A1D" w:rsidRDefault="00FF50E8" w:rsidP="00963A1D">
      <w:pPr>
        <w:ind w:firstLine="0"/>
        <w:rPr>
          <w:rFonts w:asciiTheme="majorHAnsi" w:hAnsiTheme="majorHAnsi" w:cstheme="majorHAnsi"/>
          <w:color w:val="000000" w:themeColor="text1"/>
        </w:rPr>
      </w:pPr>
    </w:p>
    <w:p w14:paraId="42B57237" w14:textId="7B3B9878" w:rsidR="00DB08E3" w:rsidRPr="00963A1D" w:rsidRDefault="00FF50E8"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At the </w:t>
      </w:r>
      <w:r w:rsidRPr="00963A1D">
        <w:rPr>
          <w:rFonts w:asciiTheme="majorHAnsi" w:hAnsiTheme="majorHAnsi" w:cstheme="majorHAnsi"/>
          <w:i/>
          <w:color w:val="000000" w:themeColor="text1"/>
        </w:rPr>
        <w:t>International Encounter on Synodality</w:t>
      </w:r>
      <w:r w:rsidR="00BF4BE6" w:rsidRPr="00963A1D">
        <w:rPr>
          <w:rFonts w:asciiTheme="majorHAnsi" w:hAnsiTheme="majorHAnsi" w:cstheme="majorHAnsi"/>
          <w:color w:val="000000" w:themeColor="text1"/>
        </w:rPr>
        <w:t xml:space="preserve"> that took place at the Luxembourg School of Religion and Society, 15-17 January 2023, theologians and pastoral agents were unanimous in emphasizing that to have a pre-set agenda and to seek to impose such an agenda on the synodal process is a quick-kill. For any deliberation on synodality have a list of agenda is both unwise and counter-productive</w:t>
      </w:r>
      <w:r w:rsidR="00DB08E3" w:rsidRPr="00963A1D">
        <w:rPr>
          <w:rFonts w:asciiTheme="majorHAnsi" w:hAnsiTheme="majorHAnsi" w:cstheme="majorHAnsi"/>
          <w:color w:val="000000" w:themeColor="text1"/>
        </w:rPr>
        <w:t>. Having an agenda for deliberations on synodality revea</w:t>
      </w:r>
      <w:r w:rsidR="006916FC" w:rsidRPr="00963A1D">
        <w:rPr>
          <w:rFonts w:asciiTheme="majorHAnsi" w:hAnsiTheme="majorHAnsi" w:cstheme="majorHAnsi"/>
          <w:color w:val="000000" w:themeColor="text1"/>
        </w:rPr>
        <w:t>ls</w:t>
      </w:r>
      <w:r w:rsidR="00DB08E3" w:rsidRPr="00963A1D">
        <w:rPr>
          <w:rFonts w:asciiTheme="majorHAnsi" w:hAnsiTheme="majorHAnsi" w:cstheme="majorHAnsi"/>
          <w:color w:val="000000" w:themeColor="text1"/>
        </w:rPr>
        <w:t xml:space="preserve"> the following concerns:</w:t>
      </w:r>
    </w:p>
    <w:p w14:paraId="00FA2674" w14:textId="186BD0F2" w:rsidR="0043657E" w:rsidRPr="00963A1D" w:rsidRDefault="00DB08E3"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First is t</w:t>
      </w:r>
      <w:r w:rsidR="0043657E" w:rsidRPr="00963A1D">
        <w:rPr>
          <w:rFonts w:asciiTheme="majorHAnsi" w:hAnsiTheme="majorHAnsi" w:cstheme="majorHAnsi"/>
          <w:color w:val="000000" w:themeColor="text1"/>
        </w:rPr>
        <w:t xml:space="preserve">hat it generates a ‘displacement approach’ that introduces a ‘new speech’ instead of allowing the hermeneutical ‘speaking again’ that is suggested above. In this ‘new speech’ national, political and cultural interests are placed above the interest of the ecclesial community as a synodal unit. This is exactly the crisis of provincialism that we find in Anglicanism given its difficulty to practice synodality at the universal level. While the project of ‘decentralization’ suggested by Pope Francis (EG §16) is needed in building an effective synodal culture, yet it must not lead to a ‘disconnection’ from ‘oneness’ that marks the church. This </w:t>
      </w:r>
      <w:r w:rsidR="0043657E" w:rsidRPr="00963A1D">
        <w:rPr>
          <w:rFonts w:asciiTheme="majorHAnsi" w:hAnsiTheme="majorHAnsi" w:cstheme="majorHAnsi"/>
          <w:color w:val="000000" w:themeColor="text1"/>
        </w:rPr>
        <w:lastRenderedPageBreak/>
        <w:t xml:space="preserve">explains why Pope Francis </w:t>
      </w:r>
      <w:r w:rsidR="006916FC" w:rsidRPr="00963A1D">
        <w:rPr>
          <w:rFonts w:asciiTheme="majorHAnsi" w:hAnsiTheme="majorHAnsi" w:cstheme="majorHAnsi"/>
          <w:color w:val="000000" w:themeColor="text1"/>
        </w:rPr>
        <w:t>indicates that</w:t>
      </w:r>
      <w:r w:rsidR="0043657E" w:rsidRPr="00963A1D">
        <w:rPr>
          <w:rFonts w:asciiTheme="majorHAnsi" w:hAnsiTheme="majorHAnsi" w:cstheme="majorHAnsi"/>
          <w:color w:val="000000" w:themeColor="text1"/>
        </w:rPr>
        <w:t xml:space="preserve"> the ‘decentralization’ </w:t>
      </w:r>
      <w:r w:rsidR="006916FC" w:rsidRPr="00963A1D">
        <w:rPr>
          <w:rFonts w:asciiTheme="majorHAnsi" w:hAnsiTheme="majorHAnsi" w:cstheme="majorHAnsi"/>
          <w:color w:val="000000" w:themeColor="text1"/>
        </w:rPr>
        <w:t>must be</w:t>
      </w:r>
      <w:r w:rsidR="0043657E" w:rsidRPr="00963A1D">
        <w:rPr>
          <w:rFonts w:asciiTheme="majorHAnsi" w:hAnsiTheme="majorHAnsi" w:cstheme="majorHAnsi"/>
          <w:color w:val="000000" w:themeColor="text1"/>
        </w:rPr>
        <w:t xml:space="preserve"> ‘sound’ (‘salutare’, ‘salutaire’)</w:t>
      </w:r>
      <w:r w:rsidR="006916FC" w:rsidRPr="00963A1D">
        <w:rPr>
          <w:rFonts w:asciiTheme="majorHAnsi" w:hAnsiTheme="majorHAnsi" w:cstheme="majorHAnsi"/>
          <w:color w:val="000000" w:themeColor="text1"/>
        </w:rPr>
        <w:t xml:space="preserve"> given the likelihood of a misapplied understanding.</w:t>
      </w:r>
    </w:p>
    <w:p w14:paraId="4D76346D" w14:textId="5D441879" w:rsidR="0043657E" w:rsidRPr="00963A1D" w:rsidRDefault="0043657E"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Second, hav</w:t>
      </w:r>
      <w:r w:rsidR="006916FC" w:rsidRPr="00963A1D">
        <w:rPr>
          <w:rFonts w:asciiTheme="majorHAnsi" w:hAnsiTheme="majorHAnsi" w:cstheme="majorHAnsi"/>
          <w:color w:val="000000" w:themeColor="text1"/>
        </w:rPr>
        <w:t>ing</w:t>
      </w:r>
      <w:r w:rsidRPr="00963A1D">
        <w:rPr>
          <w:rFonts w:asciiTheme="majorHAnsi" w:hAnsiTheme="majorHAnsi" w:cstheme="majorHAnsi"/>
          <w:color w:val="000000" w:themeColor="text1"/>
        </w:rPr>
        <w:t xml:space="preserve"> a predetermined agenda is impositiona</w:t>
      </w:r>
      <w:r w:rsidR="006916FC" w:rsidRPr="00963A1D">
        <w:rPr>
          <w:rFonts w:asciiTheme="majorHAnsi" w:hAnsiTheme="majorHAnsi" w:cstheme="majorHAnsi"/>
          <w:color w:val="000000" w:themeColor="text1"/>
        </w:rPr>
        <w:t xml:space="preserve">l in nature and </w:t>
      </w:r>
      <w:r w:rsidR="00BA0BD9" w:rsidRPr="00963A1D">
        <w:rPr>
          <w:rFonts w:asciiTheme="majorHAnsi" w:hAnsiTheme="majorHAnsi" w:cstheme="majorHAnsi"/>
          <w:color w:val="000000" w:themeColor="text1"/>
        </w:rPr>
        <w:t>deviates</w:t>
      </w:r>
      <w:r w:rsidR="006916FC" w:rsidRPr="00963A1D">
        <w:rPr>
          <w:rFonts w:asciiTheme="majorHAnsi" w:hAnsiTheme="majorHAnsi" w:cstheme="majorHAnsi"/>
          <w:color w:val="000000" w:themeColor="text1"/>
        </w:rPr>
        <w:t xml:space="preserve"> greatly from the synodal spirit. It implies a distinction between those who set the goals and those whose task it is to get to the goal. If the Holy Spirit is the divine agent that leads us as a pilgrim community, then the practice of spiritual discernment and conversation should drive the process. Synodality is fundamentally a spiritual act that has before it </w:t>
      </w:r>
      <w:proofErr w:type="gramStart"/>
      <w:r w:rsidR="006916FC" w:rsidRPr="00963A1D">
        <w:rPr>
          <w:rFonts w:asciiTheme="majorHAnsi" w:hAnsiTheme="majorHAnsi" w:cstheme="majorHAnsi"/>
          <w:color w:val="000000" w:themeColor="text1"/>
        </w:rPr>
        <w:t>grace</w:t>
      </w:r>
      <w:proofErr w:type="gramEnd"/>
      <w:r w:rsidR="006916FC" w:rsidRPr="00963A1D">
        <w:rPr>
          <w:rFonts w:asciiTheme="majorHAnsi" w:hAnsiTheme="majorHAnsi" w:cstheme="majorHAnsi"/>
          <w:color w:val="000000" w:themeColor="text1"/>
        </w:rPr>
        <w:t xml:space="preserve"> and crisis, the grace of God’s guiding Spirit and the crisis of our failures, shortcoming and future. To have an agenda is to usurp the role of the Spirit, and to micromanage the church like a corporate entity.</w:t>
      </w:r>
    </w:p>
    <w:p w14:paraId="51AC8093" w14:textId="38553B84" w:rsidR="00DB08E3" w:rsidRPr="00963A1D" w:rsidRDefault="0043657E"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Third,</w:t>
      </w:r>
      <w:r w:rsidR="006916FC" w:rsidRPr="00963A1D">
        <w:rPr>
          <w:rFonts w:asciiTheme="majorHAnsi" w:hAnsiTheme="majorHAnsi" w:cstheme="majorHAnsi"/>
          <w:color w:val="000000" w:themeColor="text1"/>
        </w:rPr>
        <w:t xml:space="preserve"> placing an agenda before synodal conversation is a recipe for more crisis</w:t>
      </w:r>
      <w:r w:rsidR="004C53FC" w:rsidRPr="00963A1D">
        <w:rPr>
          <w:rFonts w:asciiTheme="majorHAnsi" w:hAnsiTheme="majorHAnsi" w:cstheme="majorHAnsi"/>
          <w:color w:val="000000" w:themeColor="text1"/>
        </w:rPr>
        <w:t>, particularly of polarization</w:t>
      </w:r>
      <w:r w:rsidR="006916FC" w:rsidRPr="00963A1D">
        <w:rPr>
          <w:rFonts w:asciiTheme="majorHAnsi" w:hAnsiTheme="majorHAnsi" w:cstheme="majorHAnsi"/>
          <w:color w:val="000000" w:themeColor="text1"/>
        </w:rPr>
        <w:t>. It creates an atmosphere of distrust an</w:t>
      </w:r>
      <w:r w:rsidR="004C53FC" w:rsidRPr="00963A1D">
        <w:rPr>
          <w:rFonts w:asciiTheme="majorHAnsi" w:hAnsiTheme="majorHAnsi" w:cstheme="majorHAnsi"/>
          <w:color w:val="000000" w:themeColor="text1"/>
        </w:rPr>
        <w:t>d</w:t>
      </w:r>
      <w:r w:rsidR="006916FC" w:rsidRPr="00963A1D">
        <w:rPr>
          <w:rFonts w:asciiTheme="majorHAnsi" w:hAnsiTheme="majorHAnsi" w:cstheme="majorHAnsi"/>
          <w:color w:val="000000" w:themeColor="text1"/>
        </w:rPr>
        <w:t xml:space="preserve"> suspicion, such that the intentions of organi</w:t>
      </w:r>
      <w:r w:rsidR="004C53FC" w:rsidRPr="00963A1D">
        <w:rPr>
          <w:rFonts w:asciiTheme="majorHAnsi" w:hAnsiTheme="majorHAnsi" w:cstheme="majorHAnsi"/>
          <w:color w:val="000000" w:themeColor="text1"/>
        </w:rPr>
        <w:t>z</w:t>
      </w:r>
      <w:r w:rsidR="006916FC" w:rsidRPr="00963A1D">
        <w:rPr>
          <w:rFonts w:asciiTheme="majorHAnsi" w:hAnsiTheme="majorHAnsi" w:cstheme="majorHAnsi"/>
          <w:color w:val="000000" w:themeColor="text1"/>
        </w:rPr>
        <w:t>ers are question</w:t>
      </w:r>
      <w:r w:rsidR="004C53FC" w:rsidRPr="00963A1D">
        <w:rPr>
          <w:rFonts w:asciiTheme="majorHAnsi" w:hAnsiTheme="majorHAnsi" w:cstheme="majorHAnsi"/>
          <w:color w:val="000000" w:themeColor="text1"/>
        </w:rPr>
        <w:t>ed</w:t>
      </w:r>
      <w:r w:rsidR="006916FC" w:rsidRPr="00963A1D">
        <w:rPr>
          <w:rFonts w:asciiTheme="majorHAnsi" w:hAnsiTheme="majorHAnsi" w:cstheme="majorHAnsi"/>
          <w:color w:val="000000" w:themeColor="text1"/>
        </w:rPr>
        <w:t xml:space="preserve">. Furthermore, it </w:t>
      </w:r>
      <w:r w:rsidR="004C53FC" w:rsidRPr="00963A1D">
        <w:rPr>
          <w:rFonts w:asciiTheme="majorHAnsi" w:hAnsiTheme="majorHAnsi" w:cstheme="majorHAnsi"/>
          <w:color w:val="000000" w:themeColor="text1"/>
        </w:rPr>
        <w:t>has the tendency of polarizing the ecclesial community, as already evident in the political space between the so-called conservatives and the so-called liberals. Of course, the culture war is already present in the church with categorizations like ‘orthodox’, ‘traditional’, and ‘progressives’. Synodality is aimed at healing such artificial divisions on our way to salvation rather than in exacerbating them.</w:t>
      </w:r>
    </w:p>
    <w:p w14:paraId="042CA867" w14:textId="69BDE468" w:rsidR="00BF4BE6" w:rsidRPr="00963A1D" w:rsidRDefault="00BF4BE6"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Yet the argument would be whether a synodal conversation can really take place without any objective.</w:t>
      </w:r>
      <w:r w:rsidR="00F531A2" w:rsidRPr="00963A1D">
        <w:rPr>
          <w:rFonts w:asciiTheme="majorHAnsi" w:hAnsiTheme="majorHAnsi" w:cstheme="majorHAnsi"/>
          <w:color w:val="000000" w:themeColor="text1"/>
        </w:rPr>
        <w:t xml:space="preserve"> Can we say this is the goal or objective or target of </w:t>
      </w:r>
      <w:r w:rsidR="00E93033" w:rsidRPr="00963A1D">
        <w:rPr>
          <w:rFonts w:asciiTheme="majorHAnsi" w:hAnsiTheme="majorHAnsi" w:cstheme="majorHAnsi"/>
          <w:color w:val="000000" w:themeColor="text1"/>
        </w:rPr>
        <w:t xml:space="preserve">synodality? Already in describing what synodality is, Pope Francis describes what a synodal church does. The essence of synodality is constituted </w:t>
      </w:r>
      <w:r w:rsidR="00E93033" w:rsidRPr="00963A1D">
        <w:rPr>
          <w:rFonts w:asciiTheme="majorHAnsi" w:hAnsiTheme="majorHAnsi" w:cstheme="majorHAnsi"/>
          <w:i/>
          <w:color w:val="000000" w:themeColor="text1"/>
        </w:rPr>
        <w:t>in</w:t>
      </w:r>
      <w:r w:rsidR="00E93033" w:rsidRPr="00963A1D">
        <w:rPr>
          <w:rFonts w:asciiTheme="majorHAnsi" w:hAnsiTheme="majorHAnsi" w:cstheme="majorHAnsi"/>
          <w:color w:val="000000" w:themeColor="text1"/>
        </w:rPr>
        <w:t xml:space="preserve"> its function. According to the Pope, “a synodal Church is a Church which listens, which realizes that listening ‘is more than simply hearing’. It is a mutual listening in which everyone has something to learn. The faithful people, the college of bishops, the Bishop of Rome: all listening to each other, and all listening to the Holy Spirit, the ‘Spirit of truth’, in order to know what [the Spirit] ‘says to the Churches’.”</w:t>
      </w:r>
      <w:r w:rsidR="00E93033" w:rsidRPr="00963A1D">
        <w:rPr>
          <w:rStyle w:val="FootnoteReference"/>
          <w:rFonts w:asciiTheme="majorHAnsi" w:hAnsiTheme="majorHAnsi" w:cstheme="majorHAnsi"/>
          <w:color w:val="000000" w:themeColor="text1"/>
        </w:rPr>
        <w:footnoteReference w:id="9"/>
      </w:r>
      <w:r w:rsidRPr="00963A1D">
        <w:rPr>
          <w:rFonts w:asciiTheme="majorHAnsi" w:hAnsiTheme="majorHAnsi" w:cstheme="majorHAnsi"/>
          <w:color w:val="000000" w:themeColor="text1"/>
        </w:rPr>
        <w:t xml:space="preserve"> (Talk about agenda – pro and cons)</w:t>
      </w:r>
    </w:p>
    <w:p w14:paraId="548A543E" w14:textId="07678E71" w:rsidR="00A4167C" w:rsidRPr="00963A1D" w:rsidRDefault="00BF4BE6"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This is where pastoral praxis comes in again. The only agenda of synodality is evangelization which is the core of pastoral practice</w:t>
      </w:r>
      <w:r w:rsidR="00652DCB" w:rsidRPr="00963A1D">
        <w:rPr>
          <w:rFonts w:asciiTheme="majorHAnsi" w:hAnsiTheme="majorHAnsi" w:cstheme="majorHAnsi"/>
          <w:color w:val="000000" w:themeColor="text1"/>
        </w:rPr>
        <w:t xml:space="preserve">. In terms of practice, </w:t>
      </w:r>
      <w:r w:rsidR="003227B7" w:rsidRPr="00963A1D">
        <w:rPr>
          <w:rFonts w:asciiTheme="majorHAnsi" w:hAnsiTheme="majorHAnsi" w:cstheme="majorHAnsi"/>
          <w:color w:val="000000" w:themeColor="text1"/>
        </w:rPr>
        <w:t xml:space="preserve">“synodality designates the programme of those </w:t>
      </w:r>
      <w:r w:rsidR="003227B7" w:rsidRPr="00963A1D">
        <w:rPr>
          <w:rFonts w:asciiTheme="majorHAnsi" w:hAnsiTheme="majorHAnsi" w:cstheme="majorHAnsi"/>
          <w:i/>
          <w:iCs/>
          <w:color w:val="000000" w:themeColor="text1"/>
        </w:rPr>
        <w:t xml:space="preserve">synodal events </w:t>
      </w:r>
      <w:r w:rsidR="003227B7" w:rsidRPr="00963A1D">
        <w:rPr>
          <w:rFonts w:asciiTheme="majorHAnsi" w:hAnsiTheme="majorHAnsi" w:cstheme="majorHAnsi"/>
          <w:color w:val="000000" w:themeColor="text1"/>
        </w:rPr>
        <w:t>in which the Church is called together by the competent authority in accordance with the specific procedures laid down by ecclesiastical discipline, involving the whole People of God in various ways on local, regional and universal levels, presided over by the Bishops in collegial communion with the Bishop of Rome, to discern the way forward and other particular questions, and to take particular decisions and directions with the aim of fulfilling its evangelising mission.” (ITC, §70c)</w:t>
      </w:r>
      <w:r w:rsidR="0062012E" w:rsidRPr="00963A1D">
        <w:rPr>
          <w:rFonts w:asciiTheme="majorHAnsi" w:hAnsiTheme="majorHAnsi" w:cstheme="majorHAnsi"/>
          <w:color w:val="000000" w:themeColor="text1"/>
        </w:rPr>
        <w:t xml:space="preserve"> The key objective is evangelization, and to this, synodality provides the energy as well as the “stimuli to discovering new methods” for this possibility. (ITC §§103,74) In his letter to the German Synodale Weg, Pope Francis remarks that </w:t>
      </w:r>
      <w:r w:rsidR="001E2DC0" w:rsidRPr="00963A1D">
        <w:rPr>
          <w:rFonts w:asciiTheme="majorHAnsi" w:hAnsiTheme="majorHAnsi" w:cstheme="majorHAnsi"/>
          <w:color w:val="000000" w:themeColor="text1"/>
        </w:rPr>
        <w:t>“w</w:t>
      </w:r>
      <w:r w:rsidR="0062012E" w:rsidRPr="00963A1D">
        <w:rPr>
          <w:rFonts w:asciiTheme="majorHAnsi" w:hAnsiTheme="majorHAnsi" w:cstheme="majorHAnsi"/>
          <w:color w:val="000000" w:themeColor="text1"/>
        </w:rPr>
        <w:t xml:space="preserve">ith the background and centrality of evangelisation and the </w:t>
      </w:r>
      <w:r w:rsidR="0062012E" w:rsidRPr="00963A1D">
        <w:rPr>
          <w:rFonts w:asciiTheme="majorHAnsi" w:hAnsiTheme="majorHAnsi" w:cstheme="majorHAnsi"/>
          <w:i/>
          <w:color w:val="000000" w:themeColor="text1"/>
        </w:rPr>
        <w:t>sensus ecclesiae</w:t>
      </w:r>
      <w:r w:rsidR="0062012E" w:rsidRPr="00963A1D">
        <w:rPr>
          <w:rFonts w:asciiTheme="majorHAnsi" w:hAnsiTheme="majorHAnsi" w:cstheme="majorHAnsi"/>
          <w:color w:val="000000" w:themeColor="text1"/>
        </w:rPr>
        <w:t xml:space="preserve"> as defining elements of our ecclesial DNA, synodality claims to consciously embrace a way of being Church where </w:t>
      </w:r>
      <w:r w:rsidR="001E2DC0" w:rsidRPr="00963A1D">
        <w:rPr>
          <w:rFonts w:asciiTheme="majorHAnsi" w:hAnsiTheme="majorHAnsi" w:cstheme="majorHAnsi"/>
          <w:color w:val="000000" w:themeColor="text1"/>
        </w:rPr>
        <w:t>‘</w:t>
      </w:r>
      <w:r w:rsidR="0062012E" w:rsidRPr="00963A1D">
        <w:rPr>
          <w:rFonts w:asciiTheme="majorHAnsi" w:hAnsiTheme="majorHAnsi" w:cstheme="majorHAnsi"/>
          <w:color w:val="000000" w:themeColor="text1"/>
        </w:rPr>
        <w:t xml:space="preserve">the whole is more than the part, and it is also more </w:t>
      </w:r>
      <w:r w:rsidR="0062012E" w:rsidRPr="00963A1D">
        <w:rPr>
          <w:rFonts w:asciiTheme="majorHAnsi" w:hAnsiTheme="majorHAnsi" w:cstheme="majorHAnsi"/>
          <w:color w:val="000000" w:themeColor="text1"/>
        </w:rPr>
        <w:lastRenderedPageBreak/>
        <w:t>than their simple sum</w:t>
      </w:r>
      <w:r w:rsidR="001E2DC0" w:rsidRPr="00963A1D">
        <w:rPr>
          <w:rFonts w:asciiTheme="majorHAnsi" w:hAnsiTheme="majorHAnsi" w:cstheme="majorHAnsi"/>
          <w:color w:val="000000" w:themeColor="text1"/>
        </w:rPr>
        <w:t>’</w:t>
      </w:r>
      <w:r w:rsidR="0062012E" w:rsidRPr="00963A1D">
        <w:rPr>
          <w:rFonts w:asciiTheme="majorHAnsi" w:hAnsiTheme="majorHAnsi" w:cstheme="majorHAnsi"/>
          <w:color w:val="000000" w:themeColor="text1"/>
        </w:rPr>
        <w:t>.</w:t>
      </w:r>
      <w:r w:rsidR="001E2DC0" w:rsidRPr="00963A1D">
        <w:rPr>
          <w:rFonts w:asciiTheme="majorHAnsi" w:hAnsiTheme="majorHAnsi" w:cstheme="majorHAnsi"/>
          <w:color w:val="000000" w:themeColor="text1"/>
        </w:rPr>
        <w:t>”</w:t>
      </w:r>
      <w:r w:rsidR="00DA3AB9" w:rsidRPr="00963A1D">
        <w:rPr>
          <w:rStyle w:val="FootnoteReference"/>
          <w:rFonts w:asciiTheme="majorHAnsi" w:hAnsiTheme="majorHAnsi" w:cstheme="majorHAnsi"/>
          <w:color w:val="000000" w:themeColor="text1"/>
        </w:rPr>
        <w:footnoteReference w:id="10"/>
      </w:r>
      <w:r w:rsidR="00DA3AB9" w:rsidRPr="00963A1D">
        <w:rPr>
          <w:rFonts w:asciiTheme="majorHAnsi" w:hAnsiTheme="majorHAnsi" w:cstheme="majorHAnsi"/>
          <w:color w:val="000000" w:themeColor="text1"/>
        </w:rPr>
        <w:t xml:space="preserve"> </w:t>
      </w:r>
      <w:r w:rsidR="001E2DC0" w:rsidRPr="00963A1D">
        <w:rPr>
          <w:rFonts w:asciiTheme="majorHAnsi" w:hAnsiTheme="majorHAnsi" w:cstheme="majorHAnsi"/>
          <w:color w:val="000000" w:themeColor="text1"/>
        </w:rPr>
        <w:t xml:space="preserve">This is consistent with his idea that the </w:t>
      </w:r>
      <w:r w:rsidR="00DC169F" w:rsidRPr="00963A1D">
        <w:rPr>
          <w:rFonts w:asciiTheme="majorHAnsi" w:hAnsiTheme="majorHAnsi" w:cstheme="majorHAnsi"/>
          <w:color w:val="000000" w:themeColor="text1"/>
        </w:rPr>
        <w:t xml:space="preserve">Gospel’s </w:t>
      </w:r>
      <w:r w:rsidR="001E2DC0" w:rsidRPr="00963A1D">
        <w:rPr>
          <w:rFonts w:asciiTheme="majorHAnsi" w:hAnsiTheme="majorHAnsi" w:cstheme="majorHAnsi"/>
          <w:color w:val="000000" w:themeColor="text1"/>
        </w:rPr>
        <w:t>“intrinsic</w:t>
      </w:r>
      <w:r w:rsidR="00DC169F" w:rsidRPr="00963A1D">
        <w:rPr>
          <w:rFonts w:asciiTheme="majorHAnsi" w:hAnsiTheme="majorHAnsi" w:cstheme="majorHAnsi"/>
          <w:color w:val="000000" w:themeColor="text1"/>
        </w:rPr>
        <w:t xml:space="preserve"> principle of</w:t>
      </w:r>
      <w:r w:rsidR="001E2DC0" w:rsidRPr="00963A1D">
        <w:rPr>
          <w:rFonts w:asciiTheme="majorHAnsi" w:hAnsiTheme="majorHAnsi" w:cstheme="majorHAnsi"/>
          <w:color w:val="000000" w:themeColor="text1"/>
        </w:rPr>
        <w:t xml:space="preserve"> totality” does not imply a form of totalitarianism (Evangelii Gaudium</w:t>
      </w:r>
      <w:r w:rsidR="0062012E" w:rsidRPr="00963A1D">
        <w:rPr>
          <w:rFonts w:asciiTheme="majorHAnsi" w:hAnsiTheme="majorHAnsi" w:cstheme="majorHAnsi"/>
          <w:color w:val="000000" w:themeColor="text1"/>
        </w:rPr>
        <w:t xml:space="preserve"> </w:t>
      </w:r>
      <w:r w:rsidR="001E2DC0" w:rsidRPr="00963A1D">
        <w:rPr>
          <w:rFonts w:asciiTheme="majorHAnsi" w:hAnsiTheme="majorHAnsi" w:cstheme="majorHAnsi"/>
          <w:color w:val="000000" w:themeColor="text1"/>
        </w:rPr>
        <w:t>§237)</w:t>
      </w:r>
      <w:r w:rsidR="00DC169F" w:rsidRPr="00963A1D">
        <w:rPr>
          <w:rFonts w:asciiTheme="majorHAnsi" w:hAnsiTheme="majorHAnsi" w:cstheme="majorHAnsi"/>
          <w:color w:val="000000" w:themeColor="text1"/>
        </w:rPr>
        <w:t>. Thus, in serving the mission of evangelization synodality is not to be guided by any agenda that seeks to either ‘stifle’ or to ‘prove barren’ (EG §235). The focus ought to be on the spiritual growth of the baptized, who is an agent of evangelization, as well as the church whose sole mission is evangelization. How then does synodality lead to the growth of both the baptized and the church? What are the conditions for this spiritual advancement that is implied in the walking together?</w:t>
      </w:r>
    </w:p>
    <w:p w14:paraId="1A232C68" w14:textId="51C7E1D5" w:rsidR="00A4167C" w:rsidRDefault="00A4167C" w:rsidP="00963A1D">
      <w:pPr>
        <w:pStyle w:val="NormalWeb"/>
        <w:shd w:val="clear" w:color="auto" w:fill="FFFFFF"/>
        <w:spacing w:before="0" w:beforeAutospacing="0" w:after="0" w:afterAutospacing="0"/>
        <w:jc w:val="both"/>
        <w:rPr>
          <w:rFonts w:asciiTheme="majorHAnsi" w:hAnsiTheme="majorHAnsi" w:cstheme="majorHAnsi"/>
          <w:color w:val="000000" w:themeColor="text1"/>
        </w:rPr>
      </w:pPr>
    </w:p>
    <w:p w14:paraId="7C2F879C" w14:textId="77777777" w:rsidR="009E58CF" w:rsidRPr="00963A1D" w:rsidRDefault="009E58CF" w:rsidP="00963A1D">
      <w:pPr>
        <w:pStyle w:val="NormalWeb"/>
        <w:shd w:val="clear" w:color="auto" w:fill="FFFFFF"/>
        <w:spacing w:before="0" w:beforeAutospacing="0" w:after="0" w:afterAutospacing="0"/>
        <w:jc w:val="both"/>
        <w:rPr>
          <w:rFonts w:asciiTheme="majorHAnsi" w:hAnsiTheme="majorHAnsi" w:cstheme="majorHAnsi"/>
          <w:color w:val="000000" w:themeColor="text1"/>
        </w:rPr>
      </w:pPr>
    </w:p>
    <w:p w14:paraId="3AA7B3E2" w14:textId="55BDD2D1" w:rsidR="00536AE0" w:rsidRPr="00963A1D" w:rsidRDefault="00CB1B40"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From Ecclesial Intro</w:t>
      </w:r>
      <w:r w:rsidR="00247399" w:rsidRPr="00963A1D">
        <w:rPr>
          <w:rFonts w:asciiTheme="majorHAnsi" w:hAnsiTheme="majorHAnsi" w:cstheme="majorHAnsi"/>
          <w:color w:val="000000" w:themeColor="text1"/>
        </w:rPr>
        <w:t>spection</w:t>
      </w:r>
      <w:r w:rsidRPr="00963A1D">
        <w:rPr>
          <w:rFonts w:asciiTheme="majorHAnsi" w:hAnsiTheme="majorHAnsi" w:cstheme="majorHAnsi"/>
          <w:color w:val="000000" w:themeColor="text1"/>
        </w:rPr>
        <w:t xml:space="preserve"> to Pastoral Conversion</w:t>
      </w:r>
    </w:p>
    <w:p w14:paraId="6667B24B" w14:textId="332FD71D" w:rsidR="00DC169F" w:rsidRPr="00963A1D" w:rsidRDefault="00DC169F" w:rsidP="00963A1D">
      <w:pPr>
        <w:ind w:firstLine="0"/>
        <w:rPr>
          <w:rFonts w:asciiTheme="majorHAnsi" w:hAnsiTheme="majorHAnsi" w:cstheme="majorHAnsi"/>
          <w:color w:val="000000" w:themeColor="text1"/>
        </w:rPr>
      </w:pPr>
    </w:p>
    <w:p w14:paraId="4D5C54A4" w14:textId="7B379307" w:rsidR="00DC169F" w:rsidRPr="00963A1D" w:rsidRDefault="00220259"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The experience of g</w:t>
      </w:r>
      <w:r w:rsidR="00DC169F" w:rsidRPr="00963A1D">
        <w:rPr>
          <w:rFonts w:asciiTheme="majorHAnsi" w:hAnsiTheme="majorHAnsi" w:cstheme="majorHAnsi"/>
          <w:color w:val="000000" w:themeColor="text1"/>
        </w:rPr>
        <w:t xml:space="preserve">rowth </w:t>
      </w:r>
      <w:r w:rsidR="00040B13" w:rsidRPr="00963A1D">
        <w:rPr>
          <w:rFonts w:asciiTheme="majorHAnsi" w:hAnsiTheme="majorHAnsi" w:cstheme="majorHAnsi"/>
          <w:color w:val="000000" w:themeColor="text1"/>
        </w:rPr>
        <w:t xml:space="preserve">in the ecclesial mission of evangelization </w:t>
      </w:r>
      <w:r w:rsidR="00DC169F" w:rsidRPr="00963A1D">
        <w:rPr>
          <w:rFonts w:asciiTheme="majorHAnsi" w:hAnsiTheme="majorHAnsi" w:cstheme="majorHAnsi"/>
          <w:color w:val="000000" w:themeColor="text1"/>
        </w:rPr>
        <w:t xml:space="preserve">emerges from a conscious “sinking deep” </w:t>
      </w:r>
      <w:r w:rsidR="00040B13" w:rsidRPr="00963A1D">
        <w:rPr>
          <w:rFonts w:asciiTheme="majorHAnsi" w:hAnsiTheme="majorHAnsi" w:cstheme="majorHAnsi"/>
          <w:color w:val="000000" w:themeColor="text1"/>
        </w:rPr>
        <w:t xml:space="preserve">(‘Duc in altum’) </w:t>
      </w:r>
      <w:r w:rsidR="00DC169F" w:rsidRPr="00963A1D">
        <w:rPr>
          <w:rFonts w:asciiTheme="majorHAnsi" w:hAnsiTheme="majorHAnsi" w:cstheme="majorHAnsi"/>
          <w:color w:val="000000" w:themeColor="text1"/>
        </w:rPr>
        <w:t>and a consequent metanoia</w:t>
      </w:r>
      <w:r w:rsidRPr="00963A1D">
        <w:rPr>
          <w:rFonts w:asciiTheme="majorHAnsi" w:hAnsiTheme="majorHAnsi" w:cstheme="majorHAnsi"/>
          <w:color w:val="000000" w:themeColor="text1"/>
        </w:rPr>
        <w:t>. These two conditions, intro</w:t>
      </w:r>
      <w:r w:rsidR="00166E65" w:rsidRPr="00963A1D">
        <w:rPr>
          <w:rFonts w:asciiTheme="majorHAnsi" w:hAnsiTheme="majorHAnsi" w:cstheme="majorHAnsi"/>
          <w:color w:val="000000" w:themeColor="text1"/>
        </w:rPr>
        <w:t>spect</w:t>
      </w:r>
      <w:r w:rsidRPr="00963A1D">
        <w:rPr>
          <w:rFonts w:asciiTheme="majorHAnsi" w:hAnsiTheme="majorHAnsi" w:cstheme="majorHAnsi"/>
          <w:color w:val="000000" w:themeColor="text1"/>
        </w:rPr>
        <w:t>ion and conversion, are important for the mission of salvation of souls that is at the heart of evangelization.</w:t>
      </w:r>
      <w:r w:rsidR="00DC169F" w:rsidRPr="00963A1D">
        <w:rPr>
          <w:rFonts w:asciiTheme="majorHAnsi" w:hAnsiTheme="majorHAnsi" w:cstheme="majorHAnsi"/>
          <w:color w:val="000000" w:themeColor="text1"/>
        </w:rPr>
        <w:t xml:space="preserve"> </w:t>
      </w:r>
    </w:p>
    <w:p w14:paraId="53D35591" w14:textId="56E53437" w:rsidR="003748C6" w:rsidRPr="00963A1D" w:rsidRDefault="003748C6"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Historically, pastoral conversion is not lost on the church and has always been at the root of ecclesial reforms. This is even made clear in Vatican II’s recognition that renewal implies “an increase of fidelity” on the part of the church (UR §6). This conversion,</w:t>
      </w:r>
      <w:r w:rsidR="00220259" w:rsidRPr="00963A1D">
        <w:rPr>
          <w:rFonts w:asciiTheme="majorHAnsi" w:hAnsiTheme="majorHAnsi" w:cstheme="majorHAnsi"/>
          <w:color w:val="000000" w:themeColor="text1"/>
        </w:rPr>
        <w:t xml:space="preserve"> namely</w:t>
      </w:r>
      <w:r w:rsidRPr="00963A1D">
        <w:rPr>
          <w:rFonts w:asciiTheme="majorHAnsi" w:hAnsiTheme="majorHAnsi" w:cstheme="majorHAnsi"/>
          <w:color w:val="000000" w:themeColor="text1"/>
        </w:rPr>
        <w:t xml:space="preserve"> the constant movement towards fidelity to Christ and the Gospel, is expected not only of the church</w:t>
      </w:r>
      <w:r w:rsidR="00220259" w:rsidRPr="00963A1D">
        <w:rPr>
          <w:rFonts w:asciiTheme="majorHAnsi" w:hAnsiTheme="majorHAnsi" w:cstheme="majorHAnsi"/>
          <w:color w:val="000000" w:themeColor="text1"/>
        </w:rPr>
        <w:t xml:space="preserve"> as an institution</w:t>
      </w:r>
      <w:r w:rsidRPr="00963A1D">
        <w:rPr>
          <w:rFonts w:asciiTheme="majorHAnsi" w:hAnsiTheme="majorHAnsi" w:cstheme="majorHAnsi"/>
          <w:color w:val="000000" w:themeColor="text1"/>
        </w:rPr>
        <w:t xml:space="preserve"> but also of the baptized. </w:t>
      </w:r>
      <w:r w:rsidR="00220259" w:rsidRPr="00963A1D">
        <w:rPr>
          <w:rFonts w:asciiTheme="majorHAnsi" w:hAnsiTheme="majorHAnsi" w:cstheme="majorHAnsi"/>
          <w:color w:val="000000" w:themeColor="text1"/>
        </w:rPr>
        <w:t>Invariably, the church assembly</w:t>
      </w:r>
      <w:r w:rsidR="00220259" w:rsidRPr="00963A1D">
        <w:rPr>
          <w:rFonts w:asciiTheme="majorHAnsi" w:hAnsiTheme="majorHAnsi" w:cstheme="majorHAnsi"/>
          <w:i/>
          <w:color w:val="000000" w:themeColor="text1"/>
        </w:rPr>
        <w:t xml:space="preserve"> is</w:t>
      </w:r>
      <w:r w:rsidR="00220259" w:rsidRPr="00963A1D">
        <w:rPr>
          <w:rFonts w:asciiTheme="majorHAnsi" w:hAnsiTheme="majorHAnsi" w:cstheme="majorHAnsi"/>
          <w:color w:val="000000" w:themeColor="text1"/>
        </w:rPr>
        <w:t xml:space="preserve"> the baptized in fellowship.</w:t>
      </w:r>
    </w:p>
    <w:p w14:paraId="6BEE314B" w14:textId="15197972" w:rsidR="003748C6" w:rsidRPr="00963A1D" w:rsidRDefault="003748C6"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Th</w:t>
      </w:r>
      <w:r w:rsidR="00220259" w:rsidRPr="00963A1D">
        <w:rPr>
          <w:rFonts w:asciiTheme="majorHAnsi" w:hAnsiTheme="majorHAnsi" w:cstheme="majorHAnsi"/>
          <w:color w:val="000000" w:themeColor="text1"/>
        </w:rPr>
        <w:t>ere</w:t>
      </w:r>
      <w:r w:rsidRPr="00963A1D">
        <w:rPr>
          <w:rFonts w:asciiTheme="majorHAnsi" w:hAnsiTheme="majorHAnsi" w:cstheme="majorHAnsi"/>
          <w:color w:val="000000" w:themeColor="text1"/>
        </w:rPr>
        <w:t xml:space="preserve"> is sometimes the temptation to restrict pastoral conversion to the reform of the structures in the church. Of course</w:t>
      </w:r>
      <w:r w:rsidR="00A82EA6" w:rsidRPr="00963A1D">
        <w:rPr>
          <w:rFonts w:asciiTheme="majorHAnsi" w:hAnsiTheme="majorHAnsi" w:cstheme="majorHAnsi"/>
          <w:color w:val="000000" w:themeColor="text1"/>
        </w:rPr>
        <w:t>,</w:t>
      </w:r>
      <w:r w:rsidRPr="00963A1D">
        <w:rPr>
          <w:rFonts w:asciiTheme="majorHAnsi" w:hAnsiTheme="majorHAnsi" w:cstheme="majorHAnsi"/>
          <w:color w:val="000000" w:themeColor="text1"/>
        </w:rPr>
        <w:t xml:space="preserve"> </w:t>
      </w:r>
      <w:r w:rsidR="00CC08DF" w:rsidRPr="00963A1D">
        <w:rPr>
          <w:rFonts w:asciiTheme="majorHAnsi" w:hAnsiTheme="majorHAnsi" w:cstheme="majorHAnsi"/>
          <w:color w:val="000000" w:themeColor="text1"/>
        </w:rPr>
        <w:t xml:space="preserve">a </w:t>
      </w:r>
      <w:r w:rsidRPr="00963A1D">
        <w:rPr>
          <w:rFonts w:asciiTheme="majorHAnsi" w:hAnsiTheme="majorHAnsi" w:cstheme="majorHAnsi"/>
          <w:color w:val="000000" w:themeColor="text1"/>
        </w:rPr>
        <w:t xml:space="preserve">pastoral conversion that is required by synodality “means that some paradigms often still present in ecclesiastical culture need to be quashed, because they express an understanding of the Church that has not been renewed by the ecclesiology of communion.” (ITC §105) Yet synodality should not be construed as a </w:t>
      </w:r>
      <w:r w:rsidR="00CC08DF" w:rsidRPr="00963A1D">
        <w:rPr>
          <w:rFonts w:asciiTheme="majorHAnsi" w:hAnsiTheme="majorHAnsi" w:cstheme="majorHAnsi"/>
          <w:color w:val="000000" w:themeColor="text1"/>
        </w:rPr>
        <w:t>mere</w:t>
      </w:r>
      <w:r w:rsidRPr="00963A1D">
        <w:rPr>
          <w:rFonts w:asciiTheme="majorHAnsi" w:hAnsiTheme="majorHAnsi" w:cstheme="majorHAnsi"/>
          <w:color w:val="000000" w:themeColor="text1"/>
        </w:rPr>
        <w:t xml:space="preserve"> administrative matter that had to do with the reform of ecclesial structure of governance. It is much more than structural reform because, as Pope Francis notes “even good structures are only helpful when there is a life constantly driving, sustaining and assessing them.” In fact, in the absence of “new life and an authentic evangelical spirit, without the Church’s ‘fidelity to her own calling’, any new structure will soon prove ineffective.” (EG §26). This is not an attempt to play down on the need for structural reform but to recognize that both interior and exterior conversion</w:t>
      </w:r>
      <w:r w:rsidR="00FE0357" w:rsidRPr="00963A1D">
        <w:rPr>
          <w:rFonts w:asciiTheme="majorHAnsi" w:hAnsiTheme="majorHAnsi" w:cstheme="majorHAnsi"/>
          <w:color w:val="000000" w:themeColor="text1"/>
        </w:rPr>
        <w:t>s</w:t>
      </w:r>
      <w:r w:rsidRPr="00963A1D">
        <w:rPr>
          <w:rFonts w:asciiTheme="majorHAnsi" w:hAnsiTheme="majorHAnsi" w:cstheme="majorHAnsi"/>
          <w:color w:val="000000" w:themeColor="text1"/>
        </w:rPr>
        <w:t xml:space="preserve"> are complimentary. </w:t>
      </w:r>
      <w:r w:rsidR="00A82EA6" w:rsidRPr="00963A1D">
        <w:rPr>
          <w:rFonts w:asciiTheme="majorHAnsi" w:hAnsiTheme="majorHAnsi" w:cstheme="majorHAnsi"/>
          <w:color w:val="000000" w:themeColor="text1"/>
        </w:rPr>
        <w:t xml:space="preserve">We are sure to find many instances where churches have undertaken a lot of structural reforms prior to the current crave for synodality, yet the ecclesial life has remained dormant, with little or no growth, and even sometimes with greater decline. Meanwhile, there are so many ecclesial communities that are lively and growing in spite of very faulty structures. In some of these later instances, the pastoral leadership finds a way of </w:t>
      </w:r>
      <w:r w:rsidR="00A82EA6" w:rsidRPr="00963A1D">
        <w:rPr>
          <w:rFonts w:asciiTheme="majorHAnsi" w:hAnsiTheme="majorHAnsi" w:cstheme="majorHAnsi"/>
          <w:color w:val="000000" w:themeColor="text1"/>
        </w:rPr>
        <w:lastRenderedPageBreak/>
        <w:t>creating a community of shared responsibility</w:t>
      </w:r>
      <w:r w:rsidR="00FE0357" w:rsidRPr="00963A1D">
        <w:rPr>
          <w:rFonts w:asciiTheme="majorHAnsi" w:hAnsiTheme="majorHAnsi" w:cstheme="majorHAnsi"/>
          <w:color w:val="000000" w:themeColor="text1"/>
        </w:rPr>
        <w:t xml:space="preserve"> and active co-participation</w:t>
      </w:r>
      <w:r w:rsidR="00A82EA6" w:rsidRPr="00963A1D">
        <w:rPr>
          <w:rFonts w:asciiTheme="majorHAnsi" w:hAnsiTheme="majorHAnsi" w:cstheme="majorHAnsi"/>
          <w:color w:val="000000" w:themeColor="text1"/>
        </w:rPr>
        <w:t>, where each baptized</w:t>
      </w:r>
      <w:r w:rsidR="00DA3AB9" w:rsidRPr="00963A1D">
        <w:rPr>
          <w:rFonts w:asciiTheme="majorHAnsi" w:hAnsiTheme="majorHAnsi" w:cstheme="majorHAnsi"/>
          <w:color w:val="000000" w:themeColor="text1"/>
        </w:rPr>
        <w:t xml:space="preserve"> individual</w:t>
      </w:r>
      <w:r w:rsidR="00A82EA6" w:rsidRPr="00963A1D">
        <w:rPr>
          <w:rFonts w:asciiTheme="majorHAnsi" w:hAnsiTheme="majorHAnsi" w:cstheme="majorHAnsi"/>
          <w:color w:val="000000" w:themeColor="text1"/>
        </w:rPr>
        <w:t xml:space="preserve"> </w:t>
      </w:r>
      <w:proofErr w:type="gramStart"/>
      <w:r w:rsidR="00A82EA6" w:rsidRPr="00963A1D">
        <w:rPr>
          <w:rFonts w:asciiTheme="majorHAnsi" w:hAnsiTheme="majorHAnsi" w:cstheme="majorHAnsi"/>
          <w:color w:val="000000" w:themeColor="text1"/>
        </w:rPr>
        <w:t>feels</w:t>
      </w:r>
      <w:proofErr w:type="gramEnd"/>
      <w:r w:rsidR="00A82EA6" w:rsidRPr="00963A1D">
        <w:rPr>
          <w:rFonts w:asciiTheme="majorHAnsi" w:hAnsiTheme="majorHAnsi" w:cstheme="majorHAnsi"/>
          <w:color w:val="000000" w:themeColor="text1"/>
        </w:rPr>
        <w:t xml:space="preserve"> committed and involved in the life of the church, acting responsibly within the limits (and fullness) of his or her own gifts, capacities, and duties.</w:t>
      </w:r>
      <w:r w:rsidR="00DA3AB9" w:rsidRPr="00963A1D">
        <w:rPr>
          <w:rFonts w:asciiTheme="majorHAnsi" w:hAnsiTheme="majorHAnsi" w:cstheme="majorHAnsi"/>
          <w:color w:val="000000" w:themeColor="text1"/>
        </w:rPr>
        <w:t xml:space="preserve"> Massimo Faggioli rather puts </w:t>
      </w:r>
      <w:r w:rsidR="00FE0357" w:rsidRPr="00963A1D">
        <w:rPr>
          <w:rFonts w:asciiTheme="majorHAnsi" w:hAnsiTheme="majorHAnsi" w:cstheme="majorHAnsi"/>
          <w:color w:val="000000" w:themeColor="text1"/>
        </w:rPr>
        <w:t xml:space="preserve">it </w:t>
      </w:r>
      <w:r w:rsidR="00DA3AB9" w:rsidRPr="00963A1D">
        <w:rPr>
          <w:rFonts w:asciiTheme="majorHAnsi" w:hAnsiTheme="majorHAnsi" w:cstheme="majorHAnsi"/>
          <w:color w:val="000000" w:themeColor="text1"/>
        </w:rPr>
        <w:t>in a way of a balanced caution when he indicates that while “it is true that a wrong synodal model can lead to a deformation of the Church rather than it its reform … the same can be said for an absence of synodality.”</w:t>
      </w:r>
      <w:r w:rsidR="00DA3AB9" w:rsidRPr="00963A1D">
        <w:rPr>
          <w:rStyle w:val="FootnoteReference"/>
          <w:rFonts w:asciiTheme="majorHAnsi" w:hAnsiTheme="majorHAnsi" w:cstheme="majorHAnsi"/>
          <w:color w:val="000000" w:themeColor="text1"/>
        </w:rPr>
        <w:footnoteReference w:id="11"/>
      </w:r>
      <w:r w:rsidR="00DA3AB9" w:rsidRPr="00963A1D">
        <w:rPr>
          <w:rFonts w:asciiTheme="majorHAnsi" w:hAnsiTheme="majorHAnsi" w:cstheme="majorHAnsi"/>
          <w:color w:val="000000" w:themeColor="text1"/>
        </w:rPr>
        <w:t xml:space="preserve"> Against the overly enthusiasts who are interested in altering everything Faggioli further argues that “synodality is not aimed so much at reforming the Church as at living out its essence.”</w:t>
      </w:r>
      <w:r w:rsidR="006E2AAE" w:rsidRPr="00963A1D">
        <w:rPr>
          <w:rStyle w:val="FootnoteReference"/>
          <w:rFonts w:asciiTheme="majorHAnsi" w:hAnsiTheme="majorHAnsi" w:cstheme="majorHAnsi"/>
          <w:color w:val="000000" w:themeColor="text1"/>
        </w:rPr>
        <w:footnoteReference w:id="12"/>
      </w:r>
      <w:r w:rsidR="00B0797A" w:rsidRPr="00963A1D">
        <w:rPr>
          <w:rFonts w:asciiTheme="majorHAnsi" w:hAnsiTheme="majorHAnsi" w:cstheme="majorHAnsi"/>
          <w:color w:val="000000" w:themeColor="text1"/>
        </w:rPr>
        <w:t xml:space="preserve"> Yves Congar puts it in a rather interesting way</w:t>
      </w:r>
      <w:r w:rsidR="002F012B" w:rsidRPr="00963A1D">
        <w:rPr>
          <w:rFonts w:asciiTheme="majorHAnsi" w:hAnsiTheme="majorHAnsi" w:cstheme="majorHAnsi"/>
          <w:color w:val="000000" w:themeColor="text1"/>
        </w:rPr>
        <w:t xml:space="preserve"> when he states that “while calling into question some elements within the church, we can’t call the church into question.”</w:t>
      </w:r>
      <w:r w:rsidR="002F012B" w:rsidRPr="00963A1D">
        <w:rPr>
          <w:rStyle w:val="FootnoteReference"/>
          <w:rFonts w:asciiTheme="majorHAnsi" w:hAnsiTheme="majorHAnsi" w:cstheme="majorHAnsi"/>
          <w:color w:val="000000" w:themeColor="text1"/>
        </w:rPr>
        <w:footnoteReference w:id="13"/>
      </w:r>
    </w:p>
    <w:p w14:paraId="003CF2C5" w14:textId="5A95A882" w:rsidR="00247399" w:rsidRPr="00963A1D" w:rsidRDefault="00963A1D" w:rsidP="00963A1D">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ab/>
      </w:r>
      <w:r w:rsidR="00166E65" w:rsidRPr="00963A1D">
        <w:rPr>
          <w:rFonts w:asciiTheme="majorHAnsi" w:hAnsiTheme="majorHAnsi" w:cstheme="majorHAnsi"/>
          <w:color w:val="000000" w:themeColor="text1"/>
        </w:rPr>
        <w:t>Renewal in the church must be focused on the mission that Christ set out for the church, and this should be the focal point of conversion and introspection. For John Paul II,</w:t>
      </w:r>
      <w:r w:rsidR="00247399" w:rsidRPr="00963A1D">
        <w:rPr>
          <w:rFonts w:asciiTheme="majorHAnsi" w:hAnsiTheme="majorHAnsi" w:cstheme="majorHAnsi"/>
          <w:color w:val="000000" w:themeColor="text1"/>
        </w:rPr>
        <w:t xml:space="preserve"> “A new proclamation of Christ must arise from an inner renewal of the Church, and all renewal in the Church must have mission as its goal if it is not to fall prey to a kind of ecclesial introversion. Every aspect of the Church's mission to the world must be born of a renewal which comes from contemplation of the face of Christ. This renewal in turn gives rise to concrete pastoral strategies.”</w:t>
      </w:r>
      <w:r w:rsidR="00247399" w:rsidRPr="00963A1D">
        <w:rPr>
          <w:rStyle w:val="FootnoteReference"/>
          <w:rFonts w:asciiTheme="majorHAnsi" w:hAnsiTheme="majorHAnsi" w:cstheme="majorHAnsi"/>
          <w:color w:val="000000" w:themeColor="text1"/>
        </w:rPr>
        <w:footnoteReference w:id="14"/>
      </w:r>
      <w:r w:rsidR="00247399" w:rsidRPr="00963A1D">
        <w:rPr>
          <w:rFonts w:asciiTheme="majorHAnsi" w:hAnsiTheme="majorHAnsi" w:cstheme="majorHAnsi"/>
          <w:color w:val="000000" w:themeColor="text1"/>
        </w:rPr>
        <w:t xml:space="preserve"> The pope was indeed right about the need for a bottom-top approach in the renewal of the Church. Strategies for evangelization must come from among the people of God and never be imposed from above. This understanding implies that the synodal process is not a matter of quick fixes but a patient engagement of the church with itself that happens as Pope Francis puts it “by discerning with our</w:t>
      </w:r>
      <w:r w:rsidR="00247399" w:rsidRPr="00963A1D">
        <w:rPr>
          <w:rFonts w:asciiTheme="majorHAnsi" w:hAnsiTheme="majorHAnsi" w:cstheme="majorHAnsi"/>
          <w:i/>
          <w:color w:val="000000" w:themeColor="text1"/>
        </w:rPr>
        <w:t xml:space="preserve"> </w:t>
      </w:r>
      <w:r w:rsidR="00247399" w:rsidRPr="00963A1D">
        <w:rPr>
          <w:rFonts w:asciiTheme="majorHAnsi" w:hAnsiTheme="majorHAnsi" w:cstheme="majorHAnsi"/>
          <w:color w:val="000000" w:themeColor="text1"/>
        </w:rPr>
        <w:t>people and never for our people or without our people.”</w:t>
      </w:r>
      <w:r w:rsidR="00247399" w:rsidRPr="00963A1D">
        <w:rPr>
          <w:rStyle w:val="FootnoteReference"/>
          <w:rFonts w:asciiTheme="majorHAnsi" w:hAnsiTheme="majorHAnsi" w:cstheme="majorHAnsi"/>
          <w:color w:val="000000" w:themeColor="text1"/>
        </w:rPr>
        <w:footnoteReference w:id="15"/>
      </w:r>
      <w:r w:rsidR="00247399" w:rsidRPr="00963A1D">
        <w:rPr>
          <w:rFonts w:asciiTheme="majorHAnsi" w:hAnsiTheme="majorHAnsi" w:cstheme="majorHAnsi"/>
          <w:color w:val="000000" w:themeColor="text1"/>
        </w:rPr>
        <w:t xml:space="preserve"> The ’nostra’ in those beautiful lines by Pope Francis points to an understanding of the role of the Magisterium in the synodal process. Synodality is not intended as a means of flattening the church or doing away with hierarchy but is aimed at a renewal of the true definition of ecclesial hierarchy, namely </w:t>
      </w:r>
      <w:r w:rsidR="00247399" w:rsidRPr="00963A1D">
        <w:rPr>
          <w:rFonts w:asciiTheme="majorHAnsi" w:hAnsiTheme="majorHAnsi" w:cstheme="majorHAnsi"/>
          <w:i/>
          <w:color w:val="000000" w:themeColor="text1"/>
        </w:rPr>
        <w:t>Diakonia</w:t>
      </w:r>
      <w:r w:rsidR="00247399" w:rsidRPr="00963A1D">
        <w:rPr>
          <w:rFonts w:asciiTheme="majorHAnsi" w:hAnsiTheme="majorHAnsi" w:cstheme="majorHAnsi"/>
          <w:color w:val="000000" w:themeColor="text1"/>
        </w:rPr>
        <w:t>. And Jesus said to them: “The greatest among you must be your servant” (Matt.23:11; Lk.22:26). This is against the faux interpretation of synodality as a form of democracy in the church. Pope John Paul II already makes this very clear: “Within a sound ecclesiology of communion, a commitment to creating better structures of participation, consultation and shared responsibility should not be misunderstood as a concession to a secular ‘democratic’ model of governance, but as an intrinsic requirement of the exercise of episcopal authority and a necessary means of strengthening that authority.”</w:t>
      </w:r>
      <w:r w:rsidR="00247399" w:rsidRPr="00963A1D">
        <w:rPr>
          <w:rStyle w:val="FootnoteReference"/>
          <w:rFonts w:asciiTheme="majorHAnsi" w:hAnsiTheme="majorHAnsi" w:cstheme="majorHAnsi"/>
          <w:color w:val="000000" w:themeColor="text1"/>
        </w:rPr>
        <w:footnoteReference w:id="16"/>
      </w:r>
      <w:r w:rsidR="00247399" w:rsidRPr="00963A1D">
        <w:rPr>
          <w:rFonts w:asciiTheme="majorHAnsi" w:hAnsiTheme="majorHAnsi" w:cstheme="majorHAnsi"/>
          <w:color w:val="000000" w:themeColor="text1"/>
        </w:rPr>
        <w:t xml:space="preserve"> </w:t>
      </w:r>
      <w:r w:rsidR="00247399" w:rsidRPr="00963A1D">
        <w:rPr>
          <w:rFonts w:asciiTheme="majorHAnsi" w:hAnsiTheme="majorHAnsi" w:cstheme="majorHAnsi"/>
          <w:color w:val="000000" w:themeColor="text1"/>
        </w:rPr>
        <w:lastRenderedPageBreak/>
        <w:t xml:space="preserve">The choice of the concept of ‘renewal’ rather than ‘redefinition’ is deliberate, because of the following: </w:t>
      </w:r>
    </w:p>
    <w:p w14:paraId="3D3A193A" w14:textId="77777777" w:rsidR="00247399" w:rsidRPr="00963A1D" w:rsidRDefault="00247399" w:rsidP="00963A1D">
      <w:pPr>
        <w:pStyle w:val="ListParagraph"/>
        <w:ind w:left="927" w:firstLine="0"/>
        <w:rPr>
          <w:rFonts w:asciiTheme="majorHAnsi" w:hAnsiTheme="majorHAnsi" w:cstheme="majorHAnsi"/>
          <w:color w:val="000000" w:themeColor="text1"/>
        </w:rPr>
      </w:pPr>
    </w:p>
    <w:p w14:paraId="146BF6A4" w14:textId="77777777" w:rsidR="00136196" w:rsidRDefault="00247399" w:rsidP="00136196">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(a) It is a recognition of what is present but have been obscured to a great extent by some sort of overemphasis on an element of the hierarchy, such as ‘authority over service’. Authority is an ecclesiological factor, but the question remains: authority </w:t>
      </w:r>
      <w:r w:rsidRPr="00136196">
        <w:rPr>
          <w:rFonts w:asciiTheme="majorHAnsi" w:hAnsiTheme="majorHAnsi" w:cstheme="majorHAnsi"/>
          <w:i/>
          <w:color w:val="000000" w:themeColor="text1"/>
        </w:rPr>
        <w:t>for</w:t>
      </w:r>
      <w:r w:rsidRPr="00963A1D">
        <w:rPr>
          <w:rFonts w:asciiTheme="majorHAnsi" w:hAnsiTheme="majorHAnsi" w:cstheme="majorHAnsi"/>
          <w:color w:val="000000" w:themeColor="text1"/>
        </w:rPr>
        <w:t xml:space="preserve"> what?</w:t>
      </w:r>
    </w:p>
    <w:p w14:paraId="4F323EF6" w14:textId="720712DF" w:rsidR="009E58CF" w:rsidRDefault="00247399" w:rsidP="00136196">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 </w:t>
      </w:r>
    </w:p>
    <w:p w14:paraId="404B4D17" w14:textId="0CE1AE59" w:rsidR="00247399" w:rsidRDefault="00247399" w:rsidP="00136196">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(b) It points to the consciousness of a ‘home-grown’ synodality rather than one that is ‘imported’ to fix what is broken in the church. While it is not a claim to a self-sufficient church that is capable of administering a remedy to its own malady, it is rather an awareness that the renewal and healing cannot simply come from what is learnt from the outside but from the power of the Holy Spirit that is promised and unceasingly abides in the church. The presence of the Holy Spirit in the church commands the church to openness and patient listening. This is at the heart of ecclesial </w:t>
      </w:r>
      <w:r w:rsidR="00166E65" w:rsidRPr="00963A1D">
        <w:rPr>
          <w:rFonts w:asciiTheme="majorHAnsi" w:hAnsiTheme="majorHAnsi" w:cstheme="majorHAnsi"/>
          <w:color w:val="000000" w:themeColor="text1"/>
        </w:rPr>
        <w:t>introspection</w:t>
      </w:r>
      <w:r w:rsidRPr="00963A1D">
        <w:rPr>
          <w:rFonts w:asciiTheme="majorHAnsi" w:hAnsiTheme="majorHAnsi" w:cstheme="majorHAnsi"/>
          <w:color w:val="000000" w:themeColor="text1"/>
        </w:rPr>
        <w:t xml:space="preserve">. </w:t>
      </w:r>
    </w:p>
    <w:p w14:paraId="48EA4BB9" w14:textId="77777777" w:rsidR="00136196" w:rsidRPr="00963A1D" w:rsidRDefault="00136196" w:rsidP="00136196">
      <w:pPr>
        <w:pStyle w:val="ListParagraph"/>
        <w:ind w:left="0" w:firstLine="0"/>
        <w:rPr>
          <w:rFonts w:asciiTheme="majorHAnsi" w:hAnsiTheme="majorHAnsi" w:cstheme="majorHAnsi"/>
          <w:color w:val="000000" w:themeColor="text1"/>
        </w:rPr>
      </w:pPr>
    </w:p>
    <w:p w14:paraId="23D93829" w14:textId="56465033" w:rsidR="00247399" w:rsidRDefault="00247399" w:rsidP="00136196">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(c) There is a recognition of differentness in how authority has been used in different parts of the church, diverse accounts of witnessing to a lived church. While some in authority have abused their power and executed autocratic pastoral assignments, some have also demonstrated the right use of authority. While some pastors have demonstrated unprecedented forms of clericalism, some others have led their parishes humbly and inclusively. The truth is that there are multiple narratives out there. This is not to dismiss the need for structural reforms that ensure a more responsible and collaborative ecclesial life but to remark that perhaps the best route is renewal rather than a replacement.</w:t>
      </w:r>
    </w:p>
    <w:p w14:paraId="627F9DCD" w14:textId="77777777" w:rsidR="009E58CF" w:rsidRPr="00963A1D" w:rsidRDefault="009E58CF" w:rsidP="009E58CF">
      <w:pPr>
        <w:pStyle w:val="ListParagraph"/>
        <w:ind w:left="567" w:firstLine="0"/>
        <w:rPr>
          <w:rFonts w:asciiTheme="majorHAnsi" w:hAnsiTheme="majorHAnsi" w:cstheme="majorHAnsi"/>
          <w:color w:val="000000" w:themeColor="text1"/>
        </w:rPr>
      </w:pPr>
    </w:p>
    <w:p w14:paraId="34E197C5" w14:textId="7AFC649F" w:rsidR="00CB1B40" w:rsidRPr="00963A1D" w:rsidRDefault="00220259" w:rsidP="009E58CF">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Pope Francis </w:t>
      </w:r>
      <w:r w:rsidR="00FE0357" w:rsidRPr="00963A1D">
        <w:rPr>
          <w:rFonts w:asciiTheme="majorHAnsi" w:hAnsiTheme="majorHAnsi" w:cstheme="majorHAnsi"/>
          <w:color w:val="000000" w:themeColor="text1"/>
        </w:rPr>
        <w:t xml:space="preserve">imaginatively </w:t>
      </w:r>
      <w:r w:rsidRPr="00963A1D">
        <w:rPr>
          <w:rFonts w:asciiTheme="majorHAnsi" w:hAnsiTheme="majorHAnsi" w:cstheme="majorHAnsi"/>
          <w:color w:val="000000" w:themeColor="text1"/>
        </w:rPr>
        <w:t xml:space="preserve">brings the two aspects </w:t>
      </w:r>
      <w:r w:rsidR="00166E65" w:rsidRPr="00963A1D">
        <w:rPr>
          <w:rFonts w:asciiTheme="majorHAnsi" w:hAnsiTheme="majorHAnsi" w:cstheme="majorHAnsi"/>
          <w:color w:val="000000" w:themeColor="text1"/>
        </w:rPr>
        <w:t xml:space="preserve">of conversion and introspection </w:t>
      </w:r>
      <w:r w:rsidRPr="00963A1D">
        <w:rPr>
          <w:rFonts w:asciiTheme="majorHAnsi" w:hAnsiTheme="majorHAnsi" w:cstheme="majorHAnsi"/>
          <w:color w:val="000000" w:themeColor="text1"/>
        </w:rPr>
        <w:t xml:space="preserve">together in </w:t>
      </w:r>
      <w:r w:rsidRPr="00136196">
        <w:rPr>
          <w:rFonts w:asciiTheme="majorHAnsi" w:hAnsiTheme="majorHAnsi" w:cstheme="majorHAnsi"/>
          <w:i/>
          <w:color w:val="000000" w:themeColor="text1"/>
        </w:rPr>
        <w:t>Evangelii Gaudium</w:t>
      </w:r>
      <w:r w:rsidRPr="00963A1D">
        <w:rPr>
          <w:rFonts w:asciiTheme="majorHAnsi" w:hAnsiTheme="majorHAnsi" w:cstheme="majorHAnsi"/>
          <w:color w:val="000000" w:themeColor="text1"/>
        </w:rPr>
        <w:t xml:space="preserve"> (§27):</w:t>
      </w:r>
      <w:r w:rsidR="00CB1B40" w:rsidRPr="00963A1D">
        <w:rPr>
          <w:rFonts w:asciiTheme="majorHAnsi" w:hAnsiTheme="majorHAnsi" w:cstheme="majorHAnsi"/>
          <w:color w:val="000000" w:themeColor="text1"/>
        </w:rPr>
        <w:t xml:space="preserve"> “I dream of a ‘missionary option’, that is, a missionary impulse capable of transforming everything, so that the Church’s customs, ways of doing things, times and schedules, language and structures can be suitably channeled for the evangelization of today’s world rather than for her self-preservation. The renewal of structures demanded by </w:t>
      </w:r>
      <w:r w:rsidR="00CB1B40" w:rsidRPr="009E58CF">
        <w:rPr>
          <w:rFonts w:asciiTheme="majorHAnsi" w:hAnsiTheme="majorHAnsi" w:cstheme="majorHAnsi"/>
          <w:i/>
          <w:color w:val="000000" w:themeColor="text1"/>
        </w:rPr>
        <w:t>pastoral conversion</w:t>
      </w:r>
      <w:r w:rsidR="00CB1B40" w:rsidRPr="00963A1D">
        <w:rPr>
          <w:rFonts w:asciiTheme="majorHAnsi" w:hAnsiTheme="majorHAnsi" w:cstheme="majorHAnsi"/>
          <w:color w:val="000000" w:themeColor="text1"/>
        </w:rPr>
        <w:t xml:space="preserve"> can only be understood in this light: as part of an effort to make them more mission-oriented, to make ordinary pastoral activity on every level more inclusive and open, to inspire in pastoral workers a constant desire to go forth and in this way to elicit a positive response from all those whom Jesus summons to friendship with himself.”</w:t>
      </w:r>
      <w:r w:rsidR="00FE0357" w:rsidRPr="00963A1D">
        <w:rPr>
          <w:rFonts w:asciiTheme="majorHAnsi" w:hAnsiTheme="majorHAnsi" w:cstheme="majorHAnsi"/>
          <w:color w:val="000000" w:themeColor="text1"/>
        </w:rPr>
        <w:t xml:space="preserve"> Pope Francis clearly understands that conversion is not just a re-make that can be applied to inanimate objects. Conversion should consist of transformation, which is impossible without </w:t>
      </w:r>
      <w:r w:rsidR="00166E65" w:rsidRPr="00963A1D">
        <w:rPr>
          <w:rFonts w:asciiTheme="majorHAnsi" w:hAnsiTheme="majorHAnsi" w:cstheme="majorHAnsi"/>
          <w:color w:val="000000" w:themeColor="text1"/>
        </w:rPr>
        <w:t>introspection</w:t>
      </w:r>
      <w:r w:rsidR="00FE0357" w:rsidRPr="00963A1D">
        <w:rPr>
          <w:rFonts w:asciiTheme="majorHAnsi" w:hAnsiTheme="majorHAnsi" w:cstheme="majorHAnsi"/>
          <w:color w:val="000000" w:themeColor="text1"/>
        </w:rPr>
        <w:t>, a first interior turning that predisposes an entity to complete change. In the context of the church, ecclesial conversion and introversion</w:t>
      </w:r>
      <w:r w:rsidR="00247399" w:rsidRPr="00963A1D">
        <w:rPr>
          <w:rFonts w:asciiTheme="majorHAnsi" w:hAnsiTheme="majorHAnsi" w:cstheme="majorHAnsi"/>
          <w:color w:val="000000" w:themeColor="text1"/>
        </w:rPr>
        <w:t xml:space="preserve"> can only be confirmed at the parish level as far as mission is concerned.</w:t>
      </w:r>
    </w:p>
    <w:p w14:paraId="41B394CA" w14:textId="40EBE3F6" w:rsidR="00CB1B40" w:rsidRPr="00963A1D" w:rsidRDefault="00CB1B40" w:rsidP="00963A1D">
      <w:pPr>
        <w:rPr>
          <w:rFonts w:asciiTheme="majorHAnsi" w:hAnsiTheme="majorHAnsi" w:cstheme="majorHAnsi"/>
          <w:color w:val="000000" w:themeColor="text1"/>
        </w:rPr>
      </w:pPr>
    </w:p>
    <w:p w14:paraId="11F36164" w14:textId="77777777" w:rsidR="00220259" w:rsidRPr="00963A1D" w:rsidRDefault="00220259" w:rsidP="00963A1D">
      <w:pPr>
        <w:ind w:firstLine="0"/>
        <w:rPr>
          <w:rFonts w:asciiTheme="majorHAnsi" w:hAnsiTheme="majorHAnsi" w:cstheme="majorHAnsi"/>
          <w:color w:val="000000" w:themeColor="text1"/>
        </w:rPr>
      </w:pPr>
    </w:p>
    <w:p w14:paraId="1DB26DE1" w14:textId="740C2BA5" w:rsidR="00CB1B40" w:rsidRPr="00963A1D" w:rsidRDefault="00220259"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The Parish Nucleus</w:t>
      </w:r>
    </w:p>
    <w:p w14:paraId="2EC91A8C" w14:textId="77777777" w:rsidR="00220259" w:rsidRPr="00963A1D" w:rsidRDefault="00220259" w:rsidP="00963A1D">
      <w:pPr>
        <w:rPr>
          <w:rFonts w:asciiTheme="majorHAnsi" w:hAnsiTheme="majorHAnsi" w:cstheme="majorHAnsi"/>
          <w:color w:val="000000" w:themeColor="text1"/>
        </w:rPr>
      </w:pPr>
    </w:p>
    <w:p w14:paraId="4A84EA62" w14:textId="2312F653" w:rsidR="00482CC3" w:rsidRPr="00963A1D" w:rsidRDefault="00247399" w:rsidP="00136196">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lastRenderedPageBreak/>
        <w:t xml:space="preserve">It is interesting to examine the parish where the pastoral culture of synodality is to be tested and practiced. While instructions or regulations from the Holy See and the bishop do affect the parish, a particular church is as vibrant or as insipid as the parishes within it. </w:t>
      </w:r>
      <w:r w:rsidR="00CB1B40" w:rsidRPr="00963A1D">
        <w:rPr>
          <w:rFonts w:asciiTheme="majorHAnsi" w:hAnsiTheme="majorHAnsi" w:cstheme="majorHAnsi"/>
          <w:color w:val="000000" w:themeColor="text1"/>
        </w:rPr>
        <w:t>Pope Francis</w:t>
      </w:r>
      <w:r w:rsidRPr="00963A1D">
        <w:rPr>
          <w:rFonts w:asciiTheme="majorHAnsi" w:hAnsiTheme="majorHAnsi" w:cstheme="majorHAnsi"/>
          <w:color w:val="000000" w:themeColor="text1"/>
        </w:rPr>
        <w:t>’</w:t>
      </w:r>
      <w:r w:rsidR="00CB1B40" w:rsidRPr="00963A1D">
        <w:rPr>
          <w:rFonts w:asciiTheme="majorHAnsi" w:hAnsiTheme="majorHAnsi" w:cstheme="majorHAnsi"/>
          <w:color w:val="000000" w:themeColor="text1"/>
        </w:rPr>
        <w:t xml:space="preserve"> remark about the parish system is very instructive</w:t>
      </w:r>
      <w:r w:rsidR="00136196">
        <w:rPr>
          <w:rFonts w:asciiTheme="majorHAnsi" w:hAnsiTheme="majorHAnsi" w:cstheme="majorHAnsi"/>
          <w:color w:val="000000" w:themeColor="text1"/>
        </w:rPr>
        <w:t>. According to him,</w:t>
      </w:r>
      <w:r w:rsidR="00CB1B40" w:rsidRPr="00963A1D">
        <w:rPr>
          <w:rFonts w:asciiTheme="majorHAnsi" w:hAnsiTheme="majorHAnsi" w:cstheme="majorHAnsi"/>
          <w:color w:val="000000" w:themeColor="text1"/>
        </w:rPr>
        <w:t xml:space="preserve"> “The parish is not an outdated institution; precisely because it possesses </w:t>
      </w:r>
      <w:r w:rsidR="00CB1B40" w:rsidRPr="009E58CF">
        <w:rPr>
          <w:rFonts w:asciiTheme="majorHAnsi" w:hAnsiTheme="majorHAnsi" w:cstheme="majorHAnsi"/>
          <w:color w:val="000000" w:themeColor="text1"/>
        </w:rPr>
        <w:t>great flexibility</w:t>
      </w:r>
      <w:r w:rsidR="00CB1B40" w:rsidRPr="00963A1D">
        <w:rPr>
          <w:rFonts w:asciiTheme="majorHAnsi" w:hAnsiTheme="majorHAnsi" w:cstheme="majorHAnsi"/>
          <w:color w:val="000000" w:themeColor="text1"/>
        </w:rPr>
        <w:t xml:space="preserve">, it can assume quite different contours depending on the openness and missionary creativity of the pastor and the community. While certainly not the only institution which evangelizes, if the parish proves capable of self-renewal and constant adaptivity, it continues to be ‘the Church living in the midst of the homes of her sons and daughters’. </w:t>
      </w:r>
      <w:r w:rsidR="00CB1B40" w:rsidRPr="009E58CF">
        <w:rPr>
          <w:rFonts w:asciiTheme="majorHAnsi" w:hAnsiTheme="majorHAnsi" w:cstheme="majorHAnsi"/>
          <w:i/>
          <w:color w:val="000000" w:themeColor="text1"/>
        </w:rPr>
        <w:t>This presumes that it really is in contact with the homes and the lives of its people</w:t>
      </w:r>
      <w:r w:rsidR="00CB1B40" w:rsidRPr="00963A1D">
        <w:rPr>
          <w:rFonts w:asciiTheme="majorHAnsi" w:hAnsiTheme="majorHAnsi" w:cstheme="majorHAnsi"/>
          <w:color w:val="000000" w:themeColor="text1"/>
        </w:rPr>
        <w:t>, and does not become a useless structure out of touch with people or a self-absorbed group made up of a chosen few.</w:t>
      </w:r>
      <w:r w:rsidR="00136196">
        <w:rPr>
          <w:rFonts w:asciiTheme="majorHAnsi" w:hAnsiTheme="majorHAnsi" w:cstheme="majorHAnsi"/>
          <w:color w:val="000000" w:themeColor="text1"/>
        </w:rPr>
        <w:t>” He continues,</w:t>
      </w:r>
      <w:r w:rsidR="00CB1B40" w:rsidRPr="00963A1D">
        <w:rPr>
          <w:rFonts w:asciiTheme="majorHAnsi" w:hAnsiTheme="majorHAnsi" w:cstheme="majorHAnsi"/>
          <w:color w:val="000000" w:themeColor="text1"/>
        </w:rPr>
        <w:t xml:space="preserve"> </w:t>
      </w:r>
      <w:r w:rsidR="00136196">
        <w:rPr>
          <w:rFonts w:asciiTheme="majorHAnsi" w:hAnsiTheme="majorHAnsi" w:cstheme="majorHAnsi"/>
          <w:color w:val="000000" w:themeColor="text1"/>
        </w:rPr>
        <w:t>“</w:t>
      </w:r>
      <w:r w:rsidR="00CB1B40" w:rsidRPr="00963A1D">
        <w:rPr>
          <w:rFonts w:asciiTheme="majorHAnsi" w:hAnsiTheme="majorHAnsi" w:cstheme="majorHAnsi"/>
          <w:color w:val="000000" w:themeColor="text1"/>
        </w:rPr>
        <w:t>The parish is the presence of the Church in a given territory, an environment for hearing God’s word, for growth in the Christian life, for dialogue, proclamation, charitable outreach, worship and celebration. In all its activities the parish encourages and trains its members to be evangelizers. It is a community of communities, a sanctuary where the thirsty come to drink in the midst of their journey, and a centre of constant missionary outreach. We must admit, though, that the call to review and renew our parishes has not yet sufficed to bring them nearer to people, to make them environments of living communion and participation, and to make them completely mission-oriented.”</w:t>
      </w:r>
      <w:r w:rsidRPr="00963A1D">
        <w:rPr>
          <w:rFonts w:asciiTheme="majorHAnsi" w:hAnsiTheme="majorHAnsi" w:cstheme="majorHAnsi"/>
          <w:color w:val="000000" w:themeColor="text1"/>
        </w:rPr>
        <w:t xml:space="preserve"> (</w:t>
      </w:r>
      <w:r w:rsidRPr="009E58CF">
        <w:rPr>
          <w:rFonts w:asciiTheme="majorHAnsi" w:hAnsiTheme="majorHAnsi" w:cstheme="majorHAnsi"/>
          <w:i/>
          <w:color w:val="000000" w:themeColor="text1"/>
        </w:rPr>
        <w:t>E</w:t>
      </w:r>
      <w:r w:rsidR="009E58CF" w:rsidRPr="009E58CF">
        <w:rPr>
          <w:rFonts w:asciiTheme="majorHAnsi" w:hAnsiTheme="majorHAnsi" w:cstheme="majorHAnsi"/>
          <w:i/>
          <w:color w:val="000000" w:themeColor="text1"/>
        </w:rPr>
        <w:t xml:space="preserve">vangelii </w:t>
      </w:r>
      <w:r w:rsidRPr="009E58CF">
        <w:rPr>
          <w:rFonts w:asciiTheme="majorHAnsi" w:hAnsiTheme="majorHAnsi" w:cstheme="majorHAnsi"/>
          <w:i/>
          <w:color w:val="000000" w:themeColor="text1"/>
        </w:rPr>
        <w:t>G</w:t>
      </w:r>
      <w:r w:rsidR="009E58CF" w:rsidRPr="009E58CF">
        <w:rPr>
          <w:rFonts w:asciiTheme="majorHAnsi" w:hAnsiTheme="majorHAnsi" w:cstheme="majorHAnsi"/>
          <w:i/>
          <w:color w:val="000000" w:themeColor="text1"/>
        </w:rPr>
        <w:t>audium</w:t>
      </w:r>
      <w:r w:rsidRPr="00963A1D">
        <w:rPr>
          <w:rFonts w:asciiTheme="majorHAnsi" w:hAnsiTheme="majorHAnsi" w:cstheme="majorHAnsi"/>
          <w:color w:val="000000" w:themeColor="text1"/>
        </w:rPr>
        <w:t xml:space="preserve"> §28</w:t>
      </w:r>
      <w:r w:rsidR="009E58CF">
        <w:rPr>
          <w:rFonts w:asciiTheme="majorHAnsi" w:hAnsiTheme="majorHAnsi" w:cstheme="majorHAnsi"/>
          <w:color w:val="000000" w:themeColor="text1"/>
        </w:rPr>
        <w:t>. Italics mine</w:t>
      </w:r>
      <w:r w:rsidRPr="00963A1D">
        <w:rPr>
          <w:rFonts w:asciiTheme="majorHAnsi" w:hAnsiTheme="majorHAnsi" w:cstheme="majorHAnsi"/>
          <w:color w:val="000000" w:themeColor="text1"/>
        </w:rPr>
        <w:t>)</w:t>
      </w:r>
      <w:r w:rsidR="00136196">
        <w:rPr>
          <w:rFonts w:asciiTheme="majorHAnsi" w:hAnsiTheme="majorHAnsi" w:cstheme="majorHAnsi"/>
          <w:color w:val="000000" w:themeColor="text1"/>
        </w:rPr>
        <w:t xml:space="preserve"> </w:t>
      </w:r>
      <w:r w:rsidR="009E58CF">
        <w:rPr>
          <w:rFonts w:asciiTheme="majorHAnsi" w:hAnsiTheme="majorHAnsi" w:cstheme="majorHAnsi"/>
          <w:color w:val="000000" w:themeColor="text1"/>
        </w:rPr>
        <w:t xml:space="preserve">Against the presumption expressed in the quote, the question to be posed today is: </w:t>
      </w:r>
      <w:r w:rsidR="00482CC3" w:rsidRPr="00963A1D">
        <w:rPr>
          <w:rFonts w:asciiTheme="majorHAnsi" w:hAnsiTheme="majorHAnsi" w:cstheme="majorHAnsi"/>
          <w:color w:val="000000" w:themeColor="text1"/>
        </w:rPr>
        <w:t xml:space="preserve">Are parishes still in contact with </w:t>
      </w:r>
      <w:r w:rsidRPr="00963A1D">
        <w:rPr>
          <w:rFonts w:asciiTheme="majorHAnsi" w:hAnsiTheme="majorHAnsi" w:cstheme="majorHAnsi"/>
          <w:color w:val="000000" w:themeColor="text1"/>
        </w:rPr>
        <w:t xml:space="preserve">the </w:t>
      </w:r>
      <w:r w:rsidR="00482CC3" w:rsidRPr="00963A1D">
        <w:rPr>
          <w:rFonts w:asciiTheme="majorHAnsi" w:hAnsiTheme="majorHAnsi" w:cstheme="majorHAnsi"/>
          <w:color w:val="000000" w:themeColor="text1"/>
        </w:rPr>
        <w:t xml:space="preserve">homes of </w:t>
      </w:r>
      <w:r w:rsidR="009E58CF">
        <w:rPr>
          <w:rFonts w:asciiTheme="majorHAnsi" w:hAnsiTheme="majorHAnsi" w:cstheme="majorHAnsi"/>
          <w:color w:val="000000" w:themeColor="text1"/>
        </w:rPr>
        <w:t>the faithful</w:t>
      </w:r>
      <w:r w:rsidR="00482CC3" w:rsidRPr="00963A1D">
        <w:rPr>
          <w:rFonts w:asciiTheme="majorHAnsi" w:hAnsiTheme="majorHAnsi" w:cstheme="majorHAnsi"/>
          <w:color w:val="000000" w:themeColor="text1"/>
        </w:rPr>
        <w:t>?</w:t>
      </w:r>
      <w:r w:rsidR="009E58CF">
        <w:rPr>
          <w:rFonts w:asciiTheme="majorHAnsi" w:hAnsiTheme="majorHAnsi" w:cstheme="majorHAnsi"/>
          <w:color w:val="000000" w:themeColor="text1"/>
        </w:rPr>
        <w:t xml:space="preserve"> The presumption is in itself the condition for the functioning of the parish as a fundamental living unit of the church.</w:t>
      </w:r>
      <w:r w:rsidR="00482CC3" w:rsidRPr="00963A1D">
        <w:rPr>
          <w:rFonts w:asciiTheme="majorHAnsi" w:hAnsiTheme="majorHAnsi" w:cstheme="majorHAnsi"/>
          <w:color w:val="000000" w:themeColor="text1"/>
        </w:rPr>
        <w:t xml:space="preserve"> Gone are the days when pastors even visited families to share God's Word with them and offer spiritual guidance. Of course, the level of distrust in most </w:t>
      </w:r>
      <w:r w:rsidR="009E58CF">
        <w:rPr>
          <w:rFonts w:asciiTheme="majorHAnsi" w:hAnsiTheme="majorHAnsi" w:cstheme="majorHAnsi"/>
          <w:color w:val="000000" w:themeColor="text1"/>
        </w:rPr>
        <w:t xml:space="preserve">places, particularly in </w:t>
      </w:r>
      <w:r w:rsidR="00482CC3" w:rsidRPr="00963A1D">
        <w:rPr>
          <w:rFonts w:asciiTheme="majorHAnsi" w:hAnsiTheme="majorHAnsi" w:cstheme="majorHAnsi"/>
          <w:color w:val="000000" w:themeColor="text1"/>
        </w:rPr>
        <w:t xml:space="preserve">Western countries would make such practices very difficult. Yet it does not prevent contact between the parish and the homes. How has the laity organized themselves in small groups or units, on basis of common spirituality, be it the around the Rosary or the devotion to a particular saint, or corporal works of mercy (like </w:t>
      </w:r>
      <w:r w:rsidRPr="00963A1D">
        <w:rPr>
          <w:rFonts w:asciiTheme="majorHAnsi" w:hAnsiTheme="majorHAnsi" w:cstheme="majorHAnsi"/>
          <w:color w:val="000000" w:themeColor="text1"/>
        </w:rPr>
        <w:t xml:space="preserve">the </w:t>
      </w:r>
      <w:r w:rsidR="00482CC3" w:rsidRPr="00963A1D">
        <w:rPr>
          <w:rFonts w:asciiTheme="majorHAnsi" w:hAnsiTheme="majorHAnsi" w:cstheme="majorHAnsi"/>
          <w:color w:val="000000" w:themeColor="text1"/>
        </w:rPr>
        <w:t>visitation of the sick, or prison apostolate) to form clusters of ecclesial fellowship? Such fellowship can happen in homes or even in the parish environment at agreed moments and could become a very potent way of reviving the church from the grassroots. Where most churches no longer have young people or children in Masses, these units could become a way of re-introducing the young people to the timeless spiritual practices that have always been the foundation of the Church community, particularly at the parish level.</w:t>
      </w:r>
      <w:r w:rsidRPr="00963A1D">
        <w:rPr>
          <w:rFonts w:asciiTheme="majorHAnsi" w:hAnsiTheme="majorHAnsi" w:cstheme="majorHAnsi"/>
          <w:color w:val="000000" w:themeColor="text1"/>
        </w:rPr>
        <w:t xml:space="preserve"> This is a means of fostering co-participation in the mission of the church.</w:t>
      </w:r>
    </w:p>
    <w:p w14:paraId="751C3865" w14:textId="5D883F31" w:rsidR="002A44B7" w:rsidRPr="00963A1D" w:rsidRDefault="002A44B7" w:rsidP="00963A1D">
      <w:pPr>
        <w:rPr>
          <w:rFonts w:asciiTheme="majorHAnsi" w:hAnsiTheme="majorHAnsi" w:cstheme="majorHAnsi"/>
          <w:color w:val="000000" w:themeColor="text1"/>
        </w:rPr>
      </w:pPr>
    </w:p>
    <w:p w14:paraId="50BCE114" w14:textId="79139B59" w:rsidR="00536AE0" w:rsidRPr="00963A1D" w:rsidRDefault="00536AE0" w:rsidP="00963A1D">
      <w:pPr>
        <w:rPr>
          <w:rFonts w:asciiTheme="majorHAnsi" w:hAnsiTheme="majorHAnsi" w:cstheme="majorHAnsi"/>
          <w:color w:val="000000" w:themeColor="text1"/>
        </w:rPr>
      </w:pPr>
    </w:p>
    <w:p w14:paraId="003B926F" w14:textId="3C4FD191" w:rsidR="00536AE0" w:rsidRPr="00963A1D" w:rsidRDefault="00536AE0"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Synodality for Pastorals or for Something Else?</w:t>
      </w:r>
    </w:p>
    <w:p w14:paraId="6AC0D2A2" w14:textId="155CDA2A" w:rsidR="00536AE0" w:rsidRPr="00963A1D" w:rsidRDefault="00536AE0" w:rsidP="00963A1D">
      <w:pPr>
        <w:ind w:firstLine="0"/>
        <w:rPr>
          <w:rFonts w:asciiTheme="majorHAnsi" w:hAnsiTheme="majorHAnsi" w:cstheme="majorHAnsi"/>
          <w:color w:val="000000" w:themeColor="text1"/>
        </w:rPr>
      </w:pPr>
    </w:p>
    <w:p w14:paraId="262A46EA" w14:textId="46819344" w:rsidR="005154ED" w:rsidRPr="00963A1D" w:rsidRDefault="00D40E6B"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In </w:t>
      </w:r>
      <w:r w:rsidRPr="00963A1D">
        <w:rPr>
          <w:rFonts w:asciiTheme="majorHAnsi" w:hAnsiTheme="majorHAnsi" w:cstheme="majorHAnsi"/>
          <w:i/>
          <w:color w:val="000000" w:themeColor="text1"/>
        </w:rPr>
        <w:t>True and False Reform in the Church</w:t>
      </w:r>
      <w:r w:rsidRPr="00963A1D">
        <w:rPr>
          <w:rFonts w:asciiTheme="majorHAnsi" w:hAnsiTheme="majorHAnsi" w:cstheme="majorHAnsi"/>
          <w:color w:val="000000" w:themeColor="text1"/>
        </w:rPr>
        <w:t>, Congar suggests four conditions for a true reform that does not lead to schism and these are very important for the program of synodality in the church today. These include a) the priority of charity and pastoral interest, b) the need for communion with the entire church, c) patient acceptance of delays, and d) a reference to ‘the Principle of Tradition’ that avoids the imposition of any ‘novelty’.</w:t>
      </w:r>
      <w:r w:rsidR="005B31F6" w:rsidRPr="00963A1D">
        <w:rPr>
          <w:rFonts w:asciiTheme="majorHAnsi" w:hAnsiTheme="majorHAnsi" w:cstheme="majorHAnsi"/>
          <w:color w:val="000000" w:themeColor="text1"/>
        </w:rPr>
        <w:t xml:space="preserve"> In so many ways, these </w:t>
      </w:r>
      <w:r w:rsidR="005B31F6" w:rsidRPr="00963A1D">
        <w:rPr>
          <w:rFonts w:asciiTheme="majorHAnsi" w:hAnsiTheme="majorHAnsi" w:cstheme="majorHAnsi"/>
          <w:color w:val="000000" w:themeColor="text1"/>
        </w:rPr>
        <w:lastRenderedPageBreak/>
        <w:t>conditions are theologically prophetic, although Congar was critical of the ‘prophetic’ reformer. The first condition that lays emphasis on charity an</w:t>
      </w:r>
      <w:r w:rsidR="00D71112" w:rsidRPr="00963A1D">
        <w:rPr>
          <w:rFonts w:asciiTheme="majorHAnsi" w:hAnsiTheme="majorHAnsi" w:cstheme="majorHAnsi"/>
          <w:color w:val="000000" w:themeColor="text1"/>
        </w:rPr>
        <w:t>d</w:t>
      </w:r>
      <w:r w:rsidR="005B31F6" w:rsidRPr="00963A1D">
        <w:rPr>
          <w:rFonts w:asciiTheme="majorHAnsi" w:hAnsiTheme="majorHAnsi" w:cstheme="majorHAnsi"/>
          <w:color w:val="000000" w:themeColor="text1"/>
        </w:rPr>
        <w:t xml:space="preserve"> pastoral concerns </w:t>
      </w:r>
      <w:r w:rsidR="00CE2E09" w:rsidRPr="00963A1D">
        <w:rPr>
          <w:rFonts w:asciiTheme="majorHAnsi" w:hAnsiTheme="majorHAnsi" w:cstheme="majorHAnsi"/>
          <w:color w:val="000000" w:themeColor="text1"/>
        </w:rPr>
        <w:t>underscores that the prophetic tendency of reformers includes the dangers of “unitraditionalism” and intolerance, both of which insist on a particular point of view. Irrespective of whether such a point of view is systematically well-argued</w:t>
      </w:r>
      <w:r w:rsidR="00D71112" w:rsidRPr="00963A1D">
        <w:rPr>
          <w:rFonts w:asciiTheme="majorHAnsi" w:hAnsiTheme="majorHAnsi" w:cstheme="majorHAnsi"/>
          <w:color w:val="000000" w:themeColor="text1"/>
        </w:rPr>
        <w:t xml:space="preserve">, such simplification of issues can be both positive and negative because in its logicality it can as well be deeply dividing. The church, argues Congar, is not “a rational </w:t>
      </w:r>
      <w:r w:rsidR="00D71112" w:rsidRPr="00963A1D">
        <w:rPr>
          <w:rFonts w:asciiTheme="majorHAnsi" w:hAnsiTheme="majorHAnsi" w:cstheme="majorHAnsi"/>
          <w:i/>
          <w:color w:val="000000" w:themeColor="text1"/>
        </w:rPr>
        <w:t>object</w:t>
      </w:r>
      <w:r w:rsidR="00D71112" w:rsidRPr="00963A1D">
        <w:rPr>
          <w:rFonts w:asciiTheme="majorHAnsi" w:hAnsiTheme="majorHAnsi" w:cstheme="majorHAnsi"/>
          <w:color w:val="000000" w:themeColor="text1"/>
        </w:rPr>
        <w:t xml:space="preserve"> constructed by the intelligence” but rather it is a concrete reality that should be primarily accepted as a gift.</w:t>
      </w:r>
      <w:r w:rsidR="00D71112" w:rsidRPr="00963A1D">
        <w:rPr>
          <w:rStyle w:val="FootnoteReference"/>
          <w:rFonts w:asciiTheme="majorHAnsi" w:hAnsiTheme="majorHAnsi" w:cstheme="majorHAnsi"/>
          <w:color w:val="000000" w:themeColor="text1"/>
        </w:rPr>
        <w:footnoteReference w:id="17"/>
      </w:r>
      <w:r w:rsidR="00D71112" w:rsidRPr="00963A1D">
        <w:rPr>
          <w:rFonts w:asciiTheme="majorHAnsi" w:hAnsiTheme="majorHAnsi" w:cstheme="majorHAnsi"/>
          <w:color w:val="000000" w:themeColor="text1"/>
        </w:rPr>
        <w:t xml:space="preserve"> He further contends that “every reform that is the fruit of pure deduction, like any system elaborated purely by mental reflection, even if the deduction and the construction are drawn from dogmatic sources, will almost infallibly lead to something that will betray the concrete reality of church and that the church will reject.”</w:t>
      </w:r>
      <w:r w:rsidR="00D71112" w:rsidRPr="00963A1D">
        <w:rPr>
          <w:rStyle w:val="FootnoteReference"/>
          <w:rFonts w:asciiTheme="majorHAnsi" w:hAnsiTheme="majorHAnsi" w:cstheme="majorHAnsi"/>
          <w:color w:val="000000" w:themeColor="text1"/>
        </w:rPr>
        <w:footnoteReference w:id="18"/>
      </w:r>
      <w:r w:rsidR="00D71112" w:rsidRPr="00963A1D">
        <w:rPr>
          <w:rFonts w:asciiTheme="majorHAnsi" w:hAnsiTheme="majorHAnsi" w:cstheme="majorHAnsi"/>
          <w:color w:val="000000" w:themeColor="text1"/>
        </w:rPr>
        <w:t xml:space="preserve"> Fidelity to Christ is thus required in maintaining communion in the church for at the heart of the church</w:t>
      </w:r>
      <w:r w:rsidR="00CE2E09" w:rsidRPr="00963A1D">
        <w:rPr>
          <w:rFonts w:asciiTheme="majorHAnsi" w:hAnsiTheme="majorHAnsi" w:cstheme="majorHAnsi"/>
          <w:color w:val="000000" w:themeColor="text1"/>
        </w:rPr>
        <w:t xml:space="preserve"> lies faith (fides) as a precondition for its rationalization. Reasoning must proceed from </w:t>
      </w:r>
      <w:r w:rsidR="00CE2E09" w:rsidRPr="00963A1D">
        <w:rPr>
          <w:rFonts w:asciiTheme="majorHAnsi" w:hAnsiTheme="majorHAnsi" w:cstheme="majorHAnsi"/>
          <w:i/>
          <w:color w:val="000000" w:themeColor="text1"/>
        </w:rPr>
        <w:t>within</w:t>
      </w:r>
      <w:r w:rsidR="00CE2E09" w:rsidRPr="00963A1D">
        <w:rPr>
          <w:rFonts w:asciiTheme="majorHAnsi" w:hAnsiTheme="majorHAnsi" w:cstheme="majorHAnsi"/>
          <w:color w:val="000000" w:themeColor="text1"/>
        </w:rPr>
        <w:t xml:space="preserve"> and not from </w:t>
      </w:r>
      <w:r w:rsidR="00CE2E09" w:rsidRPr="00963A1D">
        <w:rPr>
          <w:rFonts w:asciiTheme="majorHAnsi" w:hAnsiTheme="majorHAnsi" w:cstheme="majorHAnsi"/>
          <w:i/>
          <w:color w:val="000000" w:themeColor="text1"/>
        </w:rPr>
        <w:t>outside</w:t>
      </w:r>
      <w:r w:rsidR="00CE2E09" w:rsidRPr="00963A1D">
        <w:rPr>
          <w:rFonts w:asciiTheme="majorHAnsi" w:hAnsiTheme="majorHAnsi" w:cstheme="majorHAnsi"/>
          <w:color w:val="000000" w:themeColor="text1"/>
        </w:rPr>
        <w:t xml:space="preserve">, and so any synodality that is operating from the </w:t>
      </w:r>
      <w:r w:rsidR="00CE2E09" w:rsidRPr="00963A1D">
        <w:rPr>
          <w:rFonts w:asciiTheme="majorHAnsi" w:hAnsiTheme="majorHAnsi" w:cstheme="majorHAnsi"/>
          <w:i/>
          <w:color w:val="000000" w:themeColor="text1"/>
        </w:rPr>
        <w:t>outside</w:t>
      </w:r>
      <w:r w:rsidR="00CE2E09" w:rsidRPr="00963A1D">
        <w:rPr>
          <w:rFonts w:asciiTheme="majorHAnsi" w:hAnsiTheme="majorHAnsi" w:cstheme="majorHAnsi"/>
          <w:color w:val="000000" w:themeColor="text1"/>
        </w:rPr>
        <w:t xml:space="preserve"> of the praxis of faith remains counterproductive.</w:t>
      </w:r>
    </w:p>
    <w:p w14:paraId="73FB639A" w14:textId="1C1AEDE7" w:rsidR="00CE2E09" w:rsidRPr="00963A1D" w:rsidRDefault="00CE2E09"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It follows that if synodality is not primarily motivated by pastoral concerns then it remains empty of its proper content, only guided by ideological interests. Even the perception of ideological motives is unhealthy in building a synodal church. Any attempt to ‘purify’ the church must not “make an ideology out of ‘purity’.”</w:t>
      </w:r>
      <w:r w:rsidRPr="00963A1D">
        <w:rPr>
          <w:rStyle w:val="FootnoteReference"/>
          <w:rFonts w:asciiTheme="majorHAnsi" w:hAnsiTheme="majorHAnsi" w:cstheme="majorHAnsi"/>
          <w:color w:val="000000" w:themeColor="text1"/>
        </w:rPr>
        <w:footnoteReference w:id="19"/>
      </w:r>
      <w:r w:rsidRPr="00963A1D">
        <w:rPr>
          <w:rFonts w:asciiTheme="majorHAnsi" w:hAnsiTheme="majorHAnsi" w:cstheme="majorHAnsi"/>
          <w:color w:val="000000" w:themeColor="text1"/>
        </w:rPr>
        <w:t xml:space="preserve"> Deliberations on synodality must be made with “concern for the concrete need of souls, in a pastoral perspective, aiming for holiness.”</w:t>
      </w:r>
      <w:r w:rsidRPr="00963A1D">
        <w:rPr>
          <w:rStyle w:val="FootnoteReference"/>
          <w:rFonts w:asciiTheme="majorHAnsi" w:hAnsiTheme="majorHAnsi" w:cstheme="majorHAnsi"/>
          <w:color w:val="000000" w:themeColor="text1"/>
        </w:rPr>
        <w:footnoteReference w:id="20"/>
      </w:r>
      <w:r w:rsidRPr="00963A1D">
        <w:rPr>
          <w:rFonts w:asciiTheme="majorHAnsi" w:hAnsiTheme="majorHAnsi" w:cstheme="majorHAnsi"/>
          <w:color w:val="000000" w:themeColor="text1"/>
        </w:rPr>
        <w:t xml:space="preserve"> These three objectives are important since there are times a certain claim to ‘care for souls’ may not be necessarily aimed at </w:t>
      </w:r>
      <w:r w:rsidR="00784588" w:rsidRPr="00963A1D">
        <w:rPr>
          <w:rFonts w:asciiTheme="majorHAnsi" w:hAnsiTheme="majorHAnsi" w:cstheme="majorHAnsi"/>
          <w:color w:val="000000" w:themeColor="text1"/>
        </w:rPr>
        <w:t xml:space="preserve">the </w:t>
      </w:r>
      <w:r w:rsidRPr="00963A1D">
        <w:rPr>
          <w:rFonts w:asciiTheme="majorHAnsi" w:hAnsiTheme="majorHAnsi" w:cstheme="majorHAnsi"/>
          <w:color w:val="000000" w:themeColor="text1"/>
        </w:rPr>
        <w:t>holiness of life</w:t>
      </w:r>
      <w:r w:rsidR="00784588" w:rsidRPr="00963A1D">
        <w:rPr>
          <w:rFonts w:asciiTheme="majorHAnsi" w:hAnsiTheme="majorHAnsi" w:cstheme="majorHAnsi"/>
          <w:color w:val="000000" w:themeColor="text1"/>
        </w:rPr>
        <w:t>.</w:t>
      </w:r>
    </w:p>
    <w:p w14:paraId="0F2119C7" w14:textId="06B61F0C" w:rsidR="00AC19F2" w:rsidRPr="00963A1D" w:rsidRDefault="00784588"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One of the key issues that emerged from the current synod on synodality is that the role of priests is not clear enough. This has pastoral consequences. Perhaps the attempt to combat clericalism may have been reduced to the neglect of priests in the process</w:t>
      </w:r>
      <w:r w:rsidR="001409B9" w:rsidRPr="00963A1D">
        <w:rPr>
          <w:rFonts w:asciiTheme="majorHAnsi" w:hAnsiTheme="majorHAnsi" w:cstheme="majorHAnsi"/>
          <w:color w:val="000000" w:themeColor="text1"/>
        </w:rPr>
        <w:t xml:space="preserve"> with many </w:t>
      </w:r>
      <w:proofErr w:type="gramStart"/>
      <w:r w:rsidR="001409B9" w:rsidRPr="00963A1D">
        <w:rPr>
          <w:rFonts w:asciiTheme="majorHAnsi" w:hAnsiTheme="majorHAnsi" w:cstheme="majorHAnsi"/>
          <w:color w:val="000000" w:themeColor="text1"/>
        </w:rPr>
        <w:t>feeling</w:t>
      </w:r>
      <w:proofErr w:type="gramEnd"/>
      <w:r w:rsidR="001409B9" w:rsidRPr="00963A1D">
        <w:rPr>
          <w:rFonts w:asciiTheme="majorHAnsi" w:hAnsiTheme="majorHAnsi" w:cstheme="majorHAnsi"/>
          <w:color w:val="000000" w:themeColor="text1"/>
        </w:rPr>
        <w:t xml:space="preserve"> unheard</w:t>
      </w:r>
      <w:r w:rsidR="004679E5" w:rsidRPr="00963A1D">
        <w:rPr>
          <w:rFonts w:asciiTheme="majorHAnsi" w:hAnsiTheme="majorHAnsi" w:cstheme="majorHAnsi"/>
          <w:color w:val="000000" w:themeColor="text1"/>
        </w:rPr>
        <w:t>.</w:t>
      </w:r>
      <w:r w:rsidR="004679E5" w:rsidRPr="00963A1D">
        <w:rPr>
          <w:rStyle w:val="FootnoteReference"/>
          <w:rFonts w:asciiTheme="majorHAnsi" w:hAnsiTheme="majorHAnsi" w:cstheme="majorHAnsi"/>
          <w:color w:val="000000" w:themeColor="text1"/>
        </w:rPr>
        <w:footnoteReference w:id="21"/>
      </w:r>
      <w:r w:rsidRPr="00963A1D">
        <w:rPr>
          <w:rFonts w:asciiTheme="majorHAnsi" w:hAnsiTheme="majorHAnsi" w:cstheme="majorHAnsi"/>
          <w:color w:val="000000" w:themeColor="text1"/>
        </w:rPr>
        <w:t xml:space="preserve"> (Frascati document §34). </w:t>
      </w:r>
      <w:r w:rsidR="001409B9" w:rsidRPr="00963A1D">
        <w:rPr>
          <w:rFonts w:asciiTheme="majorHAnsi" w:hAnsiTheme="majorHAnsi" w:cstheme="majorHAnsi"/>
          <w:color w:val="000000" w:themeColor="text1"/>
        </w:rPr>
        <w:t xml:space="preserve">There are suggestions that there is a disconnect between the priests and the people, which is blamed on a lack of seminary formation in “pastoral coordination” (Frascati §83). Some reports also reveal ironic observations. For instance, the Belgian synthesis points out “a certain rigidity </w:t>
      </w:r>
      <w:r w:rsidR="00D22BBD" w:rsidRPr="00963A1D">
        <w:rPr>
          <w:rFonts w:asciiTheme="majorHAnsi" w:hAnsiTheme="majorHAnsi" w:cstheme="majorHAnsi"/>
          <w:color w:val="000000" w:themeColor="text1"/>
        </w:rPr>
        <w:t>… among young priests” and at the same time recognizes that “the role of the priest is changed: he becomes more of a ‘liturgical officiant’ than a pastor.”</w:t>
      </w:r>
      <w:r w:rsidR="00D22BBD" w:rsidRPr="00963A1D">
        <w:rPr>
          <w:rStyle w:val="FootnoteReference"/>
          <w:rFonts w:asciiTheme="majorHAnsi" w:hAnsiTheme="majorHAnsi" w:cstheme="majorHAnsi"/>
          <w:color w:val="000000" w:themeColor="text1"/>
        </w:rPr>
        <w:footnoteReference w:id="22"/>
      </w:r>
      <w:r w:rsidR="00D22BBD" w:rsidRPr="00963A1D">
        <w:rPr>
          <w:rFonts w:asciiTheme="majorHAnsi" w:hAnsiTheme="majorHAnsi" w:cstheme="majorHAnsi"/>
          <w:color w:val="000000" w:themeColor="text1"/>
        </w:rPr>
        <w:t xml:space="preserve"> What exactly is responsible for this change? Could it be a consequence of the lack of trust in the face of historical abuses of clerical power and privilege, or a certain overthrow of the pastoral leadership of a priest by some interests that are not also open to dialogue, or a combination of both? Whatever is the case, the question that question of the effect of pastoral engagement in synodal discussions continues to confront us. </w:t>
      </w:r>
    </w:p>
    <w:p w14:paraId="50258824" w14:textId="7722DA64" w:rsidR="00784588" w:rsidRPr="00963A1D" w:rsidRDefault="00D22BBD" w:rsidP="00963A1D">
      <w:pPr>
        <w:rPr>
          <w:rFonts w:asciiTheme="majorHAnsi" w:hAnsiTheme="majorHAnsi" w:cstheme="majorHAnsi"/>
          <w:color w:val="000000" w:themeColor="text1"/>
        </w:rPr>
      </w:pPr>
      <w:r w:rsidRPr="00963A1D">
        <w:rPr>
          <w:rFonts w:asciiTheme="majorHAnsi" w:hAnsiTheme="majorHAnsi" w:cstheme="majorHAnsi"/>
          <w:color w:val="000000" w:themeColor="text1"/>
        </w:rPr>
        <w:lastRenderedPageBreak/>
        <w:t>Congar considers pastoral ministry as “a great teacher of what is true</w:t>
      </w:r>
      <w:r w:rsidR="000D73EA" w:rsidRPr="00963A1D">
        <w:rPr>
          <w:rFonts w:asciiTheme="majorHAnsi" w:hAnsiTheme="majorHAnsi" w:cstheme="majorHAnsi"/>
          <w:color w:val="000000" w:themeColor="text1"/>
        </w:rPr>
        <w:t>,</w:t>
      </w:r>
      <w:r w:rsidRPr="00963A1D">
        <w:rPr>
          <w:rFonts w:asciiTheme="majorHAnsi" w:hAnsiTheme="majorHAnsi" w:cstheme="majorHAnsi"/>
          <w:color w:val="000000" w:themeColor="text1"/>
        </w:rPr>
        <w:t>”</w:t>
      </w:r>
      <w:r w:rsidRPr="00963A1D">
        <w:rPr>
          <w:rStyle w:val="FootnoteReference"/>
          <w:rFonts w:asciiTheme="majorHAnsi" w:hAnsiTheme="majorHAnsi" w:cstheme="majorHAnsi"/>
          <w:color w:val="000000" w:themeColor="text1"/>
        </w:rPr>
        <w:footnoteReference w:id="23"/>
      </w:r>
      <w:r w:rsidRPr="00963A1D">
        <w:rPr>
          <w:rFonts w:asciiTheme="majorHAnsi" w:hAnsiTheme="majorHAnsi" w:cstheme="majorHAnsi"/>
          <w:color w:val="000000" w:themeColor="text1"/>
        </w:rPr>
        <w:t xml:space="preserve"> and he demonstrates how liberal ideas generated by intellectualism could be moderated in the waters of pastoral engagement. Yet there is a need for caution here. The phenomenon of ‘withdrawn</w:t>
      </w:r>
      <w:r w:rsidR="0058515D" w:rsidRPr="00963A1D">
        <w:rPr>
          <w:rFonts w:asciiTheme="majorHAnsi" w:hAnsiTheme="majorHAnsi" w:cstheme="majorHAnsi"/>
          <w:color w:val="000000" w:themeColor="text1"/>
        </w:rPr>
        <w:t xml:space="preserve"> priests’ is often motivated by several factors. First, the highly sensitive nature of abuse and the borderlines of what counts as abuse produce a set of hypersensitive priests, and even the disinterestedness in priestly vocation these days. Second, the likelihood that the bishop would, without due diligence, decide against an accused priest </w:t>
      </w:r>
      <w:r w:rsidR="000D73EA" w:rsidRPr="00963A1D">
        <w:rPr>
          <w:rFonts w:asciiTheme="majorHAnsi" w:hAnsiTheme="majorHAnsi" w:cstheme="majorHAnsi"/>
          <w:color w:val="000000" w:themeColor="text1"/>
        </w:rPr>
        <w:t>to project</w:t>
      </w:r>
      <w:r w:rsidR="0058515D" w:rsidRPr="00963A1D">
        <w:rPr>
          <w:rFonts w:asciiTheme="majorHAnsi" w:hAnsiTheme="majorHAnsi" w:cstheme="majorHAnsi"/>
          <w:color w:val="000000" w:themeColor="text1"/>
        </w:rPr>
        <w:t xml:space="preserve"> a public image of accountability may have led to the clericalism of some laypeople that further estrange the priest. Of course, the nominal connotation of clericalism makes the priests the primary suspect and victims</w:t>
      </w:r>
      <w:r w:rsidR="000D73EA" w:rsidRPr="00963A1D">
        <w:rPr>
          <w:rFonts w:asciiTheme="majorHAnsi" w:hAnsiTheme="majorHAnsi" w:cstheme="majorHAnsi"/>
          <w:color w:val="000000" w:themeColor="text1"/>
        </w:rPr>
        <w:t>, even when used with a balanced caveat</w:t>
      </w:r>
      <w:r w:rsidR="0058515D" w:rsidRPr="00963A1D">
        <w:rPr>
          <w:rFonts w:asciiTheme="majorHAnsi" w:hAnsiTheme="majorHAnsi" w:cstheme="majorHAnsi"/>
          <w:color w:val="000000" w:themeColor="text1"/>
        </w:rPr>
        <w:t xml:space="preserve">. </w:t>
      </w:r>
      <w:r w:rsidR="000D73EA" w:rsidRPr="00963A1D">
        <w:rPr>
          <w:rFonts w:asciiTheme="majorHAnsi" w:hAnsiTheme="majorHAnsi" w:cstheme="majorHAnsi"/>
          <w:color w:val="000000" w:themeColor="text1"/>
        </w:rPr>
        <w:t xml:space="preserve">Third, most priests in pastoral ministry become pastorally disengaged where their well-being is already guaranteed. Every pastoral assignment is then subject to schedules and official appointments at official times and places. The painful effect of such disposition was quite evident during the COVID lockdown when many priests turned down pastoral visits to the sick and were quick to apply stricter measures than the state. For these the complexity of the pastoral field and the fidelity to the church are not of any importance; the liturgy can be unreasonably distorted from subjective concerns; popularism is taken as a standard for spiritual communal discernment; while the idea of inclusion is devoid of the tension of conversion and emptied of the challenge to the holiness of life. The point is that the pastoral ministry reveals not just what is true </w:t>
      </w:r>
      <w:r w:rsidR="00AC19F2" w:rsidRPr="00963A1D">
        <w:rPr>
          <w:rFonts w:asciiTheme="majorHAnsi" w:hAnsiTheme="majorHAnsi" w:cstheme="majorHAnsi"/>
          <w:color w:val="000000" w:themeColor="text1"/>
        </w:rPr>
        <w:t>but also how synodality would require an honest shared responsibility.</w:t>
      </w:r>
    </w:p>
    <w:p w14:paraId="1DAF87CD" w14:textId="77777777" w:rsidR="005145EC" w:rsidRPr="00963A1D" w:rsidRDefault="00D9603E"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Pope Francis demonstrates the complexity of the pastoral responsibility that is required against the rather simplistic normative approach that demands new regulations and rules to fix what appears unclear. Within the context of the Synod on the Family, he comments in Amoris Laetitia: “it is understandable that neither the Synod nor this Exhortation could be expected to provide a new set of general rules, canonical in nature and applicable to all cases. What is possible is simply a renewed encouragement to undertake a responsible personal and pastoral discernment of particular cases, one which would recognize that, since ‘the degree of responsibility is not equal in all cases’, the consequences of effects of a rule need not necessarily always be the same.” (AL 300) Pastoral synodal response is rather “marked by tenderness, compassion and mercy,” together with “the sense of healing, sustaining, guiding and reconciling.”</w:t>
      </w:r>
      <w:r w:rsidRPr="00963A1D">
        <w:rPr>
          <w:rStyle w:val="FootnoteReference"/>
          <w:rFonts w:asciiTheme="majorHAnsi" w:hAnsiTheme="majorHAnsi" w:cstheme="majorHAnsi"/>
          <w:color w:val="000000" w:themeColor="text1"/>
        </w:rPr>
        <w:footnoteReference w:id="24"/>
      </w:r>
      <w:r w:rsidRPr="00963A1D">
        <w:rPr>
          <w:rFonts w:asciiTheme="majorHAnsi" w:hAnsiTheme="majorHAnsi" w:cstheme="majorHAnsi"/>
          <w:color w:val="000000" w:themeColor="text1"/>
        </w:rPr>
        <w:t xml:space="preserve"> </w:t>
      </w:r>
    </w:p>
    <w:p w14:paraId="5000828B" w14:textId="2F53CBE3" w:rsidR="00963A1D" w:rsidRPr="00963A1D" w:rsidRDefault="005145EC" w:rsidP="00963A1D">
      <w:pPr>
        <w:rPr>
          <w:rFonts w:asciiTheme="majorHAnsi" w:hAnsiTheme="majorHAnsi" w:cstheme="majorHAnsi"/>
          <w:color w:val="000000" w:themeColor="text1"/>
        </w:rPr>
      </w:pPr>
      <w:r w:rsidRPr="00963A1D">
        <w:rPr>
          <w:rFonts w:asciiTheme="majorHAnsi" w:hAnsiTheme="majorHAnsi" w:cstheme="majorHAnsi"/>
          <w:color w:val="000000" w:themeColor="text1"/>
        </w:rPr>
        <w:t xml:space="preserve">To that effect there must be a </w:t>
      </w:r>
      <w:r w:rsidRPr="00963A1D">
        <w:rPr>
          <w:rFonts w:asciiTheme="majorHAnsi" w:hAnsiTheme="majorHAnsi" w:cstheme="majorHAnsi"/>
          <w:i/>
          <w:color w:val="000000" w:themeColor="text1"/>
        </w:rPr>
        <w:t>s</w:t>
      </w:r>
      <w:r w:rsidR="003760A6" w:rsidRPr="00963A1D">
        <w:rPr>
          <w:rFonts w:asciiTheme="majorHAnsi" w:hAnsiTheme="majorHAnsi" w:cstheme="majorHAnsi"/>
          <w:i/>
          <w:color w:val="000000" w:themeColor="text1"/>
        </w:rPr>
        <w:t xml:space="preserve">entire cum </w:t>
      </w:r>
      <w:r w:rsidRPr="00963A1D">
        <w:rPr>
          <w:rFonts w:asciiTheme="majorHAnsi" w:hAnsiTheme="majorHAnsi" w:cstheme="majorHAnsi"/>
          <w:i/>
          <w:color w:val="000000" w:themeColor="text1"/>
        </w:rPr>
        <w:t>e</w:t>
      </w:r>
      <w:r w:rsidR="003760A6" w:rsidRPr="00963A1D">
        <w:rPr>
          <w:rFonts w:asciiTheme="majorHAnsi" w:hAnsiTheme="majorHAnsi" w:cstheme="majorHAnsi"/>
          <w:i/>
          <w:color w:val="000000" w:themeColor="text1"/>
        </w:rPr>
        <w:t>cclesia</w:t>
      </w:r>
      <w:r w:rsidR="003760A6" w:rsidRPr="00963A1D">
        <w:rPr>
          <w:rFonts w:asciiTheme="majorHAnsi" w:hAnsiTheme="majorHAnsi" w:cstheme="majorHAnsi"/>
          <w:color w:val="000000" w:themeColor="text1"/>
        </w:rPr>
        <w:t xml:space="preserve"> </w:t>
      </w:r>
      <w:r w:rsidRPr="00963A1D">
        <w:rPr>
          <w:rFonts w:asciiTheme="majorHAnsi" w:hAnsiTheme="majorHAnsi" w:cstheme="majorHAnsi"/>
          <w:color w:val="000000" w:themeColor="text1"/>
        </w:rPr>
        <w:t>a</w:t>
      </w:r>
      <w:r w:rsidR="003760A6" w:rsidRPr="00963A1D">
        <w:rPr>
          <w:rFonts w:asciiTheme="majorHAnsi" w:hAnsiTheme="majorHAnsi" w:cstheme="majorHAnsi"/>
          <w:color w:val="000000" w:themeColor="text1"/>
        </w:rPr>
        <w:t xml:space="preserve">cid </w:t>
      </w:r>
      <w:r w:rsidRPr="00963A1D">
        <w:rPr>
          <w:rFonts w:asciiTheme="majorHAnsi" w:hAnsiTheme="majorHAnsi" w:cstheme="majorHAnsi"/>
          <w:color w:val="000000" w:themeColor="text1"/>
        </w:rPr>
        <w:t>t</w:t>
      </w:r>
      <w:r w:rsidR="003760A6" w:rsidRPr="00963A1D">
        <w:rPr>
          <w:rFonts w:asciiTheme="majorHAnsi" w:hAnsiTheme="majorHAnsi" w:cstheme="majorHAnsi"/>
          <w:color w:val="000000" w:themeColor="text1"/>
        </w:rPr>
        <w:t>est</w:t>
      </w:r>
      <w:r w:rsidRPr="00963A1D">
        <w:rPr>
          <w:rFonts w:asciiTheme="majorHAnsi" w:hAnsiTheme="majorHAnsi" w:cstheme="majorHAnsi"/>
          <w:color w:val="000000" w:themeColor="text1"/>
        </w:rPr>
        <w:t xml:space="preserve"> to synodality</w:t>
      </w:r>
      <w:r w:rsidR="001A3EA1" w:rsidRPr="00963A1D">
        <w:rPr>
          <w:rFonts w:asciiTheme="majorHAnsi" w:hAnsiTheme="majorHAnsi" w:cstheme="majorHAnsi"/>
          <w:color w:val="000000" w:themeColor="text1"/>
        </w:rPr>
        <w:t xml:space="preserve">, where the question of communion becomes central to the synodal process. Already there are reasons to suspect </w:t>
      </w:r>
      <w:r w:rsidR="003760A6" w:rsidRPr="00963A1D">
        <w:rPr>
          <w:rFonts w:asciiTheme="majorHAnsi" w:hAnsiTheme="majorHAnsi" w:cstheme="majorHAnsi"/>
          <w:color w:val="000000" w:themeColor="text1"/>
        </w:rPr>
        <w:t xml:space="preserve">provincialist tendencies </w:t>
      </w:r>
      <w:r w:rsidR="001A3EA1" w:rsidRPr="00963A1D">
        <w:rPr>
          <w:rFonts w:asciiTheme="majorHAnsi" w:hAnsiTheme="majorHAnsi" w:cstheme="majorHAnsi"/>
          <w:color w:val="000000" w:themeColor="text1"/>
        </w:rPr>
        <w:t xml:space="preserve">in some national synodal conversations, </w:t>
      </w:r>
      <w:r w:rsidR="003760A6" w:rsidRPr="00963A1D">
        <w:rPr>
          <w:rFonts w:asciiTheme="majorHAnsi" w:hAnsiTheme="majorHAnsi" w:cstheme="majorHAnsi"/>
          <w:color w:val="000000" w:themeColor="text1"/>
        </w:rPr>
        <w:t xml:space="preserve">which appear critical of the requirements or conditions for the unity of the whole </w:t>
      </w:r>
      <w:r w:rsidR="003760A6" w:rsidRPr="00963A1D">
        <w:rPr>
          <w:rFonts w:asciiTheme="majorHAnsi" w:hAnsiTheme="majorHAnsi" w:cstheme="majorHAnsi"/>
          <w:i/>
          <w:color w:val="000000" w:themeColor="text1"/>
        </w:rPr>
        <w:t>Catholica</w:t>
      </w:r>
      <w:r w:rsidR="003760A6" w:rsidRPr="00963A1D">
        <w:rPr>
          <w:rFonts w:asciiTheme="majorHAnsi" w:hAnsiTheme="majorHAnsi" w:cstheme="majorHAnsi"/>
          <w:color w:val="000000" w:themeColor="text1"/>
        </w:rPr>
        <w:t xml:space="preserve">. Such </w:t>
      </w:r>
      <w:r w:rsidR="001A3EA1" w:rsidRPr="00963A1D">
        <w:rPr>
          <w:rFonts w:asciiTheme="majorHAnsi" w:hAnsiTheme="majorHAnsi" w:cstheme="majorHAnsi"/>
          <w:color w:val="000000" w:themeColor="text1"/>
        </w:rPr>
        <w:t xml:space="preserve">inclination to </w:t>
      </w:r>
      <w:r w:rsidR="003760A6" w:rsidRPr="00963A1D">
        <w:rPr>
          <w:rFonts w:asciiTheme="majorHAnsi" w:hAnsiTheme="majorHAnsi" w:cstheme="majorHAnsi"/>
          <w:color w:val="000000" w:themeColor="text1"/>
        </w:rPr>
        <w:t>disconnect</w:t>
      </w:r>
      <w:r w:rsidR="001A3EA1" w:rsidRPr="00963A1D">
        <w:rPr>
          <w:rFonts w:asciiTheme="majorHAnsi" w:hAnsiTheme="majorHAnsi" w:cstheme="majorHAnsi"/>
          <w:color w:val="000000" w:themeColor="text1"/>
        </w:rPr>
        <w:t xml:space="preserve"> from the whole</w:t>
      </w:r>
      <w:r w:rsidR="003760A6" w:rsidRPr="00963A1D">
        <w:rPr>
          <w:rFonts w:asciiTheme="majorHAnsi" w:hAnsiTheme="majorHAnsi" w:cstheme="majorHAnsi"/>
          <w:color w:val="000000" w:themeColor="text1"/>
        </w:rPr>
        <w:t xml:space="preserve"> is unhealthy for synodality</w:t>
      </w:r>
      <w:r w:rsidR="001A3EA1" w:rsidRPr="00963A1D">
        <w:rPr>
          <w:rFonts w:asciiTheme="majorHAnsi" w:hAnsiTheme="majorHAnsi" w:cstheme="majorHAnsi"/>
          <w:color w:val="000000" w:themeColor="text1"/>
        </w:rPr>
        <w:t>, even when the rationale is justified by contextual concerns</w:t>
      </w:r>
      <w:r w:rsidR="003760A6" w:rsidRPr="00963A1D">
        <w:rPr>
          <w:rFonts w:asciiTheme="majorHAnsi" w:hAnsiTheme="majorHAnsi" w:cstheme="majorHAnsi"/>
          <w:color w:val="000000" w:themeColor="text1"/>
        </w:rPr>
        <w:t>. To be clear, an Augustine that is severed from the life of the universal church would have become another version of Jansenism, while Pelagianism could still be defined as a legitimate ascetical experience that is disconnected from the universal Catholic faith. In affirming a</w:t>
      </w:r>
      <w:r w:rsidR="001A3EA1" w:rsidRPr="00963A1D">
        <w:rPr>
          <w:rFonts w:asciiTheme="majorHAnsi" w:hAnsiTheme="majorHAnsi" w:cstheme="majorHAnsi"/>
          <w:color w:val="000000" w:themeColor="text1"/>
        </w:rPr>
        <w:t>ny</w:t>
      </w:r>
      <w:r w:rsidR="003760A6" w:rsidRPr="00963A1D">
        <w:rPr>
          <w:rFonts w:asciiTheme="majorHAnsi" w:hAnsiTheme="majorHAnsi" w:cstheme="majorHAnsi"/>
          <w:color w:val="000000" w:themeColor="text1"/>
        </w:rPr>
        <w:t xml:space="preserve"> particular </w:t>
      </w:r>
      <w:proofErr w:type="gramStart"/>
      <w:r w:rsidR="003760A6" w:rsidRPr="00963A1D">
        <w:rPr>
          <w:rFonts w:asciiTheme="majorHAnsi" w:hAnsiTheme="majorHAnsi" w:cstheme="majorHAnsi"/>
          <w:color w:val="000000" w:themeColor="text1"/>
        </w:rPr>
        <w:t>truth</w:t>
      </w:r>
      <w:proofErr w:type="gramEnd"/>
      <w:r w:rsidR="003760A6" w:rsidRPr="00963A1D">
        <w:rPr>
          <w:rFonts w:asciiTheme="majorHAnsi" w:hAnsiTheme="majorHAnsi" w:cstheme="majorHAnsi"/>
          <w:color w:val="000000" w:themeColor="text1"/>
        </w:rPr>
        <w:t xml:space="preserve"> it is important to avoid denying or distorting other </w:t>
      </w:r>
      <w:r w:rsidR="003760A6" w:rsidRPr="00963A1D">
        <w:rPr>
          <w:rFonts w:asciiTheme="majorHAnsi" w:hAnsiTheme="majorHAnsi" w:cstheme="majorHAnsi"/>
          <w:color w:val="000000" w:themeColor="text1"/>
        </w:rPr>
        <w:lastRenderedPageBreak/>
        <w:t xml:space="preserve">Catholic truths. Communion ought not to be placed in a contrasting position to synodality as if the intention is no longer to walk together </w:t>
      </w:r>
      <w:r w:rsidR="003760A6" w:rsidRPr="00963A1D">
        <w:rPr>
          <w:rFonts w:asciiTheme="majorHAnsi" w:hAnsiTheme="majorHAnsi" w:cstheme="majorHAnsi"/>
          <w:i/>
          <w:color w:val="000000" w:themeColor="text1"/>
        </w:rPr>
        <w:t>ut pars</w:t>
      </w:r>
      <w:r w:rsidR="003760A6" w:rsidRPr="00963A1D">
        <w:rPr>
          <w:rFonts w:asciiTheme="majorHAnsi" w:hAnsiTheme="majorHAnsi" w:cstheme="majorHAnsi"/>
          <w:color w:val="000000" w:themeColor="text1"/>
        </w:rPr>
        <w:t xml:space="preserve"> (</w:t>
      </w:r>
      <w:r w:rsidR="003760A6" w:rsidRPr="00963A1D">
        <w:rPr>
          <w:rFonts w:asciiTheme="majorHAnsi" w:hAnsiTheme="majorHAnsi" w:cstheme="majorHAnsi"/>
          <w:i/>
          <w:color w:val="000000" w:themeColor="text1"/>
        </w:rPr>
        <w:t>as a part of the whole</w:t>
      </w:r>
      <w:r w:rsidR="003760A6" w:rsidRPr="00963A1D">
        <w:rPr>
          <w:rFonts w:asciiTheme="majorHAnsi" w:hAnsiTheme="majorHAnsi" w:cstheme="majorHAnsi"/>
          <w:color w:val="000000" w:themeColor="text1"/>
        </w:rPr>
        <w:t>)</w:t>
      </w:r>
      <w:r w:rsidR="00461052" w:rsidRPr="00963A1D">
        <w:rPr>
          <w:rFonts w:asciiTheme="majorHAnsi" w:hAnsiTheme="majorHAnsi" w:cstheme="majorHAnsi"/>
          <w:color w:val="000000" w:themeColor="text1"/>
        </w:rPr>
        <w:t xml:space="preserve"> as one People of God, the Body of Christ</w:t>
      </w:r>
      <w:r w:rsidR="003760A6" w:rsidRPr="00963A1D">
        <w:rPr>
          <w:rFonts w:asciiTheme="majorHAnsi" w:hAnsiTheme="majorHAnsi" w:cstheme="majorHAnsi"/>
          <w:color w:val="000000" w:themeColor="text1"/>
        </w:rPr>
        <w:t>.</w:t>
      </w:r>
      <w:r w:rsidR="002D403C" w:rsidRPr="00963A1D">
        <w:rPr>
          <w:rFonts w:asciiTheme="majorHAnsi" w:hAnsiTheme="majorHAnsi" w:cstheme="majorHAnsi"/>
          <w:color w:val="000000" w:themeColor="text1"/>
        </w:rPr>
        <w:t xml:space="preserve"> </w:t>
      </w:r>
      <w:r w:rsidR="00963A1D" w:rsidRPr="00963A1D">
        <w:rPr>
          <w:rFonts w:asciiTheme="majorHAnsi" w:hAnsiTheme="majorHAnsi" w:cstheme="majorHAnsi"/>
          <w:color w:val="000000" w:themeColor="text1"/>
        </w:rPr>
        <w:t xml:space="preserve">For Congar, the meaning of sentire cum ecclesia Catholica is beyond polemics: </w:t>
      </w:r>
    </w:p>
    <w:p w14:paraId="3CC18374" w14:textId="77777777" w:rsidR="00963A1D" w:rsidRPr="00963A1D" w:rsidRDefault="00963A1D" w:rsidP="00963A1D">
      <w:pPr>
        <w:rPr>
          <w:rFonts w:asciiTheme="majorHAnsi" w:hAnsiTheme="majorHAnsi" w:cstheme="majorHAnsi"/>
          <w:color w:val="000000" w:themeColor="text1"/>
        </w:rPr>
      </w:pPr>
    </w:p>
    <w:p w14:paraId="3CA68EAA" w14:textId="77777777" w:rsidR="00963A1D" w:rsidRPr="00963A1D" w:rsidRDefault="00963A1D" w:rsidP="00963A1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567" w:right="515" w:firstLine="0"/>
        <w:rPr>
          <w:rFonts w:asciiTheme="majorHAnsi" w:hAnsiTheme="majorHAnsi" w:cstheme="majorHAnsi"/>
          <w:color w:val="000000" w:themeColor="text1"/>
        </w:rPr>
      </w:pPr>
      <w:r w:rsidRPr="00963A1D">
        <w:rPr>
          <w:rFonts w:asciiTheme="majorHAnsi" w:hAnsiTheme="majorHAnsi" w:cstheme="majorHAnsi"/>
          <w:color w:val="000000" w:themeColor="text1"/>
        </w:rPr>
        <w:t>“This means the feeling of not being alone, of being part of one single body, leading one single life, pursuing one single enterprise with all other Catholics. It means not considering yourself to be the “whole,” not acting or thinking as if your own issues are self-sufficient. Rather, it means living without losing contact with others, without disengaging from the group of which you are a part, clinging to your insertion in the concrete church …; it means linking your own thinking and actions in some way to a virtual presence of all the other faithful of the whole church.”</w:t>
      </w:r>
      <w:r w:rsidRPr="00963A1D">
        <w:rPr>
          <w:rStyle w:val="FootnoteReference"/>
          <w:rFonts w:asciiTheme="majorHAnsi" w:hAnsiTheme="majorHAnsi" w:cstheme="majorHAnsi"/>
          <w:color w:val="000000" w:themeColor="text1"/>
        </w:rPr>
        <w:footnoteReference w:id="25"/>
      </w:r>
    </w:p>
    <w:p w14:paraId="26A384BB" w14:textId="77777777" w:rsidR="00963A1D" w:rsidRPr="00963A1D" w:rsidRDefault="00963A1D" w:rsidP="00963A1D">
      <w:pPr>
        <w:rPr>
          <w:rFonts w:asciiTheme="majorHAnsi" w:hAnsiTheme="majorHAnsi" w:cstheme="majorHAnsi"/>
          <w:color w:val="000000" w:themeColor="text1"/>
        </w:rPr>
      </w:pPr>
    </w:p>
    <w:p w14:paraId="0644EFB5" w14:textId="422683A8" w:rsidR="002D403C" w:rsidRPr="00963A1D" w:rsidRDefault="002D403C" w:rsidP="00963A1D">
      <w:pPr>
        <w:ind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In fact, </w:t>
      </w:r>
      <w:r w:rsidR="00963A1D" w:rsidRPr="00963A1D">
        <w:rPr>
          <w:rFonts w:asciiTheme="majorHAnsi" w:hAnsiTheme="majorHAnsi" w:cstheme="majorHAnsi"/>
          <w:color w:val="000000" w:themeColor="text1"/>
        </w:rPr>
        <w:t xml:space="preserve">upon paying attention to the spirituality that should guide synodal engagement, </w:t>
      </w:r>
      <w:r w:rsidRPr="00963A1D">
        <w:rPr>
          <w:rFonts w:asciiTheme="majorHAnsi" w:hAnsiTheme="majorHAnsi" w:cstheme="majorHAnsi"/>
          <w:color w:val="000000" w:themeColor="text1"/>
        </w:rPr>
        <w:t>the document for the Continental stage, the Frascati document warns against two fundamental “spiritual temptations”</w:t>
      </w:r>
      <w:r w:rsidR="001A3EA1" w:rsidRPr="00963A1D">
        <w:rPr>
          <w:rFonts w:asciiTheme="majorHAnsi" w:hAnsiTheme="majorHAnsi" w:cstheme="majorHAnsi"/>
          <w:color w:val="000000" w:themeColor="text1"/>
        </w:rPr>
        <w:t>,</w:t>
      </w:r>
      <w:r w:rsidRPr="00963A1D">
        <w:rPr>
          <w:rStyle w:val="FootnoteReference"/>
          <w:rFonts w:asciiTheme="majorHAnsi" w:hAnsiTheme="majorHAnsi" w:cstheme="majorHAnsi"/>
          <w:color w:val="000000" w:themeColor="text1"/>
        </w:rPr>
        <w:footnoteReference w:id="26"/>
      </w:r>
      <w:r w:rsidRPr="00963A1D">
        <w:rPr>
          <w:rFonts w:asciiTheme="majorHAnsi" w:hAnsiTheme="majorHAnsi" w:cstheme="majorHAnsi"/>
          <w:color w:val="000000" w:themeColor="text1"/>
        </w:rPr>
        <w:t xml:space="preserve"> </w:t>
      </w:r>
      <w:r w:rsidR="001A3EA1" w:rsidRPr="00963A1D">
        <w:rPr>
          <w:rFonts w:asciiTheme="majorHAnsi" w:hAnsiTheme="majorHAnsi" w:cstheme="majorHAnsi"/>
          <w:color w:val="000000" w:themeColor="text1"/>
        </w:rPr>
        <w:t>t</w:t>
      </w:r>
      <w:r w:rsidRPr="00963A1D">
        <w:rPr>
          <w:rFonts w:asciiTheme="majorHAnsi" w:hAnsiTheme="majorHAnsi" w:cstheme="majorHAnsi"/>
          <w:color w:val="000000" w:themeColor="text1"/>
        </w:rPr>
        <w:t xml:space="preserve">he first </w:t>
      </w:r>
      <w:r w:rsidR="001A3EA1" w:rsidRPr="00963A1D">
        <w:rPr>
          <w:rFonts w:asciiTheme="majorHAnsi" w:hAnsiTheme="majorHAnsi" w:cstheme="majorHAnsi"/>
          <w:color w:val="000000" w:themeColor="text1"/>
        </w:rPr>
        <w:t>of which is directly important in this argument, namely,</w:t>
      </w:r>
      <w:r w:rsidRPr="00963A1D">
        <w:rPr>
          <w:rFonts w:asciiTheme="majorHAnsi" w:hAnsiTheme="majorHAnsi" w:cstheme="majorHAnsi"/>
          <w:color w:val="000000" w:themeColor="text1"/>
        </w:rPr>
        <w:t xml:space="preserve"> the risk of losing the “sense of the whole” and the subsequent “fracture into sub-identities”. This temptation emerges when ideological camps are set up in defining the interests of sub-groups with disregard for the unity of all. What emerges is a synodality of </w:t>
      </w:r>
      <w:r w:rsidRPr="00963A1D">
        <w:rPr>
          <w:rFonts w:asciiTheme="majorHAnsi" w:hAnsiTheme="majorHAnsi" w:cstheme="majorHAnsi"/>
          <w:i/>
          <w:color w:val="000000" w:themeColor="text1"/>
        </w:rPr>
        <w:t>walking together with our likes rather than with all</w:t>
      </w:r>
      <w:r w:rsidRPr="00963A1D">
        <w:rPr>
          <w:rFonts w:asciiTheme="majorHAnsi" w:hAnsiTheme="majorHAnsi" w:cstheme="majorHAnsi"/>
          <w:color w:val="000000" w:themeColor="text1"/>
        </w:rPr>
        <w:t xml:space="preserve">. The second temptation </w:t>
      </w:r>
      <w:r w:rsidR="001A3EA1" w:rsidRPr="00963A1D">
        <w:rPr>
          <w:rFonts w:asciiTheme="majorHAnsi" w:hAnsiTheme="majorHAnsi" w:cstheme="majorHAnsi"/>
          <w:color w:val="000000" w:themeColor="text1"/>
        </w:rPr>
        <w:t>points to a disposition of indifference</w:t>
      </w:r>
      <w:r w:rsidRPr="00963A1D">
        <w:rPr>
          <w:rFonts w:asciiTheme="majorHAnsi" w:hAnsiTheme="majorHAnsi" w:cstheme="majorHAnsi"/>
          <w:color w:val="000000" w:themeColor="text1"/>
        </w:rPr>
        <w:t xml:space="preserve"> to spirituality in a way that </w:t>
      </w:r>
      <w:r w:rsidR="001A3EA1" w:rsidRPr="00963A1D">
        <w:rPr>
          <w:rFonts w:asciiTheme="majorHAnsi" w:hAnsiTheme="majorHAnsi" w:cstheme="majorHAnsi"/>
          <w:color w:val="000000" w:themeColor="text1"/>
        </w:rPr>
        <w:t xml:space="preserve">ignores </w:t>
      </w:r>
      <w:r w:rsidRPr="00963A1D">
        <w:rPr>
          <w:rFonts w:asciiTheme="majorHAnsi" w:hAnsiTheme="majorHAnsi" w:cstheme="majorHAnsi"/>
          <w:color w:val="000000" w:themeColor="text1"/>
        </w:rPr>
        <w:t>the tension of our lived experience as co-pilgrims. Tensions are never to be ignored in the church. They are to be lived through under the guidance of the Holy Spirit. This is what discernment (spiritual, communal) is all about.</w:t>
      </w:r>
      <w:r w:rsidR="001A3EA1" w:rsidRPr="00963A1D">
        <w:rPr>
          <w:rFonts w:asciiTheme="majorHAnsi" w:hAnsiTheme="majorHAnsi" w:cstheme="majorHAnsi"/>
          <w:color w:val="000000" w:themeColor="text1"/>
        </w:rPr>
        <w:t xml:space="preserve"> Put together, the sense of the Catholica reflects over the question of </w:t>
      </w:r>
      <w:r w:rsidR="00963A1D" w:rsidRPr="00963A1D">
        <w:rPr>
          <w:rFonts w:asciiTheme="majorHAnsi" w:hAnsiTheme="majorHAnsi" w:cstheme="majorHAnsi"/>
          <w:color w:val="000000" w:themeColor="text1"/>
        </w:rPr>
        <w:t xml:space="preserve">consequences of not feeling with the entire church. While this might appear as a burden, it is at once a tension that demands </w:t>
      </w:r>
      <w:r w:rsidR="00963A1D" w:rsidRPr="00963A1D">
        <w:rPr>
          <w:rFonts w:asciiTheme="majorHAnsi" w:hAnsiTheme="majorHAnsi" w:cstheme="majorHAnsi"/>
          <w:i/>
          <w:color w:val="000000" w:themeColor="text1"/>
        </w:rPr>
        <w:t xml:space="preserve">patient </w:t>
      </w:r>
      <w:r w:rsidR="00963A1D" w:rsidRPr="00963A1D">
        <w:rPr>
          <w:rFonts w:asciiTheme="majorHAnsi" w:hAnsiTheme="majorHAnsi" w:cstheme="majorHAnsi"/>
          <w:color w:val="000000" w:themeColor="text1"/>
        </w:rPr>
        <w:t>discernment. Over all, it leaves the question of whether contexts should be taken seriously, and to what extent, insufficiently answered.</w:t>
      </w:r>
    </w:p>
    <w:p w14:paraId="4805DCF3" w14:textId="2C8285F3" w:rsidR="003760A6" w:rsidRPr="00963A1D" w:rsidRDefault="003760A6" w:rsidP="00963A1D">
      <w:pPr>
        <w:pStyle w:val="ListParagraph"/>
        <w:ind w:left="927" w:firstLine="0"/>
        <w:rPr>
          <w:rFonts w:asciiTheme="majorHAnsi" w:hAnsiTheme="majorHAnsi" w:cstheme="majorHAnsi"/>
          <w:color w:val="000000" w:themeColor="text1"/>
        </w:rPr>
      </w:pPr>
    </w:p>
    <w:p w14:paraId="265990B3" w14:textId="5510F034" w:rsidR="00297351" w:rsidRPr="00963A1D" w:rsidRDefault="00297351" w:rsidP="00963A1D">
      <w:pPr>
        <w:pStyle w:val="ListParagraph"/>
        <w:ind w:left="927" w:firstLine="0"/>
        <w:rPr>
          <w:rFonts w:asciiTheme="majorHAnsi" w:hAnsiTheme="majorHAnsi" w:cstheme="majorHAnsi"/>
          <w:color w:val="000000" w:themeColor="text1"/>
        </w:rPr>
      </w:pPr>
    </w:p>
    <w:p w14:paraId="05DBD82E" w14:textId="3A47F73D" w:rsidR="00297351" w:rsidRPr="00963A1D" w:rsidRDefault="00297351" w:rsidP="00963A1D">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Conclusion</w:t>
      </w:r>
    </w:p>
    <w:p w14:paraId="75E4ABF5" w14:textId="60A5DD2C" w:rsidR="00A966F3" w:rsidRPr="00963A1D" w:rsidRDefault="00A966F3" w:rsidP="00963A1D">
      <w:pPr>
        <w:pStyle w:val="ListParagraph"/>
        <w:ind w:left="0" w:firstLine="0"/>
        <w:rPr>
          <w:rFonts w:asciiTheme="majorHAnsi" w:hAnsiTheme="majorHAnsi" w:cstheme="majorHAnsi"/>
          <w:color w:val="000000" w:themeColor="text1"/>
        </w:rPr>
      </w:pPr>
    </w:p>
    <w:p w14:paraId="2B9C0D4C" w14:textId="21245C83" w:rsidR="00567912" w:rsidRPr="00963A1D" w:rsidRDefault="00A966F3" w:rsidP="00963A1D">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 xml:space="preserve">The ecclesiological content of synodality </w:t>
      </w:r>
      <w:r w:rsidR="00435E51" w:rsidRPr="00963A1D">
        <w:rPr>
          <w:rFonts w:asciiTheme="majorHAnsi" w:hAnsiTheme="majorHAnsi" w:cstheme="majorHAnsi"/>
          <w:color w:val="000000" w:themeColor="text1"/>
        </w:rPr>
        <w:t>points</w:t>
      </w:r>
      <w:r w:rsidRPr="00963A1D">
        <w:rPr>
          <w:rFonts w:asciiTheme="majorHAnsi" w:hAnsiTheme="majorHAnsi" w:cstheme="majorHAnsi"/>
          <w:color w:val="000000" w:themeColor="text1"/>
        </w:rPr>
        <w:t xml:space="preserve"> out not only the intangibles, such as the idea of ‘synodal spirituality’ but</w:t>
      </w:r>
      <w:r w:rsidR="00435E51" w:rsidRPr="00963A1D">
        <w:rPr>
          <w:rFonts w:asciiTheme="majorHAnsi" w:hAnsiTheme="majorHAnsi" w:cstheme="majorHAnsi"/>
          <w:color w:val="000000" w:themeColor="text1"/>
        </w:rPr>
        <w:t xml:space="preserve"> is heavily practical in so many ways. The practices of listening, discernment, reform of decision-making process and structures, as well as inclusion of marginal voices and faithful are beyond the intangible. These are real issues. In addressing practical issues ecclesiology requires the pastoral theology given its disciplinary competence. Although the questions are not of the methodological type, ecclesiology rather raises question of whether the synodal way of being church is sufficiently focused on pastoral engagement as its place of test and transformation. The prejudice that underscores the interrogation is an understanding that the pastoral context is not a place of translating fixed rules and regulations. </w:t>
      </w:r>
      <w:r w:rsidR="00435E51" w:rsidRPr="00963A1D">
        <w:rPr>
          <w:rFonts w:asciiTheme="majorHAnsi" w:hAnsiTheme="majorHAnsi" w:cstheme="majorHAnsi"/>
          <w:color w:val="000000" w:themeColor="text1"/>
        </w:rPr>
        <w:lastRenderedPageBreak/>
        <w:t xml:space="preserve">As a place of reception, it functions dynamically depending on the charitable (diaconal) disposition of the priest and other collaborators, the spirit of friendship within the community, and </w:t>
      </w:r>
      <w:r w:rsidR="009E7BD6" w:rsidRPr="00963A1D">
        <w:rPr>
          <w:rFonts w:asciiTheme="majorHAnsi" w:hAnsiTheme="majorHAnsi" w:cstheme="majorHAnsi"/>
          <w:color w:val="000000" w:themeColor="text1"/>
        </w:rPr>
        <w:t xml:space="preserve">the </w:t>
      </w:r>
      <w:r w:rsidR="00435E51" w:rsidRPr="00963A1D">
        <w:rPr>
          <w:rFonts w:asciiTheme="majorHAnsi" w:hAnsiTheme="majorHAnsi" w:cstheme="majorHAnsi"/>
          <w:color w:val="000000" w:themeColor="text1"/>
        </w:rPr>
        <w:t>level of spirituality that is practiced in the parish with attention to the celebration of the sacraments and devotions.</w:t>
      </w:r>
      <w:r w:rsidR="00567912" w:rsidRPr="00963A1D">
        <w:rPr>
          <w:rFonts w:asciiTheme="majorHAnsi" w:hAnsiTheme="majorHAnsi" w:cstheme="majorHAnsi"/>
          <w:color w:val="000000" w:themeColor="text1"/>
        </w:rPr>
        <w:t xml:space="preserve"> </w:t>
      </w:r>
    </w:p>
    <w:p w14:paraId="5622D4E6" w14:textId="554D851B" w:rsidR="00A966F3" w:rsidRPr="00963A1D" w:rsidRDefault="00567912" w:rsidP="00963A1D">
      <w:pPr>
        <w:pStyle w:val="ListParagraph"/>
        <w:ind w:left="0" w:firstLine="0"/>
        <w:rPr>
          <w:rFonts w:asciiTheme="majorHAnsi" w:hAnsiTheme="majorHAnsi" w:cstheme="majorHAnsi"/>
          <w:color w:val="000000" w:themeColor="text1"/>
        </w:rPr>
      </w:pPr>
      <w:r w:rsidRPr="00963A1D">
        <w:rPr>
          <w:rFonts w:asciiTheme="majorHAnsi" w:hAnsiTheme="majorHAnsi" w:cstheme="majorHAnsi"/>
          <w:color w:val="000000" w:themeColor="text1"/>
        </w:rPr>
        <w:tab/>
        <w:t>Laws can fix behav</w:t>
      </w:r>
      <w:r w:rsidR="009E7BD6" w:rsidRPr="00963A1D">
        <w:rPr>
          <w:rFonts w:asciiTheme="majorHAnsi" w:hAnsiTheme="majorHAnsi" w:cstheme="majorHAnsi"/>
          <w:color w:val="000000" w:themeColor="text1"/>
        </w:rPr>
        <w:t>i</w:t>
      </w:r>
      <w:r w:rsidRPr="00963A1D">
        <w:rPr>
          <w:rFonts w:asciiTheme="majorHAnsi" w:hAnsiTheme="majorHAnsi" w:cstheme="majorHAnsi"/>
          <w:color w:val="000000" w:themeColor="text1"/>
        </w:rPr>
        <w:t xml:space="preserve">our, at least as a caution, but alone </w:t>
      </w:r>
      <w:r w:rsidR="009E7BD6" w:rsidRPr="00963A1D">
        <w:rPr>
          <w:rFonts w:asciiTheme="majorHAnsi" w:hAnsiTheme="majorHAnsi" w:cstheme="majorHAnsi"/>
          <w:color w:val="000000" w:themeColor="text1"/>
        </w:rPr>
        <w:t>they</w:t>
      </w:r>
      <w:r w:rsidRPr="00963A1D">
        <w:rPr>
          <w:rFonts w:asciiTheme="majorHAnsi" w:hAnsiTheme="majorHAnsi" w:cstheme="majorHAnsi"/>
          <w:color w:val="000000" w:themeColor="text1"/>
        </w:rPr>
        <w:t xml:space="preserve"> cannot generate parochial dynamism and vivacity. True conversion and introspection become necessary for every baptized in the church. Introspection and conversion are synodal spiritual practices that constantly keeps the pilgrim faithful on the track of ecclesial mission of salvation. Putting an emphasis on the pastoral, and specifically the parish is aimed at being embedded in the reality of church as a community. We cannot afford to speak of the church only in the abstract notwithstanding the clamour for different expressions that seem to diminish the relevance of the parish system today. Should new expressions of community be contemplated and even practiced, the parish should continue to be the base of mission.</w:t>
      </w:r>
    </w:p>
    <w:sectPr w:rsidR="00A966F3" w:rsidRPr="00963A1D" w:rsidSect="00963A1D">
      <w:footerReference w:type="even" r:id="rId13"/>
      <w:footerReference w:type="default" r:id="rId14"/>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C34D6F" w14:textId="77777777" w:rsidR="00035D7C" w:rsidRDefault="00035D7C" w:rsidP="009F1447">
      <w:pPr>
        <w:spacing w:line="240" w:lineRule="auto"/>
      </w:pPr>
      <w:r>
        <w:separator/>
      </w:r>
    </w:p>
  </w:endnote>
  <w:endnote w:type="continuationSeparator" w:id="0">
    <w:p w14:paraId="0CE37AA5" w14:textId="77777777" w:rsidR="00035D7C" w:rsidRDefault="00035D7C" w:rsidP="009F14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81345376"/>
      <w:docPartObj>
        <w:docPartGallery w:val="Page Numbers (Bottom of Page)"/>
        <w:docPartUnique/>
      </w:docPartObj>
    </w:sdtPr>
    <w:sdtEndPr>
      <w:rPr>
        <w:rStyle w:val="PageNumber"/>
      </w:rPr>
    </w:sdtEndPr>
    <w:sdtContent>
      <w:p w14:paraId="4F934709" w14:textId="383E3C57" w:rsidR="00963A1D" w:rsidRDefault="00963A1D" w:rsidP="007B118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44AAB1C" w14:textId="77777777" w:rsidR="00963A1D" w:rsidRDefault="00963A1D" w:rsidP="00963A1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14207998"/>
      <w:docPartObj>
        <w:docPartGallery w:val="Page Numbers (Bottom of Page)"/>
        <w:docPartUnique/>
      </w:docPartObj>
    </w:sdtPr>
    <w:sdtEndPr>
      <w:rPr>
        <w:rStyle w:val="PageNumber"/>
      </w:rPr>
    </w:sdtEndPr>
    <w:sdtContent>
      <w:p w14:paraId="2C52E9CD" w14:textId="3D28255D" w:rsidR="00963A1D" w:rsidRDefault="00963A1D" w:rsidP="007B118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1516F21C" w14:textId="77777777" w:rsidR="00963A1D" w:rsidRDefault="00963A1D" w:rsidP="00963A1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15F328" w14:textId="77777777" w:rsidR="00035D7C" w:rsidRDefault="00035D7C" w:rsidP="009F1447">
      <w:pPr>
        <w:spacing w:line="240" w:lineRule="auto"/>
      </w:pPr>
      <w:r>
        <w:separator/>
      </w:r>
    </w:p>
  </w:footnote>
  <w:footnote w:type="continuationSeparator" w:id="0">
    <w:p w14:paraId="57D4D1A5" w14:textId="77777777" w:rsidR="00035D7C" w:rsidRDefault="00035D7C" w:rsidP="009F1447">
      <w:pPr>
        <w:spacing w:line="240" w:lineRule="auto"/>
      </w:pPr>
      <w:r>
        <w:continuationSeparator/>
      </w:r>
    </w:p>
  </w:footnote>
  <w:footnote w:id="1">
    <w:p w14:paraId="767AD84B" w14:textId="4EEB697B" w:rsidR="00AA72E4" w:rsidRPr="00963A1D" w:rsidRDefault="00AA72E4"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Heinz Schuster, </w:t>
      </w:r>
      <w:r w:rsidRPr="00963A1D">
        <w:rPr>
          <w:rFonts w:asciiTheme="majorHAnsi" w:hAnsiTheme="majorHAnsi" w:cstheme="majorHAnsi"/>
          <w:i/>
        </w:rPr>
        <w:t>Sacramentum Mundi</w:t>
      </w:r>
      <w:r w:rsidRPr="00963A1D">
        <w:rPr>
          <w:rFonts w:asciiTheme="majorHAnsi" w:hAnsiTheme="majorHAnsi" w:cstheme="majorHAnsi"/>
        </w:rPr>
        <w:t xml:space="preserve">, s.v. “Pastoral Theology” cited in Regis A. Duffy, </w:t>
      </w:r>
      <w:r w:rsidRPr="00963A1D">
        <w:rPr>
          <w:rFonts w:asciiTheme="majorHAnsi" w:hAnsiTheme="majorHAnsi" w:cstheme="majorHAnsi"/>
          <w:i/>
        </w:rPr>
        <w:t>A Roman Catholic Theology of Pastoral Care</w:t>
      </w:r>
      <w:r w:rsidRPr="00963A1D">
        <w:rPr>
          <w:rFonts w:asciiTheme="majorHAnsi" w:hAnsiTheme="majorHAnsi" w:cstheme="majorHAnsi"/>
        </w:rPr>
        <w:t xml:space="preserve"> (Eugene: Wipf &amp; Stock, 2010), 9.</w:t>
      </w:r>
    </w:p>
  </w:footnote>
  <w:footnote w:id="2">
    <w:p w14:paraId="63158BBB" w14:textId="6B112A24" w:rsidR="00DB08E3" w:rsidRPr="00963A1D" w:rsidRDefault="00DB08E3"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David E. Klemm, </w:t>
      </w:r>
      <w:r w:rsidRPr="00963A1D">
        <w:rPr>
          <w:rFonts w:asciiTheme="majorHAnsi" w:hAnsiTheme="majorHAnsi" w:cstheme="majorHAnsi"/>
          <w:i/>
        </w:rPr>
        <w:t>Hermeneutical Inquiry, vol. I: The Interpretation of Texts</w:t>
      </w:r>
      <w:r w:rsidRPr="00963A1D">
        <w:rPr>
          <w:rFonts w:asciiTheme="majorHAnsi" w:hAnsiTheme="majorHAnsi" w:cstheme="majorHAnsi"/>
        </w:rPr>
        <w:t xml:space="preserve"> (Oxford: Oxford University Press, 1986), 2.</w:t>
      </w:r>
    </w:p>
  </w:footnote>
  <w:footnote w:id="3">
    <w:p w14:paraId="4CC231BB" w14:textId="1D0098C6" w:rsidR="00AB4C90" w:rsidRPr="00963A1D" w:rsidRDefault="00AB4C90" w:rsidP="00963A1D">
      <w:pPr>
        <w:pStyle w:val="FootnoteText"/>
        <w:tabs>
          <w:tab w:val="left" w:pos="0"/>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Helen Cameron, John Reader, Victoria Slater, Chris Rowland, Theological reflection for human flourishing: Pastoral Practice and Public Theology (London: SCM Press, 2012), 5.</w:t>
      </w:r>
    </w:p>
  </w:footnote>
  <w:footnote w:id="4">
    <w:p w14:paraId="11F410CB" w14:textId="18F52EAD" w:rsidR="00931AF8" w:rsidRPr="00963A1D" w:rsidRDefault="00931AF8" w:rsidP="00963A1D">
      <w:pPr>
        <w:pStyle w:val="FootnoteText"/>
        <w:tabs>
          <w:tab w:val="left" w:pos="0"/>
          <w:tab w:val="left" w:pos="142"/>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Synod of Bishops, </w:t>
      </w:r>
      <w:r w:rsidRPr="00963A1D">
        <w:rPr>
          <w:rFonts w:asciiTheme="majorHAnsi" w:hAnsiTheme="majorHAnsi" w:cstheme="majorHAnsi"/>
          <w:i/>
        </w:rPr>
        <w:t>Biblical Resources for Synodality</w:t>
      </w:r>
      <w:r w:rsidRPr="00963A1D">
        <w:rPr>
          <w:rFonts w:asciiTheme="majorHAnsi" w:hAnsiTheme="majorHAnsi" w:cstheme="majorHAnsi"/>
        </w:rPr>
        <w:t xml:space="preserve"> (Vatican: Commission on Spirituality, 2022), 11. </w:t>
      </w:r>
      <w:hyperlink r:id="rId1" w:history="1">
        <w:r w:rsidRPr="00963A1D">
          <w:rPr>
            <w:rStyle w:val="Hyperlink"/>
            <w:rFonts w:asciiTheme="majorHAnsi" w:hAnsiTheme="majorHAnsi" w:cstheme="majorHAnsi"/>
          </w:rPr>
          <w:t>https://www.synod.va/en/news/biblical-resources-for-synodality.html</w:t>
        </w:r>
      </w:hyperlink>
      <w:r w:rsidRPr="00963A1D">
        <w:rPr>
          <w:rFonts w:asciiTheme="majorHAnsi" w:hAnsiTheme="majorHAnsi" w:cstheme="majorHAnsi"/>
        </w:rPr>
        <w:t xml:space="preserve"> (accessed </w:t>
      </w:r>
      <w:r w:rsidR="00040B13" w:rsidRPr="00963A1D">
        <w:rPr>
          <w:rFonts w:asciiTheme="majorHAnsi" w:hAnsiTheme="majorHAnsi" w:cstheme="majorHAnsi"/>
        </w:rPr>
        <w:t>1</w:t>
      </w:r>
      <w:r w:rsidRPr="00963A1D">
        <w:rPr>
          <w:rFonts w:asciiTheme="majorHAnsi" w:hAnsiTheme="majorHAnsi" w:cstheme="majorHAnsi"/>
        </w:rPr>
        <w:t xml:space="preserve">7 </w:t>
      </w:r>
      <w:r w:rsidR="009E58CF">
        <w:rPr>
          <w:rFonts w:asciiTheme="majorHAnsi" w:hAnsiTheme="majorHAnsi" w:cstheme="majorHAnsi"/>
        </w:rPr>
        <w:t>March</w:t>
      </w:r>
      <w:r w:rsidRPr="00963A1D">
        <w:rPr>
          <w:rFonts w:asciiTheme="majorHAnsi" w:hAnsiTheme="majorHAnsi" w:cstheme="majorHAnsi"/>
        </w:rPr>
        <w:t xml:space="preserve"> 2023).</w:t>
      </w:r>
    </w:p>
  </w:footnote>
  <w:footnote w:id="5">
    <w:p w14:paraId="5DDAA588" w14:textId="662A9ED9" w:rsidR="00931AF8" w:rsidRPr="00963A1D" w:rsidRDefault="00931AF8" w:rsidP="00963A1D">
      <w:pPr>
        <w:pStyle w:val="FootnoteText"/>
        <w:tabs>
          <w:tab w:val="left" w:pos="0"/>
          <w:tab w:val="left" w:pos="426"/>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Synod of Bishops, </w:t>
      </w:r>
      <w:r w:rsidRPr="00963A1D">
        <w:rPr>
          <w:rFonts w:asciiTheme="majorHAnsi" w:hAnsiTheme="majorHAnsi" w:cstheme="majorHAnsi"/>
          <w:i/>
        </w:rPr>
        <w:t>Biblical Resources for Synodality</w:t>
      </w:r>
      <w:r w:rsidRPr="00963A1D">
        <w:rPr>
          <w:rFonts w:asciiTheme="majorHAnsi" w:hAnsiTheme="majorHAnsi" w:cstheme="majorHAnsi"/>
        </w:rPr>
        <w:t>, 7.</w:t>
      </w:r>
    </w:p>
  </w:footnote>
  <w:footnote w:id="6">
    <w:p w14:paraId="2577F4EA" w14:textId="51F7D961" w:rsidR="00E343D3" w:rsidRPr="00963A1D" w:rsidRDefault="00E343D3" w:rsidP="00963A1D">
      <w:pPr>
        <w:pStyle w:val="FootnoteText"/>
        <w:tabs>
          <w:tab w:val="left" w:pos="0"/>
          <w:tab w:val="left" w:pos="142"/>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Synod of Bishops, </w:t>
      </w:r>
      <w:r w:rsidRPr="00963A1D">
        <w:rPr>
          <w:rFonts w:asciiTheme="majorHAnsi" w:hAnsiTheme="majorHAnsi" w:cstheme="majorHAnsi"/>
          <w:i/>
        </w:rPr>
        <w:t>Biblical Resources for Synodality</w:t>
      </w:r>
      <w:r w:rsidRPr="00963A1D">
        <w:rPr>
          <w:rFonts w:asciiTheme="majorHAnsi" w:hAnsiTheme="majorHAnsi" w:cstheme="majorHAnsi"/>
        </w:rPr>
        <w:t>, 76-77.</w:t>
      </w:r>
    </w:p>
  </w:footnote>
  <w:footnote w:id="7">
    <w:p w14:paraId="65B346F6" w14:textId="77777777" w:rsidR="00703E50" w:rsidRPr="00963A1D" w:rsidRDefault="00703E50"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Joseph F. O’Callaghan, </w:t>
      </w:r>
      <w:r w:rsidRPr="00963A1D">
        <w:rPr>
          <w:rFonts w:asciiTheme="majorHAnsi" w:hAnsiTheme="majorHAnsi" w:cstheme="majorHAnsi"/>
          <w:i/>
        </w:rPr>
        <w:t>Electing Our Bishops: How the Catholic Church Should Choose Its Leaders</w:t>
      </w:r>
      <w:r w:rsidRPr="00963A1D">
        <w:rPr>
          <w:rFonts w:asciiTheme="majorHAnsi" w:hAnsiTheme="majorHAnsi" w:cstheme="majorHAnsi"/>
        </w:rPr>
        <w:t xml:space="preserve"> (Lanham: Sheed &amp; Ward, 2007), 27. Pope Celestine I re-echoes the Roman legal dictum: “</w:t>
      </w:r>
      <w:r w:rsidRPr="00963A1D">
        <w:rPr>
          <w:rFonts w:asciiTheme="majorHAnsi" w:hAnsiTheme="majorHAnsi" w:cstheme="majorHAnsi"/>
          <w:i/>
        </w:rPr>
        <w:t xml:space="preserve">quod omnes tangit ab omnibus debet approbari </w:t>
      </w:r>
      <w:r w:rsidRPr="00963A1D">
        <w:rPr>
          <w:rFonts w:asciiTheme="majorHAnsi" w:hAnsiTheme="majorHAnsi" w:cstheme="majorHAnsi"/>
        </w:rPr>
        <w:t>– what touches all should be approved by all.”</w:t>
      </w:r>
    </w:p>
  </w:footnote>
  <w:footnote w:id="8">
    <w:p w14:paraId="29B62834" w14:textId="77777777" w:rsidR="00703E50" w:rsidRPr="00963A1D" w:rsidRDefault="00703E50"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Celestine I, </w:t>
      </w:r>
      <w:r w:rsidRPr="00963A1D">
        <w:rPr>
          <w:rFonts w:asciiTheme="majorHAnsi" w:hAnsiTheme="majorHAnsi" w:cstheme="majorHAnsi"/>
          <w:i/>
        </w:rPr>
        <w:t>Epistolae</w:t>
      </w:r>
      <w:r w:rsidRPr="00963A1D">
        <w:rPr>
          <w:rFonts w:asciiTheme="majorHAnsi" w:hAnsiTheme="majorHAnsi" w:cstheme="majorHAnsi"/>
        </w:rPr>
        <w:t xml:space="preserve">, 4.5, PL 50:434-35 cited in O’Callaghan, </w:t>
      </w:r>
      <w:r w:rsidRPr="00963A1D">
        <w:rPr>
          <w:rFonts w:asciiTheme="majorHAnsi" w:hAnsiTheme="majorHAnsi" w:cstheme="majorHAnsi"/>
          <w:i/>
        </w:rPr>
        <w:t>Electing Our Bishops</w:t>
      </w:r>
      <w:r w:rsidRPr="00963A1D">
        <w:rPr>
          <w:rFonts w:asciiTheme="majorHAnsi" w:hAnsiTheme="majorHAnsi" w:cstheme="majorHAnsi"/>
        </w:rPr>
        <w:t>, 27.</w:t>
      </w:r>
    </w:p>
  </w:footnote>
  <w:footnote w:id="9">
    <w:p w14:paraId="0518BA3C" w14:textId="26339598" w:rsidR="00E93033" w:rsidRPr="00963A1D" w:rsidRDefault="00E93033"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Pope Francis, “Address of His Holiness Pope Francis” (Ceremony Commemorating the 50th Anniversary of the Institution of the Synod of Bishops, Vatican City, October 17, 2015), http://w2.vatican.va/content/francesco/en/speeches/2015/october/documents/papa- francesco_20151017_50-anniversario-sinodo.html (</w:t>
      </w:r>
      <w:r w:rsidR="00297351" w:rsidRPr="00963A1D">
        <w:rPr>
          <w:rFonts w:asciiTheme="majorHAnsi" w:hAnsiTheme="majorHAnsi" w:cstheme="majorHAnsi"/>
        </w:rPr>
        <w:t xml:space="preserve">accessed </w:t>
      </w:r>
      <w:r w:rsidR="009E58CF">
        <w:rPr>
          <w:rFonts w:asciiTheme="majorHAnsi" w:hAnsiTheme="majorHAnsi" w:cstheme="majorHAnsi"/>
        </w:rPr>
        <w:t>10</w:t>
      </w:r>
      <w:r w:rsidR="00297351" w:rsidRPr="00963A1D">
        <w:rPr>
          <w:rFonts w:asciiTheme="majorHAnsi" w:hAnsiTheme="majorHAnsi" w:cstheme="majorHAnsi"/>
        </w:rPr>
        <w:t xml:space="preserve"> March 2023</w:t>
      </w:r>
      <w:r w:rsidRPr="00963A1D">
        <w:rPr>
          <w:rFonts w:asciiTheme="majorHAnsi" w:hAnsiTheme="majorHAnsi" w:cstheme="majorHAnsi"/>
        </w:rPr>
        <w:t>).</w:t>
      </w:r>
    </w:p>
  </w:footnote>
  <w:footnote w:id="10">
    <w:p w14:paraId="2AD047AA" w14:textId="5DE41732" w:rsidR="00DA3AB9" w:rsidRPr="00963A1D" w:rsidRDefault="00DA3AB9" w:rsidP="00963A1D">
      <w:pPr>
        <w:pStyle w:val="FootnoteText"/>
        <w:tabs>
          <w:tab w:val="left" w:pos="0"/>
          <w:tab w:val="left" w:pos="567"/>
        </w:tabs>
        <w:ind w:firstLine="0"/>
        <w:rPr>
          <w:rFonts w:asciiTheme="majorHAnsi" w:hAnsiTheme="majorHAnsi" w:cstheme="majorHAnsi"/>
          <w:lang w:val="de-DE"/>
        </w:rPr>
      </w:pPr>
      <w:r w:rsidRPr="00963A1D">
        <w:rPr>
          <w:rStyle w:val="FootnoteReference"/>
          <w:rFonts w:asciiTheme="majorHAnsi" w:hAnsiTheme="majorHAnsi" w:cstheme="majorHAnsi"/>
        </w:rPr>
        <w:footnoteRef/>
      </w:r>
      <w:r w:rsidRPr="00963A1D">
        <w:rPr>
          <w:rFonts w:asciiTheme="majorHAnsi" w:hAnsiTheme="majorHAnsi" w:cstheme="majorHAnsi"/>
          <w:lang w:val="de-DE"/>
        </w:rPr>
        <w:t xml:space="preserve"> “Mit dem Hintergrund und der Zentralität der Evangelisierung und dem Sensus Ecclesiae als bestimmende Elemente unserer kirchlichen DNA beansprucht die Synodalität, bewusst eine Art und Weise des Kirche-Seins anzunehmen, bei der „das Ganze mehr ist als der Teil, und es ist auch mehr als ihre einfache Summe.” Translation mine. Pope Francis, “An das pilgernde Volk Gottes in Deutschland,” (29 June 2019), https://www.dbk.de/fileadmin/redaktion/diverse_downloads/presse_2019/2019-108a-Brief-Papst-Franziskus-an-das-pilgernde-Volk-Gottes-in-Deutschland-29.06.2019.pdf</w:t>
      </w:r>
    </w:p>
  </w:footnote>
  <w:footnote w:id="11">
    <w:p w14:paraId="75E104B9" w14:textId="46780789" w:rsidR="00DA3AB9" w:rsidRPr="00963A1D" w:rsidRDefault="00DA3AB9"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Massimo Faggioli, “Synodality as Kairos in the Present Ecclesial and Global Situation,” </w:t>
      </w:r>
      <w:r w:rsidRPr="00963A1D">
        <w:rPr>
          <w:rFonts w:asciiTheme="majorHAnsi" w:hAnsiTheme="majorHAnsi" w:cstheme="majorHAnsi"/>
          <w:i/>
        </w:rPr>
        <w:t>Perspectiva Teol</w:t>
      </w:r>
      <w:r w:rsidR="006E2AAE" w:rsidRPr="00963A1D">
        <w:rPr>
          <w:rFonts w:asciiTheme="majorHAnsi" w:hAnsiTheme="majorHAnsi" w:cstheme="majorHAnsi"/>
          <w:i/>
        </w:rPr>
        <w:t>ógica</w:t>
      </w:r>
      <w:r w:rsidRPr="00963A1D">
        <w:rPr>
          <w:rFonts w:asciiTheme="majorHAnsi" w:hAnsiTheme="majorHAnsi" w:cstheme="majorHAnsi"/>
        </w:rPr>
        <w:t xml:space="preserve"> 54, no.1 (2022): 89-104; 95</w:t>
      </w:r>
      <w:r w:rsidR="006E2AAE" w:rsidRPr="00963A1D">
        <w:rPr>
          <w:rFonts w:asciiTheme="majorHAnsi" w:hAnsiTheme="majorHAnsi" w:cstheme="majorHAnsi"/>
        </w:rPr>
        <w:t>.</w:t>
      </w:r>
    </w:p>
  </w:footnote>
  <w:footnote w:id="12">
    <w:p w14:paraId="12E54770" w14:textId="1EF3AA7F" w:rsidR="006E2AAE" w:rsidRPr="00963A1D" w:rsidRDefault="006E2AAE"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Faggioli, “Synodality as Kairos,” 95.</w:t>
      </w:r>
    </w:p>
  </w:footnote>
  <w:footnote w:id="13">
    <w:p w14:paraId="4C590194" w14:textId="4C253BFA" w:rsidR="002F012B" w:rsidRPr="00963A1D" w:rsidRDefault="002F012B" w:rsidP="00963A1D">
      <w:pPr>
        <w:pStyle w:val="FootnoteText"/>
        <w:tabs>
          <w:tab w:val="left" w:pos="0"/>
          <w:tab w:val="left" w:pos="142"/>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Yves Congar, </w:t>
      </w:r>
      <w:r w:rsidRPr="00963A1D">
        <w:rPr>
          <w:rFonts w:asciiTheme="majorHAnsi" w:hAnsiTheme="majorHAnsi" w:cstheme="majorHAnsi"/>
          <w:i/>
        </w:rPr>
        <w:t>True and False Reform in the Church</w:t>
      </w:r>
      <w:r w:rsidRPr="00963A1D">
        <w:rPr>
          <w:rFonts w:asciiTheme="majorHAnsi" w:hAnsiTheme="majorHAnsi" w:cstheme="majorHAnsi"/>
        </w:rPr>
        <w:t xml:space="preserve"> (Collegeville: Liturgical Press, 2011), 167.</w:t>
      </w:r>
    </w:p>
  </w:footnote>
  <w:footnote w:id="14">
    <w:p w14:paraId="5F4C3756" w14:textId="6F77AC15" w:rsidR="00247399" w:rsidRPr="00963A1D" w:rsidRDefault="00247399"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John Paul II, Post-Synodal Apostolic Exhortation </w:t>
      </w:r>
      <w:r w:rsidRPr="00963A1D">
        <w:rPr>
          <w:rFonts w:asciiTheme="majorHAnsi" w:hAnsiTheme="majorHAnsi" w:cstheme="majorHAnsi"/>
          <w:i/>
        </w:rPr>
        <w:t>Ecclesia In Oceania</w:t>
      </w:r>
      <w:r w:rsidRPr="00963A1D">
        <w:rPr>
          <w:rFonts w:asciiTheme="majorHAnsi" w:hAnsiTheme="majorHAnsi" w:cstheme="majorHAnsi"/>
        </w:rPr>
        <w:t xml:space="preserve"> (22 November 2001), §19, </w:t>
      </w:r>
      <w:hyperlink r:id="rId2" w:history="1">
        <w:r w:rsidRPr="00963A1D">
          <w:rPr>
            <w:rStyle w:val="Hyperlink"/>
            <w:rFonts w:asciiTheme="majorHAnsi" w:hAnsiTheme="majorHAnsi" w:cstheme="majorHAnsi"/>
          </w:rPr>
          <w:t>https://www.vatican.va/content/john-paul-ii/en/apost_exhortations/documents/hf_jp-ii_exh_20011122_ecclesia-in-oceania.html</w:t>
        </w:r>
      </w:hyperlink>
      <w:r w:rsidRPr="00963A1D">
        <w:rPr>
          <w:rFonts w:asciiTheme="majorHAnsi" w:hAnsiTheme="majorHAnsi" w:cstheme="majorHAnsi"/>
        </w:rPr>
        <w:t xml:space="preserve"> (accessed </w:t>
      </w:r>
      <w:r w:rsidR="009E58CF">
        <w:rPr>
          <w:rFonts w:asciiTheme="majorHAnsi" w:hAnsiTheme="majorHAnsi" w:cstheme="majorHAnsi"/>
        </w:rPr>
        <w:t xml:space="preserve">8 March </w:t>
      </w:r>
      <w:r w:rsidRPr="00963A1D">
        <w:rPr>
          <w:rFonts w:asciiTheme="majorHAnsi" w:hAnsiTheme="majorHAnsi" w:cstheme="majorHAnsi"/>
        </w:rPr>
        <w:t>2023).</w:t>
      </w:r>
    </w:p>
  </w:footnote>
  <w:footnote w:id="15">
    <w:p w14:paraId="09F3D229" w14:textId="77777777" w:rsidR="00247399" w:rsidRPr="00963A1D" w:rsidRDefault="00247399"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Letter of His Holiness Pope Francis to His Eminence Cardinal Marc Armand Ouellet, PSS, President of the Pontifical Commission for Latin America, 19th March 2016.</w:t>
      </w:r>
    </w:p>
  </w:footnote>
  <w:footnote w:id="16">
    <w:p w14:paraId="69D2224B" w14:textId="058513D0" w:rsidR="00247399" w:rsidRPr="00963A1D" w:rsidRDefault="00247399"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Address of John Paul II to the Bishops of the Ecclesiastical Region of Pennsylvania and New Jersey (U.S.A.) on their “Ad Limina” Visit Saturday, 11 September 2004. http://w2.vatican.va/content/john-paul-ii/en/speeches/2004/september/ documents/hf_jp-ii_spe_20040911_ad-limina-usa.html (accessed 01 </w:t>
      </w:r>
      <w:r w:rsidR="009E58CF">
        <w:rPr>
          <w:rFonts w:asciiTheme="majorHAnsi" w:hAnsiTheme="majorHAnsi" w:cstheme="majorHAnsi"/>
        </w:rPr>
        <w:t>March</w:t>
      </w:r>
      <w:r w:rsidRPr="00963A1D">
        <w:rPr>
          <w:rFonts w:asciiTheme="majorHAnsi" w:hAnsiTheme="majorHAnsi" w:cstheme="majorHAnsi"/>
        </w:rPr>
        <w:t xml:space="preserve"> 2023)</w:t>
      </w:r>
    </w:p>
  </w:footnote>
  <w:footnote w:id="17">
    <w:p w14:paraId="125E0905" w14:textId="66A05EEE" w:rsidR="00D71112" w:rsidRPr="00963A1D" w:rsidRDefault="00D71112"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Congar, </w:t>
      </w:r>
      <w:r w:rsidRPr="00963A1D">
        <w:rPr>
          <w:rFonts w:asciiTheme="majorHAnsi" w:hAnsiTheme="majorHAnsi" w:cstheme="majorHAnsi"/>
          <w:i/>
        </w:rPr>
        <w:t>True and False Reform in the Church</w:t>
      </w:r>
      <w:r w:rsidRPr="00963A1D">
        <w:rPr>
          <w:rFonts w:asciiTheme="majorHAnsi" w:hAnsiTheme="majorHAnsi" w:cstheme="majorHAnsi"/>
        </w:rPr>
        <w:t>, 166.</w:t>
      </w:r>
    </w:p>
  </w:footnote>
  <w:footnote w:id="18">
    <w:p w14:paraId="4CF6D6A3" w14:textId="2084DA6A" w:rsidR="00D71112" w:rsidRPr="00963A1D" w:rsidRDefault="00D71112"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Congar, </w:t>
      </w:r>
      <w:r w:rsidRPr="00963A1D">
        <w:rPr>
          <w:rFonts w:asciiTheme="majorHAnsi" w:hAnsiTheme="majorHAnsi" w:cstheme="majorHAnsi"/>
          <w:i/>
        </w:rPr>
        <w:t>True and False Reform in the Church</w:t>
      </w:r>
      <w:r w:rsidRPr="00963A1D">
        <w:rPr>
          <w:rFonts w:asciiTheme="majorHAnsi" w:hAnsiTheme="majorHAnsi" w:cstheme="majorHAnsi"/>
        </w:rPr>
        <w:t>, 166.</w:t>
      </w:r>
    </w:p>
  </w:footnote>
  <w:footnote w:id="19">
    <w:p w14:paraId="72507158" w14:textId="62141EFA" w:rsidR="00CE2E09" w:rsidRPr="00963A1D" w:rsidRDefault="00CE2E09"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Congar, </w:t>
      </w:r>
      <w:r w:rsidRPr="00963A1D">
        <w:rPr>
          <w:rFonts w:asciiTheme="majorHAnsi" w:hAnsiTheme="majorHAnsi" w:cstheme="majorHAnsi"/>
          <w:i/>
        </w:rPr>
        <w:t>True and False Reform in the Church</w:t>
      </w:r>
      <w:r w:rsidRPr="00963A1D">
        <w:rPr>
          <w:rFonts w:asciiTheme="majorHAnsi" w:hAnsiTheme="majorHAnsi" w:cstheme="majorHAnsi"/>
        </w:rPr>
        <w:t>, 167.</w:t>
      </w:r>
    </w:p>
  </w:footnote>
  <w:footnote w:id="20">
    <w:p w14:paraId="6F001DDE" w14:textId="7D5F594A" w:rsidR="00CE2E09" w:rsidRPr="00963A1D" w:rsidRDefault="00CE2E09"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Congar, </w:t>
      </w:r>
      <w:r w:rsidRPr="00963A1D">
        <w:rPr>
          <w:rFonts w:asciiTheme="majorHAnsi" w:hAnsiTheme="majorHAnsi" w:cstheme="majorHAnsi"/>
          <w:i/>
        </w:rPr>
        <w:t>True and False Reform in the Church</w:t>
      </w:r>
      <w:r w:rsidRPr="00963A1D">
        <w:rPr>
          <w:rFonts w:asciiTheme="majorHAnsi" w:hAnsiTheme="majorHAnsi" w:cstheme="majorHAnsi"/>
        </w:rPr>
        <w:t>, 167.</w:t>
      </w:r>
    </w:p>
  </w:footnote>
  <w:footnote w:id="21">
    <w:p w14:paraId="13D1C277" w14:textId="1D6208BC" w:rsidR="004679E5" w:rsidRPr="00963A1D" w:rsidRDefault="004679E5"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w:t>
      </w:r>
      <w:r w:rsidR="005701B7" w:rsidRPr="00963A1D">
        <w:rPr>
          <w:rFonts w:asciiTheme="majorHAnsi" w:hAnsiTheme="majorHAnsi" w:cstheme="majorHAnsi"/>
        </w:rPr>
        <w:t>Secretaria Generalis Synodi, “Enlarge the space of your tent” (Is 54:2): Working Document for the Continental Stage (Vatican, 24 October 2022), https://www.synod.va/content/dam/synod/common/phases/continental-stage/dcs/20221025-ENG-DTC-FINAL-OK.pdf</w:t>
      </w:r>
    </w:p>
  </w:footnote>
  <w:footnote w:id="22">
    <w:p w14:paraId="2A25100B" w14:textId="79CE233E" w:rsidR="00D22BBD" w:rsidRPr="00963A1D" w:rsidRDefault="00D22BBD" w:rsidP="00963A1D">
      <w:pPr>
        <w:pStyle w:val="FootnoteText"/>
        <w:tabs>
          <w:tab w:val="left" w:pos="0"/>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National Synthesis of the Synodal Process in the Church in Belgium (6 July 2022), §2.5,</w:t>
      </w:r>
      <w:r w:rsidR="005701B7" w:rsidRPr="00963A1D">
        <w:rPr>
          <w:rFonts w:asciiTheme="majorHAnsi" w:hAnsiTheme="majorHAnsi" w:cstheme="majorHAnsi"/>
        </w:rPr>
        <w:t xml:space="preserve"> https://www.kerknet.be/sites/default/files/20220706%20Synthesis%20Belgica%20N.pdf</w:t>
      </w:r>
    </w:p>
  </w:footnote>
  <w:footnote w:id="23">
    <w:p w14:paraId="58F5D823" w14:textId="70C3630F" w:rsidR="00D22BBD" w:rsidRPr="00963A1D" w:rsidRDefault="00D22BBD"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Congar, </w:t>
      </w:r>
      <w:r w:rsidRPr="00963A1D">
        <w:rPr>
          <w:rFonts w:asciiTheme="majorHAnsi" w:hAnsiTheme="majorHAnsi" w:cstheme="majorHAnsi"/>
          <w:i/>
        </w:rPr>
        <w:t>True and False Reform in the Church</w:t>
      </w:r>
      <w:r w:rsidRPr="00963A1D">
        <w:rPr>
          <w:rFonts w:asciiTheme="majorHAnsi" w:hAnsiTheme="majorHAnsi" w:cstheme="majorHAnsi"/>
        </w:rPr>
        <w:t>, 169.</w:t>
      </w:r>
    </w:p>
  </w:footnote>
  <w:footnote w:id="24">
    <w:p w14:paraId="380E4EB9" w14:textId="5D4BD54E" w:rsidR="00D9603E" w:rsidRPr="00963A1D" w:rsidRDefault="00D9603E" w:rsidP="00963A1D">
      <w:pPr>
        <w:pStyle w:val="FootnoteText"/>
        <w:tabs>
          <w:tab w:val="left" w:pos="0"/>
          <w:tab w:val="left" w:pos="567"/>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Éamonn Fitzgibbon, “Together on the Way - Pope Francis and Synodality,” </w:t>
      </w:r>
      <w:r w:rsidRPr="00963A1D">
        <w:rPr>
          <w:rFonts w:asciiTheme="majorHAnsi" w:hAnsiTheme="majorHAnsi" w:cstheme="majorHAnsi"/>
          <w:i/>
        </w:rPr>
        <w:t>The Furrow</w:t>
      </w:r>
      <w:r w:rsidRPr="00963A1D">
        <w:rPr>
          <w:rFonts w:asciiTheme="majorHAnsi" w:hAnsiTheme="majorHAnsi" w:cstheme="majorHAnsi"/>
        </w:rPr>
        <w:t xml:space="preserve"> 68, no.10 (2017): 532-539; </w:t>
      </w:r>
      <w:r w:rsidR="008E2B61" w:rsidRPr="00963A1D">
        <w:rPr>
          <w:rFonts w:asciiTheme="majorHAnsi" w:hAnsiTheme="majorHAnsi" w:cstheme="majorHAnsi"/>
        </w:rPr>
        <w:t>539.</w:t>
      </w:r>
    </w:p>
  </w:footnote>
  <w:footnote w:id="25">
    <w:p w14:paraId="5CBBE52D" w14:textId="77777777" w:rsidR="00963A1D" w:rsidRPr="00963A1D" w:rsidRDefault="00963A1D" w:rsidP="00963A1D">
      <w:pPr>
        <w:pStyle w:val="FootnoteText"/>
        <w:tabs>
          <w:tab w:val="left" w:pos="0"/>
        </w:tabs>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Congar, </w:t>
      </w:r>
      <w:r w:rsidRPr="00963A1D">
        <w:rPr>
          <w:rFonts w:asciiTheme="majorHAnsi" w:hAnsiTheme="majorHAnsi" w:cstheme="majorHAnsi"/>
          <w:i/>
        </w:rPr>
        <w:t>True and False Reform in the Church</w:t>
      </w:r>
      <w:r w:rsidRPr="00963A1D">
        <w:rPr>
          <w:rFonts w:asciiTheme="majorHAnsi" w:hAnsiTheme="majorHAnsi" w:cstheme="majorHAnsi"/>
        </w:rPr>
        <w:t>, 179.</w:t>
      </w:r>
    </w:p>
  </w:footnote>
  <w:footnote w:id="26">
    <w:p w14:paraId="1DACB85D" w14:textId="691162DD" w:rsidR="002D403C" w:rsidRPr="00963A1D" w:rsidRDefault="002D403C" w:rsidP="00963A1D">
      <w:pPr>
        <w:pStyle w:val="FootnoteText"/>
        <w:ind w:firstLine="0"/>
        <w:rPr>
          <w:rFonts w:asciiTheme="majorHAnsi" w:hAnsiTheme="majorHAnsi" w:cstheme="majorHAnsi"/>
        </w:rPr>
      </w:pPr>
      <w:r w:rsidRPr="00963A1D">
        <w:rPr>
          <w:rStyle w:val="FootnoteReference"/>
          <w:rFonts w:asciiTheme="majorHAnsi" w:hAnsiTheme="majorHAnsi" w:cstheme="majorHAnsi"/>
        </w:rPr>
        <w:footnoteRef/>
      </w:r>
      <w:r w:rsidRPr="00963A1D">
        <w:rPr>
          <w:rFonts w:asciiTheme="majorHAnsi" w:hAnsiTheme="majorHAnsi" w:cstheme="majorHAnsi"/>
        </w:rPr>
        <w:t xml:space="preserve"> Secretaria Generalis Synodi, </w:t>
      </w:r>
      <w:r w:rsidRPr="00963A1D">
        <w:rPr>
          <w:rFonts w:asciiTheme="majorHAnsi" w:hAnsiTheme="majorHAnsi" w:cstheme="majorHAnsi"/>
          <w:i/>
          <w:color w:val="000000" w:themeColor="text1"/>
        </w:rPr>
        <w:t xml:space="preserve">“Enlarge the space of your tent” (1s 54:2): Working Document for the Continental Stage </w:t>
      </w:r>
      <w:r w:rsidRPr="00963A1D">
        <w:rPr>
          <w:rFonts w:asciiTheme="majorHAnsi" w:hAnsiTheme="majorHAnsi" w:cstheme="majorHAnsi"/>
          <w:color w:val="000000" w:themeColor="text1"/>
        </w:rPr>
        <w:t>(Rome: Vatican Press, 2022), §30.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691FA6"/>
    <w:multiLevelType w:val="hybridMultilevel"/>
    <w:tmpl w:val="227C57C2"/>
    <w:lvl w:ilvl="0" w:tplc="F0AA555C">
      <w:start w:val="10"/>
      <w:numFmt w:val="bullet"/>
      <w:lvlText w:val="-"/>
      <w:lvlJc w:val="left"/>
      <w:pPr>
        <w:ind w:left="927" w:hanging="360"/>
      </w:pPr>
      <w:rPr>
        <w:rFonts w:ascii="Calibri" w:eastAsiaTheme="minorHAnsi" w:hAnsi="Calibri" w:cs="Calibri"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15:restartNumberingAfterBreak="0">
    <w:nsid w:val="471529B3"/>
    <w:multiLevelType w:val="hybridMultilevel"/>
    <w:tmpl w:val="A2FE6AF8"/>
    <w:lvl w:ilvl="0" w:tplc="78DADC6C">
      <w:start w:val="10"/>
      <w:numFmt w:val="bullet"/>
      <w:lvlText w:val=""/>
      <w:lvlJc w:val="left"/>
      <w:pPr>
        <w:ind w:left="927" w:hanging="360"/>
      </w:pPr>
      <w:rPr>
        <w:rFonts w:ascii="Symbol" w:eastAsiaTheme="minorHAnsi" w:hAnsi="Symbol" w:cstheme="minorBidi"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4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76CF"/>
    <w:rsid w:val="000275F1"/>
    <w:rsid w:val="00035D7C"/>
    <w:rsid w:val="00040B13"/>
    <w:rsid w:val="00055A00"/>
    <w:rsid w:val="000D73EA"/>
    <w:rsid w:val="00136196"/>
    <w:rsid w:val="001409B9"/>
    <w:rsid w:val="0015339E"/>
    <w:rsid w:val="00166E65"/>
    <w:rsid w:val="001A3EA1"/>
    <w:rsid w:val="001E2DC0"/>
    <w:rsid w:val="00220259"/>
    <w:rsid w:val="00247399"/>
    <w:rsid w:val="00297351"/>
    <w:rsid w:val="002A44B7"/>
    <w:rsid w:val="002B78F7"/>
    <w:rsid w:val="002D403C"/>
    <w:rsid w:val="002D50B2"/>
    <w:rsid w:val="002E6FF0"/>
    <w:rsid w:val="002F012B"/>
    <w:rsid w:val="003227B7"/>
    <w:rsid w:val="00337F90"/>
    <w:rsid w:val="00341F02"/>
    <w:rsid w:val="00355A5E"/>
    <w:rsid w:val="003748C6"/>
    <w:rsid w:val="00374956"/>
    <w:rsid w:val="003760A6"/>
    <w:rsid w:val="00391EDD"/>
    <w:rsid w:val="00402383"/>
    <w:rsid w:val="00435E51"/>
    <w:rsid w:val="0043657E"/>
    <w:rsid w:val="00461052"/>
    <w:rsid w:val="004679E5"/>
    <w:rsid w:val="00482CC3"/>
    <w:rsid w:val="004B642F"/>
    <w:rsid w:val="004C53FC"/>
    <w:rsid w:val="004D18B7"/>
    <w:rsid w:val="00507C2E"/>
    <w:rsid w:val="005145EC"/>
    <w:rsid w:val="005154ED"/>
    <w:rsid w:val="00536AE0"/>
    <w:rsid w:val="00567912"/>
    <w:rsid w:val="005701B7"/>
    <w:rsid w:val="005742D4"/>
    <w:rsid w:val="0058515D"/>
    <w:rsid w:val="005A16A8"/>
    <w:rsid w:val="005B31F6"/>
    <w:rsid w:val="005B3CA5"/>
    <w:rsid w:val="0062012E"/>
    <w:rsid w:val="00652DCB"/>
    <w:rsid w:val="00655116"/>
    <w:rsid w:val="00663A09"/>
    <w:rsid w:val="0067057E"/>
    <w:rsid w:val="006916FC"/>
    <w:rsid w:val="006E2AAE"/>
    <w:rsid w:val="00703E50"/>
    <w:rsid w:val="00764BE9"/>
    <w:rsid w:val="00784588"/>
    <w:rsid w:val="007A69FA"/>
    <w:rsid w:val="007B464D"/>
    <w:rsid w:val="007B7E57"/>
    <w:rsid w:val="007C730B"/>
    <w:rsid w:val="007E6E9A"/>
    <w:rsid w:val="00835534"/>
    <w:rsid w:val="00842576"/>
    <w:rsid w:val="008709F0"/>
    <w:rsid w:val="008C4F29"/>
    <w:rsid w:val="008E2B61"/>
    <w:rsid w:val="00931AF8"/>
    <w:rsid w:val="00963A1D"/>
    <w:rsid w:val="009847D6"/>
    <w:rsid w:val="009A5B2A"/>
    <w:rsid w:val="009E58CF"/>
    <w:rsid w:val="009E7BD6"/>
    <w:rsid w:val="009F1447"/>
    <w:rsid w:val="00A03DA2"/>
    <w:rsid w:val="00A204B8"/>
    <w:rsid w:val="00A4167C"/>
    <w:rsid w:val="00A74107"/>
    <w:rsid w:val="00A741AB"/>
    <w:rsid w:val="00A82EA6"/>
    <w:rsid w:val="00A966F3"/>
    <w:rsid w:val="00AA72E4"/>
    <w:rsid w:val="00AB3DC7"/>
    <w:rsid w:val="00AB4C90"/>
    <w:rsid w:val="00AB76CF"/>
    <w:rsid w:val="00AC19F2"/>
    <w:rsid w:val="00AD4D8C"/>
    <w:rsid w:val="00B0797A"/>
    <w:rsid w:val="00BA0BD9"/>
    <w:rsid w:val="00BF4BE6"/>
    <w:rsid w:val="00C35D2A"/>
    <w:rsid w:val="00C606F4"/>
    <w:rsid w:val="00CA1290"/>
    <w:rsid w:val="00CB1B40"/>
    <w:rsid w:val="00CC08DF"/>
    <w:rsid w:val="00CE2E09"/>
    <w:rsid w:val="00D22BBD"/>
    <w:rsid w:val="00D33733"/>
    <w:rsid w:val="00D40E6B"/>
    <w:rsid w:val="00D71112"/>
    <w:rsid w:val="00D82117"/>
    <w:rsid w:val="00D9603E"/>
    <w:rsid w:val="00DA3AB9"/>
    <w:rsid w:val="00DA4395"/>
    <w:rsid w:val="00DB08E3"/>
    <w:rsid w:val="00DC169F"/>
    <w:rsid w:val="00E24A1C"/>
    <w:rsid w:val="00E343D3"/>
    <w:rsid w:val="00E773EF"/>
    <w:rsid w:val="00E860C0"/>
    <w:rsid w:val="00E93033"/>
    <w:rsid w:val="00EC06C8"/>
    <w:rsid w:val="00F50BF1"/>
    <w:rsid w:val="00F531A2"/>
    <w:rsid w:val="00F9282D"/>
    <w:rsid w:val="00FD29F1"/>
    <w:rsid w:val="00FE0357"/>
    <w:rsid w:val="00FF50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5200E"/>
  <w15:chartTrackingRefBased/>
  <w15:docId w15:val="{00BFEED6-2725-E641-A650-1B730CA40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pPr>
        <w:spacing w:line="264" w:lineRule="auto"/>
        <w:ind w:firstLine="567"/>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1B40"/>
    <w:pPr>
      <w:ind w:left="720"/>
      <w:contextualSpacing/>
    </w:pPr>
  </w:style>
  <w:style w:type="character" w:styleId="Hyperlink">
    <w:name w:val="Hyperlink"/>
    <w:basedOn w:val="DefaultParagraphFont"/>
    <w:uiPriority w:val="99"/>
    <w:unhideWhenUsed/>
    <w:rsid w:val="002A44B7"/>
    <w:rPr>
      <w:color w:val="0563C1" w:themeColor="hyperlink"/>
      <w:u w:val="single"/>
    </w:rPr>
  </w:style>
  <w:style w:type="character" w:styleId="UnresolvedMention">
    <w:name w:val="Unresolved Mention"/>
    <w:basedOn w:val="DefaultParagraphFont"/>
    <w:uiPriority w:val="99"/>
    <w:semiHidden/>
    <w:unhideWhenUsed/>
    <w:rsid w:val="002A44B7"/>
    <w:rPr>
      <w:color w:val="605E5C"/>
      <w:shd w:val="clear" w:color="auto" w:fill="E1DFDD"/>
    </w:rPr>
  </w:style>
  <w:style w:type="paragraph" w:styleId="FootnoteText">
    <w:name w:val="footnote text"/>
    <w:basedOn w:val="Normal"/>
    <w:link w:val="FootnoteTextChar"/>
    <w:uiPriority w:val="99"/>
    <w:unhideWhenUsed/>
    <w:rsid w:val="009F1447"/>
    <w:pPr>
      <w:spacing w:line="240" w:lineRule="auto"/>
    </w:pPr>
    <w:rPr>
      <w:sz w:val="20"/>
      <w:szCs w:val="20"/>
    </w:rPr>
  </w:style>
  <w:style w:type="character" w:customStyle="1" w:styleId="FootnoteTextChar">
    <w:name w:val="Footnote Text Char"/>
    <w:basedOn w:val="DefaultParagraphFont"/>
    <w:link w:val="FootnoteText"/>
    <w:uiPriority w:val="99"/>
    <w:qFormat/>
    <w:rsid w:val="009F1447"/>
    <w:rPr>
      <w:sz w:val="20"/>
      <w:szCs w:val="20"/>
    </w:rPr>
  </w:style>
  <w:style w:type="character" w:styleId="FootnoteReference">
    <w:name w:val="footnote reference"/>
    <w:basedOn w:val="DefaultParagraphFont"/>
    <w:uiPriority w:val="99"/>
    <w:unhideWhenUsed/>
    <w:qFormat/>
    <w:rsid w:val="009F1447"/>
    <w:rPr>
      <w:vertAlign w:val="superscript"/>
    </w:rPr>
  </w:style>
  <w:style w:type="paragraph" w:styleId="NormalWeb">
    <w:name w:val="Normal (Web)"/>
    <w:basedOn w:val="Normal"/>
    <w:uiPriority w:val="99"/>
    <w:semiHidden/>
    <w:unhideWhenUsed/>
    <w:rsid w:val="003227B7"/>
    <w:pPr>
      <w:spacing w:before="100" w:beforeAutospacing="1" w:after="100" w:afterAutospacing="1" w:line="240" w:lineRule="auto"/>
      <w:ind w:firstLine="0"/>
      <w:jc w:val="left"/>
    </w:pPr>
    <w:rPr>
      <w:rFonts w:ascii="Times New Roman" w:eastAsia="Times New Roman" w:hAnsi="Times New Roman" w:cs="Times New Roman"/>
    </w:rPr>
  </w:style>
  <w:style w:type="paragraph" w:styleId="Footer">
    <w:name w:val="footer"/>
    <w:basedOn w:val="Normal"/>
    <w:link w:val="FooterChar"/>
    <w:uiPriority w:val="99"/>
    <w:unhideWhenUsed/>
    <w:rsid w:val="00963A1D"/>
    <w:pPr>
      <w:tabs>
        <w:tab w:val="center" w:pos="4680"/>
        <w:tab w:val="right" w:pos="9360"/>
      </w:tabs>
      <w:spacing w:line="240" w:lineRule="auto"/>
    </w:pPr>
  </w:style>
  <w:style w:type="character" w:customStyle="1" w:styleId="FooterChar">
    <w:name w:val="Footer Char"/>
    <w:basedOn w:val="DefaultParagraphFont"/>
    <w:link w:val="Footer"/>
    <w:uiPriority w:val="99"/>
    <w:rsid w:val="00963A1D"/>
  </w:style>
  <w:style w:type="character" w:styleId="PageNumber">
    <w:name w:val="page number"/>
    <w:basedOn w:val="DefaultParagraphFont"/>
    <w:uiPriority w:val="99"/>
    <w:semiHidden/>
    <w:unhideWhenUsed/>
    <w:rsid w:val="00963A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7862558">
      <w:bodyDiv w:val="1"/>
      <w:marLeft w:val="0"/>
      <w:marRight w:val="0"/>
      <w:marTop w:val="0"/>
      <w:marBottom w:val="0"/>
      <w:divBdr>
        <w:top w:val="none" w:sz="0" w:space="0" w:color="auto"/>
        <w:left w:val="none" w:sz="0" w:space="0" w:color="auto"/>
        <w:bottom w:val="none" w:sz="0" w:space="0" w:color="auto"/>
        <w:right w:val="none" w:sz="0" w:space="0" w:color="auto"/>
      </w:divBdr>
      <w:divsChild>
        <w:div w:id="1884558534">
          <w:marLeft w:val="0"/>
          <w:marRight w:val="0"/>
          <w:marTop w:val="0"/>
          <w:marBottom w:val="0"/>
          <w:divBdr>
            <w:top w:val="none" w:sz="0" w:space="0" w:color="auto"/>
            <w:left w:val="none" w:sz="0" w:space="0" w:color="auto"/>
            <w:bottom w:val="none" w:sz="0" w:space="0" w:color="auto"/>
            <w:right w:val="none" w:sz="0" w:space="0" w:color="auto"/>
          </w:divBdr>
          <w:divsChild>
            <w:div w:id="768357049">
              <w:marLeft w:val="0"/>
              <w:marRight w:val="0"/>
              <w:marTop w:val="0"/>
              <w:marBottom w:val="0"/>
              <w:divBdr>
                <w:top w:val="none" w:sz="0" w:space="0" w:color="auto"/>
                <w:left w:val="none" w:sz="0" w:space="0" w:color="auto"/>
                <w:bottom w:val="none" w:sz="0" w:space="0" w:color="auto"/>
                <w:right w:val="none" w:sz="0" w:space="0" w:color="auto"/>
              </w:divBdr>
              <w:divsChild>
                <w:div w:id="1417051119">
                  <w:marLeft w:val="0"/>
                  <w:marRight w:val="0"/>
                  <w:marTop w:val="0"/>
                  <w:marBottom w:val="0"/>
                  <w:divBdr>
                    <w:top w:val="none" w:sz="0" w:space="0" w:color="auto"/>
                    <w:left w:val="none" w:sz="0" w:space="0" w:color="auto"/>
                    <w:bottom w:val="none" w:sz="0" w:space="0" w:color="auto"/>
                    <w:right w:val="none" w:sz="0" w:space="0" w:color="auto"/>
                  </w:divBdr>
                  <w:divsChild>
                    <w:div w:id="111347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9140788">
      <w:bodyDiv w:val="1"/>
      <w:marLeft w:val="0"/>
      <w:marRight w:val="0"/>
      <w:marTop w:val="0"/>
      <w:marBottom w:val="0"/>
      <w:divBdr>
        <w:top w:val="none" w:sz="0" w:space="0" w:color="auto"/>
        <w:left w:val="none" w:sz="0" w:space="0" w:color="auto"/>
        <w:bottom w:val="none" w:sz="0" w:space="0" w:color="auto"/>
        <w:right w:val="none" w:sz="0" w:space="0" w:color="auto"/>
      </w:divBdr>
    </w:div>
    <w:div w:id="292446948">
      <w:bodyDiv w:val="1"/>
      <w:marLeft w:val="0"/>
      <w:marRight w:val="0"/>
      <w:marTop w:val="0"/>
      <w:marBottom w:val="0"/>
      <w:divBdr>
        <w:top w:val="none" w:sz="0" w:space="0" w:color="auto"/>
        <w:left w:val="none" w:sz="0" w:space="0" w:color="auto"/>
        <w:bottom w:val="none" w:sz="0" w:space="0" w:color="auto"/>
        <w:right w:val="none" w:sz="0" w:space="0" w:color="auto"/>
      </w:divBdr>
      <w:divsChild>
        <w:div w:id="712659387">
          <w:marLeft w:val="0"/>
          <w:marRight w:val="0"/>
          <w:marTop w:val="0"/>
          <w:marBottom w:val="0"/>
          <w:divBdr>
            <w:top w:val="none" w:sz="0" w:space="0" w:color="auto"/>
            <w:left w:val="none" w:sz="0" w:space="0" w:color="auto"/>
            <w:bottom w:val="none" w:sz="0" w:space="0" w:color="auto"/>
            <w:right w:val="none" w:sz="0" w:space="0" w:color="auto"/>
          </w:divBdr>
          <w:divsChild>
            <w:div w:id="1127314154">
              <w:marLeft w:val="0"/>
              <w:marRight w:val="0"/>
              <w:marTop w:val="0"/>
              <w:marBottom w:val="0"/>
              <w:divBdr>
                <w:top w:val="none" w:sz="0" w:space="0" w:color="auto"/>
                <w:left w:val="none" w:sz="0" w:space="0" w:color="auto"/>
                <w:bottom w:val="none" w:sz="0" w:space="0" w:color="auto"/>
                <w:right w:val="none" w:sz="0" w:space="0" w:color="auto"/>
              </w:divBdr>
              <w:divsChild>
                <w:div w:id="173206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339454">
      <w:bodyDiv w:val="1"/>
      <w:marLeft w:val="0"/>
      <w:marRight w:val="0"/>
      <w:marTop w:val="0"/>
      <w:marBottom w:val="0"/>
      <w:divBdr>
        <w:top w:val="none" w:sz="0" w:space="0" w:color="auto"/>
        <w:left w:val="none" w:sz="0" w:space="0" w:color="auto"/>
        <w:bottom w:val="none" w:sz="0" w:space="0" w:color="auto"/>
        <w:right w:val="none" w:sz="0" w:space="0" w:color="auto"/>
      </w:divBdr>
      <w:divsChild>
        <w:div w:id="1767188130">
          <w:marLeft w:val="0"/>
          <w:marRight w:val="0"/>
          <w:marTop w:val="0"/>
          <w:marBottom w:val="0"/>
          <w:divBdr>
            <w:top w:val="none" w:sz="0" w:space="0" w:color="auto"/>
            <w:left w:val="none" w:sz="0" w:space="0" w:color="auto"/>
            <w:bottom w:val="none" w:sz="0" w:space="0" w:color="auto"/>
            <w:right w:val="none" w:sz="0" w:space="0" w:color="auto"/>
          </w:divBdr>
          <w:divsChild>
            <w:div w:id="1325663595">
              <w:marLeft w:val="0"/>
              <w:marRight w:val="0"/>
              <w:marTop w:val="0"/>
              <w:marBottom w:val="0"/>
              <w:divBdr>
                <w:top w:val="none" w:sz="0" w:space="0" w:color="auto"/>
                <w:left w:val="none" w:sz="0" w:space="0" w:color="auto"/>
                <w:bottom w:val="none" w:sz="0" w:space="0" w:color="auto"/>
                <w:right w:val="none" w:sz="0" w:space="0" w:color="auto"/>
              </w:divBdr>
              <w:divsChild>
                <w:div w:id="1822648916">
                  <w:marLeft w:val="0"/>
                  <w:marRight w:val="0"/>
                  <w:marTop w:val="0"/>
                  <w:marBottom w:val="0"/>
                  <w:divBdr>
                    <w:top w:val="none" w:sz="0" w:space="0" w:color="auto"/>
                    <w:left w:val="none" w:sz="0" w:space="0" w:color="auto"/>
                    <w:bottom w:val="none" w:sz="0" w:space="0" w:color="auto"/>
                    <w:right w:val="none" w:sz="0" w:space="0" w:color="auto"/>
                  </w:divBdr>
                  <w:divsChild>
                    <w:div w:id="39243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5283316">
      <w:bodyDiv w:val="1"/>
      <w:marLeft w:val="0"/>
      <w:marRight w:val="0"/>
      <w:marTop w:val="0"/>
      <w:marBottom w:val="0"/>
      <w:divBdr>
        <w:top w:val="none" w:sz="0" w:space="0" w:color="auto"/>
        <w:left w:val="none" w:sz="0" w:space="0" w:color="auto"/>
        <w:bottom w:val="none" w:sz="0" w:space="0" w:color="auto"/>
        <w:right w:val="none" w:sz="0" w:space="0" w:color="auto"/>
      </w:divBdr>
      <w:divsChild>
        <w:div w:id="553663283">
          <w:marLeft w:val="0"/>
          <w:marRight w:val="0"/>
          <w:marTop w:val="0"/>
          <w:marBottom w:val="0"/>
          <w:divBdr>
            <w:top w:val="none" w:sz="0" w:space="0" w:color="auto"/>
            <w:left w:val="none" w:sz="0" w:space="0" w:color="auto"/>
            <w:bottom w:val="none" w:sz="0" w:space="0" w:color="auto"/>
            <w:right w:val="none" w:sz="0" w:space="0" w:color="auto"/>
          </w:divBdr>
          <w:divsChild>
            <w:div w:id="786966011">
              <w:marLeft w:val="0"/>
              <w:marRight w:val="0"/>
              <w:marTop w:val="0"/>
              <w:marBottom w:val="0"/>
              <w:divBdr>
                <w:top w:val="none" w:sz="0" w:space="0" w:color="auto"/>
                <w:left w:val="none" w:sz="0" w:space="0" w:color="auto"/>
                <w:bottom w:val="none" w:sz="0" w:space="0" w:color="auto"/>
                <w:right w:val="none" w:sz="0" w:space="0" w:color="auto"/>
              </w:divBdr>
              <w:divsChild>
                <w:div w:id="791560111">
                  <w:marLeft w:val="0"/>
                  <w:marRight w:val="0"/>
                  <w:marTop w:val="0"/>
                  <w:marBottom w:val="0"/>
                  <w:divBdr>
                    <w:top w:val="none" w:sz="0" w:space="0" w:color="auto"/>
                    <w:left w:val="none" w:sz="0" w:space="0" w:color="auto"/>
                    <w:bottom w:val="none" w:sz="0" w:space="0" w:color="auto"/>
                    <w:right w:val="none" w:sz="0" w:space="0" w:color="auto"/>
                  </w:divBdr>
                  <w:divsChild>
                    <w:div w:id="112815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132008">
      <w:bodyDiv w:val="1"/>
      <w:marLeft w:val="0"/>
      <w:marRight w:val="0"/>
      <w:marTop w:val="0"/>
      <w:marBottom w:val="0"/>
      <w:divBdr>
        <w:top w:val="none" w:sz="0" w:space="0" w:color="auto"/>
        <w:left w:val="none" w:sz="0" w:space="0" w:color="auto"/>
        <w:bottom w:val="none" w:sz="0" w:space="0" w:color="auto"/>
        <w:right w:val="none" w:sz="0" w:space="0" w:color="auto"/>
      </w:divBdr>
    </w:div>
    <w:div w:id="1212770118">
      <w:bodyDiv w:val="1"/>
      <w:marLeft w:val="0"/>
      <w:marRight w:val="0"/>
      <w:marTop w:val="0"/>
      <w:marBottom w:val="0"/>
      <w:divBdr>
        <w:top w:val="none" w:sz="0" w:space="0" w:color="auto"/>
        <w:left w:val="none" w:sz="0" w:space="0" w:color="auto"/>
        <w:bottom w:val="none" w:sz="0" w:space="0" w:color="auto"/>
        <w:right w:val="none" w:sz="0" w:space="0" w:color="auto"/>
      </w:divBdr>
    </w:div>
    <w:div w:id="1322614247">
      <w:bodyDiv w:val="1"/>
      <w:marLeft w:val="0"/>
      <w:marRight w:val="0"/>
      <w:marTop w:val="0"/>
      <w:marBottom w:val="0"/>
      <w:divBdr>
        <w:top w:val="none" w:sz="0" w:space="0" w:color="auto"/>
        <w:left w:val="none" w:sz="0" w:space="0" w:color="auto"/>
        <w:bottom w:val="none" w:sz="0" w:space="0" w:color="auto"/>
        <w:right w:val="none" w:sz="0" w:space="0" w:color="auto"/>
      </w:divBdr>
      <w:divsChild>
        <w:div w:id="848181614">
          <w:marLeft w:val="0"/>
          <w:marRight w:val="0"/>
          <w:marTop w:val="0"/>
          <w:marBottom w:val="0"/>
          <w:divBdr>
            <w:top w:val="none" w:sz="0" w:space="0" w:color="auto"/>
            <w:left w:val="none" w:sz="0" w:space="0" w:color="auto"/>
            <w:bottom w:val="none" w:sz="0" w:space="0" w:color="auto"/>
            <w:right w:val="none" w:sz="0" w:space="0" w:color="auto"/>
          </w:divBdr>
          <w:divsChild>
            <w:div w:id="1715419498">
              <w:marLeft w:val="0"/>
              <w:marRight w:val="0"/>
              <w:marTop w:val="0"/>
              <w:marBottom w:val="0"/>
              <w:divBdr>
                <w:top w:val="none" w:sz="0" w:space="0" w:color="auto"/>
                <w:left w:val="none" w:sz="0" w:space="0" w:color="auto"/>
                <w:bottom w:val="none" w:sz="0" w:space="0" w:color="auto"/>
                <w:right w:val="none" w:sz="0" w:space="0" w:color="auto"/>
              </w:divBdr>
              <w:divsChild>
                <w:div w:id="2028945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081857">
      <w:bodyDiv w:val="1"/>
      <w:marLeft w:val="0"/>
      <w:marRight w:val="0"/>
      <w:marTop w:val="0"/>
      <w:marBottom w:val="0"/>
      <w:divBdr>
        <w:top w:val="none" w:sz="0" w:space="0" w:color="auto"/>
        <w:left w:val="none" w:sz="0" w:space="0" w:color="auto"/>
        <w:bottom w:val="none" w:sz="0" w:space="0" w:color="auto"/>
        <w:right w:val="none" w:sz="0" w:space="0" w:color="auto"/>
      </w:divBdr>
    </w:div>
    <w:div w:id="1396009826">
      <w:bodyDiv w:val="1"/>
      <w:marLeft w:val="0"/>
      <w:marRight w:val="0"/>
      <w:marTop w:val="0"/>
      <w:marBottom w:val="0"/>
      <w:divBdr>
        <w:top w:val="none" w:sz="0" w:space="0" w:color="auto"/>
        <w:left w:val="none" w:sz="0" w:space="0" w:color="auto"/>
        <w:bottom w:val="none" w:sz="0" w:space="0" w:color="auto"/>
        <w:right w:val="none" w:sz="0" w:space="0" w:color="auto"/>
      </w:divBdr>
      <w:divsChild>
        <w:div w:id="314071442">
          <w:marLeft w:val="0"/>
          <w:marRight w:val="0"/>
          <w:marTop w:val="0"/>
          <w:marBottom w:val="0"/>
          <w:divBdr>
            <w:top w:val="none" w:sz="0" w:space="0" w:color="auto"/>
            <w:left w:val="none" w:sz="0" w:space="0" w:color="auto"/>
            <w:bottom w:val="none" w:sz="0" w:space="0" w:color="auto"/>
            <w:right w:val="none" w:sz="0" w:space="0" w:color="auto"/>
          </w:divBdr>
          <w:divsChild>
            <w:div w:id="961351264">
              <w:marLeft w:val="0"/>
              <w:marRight w:val="0"/>
              <w:marTop w:val="0"/>
              <w:marBottom w:val="0"/>
              <w:divBdr>
                <w:top w:val="none" w:sz="0" w:space="0" w:color="auto"/>
                <w:left w:val="none" w:sz="0" w:space="0" w:color="auto"/>
                <w:bottom w:val="none" w:sz="0" w:space="0" w:color="auto"/>
                <w:right w:val="none" w:sz="0" w:space="0" w:color="auto"/>
              </w:divBdr>
              <w:divsChild>
                <w:div w:id="1243219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968422">
      <w:bodyDiv w:val="1"/>
      <w:marLeft w:val="0"/>
      <w:marRight w:val="0"/>
      <w:marTop w:val="0"/>
      <w:marBottom w:val="0"/>
      <w:divBdr>
        <w:top w:val="none" w:sz="0" w:space="0" w:color="auto"/>
        <w:left w:val="none" w:sz="0" w:space="0" w:color="auto"/>
        <w:bottom w:val="none" w:sz="0" w:space="0" w:color="auto"/>
        <w:right w:val="none" w:sz="0" w:space="0" w:color="auto"/>
      </w:divBdr>
    </w:div>
    <w:div w:id="1424034353">
      <w:bodyDiv w:val="1"/>
      <w:marLeft w:val="0"/>
      <w:marRight w:val="0"/>
      <w:marTop w:val="0"/>
      <w:marBottom w:val="0"/>
      <w:divBdr>
        <w:top w:val="none" w:sz="0" w:space="0" w:color="auto"/>
        <w:left w:val="none" w:sz="0" w:space="0" w:color="auto"/>
        <w:bottom w:val="none" w:sz="0" w:space="0" w:color="auto"/>
        <w:right w:val="none" w:sz="0" w:space="0" w:color="auto"/>
      </w:divBdr>
      <w:divsChild>
        <w:div w:id="369114295">
          <w:marLeft w:val="0"/>
          <w:marRight w:val="0"/>
          <w:marTop w:val="0"/>
          <w:marBottom w:val="0"/>
          <w:divBdr>
            <w:top w:val="none" w:sz="0" w:space="0" w:color="auto"/>
            <w:left w:val="none" w:sz="0" w:space="0" w:color="auto"/>
            <w:bottom w:val="none" w:sz="0" w:space="0" w:color="auto"/>
            <w:right w:val="none" w:sz="0" w:space="0" w:color="auto"/>
          </w:divBdr>
          <w:divsChild>
            <w:div w:id="948702993">
              <w:marLeft w:val="0"/>
              <w:marRight w:val="0"/>
              <w:marTop w:val="0"/>
              <w:marBottom w:val="0"/>
              <w:divBdr>
                <w:top w:val="none" w:sz="0" w:space="0" w:color="auto"/>
                <w:left w:val="none" w:sz="0" w:space="0" w:color="auto"/>
                <w:bottom w:val="none" w:sz="0" w:space="0" w:color="auto"/>
                <w:right w:val="none" w:sz="0" w:space="0" w:color="auto"/>
              </w:divBdr>
              <w:divsChild>
                <w:div w:id="83619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955184">
      <w:bodyDiv w:val="1"/>
      <w:marLeft w:val="0"/>
      <w:marRight w:val="0"/>
      <w:marTop w:val="0"/>
      <w:marBottom w:val="0"/>
      <w:divBdr>
        <w:top w:val="none" w:sz="0" w:space="0" w:color="auto"/>
        <w:left w:val="none" w:sz="0" w:space="0" w:color="auto"/>
        <w:bottom w:val="none" w:sz="0" w:space="0" w:color="auto"/>
        <w:right w:val="none" w:sz="0" w:space="0" w:color="auto"/>
      </w:divBdr>
      <w:divsChild>
        <w:div w:id="1774474462">
          <w:marLeft w:val="0"/>
          <w:marRight w:val="0"/>
          <w:marTop w:val="0"/>
          <w:marBottom w:val="0"/>
          <w:divBdr>
            <w:top w:val="none" w:sz="0" w:space="0" w:color="auto"/>
            <w:left w:val="none" w:sz="0" w:space="0" w:color="auto"/>
            <w:bottom w:val="none" w:sz="0" w:space="0" w:color="auto"/>
            <w:right w:val="none" w:sz="0" w:space="0" w:color="auto"/>
          </w:divBdr>
          <w:divsChild>
            <w:div w:id="385839161">
              <w:marLeft w:val="0"/>
              <w:marRight w:val="0"/>
              <w:marTop w:val="0"/>
              <w:marBottom w:val="0"/>
              <w:divBdr>
                <w:top w:val="none" w:sz="0" w:space="0" w:color="auto"/>
                <w:left w:val="none" w:sz="0" w:space="0" w:color="auto"/>
                <w:bottom w:val="none" w:sz="0" w:space="0" w:color="auto"/>
                <w:right w:val="none" w:sz="0" w:space="0" w:color="auto"/>
              </w:divBdr>
              <w:divsChild>
                <w:div w:id="337001780">
                  <w:marLeft w:val="0"/>
                  <w:marRight w:val="0"/>
                  <w:marTop w:val="0"/>
                  <w:marBottom w:val="0"/>
                  <w:divBdr>
                    <w:top w:val="none" w:sz="0" w:space="0" w:color="auto"/>
                    <w:left w:val="none" w:sz="0" w:space="0" w:color="auto"/>
                    <w:bottom w:val="none" w:sz="0" w:space="0" w:color="auto"/>
                    <w:right w:val="none" w:sz="0" w:space="0" w:color="auto"/>
                  </w:divBdr>
                  <w:divsChild>
                    <w:div w:id="34691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3056416">
      <w:bodyDiv w:val="1"/>
      <w:marLeft w:val="0"/>
      <w:marRight w:val="0"/>
      <w:marTop w:val="0"/>
      <w:marBottom w:val="0"/>
      <w:divBdr>
        <w:top w:val="none" w:sz="0" w:space="0" w:color="auto"/>
        <w:left w:val="none" w:sz="0" w:space="0" w:color="auto"/>
        <w:bottom w:val="none" w:sz="0" w:space="0" w:color="auto"/>
        <w:right w:val="none" w:sz="0" w:space="0" w:color="auto"/>
      </w:divBdr>
      <w:divsChild>
        <w:div w:id="94450467">
          <w:marLeft w:val="0"/>
          <w:marRight w:val="0"/>
          <w:marTop w:val="0"/>
          <w:marBottom w:val="0"/>
          <w:divBdr>
            <w:top w:val="none" w:sz="0" w:space="0" w:color="auto"/>
            <w:left w:val="none" w:sz="0" w:space="0" w:color="auto"/>
            <w:bottom w:val="none" w:sz="0" w:space="0" w:color="auto"/>
            <w:right w:val="none" w:sz="0" w:space="0" w:color="auto"/>
          </w:divBdr>
          <w:divsChild>
            <w:div w:id="2019623826">
              <w:marLeft w:val="0"/>
              <w:marRight w:val="0"/>
              <w:marTop w:val="0"/>
              <w:marBottom w:val="0"/>
              <w:divBdr>
                <w:top w:val="none" w:sz="0" w:space="0" w:color="auto"/>
                <w:left w:val="none" w:sz="0" w:space="0" w:color="auto"/>
                <w:bottom w:val="none" w:sz="0" w:space="0" w:color="auto"/>
                <w:right w:val="none" w:sz="0" w:space="0" w:color="auto"/>
              </w:divBdr>
              <w:divsChild>
                <w:div w:id="121657637">
                  <w:marLeft w:val="0"/>
                  <w:marRight w:val="0"/>
                  <w:marTop w:val="0"/>
                  <w:marBottom w:val="0"/>
                  <w:divBdr>
                    <w:top w:val="none" w:sz="0" w:space="0" w:color="auto"/>
                    <w:left w:val="none" w:sz="0" w:space="0" w:color="auto"/>
                    <w:bottom w:val="none" w:sz="0" w:space="0" w:color="auto"/>
                    <w:right w:val="none" w:sz="0" w:space="0" w:color="auto"/>
                  </w:divBdr>
                  <w:divsChild>
                    <w:div w:id="160303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723891">
      <w:bodyDiv w:val="1"/>
      <w:marLeft w:val="0"/>
      <w:marRight w:val="0"/>
      <w:marTop w:val="0"/>
      <w:marBottom w:val="0"/>
      <w:divBdr>
        <w:top w:val="none" w:sz="0" w:space="0" w:color="auto"/>
        <w:left w:val="none" w:sz="0" w:space="0" w:color="auto"/>
        <w:bottom w:val="none" w:sz="0" w:space="0" w:color="auto"/>
        <w:right w:val="none" w:sz="0" w:space="0" w:color="auto"/>
      </w:divBdr>
      <w:divsChild>
        <w:div w:id="986544860">
          <w:marLeft w:val="0"/>
          <w:marRight w:val="0"/>
          <w:marTop w:val="0"/>
          <w:marBottom w:val="0"/>
          <w:divBdr>
            <w:top w:val="none" w:sz="0" w:space="0" w:color="auto"/>
            <w:left w:val="none" w:sz="0" w:space="0" w:color="auto"/>
            <w:bottom w:val="none" w:sz="0" w:space="0" w:color="auto"/>
            <w:right w:val="none" w:sz="0" w:space="0" w:color="auto"/>
          </w:divBdr>
          <w:divsChild>
            <w:div w:id="1986281261">
              <w:marLeft w:val="0"/>
              <w:marRight w:val="0"/>
              <w:marTop w:val="0"/>
              <w:marBottom w:val="0"/>
              <w:divBdr>
                <w:top w:val="none" w:sz="0" w:space="0" w:color="auto"/>
                <w:left w:val="none" w:sz="0" w:space="0" w:color="auto"/>
                <w:bottom w:val="none" w:sz="0" w:space="0" w:color="auto"/>
                <w:right w:val="none" w:sz="0" w:space="0" w:color="auto"/>
              </w:divBdr>
              <w:divsChild>
                <w:div w:id="1968848493">
                  <w:marLeft w:val="0"/>
                  <w:marRight w:val="0"/>
                  <w:marTop w:val="0"/>
                  <w:marBottom w:val="0"/>
                  <w:divBdr>
                    <w:top w:val="none" w:sz="0" w:space="0" w:color="auto"/>
                    <w:left w:val="none" w:sz="0" w:space="0" w:color="auto"/>
                    <w:bottom w:val="none" w:sz="0" w:space="0" w:color="auto"/>
                    <w:right w:val="none" w:sz="0" w:space="0" w:color="auto"/>
                  </w:divBdr>
                  <w:divsChild>
                    <w:div w:id="100513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6249134">
      <w:bodyDiv w:val="1"/>
      <w:marLeft w:val="0"/>
      <w:marRight w:val="0"/>
      <w:marTop w:val="0"/>
      <w:marBottom w:val="0"/>
      <w:divBdr>
        <w:top w:val="none" w:sz="0" w:space="0" w:color="auto"/>
        <w:left w:val="none" w:sz="0" w:space="0" w:color="auto"/>
        <w:bottom w:val="none" w:sz="0" w:space="0" w:color="auto"/>
        <w:right w:val="none" w:sz="0" w:space="0" w:color="auto"/>
      </w:divBdr>
      <w:divsChild>
        <w:div w:id="612983284">
          <w:marLeft w:val="0"/>
          <w:marRight w:val="0"/>
          <w:marTop w:val="0"/>
          <w:marBottom w:val="0"/>
          <w:divBdr>
            <w:top w:val="none" w:sz="0" w:space="0" w:color="auto"/>
            <w:left w:val="none" w:sz="0" w:space="0" w:color="auto"/>
            <w:bottom w:val="none" w:sz="0" w:space="0" w:color="auto"/>
            <w:right w:val="none" w:sz="0" w:space="0" w:color="auto"/>
          </w:divBdr>
          <w:divsChild>
            <w:div w:id="1508246723">
              <w:marLeft w:val="0"/>
              <w:marRight w:val="0"/>
              <w:marTop w:val="0"/>
              <w:marBottom w:val="0"/>
              <w:divBdr>
                <w:top w:val="none" w:sz="0" w:space="0" w:color="auto"/>
                <w:left w:val="none" w:sz="0" w:space="0" w:color="auto"/>
                <w:bottom w:val="none" w:sz="0" w:space="0" w:color="auto"/>
                <w:right w:val="none" w:sz="0" w:space="0" w:color="auto"/>
              </w:divBdr>
              <w:divsChild>
                <w:div w:id="56584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119304">
      <w:bodyDiv w:val="1"/>
      <w:marLeft w:val="0"/>
      <w:marRight w:val="0"/>
      <w:marTop w:val="0"/>
      <w:marBottom w:val="0"/>
      <w:divBdr>
        <w:top w:val="none" w:sz="0" w:space="0" w:color="auto"/>
        <w:left w:val="none" w:sz="0" w:space="0" w:color="auto"/>
        <w:bottom w:val="none" w:sz="0" w:space="0" w:color="auto"/>
        <w:right w:val="none" w:sz="0" w:space="0" w:color="auto"/>
      </w:divBdr>
      <w:divsChild>
        <w:div w:id="1287814092">
          <w:marLeft w:val="0"/>
          <w:marRight w:val="0"/>
          <w:marTop w:val="0"/>
          <w:marBottom w:val="0"/>
          <w:divBdr>
            <w:top w:val="none" w:sz="0" w:space="0" w:color="auto"/>
            <w:left w:val="none" w:sz="0" w:space="0" w:color="auto"/>
            <w:bottom w:val="none" w:sz="0" w:space="0" w:color="auto"/>
            <w:right w:val="none" w:sz="0" w:space="0" w:color="auto"/>
          </w:divBdr>
          <w:divsChild>
            <w:div w:id="1569606687">
              <w:marLeft w:val="0"/>
              <w:marRight w:val="0"/>
              <w:marTop w:val="0"/>
              <w:marBottom w:val="0"/>
              <w:divBdr>
                <w:top w:val="none" w:sz="0" w:space="0" w:color="auto"/>
                <w:left w:val="none" w:sz="0" w:space="0" w:color="auto"/>
                <w:bottom w:val="none" w:sz="0" w:space="0" w:color="auto"/>
                <w:right w:val="none" w:sz="0" w:space="0" w:color="auto"/>
              </w:divBdr>
              <w:divsChild>
                <w:div w:id="297420394">
                  <w:marLeft w:val="0"/>
                  <w:marRight w:val="0"/>
                  <w:marTop w:val="0"/>
                  <w:marBottom w:val="0"/>
                  <w:divBdr>
                    <w:top w:val="none" w:sz="0" w:space="0" w:color="auto"/>
                    <w:left w:val="none" w:sz="0" w:space="0" w:color="auto"/>
                    <w:bottom w:val="none" w:sz="0" w:space="0" w:color="auto"/>
                    <w:right w:val="none" w:sz="0" w:space="0" w:color="auto"/>
                  </w:divBdr>
                  <w:divsChild>
                    <w:div w:id="19793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8428785">
      <w:bodyDiv w:val="1"/>
      <w:marLeft w:val="0"/>
      <w:marRight w:val="0"/>
      <w:marTop w:val="0"/>
      <w:marBottom w:val="0"/>
      <w:divBdr>
        <w:top w:val="none" w:sz="0" w:space="0" w:color="auto"/>
        <w:left w:val="none" w:sz="0" w:space="0" w:color="auto"/>
        <w:bottom w:val="none" w:sz="0" w:space="0" w:color="auto"/>
        <w:right w:val="none" w:sz="0" w:space="0" w:color="auto"/>
      </w:divBdr>
    </w:div>
    <w:div w:id="2073893029">
      <w:bodyDiv w:val="1"/>
      <w:marLeft w:val="0"/>
      <w:marRight w:val="0"/>
      <w:marTop w:val="0"/>
      <w:marBottom w:val="0"/>
      <w:divBdr>
        <w:top w:val="none" w:sz="0" w:space="0" w:color="auto"/>
        <w:left w:val="none" w:sz="0" w:space="0" w:color="auto"/>
        <w:bottom w:val="none" w:sz="0" w:space="0" w:color="auto"/>
        <w:right w:val="none" w:sz="0" w:space="0" w:color="auto"/>
      </w:divBdr>
      <w:divsChild>
        <w:div w:id="1265066478">
          <w:marLeft w:val="0"/>
          <w:marRight w:val="0"/>
          <w:marTop w:val="0"/>
          <w:marBottom w:val="0"/>
          <w:divBdr>
            <w:top w:val="none" w:sz="0" w:space="0" w:color="auto"/>
            <w:left w:val="none" w:sz="0" w:space="0" w:color="auto"/>
            <w:bottom w:val="none" w:sz="0" w:space="0" w:color="auto"/>
            <w:right w:val="none" w:sz="0" w:space="0" w:color="auto"/>
          </w:divBdr>
          <w:divsChild>
            <w:div w:id="640041173">
              <w:marLeft w:val="0"/>
              <w:marRight w:val="0"/>
              <w:marTop w:val="0"/>
              <w:marBottom w:val="0"/>
              <w:divBdr>
                <w:top w:val="none" w:sz="0" w:space="0" w:color="auto"/>
                <w:left w:val="none" w:sz="0" w:space="0" w:color="auto"/>
                <w:bottom w:val="none" w:sz="0" w:space="0" w:color="auto"/>
                <w:right w:val="none" w:sz="0" w:space="0" w:color="auto"/>
              </w:divBdr>
              <w:divsChild>
                <w:div w:id="1775248537">
                  <w:marLeft w:val="0"/>
                  <w:marRight w:val="0"/>
                  <w:marTop w:val="0"/>
                  <w:marBottom w:val="0"/>
                  <w:divBdr>
                    <w:top w:val="none" w:sz="0" w:space="0" w:color="auto"/>
                    <w:left w:val="none" w:sz="0" w:space="0" w:color="auto"/>
                    <w:bottom w:val="none" w:sz="0" w:space="0" w:color="auto"/>
                    <w:right w:val="none" w:sz="0" w:space="0" w:color="auto"/>
                  </w:divBdr>
                  <w:divsChild>
                    <w:div w:id="20783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681465">
      <w:bodyDiv w:val="1"/>
      <w:marLeft w:val="0"/>
      <w:marRight w:val="0"/>
      <w:marTop w:val="0"/>
      <w:marBottom w:val="0"/>
      <w:divBdr>
        <w:top w:val="none" w:sz="0" w:space="0" w:color="auto"/>
        <w:left w:val="none" w:sz="0" w:space="0" w:color="auto"/>
        <w:bottom w:val="none" w:sz="0" w:space="0" w:color="auto"/>
        <w:right w:val="none" w:sz="0" w:space="0" w:color="auto"/>
      </w:divBdr>
      <w:divsChild>
        <w:div w:id="1304581022">
          <w:marLeft w:val="0"/>
          <w:marRight w:val="0"/>
          <w:marTop w:val="0"/>
          <w:marBottom w:val="0"/>
          <w:divBdr>
            <w:top w:val="none" w:sz="0" w:space="0" w:color="auto"/>
            <w:left w:val="none" w:sz="0" w:space="0" w:color="auto"/>
            <w:bottom w:val="none" w:sz="0" w:space="0" w:color="auto"/>
            <w:right w:val="none" w:sz="0" w:space="0" w:color="auto"/>
          </w:divBdr>
          <w:divsChild>
            <w:div w:id="711609485">
              <w:marLeft w:val="0"/>
              <w:marRight w:val="0"/>
              <w:marTop w:val="0"/>
              <w:marBottom w:val="0"/>
              <w:divBdr>
                <w:top w:val="none" w:sz="0" w:space="0" w:color="auto"/>
                <w:left w:val="none" w:sz="0" w:space="0" w:color="auto"/>
                <w:bottom w:val="none" w:sz="0" w:space="0" w:color="auto"/>
                <w:right w:val="none" w:sz="0" w:space="0" w:color="auto"/>
              </w:divBdr>
              <w:divsChild>
                <w:div w:id="18848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vatican.va/content/john-paul-ii/en/apost_exhortations/documents/hf_jp-ii_exh_20011122_ecclesia-in-oceania.html" TargetMode="External"/><Relationship Id="rId1" Type="http://schemas.openxmlformats.org/officeDocument/2006/relationships/hyperlink" Target="https://www.synod.va/en/news/biblical-resources-for-synodality.html"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212EC1F-398D-8440-817C-9F1B2132BF69}" type="doc">
      <dgm:prSet loTypeId="urn:microsoft.com/office/officeart/2005/8/layout/cycle5" loCatId="" qsTypeId="urn:microsoft.com/office/officeart/2005/8/quickstyle/simple1" qsCatId="simple" csTypeId="urn:microsoft.com/office/officeart/2005/8/colors/accent1_2" csCatId="accent1" phldr="1"/>
      <dgm:spPr/>
      <dgm:t>
        <a:bodyPr/>
        <a:lstStyle/>
        <a:p>
          <a:endParaRPr lang="en-US"/>
        </a:p>
      </dgm:t>
    </dgm:pt>
    <dgm:pt modelId="{A6C0DBAA-B5FC-9047-9399-3E69E152A9B5}">
      <dgm:prSet phldrT="[Text]" custT="1"/>
      <dgm:spPr/>
      <dgm:t>
        <a:bodyPr/>
        <a:lstStyle/>
        <a:p>
          <a:r>
            <a:rPr lang="en-US" sz="900">
              <a:latin typeface="Garamond" panose="02020404030301010803" pitchFamily="18" charset="0"/>
            </a:rPr>
            <a:t>Identification of a specific experience/situation</a:t>
          </a:r>
        </a:p>
      </dgm:t>
    </dgm:pt>
    <dgm:pt modelId="{B8E66930-A70B-764E-ADC2-A0D92C28CBAF}" type="parTrans" cxnId="{F8FEBEC0-F089-714B-AA25-244227D11155}">
      <dgm:prSet/>
      <dgm:spPr/>
      <dgm:t>
        <a:bodyPr/>
        <a:lstStyle/>
        <a:p>
          <a:endParaRPr lang="en-US"/>
        </a:p>
      </dgm:t>
    </dgm:pt>
    <dgm:pt modelId="{09552A3B-D84F-1141-A8A0-D9146AFBDA5F}" type="sibTrans" cxnId="{F8FEBEC0-F089-714B-AA25-244227D11155}">
      <dgm:prSet/>
      <dgm:spPr/>
      <dgm:t>
        <a:bodyPr/>
        <a:lstStyle/>
        <a:p>
          <a:endParaRPr lang="en-US"/>
        </a:p>
      </dgm:t>
    </dgm:pt>
    <dgm:pt modelId="{05F958DD-F4FA-BD4D-9C89-A4999704919E}">
      <dgm:prSet phldrT="[Text]" custT="1"/>
      <dgm:spPr/>
      <dgm:t>
        <a:bodyPr/>
        <a:lstStyle/>
        <a:p>
          <a:r>
            <a:rPr lang="en-US" sz="900">
              <a:latin typeface="Garamond" panose="02020404030301010803" pitchFamily="18" charset="0"/>
            </a:rPr>
            <a:t>A 'thick' description: Building a multi-layered description from as many perspectives as possible including one's own.</a:t>
          </a:r>
        </a:p>
      </dgm:t>
    </dgm:pt>
    <dgm:pt modelId="{8F702BF1-22C4-194E-8C67-6FD873F82A3C}" type="parTrans" cxnId="{137B10E1-8791-434E-9659-DF9FB708FA3D}">
      <dgm:prSet/>
      <dgm:spPr/>
      <dgm:t>
        <a:bodyPr/>
        <a:lstStyle/>
        <a:p>
          <a:endParaRPr lang="en-US"/>
        </a:p>
      </dgm:t>
    </dgm:pt>
    <dgm:pt modelId="{9004700C-CB9F-AD41-8542-387458A1BD2F}" type="sibTrans" cxnId="{137B10E1-8791-434E-9659-DF9FB708FA3D}">
      <dgm:prSet/>
      <dgm:spPr/>
      <dgm:t>
        <a:bodyPr/>
        <a:lstStyle/>
        <a:p>
          <a:endParaRPr lang="en-US"/>
        </a:p>
      </dgm:t>
    </dgm:pt>
    <dgm:pt modelId="{432D7B1D-837A-E14A-9ACD-C449526FF1AE}">
      <dgm:prSet phldrT="[Text]" custT="1"/>
      <dgm:spPr/>
      <dgm:t>
        <a:bodyPr/>
        <a:lstStyle/>
        <a:p>
          <a:r>
            <a:rPr lang="en-US" sz="900">
              <a:latin typeface="Garamond" panose="02020404030301010803" pitchFamily="18" charset="0"/>
            </a:rPr>
            <a:t>Critical reflection drawing on appropriate perspectives for example historical, sociologicla, psychological, economic, theological.</a:t>
          </a:r>
        </a:p>
      </dgm:t>
    </dgm:pt>
    <dgm:pt modelId="{26ECF289-F450-8F48-8E5A-25AC7AE4CDEF}" type="parTrans" cxnId="{DAB596C8-BD96-D54A-B5DD-09544D39954C}">
      <dgm:prSet/>
      <dgm:spPr/>
      <dgm:t>
        <a:bodyPr/>
        <a:lstStyle/>
        <a:p>
          <a:endParaRPr lang="en-US"/>
        </a:p>
      </dgm:t>
    </dgm:pt>
    <dgm:pt modelId="{1140D0CE-575F-E640-8AE0-855FE4BC5B9F}" type="sibTrans" cxnId="{DAB596C8-BD96-D54A-B5DD-09544D39954C}">
      <dgm:prSet/>
      <dgm:spPr/>
      <dgm:t>
        <a:bodyPr/>
        <a:lstStyle/>
        <a:p>
          <a:endParaRPr lang="en-US"/>
        </a:p>
      </dgm:t>
    </dgm:pt>
    <dgm:pt modelId="{B3163386-20D3-E34E-A803-A05787E7F214}">
      <dgm:prSet phldrT="[Text]" custT="1"/>
      <dgm:spPr/>
      <dgm:t>
        <a:bodyPr/>
        <a:lstStyle/>
        <a:p>
          <a:r>
            <a:rPr lang="en-US" sz="900">
              <a:latin typeface="Garamond" panose="02020404030301010803" pitchFamily="18" charset="0"/>
            </a:rPr>
            <a:t>Engaging in dialogue with the appropriate faith tradition</a:t>
          </a:r>
        </a:p>
      </dgm:t>
    </dgm:pt>
    <dgm:pt modelId="{C325EBA9-DF52-BF4A-9883-1C80423509D0}" type="parTrans" cxnId="{24DF486C-133F-4B40-9078-5F78CEF5A31D}">
      <dgm:prSet/>
      <dgm:spPr/>
      <dgm:t>
        <a:bodyPr/>
        <a:lstStyle/>
        <a:p>
          <a:endParaRPr lang="en-US"/>
        </a:p>
      </dgm:t>
    </dgm:pt>
    <dgm:pt modelId="{6AE35E71-7DBD-D143-975C-AE7F2AFEDFDE}" type="sibTrans" cxnId="{24DF486C-133F-4B40-9078-5F78CEF5A31D}">
      <dgm:prSet/>
      <dgm:spPr/>
      <dgm:t>
        <a:bodyPr/>
        <a:lstStyle/>
        <a:p>
          <a:endParaRPr lang="en-US"/>
        </a:p>
      </dgm:t>
    </dgm:pt>
    <dgm:pt modelId="{9C2521DA-AB9D-D045-B4DC-45342A01E9B7}">
      <dgm:prSet phldrT="[Text]" custT="1"/>
      <dgm:spPr/>
      <dgm:t>
        <a:bodyPr/>
        <a:lstStyle/>
        <a:p>
          <a:r>
            <a:rPr lang="en-US" sz="900">
              <a:latin typeface="Garamond" panose="02020404030301010803" pitchFamily="18" charset="0"/>
            </a:rPr>
            <a:t>Allowing time and space for new insight and understanding to emerge</a:t>
          </a:r>
        </a:p>
      </dgm:t>
    </dgm:pt>
    <dgm:pt modelId="{1AF8E07A-05B7-0A47-948D-30B1AD40DBBC}" type="parTrans" cxnId="{942791C9-0C76-9946-AA16-0F2043CBE411}">
      <dgm:prSet/>
      <dgm:spPr/>
      <dgm:t>
        <a:bodyPr/>
        <a:lstStyle/>
        <a:p>
          <a:endParaRPr lang="en-US"/>
        </a:p>
      </dgm:t>
    </dgm:pt>
    <dgm:pt modelId="{1E5A659F-7EAF-1D43-98AF-35DB16ACC316}" type="sibTrans" cxnId="{942791C9-0C76-9946-AA16-0F2043CBE411}">
      <dgm:prSet/>
      <dgm:spPr/>
      <dgm:t>
        <a:bodyPr/>
        <a:lstStyle/>
        <a:p>
          <a:endParaRPr lang="en-US"/>
        </a:p>
      </dgm:t>
    </dgm:pt>
    <dgm:pt modelId="{9354477B-51CC-EB4E-956F-D64463847A96}">
      <dgm:prSet custT="1"/>
      <dgm:spPr/>
      <dgm:t>
        <a:bodyPr/>
        <a:lstStyle/>
        <a:p>
          <a:r>
            <a:rPr lang="en-US" sz="900">
              <a:latin typeface="Garamond" panose="02020404030301010803" pitchFamily="18" charset="0"/>
            </a:rPr>
            <a:t>Deciding on and planning action in the light of what has emerged</a:t>
          </a:r>
        </a:p>
      </dgm:t>
    </dgm:pt>
    <dgm:pt modelId="{C0FE75E9-496E-4A4E-928D-BC7106D360C4}" type="parTrans" cxnId="{CF470487-1973-B948-8E2E-4A07303BB65F}">
      <dgm:prSet/>
      <dgm:spPr/>
      <dgm:t>
        <a:bodyPr/>
        <a:lstStyle/>
        <a:p>
          <a:endParaRPr lang="en-US"/>
        </a:p>
      </dgm:t>
    </dgm:pt>
    <dgm:pt modelId="{17CF07E2-5620-9940-8074-1AECF9A3DA47}" type="sibTrans" cxnId="{CF470487-1973-B948-8E2E-4A07303BB65F}">
      <dgm:prSet/>
      <dgm:spPr/>
      <dgm:t>
        <a:bodyPr/>
        <a:lstStyle/>
        <a:p>
          <a:endParaRPr lang="en-US"/>
        </a:p>
      </dgm:t>
    </dgm:pt>
    <dgm:pt modelId="{FFBCDA8C-36CA-C744-A219-C32C04423441}">
      <dgm:prSet custT="1"/>
      <dgm:spPr/>
      <dgm:t>
        <a:bodyPr/>
        <a:lstStyle/>
        <a:p>
          <a:r>
            <a:rPr lang="en-US" sz="900">
              <a:latin typeface="Garamond" panose="02020404030301010803" pitchFamily="18" charset="0"/>
            </a:rPr>
            <a:t>Implementing the course of action</a:t>
          </a:r>
        </a:p>
      </dgm:t>
    </dgm:pt>
    <dgm:pt modelId="{ADD0B4A1-3288-C342-BF09-FF10685AB8C8}" type="parTrans" cxnId="{B1E42811-486A-9744-84B7-6BFB59E49D35}">
      <dgm:prSet/>
      <dgm:spPr/>
      <dgm:t>
        <a:bodyPr/>
        <a:lstStyle/>
        <a:p>
          <a:endParaRPr lang="en-US"/>
        </a:p>
      </dgm:t>
    </dgm:pt>
    <dgm:pt modelId="{A1CAD6C2-B2DA-B641-8DFD-76CF63C2E483}" type="sibTrans" cxnId="{B1E42811-486A-9744-84B7-6BFB59E49D35}">
      <dgm:prSet/>
      <dgm:spPr/>
      <dgm:t>
        <a:bodyPr/>
        <a:lstStyle/>
        <a:p>
          <a:endParaRPr lang="en-US"/>
        </a:p>
      </dgm:t>
    </dgm:pt>
    <dgm:pt modelId="{5465BA6F-AC3D-5741-AD52-9C226F2306BC}">
      <dgm:prSet custT="1"/>
      <dgm:spPr/>
      <dgm:t>
        <a:bodyPr/>
        <a:lstStyle/>
        <a:p>
          <a:r>
            <a:rPr lang="en-US" sz="900">
              <a:latin typeface="Garamond" panose="02020404030301010803" pitchFamily="18" charset="0"/>
            </a:rPr>
            <a:t>Begin another cycle of reflection...</a:t>
          </a:r>
        </a:p>
      </dgm:t>
    </dgm:pt>
    <dgm:pt modelId="{326BE376-C608-104B-8A57-BED79889D473}" type="parTrans" cxnId="{FD32409E-B22F-654E-BFF8-1913E8497068}">
      <dgm:prSet/>
      <dgm:spPr/>
      <dgm:t>
        <a:bodyPr/>
        <a:lstStyle/>
        <a:p>
          <a:endParaRPr lang="en-US"/>
        </a:p>
      </dgm:t>
    </dgm:pt>
    <dgm:pt modelId="{ECB02B60-7968-CB44-8303-500947A367D7}" type="sibTrans" cxnId="{FD32409E-B22F-654E-BFF8-1913E8497068}">
      <dgm:prSet/>
      <dgm:spPr/>
      <dgm:t>
        <a:bodyPr/>
        <a:lstStyle/>
        <a:p>
          <a:endParaRPr lang="en-US"/>
        </a:p>
      </dgm:t>
    </dgm:pt>
    <dgm:pt modelId="{993543A2-3066-AB48-A027-D2EA9D5503F4}" type="pres">
      <dgm:prSet presAssocID="{2212EC1F-398D-8440-817C-9F1B2132BF69}" presName="cycle" presStyleCnt="0">
        <dgm:presLayoutVars>
          <dgm:dir/>
          <dgm:resizeHandles val="exact"/>
        </dgm:presLayoutVars>
      </dgm:prSet>
      <dgm:spPr/>
    </dgm:pt>
    <dgm:pt modelId="{268095E4-8613-E041-8CA2-CA65AEC7680C}" type="pres">
      <dgm:prSet presAssocID="{A6C0DBAA-B5FC-9047-9399-3E69E152A9B5}" presName="node" presStyleLbl="node1" presStyleIdx="0" presStyleCnt="8" custScaleX="147302" custScaleY="112598">
        <dgm:presLayoutVars>
          <dgm:bulletEnabled val="1"/>
        </dgm:presLayoutVars>
      </dgm:prSet>
      <dgm:spPr/>
    </dgm:pt>
    <dgm:pt modelId="{1A296410-2721-9843-A175-D8DC4A6521A0}" type="pres">
      <dgm:prSet presAssocID="{A6C0DBAA-B5FC-9047-9399-3E69E152A9B5}" presName="spNode" presStyleCnt="0"/>
      <dgm:spPr/>
    </dgm:pt>
    <dgm:pt modelId="{59DAE41B-8776-1C47-BDEB-19028242D59A}" type="pres">
      <dgm:prSet presAssocID="{09552A3B-D84F-1141-A8A0-D9146AFBDA5F}" presName="sibTrans" presStyleLbl="sibTrans1D1" presStyleIdx="0" presStyleCnt="8"/>
      <dgm:spPr/>
    </dgm:pt>
    <dgm:pt modelId="{8AB7F32F-B0EA-3C49-8BD0-2ED4D275CF65}" type="pres">
      <dgm:prSet presAssocID="{05F958DD-F4FA-BD4D-9C89-A4999704919E}" presName="node" presStyleLbl="node1" presStyleIdx="1" presStyleCnt="8" custScaleX="220271" custScaleY="117359" custRadScaleRad="113590" custRadScaleInc="54975">
        <dgm:presLayoutVars>
          <dgm:bulletEnabled val="1"/>
        </dgm:presLayoutVars>
      </dgm:prSet>
      <dgm:spPr/>
    </dgm:pt>
    <dgm:pt modelId="{552D5630-3B8C-DE43-B8DE-748B5CD4D4DD}" type="pres">
      <dgm:prSet presAssocID="{05F958DD-F4FA-BD4D-9C89-A4999704919E}" presName="spNode" presStyleCnt="0"/>
      <dgm:spPr/>
    </dgm:pt>
    <dgm:pt modelId="{AD8F6DB6-6BFC-5140-9788-3B35210BB5EC}" type="pres">
      <dgm:prSet presAssocID="{9004700C-CB9F-AD41-8542-387458A1BD2F}" presName="sibTrans" presStyleLbl="sibTrans1D1" presStyleIdx="1" presStyleCnt="8"/>
      <dgm:spPr/>
    </dgm:pt>
    <dgm:pt modelId="{0976023A-9E02-2E42-ACFC-75D4E37B8C1F}" type="pres">
      <dgm:prSet presAssocID="{432D7B1D-837A-E14A-9ACD-C449526FF1AE}" presName="node" presStyleLbl="node1" presStyleIdx="2" presStyleCnt="8" custScaleX="254285" custScaleY="120346" custRadScaleRad="116278" custRadScaleInc="-8305">
        <dgm:presLayoutVars>
          <dgm:bulletEnabled val="1"/>
        </dgm:presLayoutVars>
      </dgm:prSet>
      <dgm:spPr/>
    </dgm:pt>
    <dgm:pt modelId="{57283E9A-B1AF-B943-B6F9-0DC0662B0B52}" type="pres">
      <dgm:prSet presAssocID="{432D7B1D-837A-E14A-9ACD-C449526FF1AE}" presName="spNode" presStyleCnt="0"/>
      <dgm:spPr/>
    </dgm:pt>
    <dgm:pt modelId="{78C7E9DD-4A3F-3942-899A-6452D9E8E533}" type="pres">
      <dgm:prSet presAssocID="{1140D0CE-575F-E640-8AE0-855FE4BC5B9F}" presName="sibTrans" presStyleLbl="sibTrans1D1" presStyleIdx="2" presStyleCnt="8"/>
      <dgm:spPr/>
    </dgm:pt>
    <dgm:pt modelId="{077FA520-81A0-E143-8E58-CFBF8D2EE88F}" type="pres">
      <dgm:prSet presAssocID="{B3163386-20D3-E34E-A803-A05787E7F214}" presName="node" presStyleLbl="node1" presStyleIdx="3" presStyleCnt="8" custScaleX="188050" custScaleY="112310" custRadScaleRad="111981" custRadScaleInc="-35763">
        <dgm:presLayoutVars>
          <dgm:bulletEnabled val="1"/>
        </dgm:presLayoutVars>
      </dgm:prSet>
      <dgm:spPr/>
    </dgm:pt>
    <dgm:pt modelId="{AA54A991-FF28-AD4E-A69C-C7A11E2AAF23}" type="pres">
      <dgm:prSet presAssocID="{B3163386-20D3-E34E-A803-A05787E7F214}" presName="spNode" presStyleCnt="0"/>
      <dgm:spPr/>
    </dgm:pt>
    <dgm:pt modelId="{B6814720-7DB9-4744-99E3-6C89BDF36DFF}" type="pres">
      <dgm:prSet presAssocID="{6AE35E71-7DBD-D143-975C-AE7F2AFEDFDE}" presName="sibTrans" presStyleLbl="sibTrans1D1" presStyleIdx="3" presStyleCnt="8"/>
      <dgm:spPr/>
    </dgm:pt>
    <dgm:pt modelId="{930031E6-4426-704F-83E4-846BF00B45F1}" type="pres">
      <dgm:prSet presAssocID="{9C2521DA-AB9D-D045-B4DC-45342A01E9B7}" presName="node" presStyleLbl="node1" presStyleIdx="4" presStyleCnt="8" custScaleX="119341" custScaleY="148474">
        <dgm:presLayoutVars>
          <dgm:bulletEnabled val="1"/>
        </dgm:presLayoutVars>
      </dgm:prSet>
      <dgm:spPr/>
    </dgm:pt>
    <dgm:pt modelId="{C2274E34-9A1B-DD47-AF88-F4699C2B257F}" type="pres">
      <dgm:prSet presAssocID="{9C2521DA-AB9D-D045-B4DC-45342A01E9B7}" presName="spNode" presStyleCnt="0"/>
      <dgm:spPr/>
    </dgm:pt>
    <dgm:pt modelId="{25A91058-2AD4-AE4F-A98B-471DD3C5E69F}" type="pres">
      <dgm:prSet presAssocID="{1E5A659F-7EAF-1D43-98AF-35DB16ACC316}" presName="sibTrans" presStyleLbl="sibTrans1D1" presStyleIdx="4" presStyleCnt="8"/>
      <dgm:spPr/>
    </dgm:pt>
    <dgm:pt modelId="{70A6F82E-2D86-3242-86F9-78665DCFE8E0}" type="pres">
      <dgm:prSet presAssocID="{9354477B-51CC-EB4E-956F-D64463847A96}" presName="node" presStyleLbl="node1" presStyleIdx="5" presStyleCnt="8" custScaleX="197178" custScaleY="107300" custRadScaleRad="109323" custRadScaleInc="55511">
        <dgm:presLayoutVars>
          <dgm:bulletEnabled val="1"/>
        </dgm:presLayoutVars>
      </dgm:prSet>
      <dgm:spPr/>
    </dgm:pt>
    <dgm:pt modelId="{742A35ED-2BEB-5544-A6C7-0897773AC230}" type="pres">
      <dgm:prSet presAssocID="{9354477B-51CC-EB4E-956F-D64463847A96}" presName="spNode" presStyleCnt="0"/>
      <dgm:spPr/>
    </dgm:pt>
    <dgm:pt modelId="{DD487AAD-DDEE-C644-83B2-A2856B8434B4}" type="pres">
      <dgm:prSet presAssocID="{17CF07E2-5620-9940-8074-1AECF9A3DA47}" presName="sibTrans" presStyleLbl="sibTrans1D1" presStyleIdx="5" presStyleCnt="8"/>
      <dgm:spPr/>
    </dgm:pt>
    <dgm:pt modelId="{13EB1141-CBF4-D940-9584-1C2B1A18FCA5}" type="pres">
      <dgm:prSet presAssocID="{FFBCDA8C-36CA-C744-A219-C32C04423441}" presName="node" presStyleLbl="node1" presStyleIdx="6" presStyleCnt="8" custScaleX="187788" custScaleY="99314" custRadScaleRad="115350" custRadScaleInc="21536">
        <dgm:presLayoutVars>
          <dgm:bulletEnabled val="1"/>
        </dgm:presLayoutVars>
      </dgm:prSet>
      <dgm:spPr/>
    </dgm:pt>
    <dgm:pt modelId="{11DACFE7-1597-E041-8979-E1A32672B479}" type="pres">
      <dgm:prSet presAssocID="{FFBCDA8C-36CA-C744-A219-C32C04423441}" presName="spNode" presStyleCnt="0"/>
      <dgm:spPr/>
    </dgm:pt>
    <dgm:pt modelId="{3C470AB3-74B0-A44A-9E51-A17A97D7E185}" type="pres">
      <dgm:prSet presAssocID="{A1CAD6C2-B2DA-B641-8DFD-76CF63C2E483}" presName="sibTrans" presStyleLbl="sibTrans1D1" presStyleIdx="6" presStyleCnt="8"/>
      <dgm:spPr/>
    </dgm:pt>
    <dgm:pt modelId="{C7494ADE-C151-4C46-9E5A-6756D43F2E70}" type="pres">
      <dgm:prSet presAssocID="{5465BA6F-AC3D-5741-AD52-9C226F2306BC}" presName="node" presStyleLbl="node1" presStyleIdx="7" presStyleCnt="8" custScaleX="181243" custScaleY="111866" custRadScaleRad="105767" custRadScaleInc="-20297">
        <dgm:presLayoutVars>
          <dgm:bulletEnabled val="1"/>
        </dgm:presLayoutVars>
      </dgm:prSet>
      <dgm:spPr/>
    </dgm:pt>
    <dgm:pt modelId="{C37B356F-25A3-7B44-A247-6AB69C438C73}" type="pres">
      <dgm:prSet presAssocID="{5465BA6F-AC3D-5741-AD52-9C226F2306BC}" presName="spNode" presStyleCnt="0"/>
      <dgm:spPr/>
    </dgm:pt>
    <dgm:pt modelId="{7B664558-5768-AD49-B31F-CE77329A8903}" type="pres">
      <dgm:prSet presAssocID="{ECB02B60-7968-CB44-8303-500947A367D7}" presName="sibTrans" presStyleLbl="sibTrans1D1" presStyleIdx="7" presStyleCnt="8"/>
      <dgm:spPr/>
    </dgm:pt>
  </dgm:ptLst>
  <dgm:cxnLst>
    <dgm:cxn modelId="{1BB96B0A-6BF3-2649-A753-DBBD21381ABC}" type="presOf" srcId="{432D7B1D-837A-E14A-9ACD-C449526FF1AE}" destId="{0976023A-9E02-2E42-ACFC-75D4E37B8C1F}" srcOrd="0" destOrd="0" presId="urn:microsoft.com/office/officeart/2005/8/layout/cycle5"/>
    <dgm:cxn modelId="{B1E42811-486A-9744-84B7-6BFB59E49D35}" srcId="{2212EC1F-398D-8440-817C-9F1B2132BF69}" destId="{FFBCDA8C-36CA-C744-A219-C32C04423441}" srcOrd="6" destOrd="0" parTransId="{ADD0B4A1-3288-C342-BF09-FF10685AB8C8}" sibTransId="{A1CAD6C2-B2DA-B641-8DFD-76CF63C2E483}"/>
    <dgm:cxn modelId="{22826122-7325-5144-BF2B-66D9AE53326F}" type="presOf" srcId="{05F958DD-F4FA-BD4D-9C89-A4999704919E}" destId="{8AB7F32F-B0EA-3C49-8BD0-2ED4D275CF65}" srcOrd="0" destOrd="0" presId="urn:microsoft.com/office/officeart/2005/8/layout/cycle5"/>
    <dgm:cxn modelId="{25FB7B35-DF6F-9B4A-9939-D6EAE1232C24}" type="presOf" srcId="{B3163386-20D3-E34E-A803-A05787E7F214}" destId="{077FA520-81A0-E143-8E58-CFBF8D2EE88F}" srcOrd="0" destOrd="0" presId="urn:microsoft.com/office/officeart/2005/8/layout/cycle5"/>
    <dgm:cxn modelId="{61171236-518D-6C4D-8D5C-C81985DBC2A0}" type="presOf" srcId="{2212EC1F-398D-8440-817C-9F1B2132BF69}" destId="{993543A2-3066-AB48-A027-D2EA9D5503F4}" srcOrd="0" destOrd="0" presId="urn:microsoft.com/office/officeart/2005/8/layout/cycle5"/>
    <dgm:cxn modelId="{402CB638-80D6-4040-94B8-FB001FCCCEC5}" type="presOf" srcId="{5465BA6F-AC3D-5741-AD52-9C226F2306BC}" destId="{C7494ADE-C151-4C46-9E5A-6756D43F2E70}" srcOrd="0" destOrd="0" presId="urn:microsoft.com/office/officeart/2005/8/layout/cycle5"/>
    <dgm:cxn modelId="{0710625B-61A1-6D4B-BB23-94F36E10E7AB}" type="presOf" srcId="{9004700C-CB9F-AD41-8542-387458A1BD2F}" destId="{AD8F6DB6-6BFC-5140-9788-3B35210BB5EC}" srcOrd="0" destOrd="0" presId="urn:microsoft.com/office/officeart/2005/8/layout/cycle5"/>
    <dgm:cxn modelId="{85204E5D-8D94-6940-83DC-0C0B3909F600}" type="presOf" srcId="{1140D0CE-575F-E640-8AE0-855FE4BC5B9F}" destId="{78C7E9DD-4A3F-3942-899A-6452D9E8E533}" srcOrd="0" destOrd="0" presId="urn:microsoft.com/office/officeart/2005/8/layout/cycle5"/>
    <dgm:cxn modelId="{A19AFB5E-E477-434D-AA51-23DCCB5BC318}" type="presOf" srcId="{17CF07E2-5620-9940-8074-1AECF9A3DA47}" destId="{DD487AAD-DDEE-C644-83B2-A2856B8434B4}" srcOrd="0" destOrd="0" presId="urn:microsoft.com/office/officeart/2005/8/layout/cycle5"/>
    <dgm:cxn modelId="{585BF96B-7DCA-9143-ACC0-E94775346BEF}" type="presOf" srcId="{6AE35E71-7DBD-D143-975C-AE7F2AFEDFDE}" destId="{B6814720-7DB9-4744-99E3-6C89BDF36DFF}" srcOrd="0" destOrd="0" presId="urn:microsoft.com/office/officeart/2005/8/layout/cycle5"/>
    <dgm:cxn modelId="{24DF486C-133F-4B40-9078-5F78CEF5A31D}" srcId="{2212EC1F-398D-8440-817C-9F1B2132BF69}" destId="{B3163386-20D3-E34E-A803-A05787E7F214}" srcOrd="3" destOrd="0" parTransId="{C325EBA9-DF52-BF4A-9883-1C80423509D0}" sibTransId="{6AE35E71-7DBD-D143-975C-AE7F2AFEDFDE}"/>
    <dgm:cxn modelId="{20688D78-FE1F-944A-9085-50F44F56521D}" type="presOf" srcId="{FFBCDA8C-36CA-C744-A219-C32C04423441}" destId="{13EB1141-CBF4-D940-9584-1C2B1A18FCA5}" srcOrd="0" destOrd="0" presId="urn:microsoft.com/office/officeart/2005/8/layout/cycle5"/>
    <dgm:cxn modelId="{B254B784-F96D-554B-BA4E-4533BB23BF02}" type="presOf" srcId="{09552A3B-D84F-1141-A8A0-D9146AFBDA5F}" destId="{59DAE41B-8776-1C47-BDEB-19028242D59A}" srcOrd="0" destOrd="0" presId="urn:microsoft.com/office/officeart/2005/8/layout/cycle5"/>
    <dgm:cxn modelId="{CF470487-1973-B948-8E2E-4A07303BB65F}" srcId="{2212EC1F-398D-8440-817C-9F1B2132BF69}" destId="{9354477B-51CC-EB4E-956F-D64463847A96}" srcOrd="5" destOrd="0" parTransId="{C0FE75E9-496E-4A4E-928D-BC7106D360C4}" sibTransId="{17CF07E2-5620-9940-8074-1AECF9A3DA47}"/>
    <dgm:cxn modelId="{FD32409E-B22F-654E-BFF8-1913E8497068}" srcId="{2212EC1F-398D-8440-817C-9F1B2132BF69}" destId="{5465BA6F-AC3D-5741-AD52-9C226F2306BC}" srcOrd="7" destOrd="0" parTransId="{326BE376-C608-104B-8A57-BED79889D473}" sibTransId="{ECB02B60-7968-CB44-8303-500947A367D7}"/>
    <dgm:cxn modelId="{44C317AB-EDAE-0E4A-926C-AD98D9F44756}" type="presOf" srcId="{9354477B-51CC-EB4E-956F-D64463847A96}" destId="{70A6F82E-2D86-3242-86F9-78665DCFE8E0}" srcOrd="0" destOrd="0" presId="urn:microsoft.com/office/officeart/2005/8/layout/cycle5"/>
    <dgm:cxn modelId="{F2281AB6-E5B0-414A-A03D-79428405F73D}" type="presOf" srcId="{ECB02B60-7968-CB44-8303-500947A367D7}" destId="{7B664558-5768-AD49-B31F-CE77329A8903}" srcOrd="0" destOrd="0" presId="urn:microsoft.com/office/officeart/2005/8/layout/cycle5"/>
    <dgm:cxn modelId="{F8FEBEC0-F089-714B-AA25-244227D11155}" srcId="{2212EC1F-398D-8440-817C-9F1B2132BF69}" destId="{A6C0DBAA-B5FC-9047-9399-3E69E152A9B5}" srcOrd="0" destOrd="0" parTransId="{B8E66930-A70B-764E-ADC2-A0D92C28CBAF}" sibTransId="{09552A3B-D84F-1141-A8A0-D9146AFBDA5F}"/>
    <dgm:cxn modelId="{BFE459C7-980B-1E49-94F7-AB67F93EBB1C}" type="presOf" srcId="{9C2521DA-AB9D-D045-B4DC-45342A01E9B7}" destId="{930031E6-4426-704F-83E4-846BF00B45F1}" srcOrd="0" destOrd="0" presId="urn:microsoft.com/office/officeart/2005/8/layout/cycle5"/>
    <dgm:cxn modelId="{DAB596C8-BD96-D54A-B5DD-09544D39954C}" srcId="{2212EC1F-398D-8440-817C-9F1B2132BF69}" destId="{432D7B1D-837A-E14A-9ACD-C449526FF1AE}" srcOrd="2" destOrd="0" parTransId="{26ECF289-F450-8F48-8E5A-25AC7AE4CDEF}" sibTransId="{1140D0CE-575F-E640-8AE0-855FE4BC5B9F}"/>
    <dgm:cxn modelId="{942791C9-0C76-9946-AA16-0F2043CBE411}" srcId="{2212EC1F-398D-8440-817C-9F1B2132BF69}" destId="{9C2521DA-AB9D-D045-B4DC-45342A01E9B7}" srcOrd="4" destOrd="0" parTransId="{1AF8E07A-05B7-0A47-948D-30B1AD40DBBC}" sibTransId="{1E5A659F-7EAF-1D43-98AF-35DB16ACC316}"/>
    <dgm:cxn modelId="{7DFA6FCD-6494-5449-ABE9-D77C0AC258ED}" type="presOf" srcId="{A1CAD6C2-B2DA-B641-8DFD-76CF63C2E483}" destId="{3C470AB3-74B0-A44A-9E51-A17A97D7E185}" srcOrd="0" destOrd="0" presId="urn:microsoft.com/office/officeart/2005/8/layout/cycle5"/>
    <dgm:cxn modelId="{E31372CE-A0FB-694E-90A0-B5B7D233F7B9}" type="presOf" srcId="{1E5A659F-7EAF-1D43-98AF-35DB16ACC316}" destId="{25A91058-2AD4-AE4F-A98B-471DD3C5E69F}" srcOrd="0" destOrd="0" presId="urn:microsoft.com/office/officeart/2005/8/layout/cycle5"/>
    <dgm:cxn modelId="{2E1BE5D3-EC04-EB4F-B2C8-29CD50845892}" type="presOf" srcId="{A6C0DBAA-B5FC-9047-9399-3E69E152A9B5}" destId="{268095E4-8613-E041-8CA2-CA65AEC7680C}" srcOrd="0" destOrd="0" presId="urn:microsoft.com/office/officeart/2005/8/layout/cycle5"/>
    <dgm:cxn modelId="{137B10E1-8791-434E-9659-DF9FB708FA3D}" srcId="{2212EC1F-398D-8440-817C-9F1B2132BF69}" destId="{05F958DD-F4FA-BD4D-9C89-A4999704919E}" srcOrd="1" destOrd="0" parTransId="{8F702BF1-22C4-194E-8C67-6FD873F82A3C}" sibTransId="{9004700C-CB9F-AD41-8542-387458A1BD2F}"/>
    <dgm:cxn modelId="{A1E992F4-97BE-F344-85FC-98EB65DF3B7C}" type="presParOf" srcId="{993543A2-3066-AB48-A027-D2EA9D5503F4}" destId="{268095E4-8613-E041-8CA2-CA65AEC7680C}" srcOrd="0" destOrd="0" presId="urn:microsoft.com/office/officeart/2005/8/layout/cycle5"/>
    <dgm:cxn modelId="{0C8965CB-512B-3E43-8474-13D4E8E5A064}" type="presParOf" srcId="{993543A2-3066-AB48-A027-D2EA9D5503F4}" destId="{1A296410-2721-9843-A175-D8DC4A6521A0}" srcOrd="1" destOrd="0" presId="urn:microsoft.com/office/officeart/2005/8/layout/cycle5"/>
    <dgm:cxn modelId="{120FFE0A-E918-0249-B047-D45837B48EEB}" type="presParOf" srcId="{993543A2-3066-AB48-A027-D2EA9D5503F4}" destId="{59DAE41B-8776-1C47-BDEB-19028242D59A}" srcOrd="2" destOrd="0" presId="urn:microsoft.com/office/officeart/2005/8/layout/cycle5"/>
    <dgm:cxn modelId="{C91CCAA1-6995-FB42-BA4E-D5D0B46E2D0B}" type="presParOf" srcId="{993543A2-3066-AB48-A027-D2EA9D5503F4}" destId="{8AB7F32F-B0EA-3C49-8BD0-2ED4D275CF65}" srcOrd="3" destOrd="0" presId="urn:microsoft.com/office/officeart/2005/8/layout/cycle5"/>
    <dgm:cxn modelId="{7CD5DC09-63F6-B042-9189-F2D0D8CA13A6}" type="presParOf" srcId="{993543A2-3066-AB48-A027-D2EA9D5503F4}" destId="{552D5630-3B8C-DE43-B8DE-748B5CD4D4DD}" srcOrd="4" destOrd="0" presId="urn:microsoft.com/office/officeart/2005/8/layout/cycle5"/>
    <dgm:cxn modelId="{95EA482F-63F4-0142-8CCC-042C3D66D746}" type="presParOf" srcId="{993543A2-3066-AB48-A027-D2EA9D5503F4}" destId="{AD8F6DB6-6BFC-5140-9788-3B35210BB5EC}" srcOrd="5" destOrd="0" presId="urn:microsoft.com/office/officeart/2005/8/layout/cycle5"/>
    <dgm:cxn modelId="{BD3CC6B2-91EF-8043-A19F-96FA40D47C20}" type="presParOf" srcId="{993543A2-3066-AB48-A027-D2EA9D5503F4}" destId="{0976023A-9E02-2E42-ACFC-75D4E37B8C1F}" srcOrd="6" destOrd="0" presId="urn:microsoft.com/office/officeart/2005/8/layout/cycle5"/>
    <dgm:cxn modelId="{DAB25D1B-3BE3-3B4B-B396-A8DDFA26E596}" type="presParOf" srcId="{993543A2-3066-AB48-A027-D2EA9D5503F4}" destId="{57283E9A-B1AF-B943-B6F9-0DC0662B0B52}" srcOrd="7" destOrd="0" presId="urn:microsoft.com/office/officeart/2005/8/layout/cycle5"/>
    <dgm:cxn modelId="{7D03C27C-EDB4-ED4C-AAA3-882B5AD02BAD}" type="presParOf" srcId="{993543A2-3066-AB48-A027-D2EA9D5503F4}" destId="{78C7E9DD-4A3F-3942-899A-6452D9E8E533}" srcOrd="8" destOrd="0" presId="urn:microsoft.com/office/officeart/2005/8/layout/cycle5"/>
    <dgm:cxn modelId="{2BBB3423-CBF6-AD40-8BC7-0E9517AB6B61}" type="presParOf" srcId="{993543A2-3066-AB48-A027-D2EA9D5503F4}" destId="{077FA520-81A0-E143-8E58-CFBF8D2EE88F}" srcOrd="9" destOrd="0" presId="urn:microsoft.com/office/officeart/2005/8/layout/cycle5"/>
    <dgm:cxn modelId="{B30A1B95-6ED7-754C-B547-DF532AB092C9}" type="presParOf" srcId="{993543A2-3066-AB48-A027-D2EA9D5503F4}" destId="{AA54A991-FF28-AD4E-A69C-C7A11E2AAF23}" srcOrd="10" destOrd="0" presId="urn:microsoft.com/office/officeart/2005/8/layout/cycle5"/>
    <dgm:cxn modelId="{A5A8F17B-A7FC-E344-B4F2-5D13E935CCA0}" type="presParOf" srcId="{993543A2-3066-AB48-A027-D2EA9D5503F4}" destId="{B6814720-7DB9-4744-99E3-6C89BDF36DFF}" srcOrd="11" destOrd="0" presId="urn:microsoft.com/office/officeart/2005/8/layout/cycle5"/>
    <dgm:cxn modelId="{58AC960A-E546-524A-8CF5-3F32309DF797}" type="presParOf" srcId="{993543A2-3066-AB48-A027-D2EA9D5503F4}" destId="{930031E6-4426-704F-83E4-846BF00B45F1}" srcOrd="12" destOrd="0" presId="urn:microsoft.com/office/officeart/2005/8/layout/cycle5"/>
    <dgm:cxn modelId="{7681A4D7-78E6-B946-B4AD-F0531D0D3235}" type="presParOf" srcId="{993543A2-3066-AB48-A027-D2EA9D5503F4}" destId="{C2274E34-9A1B-DD47-AF88-F4699C2B257F}" srcOrd="13" destOrd="0" presId="urn:microsoft.com/office/officeart/2005/8/layout/cycle5"/>
    <dgm:cxn modelId="{AE33D188-39AF-C74A-B88E-1AF2A8D767E4}" type="presParOf" srcId="{993543A2-3066-AB48-A027-D2EA9D5503F4}" destId="{25A91058-2AD4-AE4F-A98B-471DD3C5E69F}" srcOrd="14" destOrd="0" presId="urn:microsoft.com/office/officeart/2005/8/layout/cycle5"/>
    <dgm:cxn modelId="{DB1D830D-309D-6F42-8972-EEE2256FCA11}" type="presParOf" srcId="{993543A2-3066-AB48-A027-D2EA9D5503F4}" destId="{70A6F82E-2D86-3242-86F9-78665DCFE8E0}" srcOrd="15" destOrd="0" presId="urn:microsoft.com/office/officeart/2005/8/layout/cycle5"/>
    <dgm:cxn modelId="{8CCEF2AA-0D7C-CE4B-B5CE-94BA4DEBAC5E}" type="presParOf" srcId="{993543A2-3066-AB48-A027-D2EA9D5503F4}" destId="{742A35ED-2BEB-5544-A6C7-0897773AC230}" srcOrd="16" destOrd="0" presId="urn:microsoft.com/office/officeart/2005/8/layout/cycle5"/>
    <dgm:cxn modelId="{DE8918BB-C21C-B34C-8042-4625D0EA43F6}" type="presParOf" srcId="{993543A2-3066-AB48-A027-D2EA9D5503F4}" destId="{DD487AAD-DDEE-C644-83B2-A2856B8434B4}" srcOrd="17" destOrd="0" presId="urn:microsoft.com/office/officeart/2005/8/layout/cycle5"/>
    <dgm:cxn modelId="{04AF8A03-E3D8-CC4B-BCCE-6BEA7725A6AF}" type="presParOf" srcId="{993543A2-3066-AB48-A027-D2EA9D5503F4}" destId="{13EB1141-CBF4-D940-9584-1C2B1A18FCA5}" srcOrd="18" destOrd="0" presId="urn:microsoft.com/office/officeart/2005/8/layout/cycle5"/>
    <dgm:cxn modelId="{74BD39B4-96C0-DF44-8CD3-2BBB1BC801F5}" type="presParOf" srcId="{993543A2-3066-AB48-A027-D2EA9D5503F4}" destId="{11DACFE7-1597-E041-8979-E1A32672B479}" srcOrd="19" destOrd="0" presId="urn:microsoft.com/office/officeart/2005/8/layout/cycle5"/>
    <dgm:cxn modelId="{0766EDA6-7F10-E24B-ACA4-259656D80C31}" type="presParOf" srcId="{993543A2-3066-AB48-A027-D2EA9D5503F4}" destId="{3C470AB3-74B0-A44A-9E51-A17A97D7E185}" srcOrd="20" destOrd="0" presId="urn:microsoft.com/office/officeart/2005/8/layout/cycle5"/>
    <dgm:cxn modelId="{956B56FB-9A13-0A4A-872C-77456F22147E}" type="presParOf" srcId="{993543A2-3066-AB48-A027-D2EA9D5503F4}" destId="{C7494ADE-C151-4C46-9E5A-6756D43F2E70}" srcOrd="21" destOrd="0" presId="urn:microsoft.com/office/officeart/2005/8/layout/cycle5"/>
    <dgm:cxn modelId="{80C21996-DCD5-0541-BF04-6E887D93A5EE}" type="presParOf" srcId="{993543A2-3066-AB48-A027-D2EA9D5503F4}" destId="{C37B356F-25A3-7B44-A247-6AB69C438C73}" srcOrd="22" destOrd="0" presId="urn:microsoft.com/office/officeart/2005/8/layout/cycle5"/>
    <dgm:cxn modelId="{11522889-D57F-2842-9AAB-E9303A2D19E5}" type="presParOf" srcId="{993543A2-3066-AB48-A027-D2EA9D5503F4}" destId="{7B664558-5768-AD49-B31F-CE77329A8903}" srcOrd="23" destOrd="0" presId="urn:microsoft.com/office/officeart/2005/8/layout/cycle5"/>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8095E4-8613-E041-8CA2-CA65AEC7680C}">
      <dsp:nvSpPr>
        <dsp:cNvPr id="0" name=""/>
        <dsp:cNvSpPr/>
      </dsp:nvSpPr>
      <dsp:spPr>
        <a:xfrm>
          <a:off x="2050546" y="-69660"/>
          <a:ext cx="1045212" cy="51932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Identification of a specific experience/situation</a:t>
          </a:r>
        </a:p>
      </dsp:txBody>
      <dsp:txXfrm>
        <a:off x="2075897" y="-44309"/>
        <a:ext cx="994510" cy="468623"/>
      </dsp:txXfrm>
    </dsp:sp>
    <dsp:sp modelId="{59DAE41B-8776-1C47-BDEB-19028242D59A}">
      <dsp:nvSpPr>
        <dsp:cNvPr id="0" name=""/>
        <dsp:cNvSpPr/>
      </dsp:nvSpPr>
      <dsp:spPr>
        <a:xfrm>
          <a:off x="1492365" y="277576"/>
          <a:ext cx="3206290" cy="3206290"/>
        </a:xfrm>
        <a:custGeom>
          <a:avLst/>
          <a:gdLst/>
          <a:ahLst/>
          <a:cxnLst/>
          <a:rect l="0" t="0" r="0" b="0"/>
          <a:pathLst>
            <a:path>
              <a:moveTo>
                <a:pt x="1744281" y="6224"/>
              </a:moveTo>
              <a:arcTo wR="1603145" hR="1603145" stAng="16503040" swAng="919999"/>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AB7F32F-B0EA-3C49-8BD0-2ED4D275CF65}">
      <dsp:nvSpPr>
        <dsp:cNvPr id="0" name=""/>
        <dsp:cNvSpPr/>
      </dsp:nvSpPr>
      <dsp:spPr>
        <a:xfrm>
          <a:off x="3250685" y="432853"/>
          <a:ext cx="1562979" cy="54128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A 'thick' description: Building a multi-layered description from as many perspectives as possible including one's own.</a:t>
          </a:r>
        </a:p>
      </dsp:txBody>
      <dsp:txXfrm>
        <a:off x="3277108" y="459276"/>
        <a:ext cx="1510133" cy="488438"/>
      </dsp:txXfrm>
    </dsp:sp>
    <dsp:sp modelId="{AD8F6DB6-6BFC-5140-9788-3B35210BB5EC}">
      <dsp:nvSpPr>
        <dsp:cNvPr id="0" name=""/>
        <dsp:cNvSpPr/>
      </dsp:nvSpPr>
      <dsp:spPr>
        <a:xfrm>
          <a:off x="1244845" y="233108"/>
          <a:ext cx="3206290" cy="3206290"/>
        </a:xfrm>
        <a:custGeom>
          <a:avLst/>
          <a:gdLst/>
          <a:ahLst/>
          <a:cxnLst/>
          <a:rect l="0" t="0" r="0" b="0"/>
          <a:pathLst>
            <a:path>
              <a:moveTo>
                <a:pt x="3010035" y="834552"/>
              </a:moveTo>
              <a:arcTo wR="1603145" hR="1603145" stAng="19881117" swAng="70469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0976023A-9E02-2E42-ACFC-75D4E37B8C1F}">
      <dsp:nvSpPr>
        <dsp:cNvPr id="0" name=""/>
        <dsp:cNvSpPr/>
      </dsp:nvSpPr>
      <dsp:spPr>
        <a:xfrm>
          <a:off x="3534651" y="1475090"/>
          <a:ext cx="1804332" cy="55506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Critical reflection drawing on appropriate perspectives for example historical, sociologicla, psychological, economic, theological.</a:t>
          </a:r>
        </a:p>
      </dsp:txBody>
      <dsp:txXfrm>
        <a:off x="3561747" y="1502186"/>
        <a:ext cx="1750140" cy="500869"/>
      </dsp:txXfrm>
    </dsp:sp>
    <dsp:sp modelId="{78C7E9DD-4A3F-3942-899A-6452D9E8E533}">
      <dsp:nvSpPr>
        <dsp:cNvPr id="0" name=""/>
        <dsp:cNvSpPr/>
      </dsp:nvSpPr>
      <dsp:spPr>
        <a:xfrm>
          <a:off x="1245878" y="118119"/>
          <a:ext cx="3206290" cy="3206290"/>
        </a:xfrm>
        <a:custGeom>
          <a:avLst/>
          <a:gdLst/>
          <a:ahLst/>
          <a:cxnLst/>
          <a:rect l="0" t="0" r="0" b="0"/>
          <a:pathLst>
            <a:path>
              <a:moveTo>
                <a:pt x="3142756" y="2049993"/>
              </a:moveTo>
              <a:arcTo wR="1603145" hR="1603145" stAng="971073" swAng="92633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077FA520-81A0-E143-8E58-CFBF8D2EE88F}">
      <dsp:nvSpPr>
        <dsp:cNvPr id="0" name=""/>
        <dsp:cNvSpPr/>
      </dsp:nvSpPr>
      <dsp:spPr>
        <a:xfrm>
          <a:off x="3288508" y="2679322"/>
          <a:ext cx="1334348" cy="51799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Engaging in dialogue with the appropriate faith tradition</a:t>
          </a:r>
        </a:p>
      </dsp:txBody>
      <dsp:txXfrm>
        <a:off x="3313795" y="2704609"/>
        <a:ext cx="1283774" cy="467423"/>
      </dsp:txXfrm>
    </dsp:sp>
    <dsp:sp modelId="{B6814720-7DB9-4744-99E3-6C89BDF36DFF}">
      <dsp:nvSpPr>
        <dsp:cNvPr id="0" name=""/>
        <dsp:cNvSpPr/>
      </dsp:nvSpPr>
      <dsp:spPr>
        <a:xfrm>
          <a:off x="1427958" y="133451"/>
          <a:ext cx="3206290" cy="3206290"/>
        </a:xfrm>
        <a:custGeom>
          <a:avLst/>
          <a:gdLst/>
          <a:ahLst/>
          <a:cxnLst/>
          <a:rect l="0" t="0" r="0" b="0"/>
          <a:pathLst>
            <a:path>
              <a:moveTo>
                <a:pt x="2132015" y="3116543"/>
              </a:moveTo>
              <a:arcTo wR="1603145" hR="1603145" stAng="4244256" swAng="925548"/>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30031E6-4426-704F-83E4-846BF00B45F1}">
      <dsp:nvSpPr>
        <dsp:cNvPr id="0" name=""/>
        <dsp:cNvSpPr/>
      </dsp:nvSpPr>
      <dsp:spPr>
        <a:xfrm>
          <a:off x="2149748" y="3053896"/>
          <a:ext cx="846809" cy="68479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Allowing time and space for new insight and understanding to emerge</a:t>
          </a:r>
        </a:p>
      </dsp:txBody>
      <dsp:txXfrm>
        <a:off x="2183177" y="3087325"/>
        <a:ext cx="779951" cy="617935"/>
      </dsp:txXfrm>
    </dsp:sp>
    <dsp:sp modelId="{25A91058-2AD4-AE4F-A98B-471DD3C5E69F}">
      <dsp:nvSpPr>
        <dsp:cNvPr id="0" name=""/>
        <dsp:cNvSpPr/>
      </dsp:nvSpPr>
      <dsp:spPr>
        <a:xfrm>
          <a:off x="656998" y="136885"/>
          <a:ext cx="3206290" cy="3206290"/>
        </a:xfrm>
        <a:custGeom>
          <a:avLst/>
          <a:gdLst/>
          <a:ahLst/>
          <a:cxnLst/>
          <a:rect l="0" t="0" r="0" b="0"/>
          <a:pathLst>
            <a:path>
              <a:moveTo>
                <a:pt x="1334103" y="3183554"/>
              </a:moveTo>
              <a:arcTo wR="1603145" hR="1603145" stAng="5979671" swAng="1046524"/>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70A6F82E-2D86-3242-86F9-78665DCFE8E0}">
      <dsp:nvSpPr>
        <dsp:cNvPr id="0" name=""/>
        <dsp:cNvSpPr/>
      </dsp:nvSpPr>
      <dsp:spPr>
        <a:xfrm>
          <a:off x="467909" y="2592451"/>
          <a:ext cx="1399118" cy="49489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Deciding on and planning action in the light of what has emerged</a:t>
          </a:r>
        </a:p>
      </dsp:txBody>
      <dsp:txXfrm>
        <a:off x="492068" y="2616610"/>
        <a:ext cx="1350800" cy="446572"/>
      </dsp:txXfrm>
    </dsp:sp>
    <dsp:sp modelId="{DD487AAD-DDEE-C644-83B2-A2856B8434B4}">
      <dsp:nvSpPr>
        <dsp:cNvPr id="0" name=""/>
        <dsp:cNvSpPr/>
      </dsp:nvSpPr>
      <dsp:spPr>
        <a:xfrm>
          <a:off x="705111" y="44058"/>
          <a:ext cx="3206290" cy="3206290"/>
        </a:xfrm>
        <a:custGeom>
          <a:avLst/>
          <a:gdLst/>
          <a:ahLst/>
          <a:cxnLst/>
          <a:rect l="0" t="0" r="0" b="0"/>
          <a:pathLst>
            <a:path>
              <a:moveTo>
                <a:pt x="227476" y="2426316"/>
              </a:moveTo>
              <a:arcTo wR="1603145" hR="1603145" stAng="8946275" swAng="956224"/>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13EB1141-CBF4-D940-9584-1C2B1A18FCA5}">
      <dsp:nvSpPr>
        <dsp:cNvPr id="0" name=""/>
        <dsp:cNvSpPr/>
      </dsp:nvSpPr>
      <dsp:spPr>
        <a:xfrm>
          <a:off x="60618" y="1459913"/>
          <a:ext cx="1332489" cy="45805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Implementing the course of action</a:t>
          </a:r>
        </a:p>
      </dsp:txBody>
      <dsp:txXfrm>
        <a:off x="82978" y="1482273"/>
        <a:ext cx="1287769" cy="413337"/>
      </dsp:txXfrm>
    </dsp:sp>
    <dsp:sp modelId="{3C470AB3-74B0-A44A-9E51-A17A97D7E185}">
      <dsp:nvSpPr>
        <dsp:cNvPr id="0" name=""/>
        <dsp:cNvSpPr/>
      </dsp:nvSpPr>
      <dsp:spPr>
        <a:xfrm>
          <a:off x="634354" y="464952"/>
          <a:ext cx="3206290" cy="3206290"/>
        </a:xfrm>
        <a:custGeom>
          <a:avLst/>
          <a:gdLst/>
          <a:ahLst/>
          <a:cxnLst/>
          <a:rect l="0" t="0" r="0" b="0"/>
          <a:pathLst>
            <a:path>
              <a:moveTo>
                <a:pt x="174421" y="875944"/>
              </a:moveTo>
              <a:arcTo wR="1603145" hR="1603145" stAng="12418529" swAng="852500"/>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C7494ADE-C151-4C46-9E5A-6756D43F2E70}">
      <dsp:nvSpPr>
        <dsp:cNvPr id="0" name=""/>
        <dsp:cNvSpPr/>
      </dsp:nvSpPr>
      <dsp:spPr>
        <a:xfrm>
          <a:off x="669171" y="401576"/>
          <a:ext cx="1286047" cy="51594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Garamond" panose="02020404030301010803" pitchFamily="18" charset="0"/>
            </a:rPr>
            <a:t>Begin another cycle of reflection...</a:t>
          </a:r>
        </a:p>
      </dsp:txBody>
      <dsp:txXfrm>
        <a:off x="694358" y="426763"/>
        <a:ext cx="1235673" cy="465575"/>
      </dsp:txXfrm>
    </dsp:sp>
    <dsp:sp modelId="{7B664558-5768-AD49-B31F-CE77329A8903}">
      <dsp:nvSpPr>
        <dsp:cNvPr id="0" name=""/>
        <dsp:cNvSpPr/>
      </dsp:nvSpPr>
      <dsp:spPr>
        <a:xfrm>
          <a:off x="649052" y="264843"/>
          <a:ext cx="3206290" cy="3206290"/>
        </a:xfrm>
        <a:custGeom>
          <a:avLst/>
          <a:gdLst/>
          <a:ahLst/>
          <a:cxnLst/>
          <a:rect l="0" t="0" r="0" b="0"/>
          <a:pathLst>
            <a:path>
              <a:moveTo>
                <a:pt x="1041051" y="101770"/>
              </a:moveTo>
              <a:arcTo wR="1603145" hR="1603145" stAng="14968487" swAng="59933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069195A6-DB12-0241-82CB-1252CD49A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589</TotalTime>
  <Pages>14</Pages>
  <Words>6022</Words>
  <Characters>34326</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34</cp:revision>
  <dcterms:created xsi:type="dcterms:W3CDTF">2023-01-25T21:35:00Z</dcterms:created>
  <dcterms:modified xsi:type="dcterms:W3CDTF">2023-03-13T18:25:00Z</dcterms:modified>
</cp:coreProperties>
</file>