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B66FA" w14:textId="77777777" w:rsidR="00746938" w:rsidRPr="009A35D7" w:rsidRDefault="00FA5D00" w:rsidP="00772C6B">
      <w:pPr>
        <w:pStyle w:val="Titel"/>
        <w:rPr>
          <w:sz w:val="44"/>
          <w:szCs w:val="44"/>
        </w:rPr>
      </w:pPr>
      <w:r>
        <w:rPr>
          <w:sz w:val="44"/>
          <w:szCs w:val="44"/>
        </w:rPr>
        <w:t>Be</w:t>
      </w:r>
      <w:r w:rsidR="008B3135" w:rsidRPr="009A35D7">
        <w:rPr>
          <w:sz w:val="44"/>
          <w:szCs w:val="44"/>
        </w:rPr>
        <w:t>hoorlijke wetgeving in de adviespraktijk van de afdeling Wetgeving van de Raad van State (201</w:t>
      </w:r>
      <w:r w:rsidR="005A63A6">
        <w:rPr>
          <w:sz w:val="44"/>
          <w:szCs w:val="44"/>
        </w:rPr>
        <w:t>9</w:t>
      </w:r>
      <w:r w:rsidR="008B3135" w:rsidRPr="009A35D7">
        <w:rPr>
          <w:sz w:val="44"/>
          <w:szCs w:val="44"/>
        </w:rPr>
        <w:t xml:space="preserve"> en 20</w:t>
      </w:r>
      <w:r w:rsidR="005A63A6">
        <w:rPr>
          <w:sz w:val="44"/>
          <w:szCs w:val="44"/>
        </w:rPr>
        <w:t>20</w:t>
      </w:r>
      <w:r w:rsidR="008B3135" w:rsidRPr="009A35D7">
        <w:rPr>
          <w:sz w:val="44"/>
          <w:szCs w:val="44"/>
        </w:rPr>
        <w:t>)</w:t>
      </w:r>
    </w:p>
    <w:p w14:paraId="780A5105" w14:textId="77777777" w:rsidR="00D7687A" w:rsidRPr="009A35D7" w:rsidRDefault="00D7687A" w:rsidP="00532989">
      <w:pPr>
        <w:spacing w:after="0" w:line="240" w:lineRule="auto"/>
        <w:jc w:val="both"/>
      </w:pPr>
    </w:p>
    <w:p w14:paraId="3ED3229B" w14:textId="77777777" w:rsidR="00F55351" w:rsidRDefault="008B3135" w:rsidP="00F55351">
      <w:pPr>
        <w:spacing w:after="0" w:line="240" w:lineRule="auto"/>
        <w:jc w:val="both"/>
      </w:pPr>
      <w:r w:rsidRPr="009A35D7">
        <w:t>Tim Corthaut</w:t>
      </w:r>
      <w:r w:rsidRPr="009A35D7">
        <w:rPr>
          <w:rStyle w:val="Voetnootmarkering"/>
        </w:rPr>
        <w:footnoteReference w:id="1"/>
      </w:r>
      <w:r w:rsidRPr="009A35D7">
        <w:t>, Johan Riemslagh</w:t>
      </w:r>
      <w:r w:rsidRPr="009A35D7">
        <w:rPr>
          <w:rStyle w:val="Voetnootmarkering"/>
        </w:rPr>
        <w:footnoteReference w:id="2"/>
      </w:r>
      <w:r w:rsidRPr="009A35D7">
        <w:t xml:space="preserve">, </w:t>
      </w:r>
      <w:r w:rsidR="005A63A6">
        <w:t>Dries Van Eeckhoutte,</w:t>
      </w:r>
      <w:r w:rsidR="005A63A6">
        <w:rPr>
          <w:rStyle w:val="Voetnootmarkering"/>
        </w:rPr>
        <w:footnoteReference w:id="3"/>
      </w:r>
      <w:r w:rsidR="005A63A6">
        <w:t xml:space="preserve"> </w:t>
      </w:r>
      <w:r w:rsidRPr="009A35D7">
        <w:t>Frédéric Vanneste</w:t>
      </w:r>
      <w:r w:rsidRPr="009A35D7">
        <w:rPr>
          <w:rStyle w:val="Voetnootmarkering"/>
        </w:rPr>
        <w:footnoteReference w:id="4"/>
      </w:r>
      <w:r w:rsidRPr="009A35D7">
        <w:t xml:space="preserve"> en Jeroen Van Nieuwenhove</w:t>
      </w:r>
      <w:r w:rsidRPr="009A35D7">
        <w:rPr>
          <w:rStyle w:val="Voetnootmarkering"/>
        </w:rPr>
        <w:footnoteReference w:id="5"/>
      </w:r>
    </w:p>
    <w:p w14:paraId="1DEEF305" w14:textId="4369AAAD" w:rsidR="00942D88" w:rsidRDefault="00942D88"/>
    <w:p w14:paraId="2E623142" w14:textId="113B25C8" w:rsidR="003F770A" w:rsidRDefault="0088374A">
      <w:pPr>
        <w:pStyle w:val="Inhopg2"/>
        <w:tabs>
          <w:tab w:val="right" w:leader="dot" w:pos="9062"/>
        </w:tabs>
        <w:rPr>
          <w:rFonts w:eastAsiaTheme="minorEastAsia"/>
          <w:noProof/>
          <w:lang w:eastAsia="nl-BE"/>
        </w:rPr>
      </w:pPr>
      <w:r>
        <w:fldChar w:fldCharType="begin"/>
      </w:r>
      <w:r>
        <w:instrText xml:space="preserve"> TOC \o "1-5" \h \z \u </w:instrText>
      </w:r>
      <w:r>
        <w:fldChar w:fldCharType="separate"/>
      </w:r>
      <w:hyperlink w:anchor="_Toc70499134" w:history="1">
        <w:r w:rsidR="003F770A" w:rsidRPr="0022734C">
          <w:rPr>
            <w:rStyle w:val="Hyperlink"/>
            <w:noProof/>
          </w:rPr>
          <w:t>I. Inleiding</w:t>
        </w:r>
        <w:r w:rsidR="003F770A">
          <w:rPr>
            <w:noProof/>
            <w:webHidden/>
          </w:rPr>
          <w:tab/>
        </w:r>
        <w:r w:rsidR="003F770A">
          <w:rPr>
            <w:noProof/>
            <w:webHidden/>
          </w:rPr>
          <w:fldChar w:fldCharType="begin"/>
        </w:r>
        <w:r w:rsidR="003F770A">
          <w:rPr>
            <w:noProof/>
            <w:webHidden/>
          </w:rPr>
          <w:instrText xml:space="preserve"> PAGEREF _Toc70499134 \h </w:instrText>
        </w:r>
        <w:r w:rsidR="003F770A">
          <w:rPr>
            <w:noProof/>
            <w:webHidden/>
          </w:rPr>
        </w:r>
        <w:r w:rsidR="003F770A">
          <w:rPr>
            <w:noProof/>
            <w:webHidden/>
          </w:rPr>
          <w:fldChar w:fldCharType="separate"/>
        </w:r>
        <w:r w:rsidR="003F770A">
          <w:rPr>
            <w:noProof/>
            <w:webHidden/>
          </w:rPr>
          <w:t>2</w:t>
        </w:r>
        <w:r w:rsidR="003F770A">
          <w:rPr>
            <w:noProof/>
            <w:webHidden/>
          </w:rPr>
          <w:fldChar w:fldCharType="end"/>
        </w:r>
      </w:hyperlink>
    </w:p>
    <w:p w14:paraId="08087996" w14:textId="692EC5C6" w:rsidR="003F770A" w:rsidRDefault="003F770A">
      <w:pPr>
        <w:pStyle w:val="Inhopg2"/>
        <w:tabs>
          <w:tab w:val="right" w:leader="dot" w:pos="9062"/>
        </w:tabs>
        <w:rPr>
          <w:rFonts w:eastAsiaTheme="minorEastAsia"/>
          <w:noProof/>
          <w:lang w:eastAsia="nl-BE"/>
        </w:rPr>
      </w:pPr>
      <w:hyperlink w:anchor="_Toc70499135" w:history="1">
        <w:r w:rsidRPr="0022734C">
          <w:rPr>
            <w:rStyle w:val="Hyperlink"/>
            <w:noProof/>
          </w:rPr>
          <w:t>II. Normenhiërarchie</w:t>
        </w:r>
        <w:r>
          <w:rPr>
            <w:noProof/>
            <w:webHidden/>
          </w:rPr>
          <w:tab/>
        </w:r>
        <w:r>
          <w:rPr>
            <w:noProof/>
            <w:webHidden/>
          </w:rPr>
          <w:fldChar w:fldCharType="begin"/>
        </w:r>
        <w:r>
          <w:rPr>
            <w:noProof/>
            <w:webHidden/>
          </w:rPr>
          <w:instrText xml:space="preserve"> PAGEREF _Toc70499135 \h </w:instrText>
        </w:r>
        <w:r>
          <w:rPr>
            <w:noProof/>
            <w:webHidden/>
          </w:rPr>
        </w:r>
        <w:r>
          <w:rPr>
            <w:noProof/>
            <w:webHidden/>
          </w:rPr>
          <w:fldChar w:fldCharType="separate"/>
        </w:r>
        <w:r>
          <w:rPr>
            <w:noProof/>
            <w:webHidden/>
          </w:rPr>
          <w:t>4</w:t>
        </w:r>
        <w:r>
          <w:rPr>
            <w:noProof/>
            <w:webHidden/>
          </w:rPr>
          <w:fldChar w:fldCharType="end"/>
        </w:r>
      </w:hyperlink>
    </w:p>
    <w:p w14:paraId="482D2358" w14:textId="289E2A81" w:rsidR="003F770A" w:rsidRDefault="003F770A">
      <w:pPr>
        <w:pStyle w:val="Inhopg2"/>
        <w:tabs>
          <w:tab w:val="right" w:leader="dot" w:pos="9062"/>
        </w:tabs>
        <w:rPr>
          <w:rFonts w:eastAsiaTheme="minorEastAsia"/>
          <w:noProof/>
          <w:lang w:eastAsia="nl-BE"/>
        </w:rPr>
      </w:pPr>
      <w:hyperlink w:anchor="_Toc70499136" w:history="1">
        <w:r w:rsidRPr="0022734C">
          <w:rPr>
            <w:rStyle w:val="Hyperlink"/>
            <w:noProof/>
          </w:rPr>
          <w:t>III. Normatieve kracht</w:t>
        </w:r>
        <w:r>
          <w:rPr>
            <w:noProof/>
            <w:webHidden/>
          </w:rPr>
          <w:tab/>
        </w:r>
        <w:r>
          <w:rPr>
            <w:noProof/>
            <w:webHidden/>
          </w:rPr>
          <w:fldChar w:fldCharType="begin"/>
        </w:r>
        <w:r>
          <w:rPr>
            <w:noProof/>
            <w:webHidden/>
          </w:rPr>
          <w:instrText xml:space="preserve"> PAGEREF _Toc70499136 \h </w:instrText>
        </w:r>
        <w:r>
          <w:rPr>
            <w:noProof/>
            <w:webHidden/>
          </w:rPr>
        </w:r>
        <w:r>
          <w:rPr>
            <w:noProof/>
            <w:webHidden/>
          </w:rPr>
          <w:fldChar w:fldCharType="separate"/>
        </w:r>
        <w:r>
          <w:rPr>
            <w:noProof/>
            <w:webHidden/>
          </w:rPr>
          <w:t>5</w:t>
        </w:r>
        <w:r>
          <w:rPr>
            <w:noProof/>
            <w:webHidden/>
          </w:rPr>
          <w:fldChar w:fldCharType="end"/>
        </w:r>
      </w:hyperlink>
    </w:p>
    <w:p w14:paraId="06B1B51F" w14:textId="3B6DFA7A" w:rsidR="003F770A" w:rsidRDefault="003F770A">
      <w:pPr>
        <w:pStyle w:val="Inhopg2"/>
        <w:tabs>
          <w:tab w:val="right" w:leader="dot" w:pos="9062"/>
        </w:tabs>
        <w:rPr>
          <w:rFonts w:eastAsiaTheme="minorEastAsia"/>
          <w:noProof/>
          <w:lang w:eastAsia="nl-BE"/>
        </w:rPr>
      </w:pPr>
      <w:hyperlink w:anchor="_Toc70499137" w:history="1">
        <w:r w:rsidRPr="0022734C">
          <w:rPr>
            <w:rStyle w:val="Hyperlink"/>
            <w:noProof/>
          </w:rPr>
          <w:t>IV. Externe betrekkingen</w:t>
        </w:r>
        <w:r>
          <w:rPr>
            <w:noProof/>
            <w:webHidden/>
          </w:rPr>
          <w:tab/>
        </w:r>
        <w:r>
          <w:rPr>
            <w:noProof/>
            <w:webHidden/>
          </w:rPr>
          <w:fldChar w:fldCharType="begin"/>
        </w:r>
        <w:r>
          <w:rPr>
            <w:noProof/>
            <w:webHidden/>
          </w:rPr>
          <w:instrText xml:space="preserve"> PAGEREF _Toc70499137 \h </w:instrText>
        </w:r>
        <w:r>
          <w:rPr>
            <w:noProof/>
            <w:webHidden/>
          </w:rPr>
        </w:r>
        <w:r>
          <w:rPr>
            <w:noProof/>
            <w:webHidden/>
          </w:rPr>
          <w:fldChar w:fldCharType="separate"/>
        </w:r>
        <w:r>
          <w:rPr>
            <w:noProof/>
            <w:webHidden/>
          </w:rPr>
          <w:t>7</w:t>
        </w:r>
        <w:r>
          <w:rPr>
            <w:noProof/>
            <w:webHidden/>
          </w:rPr>
          <w:fldChar w:fldCharType="end"/>
        </w:r>
      </w:hyperlink>
    </w:p>
    <w:p w14:paraId="6A7E2B0B" w14:textId="40B6C0C0" w:rsidR="003F770A" w:rsidRDefault="003F770A">
      <w:pPr>
        <w:pStyle w:val="Inhopg2"/>
        <w:tabs>
          <w:tab w:val="right" w:leader="dot" w:pos="9062"/>
        </w:tabs>
        <w:rPr>
          <w:rFonts w:eastAsiaTheme="minorEastAsia"/>
          <w:noProof/>
          <w:lang w:eastAsia="nl-BE"/>
        </w:rPr>
      </w:pPr>
      <w:hyperlink w:anchor="_Toc70499138" w:history="1">
        <w:r w:rsidRPr="0022734C">
          <w:rPr>
            <w:rStyle w:val="Hyperlink"/>
            <w:noProof/>
          </w:rPr>
          <w:t>V. Implementatie van Europees recht</w:t>
        </w:r>
        <w:r>
          <w:rPr>
            <w:noProof/>
            <w:webHidden/>
          </w:rPr>
          <w:tab/>
        </w:r>
        <w:r>
          <w:rPr>
            <w:noProof/>
            <w:webHidden/>
          </w:rPr>
          <w:fldChar w:fldCharType="begin"/>
        </w:r>
        <w:r>
          <w:rPr>
            <w:noProof/>
            <w:webHidden/>
          </w:rPr>
          <w:instrText xml:space="preserve"> PAGEREF _Toc70499138 \h </w:instrText>
        </w:r>
        <w:r>
          <w:rPr>
            <w:noProof/>
            <w:webHidden/>
          </w:rPr>
        </w:r>
        <w:r>
          <w:rPr>
            <w:noProof/>
            <w:webHidden/>
          </w:rPr>
          <w:fldChar w:fldCharType="separate"/>
        </w:r>
        <w:r>
          <w:rPr>
            <w:noProof/>
            <w:webHidden/>
          </w:rPr>
          <w:t>11</w:t>
        </w:r>
        <w:r>
          <w:rPr>
            <w:noProof/>
            <w:webHidden/>
          </w:rPr>
          <w:fldChar w:fldCharType="end"/>
        </w:r>
      </w:hyperlink>
    </w:p>
    <w:p w14:paraId="05463B76" w14:textId="25B541DE" w:rsidR="003F770A" w:rsidRDefault="003F770A">
      <w:pPr>
        <w:pStyle w:val="Inhopg2"/>
        <w:tabs>
          <w:tab w:val="right" w:leader="dot" w:pos="9062"/>
        </w:tabs>
        <w:rPr>
          <w:rFonts w:eastAsiaTheme="minorEastAsia"/>
          <w:noProof/>
          <w:lang w:eastAsia="nl-BE"/>
        </w:rPr>
      </w:pPr>
      <w:hyperlink w:anchor="_Toc70499139" w:history="1">
        <w:r w:rsidRPr="0022734C">
          <w:rPr>
            <w:rStyle w:val="Hyperlink"/>
            <w:noProof/>
          </w:rPr>
          <w:t>VI. Samenwerking in de federale staatsstructuur</w:t>
        </w:r>
        <w:r>
          <w:rPr>
            <w:noProof/>
            <w:webHidden/>
          </w:rPr>
          <w:tab/>
        </w:r>
        <w:r>
          <w:rPr>
            <w:noProof/>
            <w:webHidden/>
          </w:rPr>
          <w:fldChar w:fldCharType="begin"/>
        </w:r>
        <w:r>
          <w:rPr>
            <w:noProof/>
            <w:webHidden/>
          </w:rPr>
          <w:instrText xml:space="preserve"> PAGEREF _Toc70499139 \h </w:instrText>
        </w:r>
        <w:r>
          <w:rPr>
            <w:noProof/>
            <w:webHidden/>
          </w:rPr>
        </w:r>
        <w:r>
          <w:rPr>
            <w:noProof/>
            <w:webHidden/>
          </w:rPr>
          <w:fldChar w:fldCharType="separate"/>
        </w:r>
        <w:r>
          <w:rPr>
            <w:noProof/>
            <w:webHidden/>
          </w:rPr>
          <w:t>18</w:t>
        </w:r>
        <w:r>
          <w:rPr>
            <w:noProof/>
            <w:webHidden/>
          </w:rPr>
          <w:fldChar w:fldCharType="end"/>
        </w:r>
      </w:hyperlink>
    </w:p>
    <w:p w14:paraId="7263D802" w14:textId="3A02E714" w:rsidR="003F770A" w:rsidRDefault="003F770A">
      <w:pPr>
        <w:pStyle w:val="Inhopg2"/>
        <w:tabs>
          <w:tab w:val="right" w:leader="dot" w:pos="9062"/>
        </w:tabs>
        <w:rPr>
          <w:rFonts w:eastAsiaTheme="minorEastAsia"/>
          <w:noProof/>
          <w:lang w:eastAsia="nl-BE"/>
        </w:rPr>
      </w:pPr>
      <w:hyperlink w:anchor="_Toc70499140" w:history="1">
        <w:r w:rsidRPr="0022734C">
          <w:rPr>
            <w:rStyle w:val="Hyperlink"/>
            <w:noProof/>
          </w:rPr>
          <w:t>VII. Rechtsgrond en algemene uitvoeringsbevoegdheid</w:t>
        </w:r>
        <w:r>
          <w:rPr>
            <w:noProof/>
            <w:webHidden/>
          </w:rPr>
          <w:tab/>
        </w:r>
        <w:r>
          <w:rPr>
            <w:noProof/>
            <w:webHidden/>
          </w:rPr>
          <w:fldChar w:fldCharType="begin"/>
        </w:r>
        <w:r>
          <w:rPr>
            <w:noProof/>
            <w:webHidden/>
          </w:rPr>
          <w:instrText xml:space="preserve"> PAGEREF _Toc70499140 \h </w:instrText>
        </w:r>
        <w:r>
          <w:rPr>
            <w:noProof/>
            <w:webHidden/>
          </w:rPr>
        </w:r>
        <w:r>
          <w:rPr>
            <w:noProof/>
            <w:webHidden/>
          </w:rPr>
          <w:fldChar w:fldCharType="separate"/>
        </w:r>
        <w:r>
          <w:rPr>
            <w:noProof/>
            <w:webHidden/>
          </w:rPr>
          <w:t>21</w:t>
        </w:r>
        <w:r>
          <w:rPr>
            <w:noProof/>
            <w:webHidden/>
          </w:rPr>
          <w:fldChar w:fldCharType="end"/>
        </w:r>
      </w:hyperlink>
    </w:p>
    <w:p w14:paraId="7B62C321" w14:textId="2E63191F" w:rsidR="003F770A" w:rsidRDefault="003F770A">
      <w:pPr>
        <w:pStyle w:val="Inhopg2"/>
        <w:tabs>
          <w:tab w:val="right" w:leader="dot" w:pos="9062"/>
        </w:tabs>
        <w:rPr>
          <w:rFonts w:eastAsiaTheme="minorEastAsia"/>
          <w:noProof/>
          <w:lang w:eastAsia="nl-BE"/>
        </w:rPr>
      </w:pPr>
      <w:hyperlink w:anchor="_Toc70499141" w:history="1">
        <w:r w:rsidRPr="0022734C">
          <w:rPr>
            <w:rStyle w:val="Hyperlink"/>
            <w:noProof/>
          </w:rPr>
          <w:t>VIII. Delegatie van regelgevende bevoegdheid</w:t>
        </w:r>
        <w:r>
          <w:rPr>
            <w:noProof/>
            <w:webHidden/>
          </w:rPr>
          <w:tab/>
        </w:r>
        <w:r>
          <w:rPr>
            <w:noProof/>
            <w:webHidden/>
          </w:rPr>
          <w:fldChar w:fldCharType="begin"/>
        </w:r>
        <w:r>
          <w:rPr>
            <w:noProof/>
            <w:webHidden/>
          </w:rPr>
          <w:instrText xml:space="preserve"> PAGEREF _Toc70499141 \h </w:instrText>
        </w:r>
        <w:r>
          <w:rPr>
            <w:noProof/>
            <w:webHidden/>
          </w:rPr>
        </w:r>
        <w:r>
          <w:rPr>
            <w:noProof/>
            <w:webHidden/>
          </w:rPr>
          <w:fldChar w:fldCharType="separate"/>
        </w:r>
        <w:r>
          <w:rPr>
            <w:noProof/>
            <w:webHidden/>
          </w:rPr>
          <w:t>23</w:t>
        </w:r>
        <w:r>
          <w:rPr>
            <w:noProof/>
            <w:webHidden/>
          </w:rPr>
          <w:fldChar w:fldCharType="end"/>
        </w:r>
      </w:hyperlink>
    </w:p>
    <w:p w14:paraId="16E4B350" w14:textId="7ACE1770" w:rsidR="003F770A" w:rsidRDefault="003F770A">
      <w:pPr>
        <w:pStyle w:val="Inhopg3"/>
        <w:tabs>
          <w:tab w:val="right" w:leader="dot" w:pos="9062"/>
        </w:tabs>
        <w:rPr>
          <w:rFonts w:eastAsiaTheme="minorEastAsia"/>
          <w:noProof/>
          <w:lang w:eastAsia="nl-BE"/>
        </w:rPr>
      </w:pPr>
      <w:hyperlink w:anchor="_Toc70499142" w:history="1">
        <w:r w:rsidRPr="0022734C">
          <w:rPr>
            <w:rStyle w:val="Hyperlink"/>
            <w:noProof/>
          </w:rPr>
          <w:t>A. Delegatie in voorbehouden aangelegenheden</w:t>
        </w:r>
        <w:r>
          <w:rPr>
            <w:noProof/>
            <w:webHidden/>
          </w:rPr>
          <w:tab/>
        </w:r>
        <w:r>
          <w:rPr>
            <w:noProof/>
            <w:webHidden/>
          </w:rPr>
          <w:fldChar w:fldCharType="begin"/>
        </w:r>
        <w:r>
          <w:rPr>
            <w:noProof/>
            <w:webHidden/>
          </w:rPr>
          <w:instrText xml:space="preserve"> PAGEREF _Toc70499142 \h </w:instrText>
        </w:r>
        <w:r>
          <w:rPr>
            <w:noProof/>
            <w:webHidden/>
          </w:rPr>
        </w:r>
        <w:r>
          <w:rPr>
            <w:noProof/>
            <w:webHidden/>
          </w:rPr>
          <w:fldChar w:fldCharType="separate"/>
        </w:r>
        <w:r>
          <w:rPr>
            <w:noProof/>
            <w:webHidden/>
          </w:rPr>
          <w:t>23</w:t>
        </w:r>
        <w:r>
          <w:rPr>
            <w:noProof/>
            <w:webHidden/>
          </w:rPr>
          <w:fldChar w:fldCharType="end"/>
        </w:r>
      </w:hyperlink>
    </w:p>
    <w:p w14:paraId="5EBFD44F" w14:textId="2E9CA37D" w:rsidR="003F770A" w:rsidRDefault="003F770A">
      <w:pPr>
        <w:pStyle w:val="Inhopg3"/>
        <w:tabs>
          <w:tab w:val="right" w:leader="dot" w:pos="9062"/>
        </w:tabs>
        <w:rPr>
          <w:rFonts w:eastAsiaTheme="minorEastAsia"/>
          <w:noProof/>
          <w:lang w:eastAsia="nl-BE"/>
        </w:rPr>
      </w:pPr>
      <w:hyperlink w:anchor="_Toc70499143" w:history="1">
        <w:r w:rsidRPr="0022734C">
          <w:rPr>
            <w:rStyle w:val="Hyperlink"/>
            <w:noProof/>
          </w:rPr>
          <w:t>B. Delegatie in niet-voorbehouden aangelegenheden</w:t>
        </w:r>
        <w:r>
          <w:rPr>
            <w:noProof/>
            <w:webHidden/>
          </w:rPr>
          <w:tab/>
        </w:r>
        <w:r>
          <w:rPr>
            <w:noProof/>
            <w:webHidden/>
          </w:rPr>
          <w:fldChar w:fldCharType="begin"/>
        </w:r>
        <w:r>
          <w:rPr>
            <w:noProof/>
            <w:webHidden/>
          </w:rPr>
          <w:instrText xml:space="preserve"> PAGEREF _Toc70499143 \h </w:instrText>
        </w:r>
        <w:r>
          <w:rPr>
            <w:noProof/>
            <w:webHidden/>
          </w:rPr>
        </w:r>
        <w:r>
          <w:rPr>
            <w:noProof/>
            <w:webHidden/>
          </w:rPr>
          <w:fldChar w:fldCharType="separate"/>
        </w:r>
        <w:r>
          <w:rPr>
            <w:noProof/>
            <w:webHidden/>
          </w:rPr>
          <w:t>24</w:t>
        </w:r>
        <w:r>
          <w:rPr>
            <w:noProof/>
            <w:webHidden/>
          </w:rPr>
          <w:fldChar w:fldCharType="end"/>
        </w:r>
      </w:hyperlink>
    </w:p>
    <w:p w14:paraId="0040C926" w14:textId="1A0C505C" w:rsidR="003F770A" w:rsidRDefault="003F770A">
      <w:pPr>
        <w:pStyle w:val="Inhopg3"/>
        <w:tabs>
          <w:tab w:val="right" w:leader="dot" w:pos="9062"/>
        </w:tabs>
        <w:rPr>
          <w:rFonts w:eastAsiaTheme="minorEastAsia"/>
          <w:noProof/>
          <w:lang w:eastAsia="nl-BE"/>
        </w:rPr>
      </w:pPr>
      <w:hyperlink w:anchor="_Toc70499144" w:history="1">
        <w:r w:rsidRPr="0022734C">
          <w:rPr>
            <w:rStyle w:val="Hyperlink"/>
            <w:noProof/>
          </w:rPr>
          <w:t>C. Delegatie aan ministers</w:t>
        </w:r>
        <w:r>
          <w:rPr>
            <w:noProof/>
            <w:webHidden/>
          </w:rPr>
          <w:tab/>
        </w:r>
        <w:r>
          <w:rPr>
            <w:noProof/>
            <w:webHidden/>
          </w:rPr>
          <w:fldChar w:fldCharType="begin"/>
        </w:r>
        <w:r>
          <w:rPr>
            <w:noProof/>
            <w:webHidden/>
          </w:rPr>
          <w:instrText xml:space="preserve"> PAGEREF _Toc70499144 \h </w:instrText>
        </w:r>
        <w:r>
          <w:rPr>
            <w:noProof/>
            <w:webHidden/>
          </w:rPr>
        </w:r>
        <w:r>
          <w:rPr>
            <w:noProof/>
            <w:webHidden/>
          </w:rPr>
          <w:fldChar w:fldCharType="separate"/>
        </w:r>
        <w:r>
          <w:rPr>
            <w:noProof/>
            <w:webHidden/>
          </w:rPr>
          <w:t>25</w:t>
        </w:r>
        <w:r>
          <w:rPr>
            <w:noProof/>
            <w:webHidden/>
          </w:rPr>
          <w:fldChar w:fldCharType="end"/>
        </w:r>
      </w:hyperlink>
    </w:p>
    <w:p w14:paraId="5071603D" w14:textId="7B28565F" w:rsidR="003F770A" w:rsidRDefault="003F770A">
      <w:pPr>
        <w:pStyle w:val="Inhopg3"/>
        <w:tabs>
          <w:tab w:val="right" w:leader="dot" w:pos="9062"/>
        </w:tabs>
        <w:rPr>
          <w:rFonts w:eastAsiaTheme="minorEastAsia"/>
          <w:noProof/>
          <w:lang w:eastAsia="nl-BE"/>
        </w:rPr>
      </w:pPr>
      <w:hyperlink w:anchor="_Toc70499145" w:history="1">
        <w:r w:rsidRPr="0022734C">
          <w:rPr>
            <w:rStyle w:val="Hyperlink"/>
            <w:noProof/>
          </w:rPr>
          <w:t>D. Delegatie aan openbare instellingen en ambtenaren</w:t>
        </w:r>
        <w:r>
          <w:rPr>
            <w:noProof/>
            <w:webHidden/>
          </w:rPr>
          <w:tab/>
        </w:r>
        <w:r>
          <w:rPr>
            <w:noProof/>
            <w:webHidden/>
          </w:rPr>
          <w:fldChar w:fldCharType="begin"/>
        </w:r>
        <w:r>
          <w:rPr>
            <w:noProof/>
            <w:webHidden/>
          </w:rPr>
          <w:instrText xml:space="preserve"> PAGEREF _Toc70499145 \h </w:instrText>
        </w:r>
        <w:r>
          <w:rPr>
            <w:noProof/>
            <w:webHidden/>
          </w:rPr>
        </w:r>
        <w:r>
          <w:rPr>
            <w:noProof/>
            <w:webHidden/>
          </w:rPr>
          <w:fldChar w:fldCharType="separate"/>
        </w:r>
        <w:r>
          <w:rPr>
            <w:noProof/>
            <w:webHidden/>
          </w:rPr>
          <w:t>26</w:t>
        </w:r>
        <w:r>
          <w:rPr>
            <w:noProof/>
            <w:webHidden/>
          </w:rPr>
          <w:fldChar w:fldCharType="end"/>
        </w:r>
      </w:hyperlink>
    </w:p>
    <w:p w14:paraId="2885EF29" w14:textId="07EA18FF" w:rsidR="003F770A" w:rsidRDefault="003F770A">
      <w:pPr>
        <w:pStyle w:val="Inhopg3"/>
        <w:tabs>
          <w:tab w:val="right" w:leader="dot" w:pos="9062"/>
        </w:tabs>
        <w:rPr>
          <w:rFonts w:eastAsiaTheme="minorEastAsia"/>
          <w:noProof/>
          <w:lang w:eastAsia="nl-BE"/>
        </w:rPr>
      </w:pPr>
      <w:hyperlink w:anchor="_Toc70499146" w:history="1">
        <w:r w:rsidRPr="0022734C">
          <w:rPr>
            <w:rStyle w:val="Hyperlink"/>
            <w:noProof/>
          </w:rPr>
          <w:t>E. Contractuele delegatie</w:t>
        </w:r>
        <w:r>
          <w:rPr>
            <w:noProof/>
            <w:webHidden/>
          </w:rPr>
          <w:tab/>
        </w:r>
        <w:r>
          <w:rPr>
            <w:noProof/>
            <w:webHidden/>
          </w:rPr>
          <w:fldChar w:fldCharType="begin"/>
        </w:r>
        <w:r>
          <w:rPr>
            <w:noProof/>
            <w:webHidden/>
          </w:rPr>
          <w:instrText xml:space="preserve"> PAGEREF _Toc70499146 \h </w:instrText>
        </w:r>
        <w:r>
          <w:rPr>
            <w:noProof/>
            <w:webHidden/>
          </w:rPr>
        </w:r>
        <w:r>
          <w:rPr>
            <w:noProof/>
            <w:webHidden/>
          </w:rPr>
          <w:fldChar w:fldCharType="separate"/>
        </w:r>
        <w:r>
          <w:rPr>
            <w:noProof/>
            <w:webHidden/>
          </w:rPr>
          <w:t>27</w:t>
        </w:r>
        <w:r>
          <w:rPr>
            <w:noProof/>
            <w:webHidden/>
          </w:rPr>
          <w:fldChar w:fldCharType="end"/>
        </w:r>
      </w:hyperlink>
    </w:p>
    <w:p w14:paraId="3534C872" w14:textId="413DF26F" w:rsidR="003F770A" w:rsidRDefault="003F770A">
      <w:pPr>
        <w:pStyle w:val="Inhopg2"/>
        <w:tabs>
          <w:tab w:val="right" w:leader="dot" w:pos="9062"/>
        </w:tabs>
        <w:rPr>
          <w:rFonts w:eastAsiaTheme="minorEastAsia"/>
          <w:noProof/>
          <w:lang w:eastAsia="nl-BE"/>
        </w:rPr>
      </w:pPr>
      <w:hyperlink w:anchor="_Toc70499147" w:history="1">
        <w:r w:rsidRPr="0022734C">
          <w:rPr>
            <w:rStyle w:val="Hyperlink"/>
            <w:noProof/>
          </w:rPr>
          <w:t>IX. Bijzondere machten en bekrachtiging</w:t>
        </w:r>
        <w:r>
          <w:rPr>
            <w:noProof/>
            <w:webHidden/>
          </w:rPr>
          <w:tab/>
        </w:r>
        <w:r>
          <w:rPr>
            <w:noProof/>
            <w:webHidden/>
          </w:rPr>
          <w:fldChar w:fldCharType="begin"/>
        </w:r>
        <w:r>
          <w:rPr>
            <w:noProof/>
            <w:webHidden/>
          </w:rPr>
          <w:instrText xml:space="preserve"> PAGEREF _Toc70499147 \h </w:instrText>
        </w:r>
        <w:r>
          <w:rPr>
            <w:noProof/>
            <w:webHidden/>
          </w:rPr>
        </w:r>
        <w:r>
          <w:rPr>
            <w:noProof/>
            <w:webHidden/>
          </w:rPr>
          <w:fldChar w:fldCharType="separate"/>
        </w:r>
        <w:r>
          <w:rPr>
            <w:noProof/>
            <w:webHidden/>
          </w:rPr>
          <w:t>28</w:t>
        </w:r>
        <w:r>
          <w:rPr>
            <w:noProof/>
            <w:webHidden/>
          </w:rPr>
          <w:fldChar w:fldCharType="end"/>
        </w:r>
      </w:hyperlink>
    </w:p>
    <w:p w14:paraId="44FA7B01" w14:textId="4438C9ED" w:rsidR="003F770A" w:rsidRDefault="003F770A">
      <w:pPr>
        <w:pStyle w:val="Inhopg3"/>
        <w:tabs>
          <w:tab w:val="right" w:leader="dot" w:pos="9062"/>
        </w:tabs>
        <w:rPr>
          <w:rFonts w:eastAsiaTheme="minorEastAsia"/>
          <w:noProof/>
          <w:lang w:eastAsia="nl-BE"/>
        </w:rPr>
      </w:pPr>
      <w:hyperlink w:anchor="_Toc70499148" w:history="1">
        <w:r w:rsidRPr="0022734C">
          <w:rPr>
            <w:rStyle w:val="Hyperlink"/>
            <w:noProof/>
          </w:rPr>
          <w:t>A. De toekenning van bijzondere machten</w:t>
        </w:r>
        <w:r>
          <w:rPr>
            <w:noProof/>
            <w:webHidden/>
          </w:rPr>
          <w:tab/>
        </w:r>
        <w:r>
          <w:rPr>
            <w:noProof/>
            <w:webHidden/>
          </w:rPr>
          <w:fldChar w:fldCharType="begin"/>
        </w:r>
        <w:r>
          <w:rPr>
            <w:noProof/>
            <w:webHidden/>
          </w:rPr>
          <w:instrText xml:space="preserve"> PAGEREF _Toc70499148 \h </w:instrText>
        </w:r>
        <w:r>
          <w:rPr>
            <w:noProof/>
            <w:webHidden/>
          </w:rPr>
        </w:r>
        <w:r>
          <w:rPr>
            <w:noProof/>
            <w:webHidden/>
          </w:rPr>
          <w:fldChar w:fldCharType="separate"/>
        </w:r>
        <w:r>
          <w:rPr>
            <w:noProof/>
            <w:webHidden/>
          </w:rPr>
          <w:t>28</w:t>
        </w:r>
        <w:r>
          <w:rPr>
            <w:noProof/>
            <w:webHidden/>
          </w:rPr>
          <w:fldChar w:fldCharType="end"/>
        </w:r>
      </w:hyperlink>
    </w:p>
    <w:p w14:paraId="584DBB0A" w14:textId="77E90DD4" w:rsidR="003F770A" w:rsidRDefault="003F770A">
      <w:pPr>
        <w:pStyle w:val="Inhopg3"/>
        <w:tabs>
          <w:tab w:val="right" w:leader="dot" w:pos="9062"/>
        </w:tabs>
        <w:rPr>
          <w:rFonts w:eastAsiaTheme="minorEastAsia"/>
          <w:noProof/>
          <w:lang w:eastAsia="nl-BE"/>
        </w:rPr>
      </w:pPr>
      <w:hyperlink w:anchor="_Toc70499149" w:history="1">
        <w:r w:rsidRPr="0022734C">
          <w:rPr>
            <w:rStyle w:val="Hyperlink"/>
            <w:noProof/>
          </w:rPr>
          <w:t>B. De toepassing van bijzondere machten</w:t>
        </w:r>
        <w:r>
          <w:rPr>
            <w:noProof/>
            <w:webHidden/>
          </w:rPr>
          <w:tab/>
        </w:r>
        <w:r>
          <w:rPr>
            <w:noProof/>
            <w:webHidden/>
          </w:rPr>
          <w:fldChar w:fldCharType="begin"/>
        </w:r>
        <w:r>
          <w:rPr>
            <w:noProof/>
            <w:webHidden/>
          </w:rPr>
          <w:instrText xml:space="preserve"> PAGEREF _Toc70499149 \h </w:instrText>
        </w:r>
        <w:r>
          <w:rPr>
            <w:noProof/>
            <w:webHidden/>
          </w:rPr>
        </w:r>
        <w:r>
          <w:rPr>
            <w:noProof/>
            <w:webHidden/>
          </w:rPr>
          <w:fldChar w:fldCharType="separate"/>
        </w:r>
        <w:r>
          <w:rPr>
            <w:noProof/>
            <w:webHidden/>
          </w:rPr>
          <w:t>29</w:t>
        </w:r>
        <w:r>
          <w:rPr>
            <w:noProof/>
            <w:webHidden/>
          </w:rPr>
          <w:fldChar w:fldCharType="end"/>
        </w:r>
      </w:hyperlink>
    </w:p>
    <w:p w14:paraId="390D5B21" w14:textId="1037BBF2" w:rsidR="003F770A" w:rsidRDefault="003F770A">
      <w:pPr>
        <w:pStyle w:val="Inhopg3"/>
        <w:tabs>
          <w:tab w:val="right" w:leader="dot" w:pos="9062"/>
        </w:tabs>
        <w:rPr>
          <w:rFonts w:eastAsiaTheme="minorEastAsia"/>
          <w:noProof/>
          <w:lang w:eastAsia="nl-BE"/>
        </w:rPr>
      </w:pPr>
      <w:hyperlink w:anchor="_Toc70499150" w:history="1">
        <w:r w:rsidRPr="0022734C">
          <w:rPr>
            <w:rStyle w:val="Hyperlink"/>
            <w:noProof/>
          </w:rPr>
          <w:t>C. De bekrachtiging van bijzonderemachtenbesluiten</w:t>
        </w:r>
        <w:r>
          <w:rPr>
            <w:noProof/>
            <w:webHidden/>
          </w:rPr>
          <w:tab/>
        </w:r>
        <w:r>
          <w:rPr>
            <w:noProof/>
            <w:webHidden/>
          </w:rPr>
          <w:fldChar w:fldCharType="begin"/>
        </w:r>
        <w:r>
          <w:rPr>
            <w:noProof/>
            <w:webHidden/>
          </w:rPr>
          <w:instrText xml:space="preserve"> PAGEREF _Toc70499150 \h </w:instrText>
        </w:r>
        <w:r>
          <w:rPr>
            <w:noProof/>
            <w:webHidden/>
          </w:rPr>
        </w:r>
        <w:r>
          <w:rPr>
            <w:noProof/>
            <w:webHidden/>
          </w:rPr>
          <w:fldChar w:fldCharType="separate"/>
        </w:r>
        <w:r>
          <w:rPr>
            <w:noProof/>
            <w:webHidden/>
          </w:rPr>
          <w:t>31</w:t>
        </w:r>
        <w:r>
          <w:rPr>
            <w:noProof/>
            <w:webHidden/>
          </w:rPr>
          <w:fldChar w:fldCharType="end"/>
        </w:r>
      </w:hyperlink>
    </w:p>
    <w:p w14:paraId="506DDB6D" w14:textId="1965491A" w:rsidR="003F770A" w:rsidRDefault="003F770A">
      <w:pPr>
        <w:pStyle w:val="Inhopg3"/>
        <w:tabs>
          <w:tab w:val="right" w:leader="dot" w:pos="9062"/>
        </w:tabs>
        <w:rPr>
          <w:rFonts w:eastAsiaTheme="minorEastAsia"/>
          <w:noProof/>
          <w:lang w:eastAsia="nl-BE"/>
        </w:rPr>
      </w:pPr>
      <w:hyperlink w:anchor="_Toc70499151" w:history="1">
        <w:r w:rsidRPr="0022734C">
          <w:rPr>
            <w:rStyle w:val="Hyperlink"/>
            <w:noProof/>
          </w:rPr>
          <w:t>D. Andere aspecten van bekrachtiging</w:t>
        </w:r>
        <w:r>
          <w:rPr>
            <w:noProof/>
            <w:webHidden/>
          </w:rPr>
          <w:tab/>
        </w:r>
        <w:r>
          <w:rPr>
            <w:noProof/>
            <w:webHidden/>
          </w:rPr>
          <w:fldChar w:fldCharType="begin"/>
        </w:r>
        <w:r>
          <w:rPr>
            <w:noProof/>
            <w:webHidden/>
          </w:rPr>
          <w:instrText xml:space="preserve"> PAGEREF _Toc70499151 \h </w:instrText>
        </w:r>
        <w:r>
          <w:rPr>
            <w:noProof/>
            <w:webHidden/>
          </w:rPr>
        </w:r>
        <w:r>
          <w:rPr>
            <w:noProof/>
            <w:webHidden/>
          </w:rPr>
          <w:fldChar w:fldCharType="separate"/>
        </w:r>
        <w:r>
          <w:rPr>
            <w:noProof/>
            <w:webHidden/>
          </w:rPr>
          <w:t>32</w:t>
        </w:r>
        <w:r>
          <w:rPr>
            <w:noProof/>
            <w:webHidden/>
          </w:rPr>
          <w:fldChar w:fldCharType="end"/>
        </w:r>
      </w:hyperlink>
    </w:p>
    <w:p w14:paraId="2187C7A8" w14:textId="27EB2686" w:rsidR="003F770A" w:rsidRDefault="003F770A">
      <w:pPr>
        <w:pStyle w:val="Inhopg2"/>
        <w:tabs>
          <w:tab w:val="right" w:leader="dot" w:pos="9062"/>
        </w:tabs>
        <w:rPr>
          <w:rFonts w:eastAsiaTheme="minorEastAsia"/>
          <w:noProof/>
          <w:lang w:eastAsia="nl-BE"/>
        </w:rPr>
      </w:pPr>
      <w:hyperlink w:anchor="_Toc70499152" w:history="1">
        <w:r w:rsidRPr="0022734C">
          <w:rPr>
            <w:rStyle w:val="Hyperlink"/>
            <w:noProof/>
          </w:rPr>
          <w:t>X. Naleving en handhaving</w:t>
        </w:r>
        <w:r>
          <w:rPr>
            <w:noProof/>
            <w:webHidden/>
          </w:rPr>
          <w:tab/>
        </w:r>
        <w:r>
          <w:rPr>
            <w:noProof/>
            <w:webHidden/>
          </w:rPr>
          <w:fldChar w:fldCharType="begin"/>
        </w:r>
        <w:r>
          <w:rPr>
            <w:noProof/>
            <w:webHidden/>
          </w:rPr>
          <w:instrText xml:space="preserve"> PAGEREF _Toc70499152 \h </w:instrText>
        </w:r>
        <w:r>
          <w:rPr>
            <w:noProof/>
            <w:webHidden/>
          </w:rPr>
        </w:r>
        <w:r>
          <w:rPr>
            <w:noProof/>
            <w:webHidden/>
          </w:rPr>
          <w:fldChar w:fldCharType="separate"/>
        </w:r>
        <w:r>
          <w:rPr>
            <w:noProof/>
            <w:webHidden/>
          </w:rPr>
          <w:t>33</w:t>
        </w:r>
        <w:r>
          <w:rPr>
            <w:noProof/>
            <w:webHidden/>
          </w:rPr>
          <w:fldChar w:fldCharType="end"/>
        </w:r>
      </w:hyperlink>
    </w:p>
    <w:p w14:paraId="71033073" w14:textId="0A45A2D8" w:rsidR="003F770A" w:rsidRDefault="003F770A">
      <w:pPr>
        <w:pStyle w:val="Inhopg3"/>
        <w:tabs>
          <w:tab w:val="right" w:leader="dot" w:pos="9062"/>
        </w:tabs>
        <w:rPr>
          <w:rFonts w:eastAsiaTheme="minorEastAsia"/>
          <w:noProof/>
          <w:lang w:eastAsia="nl-BE"/>
        </w:rPr>
      </w:pPr>
      <w:hyperlink w:anchor="_Toc70499153" w:history="1">
        <w:r w:rsidRPr="0022734C">
          <w:rPr>
            <w:rStyle w:val="Hyperlink"/>
            <w:noProof/>
          </w:rPr>
          <w:t>A. Algemeen vs. specifiek (straf)recht in ethische dossiers: appreciatiemarge wetgever</w:t>
        </w:r>
        <w:r>
          <w:rPr>
            <w:noProof/>
            <w:webHidden/>
          </w:rPr>
          <w:tab/>
        </w:r>
        <w:r>
          <w:rPr>
            <w:noProof/>
            <w:webHidden/>
          </w:rPr>
          <w:fldChar w:fldCharType="begin"/>
        </w:r>
        <w:r>
          <w:rPr>
            <w:noProof/>
            <w:webHidden/>
          </w:rPr>
          <w:instrText xml:space="preserve"> PAGEREF _Toc70499153 \h </w:instrText>
        </w:r>
        <w:r>
          <w:rPr>
            <w:noProof/>
            <w:webHidden/>
          </w:rPr>
        </w:r>
        <w:r>
          <w:rPr>
            <w:noProof/>
            <w:webHidden/>
          </w:rPr>
          <w:fldChar w:fldCharType="separate"/>
        </w:r>
        <w:r>
          <w:rPr>
            <w:noProof/>
            <w:webHidden/>
          </w:rPr>
          <w:t>33</w:t>
        </w:r>
        <w:r>
          <w:rPr>
            <w:noProof/>
            <w:webHidden/>
          </w:rPr>
          <w:fldChar w:fldCharType="end"/>
        </w:r>
      </w:hyperlink>
    </w:p>
    <w:p w14:paraId="2266A35D" w14:textId="637FD9ED" w:rsidR="003F770A" w:rsidRDefault="003F770A">
      <w:pPr>
        <w:pStyle w:val="Inhopg3"/>
        <w:tabs>
          <w:tab w:val="right" w:leader="dot" w:pos="9062"/>
        </w:tabs>
        <w:rPr>
          <w:rFonts w:eastAsiaTheme="minorEastAsia"/>
          <w:noProof/>
          <w:lang w:eastAsia="nl-BE"/>
        </w:rPr>
      </w:pPr>
      <w:hyperlink w:anchor="_Toc70499154" w:history="1">
        <w:r w:rsidRPr="0022734C">
          <w:rPr>
            <w:rStyle w:val="Hyperlink"/>
            <w:noProof/>
          </w:rPr>
          <w:t>B. Legaliteitsbeginsel</w:t>
        </w:r>
        <w:r>
          <w:rPr>
            <w:noProof/>
            <w:webHidden/>
          </w:rPr>
          <w:tab/>
        </w:r>
        <w:r>
          <w:rPr>
            <w:noProof/>
            <w:webHidden/>
          </w:rPr>
          <w:fldChar w:fldCharType="begin"/>
        </w:r>
        <w:r>
          <w:rPr>
            <w:noProof/>
            <w:webHidden/>
          </w:rPr>
          <w:instrText xml:space="preserve"> PAGEREF _Toc70499154 \h </w:instrText>
        </w:r>
        <w:r>
          <w:rPr>
            <w:noProof/>
            <w:webHidden/>
          </w:rPr>
        </w:r>
        <w:r>
          <w:rPr>
            <w:noProof/>
            <w:webHidden/>
          </w:rPr>
          <w:fldChar w:fldCharType="separate"/>
        </w:r>
        <w:r>
          <w:rPr>
            <w:noProof/>
            <w:webHidden/>
          </w:rPr>
          <w:t>35</w:t>
        </w:r>
        <w:r>
          <w:rPr>
            <w:noProof/>
            <w:webHidden/>
          </w:rPr>
          <w:fldChar w:fldCharType="end"/>
        </w:r>
      </w:hyperlink>
    </w:p>
    <w:p w14:paraId="5695FCBA" w14:textId="0F4AEBDA" w:rsidR="003F770A" w:rsidRDefault="003F770A">
      <w:pPr>
        <w:pStyle w:val="Inhopg3"/>
        <w:tabs>
          <w:tab w:val="right" w:leader="dot" w:pos="9062"/>
        </w:tabs>
        <w:rPr>
          <w:rFonts w:eastAsiaTheme="minorEastAsia"/>
          <w:noProof/>
          <w:lang w:eastAsia="nl-BE"/>
        </w:rPr>
      </w:pPr>
      <w:hyperlink w:anchor="_Toc70499155" w:history="1">
        <w:r w:rsidRPr="0022734C">
          <w:rPr>
            <w:rStyle w:val="Hyperlink"/>
            <w:noProof/>
          </w:rPr>
          <w:t>C. Evenredigheid</w:t>
        </w:r>
        <w:r>
          <w:rPr>
            <w:noProof/>
            <w:webHidden/>
          </w:rPr>
          <w:tab/>
        </w:r>
        <w:r>
          <w:rPr>
            <w:noProof/>
            <w:webHidden/>
          </w:rPr>
          <w:fldChar w:fldCharType="begin"/>
        </w:r>
        <w:r>
          <w:rPr>
            <w:noProof/>
            <w:webHidden/>
          </w:rPr>
          <w:instrText xml:space="preserve"> PAGEREF _Toc70499155 \h </w:instrText>
        </w:r>
        <w:r>
          <w:rPr>
            <w:noProof/>
            <w:webHidden/>
          </w:rPr>
        </w:r>
        <w:r>
          <w:rPr>
            <w:noProof/>
            <w:webHidden/>
          </w:rPr>
          <w:fldChar w:fldCharType="separate"/>
        </w:r>
        <w:r>
          <w:rPr>
            <w:noProof/>
            <w:webHidden/>
          </w:rPr>
          <w:t>38</w:t>
        </w:r>
        <w:r>
          <w:rPr>
            <w:noProof/>
            <w:webHidden/>
          </w:rPr>
          <w:fldChar w:fldCharType="end"/>
        </w:r>
      </w:hyperlink>
    </w:p>
    <w:p w14:paraId="530D5285" w14:textId="41D55821" w:rsidR="003F770A" w:rsidRDefault="003F770A">
      <w:pPr>
        <w:pStyle w:val="Inhopg3"/>
        <w:tabs>
          <w:tab w:val="right" w:leader="dot" w:pos="9062"/>
        </w:tabs>
        <w:rPr>
          <w:rFonts w:eastAsiaTheme="minorEastAsia"/>
          <w:noProof/>
          <w:lang w:eastAsia="nl-BE"/>
        </w:rPr>
      </w:pPr>
      <w:hyperlink w:anchor="_Toc70499156" w:history="1">
        <w:r w:rsidRPr="0022734C">
          <w:rPr>
            <w:rStyle w:val="Hyperlink"/>
            <w:noProof/>
          </w:rPr>
          <w:t>D. Handhaving en Rechtsbescherming</w:t>
        </w:r>
        <w:r>
          <w:rPr>
            <w:noProof/>
            <w:webHidden/>
          </w:rPr>
          <w:tab/>
        </w:r>
        <w:r>
          <w:rPr>
            <w:noProof/>
            <w:webHidden/>
          </w:rPr>
          <w:fldChar w:fldCharType="begin"/>
        </w:r>
        <w:r>
          <w:rPr>
            <w:noProof/>
            <w:webHidden/>
          </w:rPr>
          <w:instrText xml:space="preserve"> PAGEREF _Toc70499156 \h </w:instrText>
        </w:r>
        <w:r>
          <w:rPr>
            <w:noProof/>
            <w:webHidden/>
          </w:rPr>
        </w:r>
        <w:r>
          <w:rPr>
            <w:noProof/>
            <w:webHidden/>
          </w:rPr>
          <w:fldChar w:fldCharType="separate"/>
        </w:r>
        <w:r>
          <w:rPr>
            <w:noProof/>
            <w:webHidden/>
          </w:rPr>
          <w:t>39</w:t>
        </w:r>
        <w:r>
          <w:rPr>
            <w:noProof/>
            <w:webHidden/>
          </w:rPr>
          <w:fldChar w:fldCharType="end"/>
        </w:r>
      </w:hyperlink>
    </w:p>
    <w:p w14:paraId="4123A82F" w14:textId="55FE1E90" w:rsidR="003F770A" w:rsidRDefault="003F770A">
      <w:pPr>
        <w:pStyle w:val="Inhopg2"/>
        <w:tabs>
          <w:tab w:val="right" w:leader="dot" w:pos="9062"/>
        </w:tabs>
        <w:rPr>
          <w:rFonts w:eastAsiaTheme="minorEastAsia"/>
          <w:noProof/>
          <w:lang w:eastAsia="nl-BE"/>
        </w:rPr>
      </w:pPr>
      <w:hyperlink w:anchor="_Toc70499157" w:history="1">
        <w:r w:rsidRPr="0022734C">
          <w:rPr>
            <w:rStyle w:val="Hyperlink"/>
            <w:noProof/>
          </w:rPr>
          <w:t>XI. Bekendmaking van rechtsregels</w:t>
        </w:r>
        <w:r>
          <w:rPr>
            <w:noProof/>
            <w:webHidden/>
          </w:rPr>
          <w:tab/>
        </w:r>
        <w:r>
          <w:rPr>
            <w:noProof/>
            <w:webHidden/>
          </w:rPr>
          <w:fldChar w:fldCharType="begin"/>
        </w:r>
        <w:r>
          <w:rPr>
            <w:noProof/>
            <w:webHidden/>
          </w:rPr>
          <w:instrText xml:space="preserve"> PAGEREF _Toc70499157 \h </w:instrText>
        </w:r>
        <w:r>
          <w:rPr>
            <w:noProof/>
            <w:webHidden/>
          </w:rPr>
        </w:r>
        <w:r>
          <w:rPr>
            <w:noProof/>
            <w:webHidden/>
          </w:rPr>
          <w:fldChar w:fldCharType="separate"/>
        </w:r>
        <w:r>
          <w:rPr>
            <w:noProof/>
            <w:webHidden/>
          </w:rPr>
          <w:t>40</w:t>
        </w:r>
        <w:r>
          <w:rPr>
            <w:noProof/>
            <w:webHidden/>
          </w:rPr>
          <w:fldChar w:fldCharType="end"/>
        </w:r>
      </w:hyperlink>
    </w:p>
    <w:p w14:paraId="0FF7F42F" w14:textId="22A9E4E4" w:rsidR="003F770A" w:rsidRDefault="003F770A">
      <w:pPr>
        <w:pStyle w:val="Inhopg2"/>
        <w:tabs>
          <w:tab w:val="right" w:leader="dot" w:pos="9062"/>
        </w:tabs>
        <w:rPr>
          <w:rFonts w:eastAsiaTheme="minorEastAsia"/>
          <w:noProof/>
          <w:lang w:eastAsia="nl-BE"/>
        </w:rPr>
      </w:pPr>
      <w:hyperlink w:anchor="_Toc70499158" w:history="1">
        <w:r w:rsidRPr="0022734C">
          <w:rPr>
            <w:rStyle w:val="Hyperlink"/>
            <w:noProof/>
          </w:rPr>
          <w:t>XII. Inwerkingtreding en terugwerkende kracht</w:t>
        </w:r>
        <w:r>
          <w:rPr>
            <w:noProof/>
            <w:webHidden/>
          </w:rPr>
          <w:tab/>
        </w:r>
        <w:r>
          <w:rPr>
            <w:noProof/>
            <w:webHidden/>
          </w:rPr>
          <w:fldChar w:fldCharType="begin"/>
        </w:r>
        <w:r>
          <w:rPr>
            <w:noProof/>
            <w:webHidden/>
          </w:rPr>
          <w:instrText xml:space="preserve"> PAGEREF _Toc70499158 \h </w:instrText>
        </w:r>
        <w:r>
          <w:rPr>
            <w:noProof/>
            <w:webHidden/>
          </w:rPr>
        </w:r>
        <w:r>
          <w:rPr>
            <w:noProof/>
            <w:webHidden/>
          </w:rPr>
          <w:fldChar w:fldCharType="separate"/>
        </w:r>
        <w:r>
          <w:rPr>
            <w:noProof/>
            <w:webHidden/>
          </w:rPr>
          <w:t>44</w:t>
        </w:r>
        <w:r>
          <w:rPr>
            <w:noProof/>
            <w:webHidden/>
          </w:rPr>
          <w:fldChar w:fldCharType="end"/>
        </w:r>
      </w:hyperlink>
    </w:p>
    <w:p w14:paraId="365F7223" w14:textId="2A449148" w:rsidR="003F770A" w:rsidRDefault="003F770A">
      <w:pPr>
        <w:pStyle w:val="Inhopg3"/>
        <w:tabs>
          <w:tab w:val="right" w:leader="dot" w:pos="9062"/>
        </w:tabs>
        <w:rPr>
          <w:rFonts w:eastAsiaTheme="minorEastAsia"/>
          <w:noProof/>
          <w:lang w:eastAsia="nl-BE"/>
        </w:rPr>
      </w:pPr>
      <w:hyperlink w:anchor="_Toc70499159" w:history="1">
        <w:r w:rsidRPr="0022734C">
          <w:rPr>
            <w:rStyle w:val="Hyperlink"/>
            <w:noProof/>
          </w:rPr>
          <w:t>A. Inwerkingtreding</w:t>
        </w:r>
        <w:r>
          <w:rPr>
            <w:noProof/>
            <w:webHidden/>
          </w:rPr>
          <w:tab/>
        </w:r>
        <w:r>
          <w:rPr>
            <w:noProof/>
            <w:webHidden/>
          </w:rPr>
          <w:fldChar w:fldCharType="begin"/>
        </w:r>
        <w:r>
          <w:rPr>
            <w:noProof/>
            <w:webHidden/>
          </w:rPr>
          <w:instrText xml:space="preserve"> PAGEREF _Toc70499159 \h </w:instrText>
        </w:r>
        <w:r>
          <w:rPr>
            <w:noProof/>
            <w:webHidden/>
          </w:rPr>
        </w:r>
        <w:r>
          <w:rPr>
            <w:noProof/>
            <w:webHidden/>
          </w:rPr>
          <w:fldChar w:fldCharType="separate"/>
        </w:r>
        <w:r>
          <w:rPr>
            <w:noProof/>
            <w:webHidden/>
          </w:rPr>
          <w:t>45</w:t>
        </w:r>
        <w:r>
          <w:rPr>
            <w:noProof/>
            <w:webHidden/>
          </w:rPr>
          <w:fldChar w:fldCharType="end"/>
        </w:r>
      </w:hyperlink>
    </w:p>
    <w:p w14:paraId="06AA7200" w14:textId="2F1FD649" w:rsidR="003F770A" w:rsidRDefault="003F770A">
      <w:pPr>
        <w:pStyle w:val="Inhopg3"/>
        <w:tabs>
          <w:tab w:val="right" w:leader="dot" w:pos="9062"/>
        </w:tabs>
        <w:rPr>
          <w:rFonts w:eastAsiaTheme="minorEastAsia"/>
          <w:noProof/>
          <w:lang w:eastAsia="nl-BE"/>
        </w:rPr>
      </w:pPr>
      <w:hyperlink w:anchor="_Toc70499160" w:history="1">
        <w:r w:rsidRPr="0022734C">
          <w:rPr>
            <w:rStyle w:val="Hyperlink"/>
            <w:noProof/>
          </w:rPr>
          <w:t>B. Terugwerkende kracht</w:t>
        </w:r>
        <w:r>
          <w:rPr>
            <w:noProof/>
            <w:webHidden/>
          </w:rPr>
          <w:tab/>
        </w:r>
        <w:r>
          <w:rPr>
            <w:noProof/>
            <w:webHidden/>
          </w:rPr>
          <w:fldChar w:fldCharType="begin"/>
        </w:r>
        <w:r>
          <w:rPr>
            <w:noProof/>
            <w:webHidden/>
          </w:rPr>
          <w:instrText xml:space="preserve"> PAGEREF _Toc70499160 \h </w:instrText>
        </w:r>
        <w:r>
          <w:rPr>
            <w:noProof/>
            <w:webHidden/>
          </w:rPr>
        </w:r>
        <w:r>
          <w:rPr>
            <w:noProof/>
            <w:webHidden/>
          </w:rPr>
          <w:fldChar w:fldCharType="separate"/>
        </w:r>
        <w:r>
          <w:rPr>
            <w:noProof/>
            <w:webHidden/>
          </w:rPr>
          <w:t>45</w:t>
        </w:r>
        <w:r>
          <w:rPr>
            <w:noProof/>
            <w:webHidden/>
          </w:rPr>
          <w:fldChar w:fldCharType="end"/>
        </w:r>
      </w:hyperlink>
    </w:p>
    <w:p w14:paraId="53E40FD7" w14:textId="5BEDAA98" w:rsidR="003F770A" w:rsidRDefault="003F770A">
      <w:pPr>
        <w:pStyle w:val="Inhopg2"/>
        <w:tabs>
          <w:tab w:val="right" w:leader="dot" w:pos="9062"/>
        </w:tabs>
        <w:rPr>
          <w:rFonts w:eastAsiaTheme="minorEastAsia"/>
          <w:noProof/>
          <w:lang w:eastAsia="nl-BE"/>
        </w:rPr>
      </w:pPr>
      <w:hyperlink w:anchor="_Toc70499161" w:history="1">
        <w:r w:rsidRPr="0022734C">
          <w:rPr>
            <w:rStyle w:val="Hyperlink"/>
            <w:noProof/>
          </w:rPr>
          <w:t>XIII. Zorgvuldigheids- en evenredigheidsbeginsel</w:t>
        </w:r>
        <w:r>
          <w:rPr>
            <w:noProof/>
            <w:webHidden/>
          </w:rPr>
          <w:tab/>
        </w:r>
        <w:r>
          <w:rPr>
            <w:noProof/>
            <w:webHidden/>
          </w:rPr>
          <w:fldChar w:fldCharType="begin"/>
        </w:r>
        <w:r>
          <w:rPr>
            <w:noProof/>
            <w:webHidden/>
          </w:rPr>
          <w:instrText xml:space="preserve"> PAGEREF _Toc70499161 \h </w:instrText>
        </w:r>
        <w:r>
          <w:rPr>
            <w:noProof/>
            <w:webHidden/>
          </w:rPr>
        </w:r>
        <w:r>
          <w:rPr>
            <w:noProof/>
            <w:webHidden/>
          </w:rPr>
          <w:fldChar w:fldCharType="separate"/>
        </w:r>
        <w:r>
          <w:rPr>
            <w:noProof/>
            <w:webHidden/>
          </w:rPr>
          <w:t>46</w:t>
        </w:r>
        <w:r>
          <w:rPr>
            <w:noProof/>
            <w:webHidden/>
          </w:rPr>
          <w:fldChar w:fldCharType="end"/>
        </w:r>
      </w:hyperlink>
    </w:p>
    <w:p w14:paraId="6F407A87" w14:textId="1B8E94AB" w:rsidR="003F770A" w:rsidRDefault="003F770A">
      <w:pPr>
        <w:pStyle w:val="Inhopg2"/>
        <w:tabs>
          <w:tab w:val="right" w:leader="dot" w:pos="9062"/>
        </w:tabs>
        <w:rPr>
          <w:rFonts w:eastAsiaTheme="minorEastAsia"/>
          <w:noProof/>
          <w:lang w:eastAsia="nl-BE"/>
        </w:rPr>
      </w:pPr>
      <w:hyperlink w:anchor="_Toc70499162" w:history="1">
        <w:r w:rsidRPr="0022734C">
          <w:rPr>
            <w:rStyle w:val="Hyperlink"/>
            <w:noProof/>
          </w:rPr>
          <w:t>XIV. Wetgevingstechniek</w:t>
        </w:r>
        <w:r>
          <w:rPr>
            <w:noProof/>
            <w:webHidden/>
          </w:rPr>
          <w:tab/>
        </w:r>
        <w:r>
          <w:rPr>
            <w:noProof/>
            <w:webHidden/>
          </w:rPr>
          <w:fldChar w:fldCharType="begin"/>
        </w:r>
        <w:r>
          <w:rPr>
            <w:noProof/>
            <w:webHidden/>
          </w:rPr>
          <w:instrText xml:space="preserve"> PAGEREF _Toc70499162 \h </w:instrText>
        </w:r>
        <w:r>
          <w:rPr>
            <w:noProof/>
            <w:webHidden/>
          </w:rPr>
        </w:r>
        <w:r>
          <w:rPr>
            <w:noProof/>
            <w:webHidden/>
          </w:rPr>
          <w:fldChar w:fldCharType="separate"/>
        </w:r>
        <w:r>
          <w:rPr>
            <w:noProof/>
            <w:webHidden/>
          </w:rPr>
          <w:t>46</w:t>
        </w:r>
        <w:r>
          <w:rPr>
            <w:noProof/>
            <w:webHidden/>
          </w:rPr>
          <w:fldChar w:fldCharType="end"/>
        </w:r>
      </w:hyperlink>
    </w:p>
    <w:p w14:paraId="47C5804B" w14:textId="17A97B91" w:rsidR="00383D5D" w:rsidRPr="009A35D7" w:rsidRDefault="0088374A">
      <w:r>
        <w:fldChar w:fldCharType="end"/>
      </w:r>
    </w:p>
    <w:p w14:paraId="615F17FF" w14:textId="77777777" w:rsidR="008B3135" w:rsidRPr="009A35D7" w:rsidRDefault="008B3135" w:rsidP="00532989">
      <w:pPr>
        <w:pStyle w:val="Kop2"/>
        <w:spacing w:before="0" w:line="240" w:lineRule="auto"/>
        <w:jc w:val="both"/>
      </w:pPr>
      <w:bookmarkStart w:id="0" w:name="_Toc5779198"/>
      <w:bookmarkStart w:id="1" w:name="_Toc70497763"/>
      <w:bookmarkStart w:id="2" w:name="_Toc70499134"/>
      <w:r w:rsidRPr="009A35D7">
        <w:t>I. Inleiding</w:t>
      </w:r>
      <w:bookmarkEnd w:id="0"/>
      <w:bookmarkEnd w:id="1"/>
      <w:bookmarkEnd w:id="2"/>
    </w:p>
    <w:p w14:paraId="18287884" w14:textId="77777777" w:rsidR="008B3135" w:rsidRPr="009A35D7" w:rsidRDefault="008B3135" w:rsidP="00532989">
      <w:pPr>
        <w:tabs>
          <w:tab w:val="left" w:pos="709"/>
        </w:tabs>
        <w:spacing w:after="0" w:line="240" w:lineRule="auto"/>
        <w:jc w:val="both"/>
      </w:pPr>
    </w:p>
    <w:p w14:paraId="63A4227D" w14:textId="77777777" w:rsidR="008B3135" w:rsidRPr="009A35D7" w:rsidRDefault="008B3135" w:rsidP="00532989">
      <w:pPr>
        <w:tabs>
          <w:tab w:val="left" w:pos="709"/>
        </w:tabs>
        <w:spacing w:after="0" w:line="240" w:lineRule="auto"/>
        <w:jc w:val="both"/>
      </w:pPr>
      <w:r w:rsidRPr="009A35D7">
        <w:rPr>
          <w:b/>
        </w:rPr>
        <w:t>1.</w:t>
      </w:r>
      <w:r w:rsidRPr="009A35D7">
        <w:tab/>
        <w:t xml:space="preserve">Deze bijdrage bevat een selectie van adviezen die de </w:t>
      </w:r>
      <w:r w:rsidR="00457584" w:rsidRPr="009A35D7">
        <w:t>afdeling Wetgeving</w:t>
      </w:r>
      <w:r w:rsidRPr="009A35D7">
        <w:t xml:space="preserve"> van de Raad van State in 201</w:t>
      </w:r>
      <w:r w:rsidR="00A0575B">
        <w:t>9</w:t>
      </w:r>
      <w:r w:rsidRPr="009A35D7">
        <w:t xml:space="preserve"> en 20</w:t>
      </w:r>
      <w:r w:rsidR="00A0575B">
        <w:t>20</w:t>
      </w:r>
      <w:r w:rsidRPr="009A35D7">
        <w:t xml:space="preserve"> heeft gegeven en waarin verschillende problemen in verband met behoorlijke regelgeving ter sprake kwamen. Gezien het grote aantal adviezen en de</w:t>
      </w:r>
      <w:r w:rsidR="002D313F" w:rsidRPr="009A35D7">
        <w:t xml:space="preserve"> </w:t>
      </w:r>
      <w:r w:rsidRPr="009A35D7">
        <w:t>vaagheid van de notie “behoorlijke wetgeving” is deze kroniek het resultaat van een strenge selectie en kan zij geen aanspraak maken op volledigheid. Omdat de meeste thema’s zoals bijvoorbeeld normenhiërarchie, normatieve kracht, uitwerking in de tijd en delegatie van regelgevende bevoegdheid ook al in vorige kronieken</w:t>
      </w:r>
      <w:r w:rsidRPr="009A35D7">
        <w:rPr>
          <w:rStyle w:val="Voetnootmarkering"/>
        </w:rPr>
        <w:footnoteReference w:id="6"/>
      </w:r>
      <w:r w:rsidRPr="009A35D7">
        <w:t xml:space="preserve"> werden behandeld, werd meer aandacht besteed aan nieuwe thema’s of aan belangrijke nieuwe precedenten binnen </w:t>
      </w:r>
      <w:r w:rsidR="00872849" w:rsidRPr="009A35D7">
        <w:t xml:space="preserve">de </w:t>
      </w:r>
      <w:r w:rsidRPr="009A35D7">
        <w:t>klassieke thema’s.</w:t>
      </w:r>
    </w:p>
    <w:p w14:paraId="2ACBFAA4" w14:textId="77777777" w:rsidR="008B3135" w:rsidRPr="009A35D7" w:rsidRDefault="008B3135" w:rsidP="00532989">
      <w:pPr>
        <w:tabs>
          <w:tab w:val="left" w:pos="709"/>
        </w:tabs>
        <w:spacing w:after="0" w:line="240" w:lineRule="auto"/>
        <w:jc w:val="both"/>
      </w:pPr>
    </w:p>
    <w:p w14:paraId="6E5B2843" w14:textId="1078D490" w:rsidR="008B3135" w:rsidRPr="009A35D7" w:rsidRDefault="008B3135" w:rsidP="00532989">
      <w:pPr>
        <w:tabs>
          <w:tab w:val="left" w:pos="709"/>
        </w:tabs>
        <w:spacing w:after="0" w:line="240" w:lineRule="auto"/>
        <w:jc w:val="both"/>
      </w:pPr>
      <w:r w:rsidRPr="009A35D7">
        <w:t>Omwille van de beperking van de omvang van deze kroniek wordt naar adviezen enkel nog verwezen met het nummer</w:t>
      </w:r>
      <w:r w:rsidRPr="009A35D7">
        <w:rPr>
          <w:rStyle w:val="Voetnootmarkering"/>
        </w:rPr>
        <w:footnoteReference w:id="7"/>
      </w:r>
      <w:r w:rsidRPr="009A35D7">
        <w:t xml:space="preserve"> en de datum en niet langer met het opschrift van het voorstel of ontwerp waarop het betrekking heeft. Via de zoekmogelijkheid op adviesnummer in de databank Reflex</w:t>
      </w:r>
      <w:r w:rsidR="004A4EF4" w:rsidRPr="009A35D7">
        <w:rPr>
          <w:rStyle w:val="Voetnootmarkering"/>
        </w:rPr>
        <w:footnoteReference w:id="8"/>
      </w:r>
      <w:r w:rsidRPr="009A35D7">
        <w:t xml:space="preserve"> kan de belangstellende lezer zelf het in het parlement ingediende wetsontwerp of wetsvoorstel of het in het Belgisch Staatsblad gepubliceerde besluit terugvinden.</w:t>
      </w:r>
      <w:r w:rsidR="000D1768">
        <w:rPr>
          <w:rStyle w:val="Voetnootmarkering"/>
        </w:rPr>
        <w:footnoteReference w:id="9"/>
      </w:r>
      <w:r w:rsidRPr="009A35D7">
        <w:t xml:space="preserve"> Ook de adviezen bij voorontwerpen van wetgevende teksten die niet zijn ingediend in het parlement, de amendementen en de besluiten die niet zijn bekendgemaakt in het Belgisch Staatsblad zullen </w:t>
      </w:r>
      <w:r w:rsidR="000D1768">
        <w:t>uiteindelijk wel</w:t>
      </w:r>
      <w:r w:rsidRPr="009A35D7">
        <w:t xml:space="preserve"> beschikbaar zijn,</w:t>
      </w:r>
      <w:r w:rsidR="004A4EF4" w:rsidRPr="009A35D7">
        <w:rPr>
          <w:rStyle w:val="Voetnootmarkering"/>
        </w:rPr>
        <w:footnoteReference w:id="10"/>
      </w:r>
      <w:r w:rsidRPr="009A35D7">
        <w:t xml:space="preserve"> aangezien </w:t>
      </w:r>
      <w:r w:rsidRPr="009A35D7">
        <w:lastRenderedPageBreak/>
        <w:t>die samen met die teksten bekendgemaakt worden na de ontbinding van de betrokken parlementen.</w:t>
      </w:r>
      <w:r w:rsidR="000D1768">
        <w:rPr>
          <w:rStyle w:val="Voetnootmarkering"/>
        </w:rPr>
        <w:footnoteReference w:id="11"/>
      </w:r>
      <w:r w:rsidR="0007257B" w:rsidRPr="00B333AE">
        <w:rPr>
          <w:vertAlign w:val="superscript"/>
        </w:rPr>
        <w:t>-</w:t>
      </w:r>
      <w:r w:rsidRPr="009A35D7">
        <w:rPr>
          <w:rStyle w:val="Voetnootmarkering"/>
        </w:rPr>
        <w:footnoteReference w:id="12"/>
      </w:r>
    </w:p>
    <w:p w14:paraId="3A248581" w14:textId="77777777" w:rsidR="008B3135" w:rsidRPr="009A35D7" w:rsidRDefault="008B3135" w:rsidP="00532989">
      <w:pPr>
        <w:tabs>
          <w:tab w:val="left" w:pos="709"/>
        </w:tabs>
        <w:spacing w:after="0" w:line="240" w:lineRule="auto"/>
        <w:jc w:val="both"/>
      </w:pPr>
    </w:p>
    <w:p w14:paraId="262286BF" w14:textId="5B03BB02" w:rsidR="008B3135" w:rsidRDefault="008B3135" w:rsidP="00934E83">
      <w:pPr>
        <w:tabs>
          <w:tab w:val="left" w:pos="709"/>
        </w:tabs>
        <w:spacing w:after="0" w:line="240" w:lineRule="auto"/>
        <w:jc w:val="both"/>
      </w:pPr>
      <w:r w:rsidRPr="009A35D7">
        <w:rPr>
          <w:b/>
        </w:rPr>
        <w:t>2.</w:t>
      </w:r>
      <w:r w:rsidRPr="009A35D7">
        <w:tab/>
        <w:t>In de kalenderjaren</w:t>
      </w:r>
      <w:r w:rsidRPr="009A35D7">
        <w:rPr>
          <w:rStyle w:val="Voetnootmarkering"/>
        </w:rPr>
        <w:footnoteReference w:id="13"/>
      </w:r>
      <w:r w:rsidRPr="009A35D7">
        <w:t xml:space="preserve"> 201</w:t>
      </w:r>
      <w:r w:rsidR="00934E83">
        <w:t>9</w:t>
      </w:r>
      <w:r w:rsidRPr="009A35D7">
        <w:t xml:space="preserve"> en 20</w:t>
      </w:r>
      <w:r w:rsidR="00934E83">
        <w:t>20</w:t>
      </w:r>
      <w:r w:rsidRPr="009A35D7">
        <w:t xml:space="preserve"> ontving de </w:t>
      </w:r>
      <w:r w:rsidR="00457584" w:rsidRPr="009A35D7">
        <w:t>afdeling Wetgeving</w:t>
      </w:r>
      <w:r w:rsidRPr="009A35D7">
        <w:t xml:space="preserve"> </w:t>
      </w:r>
      <w:r w:rsidR="00934E83">
        <w:t>1747</w:t>
      </w:r>
      <w:r w:rsidRPr="009A35D7">
        <w:t xml:space="preserve">, respectievelijk </w:t>
      </w:r>
      <w:r w:rsidR="00934E83">
        <w:t>1740</w:t>
      </w:r>
      <w:r w:rsidRPr="009A35D7">
        <w:t xml:space="preserve"> adviesaanvragen.</w:t>
      </w:r>
      <w:r w:rsidR="002D313F" w:rsidRPr="009A35D7">
        <w:t xml:space="preserve"> </w:t>
      </w:r>
      <w:r w:rsidR="00934E83">
        <w:t>Voor 2019 werden 6 procent van die adviezen op vijf werkdagen gevraagd, 93 procent op dertig dagen en telkens minder dan 1 procent op zestig dagen en zonder termijn, wat in lijn ligt met de eraan voorafgaande jaren. De COVID-19-pandemie schudde die verhoudingen drastisch door elkaar in 2020: het aantal adviesaanvragen op vijf werkdagen bedroeg 27 procent</w:t>
      </w:r>
      <w:r w:rsidR="0007257B">
        <w:rPr>
          <w:rStyle w:val="Voetnootmarkering"/>
        </w:rPr>
        <w:footnoteReference w:id="14"/>
      </w:r>
      <w:r w:rsidR="00934E83">
        <w:t xml:space="preserve"> en het aantal adviesaanvragen op dertig dagen 69 procent. De adviesaanvragen op zestig dagen en zonder termijn bedroegen respectievelijk 4 en minder dan 1 procent.</w:t>
      </w:r>
      <w:r w:rsidR="00F55351">
        <w:t xml:space="preserve"> Dat is naar alle waarschijnlijkheid een tijdelijk verschijnsel, ook al kan men in 2021 nog een zekere voortzetting verwachten van het frequentere beroep op spoedadviesaanvragen.</w:t>
      </w:r>
    </w:p>
    <w:p w14:paraId="159821E9" w14:textId="77777777" w:rsidR="008B3135" w:rsidRPr="009A35D7" w:rsidRDefault="008B3135" w:rsidP="00532989">
      <w:pPr>
        <w:tabs>
          <w:tab w:val="left" w:pos="709"/>
        </w:tabs>
        <w:spacing w:after="0" w:line="240" w:lineRule="auto"/>
        <w:jc w:val="both"/>
        <w:rPr>
          <w:color w:val="FF0000"/>
        </w:rPr>
      </w:pPr>
    </w:p>
    <w:p w14:paraId="085996EE" w14:textId="067F431A" w:rsidR="008B3135" w:rsidRPr="009A35D7" w:rsidRDefault="008B3135" w:rsidP="00532989">
      <w:pPr>
        <w:tabs>
          <w:tab w:val="left" w:pos="709"/>
        </w:tabs>
        <w:spacing w:after="0" w:line="240" w:lineRule="auto"/>
        <w:jc w:val="both"/>
      </w:pPr>
      <w:r w:rsidRPr="009A35D7">
        <w:t>In de huidige personeelsbezetting van de afdeling Wetgeving (24 auditeurs en 1</w:t>
      </w:r>
      <w:r w:rsidR="00F55351">
        <w:t>3</w:t>
      </w:r>
      <w:r w:rsidRPr="009A35D7">
        <w:rPr>
          <w:color w:val="FF0000"/>
        </w:rPr>
        <w:t xml:space="preserve"> </w:t>
      </w:r>
      <w:r w:rsidRPr="009A35D7">
        <w:t>staatsraden) is een dergelijke zaaklast structureel problematisch. In 201</w:t>
      </w:r>
      <w:r w:rsidR="00803F37">
        <w:t>9</w:t>
      </w:r>
      <w:r w:rsidRPr="009A35D7">
        <w:t xml:space="preserve"> werden meer dan </w:t>
      </w:r>
      <w:r w:rsidR="00803F37">
        <w:t>17</w:t>
      </w:r>
      <w:r w:rsidRPr="009A35D7">
        <w:t xml:space="preserve"> procent en in </w:t>
      </w:r>
      <w:r w:rsidR="007576C8" w:rsidRPr="009A35D7">
        <w:t>20</w:t>
      </w:r>
      <w:r w:rsidR="007576C8">
        <w:t>20</w:t>
      </w:r>
      <w:r w:rsidR="007576C8" w:rsidRPr="009A35D7">
        <w:t xml:space="preserve"> </w:t>
      </w:r>
      <w:r w:rsidRPr="009A35D7">
        <w:t xml:space="preserve">meer dan </w:t>
      </w:r>
      <w:r w:rsidR="00803F37">
        <w:t>5</w:t>
      </w:r>
      <w:r w:rsidRPr="009A35D7">
        <w:t xml:space="preserve"> procent van de adviesaanvragen van de rol afgevoerd, meestal omdat gebruik werd gemaakt van de mogelijkheid die de wet biedt om bij adviesaanvragen over besluiten de adviestermijn te laten verstrijken zonder dat een advies wordt gegeven.</w:t>
      </w:r>
      <w:r w:rsidRPr="009A35D7">
        <w:rPr>
          <w:rStyle w:val="Voetnootmarkering"/>
        </w:rPr>
        <w:footnoteReference w:id="15"/>
      </w:r>
      <w:r w:rsidRPr="009A35D7">
        <w:t xml:space="preserve"> Ook bij adviesaanvragen over wetten, decreten of ordonnanties slaagt de </w:t>
      </w:r>
      <w:r w:rsidR="00457584" w:rsidRPr="009A35D7">
        <w:t>afdeling Wetgeving</w:t>
      </w:r>
      <w:r w:rsidRPr="009A35D7">
        <w:t xml:space="preserve"> er in drukke periodes vaak niet meer in om de termijnen te respecteren en wordt het advies enkele dagen tot zelfs meerdere weken later bezorgd. De adviserende taak </w:t>
      </w:r>
      <w:r w:rsidR="002D313F" w:rsidRPr="009A35D7">
        <w:t xml:space="preserve">van de afdeling Wetgeving </w:t>
      </w:r>
      <w:r w:rsidRPr="009A35D7">
        <w:t>ten behoeve van de regeringen en de parlementen</w:t>
      </w:r>
      <w:r w:rsidR="002D313F" w:rsidRPr="009A35D7">
        <w:t xml:space="preserve"> komt daarmee meer dan ooit onder spanning te staan</w:t>
      </w:r>
      <w:r w:rsidRPr="009A35D7">
        <w:t xml:space="preserve">. De Raad van State </w:t>
      </w:r>
      <w:r w:rsidR="00CF6131">
        <w:t>wees in een memorandum van 4 juli 2019 op de noodzaak aan een structurele versterking van de afdeling wetgeving.</w:t>
      </w:r>
      <w:r w:rsidR="00CF6131">
        <w:rPr>
          <w:rStyle w:val="Voetnootmarkering"/>
        </w:rPr>
        <w:footnoteReference w:id="16"/>
      </w:r>
      <w:r w:rsidR="005B61FA">
        <w:t xml:space="preserve"> Ook andere hervormingen moeten dringend worden overwogen om de meerwaarde en de relevantie van de adviezen te verhogen</w:t>
      </w:r>
      <w:r w:rsidR="0099088F">
        <w:t>.</w:t>
      </w:r>
      <w:r w:rsidR="005B61FA">
        <w:rPr>
          <w:rStyle w:val="Voetnootmarkering"/>
        </w:rPr>
        <w:footnoteReference w:id="17"/>
      </w:r>
      <w:r w:rsidR="0099088F">
        <w:t xml:space="preserve"> </w:t>
      </w:r>
      <w:r w:rsidRPr="009A35D7">
        <w:t>Een overheid die belang hecht aan behoorlijke regelgeving (en die van haar burgers verwacht dat ze op de hoogte zijn van die rechtsregels) moet bereid zijn om voldoende tijd en middelen ter beschikking te stellen voor begrijpelijke, toegankelijke en juridisch sluitende teksten en kan enkel winnen bij een grondige externe toetsing van haar ontwerpen.</w:t>
      </w:r>
    </w:p>
    <w:p w14:paraId="6FFFCD2C" w14:textId="77777777" w:rsidR="008B3135" w:rsidRPr="009A35D7" w:rsidRDefault="008B3135" w:rsidP="00532989">
      <w:pPr>
        <w:tabs>
          <w:tab w:val="left" w:pos="709"/>
        </w:tabs>
        <w:spacing w:after="0" w:line="240" w:lineRule="auto"/>
        <w:jc w:val="both"/>
      </w:pPr>
    </w:p>
    <w:p w14:paraId="436F1156" w14:textId="77777777" w:rsidR="008B3135" w:rsidRPr="009A35D7" w:rsidRDefault="008B3135" w:rsidP="00532989">
      <w:pPr>
        <w:tabs>
          <w:tab w:val="left" w:pos="709"/>
        </w:tabs>
        <w:spacing w:after="0" w:line="240" w:lineRule="auto"/>
        <w:jc w:val="both"/>
      </w:pPr>
      <w:r w:rsidRPr="009A35D7">
        <w:rPr>
          <w:b/>
        </w:rPr>
        <w:t>3.</w:t>
      </w:r>
      <w:r w:rsidRPr="009A35D7">
        <w:tab/>
        <w:t xml:space="preserve">De lezer moet er zich in het licht van het voorgaande rekenschap van geven dat veel potentiële problemen met betrekking tot behoorlijke regelgeving in die omstandigheden niet eens aan bod komen in de adviezen van de </w:t>
      </w:r>
      <w:r w:rsidR="00457584" w:rsidRPr="009A35D7">
        <w:t>afdeling Wetgeving</w:t>
      </w:r>
      <w:r w:rsidRPr="009A35D7">
        <w:t>. Vaak vallen die problemen immers buiten de zogenaamde “drie punten”</w:t>
      </w:r>
      <w:r w:rsidRPr="009A35D7">
        <w:rPr>
          <w:rStyle w:val="Voetnootmarkering"/>
        </w:rPr>
        <w:footnoteReference w:id="18"/>
      </w:r>
      <w:r w:rsidRPr="009A35D7">
        <w:t>, wat betekent dat ze in een advies op vijf werkdagen van rechtswege niet aan bod kunnen komen en dat ze in een advies op dertig dagen wegens tijdsgebrek vaak niet of nauwelijks ter sprake komen.</w:t>
      </w:r>
    </w:p>
    <w:p w14:paraId="16F8EFEE" w14:textId="77777777" w:rsidR="002B40AF" w:rsidRPr="009A35D7" w:rsidRDefault="002B40AF" w:rsidP="00532989">
      <w:pPr>
        <w:tabs>
          <w:tab w:val="left" w:pos="709"/>
        </w:tabs>
        <w:spacing w:after="0" w:line="240" w:lineRule="auto"/>
        <w:jc w:val="both"/>
      </w:pPr>
    </w:p>
    <w:p w14:paraId="67192F36" w14:textId="77777777" w:rsidR="002B40AF" w:rsidRPr="009A35D7" w:rsidRDefault="008D264C" w:rsidP="00532989">
      <w:pPr>
        <w:pStyle w:val="Kop2"/>
        <w:spacing w:before="0" w:line="240" w:lineRule="auto"/>
        <w:jc w:val="both"/>
      </w:pPr>
      <w:bookmarkStart w:id="3" w:name="_Toc5779199"/>
      <w:bookmarkStart w:id="4" w:name="_Toc70497764"/>
      <w:bookmarkStart w:id="5" w:name="_Toc70499135"/>
      <w:r w:rsidRPr="009A35D7">
        <w:t xml:space="preserve">II. </w:t>
      </w:r>
      <w:bookmarkEnd w:id="3"/>
      <w:r w:rsidR="008967C7">
        <w:t>Normenhiërarchie</w:t>
      </w:r>
      <w:bookmarkEnd w:id="4"/>
      <w:bookmarkEnd w:id="5"/>
    </w:p>
    <w:p w14:paraId="4C351BD5" w14:textId="77777777" w:rsidR="00532989" w:rsidRDefault="00532989" w:rsidP="00532989">
      <w:pPr>
        <w:spacing w:after="0" w:line="240" w:lineRule="auto"/>
        <w:jc w:val="both"/>
      </w:pPr>
    </w:p>
    <w:p w14:paraId="2C79A5D4" w14:textId="0DBA91B3" w:rsidR="0040341C" w:rsidRDefault="007576C8" w:rsidP="0040341C">
      <w:pPr>
        <w:tabs>
          <w:tab w:val="left" w:pos="709"/>
        </w:tabs>
        <w:spacing w:after="0" w:line="240" w:lineRule="auto"/>
        <w:jc w:val="both"/>
        <w:rPr>
          <w:sz w:val="23"/>
          <w:szCs w:val="23"/>
        </w:rPr>
      </w:pPr>
      <w:r>
        <w:rPr>
          <w:b/>
          <w:bCs/>
        </w:rPr>
        <w:t>4.</w:t>
      </w:r>
      <w:r>
        <w:tab/>
      </w:r>
      <w:r w:rsidR="0040341C" w:rsidRPr="00FF7133">
        <w:rPr>
          <w:color w:val="000000"/>
        </w:rPr>
        <w:t xml:space="preserve">Verder in deze kroniek </w:t>
      </w:r>
      <w:r>
        <w:rPr>
          <w:color w:val="000000"/>
        </w:rPr>
        <w:t>wordt dieper ingegaan</w:t>
      </w:r>
      <w:r w:rsidR="0040341C" w:rsidRPr="00FF7133">
        <w:rPr>
          <w:color w:val="000000"/>
        </w:rPr>
        <w:t xml:space="preserve"> op de techniek van de bijzondere machten.</w:t>
      </w:r>
      <w:r w:rsidR="0040341C" w:rsidRPr="00FF7133">
        <w:rPr>
          <w:rStyle w:val="Voetnootmarkering"/>
        </w:rPr>
        <w:footnoteReference w:id="19"/>
      </w:r>
      <w:r w:rsidR="0040341C" w:rsidRPr="00FF7133">
        <w:rPr>
          <w:color w:val="000000"/>
        </w:rPr>
        <w:t xml:space="preserve"> </w:t>
      </w:r>
      <w:r w:rsidR="0040341C" w:rsidRPr="00FF7133">
        <w:t xml:space="preserve">In </w:t>
      </w:r>
      <w:r>
        <w:t>dit onderdeel</w:t>
      </w:r>
      <w:r w:rsidR="0040341C" w:rsidRPr="00FF7133">
        <w:t xml:space="preserve"> wordt </w:t>
      </w:r>
      <w:r>
        <w:t xml:space="preserve">alvast </w:t>
      </w:r>
      <w:r w:rsidR="0040341C" w:rsidRPr="00FF7133">
        <w:t>stilgestaan bij de opmerking in het advies van 25 maart 2020 over het voorstel van bijzonderemachtenwet waarin de Raad van State benadrukt dat bij het toekennen van bijzondere machten de wetgever de Koning niet kan machtigen om</w:t>
      </w:r>
      <w:r w:rsidR="003E088E">
        <w:t xml:space="preserve"> </w:t>
      </w:r>
      <w:r w:rsidR="0040341C" w:rsidRPr="00FF7133">
        <w:t>af te wijken van beginselen of bepalingen die in de hiërarchie van de rechtsnormen een hogere positie bekleden dan de wet.</w:t>
      </w:r>
      <w:r w:rsidR="0040341C" w:rsidRPr="00FF7133">
        <w:rPr>
          <w:rStyle w:val="Voetnootmarkering"/>
        </w:rPr>
        <w:footnoteReference w:id="20"/>
      </w:r>
      <w:r w:rsidR="0040341C" w:rsidRPr="00FF7133">
        <w:t xml:space="preserve"> Zo doen de bijzondere machten geen afbreuk aan de verplichting om Europeesrechtelijke vormvoorschriften na te leven, zoals de aanmelding van staatssteun.</w:t>
      </w:r>
      <w:r w:rsidR="0040341C" w:rsidRPr="00FF7133">
        <w:rPr>
          <w:rStyle w:val="Voetnootmarkering"/>
        </w:rPr>
        <w:footnoteReference w:id="21"/>
      </w:r>
      <w:r w:rsidR="0040341C" w:rsidRPr="00FF7133">
        <w:t xml:space="preserve"> Wel neemt de Raad van State aan dat de bijzondere machtenwetten de Koning ook machtigen om op te treden op het vlak van (de essentiële elementen van) door de Grondwet aan de wetgever voorbehouden aangelegenheden.</w:t>
      </w:r>
      <w:r w:rsidR="003E088E">
        <w:t xml:space="preserve"> </w:t>
      </w:r>
      <w:r w:rsidR="0040341C" w:rsidRPr="00FF7133">
        <w:t>De Raad merkt op dat hoewel het voorstel zelf geen enkele bepaling bevat waarbij een openbare vrijheid beperkt wordt, niet uitgesloten kan worden dat een aantal van de bijzonderemachtenbesluiten tot het nemen waarvan de Koning bij dit voorstel gemachtigd wordt wel een dergelijke draagwijdte zouden kunnen hebben. Deze besluiten zullen uiteraard wel verenigbaar moeten zijn met de mensenrechtenverdragen. Wanneer de Koning een door de Grondwet aan de wetgever voorbehouden aangelegenheid regelt, zal het bijzonderemachtenbesluit bovendien wel binnen een korte termijn bekrachtigd moeten worden, op straffe van retroactief verval.</w:t>
      </w:r>
      <w:r w:rsidR="0040341C">
        <w:rPr>
          <w:rStyle w:val="Voetnootmarkering"/>
          <w:sz w:val="23"/>
          <w:szCs w:val="23"/>
        </w:rPr>
        <w:footnoteReference w:id="22"/>
      </w:r>
    </w:p>
    <w:p w14:paraId="51DB7BA0" w14:textId="77777777" w:rsidR="0040341C" w:rsidRDefault="0040341C" w:rsidP="0040341C">
      <w:pPr>
        <w:pStyle w:val="Default"/>
        <w:ind w:left="708"/>
        <w:jc w:val="both"/>
        <w:rPr>
          <w:sz w:val="23"/>
          <w:szCs w:val="23"/>
        </w:rPr>
      </w:pPr>
      <w:r>
        <w:rPr>
          <w:sz w:val="23"/>
          <w:szCs w:val="23"/>
        </w:rPr>
        <w:t xml:space="preserve"> </w:t>
      </w:r>
    </w:p>
    <w:p w14:paraId="6C227925" w14:textId="7EC0735D" w:rsidR="0040341C" w:rsidRDefault="007576C8" w:rsidP="0040341C">
      <w:pPr>
        <w:tabs>
          <w:tab w:val="left" w:pos="709"/>
        </w:tabs>
        <w:spacing w:after="0" w:line="240" w:lineRule="auto"/>
        <w:jc w:val="both"/>
        <w:rPr>
          <w:sz w:val="23"/>
          <w:szCs w:val="23"/>
        </w:rPr>
      </w:pPr>
      <w:r>
        <w:rPr>
          <w:b/>
          <w:bCs/>
          <w:sz w:val="23"/>
          <w:szCs w:val="23"/>
        </w:rPr>
        <w:t>5.</w:t>
      </w:r>
      <w:r>
        <w:rPr>
          <w:sz w:val="23"/>
          <w:szCs w:val="23"/>
        </w:rPr>
        <w:tab/>
      </w:r>
      <w:r w:rsidR="0040341C">
        <w:rPr>
          <w:sz w:val="23"/>
          <w:szCs w:val="23"/>
        </w:rPr>
        <w:t xml:space="preserve">De bijzondermachtenwet </w:t>
      </w:r>
      <w:r w:rsidR="0040341C" w:rsidRPr="00FF7133">
        <w:rPr>
          <w:color w:val="000000"/>
        </w:rPr>
        <w:t>voorziet</w:t>
      </w:r>
      <w:r w:rsidR="0040341C">
        <w:rPr>
          <w:sz w:val="23"/>
          <w:szCs w:val="23"/>
        </w:rPr>
        <w:t xml:space="preserve"> in de verplichte bekrachtiging van alle besluiten die op grond van de voorgestelde regeling worden genomen, ook wanneer dit vanuit juridisch oogpunt niet strikt noodzakelijk is. Zo is het mogelijk dat de Koning maatregelen neemt of wijzigingen aanbrengt in reglementaire bepalingen die reeds op grond van de actueel geldende wetgeving tot zijn bevoegdheid behoren, maar daarbij toch rechtsgrond zoekt in de bijzonder</w:t>
      </w:r>
      <w:r>
        <w:rPr>
          <w:sz w:val="23"/>
          <w:szCs w:val="23"/>
        </w:rPr>
        <w:t>e</w:t>
      </w:r>
      <w:r w:rsidR="0040341C">
        <w:rPr>
          <w:sz w:val="23"/>
          <w:szCs w:val="23"/>
        </w:rPr>
        <w:t>machtenwet, bijvoorbeeld omdat deze samenhangen met maatregelen waarvoor wel degelijk een beroep moet worden gedaan op de bijzondere machten of omdat de bijzonderemachtenwet hem toelaat voorbij te gaan aan bepaalde vormvereisten.</w:t>
      </w:r>
      <w:r w:rsidR="003C0A39">
        <w:rPr>
          <w:rStyle w:val="Voetnootmarkering"/>
          <w:sz w:val="23"/>
          <w:szCs w:val="23"/>
        </w:rPr>
        <w:footnoteReference w:id="23"/>
      </w:r>
      <w:r w:rsidR="0040341C">
        <w:rPr>
          <w:sz w:val="23"/>
          <w:szCs w:val="23"/>
        </w:rPr>
        <w:t xml:space="preserve"> Als gevolg van de bekrachtiging verkrijgen alle bij bijzonderemachtenbesluit vastgestelde of gewijzigde bepalingen kracht van wet. Z</w:t>
      </w:r>
      <w:r>
        <w:rPr>
          <w:sz w:val="23"/>
          <w:szCs w:val="23"/>
        </w:rPr>
        <w:t>e</w:t>
      </w:r>
      <w:r w:rsidR="0040341C">
        <w:rPr>
          <w:sz w:val="23"/>
          <w:szCs w:val="23"/>
        </w:rPr>
        <w:t xml:space="preserve"> kunnen daarna enkel nog worden gewijzigd door middel van een formele wet. De Koning zal ze niet meer eigenmachtig kunnen wijzigen, zelfs niet indien een specifieke wetsbepaling hem machtigt om ter zake maatregelen te nemen. Om die reden heeft de Raad van State in het verleden steeds afgeraden om in gewone uitvoeringsbesluiten wijzigingen aan te brengen bij bijzonderemachtenbesluiten. De wetgever </w:t>
      </w:r>
      <w:r w:rsidR="00606986">
        <w:rPr>
          <w:sz w:val="23"/>
          <w:szCs w:val="23"/>
        </w:rPr>
        <w:t xml:space="preserve">moest volgens de Raad van State </w:t>
      </w:r>
      <w:r w:rsidR="0040341C">
        <w:rPr>
          <w:sz w:val="23"/>
          <w:szCs w:val="23"/>
        </w:rPr>
        <w:t xml:space="preserve">dan ook nagaan of het niet zinvol is om, hetzij in </w:t>
      </w:r>
      <w:r w:rsidR="003C0A39">
        <w:rPr>
          <w:sz w:val="23"/>
          <w:szCs w:val="23"/>
        </w:rPr>
        <w:t>de bijzonderemachtenwet</w:t>
      </w:r>
      <w:r w:rsidR="0040341C">
        <w:rPr>
          <w:sz w:val="23"/>
          <w:szCs w:val="23"/>
        </w:rPr>
        <w:t>, hetzij in de latere bekrachtigingswetten, aan te geven dat de bekrachtigde bepalingen door de Koning opnieuw zullen kunnen worden opgeheven, aangevuld, gewijzigd of vervangen, althans in zoverre daarvoor ook een materiële rechtsgrond voorhanden is.</w:t>
      </w:r>
      <w:r w:rsidR="0040341C">
        <w:rPr>
          <w:rStyle w:val="Voetnootmarkering"/>
          <w:sz w:val="23"/>
          <w:szCs w:val="23"/>
        </w:rPr>
        <w:footnoteReference w:id="24"/>
      </w:r>
    </w:p>
    <w:p w14:paraId="018E8059" w14:textId="77777777" w:rsidR="0040341C" w:rsidRDefault="0040341C" w:rsidP="0040341C">
      <w:pPr>
        <w:autoSpaceDE w:val="0"/>
        <w:autoSpaceDN w:val="0"/>
        <w:adjustRightInd w:val="0"/>
      </w:pPr>
    </w:p>
    <w:p w14:paraId="52DE8C34" w14:textId="04837EFE" w:rsidR="0040341C" w:rsidRDefault="00606986" w:rsidP="0040341C">
      <w:pPr>
        <w:pStyle w:val="Voetnoottekst"/>
        <w:jc w:val="both"/>
      </w:pPr>
      <w:r>
        <w:rPr>
          <w:b/>
          <w:bCs/>
        </w:rPr>
        <w:t>6.</w:t>
      </w:r>
      <w:r>
        <w:tab/>
      </w:r>
      <w:r w:rsidR="0040341C" w:rsidRPr="0040341C">
        <w:rPr>
          <w:sz w:val="23"/>
          <w:szCs w:val="23"/>
        </w:rPr>
        <w:t xml:space="preserve">Ook in een andere context is het soms raadzaam om een besluit te bekrachtigen. De stellers van een ontwerp van besluit van de Vlaamse regering tot codificatie van de decreten betreffende het Vlaamse woonbeleid waren niet zinnens om deze codificatie te laten bekrachtigen </w:t>
      </w:r>
      <w:r w:rsidR="0040341C" w:rsidRPr="0040341C">
        <w:rPr>
          <w:sz w:val="23"/>
          <w:szCs w:val="23"/>
        </w:rPr>
        <w:lastRenderedPageBreak/>
        <w:t>door de decreetgever. De rechtsgrond vereiste dit immers niet. De Raad van State merkt evenwel op dat de bekrachtiging van de ontworpen codificatie, samen met de gelijktijdige afschaffing van de wetgevende teksten die erin opgenomen zijn, nochtans verscheidene voordelen heeft.</w:t>
      </w:r>
      <w:r w:rsidR="003E088E">
        <w:rPr>
          <w:sz w:val="23"/>
          <w:szCs w:val="23"/>
        </w:rPr>
        <w:t xml:space="preserve"> </w:t>
      </w:r>
      <w:r w:rsidR="0040341C" w:rsidRPr="0040341C">
        <w:rPr>
          <w:sz w:val="23"/>
          <w:szCs w:val="23"/>
        </w:rPr>
        <w:t>Zo worden eventuele twijfels omtrent de overeenstemming van de gecodificeerde tekst met de oorspronkelijke tekst uit de weg geruimd, zodat de rechter dat aspect niet meer hoeft te toetsen. Ook worden de wetgevende teksten die in de codificatie zijn verwerkt en die overbodig zijn geworden, formeel uit de rechtsorde verwijderd. Volgens de Raad van State strekt het dan ook tot aanbeveling om de ontworpen codificatie alsnog door de decreetgever te laten bekrachtigen</w:t>
      </w:r>
      <w:r w:rsidR="0040341C">
        <w:t>.</w:t>
      </w:r>
      <w:r w:rsidR="0040341C">
        <w:rPr>
          <w:rStyle w:val="Voetnootmarkering"/>
        </w:rPr>
        <w:footnoteReference w:id="25"/>
      </w:r>
    </w:p>
    <w:p w14:paraId="3EB597BC" w14:textId="77777777" w:rsidR="0040341C" w:rsidRPr="00B80EB7" w:rsidRDefault="0040341C" w:rsidP="0040341C">
      <w:pPr>
        <w:pStyle w:val="Default"/>
        <w:ind w:left="708"/>
        <w:jc w:val="both"/>
        <w:rPr>
          <w:sz w:val="23"/>
          <w:szCs w:val="23"/>
        </w:rPr>
      </w:pPr>
    </w:p>
    <w:p w14:paraId="578ADB5E" w14:textId="662650BB" w:rsidR="0040341C" w:rsidRDefault="003E088E" w:rsidP="0040341C">
      <w:pPr>
        <w:tabs>
          <w:tab w:val="left" w:pos="709"/>
        </w:tabs>
        <w:spacing w:after="0" w:line="240" w:lineRule="auto"/>
        <w:jc w:val="both"/>
        <w:rPr>
          <w:sz w:val="23"/>
          <w:szCs w:val="23"/>
        </w:rPr>
      </w:pPr>
      <w:r>
        <w:rPr>
          <w:b/>
          <w:bCs/>
        </w:rPr>
        <w:t>7.</w:t>
      </w:r>
      <w:r>
        <w:tab/>
      </w:r>
      <w:r w:rsidR="0040341C" w:rsidRPr="00CE4DBC">
        <w:rPr>
          <w:sz w:val="23"/>
          <w:szCs w:val="23"/>
        </w:rPr>
        <w:t xml:space="preserve">Soms wil de </w:t>
      </w:r>
      <w:r w:rsidR="0040341C" w:rsidRPr="0040341C">
        <w:rPr>
          <w:sz w:val="23"/>
          <w:szCs w:val="23"/>
        </w:rPr>
        <w:t>wetgever</w:t>
      </w:r>
      <w:r w:rsidR="0040341C" w:rsidRPr="00CE4DBC">
        <w:rPr>
          <w:sz w:val="23"/>
          <w:szCs w:val="23"/>
        </w:rPr>
        <w:t xml:space="preserve"> er expliciet aan herinneren dat de hogere rechtsnormen gerespecteerd moeten worden. Zo luidde een amendement bij een wetsvoorstel inzake zwangerschapsafbreking naar analogie met het reeds bestaande artikel 141ter van het Strafwetboek als volgt: “Geen enkele bepaling uit deze wet kan worden gelezen in die zin dat zij een beperking of belemmering beoogt van rechten of fundamentele vrijheden</w:t>
      </w:r>
      <w:r w:rsidR="00E239C4">
        <w:rPr>
          <w:sz w:val="23"/>
          <w:szCs w:val="23"/>
        </w:rPr>
        <w:t xml:space="preserve"> […]</w:t>
      </w:r>
      <w:r w:rsidR="0040341C" w:rsidRPr="00CE4DBC">
        <w:rPr>
          <w:sz w:val="23"/>
          <w:szCs w:val="23"/>
        </w:rPr>
        <w:t>.”. De uitdrukkelijke bevestiging van deze interpretatieregel in de wet is echter niet alleen overbodig, maar ook verwarrend omdat dit ten onrechte de indruk wekt dat zonder die bevestiging een lezing van de wet in strijd met de fundamentele vrijheden wel mogelijk zou zijn. Overigens verwoordt het desbetreffende artikel de interpretatieregel op een inadequate wijze. Er wordt immers gesteld dat de wet niet in die zin mag worden gelezen dat ermee een beperking of een belemmering van rechten en fundamentele vrijheden wordt beoogd. Nochtans houden de bepalingen van die wet wel degelijk beperkingen van fundamentele vrijheden in. De bepaling zou moet luiden dat de wet niet mag worden gelezen in de zin dat ermee een ‘niet verantwoorde beperking’ of een “niet verantwoorde belemmering” van rechten en fundamentele vrijheden wordt beoogd.</w:t>
      </w:r>
      <w:r>
        <w:rPr>
          <w:sz w:val="23"/>
          <w:szCs w:val="23"/>
        </w:rPr>
        <w:t xml:space="preserve"> </w:t>
      </w:r>
      <w:r w:rsidR="0040341C" w:rsidRPr="00CE4DBC">
        <w:rPr>
          <w:sz w:val="23"/>
          <w:szCs w:val="23"/>
        </w:rPr>
        <w:t>Het amendement kan volgens de afdeling wetgeving dan ook geen doorgang vinden</w:t>
      </w:r>
      <w:r w:rsidR="0040341C">
        <w:rPr>
          <w:sz w:val="23"/>
          <w:szCs w:val="23"/>
        </w:rPr>
        <w:t>.</w:t>
      </w:r>
      <w:r w:rsidR="0040341C" w:rsidRPr="00CE4DBC">
        <w:rPr>
          <w:rStyle w:val="Voetnootmarkering"/>
          <w:color w:val="000000"/>
        </w:rPr>
        <w:footnoteReference w:id="26"/>
      </w:r>
    </w:p>
    <w:p w14:paraId="050E7759" w14:textId="77777777" w:rsidR="0040341C" w:rsidRDefault="0040341C" w:rsidP="0040341C">
      <w:pPr>
        <w:tabs>
          <w:tab w:val="left" w:pos="709"/>
        </w:tabs>
        <w:spacing w:after="0" w:line="240" w:lineRule="auto"/>
        <w:jc w:val="both"/>
        <w:rPr>
          <w:sz w:val="23"/>
          <w:szCs w:val="23"/>
        </w:rPr>
      </w:pPr>
    </w:p>
    <w:p w14:paraId="17054EC7" w14:textId="0F20FD3B" w:rsidR="0040341C" w:rsidRPr="00CE4DBC" w:rsidRDefault="003E088E" w:rsidP="0040341C">
      <w:pPr>
        <w:tabs>
          <w:tab w:val="left" w:pos="709"/>
        </w:tabs>
        <w:spacing w:after="0" w:line="240" w:lineRule="auto"/>
        <w:jc w:val="both"/>
        <w:rPr>
          <w:sz w:val="23"/>
          <w:szCs w:val="23"/>
        </w:rPr>
      </w:pPr>
      <w:r>
        <w:rPr>
          <w:b/>
          <w:bCs/>
          <w:sz w:val="23"/>
          <w:szCs w:val="23"/>
        </w:rPr>
        <w:t>8.</w:t>
      </w:r>
      <w:r>
        <w:rPr>
          <w:sz w:val="23"/>
          <w:szCs w:val="23"/>
        </w:rPr>
        <w:tab/>
      </w:r>
      <w:r w:rsidR="0040341C" w:rsidRPr="00CE4DBC">
        <w:rPr>
          <w:sz w:val="23"/>
          <w:szCs w:val="23"/>
        </w:rPr>
        <w:t xml:space="preserve">Soms kan een ministerieel besluit een besluit van de regering wijzigen. Zo </w:t>
      </w:r>
      <w:r>
        <w:rPr>
          <w:sz w:val="23"/>
          <w:szCs w:val="23"/>
        </w:rPr>
        <w:t>stelde</w:t>
      </w:r>
      <w:r w:rsidR="0040341C" w:rsidRPr="00CE4DBC">
        <w:rPr>
          <w:sz w:val="23"/>
          <w:szCs w:val="23"/>
        </w:rPr>
        <w:t xml:space="preserve"> de Raad van State </w:t>
      </w:r>
      <w:r>
        <w:rPr>
          <w:sz w:val="23"/>
          <w:szCs w:val="23"/>
        </w:rPr>
        <w:t xml:space="preserve">vast </w:t>
      </w:r>
      <w:r w:rsidR="0040341C" w:rsidRPr="00CE4DBC">
        <w:rPr>
          <w:sz w:val="23"/>
          <w:szCs w:val="23"/>
        </w:rPr>
        <w:t>dat de Brusselse Hoofdstedelijke Regering de minister gemachtigd heeft om het besluit van de Brusselse Hoofdstedelijke Regering van 17 december 2015 te wijzigen, al is het vanuit een wetgevingstechnisch oogpunt niet optimaal dat dat besluit daardoor</w:t>
      </w:r>
      <w:r w:rsidR="0040341C" w:rsidRPr="0040341C">
        <w:rPr>
          <w:sz w:val="23"/>
          <w:szCs w:val="23"/>
        </w:rPr>
        <w:t xml:space="preserve"> </w:t>
      </w:r>
      <w:r w:rsidR="0040341C" w:rsidRPr="00CE4DBC">
        <w:rPr>
          <w:sz w:val="23"/>
          <w:szCs w:val="23"/>
        </w:rPr>
        <w:t>normen van verschillende aard zal bevatten</w:t>
      </w:r>
      <w:r w:rsidR="0040341C">
        <w:rPr>
          <w:sz w:val="23"/>
          <w:szCs w:val="23"/>
        </w:rPr>
        <w:t>.</w:t>
      </w:r>
      <w:r w:rsidR="0040341C" w:rsidRPr="00CE4DBC">
        <w:rPr>
          <w:rStyle w:val="Voetnootmarkering"/>
          <w:color w:val="000000"/>
        </w:rPr>
        <w:footnoteReference w:id="27"/>
      </w:r>
    </w:p>
    <w:p w14:paraId="41ABD9AC" w14:textId="77777777" w:rsidR="0040341C" w:rsidRPr="0040341C" w:rsidRDefault="0040341C" w:rsidP="0040341C">
      <w:pPr>
        <w:tabs>
          <w:tab w:val="left" w:pos="709"/>
        </w:tabs>
        <w:spacing w:after="0" w:line="240" w:lineRule="auto"/>
        <w:jc w:val="both"/>
        <w:rPr>
          <w:sz w:val="23"/>
          <w:szCs w:val="23"/>
        </w:rPr>
      </w:pPr>
    </w:p>
    <w:p w14:paraId="78CA69DB" w14:textId="77777777" w:rsidR="008967C7" w:rsidRPr="009A35D7" w:rsidRDefault="008967C7" w:rsidP="008967C7">
      <w:pPr>
        <w:pStyle w:val="Kop2"/>
        <w:spacing w:before="0" w:line="240" w:lineRule="auto"/>
        <w:jc w:val="both"/>
      </w:pPr>
      <w:bookmarkStart w:id="6" w:name="_Toc70497765"/>
      <w:bookmarkStart w:id="7" w:name="_Toc70499136"/>
      <w:r w:rsidRPr="009A35D7">
        <w:t>II</w:t>
      </w:r>
      <w:r>
        <w:t>I</w:t>
      </w:r>
      <w:r w:rsidRPr="009A35D7">
        <w:t>. Normatieve kracht</w:t>
      </w:r>
      <w:bookmarkEnd w:id="6"/>
      <w:bookmarkEnd w:id="7"/>
    </w:p>
    <w:p w14:paraId="084BF69D" w14:textId="77777777" w:rsidR="008967C7" w:rsidRPr="009A35D7" w:rsidRDefault="008967C7" w:rsidP="00532989">
      <w:pPr>
        <w:spacing w:after="0" w:line="240" w:lineRule="auto"/>
        <w:jc w:val="both"/>
      </w:pPr>
    </w:p>
    <w:p w14:paraId="6DDEC617" w14:textId="7F9F73AE" w:rsidR="00D46131" w:rsidRDefault="003E088E" w:rsidP="00682AD5">
      <w:pPr>
        <w:spacing w:after="0" w:line="240" w:lineRule="auto"/>
        <w:jc w:val="both"/>
        <w:rPr>
          <w:bCs/>
          <w:lang w:val="nl-NL"/>
        </w:rPr>
      </w:pPr>
      <w:r>
        <w:rPr>
          <w:b/>
          <w:lang w:val="nl-NL"/>
        </w:rPr>
        <w:t>9.</w:t>
      </w:r>
      <w:r w:rsidR="00D46131">
        <w:rPr>
          <w:bCs/>
          <w:lang w:val="nl-NL"/>
        </w:rPr>
        <w:tab/>
        <w:t>Regelgeving moet in beginsel de vorm aannemen van formele rechtsinstrumenten, zoals wetten, decreten, ordonnanties en besluiten.</w:t>
      </w:r>
      <w:r w:rsidR="00D46131">
        <w:rPr>
          <w:rStyle w:val="Voetnootmarkering"/>
          <w:bCs/>
          <w:lang w:val="nl-NL"/>
        </w:rPr>
        <w:footnoteReference w:id="28"/>
      </w:r>
      <w:r w:rsidR="00D46131">
        <w:rPr>
          <w:bCs/>
          <w:lang w:val="nl-NL"/>
        </w:rPr>
        <w:t xml:space="preserve"> Omgekeerd is er in die instrumenten geen plaats voor niet-normatieve bepalingen, zoals beleidsintenties of een toelichting. Ook in de besproken periode poogden overheden echter van die geëigende paden af te wijken.</w:t>
      </w:r>
    </w:p>
    <w:p w14:paraId="17B5F6B0" w14:textId="77777777" w:rsidR="00682AD5" w:rsidRDefault="00682AD5" w:rsidP="00682AD5">
      <w:pPr>
        <w:spacing w:after="0" w:line="240" w:lineRule="auto"/>
        <w:jc w:val="both"/>
        <w:rPr>
          <w:bCs/>
          <w:lang w:val="nl-NL"/>
        </w:rPr>
      </w:pPr>
    </w:p>
    <w:p w14:paraId="166260C9" w14:textId="7F9D5637" w:rsidR="00D46131" w:rsidRDefault="003E088E" w:rsidP="00682AD5">
      <w:pPr>
        <w:spacing w:after="0" w:line="240" w:lineRule="auto"/>
        <w:jc w:val="both"/>
      </w:pPr>
      <w:r>
        <w:rPr>
          <w:b/>
          <w:lang w:val="nl-NL"/>
        </w:rPr>
        <w:t>10.</w:t>
      </w:r>
      <w:r w:rsidR="00D46131">
        <w:rPr>
          <w:bCs/>
          <w:lang w:val="nl-NL"/>
        </w:rPr>
        <w:tab/>
        <w:t>Een wijziging aan de bij koninklijke besluiten vastgestelde Codex over het welzijn op het werk voegde de regel in dat de CO</w:t>
      </w:r>
      <w:r w:rsidR="00D46131">
        <w:rPr>
          <w:bCs/>
          <w:vertAlign w:val="subscript"/>
          <w:lang w:val="nl-NL"/>
        </w:rPr>
        <w:t>2</w:t>
      </w:r>
      <w:r w:rsidR="00D46131">
        <w:rPr>
          <w:bCs/>
          <w:lang w:val="nl-NL"/>
        </w:rPr>
        <w:t xml:space="preserve">-concentratie “gewoonlijk lager” moest zijn dan de voorgeschreven drempels. De invulling van dat begrip zou gebeuren </w:t>
      </w:r>
      <w:r w:rsidR="00D46131">
        <w:t>in een aangekondigde “praktijkrichtlijn”. De Raad van State wees erop dat een dergelijke praktijkrichtlijn geen normatieve kracht heeft en dat ter wille van de rechtszekerheid in de ontworpen regeling zelf moest worden bepaald wat wordt verstaan onder “gewoonlijk lager”.</w:t>
      </w:r>
      <w:r w:rsidR="00D46131">
        <w:rPr>
          <w:rStyle w:val="Voetnootmarkering"/>
        </w:rPr>
        <w:footnoteReference w:id="29"/>
      </w:r>
    </w:p>
    <w:p w14:paraId="477C7490" w14:textId="77777777" w:rsidR="00682AD5" w:rsidRDefault="00682AD5" w:rsidP="00682AD5">
      <w:pPr>
        <w:spacing w:after="0" w:line="240" w:lineRule="auto"/>
        <w:jc w:val="both"/>
      </w:pPr>
    </w:p>
    <w:p w14:paraId="5727BF62" w14:textId="5201766A" w:rsidR="00D46131" w:rsidRDefault="000C6261" w:rsidP="00682AD5">
      <w:pPr>
        <w:spacing w:after="0" w:line="240" w:lineRule="auto"/>
        <w:jc w:val="both"/>
      </w:pPr>
      <w:r>
        <w:rPr>
          <w:b/>
          <w:bCs/>
        </w:rPr>
        <w:lastRenderedPageBreak/>
        <w:t>11.</w:t>
      </w:r>
      <w:r w:rsidR="00D46131">
        <w:tab/>
        <w:t>Bij het onderzoek van een voorontwerp van instemmingsakte met een internationale overeenkomst over het vervoer van lijken, stelde de Raad van State vast dat het gebruik van een bepaalde soort kist verboden werd als het overlijden was veroorzaakt door één van de in het verdrag opgesomde ziektes en dat die lijst van ziektes kon worden bijgewerkt “door elke Partij op advies van de bevoegde autoriteiten”. De gemachtigde van de adviesaanvrager verduidelijkte daarover dat de bijwerking van de lijst van besmettelijke ziekten niet zou gebeuren door middel van een formele verdragswijziging en dat de aangepaste lijst digitaal zou worden gepubliceerd. Wat de Belgische rechtsorde betreft</w:t>
      </w:r>
      <w:r w:rsidR="00E239C4">
        <w:t>,</w:t>
      </w:r>
      <w:r w:rsidR="00D46131">
        <w:t xml:space="preserve"> merkte de Raad van State op dat een dergelijke bijwerking de vorm moet aannemen van een reglementaire overheidshandeling die wordt aangenomen door de ter zake bevoegde overheden en die moet worden bekendgemaakt in het Belgisch Staatsblad bij gebreke waarvan deze bijwerking niet tegenwerpbaar is aan particulieren.</w:t>
      </w:r>
      <w:r w:rsidR="00D46131">
        <w:rPr>
          <w:rStyle w:val="Voetnootmarkering"/>
        </w:rPr>
        <w:footnoteReference w:id="30"/>
      </w:r>
    </w:p>
    <w:p w14:paraId="20D958A1" w14:textId="77777777" w:rsidR="00682AD5" w:rsidRDefault="00682AD5" w:rsidP="00682AD5">
      <w:pPr>
        <w:spacing w:after="0" w:line="240" w:lineRule="auto"/>
        <w:jc w:val="both"/>
      </w:pPr>
    </w:p>
    <w:p w14:paraId="2AE5ED91" w14:textId="1D2892DB" w:rsidR="00D46131" w:rsidRDefault="000C6261" w:rsidP="00682AD5">
      <w:pPr>
        <w:spacing w:after="0" w:line="240" w:lineRule="auto"/>
        <w:jc w:val="both"/>
      </w:pPr>
      <w:r>
        <w:rPr>
          <w:b/>
          <w:lang w:val="nl-NL"/>
        </w:rPr>
        <w:t>12.</w:t>
      </w:r>
      <w:r w:rsidR="00D46131">
        <w:rPr>
          <w:bCs/>
          <w:lang w:val="nl-NL"/>
        </w:rPr>
        <w:tab/>
        <w:t>Louter</w:t>
      </w:r>
      <w:r w:rsidR="00BF07E9">
        <w:rPr>
          <w:bCs/>
          <w:lang w:val="nl-NL"/>
        </w:rPr>
        <w:t>e</w:t>
      </w:r>
      <w:r w:rsidR="00D46131">
        <w:rPr>
          <w:bCs/>
          <w:lang w:val="nl-NL"/>
        </w:rPr>
        <w:t xml:space="preserve"> intenties hebben geen normatieve kracht en horen niet thuis in een formeel rechtsinstrument. Dat is niet anders wanneer het gaat om een bijlage bij een dergelijk instrument, zoals een regeringsbesluit, of wanneer die bepaling letterlijk is overgenomen uit een Europese richtlijn die wordt omgezet. Een passage in een bijlage bij een besluit van de Brusselse Hoofdstedelijke Regering waarin werd gesteld welke elementen in he</w:t>
      </w:r>
      <w:r w:rsidR="00D46131">
        <w:t>t kader van toekomstige herzieningen van die bijlage zouden worden opgenomen, moest dan ook worden weggelaten.</w:t>
      </w:r>
      <w:r w:rsidR="00D46131">
        <w:rPr>
          <w:rStyle w:val="Voetnootmarkering"/>
        </w:rPr>
        <w:footnoteReference w:id="31"/>
      </w:r>
    </w:p>
    <w:p w14:paraId="51D79AC8" w14:textId="77777777" w:rsidR="00D46131" w:rsidRDefault="00D46131" w:rsidP="00682AD5">
      <w:pPr>
        <w:spacing w:after="0" w:line="240" w:lineRule="auto"/>
        <w:jc w:val="both"/>
      </w:pPr>
      <w:r>
        <w:t>Ook het vaststellen van een streefdoel heeft op zichzelf geen normatieve waarde en hoort niet thuis in een verordenende tekst. De Raad stelde vast dat een bepaling in een ontwerp van besluit van de Vlaamse Regering de zinsneden “in de komende jaren” en “wordt ernaar gestreefd” bevatte. Om behouden te kunnen blijven moest die regeling op een meer normatieve wijze worden geredigeerd.</w:t>
      </w:r>
      <w:r>
        <w:rPr>
          <w:rStyle w:val="Voetnootmarkering"/>
        </w:rPr>
        <w:footnoteReference w:id="32"/>
      </w:r>
      <w:r>
        <w:t xml:space="preserve"> </w:t>
      </w:r>
    </w:p>
    <w:p w14:paraId="574BF6DC" w14:textId="77777777" w:rsidR="00682AD5" w:rsidRDefault="00682AD5" w:rsidP="00682AD5">
      <w:pPr>
        <w:spacing w:after="0" w:line="240" w:lineRule="auto"/>
        <w:jc w:val="both"/>
        <w:rPr>
          <w:lang w:val="nl-NL"/>
        </w:rPr>
      </w:pPr>
    </w:p>
    <w:p w14:paraId="5759D2F5" w14:textId="3896A6F0" w:rsidR="00D46131" w:rsidRDefault="000C6261" w:rsidP="00682AD5">
      <w:pPr>
        <w:spacing w:after="0" w:line="240" w:lineRule="auto"/>
        <w:jc w:val="both"/>
      </w:pPr>
      <w:r>
        <w:rPr>
          <w:b/>
          <w:bCs/>
          <w:lang w:val="nl-NL"/>
        </w:rPr>
        <w:t>13.</w:t>
      </w:r>
      <w:r w:rsidR="00D46131">
        <w:rPr>
          <w:lang w:val="nl-NL"/>
        </w:rPr>
        <w:tab/>
        <w:t xml:space="preserve">Wanneer een regeling in de mogelijkheid voorziet dat er bijkomende uitvoeringshandelingen worden gesteld, mag er geen twijfel zijn over de normatieve kracht van die handelingen. </w:t>
      </w:r>
      <w:r w:rsidR="00D46131">
        <w:t>Over de delegatie van bepaalde bevoegdheden door de Koning aan het Federaal Agentschap voor Nucleaire Controle stelde de Raad vast dat het in de meeste gevallen weliswaar de bedoeling leek om rechtstreeks verplichtingen op te leggen, maar dat er in sommige bepalingen echter sprake was van “richtlijnen (die moeten worden gevolgd) en aanbevelingen (waarmee rekening moet worden gehouden)”, waarvan het statuut onzeker was.</w:t>
      </w:r>
      <w:r w:rsidR="00D46131">
        <w:rPr>
          <w:rStyle w:val="Voetnootmarkering"/>
        </w:rPr>
        <w:footnoteReference w:id="33"/>
      </w:r>
    </w:p>
    <w:p w14:paraId="71423B92" w14:textId="77777777" w:rsidR="00682AD5" w:rsidRDefault="00682AD5" w:rsidP="00682AD5">
      <w:pPr>
        <w:spacing w:after="0" w:line="240" w:lineRule="auto"/>
        <w:jc w:val="both"/>
      </w:pPr>
    </w:p>
    <w:p w14:paraId="2BFED4DA" w14:textId="068F14B1" w:rsidR="00D46131" w:rsidRDefault="00D46131" w:rsidP="00682AD5">
      <w:pPr>
        <w:spacing w:after="0" w:line="240" w:lineRule="auto"/>
        <w:jc w:val="both"/>
      </w:pPr>
      <w:r>
        <w:t>De Raad van State wees ook op verschillende vragen die rezen omtrent de juridische kracht van beslissingen die konden genomen worden door de nieuw op te richten vervoerregioraden, die onder meer verantwoordelijk waren voor het opmaken van het regionaal mobiliteitsplan. De Raad wees onder meer op inconsistenties in de tekst van het ontworpen decreet: enerzijds werd bepaald dat geen van de onderdelen van een mobiliteitsplan verordenende kracht zouden hebben, maar anderzijds kon slechts in een beperkt aantal gevallen van dat plan worden afgeweken. De Raad stelde vast dat het juridisch statuut van het regionaal mobiliteitsplan op zeer dubbelzinnige wijze werd geregeld en dat dat statuut grondig moest worden herbekeken en uitgeklaard.</w:t>
      </w:r>
      <w:r>
        <w:rPr>
          <w:rStyle w:val="Voetnootmarkering"/>
        </w:rPr>
        <w:footnoteReference w:id="34"/>
      </w:r>
    </w:p>
    <w:p w14:paraId="0CA54C48" w14:textId="77777777" w:rsidR="00682AD5" w:rsidRDefault="00682AD5" w:rsidP="00682AD5">
      <w:pPr>
        <w:spacing w:after="0" w:line="240" w:lineRule="auto"/>
        <w:jc w:val="both"/>
      </w:pPr>
    </w:p>
    <w:p w14:paraId="6A386C7C" w14:textId="3A197310" w:rsidR="00D46131" w:rsidRDefault="00D46131" w:rsidP="00682AD5">
      <w:pPr>
        <w:spacing w:after="0" w:line="240" w:lineRule="auto"/>
        <w:jc w:val="both"/>
        <w:rPr>
          <w:color w:val="000000"/>
        </w:rPr>
      </w:pPr>
      <w:r>
        <w:t xml:space="preserve">In een decretale regeling waarin de Vlaamse Regering belast werd met de coördinatie van de handhaving in het omgevingsrecht, was voorzien dat de regering zou overleggen met de andere bevoegde overheden. De afspraken die op basis van dat overleg werden gemaakt zouden in protocollen worden vastgelegd. De gemachtigde van de adviesaanvrager omschreef die protocollen als “bindend voor de respectieve administraties”. De Raad van State betwijfelde of dergelijke </w:t>
      </w:r>
      <w:r>
        <w:lastRenderedPageBreak/>
        <w:t>protocollen, die bewust werden onderscheiden van samenwerkingsakkoorden</w:t>
      </w:r>
      <w:r>
        <w:rPr>
          <w:rStyle w:val="Voetnootmarkering"/>
        </w:rPr>
        <w:footnoteReference w:id="35"/>
      </w:r>
      <w:r>
        <w:t xml:space="preserve">, een </w:t>
      </w:r>
      <w:r>
        <w:rPr>
          <w:color w:val="000000"/>
        </w:rPr>
        <w:t>juridisch bindende draagwijdte konden hebben. Was dat het geval, dan zouden ze zeker op een toereikende wijze moeten worden bekendgemaakt. Maar in het te wijzigen decreet was reeds sprake van protocollen en bij de parlementaire voorbereiding daarvan werd vermeld dat zij veeleer als een soort “</w:t>
      </w:r>
      <w:r>
        <w:rPr>
          <w:i/>
          <w:iCs/>
          <w:color w:val="000000"/>
        </w:rPr>
        <w:t>gentleman’s agreements</w:t>
      </w:r>
      <w:r>
        <w:rPr>
          <w:color w:val="000000"/>
        </w:rPr>
        <w:t>” te beschouwen vielen. De juridische waarde van de protocollen moest bijgevolg worden uitgeklaard.</w:t>
      </w:r>
      <w:r>
        <w:rPr>
          <w:rStyle w:val="Voetnootmarkering"/>
          <w:color w:val="000000"/>
        </w:rPr>
        <w:footnoteReference w:id="36"/>
      </w:r>
      <w:r>
        <w:rPr>
          <w:color w:val="000000"/>
        </w:rPr>
        <w:t xml:space="preserve"> </w:t>
      </w:r>
    </w:p>
    <w:p w14:paraId="78223572" w14:textId="77777777" w:rsidR="00682AD5" w:rsidRDefault="00682AD5" w:rsidP="00682AD5">
      <w:pPr>
        <w:spacing w:after="0" w:line="240" w:lineRule="auto"/>
        <w:jc w:val="both"/>
      </w:pPr>
    </w:p>
    <w:p w14:paraId="11A6C138" w14:textId="3D95F99A" w:rsidR="00D46131" w:rsidRDefault="00D46131" w:rsidP="00682AD5">
      <w:pPr>
        <w:spacing w:after="0" w:line="240" w:lineRule="auto"/>
        <w:jc w:val="both"/>
      </w:pPr>
      <w:r>
        <w:t>Over de voorwaarde dat de “door het Brussels Instituut voor Milieubeheer gepubliceerde technische voorwaarden” moe</w:t>
      </w:r>
      <w:r w:rsidR="00BF07E9">
        <w:t>s</w:t>
      </w:r>
      <w:r>
        <w:t>ten worden nageleefd merkte de Raad op dat bepalingen met een verordenende strekking, uitgevaardigd door een instelling van openbaar nut, geen juridische waarde hebben als een wettelijke bepaling geen uitdrukkelijke machtiging in die zin aan de instelling in kwestie verleent. Dat moest worden uitgeklaard, rekening houdend met de voorwaarden voor het verlenen van dergelijke delegaties.</w:t>
      </w:r>
      <w:r>
        <w:rPr>
          <w:rStyle w:val="Voetnootmarkering"/>
        </w:rPr>
        <w:footnoteReference w:id="37"/>
      </w:r>
    </w:p>
    <w:p w14:paraId="55D85247" w14:textId="77777777" w:rsidR="00682AD5" w:rsidRDefault="00682AD5" w:rsidP="00682AD5">
      <w:pPr>
        <w:spacing w:after="0" w:line="240" w:lineRule="auto"/>
        <w:jc w:val="both"/>
      </w:pPr>
    </w:p>
    <w:p w14:paraId="7C9A4F11" w14:textId="7D5FFF74" w:rsidR="003F1C29" w:rsidRPr="00682AD5" w:rsidRDefault="000C6261" w:rsidP="00B333AE">
      <w:pPr>
        <w:spacing w:after="0" w:line="240" w:lineRule="auto"/>
        <w:jc w:val="both"/>
        <w:rPr>
          <w:rFonts w:ascii="Times New Roman" w:hAnsi="Times New Roman" w:cs="Times New Roman"/>
          <w:sz w:val="24"/>
          <w:szCs w:val="24"/>
          <w:lang w:eastAsia="nl-BE"/>
        </w:rPr>
      </w:pPr>
      <w:r>
        <w:rPr>
          <w:b/>
          <w:lang w:val="nl-NL"/>
        </w:rPr>
        <w:t>14.</w:t>
      </w:r>
      <w:r w:rsidR="00D46131">
        <w:rPr>
          <w:bCs/>
          <w:lang w:val="nl-NL"/>
        </w:rPr>
        <w:tab/>
        <w:t>Wanneer een tekst geen normatieve kracht heeft, mag niet een andere indruk worden gewekt. Over een decreetsbepaling waarin sprake was van een “toelichting op maat” voor de huurder van een sociale woning, die werd omschreven als “</w:t>
      </w:r>
      <w:r w:rsidR="00D46131">
        <w:t>een vulgariserende tekst” over de toepasselijke regelgeving, werd vastgesteld dat het niet de bedoeling was om daar enige juridische waarde aan toe te kennen. De vraag rees evenwel waarom specifiek de Vlaamse Regering de tekst van die toelichting moest opmaken en aanpassen bij wijziging van de regelgeving. Om elke mogelijke verwarring over het normatief karakter te vermijden, suggereerde de Raad van State om in het decreet te schrijven dat er een “toelichting op maat” wordt opgemaakt en dat die toelichting aangepast wordt als de regelgeving wijzigt, zonder dat uitdrukkelijk wordt bepaald dat dit moet gebeuren door de Vlaamse Regering zelf.</w:t>
      </w:r>
      <w:r w:rsidR="00D46131">
        <w:rPr>
          <w:rStyle w:val="Voetnootmarkering"/>
        </w:rPr>
        <w:footnoteReference w:id="38"/>
      </w:r>
      <w:r w:rsidR="00D46131">
        <w:t xml:space="preserve"> </w:t>
      </w:r>
    </w:p>
    <w:p w14:paraId="3D2B532A" w14:textId="77777777" w:rsidR="00D46131" w:rsidRPr="009A35D7" w:rsidRDefault="00D46131" w:rsidP="00682AD5">
      <w:pPr>
        <w:spacing w:after="0" w:line="240" w:lineRule="auto"/>
        <w:jc w:val="both"/>
      </w:pPr>
    </w:p>
    <w:p w14:paraId="46D82EE5" w14:textId="77777777" w:rsidR="00C55F6C" w:rsidRPr="009A35D7" w:rsidRDefault="008D264C" w:rsidP="00532989">
      <w:pPr>
        <w:pStyle w:val="Kop2"/>
        <w:spacing w:before="0" w:line="240" w:lineRule="auto"/>
        <w:jc w:val="both"/>
      </w:pPr>
      <w:bookmarkStart w:id="8" w:name="_Toc5779200"/>
      <w:bookmarkStart w:id="9" w:name="_Toc70497766"/>
      <w:bookmarkStart w:id="10" w:name="_Toc70499137"/>
      <w:r w:rsidRPr="009A35D7">
        <w:t>I</w:t>
      </w:r>
      <w:r w:rsidR="008967C7">
        <w:t>V</w:t>
      </w:r>
      <w:r w:rsidRPr="009A35D7">
        <w:t xml:space="preserve">. </w:t>
      </w:r>
      <w:r w:rsidR="00C62237" w:rsidRPr="009A35D7">
        <w:t>Externe betrekkingen</w:t>
      </w:r>
      <w:bookmarkEnd w:id="8"/>
      <w:bookmarkEnd w:id="9"/>
      <w:bookmarkEnd w:id="10"/>
    </w:p>
    <w:p w14:paraId="6E8BDA6F" w14:textId="77777777" w:rsidR="00C55F6C" w:rsidRPr="009A35D7" w:rsidRDefault="00C55F6C" w:rsidP="00532989">
      <w:pPr>
        <w:spacing w:after="0" w:line="240" w:lineRule="auto"/>
        <w:jc w:val="both"/>
      </w:pPr>
    </w:p>
    <w:p w14:paraId="58F77B4E" w14:textId="4249EF4D" w:rsidR="00632DEA" w:rsidRDefault="000C6261" w:rsidP="00632DEA">
      <w:pPr>
        <w:spacing w:after="0" w:line="240" w:lineRule="auto"/>
        <w:jc w:val="both"/>
        <w:rPr>
          <w:lang w:val="nl-NL"/>
        </w:rPr>
      </w:pPr>
      <w:r>
        <w:rPr>
          <w:b/>
          <w:bCs/>
        </w:rPr>
        <w:t>15.</w:t>
      </w:r>
      <w:r w:rsidR="00632DEA">
        <w:tab/>
      </w:r>
      <w:r w:rsidR="00632DEA" w:rsidRPr="0050569F">
        <w:rPr>
          <w:lang w:val="nl-NL"/>
        </w:rPr>
        <w:t xml:space="preserve">Tijdens de besproken periode herhaalde de Raad van State verschillende opmerkingen die al in eerdere </w:t>
      </w:r>
      <w:r>
        <w:rPr>
          <w:lang w:val="nl-NL"/>
        </w:rPr>
        <w:t>k</w:t>
      </w:r>
      <w:r w:rsidR="00632DEA" w:rsidRPr="0050569F">
        <w:rPr>
          <w:lang w:val="nl-NL"/>
        </w:rPr>
        <w:t xml:space="preserve">ronieken aan bod zijn gekomen: </w:t>
      </w:r>
      <w:r>
        <w:rPr>
          <w:lang w:val="nl-NL"/>
        </w:rPr>
        <w:t>hij</w:t>
      </w:r>
      <w:r w:rsidRPr="0050569F">
        <w:rPr>
          <w:lang w:val="nl-NL"/>
        </w:rPr>
        <w:t xml:space="preserve"> </w:t>
      </w:r>
      <w:r w:rsidR="00632DEA" w:rsidRPr="0050569F">
        <w:rPr>
          <w:lang w:val="nl-NL"/>
        </w:rPr>
        <w:t>wees erop dat bevoegde overheden ten onrechte niet bij het sluiten van bepaalde verdragen betrokken waren,</w:t>
      </w:r>
      <w:r w:rsidR="00632DEA" w:rsidRPr="0050569F">
        <w:rPr>
          <w:rStyle w:val="Voetnootmarkering"/>
          <w:rFonts w:ascii="Times New Roman" w:hAnsi="Times New Roman" w:cs="Times New Roman"/>
          <w:sz w:val="24"/>
          <w:szCs w:val="24"/>
          <w:lang w:val="nl-NL"/>
        </w:rPr>
        <w:footnoteReference w:id="39"/>
      </w:r>
      <w:r w:rsidR="00632DEA" w:rsidRPr="0050569F">
        <w:rPr>
          <w:lang w:val="nl-NL"/>
        </w:rPr>
        <w:t xml:space="preserve"> </w:t>
      </w:r>
      <w:r>
        <w:rPr>
          <w:lang w:val="nl-NL"/>
        </w:rPr>
        <w:t>hij</w:t>
      </w:r>
      <w:r w:rsidRPr="0050569F">
        <w:rPr>
          <w:lang w:val="nl-NL"/>
        </w:rPr>
        <w:t xml:space="preserve"> </w:t>
      </w:r>
      <w:r w:rsidR="00632DEA" w:rsidRPr="0050569F">
        <w:rPr>
          <w:lang w:val="nl-NL"/>
        </w:rPr>
        <w:t>wees op de voorwaarden en modaliteiten waaronder voorwaardelijk, voorafgaande parlementaire instemming kan plaatsvinden met latere verdragswijzigingen,</w:t>
      </w:r>
      <w:r w:rsidR="00632DEA" w:rsidRPr="0050569F">
        <w:rPr>
          <w:rStyle w:val="Voetnootmarkering"/>
          <w:rFonts w:ascii="Times New Roman" w:hAnsi="Times New Roman" w:cs="Times New Roman"/>
          <w:sz w:val="24"/>
          <w:szCs w:val="24"/>
          <w:lang w:val="nl-NL"/>
        </w:rPr>
        <w:footnoteReference w:id="40"/>
      </w:r>
      <w:r w:rsidR="00632DEA" w:rsidRPr="0050569F">
        <w:rPr>
          <w:lang w:val="nl-NL"/>
        </w:rPr>
        <w:t xml:space="preserve"> </w:t>
      </w:r>
      <w:r>
        <w:rPr>
          <w:lang w:val="nl-NL"/>
        </w:rPr>
        <w:t>hij</w:t>
      </w:r>
      <w:r w:rsidRPr="0050569F">
        <w:rPr>
          <w:lang w:val="nl-NL"/>
        </w:rPr>
        <w:t xml:space="preserve"> </w:t>
      </w:r>
      <w:r w:rsidR="00632DEA" w:rsidRPr="0050569F">
        <w:rPr>
          <w:lang w:val="nl-NL"/>
        </w:rPr>
        <w:t>maakte bezwaar tegen het gebruik van het instrument van voorlopige toepassing,</w:t>
      </w:r>
      <w:r w:rsidR="00632DEA" w:rsidRPr="0050569F">
        <w:rPr>
          <w:rStyle w:val="Voetnootmarkering"/>
          <w:rFonts w:ascii="Times New Roman" w:hAnsi="Times New Roman" w:cs="Times New Roman"/>
          <w:sz w:val="24"/>
          <w:szCs w:val="24"/>
          <w:lang w:val="nl-NL"/>
        </w:rPr>
        <w:footnoteReference w:id="41"/>
      </w:r>
      <w:r w:rsidR="00632DEA" w:rsidRPr="0050569F">
        <w:rPr>
          <w:lang w:val="nl-NL"/>
        </w:rPr>
        <w:t xml:space="preserve"> </w:t>
      </w:r>
      <w:r>
        <w:rPr>
          <w:lang w:val="nl-NL"/>
        </w:rPr>
        <w:t>hij</w:t>
      </w:r>
      <w:r w:rsidRPr="0050569F">
        <w:rPr>
          <w:lang w:val="nl-NL"/>
        </w:rPr>
        <w:t xml:space="preserve"> </w:t>
      </w:r>
      <w:r w:rsidR="00632DEA" w:rsidRPr="0050569F">
        <w:rPr>
          <w:lang w:val="nl-NL"/>
        </w:rPr>
        <w:t xml:space="preserve">wees erop dat </w:t>
      </w:r>
      <w:r w:rsidR="00632DEA" w:rsidRPr="0050569F">
        <w:rPr>
          <w:i/>
          <w:lang w:val="nl-NL"/>
        </w:rPr>
        <w:t>executive agreements</w:t>
      </w:r>
      <w:r w:rsidR="00632DEA" w:rsidRPr="0050569F">
        <w:rPr>
          <w:lang w:val="nl-NL"/>
        </w:rPr>
        <w:t xml:space="preserve"> in onze Grondwettelijk orde slechts </w:t>
      </w:r>
      <w:r w:rsidR="00632DEA" w:rsidRPr="0050569F">
        <w:rPr>
          <w:lang w:val="nl-NL"/>
        </w:rPr>
        <w:lastRenderedPageBreak/>
        <w:t>een heel beperkte draagwijdte kunnen hebben</w:t>
      </w:r>
      <w:r w:rsidR="00632DEA" w:rsidRPr="0050569F">
        <w:rPr>
          <w:rStyle w:val="Voetnootmarkering"/>
          <w:rFonts w:ascii="Times New Roman" w:hAnsi="Times New Roman" w:cs="Times New Roman"/>
          <w:sz w:val="24"/>
          <w:szCs w:val="24"/>
          <w:lang w:val="nl-NL"/>
        </w:rPr>
        <w:footnoteReference w:id="42"/>
      </w:r>
      <w:r w:rsidR="00632DEA" w:rsidRPr="0050569F">
        <w:rPr>
          <w:lang w:val="nl-NL"/>
        </w:rPr>
        <w:t xml:space="preserve"> en </w:t>
      </w:r>
      <w:r>
        <w:rPr>
          <w:lang w:val="nl-NL"/>
        </w:rPr>
        <w:t>hij</w:t>
      </w:r>
      <w:r w:rsidRPr="0050569F">
        <w:rPr>
          <w:lang w:val="nl-NL"/>
        </w:rPr>
        <w:t xml:space="preserve"> </w:t>
      </w:r>
      <w:r w:rsidR="00632DEA" w:rsidRPr="0050569F">
        <w:rPr>
          <w:lang w:val="nl-NL"/>
        </w:rPr>
        <w:t>wees erop dat ook niet-direct-werkende verdragen niettemin diverse praktische juridische gevolgen kunnen hebben,</w:t>
      </w:r>
      <w:r w:rsidR="00632DEA" w:rsidRPr="0050569F">
        <w:rPr>
          <w:rStyle w:val="Voetnootmarkering"/>
          <w:rFonts w:ascii="Times New Roman" w:hAnsi="Times New Roman" w:cs="Times New Roman"/>
          <w:sz w:val="24"/>
          <w:szCs w:val="24"/>
          <w:lang w:val="nl-NL"/>
        </w:rPr>
        <w:footnoteReference w:id="43"/>
      </w:r>
      <w:r w:rsidR="00632DEA" w:rsidRPr="0050569F">
        <w:rPr>
          <w:lang w:val="nl-NL"/>
        </w:rPr>
        <w:t xml:space="preserve"> enz. </w:t>
      </w:r>
    </w:p>
    <w:p w14:paraId="0A4A1E31" w14:textId="77777777" w:rsidR="00632DEA" w:rsidRPr="0050569F" w:rsidRDefault="00632DEA" w:rsidP="00632DEA">
      <w:pPr>
        <w:spacing w:after="0" w:line="240" w:lineRule="auto"/>
        <w:jc w:val="both"/>
        <w:rPr>
          <w:lang w:val="nl-NL"/>
        </w:rPr>
      </w:pPr>
    </w:p>
    <w:p w14:paraId="2942556D" w14:textId="76C97423" w:rsidR="00632DEA" w:rsidRPr="0050569F" w:rsidRDefault="000C6261" w:rsidP="00632DEA">
      <w:pPr>
        <w:spacing w:after="0" w:line="240" w:lineRule="auto"/>
        <w:jc w:val="both"/>
        <w:rPr>
          <w:lang w:val="nl-NL"/>
        </w:rPr>
      </w:pPr>
      <w:r>
        <w:rPr>
          <w:b/>
          <w:bCs/>
          <w:lang w:val="nl-NL"/>
        </w:rPr>
        <w:t>16.</w:t>
      </w:r>
      <w:r w:rsidRPr="0050569F">
        <w:rPr>
          <w:lang w:val="nl-NL"/>
        </w:rPr>
        <w:t xml:space="preserve"> </w:t>
      </w:r>
      <w:r w:rsidR="00632DEA" w:rsidRPr="0050569F">
        <w:rPr>
          <w:lang w:val="nl-NL"/>
        </w:rPr>
        <w:tab/>
        <w:t xml:space="preserve">De Raad van State herinnerde er ook aan dat er nog samenwerkingsakkoorden moeten worden gesloten voor de vertegenwoordiging en standpuntbepaling namens België in verschillende (organen van) internationale organisaties, dit in uitvoering van </w:t>
      </w:r>
      <w:r w:rsidR="00632DEA" w:rsidRPr="0050569F">
        <w:t>artikel 92</w:t>
      </w:r>
      <w:r w:rsidR="00632DEA" w:rsidRPr="0050569F">
        <w:rPr>
          <w:i/>
        </w:rPr>
        <w:t>bis</w:t>
      </w:r>
      <w:r w:rsidR="00632DEA" w:rsidRPr="0050569F">
        <w:t>, § 4</w:t>
      </w:r>
      <w:r w:rsidR="00632DEA" w:rsidRPr="0050569F">
        <w:rPr>
          <w:i/>
        </w:rPr>
        <w:t>bis</w:t>
      </w:r>
      <w:r w:rsidR="00632DEA" w:rsidRPr="0050569F">
        <w:t xml:space="preserve">, eerste lid, BWHI en teneinde deze te kunnen laten plaatsvinden met respect voor de Belgische bevoegdheidsverdeling. De Raad van State dringt daar ook op aan voor van de Raad van Ministers afgeleide organen, zoals gemengde comités opgericht door handelsakkoorden die de </w:t>
      </w:r>
      <w:r w:rsidR="00BF07E9">
        <w:t>Europese Unie</w:t>
      </w:r>
      <w:r>
        <w:t xml:space="preserve"> </w:t>
      </w:r>
      <w:r w:rsidR="00632DEA" w:rsidRPr="0050569F">
        <w:t xml:space="preserve">en zijn lidstaten hebben gesloten met derde staten. Hoewel dergelijke gemengde comités aangelegenheden regelen die tot de bevoegdheid van zowel de </w:t>
      </w:r>
      <w:r w:rsidR="00BF07E9">
        <w:t xml:space="preserve">EU </w:t>
      </w:r>
      <w:r w:rsidR="00632DEA" w:rsidRPr="0050569F">
        <w:t>als haar lidstaten behoren, blijkt de coördinatie van de standpuntbepaling en de vertegenwoordiging in de praktijk plaats te vinden binnen de Raad van de Europese Unie, en vindt de coördinatie van de Belgische standpuntbepaling hieromtrent plaats overeenkomstig de regels voor de standpuntbepaling in de Raad overeenkomstig het samenwerkingsakkoord van 8 maart 1994.</w:t>
      </w:r>
      <w:r w:rsidR="00632DEA" w:rsidRPr="0050569F">
        <w:rPr>
          <w:rStyle w:val="Voetnootmarkering"/>
          <w:rFonts w:ascii="Times New Roman" w:hAnsi="Times New Roman" w:cs="Times New Roman"/>
          <w:sz w:val="24"/>
          <w:szCs w:val="24"/>
        </w:rPr>
        <w:footnoteReference w:id="44"/>
      </w:r>
      <w:r w:rsidR="00632DEA" w:rsidRPr="0050569F">
        <w:t xml:space="preserve"> De Raad van State meen</w:t>
      </w:r>
      <w:r>
        <w:t>de</w:t>
      </w:r>
      <w:r w:rsidR="00632DEA" w:rsidRPr="0050569F">
        <w:t xml:space="preserve"> dat deze pragmatische oplossing niet volstaat: “Niettemin moet erop worden gewezen dat de beslissingen in de aangelegenheden die tot de bevoegdheid van de lidstaten behoren, juridisch gezien niet door de Raad van de Europese Unie worden genomen, maar door de vertegenwoordigers van de regeringen van de lidstaten in de Raad verenigd. Hoewel dit in de praktijk misschien eerder uitzonderlijk is, is het niet uitgesloten dat lidstaten in aangelegenheden die tot hun bevoegdheid behoren, in de organen opgericht bij of krachtens een samenwerkingsovereenkomst, alsnog nationale standpunten innemen. Het ontbreken van een regeling ter zake overeenkomstig artikel 92</w:t>
      </w:r>
      <w:r w:rsidR="00632DEA" w:rsidRPr="0050569F">
        <w:rPr>
          <w:i/>
        </w:rPr>
        <w:t>bis</w:t>
      </w:r>
      <w:r w:rsidR="00632DEA" w:rsidRPr="0050569F">
        <w:t>, § 4</w:t>
      </w:r>
      <w:r w:rsidR="00632DEA" w:rsidRPr="0050569F">
        <w:rPr>
          <w:i/>
        </w:rPr>
        <w:t>bis</w:t>
      </w:r>
      <w:r w:rsidR="00632DEA" w:rsidRPr="0050569F">
        <w:t xml:space="preserve">, tweede lid, </w:t>
      </w:r>
      <w:r w:rsidR="00FC4AAE">
        <w:t xml:space="preserve">[BWHI] </w:t>
      </w:r>
      <w:r w:rsidR="00632DEA" w:rsidRPr="0050569F">
        <w:t>kan dan ook tot problemen aanleiding geven.”</w:t>
      </w:r>
      <w:r w:rsidR="00632DEA" w:rsidRPr="0050569F">
        <w:rPr>
          <w:rStyle w:val="Voetnootmarkering"/>
          <w:rFonts w:ascii="Times New Roman" w:hAnsi="Times New Roman" w:cs="Times New Roman"/>
          <w:sz w:val="24"/>
          <w:szCs w:val="24"/>
        </w:rPr>
        <w:footnoteReference w:id="45"/>
      </w:r>
      <w:r w:rsidR="00632DEA" w:rsidRPr="0050569F">
        <w:t xml:space="preserve"> Deze waarschuwing is op zich niet nieuw</w:t>
      </w:r>
      <w:r w:rsidR="00BF07E9">
        <w:t>. W</w:t>
      </w:r>
      <w:r w:rsidR="00632DEA" w:rsidRPr="0050569F">
        <w:t>el nieuw is de illustratie die de politieke actualiteit gaf van het soort problemen waartoe dit aanleiding zou kunnen geven in de vorm van de regeringscrisis naar aanleiding van het Migratiepact.</w:t>
      </w:r>
      <w:r w:rsidR="00632DEA" w:rsidRPr="0050569F">
        <w:rPr>
          <w:rStyle w:val="Voetnootmarkering"/>
          <w:rFonts w:ascii="Times New Roman" w:hAnsi="Times New Roman" w:cs="Times New Roman"/>
          <w:sz w:val="24"/>
          <w:szCs w:val="24"/>
        </w:rPr>
        <w:footnoteReference w:id="46"/>
      </w:r>
      <w:r w:rsidR="00632DEA" w:rsidRPr="0050569F">
        <w:rPr>
          <w:lang w:val="nl-NL"/>
        </w:rPr>
        <w:t xml:space="preserve"> </w:t>
      </w:r>
    </w:p>
    <w:p w14:paraId="4F47EF9F" w14:textId="77777777" w:rsidR="00632DEA" w:rsidRDefault="00632DEA" w:rsidP="00632DEA">
      <w:pPr>
        <w:spacing w:after="0" w:line="240" w:lineRule="auto"/>
        <w:jc w:val="both"/>
        <w:rPr>
          <w:lang w:val="nl-NL"/>
        </w:rPr>
      </w:pPr>
    </w:p>
    <w:p w14:paraId="70D3F443" w14:textId="79D7937B" w:rsidR="00632DEA" w:rsidRPr="0050569F" w:rsidRDefault="000C6261" w:rsidP="00632DEA">
      <w:pPr>
        <w:spacing w:after="0" w:line="240" w:lineRule="auto"/>
        <w:jc w:val="both"/>
        <w:rPr>
          <w:lang w:val="nl-NL"/>
        </w:rPr>
      </w:pPr>
      <w:r>
        <w:rPr>
          <w:b/>
          <w:bCs/>
          <w:lang w:val="nl-NL"/>
        </w:rPr>
        <w:t>17.</w:t>
      </w:r>
      <w:r w:rsidR="00632DEA" w:rsidRPr="0050569F">
        <w:rPr>
          <w:lang w:val="nl-NL"/>
        </w:rPr>
        <w:tab/>
        <w:t xml:space="preserve">In deze </w:t>
      </w:r>
      <w:r w:rsidR="00886D04">
        <w:rPr>
          <w:lang w:val="nl-NL"/>
        </w:rPr>
        <w:t>kroniek</w:t>
      </w:r>
      <w:r w:rsidR="00886D04" w:rsidRPr="0050569F">
        <w:rPr>
          <w:lang w:val="nl-NL"/>
        </w:rPr>
        <w:t xml:space="preserve"> </w:t>
      </w:r>
      <w:r w:rsidR="00632DEA" w:rsidRPr="0050569F">
        <w:rPr>
          <w:lang w:val="nl-NL"/>
        </w:rPr>
        <w:t>gaan we niet verder in op deze eerder aan bod gekomen thema’s, maar focussen we op problemen die zich voordoen in de formulering van verdragen.</w:t>
      </w:r>
      <w:r w:rsidR="00632DEA" w:rsidRPr="0050569F">
        <w:rPr>
          <w:rStyle w:val="Voetnootmarkering"/>
          <w:rFonts w:ascii="Times New Roman" w:hAnsi="Times New Roman" w:cs="Times New Roman"/>
          <w:sz w:val="24"/>
          <w:szCs w:val="24"/>
          <w:lang w:val="nl-NL"/>
        </w:rPr>
        <w:footnoteReference w:id="47"/>
      </w:r>
      <w:r w:rsidR="00632DEA" w:rsidRPr="0050569F">
        <w:rPr>
          <w:lang w:val="nl-NL"/>
        </w:rPr>
        <w:t xml:space="preserve"> De Raad van State </w:t>
      </w:r>
      <w:r>
        <w:rPr>
          <w:lang w:val="nl-NL"/>
        </w:rPr>
        <w:t xml:space="preserve">maakt </w:t>
      </w:r>
      <w:r w:rsidR="00632DEA" w:rsidRPr="0050569F">
        <w:rPr>
          <w:lang w:val="nl-NL"/>
        </w:rPr>
        <w:t>hier</w:t>
      </w:r>
      <w:r>
        <w:rPr>
          <w:lang w:val="nl-NL"/>
        </w:rPr>
        <w:t>over</w:t>
      </w:r>
      <w:r w:rsidR="00632DEA" w:rsidRPr="0050569F">
        <w:rPr>
          <w:lang w:val="nl-NL"/>
        </w:rPr>
        <w:t xml:space="preserve"> niet zo snel een opmerking. Wanneer het verdrag aan de Raad wordt voorgelegd, is </w:t>
      </w:r>
      <w:r w:rsidR="00BF07E9">
        <w:rPr>
          <w:lang w:val="nl-NL"/>
        </w:rPr>
        <w:t>dit</w:t>
      </w:r>
      <w:r w:rsidR="00BF07E9" w:rsidRPr="0050569F">
        <w:rPr>
          <w:lang w:val="nl-NL"/>
        </w:rPr>
        <w:t xml:space="preserve"> </w:t>
      </w:r>
      <w:r w:rsidR="00632DEA" w:rsidRPr="0050569F">
        <w:rPr>
          <w:lang w:val="nl-NL"/>
        </w:rPr>
        <w:t>immers al ondertekend of aangenomen door een internationale organisatie. Het wijzigen van een dergelijke authentieke tekst</w:t>
      </w:r>
      <w:r w:rsidR="00632DEA" w:rsidRPr="0050569F">
        <w:rPr>
          <w:rStyle w:val="Voetnootmarkering"/>
          <w:rFonts w:ascii="Times New Roman" w:hAnsi="Times New Roman" w:cs="Times New Roman"/>
          <w:sz w:val="24"/>
          <w:szCs w:val="24"/>
          <w:lang w:val="nl-NL"/>
        </w:rPr>
        <w:footnoteReference w:id="48"/>
      </w:r>
      <w:r w:rsidR="00632DEA" w:rsidRPr="0050569F">
        <w:rPr>
          <w:lang w:val="nl-NL"/>
        </w:rPr>
        <w:t xml:space="preserve"> is dan niet meer zo eenvoudig. Bovendien houdt de Raad van State er ook rekening mee dat de verdragstekst </w:t>
      </w:r>
      <w:r w:rsidR="00BF07E9">
        <w:rPr>
          <w:lang w:val="nl-NL"/>
        </w:rPr>
        <w:t>tevens</w:t>
      </w:r>
      <w:r w:rsidR="00BF07E9" w:rsidRPr="0050569F">
        <w:rPr>
          <w:lang w:val="nl-NL"/>
        </w:rPr>
        <w:t xml:space="preserve"> </w:t>
      </w:r>
      <w:r w:rsidR="00632DEA" w:rsidRPr="0050569F">
        <w:rPr>
          <w:lang w:val="nl-NL"/>
        </w:rPr>
        <w:t xml:space="preserve">rekening moet houden met interne regels en gebruiken van de verdragspartner(s). Soms ziet de Raad van State zich alsnog genoodzaakt om op de formulering </w:t>
      </w:r>
      <w:r w:rsidR="00632DEA" w:rsidRPr="0050569F">
        <w:rPr>
          <w:lang w:val="nl-NL"/>
        </w:rPr>
        <w:lastRenderedPageBreak/>
        <w:t>van de tekst in te gaan, bv. omdat hierdoor onduidelijkheid ontstaat over de draagwijdte van de uit het verdrag voortvloeiende rechten en verplichtingen (</w:t>
      </w:r>
      <w:r w:rsidR="00886D04">
        <w:rPr>
          <w:lang w:val="nl-NL"/>
        </w:rPr>
        <w:t>nr. 18</w:t>
      </w:r>
      <w:r w:rsidR="00632DEA" w:rsidRPr="0050569F">
        <w:rPr>
          <w:lang w:val="nl-NL"/>
        </w:rPr>
        <w:t>) of over de hierop toepasselijke interne procedures (</w:t>
      </w:r>
      <w:r w:rsidR="00886D04">
        <w:rPr>
          <w:lang w:val="nl-NL"/>
        </w:rPr>
        <w:t>nr. 20</w:t>
      </w:r>
      <w:r w:rsidR="00632DEA" w:rsidRPr="0050569F">
        <w:rPr>
          <w:lang w:val="nl-NL"/>
        </w:rPr>
        <w:t>). Soms maakt de Raad van State dan weer een opmerking als aansporing om toekomstige verdragen juist te formuleren (</w:t>
      </w:r>
      <w:r w:rsidR="00886D04">
        <w:rPr>
          <w:lang w:val="nl-NL"/>
        </w:rPr>
        <w:t>nr. 19</w:t>
      </w:r>
      <w:r w:rsidR="00632DEA" w:rsidRPr="0050569F">
        <w:rPr>
          <w:lang w:val="nl-NL"/>
        </w:rPr>
        <w:t xml:space="preserve">). </w:t>
      </w:r>
    </w:p>
    <w:p w14:paraId="1426B03A" w14:textId="77777777" w:rsidR="00632DEA" w:rsidRDefault="00632DEA" w:rsidP="00632DEA">
      <w:pPr>
        <w:spacing w:after="0" w:line="240" w:lineRule="auto"/>
        <w:jc w:val="both"/>
        <w:rPr>
          <w:lang w:val="nl-NL"/>
        </w:rPr>
      </w:pPr>
    </w:p>
    <w:p w14:paraId="0E4E9AFD" w14:textId="1B280049" w:rsidR="00632DEA" w:rsidRDefault="0028335C" w:rsidP="00632DEA">
      <w:pPr>
        <w:spacing w:after="0" w:line="240" w:lineRule="auto"/>
        <w:jc w:val="both"/>
        <w:rPr>
          <w:lang w:val="nl-NL"/>
        </w:rPr>
      </w:pPr>
      <w:r>
        <w:rPr>
          <w:b/>
          <w:bCs/>
          <w:lang w:val="nl-NL"/>
        </w:rPr>
        <w:t>18.</w:t>
      </w:r>
      <w:r w:rsidR="00632DEA">
        <w:rPr>
          <w:lang w:val="nl-NL"/>
        </w:rPr>
        <w:tab/>
      </w:r>
      <w:r w:rsidR="00632DEA" w:rsidRPr="0050569F">
        <w:rPr>
          <w:lang w:val="nl-NL"/>
        </w:rPr>
        <w:t xml:space="preserve">Wat onze </w:t>
      </w:r>
      <w:r w:rsidR="00BF07E9">
        <w:rPr>
          <w:lang w:val="nl-NL"/>
        </w:rPr>
        <w:t>g</w:t>
      </w:r>
      <w:r w:rsidR="00632DEA" w:rsidRPr="0050569F">
        <w:rPr>
          <w:lang w:val="nl-NL"/>
        </w:rPr>
        <w:t>rondwettelijk</w:t>
      </w:r>
      <w:r w:rsidR="00BF07E9">
        <w:rPr>
          <w:lang w:val="nl-NL"/>
        </w:rPr>
        <w:t>e</w:t>
      </w:r>
      <w:r w:rsidR="00632DEA" w:rsidRPr="0050569F">
        <w:rPr>
          <w:lang w:val="nl-NL"/>
        </w:rPr>
        <w:t xml:space="preserve"> orde betreft beschikt zowel België als geheel, evenals elk van zijn deelstaten afzonderlijk over internationale rechtspersoonlijkheid.</w:t>
      </w:r>
      <w:r w:rsidR="00632DEA" w:rsidRPr="0050569F">
        <w:rPr>
          <w:rStyle w:val="Voetnootmarkering"/>
          <w:rFonts w:ascii="Times New Roman" w:hAnsi="Times New Roman" w:cs="Times New Roman"/>
          <w:sz w:val="24"/>
          <w:szCs w:val="24"/>
          <w:lang w:val="nl-NL"/>
        </w:rPr>
        <w:footnoteReference w:id="49"/>
      </w:r>
      <w:r w:rsidR="00632DEA" w:rsidRPr="0050569F">
        <w:rPr>
          <w:lang w:val="nl-NL"/>
        </w:rPr>
        <w:t xml:space="preserve"> Wanneer verschillende Belgische overheden samen een verdrag sluiten met een derde staat is het van belang te weten wie aan Belgische zijde partij is: België als een geheel of elke betrokken deelstaat afzonderlijk. Hieruit vloeit immers voort op wie de wederzijdse rechten en plichten uit het verdrag slaan en welke interne Belgische procedures van toepassing zijn. Als het verdrag bv. bepaalt dat elke partij de lijst met besmettelijke ziektes kan aanpassen en dat elke partij het verdrag kan opzeggen, is het van belang te weten of elke Belgische deelstaat dit afzonderlijk kan doen voor wat hem betreft, dan wel of alle betrokken Belgische overheden hierover eerst onderling overeenstemming moeten bereiken.</w:t>
      </w:r>
    </w:p>
    <w:p w14:paraId="65AA955E" w14:textId="77777777" w:rsidR="00632DEA" w:rsidRPr="0050569F" w:rsidRDefault="00632DEA" w:rsidP="00632DEA">
      <w:pPr>
        <w:spacing w:after="0" w:line="240" w:lineRule="auto"/>
        <w:jc w:val="both"/>
        <w:rPr>
          <w:lang w:val="nl-NL"/>
        </w:rPr>
      </w:pPr>
    </w:p>
    <w:p w14:paraId="2B69014A" w14:textId="689FB381" w:rsidR="00632DEA" w:rsidRPr="0050569F" w:rsidRDefault="00632DEA" w:rsidP="00632DEA">
      <w:pPr>
        <w:spacing w:after="0" w:line="240" w:lineRule="auto"/>
        <w:jc w:val="both"/>
      </w:pPr>
      <w:r w:rsidRPr="0050569F">
        <w:rPr>
          <w:color w:val="000000"/>
        </w:rPr>
        <w:t>Een verdrag met als opschrift “Overeenkomst tussen de regering van het Koninkrijk België, de regering van de Vlaamse Gemeenschap, de regering van de Franse Gemeenschap, de regering van de Duitstalige Gemeenschap, de regering van het Vlaamse Gewest, de regering van het Waalse Gewest, de regering van het Brussels Hoofdstedelijk Gewest en de regering van de Franse Republiek inzake het vervoer van lijken over land”</w:t>
      </w:r>
      <w:r w:rsidRPr="0050569F">
        <w:rPr>
          <w:rStyle w:val="Voetnootmarkering"/>
          <w:rFonts w:ascii="Times New Roman" w:hAnsi="Times New Roman" w:cs="Times New Roman"/>
          <w:color w:val="000000"/>
          <w:sz w:val="24"/>
          <w:szCs w:val="24"/>
        </w:rPr>
        <w:footnoteReference w:id="50"/>
      </w:r>
      <w:r w:rsidRPr="0050569F">
        <w:rPr>
          <w:color w:val="000000"/>
        </w:rPr>
        <w:t xml:space="preserve"> suggereert dat elk van de deelstaten afzonderlijk als partij optreedt,</w:t>
      </w:r>
      <w:r w:rsidRPr="0050569F">
        <w:rPr>
          <w:rStyle w:val="Voetnootmarkering"/>
          <w:rFonts w:ascii="Times New Roman" w:hAnsi="Times New Roman" w:cs="Times New Roman"/>
          <w:color w:val="000000"/>
          <w:sz w:val="24"/>
          <w:szCs w:val="24"/>
        </w:rPr>
        <w:footnoteReference w:id="51"/>
      </w:r>
      <w:r w:rsidRPr="0050569F">
        <w:rPr>
          <w:color w:val="000000"/>
        </w:rPr>
        <w:t xml:space="preserve"> terwijl het opzet van het verdrag eerder aangeeft dat het verdrag een bilateraal karakter heeft tussen Frankrijk en België. De gemachtigde bevestigde uitdrukkelijk dat – ondanks wat werd gesuggereerd in het opschrift – dat België zich met dit verdrag als één geheel engageert.</w:t>
      </w:r>
      <w:r w:rsidRPr="0050569F">
        <w:rPr>
          <w:rStyle w:val="Voetnootmarkering"/>
          <w:rFonts w:ascii="Times New Roman" w:hAnsi="Times New Roman" w:cs="Times New Roman"/>
          <w:color w:val="000000"/>
          <w:sz w:val="24"/>
          <w:szCs w:val="24"/>
        </w:rPr>
        <w:footnoteReference w:id="52"/>
      </w:r>
      <w:r w:rsidR="00D664D6">
        <w:rPr>
          <w:color w:val="000000"/>
        </w:rPr>
        <w:t xml:space="preserve"> </w:t>
      </w:r>
      <w:r w:rsidRPr="0050569F">
        <w:rPr>
          <w:color w:val="000000"/>
        </w:rPr>
        <w:t>Het opschrift bevatte overigens nog meer fouten: hoewel verdragen worden gesloten door de bevoegde organen van de uitvoerende macht, doen ze dit namens de rechtspersonen waarvan ze de uitvoerende macht vormen of waarvoor ze optreden.</w:t>
      </w:r>
      <w:r w:rsidRPr="0050569F">
        <w:rPr>
          <w:rStyle w:val="Voetnootmarkering"/>
          <w:rFonts w:ascii="Times New Roman" w:hAnsi="Times New Roman" w:cs="Times New Roman"/>
          <w:color w:val="000000"/>
          <w:sz w:val="24"/>
          <w:szCs w:val="24"/>
        </w:rPr>
        <w:footnoteReference w:id="53"/>
      </w:r>
      <w:r w:rsidRPr="0050569F">
        <w:rPr>
          <w:color w:val="000000"/>
        </w:rPr>
        <w:t xml:space="preserve"> Bovendien sluit op federaal niveau de </w:t>
      </w:r>
      <w:r w:rsidRPr="0050569F">
        <w:t>Koning – en niet de regering – verdragen.</w:t>
      </w:r>
      <w:r w:rsidRPr="0050569F">
        <w:rPr>
          <w:rStyle w:val="Voetnootmarkering"/>
          <w:rFonts w:ascii="Times New Roman" w:hAnsi="Times New Roman" w:cs="Times New Roman"/>
          <w:sz w:val="24"/>
          <w:szCs w:val="24"/>
        </w:rPr>
        <w:footnoteReference w:id="54"/>
      </w:r>
      <w:r w:rsidRPr="0050569F">
        <w:rPr>
          <w:vertAlign w:val="superscript"/>
        </w:rPr>
        <w:t>-</w:t>
      </w:r>
      <w:r w:rsidRPr="0050569F">
        <w:rPr>
          <w:rStyle w:val="Voetnootmarkering"/>
          <w:rFonts w:ascii="Times New Roman" w:hAnsi="Times New Roman" w:cs="Times New Roman"/>
          <w:sz w:val="24"/>
          <w:szCs w:val="24"/>
        </w:rPr>
        <w:footnoteReference w:id="55"/>
      </w:r>
      <w:r w:rsidRPr="0050569F">
        <w:t xml:space="preserve"> Een correct geformuleerd opschrift ware geweest: “Overeenkomst tussen het Koninkrijk België en de Franse Republiek”,</w:t>
      </w:r>
      <w:r w:rsidRPr="0050569F">
        <w:rPr>
          <w:rStyle w:val="Voetnootmarkering"/>
          <w:rFonts w:ascii="Times New Roman" w:hAnsi="Times New Roman" w:cs="Times New Roman"/>
          <w:sz w:val="24"/>
          <w:szCs w:val="24"/>
        </w:rPr>
        <w:footnoteReference w:id="56"/>
      </w:r>
      <w:r w:rsidRPr="0050569F">
        <w:t xml:space="preserve"> waarbij de organen die namens België het verdrag sluiten in de ondertekeningsformule tot uitdrukking kunnen worden gebracht.</w:t>
      </w:r>
      <w:r w:rsidRPr="0050569F">
        <w:rPr>
          <w:rStyle w:val="Voetnootmarkering"/>
          <w:rFonts w:ascii="Times New Roman" w:hAnsi="Times New Roman" w:cs="Times New Roman"/>
          <w:color w:val="000000"/>
          <w:sz w:val="24"/>
          <w:szCs w:val="24"/>
        </w:rPr>
        <w:t xml:space="preserve"> </w:t>
      </w:r>
    </w:p>
    <w:p w14:paraId="060B7264" w14:textId="77777777" w:rsidR="00632DEA" w:rsidRDefault="00632DEA" w:rsidP="00632DEA">
      <w:pPr>
        <w:spacing w:after="0" w:line="240" w:lineRule="auto"/>
        <w:jc w:val="both"/>
      </w:pPr>
    </w:p>
    <w:p w14:paraId="5A4D8804" w14:textId="634C818D" w:rsidR="00632DEA" w:rsidRPr="0050569F" w:rsidRDefault="00D664D6" w:rsidP="00632DEA">
      <w:pPr>
        <w:spacing w:after="0" w:line="240" w:lineRule="auto"/>
        <w:jc w:val="both"/>
      </w:pPr>
      <w:r>
        <w:rPr>
          <w:b/>
          <w:bCs/>
        </w:rPr>
        <w:t>19.</w:t>
      </w:r>
      <w:r w:rsidR="00632DEA" w:rsidRPr="0050569F">
        <w:tab/>
        <w:t>De Interministeriële Conferentie voor het Buitenlands Beleid heeft in uitvoering van het samenwerkingsakkoord van 8 maart 1994 tussen de federale overheid, de gemeenschappen en de gewesten ‘over de nadere regelen voor het sluiten van gemengde verdragen’ (meer bepaald van artikel 8, derde lid, en de erbij horende toelichting) een aantal ondertekeningsformules vastgesteld in dalende orde van voorkeur waarbij zoveel mogelijk uitdrukking wordt gegeven aan het federale karakter van de België en aan de betrokkenheid van deelstaten.</w:t>
      </w:r>
      <w:r w:rsidR="00632DEA" w:rsidRPr="0050569F">
        <w:rPr>
          <w:rStyle w:val="Voetnootmarkering"/>
          <w:rFonts w:ascii="Times New Roman" w:hAnsi="Times New Roman" w:cs="Times New Roman"/>
          <w:sz w:val="24"/>
          <w:szCs w:val="24"/>
        </w:rPr>
        <w:footnoteReference w:id="57"/>
      </w:r>
      <w:r w:rsidR="00632DEA" w:rsidRPr="0050569F">
        <w:t xml:space="preserve"> Vanuit het oogpunt van duidelijkheid en rechtszekerheid betreurt de Raad van State dat deze ondertekeningsformules nog steeds geen rekening houden met de verdragsbevoegdheid van de Franse Gemeenschapscommissie in Brussel (COCOF).</w:t>
      </w:r>
      <w:r w:rsidR="00632DEA" w:rsidRPr="0050569F">
        <w:rPr>
          <w:rStyle w:val="Voetnootmarkering"/>
          <w:rFonts w:ascii="Times New Roman" w:hAnsi="Times New Roman" w:cs="Times New Roman"/>
          <w:color w:val="000000"/>
          <w:sz w:val="24"/>
          <w:szCs w:val="24"/>
        </w:rPr>
        <w:footnoteReference w:id="58"/>
      </w:r>
      <w:r w:rsidR="00632DEA" w:rsidRPr="0050569F">
        <w:t xml:space="preserve"> De handtekening van de persoon die namens België of zijn deelstaten het verdrag ondertekent dient duidelijk zijn naam en hoedanigheid te vermelden zodat duidelijk is om wie het gaat.</w:t>
      </w:r>
      <w:r w:rsidR="00632DEA" w:rsidRPr="0050569F">
        <w:rPr>
          <w:rStyle w:val="Voetnootmarkering"/>
          <w:rFonts w:ascii="Times New Roman" w:hAnsi="Times New Roman" w:cs="Times New Roman"/>
          <w:sz w:val="24"/>
          <w:szCs w:val="24"/>
        </w:rPr>
        <w:footnoteReference w:id="59"/>
      </w:r>
    </w:p>
    <w:p w14:paraId="52B94A38" w14:textId="77777777" w:rsidR="00632DEA" w:rsidRDefault="00632DEA" w:rsidP="00632DEA">
      <w:pPr>
        <w:spacing w:after="0" w:line="240" w:lineRule="auto"/>
        <w:jc w:val="both"/>
      </w:pPr>
    </w:p>
    <w:p w14:paraId="6B67EBC6" w14:textId="27BE6662" w:rsidR="00632DEA" w:rsidRPr="0050569F" w:rsidRDefault="00D664D6" w:rsidP="00632DEA">
      <w:pPr>
        <w:spacing w:after="0" w:line="240" w:lineRule="auto"/>
        <w:jc w:val="both"/>
        <w:rPr>
          <w:lang w:val="nl-NL"/>
        </w:rPr>
      </w:pPr>
      <w:r>
        <w:rPr>
          <w:b/>
          <w:bCs/>
        </w:rPr>
        <w:t>20.</w:t>
      </w:r>
      <w:r w:rsidR="00632DEA" w:rsidRPr="0050569F">
        <w:tab/>
        <w:t xml:space="preserve">Dergelijke knelpunten in de formulering van een verdrag doen zich niet enkel voor in bilaterale verdragen met een eerder beperkte draagwijdte. In een handelsverdrag gesloten door de EU en zijn lidstaten met Singapore, werden bevoegdheden toegekend aan een gemengd comité. Uit het verdrag </w:t>
      </w:r>
      <w:r w:rsidR="00B06E0B">
        <w:t>bleek</w:t>
      </w:r>
      <w:r w:rsidR="00B06E0B" w:rsidRPr="0050569F">
        <w:t xml:space="preserve"> </w:t>
      </w:r>
      <w:r w:rsidR="00632DEA" w:rsidRPr="0050569F">
        <w:t xml:space="preserve">niet duidelijk hoe ver de bevoegdheden van het gemengd comité reikten. Het gemengd comité had duidelijk een bevoegdheid om bindende beslissingen te nemen, maar de vraag was of het ook formeel het verdrag zelf kan wijzigen. Dit maakt een fundamenteel verschil uit. Overeenkomstig artikel 34 </w:t>
      </w:r>
      <w:r w:rsidR="001D44BE">
        <w:t>Gw.</w:t>
      </w:r>
      <w:r w:rsidR="00632DEA" w:rsidRPr="0050569F">
        <w:t xml:space="preserve"> kunnen bepaalde machten worden overgedragen aan een supranationale instelling. Een dergelijke overdracht impliceert in beginsel althans meteen ook een aanvaarding van de bindende kracht van toekomstige besluiten die het gemengd comité binnen de grenzen van het verdrag zal nemen, zonder dat er nog bijkomend expliciet vooraf mee moet worden ingestemd. Dit is evenwel anders </w:t>
      </w:r>
      <w:r w:rsidR="00B06E0B">
        <w:t>wanneer</w:t>
      </w:r>
      <w:r w:rsidR="00632DEA" w:rsidRPr="0050569F">
        <w:t xml:space="preserve"> het comité, middels een besluit, de tekst aanneemt die het verdrag formeel wijzigt. Overeenkomstig artikel 167, §§ 2 en 3, </w:t>
      </w:r>
      <w:r w:rsidR="001D44BE">
        <w:t>Gw.</w:t>
      </w:r>
      <w:r w:rsidR="00632DEA" w:rsidRPr="0050569F">
        <w:t xml:space="preserve"> hebben verdragen, evenals hun wijzigingen</w:t>
      </w:r>
      <w:r w:rsidR="00B06E0B">
        <w:t>,</w:t>
      </w:r>
      <w:r w:rsidR="00632DEA" w:rsidRPr="0050569F">
        <w:t xml:space="preserve"> slechts gevolg nadat deze de instemming van alle betrokken parlementen hebben verkregen. De Raad van State oordeelde enerzijds dat de bevoegdheden van het gemengd comité in het verdrag voldoende afgebakend zijn zodat de overdracht van machten verenigbaar is met artikel 34 </w:t>
      </w:r>
      <w:r w:rsidR="001D44BE">
        <w:t>Gw.</w:t>
      </w:r>
      <w:r w:rsidR="00632DEA" w:rsidRPr="0050569F">
        <w:t xml:space="preserve">, maar dat anderzijds dit gemengd comité wel formeel de protocollen en de bijlagen bij het verdrag kan wijzigen. De Raad van State wees erop dat België deze laatste besluiten overeenkomstig de in het verdrag voorziene procedure mag goedkeuren en in werking </w:t>
      </w:r>
      <w:r w:rsidR="00B06E0B" w:rsidRPr="0050569F">
        <w:t xml:space="preserve">laten </w:t>
      </w:r>
      <w:r w:rsidR="00632DEA" w:rsidRPr="0050569F">
        <w:t xml:space="preserve">treden </w:t>
      </w:r>
      <w:r w:rsidR="00632DEA" w:rsidRPr="0050569F">
        <w:rPr>
          <w:i/>
        </w:rPr>
        <w:t>voor zover en pas nadat</w:t>
      </w:r>
      <w:r w:rsidR="00632DEA" w:rsidRPr="0050569F">
        <w:t xml:space="preserve"> de parlementaire instemming in overeenstemming met artikel 167, §§ 2 en 3, </w:t>
      </w:r>
      <w:r w:rsidR="001D44BE">
        <w:t>Gw.</w:t>
      </w:r>
      <w:r w:rsidR="00632DEA" w:rsidRPr="0050569F">
        <w:t xml:space="preserve"> werd verleend door alle betrokken parlementen.</w:t>
      </w:r>
      <w:r w:rsidR="00632DEA" w:rsidRPr="0050569F">
        <w:rPr>
          <w:rStyle w:val="Voetnootmarkering"/>
          <w:rFonts w:ascii="Times New Roman" w:hAnsi="Times New Roman" w:cs="Times New Roman"/>
          <w:sz w:val="24"/>
          <w:szCs w:val="24"/>
        </w:rPr>
        <w:footnoteReference w:id="60"/>
      </w:r>
      <w:r w:rsidR="00632DEA" w:rsidRPr="0050569F">
        <w:t xml:space="preserve"> De Raad van State blijkt aldus eerder permissief te zijn in het toestaan van regelgevende delegaties aan supranationale instellingen: de overdracht moet voldoende bepaald zijn. Enkel voor besluiten die aanleiding geven tot formele verdragswijziging is de parlementaire </w:t>
      </w:r>
      <w:r w:rsidR="00632DEA" w:rsidRPr="0050569F">
        <w:lastRenderedPageBreak/>
        <w:t>instemming vereist. Van enig inhoudelijk criterium zoals dit het geval is voor de beoordeling van delegaties in het intern recht (</w:t>
      </w:r>
      <w:r w:rsidR="00886D04">
        <w:t>zie deel</w:t>
      </w:r>
      <w:r w:rsidR="00632DEA" w:rsidRPr="0050569F">
        <w:t xml:space="preserve"> VIII</w:t>
      </w:r>
      <w:r w:rsidR="00886D04">
        <w:t xml:space="preserve"> van deze kroniek</w:t>
      </w:r>
      <w:r w:rsidR="00632DEA" w:rsidRPr="0050569F">
        <w:t>) lijkt elk spoor te ontbreken.</w:t>
      </w:r>
      <w:r w:rsidR="00632DEA" w:rsidRPr="0050569F">
        <w:rPr>
          <w:rStyle w:val="Voetnootmarkering"/>
          <w:rFonts w:ascii="Times New Roman" w:hAnsi="Times New Roman" w:cs="Times New Roman"/>
          <w:sz w:val="24"/>
          <w:szCs w:val="24"/>
        </w:rPr>
        <w:footnoteReference w:id="61"/>
      </w:r>
      <w:r w:rsidR="00632DEA" w:rsidRPr="0050569F">
        <w:t xml:space="preserve"> </w:t>
      </w:r>
    </w:p>
    <w:p w14:paraId="0B8EBDEE" w14:textId="77777777" w:rsidR="008D264C" w:rsidRPr="00632DEA" w:rsidRDefault="008D264C" w:rsidP="00532989">
      <w:pPr>
        <w:spacing w:after="0" w:line="240" w:lineRule="auto"/>
        <w:jc w:val="both"/>
        <w:rPr>
          <w:lang w:val="nl-NL"/>
        </w:rPr>
      </w:pPr>
    </w:p>
    <w:p w14:paraId="7E190EA7" w14:textId="77777777" w:rsidR="008D264C" w:rsidRPr="009A35D7" w:rsidRDefault="008D264C" w:rsidP="00532989">
      <w:pPr>
        <w:pStyle w:val="Kop2"/>
        <w:spacing w:before="0" w:line="240" w:lineRule="auto"/>
        <w:jc w:val="both"/>
      </w:pPr>
      <w:bookmarkStart w:id="12" w:name="_Toc5779201"/>
      <w:bookmarkStart w:id="13" w:name="_Toc70497767"/>
      <w:bookmarkStart w:id="14" w:name="_Toc70499138"/>
      <w:r w:rsidRPr="009A35D7">
        <w:t xml:space="preserve">V. </w:t>
      </w:r>
      <w:r w:rsidR="008967C7">
        <w:t xml:space="preserve">Implementatie van </w:t>
      </w:r>
      <w:r w:rsidRPr="009A35D7">
        <w:t>Europees recht</w:t>
      </w:r>
      <w:bookmarkEnd w:id="12"/>
      <w:bookmarkEnd w:id="13"/>
      <w:bookmarkEnd w:id="14"/>
    </w:p>
    <w:p w14:paraId="4F5C0732" w14:textId="77777777" w:rsidR="00703851" w:rsidRDefault="00703851" w:rsidP="00703851">
      <w:pPr>
        <w:spacing w:after="0" w:line="240" w:lineRule="auto"/>
        <w:jc w:val="both"/>
      </w:pPr>
    </w:p>
    <w:p w14:paraId="188CFA75" w14:textId="358437FF" w:rsidR="00703851" w:rsidRDefault="00D664D6" w:rsidP="00703851">
      <w:pPr>
        <w:spacing w:after="0" w:line="240" w:lineRule="auto"/>
        <w:jc w:val="both"/>
      </w:pPr>
      <w:r>
        <w:rPr>
          <w:b/>
          <w:bCs/>
        </w:rPr>
        <w:t>21.</w:t>
      </w:r>
      <w:r w:rsidR="00703851">
        <w:tab/>
        <w:t>In het kader van het toezicht op de hogere rechtsnormen én de vormvereisten ziet de Raad van State ook toe op de naleving van het Unierecht. Daarbij wordt de Raad van State geconfronteerd met hogere verwachtingen van het Hof van Justitie, een steeds verder uitdijend volume aan EU</w:t>
      </w:r>
      <w:r w:rsidR="00B06E0B">
        <w:t>-</w:t>
      </w:r>
      <w:r w:rsidR="00703851">
        <w:t xml:space="preserve">normen, en de verder toenemende complexiteit van de </w:t>
      </w:r>
      <w:r>
        <w:t>EU-</w:t>
      </w:r>
      <w:r w:rsidR="00703851">
        <w:t>regelgeving.</w:t>
      </w:r>
    </w:p>
    <w:p w14:paraId="7371268E" w14:textId="77777777" w:rsidR="00703851" w:rsidRDefault="00703851" w:rsidP="00703851">
      <w:pPr>
        <w:spacing w:after="0" w:line="240" w:lineRule="auto"/>
        <w:jc w:val="both"/>
      </w:pPr>
    </w:p>
    <w:p w14:paraId="56E0FD6F" w14:textId="2C650B7A" w:rsidR="00703851" w:rsidRDefault="00D664D6" w:rsidP="00703851">
      <w:pPr>
        <w:spacing w:after="0" w:line="240" w:lineRule="auto"/>
        <w:jc w:val="both"/>
      </w:pPr>
      <w:r>
        <w:rPr>
          <w:b/>
          <w:bCs/>
        </w:rPr>
        <w:t>22.</w:t>
      </w:r>
      <w:r w:rsidR="00703851">
        <w:tab/>
        <w:t>Wat de vormvereisten betreft blijft de Raad van State vooreerst toezien op de intussen traditionele Europese vormvereisten zoals die voortvloeien uit de dienstenrichtlijn,</w:t>
      </w:r>
      <w:r w:rsidR="00703851">
        <w:rPr>
          <w:rStyle w:val="Voetnootmarkering"/>
        </w:rPr>
        <w:footnoteReference w:id="62"/>
      </w:r>
      <w:r w:rsidR="00703851">
        <w:t xml:space="preserve"> de richtlijn technische voorschriften</w:t>
      </w:r>
      <w:r w:rsidR="00703851">
        <w:rPr>
          <w:rStyle w:val="Voetnootmarkering"/>
        </w:rPr>
        <w:footnoteReference w:id="63"/>
      </w:r>
      <w:r w:rsidR="00703851">
        <w:t xml:space="preserve"> en de staatssteunregels.</w:t>
      </w:r>
      <w:r w:rsidR="00703851">
        <w:rPr>
          <w:rStyle w:val="Voetnootmarkering"/>
        </w:rPr>
        <w:footnoteReference w:id="64"/>
      </w:r>
    </w:p>
    <w:p w14:paraId="1067823D" w14:textId="77777777" w:rsidR="00703851" w:rsidRDefault="00703851" w:rsidP="00703851">
      <w:pPr>
        <w:spacing w:after="0" w:line="240" w:lineRule="auto"/>
        <w:jc w:val="both"/>
      </w:pPr>
    </w:p>
    <w:p w14:paraId="6DFC1BC0" w14:textId="77777777" w:rsidR="00703851" w:rsidRDefault="00703851" w:rsidP="00703851">
      <w:pPr>
        <w:spacing w:after="0" w:line="240" w:lineRule="auto"/>
        <w:jc w:val="both"/>
      </w:pPr>
      <w:r>
        <w:t>Voor een overzicht van de vele toepassingsgevallen van de dienstenrichtlijn kan in de eerste plaats worden verwezen naar de voorbije twee kronieken.</w:t>
      </w:r>
      <w:r>
        <w:rPr>
          <w:rStyle w:val="Voetnootmarkering"/>
        </w:rPr>
        <w:footnoteReference w:id="65"/>
      </w:r>
      <w:r>
        <w:t xml:space="preserve"> Nieuwe toepassingen waren er deze periode onder meer met betrekking tot de digitale coronacontactopsporingsapplicatie, althans in zoverre initiële wetsvoorstellen ter zake geen waarborgen boden dat die als een niet-economische dienst van algemeen belang zou worden aangeboden,</w:t>
      </w:r>
      <w:r>
        <w:rPr>
          <w:rStyle w:val="Voetnootmarkering"/>
        </w:rPr>
        <w:footnoteReference w:id="66"/>
      </w:r>
      <w:r>
        <w:t xml:space="preserve"> en met betrekking tot </w:t>
      </w:r>
      <w:r w:rsidRPr="00AF6760">
        <w:t>de verplichting voor de octrooigemachtig</w:t>
      </w:r>
      <w:r>
        <w:t>de, als dienst</w:t>
      </w:r>
      <w:r w:rsidRPr="00AF6760">
        <w:t>verrichter, om zich in te schrijven in een register en bij een beroepsinstituut op het Belgische grondgebied</w:t>
      </w:r>
      <w:r>
        <w:t>.</w:t>
      </w:r>
      <w:r>
        <w:rPr>
          <w:rStyle w:val="Voetnootmarkering"/>
        </w:rPr>
        <w:footnoteReference w:id="67"/>
      </w:r>
      <w:r>
        <w:t xml:space="preserve"> Het toepassingsgebied van de dienstenrichtlijn blijkt bovendien bijzonder moeilijk af te bakenen met betrekking tot diensten die verband houden met verkeer. Transport zelf is immers uitgesloten van het toepassingsgebied</w:t>
      </w:r>
      <w:r>
        <w:rPr>
          <w:rStyle w:val="Voetnootmarkering"/>
        </w:rPr>
        <w:footnoteReference w:id="68"/>
      </w:r>
      <w:r>
        <w:t>, maar dat geldt niet voor nevendiensten zoals rijscholen</w:t>
      </w:r>
      <w:r>
        <w:rPr>
          <w:rStyle w:val="Voetnootmarkering"/>
        </w:rPr>
        <w:footnoteReference w:id="69"/>
      </w:r>
      <w:r>
        <w:t xml:space="preserve"> en de erkenning van instructeurs van opleidingen voor de bestuurders van lange slepen.</w:t>
      </w:r>
      <w:r>
        <w:rPr>
          <w:rStyle w:val="Voetnootmarkering"/>
        </w:rPr>
        <w:footnoteReference w:id="70"/>
      </w:r>
      <w:r>
        <w:t xml:space="preserve"> Uiteraard blijft er aan de dienstenrichtlijn ook een belangrijk materieel luik kleven, waarover meer bij het vrij verkeer.</w:t>
      </w:r>
      <w:r>
        <w:rPr>
          <w:rStyle w:val="Voetnootmarkering"/>
        </w:rPr>
        <w:footnoteReference w:id="71"/>
      </w:r>
    </w:p>
    <w:p w14:paraId="7BC17A6D" w14:textId="77777777" w:rsidR="00703851" w:rsidRDefault="00703851" w:rsidP="00703851">
      <w:pPr>
        <w:spacing w:after="0" w:line="240" w:lineRule="auto"/>
        <w:jc w:val="both"/>
      </w:pPr>
    </w:p>
    <w:p w14:paraId="4882942B" w14:textId="3B7618FE" w:rsidR="00703851" w:rsidRDefault="00703851" w:rsidP="00703851">
      <w:pPr>
        <w:spacing w:after="0" w:line="240" w:lineRule="auto"/>
        <w:jc w:val="both"/>
      </w:pPr>
      <w:r>
        <w:t>Wat de technische voorschriften betreft blijken adviesaanvragers nog steeds veel te optimistisch over de marge die ze hebben om hun ontwerp niet aan te melden. Zo klopt het dat dit niet nodig is als een ontwerp de omzetting is van geharmoniseerde regels, maar is aanmelding wel nodig als blijkt dat een ontwerp voor bepaalde aspecten die omzetting te buiten gaat.</w:t>
      </w:r>
      <w:r>
        <w:rPr>
          <w:rStyle w:val="Voetnootmarkering"/>
        </w:rPr>
        <w:footnoteReference w:id="72"/>
      </w:r>
      <w:r>
        <w:t xml:space="preserve"> Ook dierenwelzijn</w:t>
      </w:r>
      <w:r w:rsidR="00011936">
        <w:t>s</w:t>
      </w:r>
      <w:r>
        <w:t xml:space="preserve">maatregelen geven </w:t>
      </w:r>
      <w:r w:rsidR="00011936">
        <w:t xml:space="preserve">vaak </w:t>
      </w:r>
      <w:r>
        <w:t>aanleiding tot over het hoofd geziene technische voorschriften, zoals in het geval van prestatiebevorderende middelen voor wedstrijdduiven</w:t>
      </w:r>
      <w:r>
        <w:rPr>
          <w:rStyle w:val="Voetnootmarkering"/>
        </w:rPr>
        <w:footnoteReference w:id="73"/>
      </w:r>
      <w:r>
        <w:t xml:space="preserve"> en een verbod op kangoeroeproducten</w:t>
      </w:r>
      <w:r>
        <w:rPr>
          <w:rStyle w:val="Voetnootmarkering"/>
        </w:rPr>
        <w:footnoteReference w:id="74"/>
      </w:r>
      <w:r>
        <w:t xml:space="preserve">. De </w:t>
      </w:r>
      <w:r>
        <w:lastRenderedPageBreak/>
        <w:t>aanmeldingsverplichtingen gelden bovendien ook nog steeds in spoedeisende gevallen, zoals bij maatregelen in het kader van de bestrijding van de pandemie.</w:t>
      </w:r>
      <w:r>
        <w:rPr>
          <w:rStyle w:val="Voetnootmarkering"/>
        </w:rPr>
        <w:footnoteReference w:id="75"/>
      </w:r>
      <w:r>
        <w:t xml:space="preserve"> Wel kan dan eventueel de wachtperiode wegvallen.</w:t>
      </w:r>
      <w:r>
        <w:rPr>
          <w:rStyle w:val="Voetnootmarkering"/>
        </w:rPr>
        <w:footnoteReference w:id="76"/>
      </w:r>
    </w:p>
    <w:p w14:paraId="547B171A" w14:textId="77777777" w:rsidR="00703851" w:rsidRDefault="00703851" w:rsidP="00703851">
      <w:pPr>
        <w:spacing w:after="0" w:line="240" w:lineRule="auto"/>
        <w:jc w:val="both"/>
      </w:pPr>
    </w:p>
    <w:p w14:paraId="1132265A" w14:textId="22B0C34D" w:rsidR="00703851" w:rsidRPr="001B0B83" w:rsidRDefault="00703851" w:rsidP="00703851">
      <w:pPr>
        <w:spacing w:after="0" w:line="240" w:lineRule="auto"/>
        <w:jc w:val="both"/>
      </w:pPr>
      <w:r>
        <w:t>Het is alom bekend dat staatssteunmaatregelen vooraf moeten worden aangemeld bij de Europese Commissie, tenzij ze onder een vrijstellingsmaatregel vallen. Gelet op de proliferatie van die vrijstellingsregimes evolueert de rol van de Raad van State op het vlak van staatssteun.</w:t>
      </w:r>
      <w:r>
        <w:rPr>
          <w:rStyle w:val="Voetnootmarkering"/>
        </w:rPr>
        <w:footnoteReference w:id="77"/>
      </w:r>
      <w:r>
        <w:t xml:space="preserve"> De Raad moet steeds minder simpelweg waarschuwen dat een ontwerp steunmaatregelen bevat en dus moet worden aangemeld, maar moet – als onderdeel van de gedecentraliseerde staatssteuncontrole – steeds vaker zelf inhoudelijk oordelen of een maatregel inpasbaar is in een vrijstellingsregime, en de adviesaanvragers wijzen op de inhoudelijke gevolgen van hun keuze om op een dergelijk vrijstellingsregime een beroep te doen, op het vlak van de aard van de steunmaatregel,</w:t>
      </w:r>
      <w:r>
        <w:rPr>
          <w:rStyle w:val="Voetnootmarkering"/>
        </w:rPr>
        <w:footnoteReference w:id="78"/>
      </w:r>
      <w:r>
        <w:t xml:space="preserve"> de bedragen,</w:t>
      </w:r>
      <w:r>
        <w:rPr>
          <w:rStyle w:val="Voetnootmarkering"/>
        </w:rPr>
        <w:footnoteReference w:id="79"/>
      </w:r>
      <w:r>
        <w:t xml:space="preserve"> of de vereiste flankerende maatregelen</w:t>
      </w:r>
      <w:r>
        <w:rPr>
          <w:rStyle w:val="Voetnootmarkering"/>
        </w:rPr>
        <w:footnoteReference w:id="80"/>
      </w:r>
      <w:r>
        <w:t>. Een advies</w:t>
      </w:r>
      <w:r w:rsidR="00B06E0B">
        <w:t>aan</w:t>
      </w:r>
      <w:r>
        <w:t>vrager die zich daar niet kan naar schikken, zal toch moeten aanmelden.</w:t>
      </w:r>
      <w:r>
        <w:rPr>
          <w:rStyle w:val="Voetnootmarkering"/>
        </w:rPr>
        <w:footnoteReference w:id="81"/>
      </w:r>
      <w:r>
        <w:t xml:space="preserve"> Niettemin blijkt het geheugen van adviesaanvragers vaak kort en ziet men geregeld over het hoofd dat latere wijzigingen aan een aangemelde regeling, of aanpassingen die de eerdere aanmelding te buiten gaan, in beginsel ook opnieuw moeten worden aangemeld,</w:t>
      </w:r>
      <w:r>
        <w:rPr>
          <w:rStyle w:val="Voetnootmarkering"/>
        </w:rPr>
        <w:footnoteReference w:id="82"/>
      </w:r>
      <w:r>
        <w:t xml:space="preserve"> ook als er intussen evoluties in de rechtspraak van het Hof van Justitie zijn die een ander licht kunnen werpen op een eerdere staatssteunbeslissing van de Commissie.</w:t>
      </w:r>
      <w:r>
        <w:rPr>
          <w:rStyle w:val="Voetnootmarkering"/>
        </w:rPr>
        <w:footnoteReference w:id="83"/>
      </w:r>
      <w:r>
        <w:t xml:space="preserve"> Dat is in beginsel ook zo in het even opmerkelijke als zeldzame geval waar de Europese Commissie, </w:t>
      </w:r>
      <w:r>
        <w:rPr>
          <w:i/>
          <w:iCs/>
        </w:rPr>
        <w:t xml:space="preserve">in obiter </w:t>
      </w:r>
      <w:r>
        <w:t>bij een eerdere aanmelding al had gesuggereerd dat de nieuwe maatregel – die toen niet het voorwerp van de aanmelding was – ook doorgang zou kunnen vinden.</w:t>
      </w:r>
      <w:r>
        <w:rPr>
          <w:rStyle w:val="Voetnootmarkering"/>
        </w:rPr>
        <w:footnoteReference w:id="84"/>
      </w:r>
      <w:r>
        <w:t xml:space="preserve"> Die aanmeldingsplicht viel ook niet weg tijdens de </w:t>
      </w:r>
      <w:r w:rsidR="00572900">
        <w:t>COVID</w:t>
      </w:r>
      <w:r>
        <w:t>-19 pandemie,</w:t>
      </w:r>
      <w:r>
        <w:rPr>
          <w:rStyle w:val="Voetnootmarkering"/>
        </w:rPr>
        <w:footnoteReference w:id="85"/>
      </w:r>
      <w:r>
        <w:t xml:space="preserve"> te meer daar de Europese Commissie net via haar mededeling</w:t>
      </w:r>
      <w:r>
        <w:rPr>
          <w:rStyle w:val="Voetnootmarkering"/>
        </w:rPr>
        <w:footnoteReference w:id="86"/>
      </w:r>
      <w:r>
        <w:t xml:space="preserve"> een kader had opgezet om snel een oordeel te kunnen geven over voorgenomen staatssteunmaatregelen. Ten slotte moet ook worden gewezen op de praktijk waarbij wetgeving in afwachting van een definitieve beslissing van de Europese Commissie toch al wordt aangenomen, maar waarbij de inwerkingtreding afhankelijk wordt gemaakt van een positief oordeel van de Commissie. Die praktijk is niet </w:t>
      </w:r>
      <w:r>
        <w:rPr>
          <w:i/>
          <w:iCs/>
        </w:rPr>
        <w:t xml:space="preserve">per se </w:t>
      </w:r>
      <w:r>
        <w:lastRenderedPageBreak/>
        <w:t>verboden, maar doet allerhande praktische en wetgevingstechnische problemen rijzen, en is moeilijk werkbaar in die gevallen waar de Commissie een voorwaardelijk gunstig oordeel</w:t>
      </w:r>
      <w:r w:rsidR="00011936">
        <w:t>geeft</w:t>
      </w:r>
      <w:r>
        <w:t>.</w:t>
      </w:r>
      <w:r>
        <w:rPr>
          <w:rStyle w:val="Voetnootmarkering"/>
        </w:rPr>
        <w:footnoteReference w:id="87"/>
      </w:r>
    </w:p>
    <w:p w14:paraId="4BF5FF5F" w14:textId="77777777" w:rsidR="00703851" w:rsidRDefault="00703851" w:rsidP="00703851">
      <w:pPr>
        <w:spacing w:after="0" w:line="240" w:lineRule="auto"/>
        <w:jc w:val="both"/>
      </w:pPr>
    </w:p>
    <w:p w14:paraId="3752AD96" w14:textId="5EB2CC05" w:rsidR="00703851" w:rsidRDefault="00D664D6" w:rsidP="00703851">
      <w:pPr>
        <w:spacing w:after="0" w:line="240" w:lineRule="auto"/>
        <w:jc w:val="both"/>
      </w:pPr>
      <w:r>
        <w:rPr>
          <w:b/>
          <w:bCs/>
        </w:rPr>
        <w:t>23.</w:t>
      </w:r>
      <w:r w:rsidR="00703851">
        <w:tab/>
        <w:t>Daarnaast moet de Raad van State steeds meer toezien op nieuwe Europese vormvereisten, die niet zelden verband houden met de toenemende rol van regulatoren en grensoverschrijdend overleg in het kader van de liberalisering van de nutssectoren. Zo heeft de nieuwe elektriciteitsverordening</w:t>
      </w:r>
      <w:r w:rsidR="00703851">
        <w:rPr>
          <w:rStyle w:val="Voetnootmarkering"/>
        </w:rPr>
        <w:footnoteReference w:id="88"/>
      </w:r>
      <w:r w:rsidR="00703851">
        <w:t xml:space="preserve"> een hele reeks nieuwe overlegverplichtingen ingevoerd. Het organiseren van overleg met andere lidstaten of derde landen is ook wetgevingstechnisch niet altijd even eenvoudig om te verwoorden, gelet op het overschrijvingsverbod en omdat moet worden vermeden dat de indruk wordt gewekt dat aan andere soevereine overheden verplichtingen worden opgelegd</w:t>
      </w:r>
      <w:r w:rsidR="00703851">
        <w:rPr>
          <w:rStyle w:val="Voetnootmarkering"/>
        </w:rPr>
        <w:footnoteReference w:id="89"/>
      </w:r>
      <w:r w:rsidR="00703851">
        <w:t xml:space="preserve">. </w:t>
      </w:r>
      <w:r w:rsidR="00B06E0B">
        <w:t xml:space="preserve">Verder </w:t>
      </w:r>
      <w:r w:rsidR="00703851">
        <w:t xml:space="preserve">moet de Raad van State </w:t>
      </w:r>
      <w:r w:rsidR="00B06E0B">
        <w:t xml:space="preserve">ook </w:t>
      </w:r>
      <w:r w:rsidR="00703851">
        <w:t>steeds vaker waarschuwen dat bepaalde beslissingen bovendien niet meer door de gewone regelgever kunnen worden genomen, maar voorbehouden zijn aan regulatoren.</w:t>
      </w:r>
      <w:r w:rsidR="00703851">
        <w:rPr>
          <w:rStyle w:val="Voetnootmarkering"/>
        </w:rPr>
        <w:footnoteReference w:id="90"/>
      </w:r>
      <w:r w:rsidR="00703851">
        <w:t xml:space="preserve"> </w:t>
      </w:r>
    </w:p>
    <w:p w14:paraId="79DA37AB" w14:textId="77777777" w:rsidR="00703851" w:rsidRDefault="00703851" w:rsidP="00703851">
      <w:pPr>
        <w:spacing w:after="0" w:line="240" w:lineRule="auto"/>
        <w:jc w:val="both"/>
      </w:pPr>
    </w:p>
    <w:p w14:paraId="439695B4" w14:textId="05B61E15" w:rsidR="00703851" w:rsidRDefault="00703851" w:rsidP="00703851">
      <w:pPr>
        <w:spacing w:after="0" w:line="240" w:lineRule="auto"/>
        <w:jc w:val="both"/>
      </w:pPr>
      <w:r>
        <w:t>Sinds de inwerkingtreding van de AVG</w:t>
      </w:r>
      <w:r>
        <w:rPr>
          <w:rStyle w:val="Voetnootmarkering"/>
        </w:rPr>
        <w:footnoteReference w:id="91"/>
      </w:r>
      <w:r>
        <w:t xml:space="preserve"> is </w:t>
      </w:r>
      <w:r w:rsidR="00011936">
        <w:t xml:space="preserve">ook </w:t>
      </w:r>
      <w:r>
        <w:t>het advies van de Gegevensbeschermingsautoriteit een dergelijk Europees vormvoorschrift dat in vrijwel elk dossier dreigt om de hoek te komen kijken.</w:t>
      </w:r>
      <w:r>
        <w:rPr>
          <w:rStyle w:val="Voetnootmarkering"/>
        </w:rPr>
        <w:footnoteReference w:id="92"/>
      </w:r>
      <w:r>
        <w:t xml:space="preserve"> Het feit dat Vlaanderen er voor gekozen heeft om in een eigen Vlaamse Toezichtscommissie te voorzien, doet bovendien geen afbreuk aan het feit dat een correcte tenuitvoerlegging van de AVG, althans in de huidige constellatie waarbij de Gegevensbeschermingsautoriteit belast is met het toezicht op de basisregels inzake de verwerking van persoonsgegevens, telkens ook een advies van de Gegevensbeschermingsautoriteit is vereist.</w:t>
      </w:r>
      <w:r>
        <w:rPr>
          <w:rStyle w:val="Voetnootmarkering"/>
        </w:rPr>
        <w:footnoteReference w:id="93"/>
      </w:r>
    </w:p>
    <w:p w14:paraId="02F9FA87" w14:textId="77777777" w:rsidR="00703851" w:rsidRDefault="00703851" w:rsidP="00703851">
      <w:pPr>
        <w:spacing w:after="0" w:line="240" w:lineRule="auto"/>
        <w:jc w:val="both"/>
      </w:pPr>
    </w:p>
    <w:p w14:paraId="4B0CC23E" w14:textId="36ACC15A" w:rsidR="00703851" w:rsidRDefault="00D664D6" w:rsidP="00703851">
      <w:pPr>
        <w:spacing w:after="0" w:line="240" w:lineRule="auto"/>
        <w:jc w:val="both"/>
      </w:pPr>
      <w:r>
        <w:rPr>
          <w:b/>
          <w:bCs/>
        </w:rPr>
        <w:t>24.</w:t>
      </w:r>
      <w:r w:rsidR="00703851">
        <w:tab/>
        <w:t>Wat de hogere rechtsnormen betreft, geldt dat in beginsel elke onverenigbaarheid van een ontwerp met het Unierecht, zowel de verdragsbepalingen – inclusief het Handvest van de Grondrechten van de Europese Unie – als het afgeleide recht, aanleiding moet geven tot opmerkingen door de Raad van State, zodat een compleet overzicht het bestek van deze bijdrage ver te buiten zou gaan. Hieronder wordt slechts op een aantal evoluties ingegaan.</w:t>
      </w:r>
    </w:p>
    <w:p w14:paraId="43849D04" w14:textId="77777777" w:rsidR="00703851" w:rsidRDefault="00703851" w:rsidP="00703851">
      <w:pPr>
        <w:spacing w:after="0" w:line="240" w:lineRule="auto"/>
        <w:jc w:val="both"/>
      </w:pPr>
    </w:p>
    <w:p w14:paraId="518880C9" w14:textId="2233AA57" w:rsidR="00703851" w:rsidRDefault="00D664D6" w:rsidP="00703851">
      <w:pPr>
        <w:spacing w:after="0" w:line="240" w:lineRule="auto"/>
        <w:jc w:val="both"/>
      </w:pPr>
      <w:r>
        <w:rPr>
          <w:b/>
          <w:bCs/>
        </w:rPr>
        <w:t>25.</w:t>
      </w:r>
      <w:r w:rsidR="00703851">
        <w:tab/>
        <w:t xml:space="preserve">Wat het Handvest van de Grondrechten betreft moet worden vastgesteld dat het Handvest nog steeds veeleer als een aanvulling wordt gezien op de grondrechtenbescherming in de </w:t>
      </w:r>
      <w:r w:rsidR="00B06E0B">
        <w:t>G</w:t>
      </w:r>
      <w:r w:rsidR="00703851">
        <w:t>rondwet en het EVRM, en zelden autonoom wordt ingeroepen. Dat is problematisch, gelet op het feit dat in aangelegenheden die geharmoniseerd zijn er</w:t>
      </w:r>
      <w:r w:rsidR="00B06E0B">
        <w:t>,</w:t>
      </w:r>
      <w:r w:rsidR="00703851">
        <w:t xml:space="preserve"> volgens het Hof van Justitie</w:t>
      </w:r>
      <w:r w:rsidR="00703851">
        <w:rPr>
          <w:rStyle w:val="Voetnootmarkering"/>
        </w:rPr>
        <w:footnoteReference w:id="94"/>
      </w:r>
      <w:r w:rsidR="00703851">
        <w:t xml:space="preserve">, geen plaats is voor nationale grondrechten. Dat ligt anders in aangelegenheden waar de nationale overheid wel nog een discretionaire marge heeft. Dat fundamentele onderscheid – dat bijvoorbeeld het Duitse </w:t>
      </w:r>
      <w:r w:rsidR="00703851">
        <w:lastRenderedPageBreak/>
        <w:t>Grondwettelijk Hof zich al eigen heeft gemaakt</w:t>
      </w:r>
      <w:r w:rsidR="00703851">
        <w:rPr>
          <w:rStyle w:val="Voetnootmarkering"/>
        </w:rPr>
        <w:footnoteReference w:id="95"/>
      </w:r>
      <w:r w:rsidR="00703851">
        <w:t xml:space="preserve"> – ontbreekt nog in de meeste adviezen.</w:t>
      </w:r>
      <w:r w:rsidR="00F87508">
        <w:rPr>
          <w:rStyle w:val="Voetnootmarkering"/>
        </w:rPr>
        <w:footnoteReference w:id="96"/>
      </w:r>
      <w:r w:rsidR="00703851">
        <w:t xml:space="preserve"> Een keer heeft de Raad van State zich beroepen op het </w:t>
      </w:r>
      <w:r w:rsidR="00703851">
        <w:rPr>
          <w:i/>
          <w:iCs/>
        </w:rPr>
        <w:t xml:space="preserve">TSN </w:t>
      </w:r>
      <w:r w:rsidR="00703851">
        <w:t>arrest</w:t>
      </w:r>
      <w:r w:rsidR="00703851">
        <w:rPr>
          <w:rStyle w:val="Voetnootmarkering"/>
        </w:rPr>
        <w:footnoteReference w:id="97"/>
      </w:r>
      <w:r w:rsidR="00703851">
        <w:t xml:space="preserve"> om de adviesaanvrager op te roepen om duidelijk aan te geven in de tekst zelf welke bepalingen rechtstreeks uitvoering geven aan een verordening en welke bepalingen nationale toevoegingen zijn, met als argument dat dit belangrijk was voor de rechtsonderhorige met het oog op het al dan niet toepasselijk zijn van uniale beginselen en het Handvest.</w:t>
      </w:r>
      <w:r w:rsidR="00703851">
        <w:rPr>
          <w:rStyle w:val="Voetnootmarkering"/>
        </w:rPr>
        <w:footnoteReference w:id="98"/>
      </w:r>
      <w:r w:rsidR="00703851">
        <w:t xml:space="preserve"> Een andere uitzondering op de regel betreft het advies over de instemming met een verdrag gesloten tussen de EU lidstaten over de opzegging van de bilaterale investeringsovereenkomsten tussen hen</w:t>
      </w:r>
      <w:r w:rsidR="005B5748">
        <w:t>,</w:t>
      </w:r>
      <w:r w:rsidR="00703851">
        <w:t xml:space="preserve"> in antwoord op het arrest van het Hof van Justitie in </w:t>
      </w:r>
      <w:r w:rsidR="00703851">
        <w:rPr>
          <w:i/>
          <w:iCs/>
        </w:rPr>
        <w:t>Achmea</w:t>
      </w:r>
      <w:r w:rsidR="005B5748">
        <w:t>;</w:t>
      </w:r>
      <w:r w:rsidR="00703851">
        <w:rPr>
          <w:rStyle w:val="Voetnootmarkering"/>
        </w:rPr>
        <w:footnoteReference w:id="99"/>
      </w:r>
      <w:r w:rsidR="00703851">
        <w:t xml:space="preserve"> alleen bleek daar de vraag of de Lidstaten nu werkelijk optraden in uitvoering van het Unierecht of niet </w:t>
      </w:r>
      <w:r w:rsidR="00B06E0B">
        <w:t>verre van</w:t>
      </w:r>
      <w:r w:rsidR="00703851">
        <w:t xml:space="preserve"> evident, zodat uiteindelijk toch zowel vanuit het EVRM als het Handvest </w:t>
      </w:r>
      <w:r w:rsidR="00B06E0B">
        <w:t xml:space="preserve">werd </w:t>
      </w:r>
      <w:r w:rsidR="00703851">
        <w:t>geadviseerd.</w:t>
      </w:r>
      <w:r w:rsidR="00703851">
        <w:rPr>
          <w:rStyle w:val="Voetnootmarkering"/>
        </w:rPr>
        <w:footnoteReference w:id="100"/>
      </w:r>
      <w:r w:rsidR="00703851">
        <w:t xml:space="preserve"> </w:t>
      </w:r>
      <w:r w:rsidR="00703851" w:rsidRPr="002F3E48">
        <w:t xml:space="preserve">Het advies besluit die analyse met de </w:t>
      </w:r>
      <w:r w:rsidR="005B5748">
        <w:t>opmerkelijke</w:t>
      </w:r>
      <w:r w:rsidR="005B5748" w:rsidRPr="002F3E48">
        <w:t xml:space="preserve"> </w:t>
      </w:r>
      <w:r w:rsidR="00703851" w:rsidRPr="002F3E48">
        <w:t>conclusie dat de voorrang van het Unierecht niet zo ver gaat dat dit ten koste kan gaan van het waarborgen van de grondrechten.</w:t>
      </w:r>
      <w:r w:rsidR="00703851">
        <w:rPr>
          <w:rStyle w:val="Voetnootmarkering"/>
        </w:rPr>
        <w:footnoteReference w:id="101"/>
      </w:r>
    </w:p>
    <w:p w14:paraId="7CC19328" w14:textId="77777777" w:rsidR="00703851" w:rsidRDefault="00703851" w:rsidP="00703851">
      <w:pPr>
        <w:spacing w:after="0" w:line="240" w:lineRule="auto"/>
        <w:jc w:val="both"/>
      </w:pPr>
    </w:p>
    <w:p w14:paraId="29375434" w14:textId="75ABD08A" w:rsidR="00703851" w:rsidRDefault="00D664D6" w:rsidP="00703851">
      <w:pPr>
        <w:spacing w:after="0" w:line="240" w:lineRule="auto"/>
        <w:jc w:val="both"/>
      </w:pPr>
      <w:r>
        <w:rPr>
          <w:b/>
          <w:bCs/>
        </w:rPr>
        <w:t>26.</w:t>
      </w:r>
      <w:r w:rsidR="00703851">
        <w:tab/>
        <w:t xml:space="preserve">Daaruit moet echter niet worden afgeleid dat de Raad van State plots </w:t>
      </w:r>
      <w:r w:rsidR="00B06E0B">
        <w:t xml:space="preserve">een </w:t>
      </w:r>
      <w:r w:rsidR="00703851">
        <w:t>belangrijk voorbehoud plaatst bij de voorrang van het Unierecht. De adviespraktijk over de exclusieve bevoegdheden van de Unie bewijst het tegendeel. In het bijzonder – maar niet enkel</w:t>
      </w:r>
      <w:r w:rsidR="00703851">
        <w:rPr>
          <w:rStyle w:val="Voetnootmarkering"/>
        </w:rPr>
        <w:footnoteReference w:id="102"/>
      </w:r>
      <w:r w:rsidR="00703851">
        <w:t xml:space="preserve"> – Brexit heeft ertoe geleid dat de Raad van State zich steeds vaker moet uitspreken over ontwerpen waarbij ook, al dan niet bewust, de handel in goederen en diensten wordt geregeld met niet-EU lidstaten. Telkens rijst de vraag of de voorgenomen maatregel niet interfereert met de exclusieve bevoegdheden van de Unie voor het externe handelsbeleid zodat </w:t>
      </w:r>
      <w:r w:rsidR="00703851" w:rsidRPr="00FF50CB">
        <w:t>de wetgever de betrokken regeling overeenkomstig artikel 2, lid 1</w:t>
      </w:r>
      <w:r w:rsidR="00B06E0B">
        <w:t>, VWEU</w:t>
      </w:r>
      <w:r w:rsidR="00703851" w:rsidRPr="00FF50CB">
        <w:t xml:space="preserve">, enkel zou kunnen aannemen na daartoe te zijn geautoriseerd door de Europese Unie. </w:t>
      </w:r>
      <w:r w:rsidR="00703851">
        <w:t>Naast de vroege voorbeelden uit voorjaar 2019 die al in de vorige kroniek aan bod kwamen</w:t>
      </w:r>
      <w:r w:rsidR="00703851">
        <w:rPr>
          <w:rStyle w:val="Voetnootmarkering"/>
        </w:rPr>
        <w:footnoteReference w:id="103"/>
      </w:r>
      <w:r w:rsidR="00703851">
        <w:t>, moet onder meer gewezen worden op een recent advies over overgangsregelingen voor de verzekeringssector,</w:t>
      </w:r>
      <w:r w:rsidR="00703851">
        <w:rPr>
          <w:rStyle w:val="Voetnootmarkering"/>
        </w:rPr>
        <w:footnoteReference w:id="104"/>
      </w:r>
      <w:r w:rsidR="00703851">
        <w:t xml:space="preserve"> waar de Raad van State uitvoerig uit de doeken doet hoe de voorgenomen regeling de handel in verzekeringsdiensten regelt met een derde land, niet afgedekt wordt door de handels- samenwerkingsovereenkomst met het Verenigd Koninkrijk, en dus de </w:t>
      </w:r>
      <w:r w:rsidR="00703851" w:rsidRPr="008878DF">
        <w:rPr>
          <w:i/>
          <w:iCs/>
        </w:rPr>
        <w:t>Most Favoured Nation</w:t>
      </w:r>
      <w:r w:rsidR="00703851">
        <w:rPr>
          <w:i/>
          <w:iCs/>
        </w:rPr>
        <w:t xml:space="preserve"> </w:t>
      </w:r>
      <w:r w:rsidR="00703851">
        <w:t xml:space="preserve">verplichtingen van de Unie en haar lidstaten onder de GATS in het gedrang brengen. De conclusie was dan ook dat het ontwerp geen doorgang kon vinden, </w:t>
      </w:r>
      <w:r w:rsidR="00703851">
        <w:rPr>
          <w:sz w:val="23"/>
          <w:szCs w:val="23"/>
        </w:rPr>
        <w:t>gelet op de artikelen 2, lid 1, VWEU en 3, lid 1, e), VWEU, gelezen in samenhang met het loyauteitsbeginsel neergelegd in artikel 4, lid 3, van het Verdrag betreffende de Europese Unie (VEU)</w:t>
      </w:r>
      <w:r w:rsidR="00703851">
        <w:t>. Ook over de participatie van ondernemingen in het Verenigd Koninkrijk in het CRM-mechanisme dat schaarste op de markt voor elektriciteit – een goed – moet voorkomen</w:t>
      </w:r>
      <w:r w:rsidR="00E239C4">
        <w:t>,</w:t>
      </w:r>
      <w:r w:rsidR="00703851">
        <w:t xml:space="preserve"> werd door de Raad gekeken naar de marges die de handels- </w:t>
      </w:r>
      <w:r w:rsidR="00703851">
        <w:lastRenderedPageBreak/>
        <w:t>samenwerkingsovereenkomst met het Verenigd Koninkrijk</w:t>
      </w:r>
      <w:r w:rsidR="00703851">
        <w:rPr>
          <w:rStyle w:val="Voetnootmarkering"/>
        </w:rPr>
        <w:footnoteReference w:id="105"/>
      </w:r>
      <w:r w:rsidR="00703851">
        <w:t xml:space="preserve"> en de GATT daartoe nog laat aan de lidstaten.</w:t>
      </w:r>
      <w:r w:rsidR="00703851">
        <w:rPr>
          <w:rStyle w:val="Voetnootmarkering"/>
        </w:rPr>
        <w:footnoteReference w:id="106"/>
      </w:r>
      <w:r w:rsidR="00703851">
        <w:t xml:space="preserve"> </w:t>
      </w:r>
    </w:p>
    <w:p w14:paraId="4AA60D4E" w14:textId="77777777" w:rsidR="00703851" w:rsidRPr="008878DF" w:rsidRDefault="00703851" w:rsidP="00703851">
      <w:pPr>
        <w:spacing w:after="0" w:line="240" w:lineRule="auto"/>
        <w:jc w:val="both"/>
      </w:pPr>
    </w:p>
    <w:p w14:paraId="5F594EF0" w14:textId="19DAB73D" w:rsidR="00703851" w:rsidRDefault="00703851" w:rsidP="00703851">
      <w:pPr>
        <w:spacing w:after="0" w:line="240" w:lineRule="auto"/>
        <w:jc w:val="both"/>
      </w:pPr>
      <w:r w:rsidRPr="008878DF">
        <w:t>Die bijzondere aandacht voor het WTO-recht kan niet los worden gezien van het arrest van het Hof van Justitie over het hoger onderwijs in Hongarije</w:t>
      </w:r>
      <w:r w:rsidRPr="008878DF">
        <w:rPr>
          <w:rStyle w:val="Voetnootmarkering"/>
        </w:rPr>
        <w:footnoteReference w:id="107"/>
      </w:r>
      <w:r w:rsidRPr="008878DF">
        <w:t xml:space="preserve">, waarin het Hof van Justitie heeft aangegeven dat het ook bevoegd is om in het kader van een inbreukprocedure ingeleid door de Europese Commissie onder artikel 258 VWEU toe te zien op de naleving door de lidstaten van de WTO-regels, om te vermijden dat lidstaten door hun maatregelen de positie van de Unie in de WTO in het gedrang zouden brengen. Bijgevolg </w:t>
      </w:r>
      <w:r>
        <w:t>heeft de</w:t>
      </w:r>
      <w:r w:rsidRPr="008878DF">
        <w:t xml:space="preserve"> Raad van State</w:t>
      </w:r>
      <w:r w:rsidR="000C6E4F">
        <w:t xml:space="preserve"> </w:t>
      </w:r>
      <w:r>
        <w:t>uitdrukkelijk bevestigd dat het zijn rol is</w:t>
      </w:r>
      <w:r w:rsidRPr="008878DF">
        <w:t xml:space="preserve"> om adviesaanvragers te waarschuwen voor mogelijke inbreuken op de WTO-regels, die immers ook in het kader van het Unierecht tot inbreukprocedures en – ultiem – boetes kunnen leiden.</w:t>
      </w:r>
      <w:r w:rsidRPr="008878DF">
        <w:rPr>
          <w:rStyle w:val="Voetnootmarkering"/>
        </w:rPr>
        <w:footnoteReference w:id="108"/>
      </w:r>
      <w:r>
        <w:t xml:space="preserve"> </w:t>
      </w:r>
    </w:p>
    <w:p w14:paraId="003632B8" w14:textId="77777777" w:rsidR="00703851" w:rsidRDefault="00703851" w:rsidP="00703851">
      <w:pPr>
        <w:spacing w:after="0" w:line="240" w:lineRule="auto"/>
        <w:jc w:val="both"/>
      </w:pPr>
    </w:p>
    <w:p w14:paraId="3A44750A" w14:textId="76B454F5" w:rsidR="00703851" w:rsidRDefault="001D44BE" w:rsidP="00703851">
      <w:pPr>
        <w:spacing w:after="0" w:line="240" w:lineRule="auto"/>
        <w:jc w:val="both"/>
        <w:rPr>
          <w:sz w:val="23"/>
          <w:szCs w:val="23"/>
        </w:rPr>
      </w:pPr>
      <w:r>
        <w:rPr>
          <w:b/>
          <w:bCs/>
        </w:rPr>
        <w:t>27.</w:t>
      </w:r>
      <w:r w:rsidR="00703851">
        <w:tab/>
        <w:t>De coherente omzetting van richtlijnen en uitvoering van verordeningen blijft ook wetgevingstechnisch een uitdaging. Die wordt er niet makkelijker op als de Unie zelf weinig orthodox omspringt met de rechtsinstrumenten. Het meest vervelende blijft het fenomeen van richtlijnen die worden gewijzigd door – al dan niet gedelegeerde – verordeningen.</w:t>
      </w:r>
      <w:r w:rsidR="00703851">
        <w:rPr>
          <w:rStyle w:val="Voetnootmarkering"/>
        </w:rPr>
        <w:footnoteReference w:id="109"/>
      </w:r>
      <w:r w:rsidR="00703851">
        <w:t xml:space="preserve"> Het is niet evident of een dergelijke wijziging als een verordening moet worden beschouwd of als een richtlijn. Beide oplossingen zijn problematisch. Als de gewijzigde bepaling plots als een verordening moet worden aangemerkt, moet die bepaling niet langer worden omgezet, en vormt het dus een eiland te midden van om te zetten bepalingen. Bovendien moet de nationale wetgeving toch nog gewijzigd worden, want op zijn minst moet de oude bepaling worden verwijderd. Indien de bepaling als een richtlijn wordt behandeld, moet worden vastgesteld dat er dan gewoonlijk niet voorzien is in een omzettingstermijn, zodat de nationale wetgeving vanaf de inwerkingtreding van de verordening strijdig is met het Unierecht, met alle problemen van inroepbaarheid en overheidsaansprakelijkheid die dat met zich meebrengt. In advies 68.803/3 maakt de Raad van State de uitdrukkelijke keuze om die bepalingen als verordeningsbepalingen te beschouwen, wat wellicht ook meest in lijn is met de rechtsleer.</w:t>
      </w:r>
      <w:r w:rsidR="00703851">
        <w:rPr>
          <w:rStyle w:val="Voetnootmarkering"/>
        </w:rPr>
        <w:footnoteReference w:id="110"/>
      </w:r>
      <w:r w:rsidR="00703851">
        <w:t xml:space="preserve"> Om tegemoet te komen aan de moeilijkheden die dit met zich meebrengt om het principiële overschrijfverbod te verzoenen met de leesbaarheid van de interne regelgeving stelt de Raad vervolgens voor om toch de bepalingen in te voegen in het nationale recht, maar door die in te leiden met de formule “overeenkomstig richtlijn 2001/81, zoals gewijzigd bij </w:t>
      </w:r>
      <w:r w:rsidR="00703851">
        <w:rPr>
          <w:sz w:val="23"/>
          <w:szCs w:val="23"/>
        </w:rPr>
        <w:t>verordening (EU) 2019/1381” toch aan te geven dat het hier eigenlijk gaat om een rechtstreeks werkende bepaling.</w:t>
      </w:r>
      <w:r w:rsidR="00703851">
        <w:rPr>
          <w:rStyle w:val="Voetnootmarkering"/>
          <w:sz w:val="23"/>
          <w:szCs w:val="23"/>
        </w:rPr>
        <w:footnoteReference w:id="111"/>
      </w:r>
      <w:r w:rsidR="00703851">
        <w:rPr>
          <w:sz w:val="23"/>
          <w:szCs w:val="23"/>
        </w:rPr>
        <w:t xml:space="preserve"> </w:t>
      </w:r>
    </w:p>
    <w:p w14:paraId="6F4AE350" w14:textId="77777777" w:rsidR="00703851" w:rsidRDefault="00703851" w:rsidP="00703851">
      <w:pPr>
        <w:spacing w:after="0" w:line="240" w:lineRule="auto"/>
        <w:jc w:val="both"/>
        <w:rPr>
          <w:sz w:val="23"/>
          <w:szCs w:val="23"/>
        </w:rPr>
      </w:pPr>
    </w:p>
    <w:p w14:paraId="26FF64C2" w14:textId="77777777" w:rsidR="00703851" w:rsidRDefault="00703851" w:rsidP="00703851">
      <w:pPr>
        <w:spacing w:after="0" w:line="240" w:lineRule="auto"/>
        <w:jc w:val="both"/>
        <w:rPr>
          <w:sz w:val="23"/>
          <w:szCs w:val="23"/>
        </w:rPr>
      </w:pPr>
      <w:r>
        <w:rPr>
          <w:sz w:val="23"/>
          <w:szCs w:val="23"/>
        </w:rPr>
        <w:t>De Raad van State botst zo wel vaker op rariteiten. Zo is er de verrassende uitvoeringsrichtlijn 2018/1581</w:t>
      </w:r>
      <w:r>
        <w:rPr>
          <w:rStyle w:val="Voetnootmarkering"/>
          <w:sz w:val="23"/>
          <w:szCs w:val="23"/>
        </w:rPr>
        <w:footnoteReference w:id="112"/>
      </w:r>
      <w:r>
        <w:rPr>
          <w:sz w:val="23"/>
          <w:szCs w:val="23"/>
        </w:rPr>
        <w:t>, die ondanks haar naam – en het verschil tussen gedelegeerde handelingen en uitvoeringshandelingen volgens de artikelen 290 en 291 VWEU – toch een wetgevende handeling</w:t>
      </w:r>
      <w:r>
        <w:rPr>
          <w:rStyle w:val="Voetnootmarkering"/>
          <w:sz w:val="23"/>
          <w:szCs w:val="23"/>
        </w:rPr>
        <w:footnoteReference w:id="113"/>
      </w:r>
      <w:r>
        <w:rPr>
          <w:sz w:val="23"/>
          <w:szCs w:val="23"/>
        </w:rPr>
        <w:t xml:space="preserve"> lijkt te wijzigen. In advies 66.657/3 wordt uitvoerig uitgelegd hoe dit kan, door een samenspel van overgangsregelingen onder de nieuwe comitologieverordening</w:t>
      </w:r>
      <w:r>
        <w:rPr>
          <w:rStyle w:val="Voetnootmarkering"/>
          <w:sz w:val="23"/>
          <w:szCs w:val="23"/>
        </w:rPr>
        <w:footnoteReference w:id="114"/>
      </w:r>
      <w:r>
        <w:rPr>
          <w:sz w:val="23"/>
          <w:szCs w:val="23"/>
        </w:rPr>
        <w:t xml:space="preserve">. Zo wordt een </w:t>
      </w:r>
      <w:r>
        <w:rPr>
          <w:sz w:val="23"/>
          <w:szCs w:val="23"/>
        </w:rPr>
        <w:lastRenderedPageBreak/>
        <w:t>advies van de Raad van State meteen ook een erg lezenswaardige masterclass in Europees administratief recht.</w:t>
      </w:r>
    </w:p>
    <w:p w14:paraId="2EC92126" w14:textId="77777777" w:rsidR="00703851" w:rsidRDefault="00703851" w:rsidP="00703851">
      <w:pPr>
        <w:spacing w:after="0" w:line="240" w:lineRule="auto"/>
        <w:jc w:val="both"/>
        <w:rPr>
          <w:sz w:val="23"/>
          <w:szCs w:val="23"/>
        </w:rPr>
      </w:pPr>
    </w:p>
    <w:p w14:paraId="75096AE5" w14:textId="77777777" w:rsidR="00703851" w:rsidRDefault="00703851" w:rsidP="00703851">
      <w:pPr>
        <w:spacing w:after="0" w:line="240" w:lineRule="auto"/>
        <w:jc w:val="both"/>
        <w:rPr>
          <w:sz w:val="23"/>
          <w:szCs w:val="23"/>
        </w:rPr>
      </w:pPr>
      <w:r>
        <w:rPr>
          <w:sz w:val="23"/>
          <w:szCs w:val="23"/>
        </w:rPr>
        <w:t>Ten slotte inspireerde het eerste arrest van het Hof van Justitie op basis van artikel 260, lid 3 VWEU, niet toevallig tegen België</w:t>
      </w:r>
      <w:r>
        <w:rPr>
          <w:rStyle w:val="Voetnootmarkering"/>
          <w:sz w:val="23"/>
          <w:szCs w:val="23"/>
        </w:rPr>
        <w:footnoteReference w:id="115"/>
      </w:r>
      <w:r>
        <w:rPr>
          <w:sz w:val="23"/>
          <w:szCs w:val="23"/>
        </w:rPr>
        <w:t>, de Raad van State tot nieuwe opmerkingen over de volledige omzetting van richtlijnen in een federale context. Lidstaten kunnen immers beboet worden als ze niet tijdig aan de Europese Commissie een overzicht bezorgen waaruit blijkt dat ze een richtlijn volledig en voor het gehele grondgebied hebben omgezet. Nu het Hof van Justitie de inroepbaarheid van niet-omgezette richtlijnen weer wat moeilijker gemaakt heeft,</w:t>
      </w:r>
      <w:r>
        <w:rPr>
          <w:rStyle w:val="Voetnootmarkering"/>
          <w:sz w:val="23"/>
          <w:szCs w:val="23"/>
        </w:rPr>
        <w:footnoteReference w:id="116"/>
      </w:r>
      <w:r>
        <w:rPr>
          <w:sz w:val="23"/>
          <w:szCs w:val="23"/>
        </w:rPr>
        <w:t xml:space="preserve"> maar ter compensatie het opleggen van boetes wegens onvolledige omzetting heeft vereenvoudigd</w:t>
      </w:r>
      <w:r>
        <w:rPr>
          <w:rStyle w:val="Voetnootmarkering"/>
          <w:sz w:val="23"/>
          <w:szCs w:val="23"/>
        </w:rPr>
        <w:footnoteReference w:id="117"/>
      </w:r>
      <w:r>
        <w:rPr>
          <w:sz w:val="23"/>
          <w:szCs w:val="23"/>
        </w:rPr>
        <w:t>, moet dat een bijzondere zorg zijn voor alle Belgische regelgevers. Voor de Raad van State alvast het signaal om de oude adviespraktijk over het belang van goede omzettingstabellen weer wat dwingender te maken, en op te roepen tot gedegen afstemming tussen de verschillende overheden teneinde een volledige omzetting te garanderen.</w:t>
      </w:r>
      <w:r>
        <w:rPr>
          <w:rStyle w:val="Voetnootmarkering"/>
          <w:sz w:val="23"/>
          <w:szCs w:val="23"/>
        </w:rPr>
        <w:footnoteReference w:id="118"/>
      </w:r>
    </w:p>
    <w:p w14:paraId="0556C6F6" w14:textId="77777777" w:rsidR="00703851" w:rsidRDefault="00703851" w:rsidP="00703851">
      <w:pPr>
        <w:spacing w:after="0" w:line="240" w:lineRule="auto"/>
        <w:jc w:val="both"/>
        <w:rPr>
          <w:sz w:val="23"/>
          <w:szCs w:val="23"/>
        </w:rPr>
      </w:pPr>
    </w:p>
    <w:p w14:paraId="6D1B70E7" w14:textId="5B8F988A" w:rsidR="00703851" w:rsidRDefault="001D44BE" w:rsidP="00703851">
      <w:pPr>
        <w:spacing w:after="0" w:line="240" w:lineRule="auto"/>
        <w:jc w:val="both"/>
        <w:rPr>
          <w:sz w:val="23"/>
          <w:szCs w:val="23"/>
        </w:rPr>
      </w:pPr>
      <w:r>
        <w:rPr>
          <w:b/>
          <w:bCs/>
          <w:sz w:val="23"/>
          <w:szCs w:val="23"/>
        </w:rPr>
        <w:t>28.</w:t>
      </w:r>
      <w:r w:rsidR="00703851">
        <w:rPr>
          <w:sz w:val="23"/>
          <w:szCs w:val="23"/>
        </w:rPr>
        <w:tab/>
        <w:t>Soms ontdek je pas hoe waardevol iets is, als het wordt weggenomen.</w:t>
      </w:r>
      <w:r w:rsidR="005B5748">
        <w:rPr>
          <w:rStyle w:val="Voetnootmarkering"/>
          <w:sz w:val="23"/>
          <w:szCs w:val="23"/>
        </w:rPr>
        <w:footnoteReference w:id="119"/>
      </w:r>
      <w:r w:rsidR="00703851">
        <w:rPr>
          <w:sz w:val="23"/>
          <w:szCs w:val="23"/>
        </w:rPr>
        <w:t xml:space="preserve"> Dat wordt treffend geïllustreerd door de adviespraktijk van de voorbije jaren over vrij verkeer – en hoe dat door Brexit onder druk komt te staan. De duidelijkste gevolgen zijn uiteraard voor Britten die in België willen werken, zoals in het geval van het al aangehaalde ontwerp over de verzekeringssector,</w:t>
      </w:r>
      <w:r w:rsidR="00703851">
        <w:rPr>
          <w:rStyle w:val="Voetnootmarkering"/>
          <w:sz w:val="23"/>
          <w:szCs w:val="23"/>
        </w:rPr>
        <w:footnoteReference w:id="120"/>
      </w:r>
      <w:r w:rsidR="00703851">
        <w:rPr>
          <w:sz w:val="23"/>
          <w:szCs w:val="23"/>
        </w:rPr>
        <w:t xml:space="preserve"> maar ook in het geval van bijvoorbeeld advocaten</w:t>
      </w:r>
      <w:r w:rsidR="00703851">
        <w:rPr>
          <w:rStyle w:val="Voetnootmarkering"/>
          <w:sz w:val="23"/>
          <w:szCs w:val="23"/>
        </w:rPr>
        <w:footnoteReference w:id="121"/>
      </w:r>
      <w:r w:rsidR="00703851">
        <w:rPr>
          <w:sz w:val="23"/>
          <w:szCs w:val="23"/>
        </w:rPr>
        <w:t xml:space="preserve">. Telkens plaatste de Raad van State ook grenzen aan de mogelijkheden voor Belgische overheden om dat eenzijdig op te lossen – omwille van het al hoger aangehaalde probleem van het effect op de handel in diensten, maar ook omwille van constitutionele bezwaren, zoals het feit dat artikel 10, tweede lid, </w:t>
      </w:r>
      <w:r w:rsidR="00977707">
        <w:rPr>
          <w:sz w:val="23"/>
          <w:szCs w:val="23"/>
        </w:rPr>
        <w:t xml:space="preserve">Gw. </w:t>
      </w:r>
      <w:r w:rsidR="00703851">
        <w:rPr>
          <w:sz w:val="23"/>
          <w:szCs w:val="23"/>
        </w:rPr>
        <w:t>ambten voorbehoudt voor Belgen</w:t>
      </w:r>
      <w:r w:rsidR="00703851">
        <w:rPr>
          <w:rStyle w:val="Voetnootmarkering"/>
          <w:sz w:val="23"/>
          <w:szCs w:val="23"/>
        </w:rPr>
        <w:footnoteReference w:id="122"/>
      </w:r>
      <w:r w:rsidR="00703851">
        <w:rPr>
          <w:sz w:val="23"/>
          <w:szCs w:val="23"/>
        </w:rPr>
        <w:t>. Maar ook voor Belgen zelf dreigen er problemen. Zo stelde de Raad van State</w:t>
      </w:r>
      <w:r w:rsidR="00371734">
        <w:rPr>
          <w:sz w:val="23"/>
          <w:szCs w:val="23"/>
        </w:rPr>
        <w:t xml:space="preserve"> in advies 68.331/3</w:t>
      </w:r>
      <w:r w:rsidR="00703851">
        <w:rPr>
          <w:rStyle w:val="Voetnootmarkering"/>
          <w:sz w:val="23"/>
          <w:szCs w:val="23"/>
        </w:rPr>
        <w:footnoteReference w:id="123"/>
      </w:r>
      <w:r w:rsidR="00703851">
        <w:rPr>
          <w:sz w:val="23"/>
          <w:szCs w:val="23"/>
        </w:rPr>
        <w:t xml:space="preserve"> al vast dat door een hiaat in het Uittredingsverdrag en bij gebrek aan regels over de erkenning van buitenlandse diploma’s en beroepskwalificaties in het handels- en samenwerkingsakkoord een omgekeerde discriminatie kan ontstaan waarbij een Brit die voor 31 december 2020 al aan de slag was in een Brussels laboratorium dat na Brexit mag blijven doen op basis van het Uittredingsverdrag</w:t>
      </w:r>
      <w:r w:rsidR="00703851">
        <w:rPr>
          <w:rStyle w:val="Voetnootmarkering"/>
          <w:sz w:val="23"/>
          <w:szCs w:val="23"/>
        </w:rPr>
        <w:footnoteReference w:id="124"/>
      </w:r>
      <w:r w:rsidR="00703851">
        <w:rPr>
          <w:sz w:val="23"/>
          <w:szCs w:val="23"/>
        </w:rPr>
        <w:t xml:space="preserve">. Ook voor Britten die na die datum aan de slag gaan bleek het Brussels Hoofdstedelijk Gewest eenzijdig bereid om in een oplossing te voorzien. Maar een Belg (of andere EU onderdaan) die op basis van een Brits diploma in hetzelfde laboratorium aan de slag was, zou in de problemen kunnen komen omdat zijn beroepskwalificaties niet meer op basis van het Unierecht beschermd zijn. Bijgevolg werd het Brussels Hoofdstedelijk </w:t>
      </w:r>
      <w:r w:rsidR="00703851">
        <w:rPr>
          <w:sz w:val="23"/>
          <w:szCs w:val="23"/>
        </w:rPr>
        <w:lastRenderedPageBreak/>
        <w:t xml:space="preserve">Gewest geadviseerd om, gelet op het gelijkheidsbeginsel, voor deze categorie zelf maatregelen te nemen om hieraan te verhelpen. </w:t>
      </w:r>
    </w:p>
    <w:p w14:paraId="50C74E32" w14:textId="77777777" w:rsidR="00703851" w:rsidRDefault="00703851" w:rsidP="00703851">
      <w:pPr>
        <w:spacing w:after="0" w:line="240" w:lineRule="auto"/>
        <w:jc w:val="both"/>
        <w:rPr>
          <w:sz w:val="23"/>
          <w:szCs w:val="23"/>
        </w:rPr>
      </w:pPr>
    </w:p>
    <w:p w14:paraId="090FACCF" w14:textId="406EB8F9" w:rsidR="00703851" w:rsidRPr="008E50F0" w:rsidRDefault="00703851" w:rsidP="00703851">
      <w:pPr>
        <w:spacing w:after="0" w:line="240" w:lineRule="auto"/>
        <w:jc w:val="both"/>
        <w:rPr>
          <w:sz w:val="23"/>
          <w:szCs w:val="23"/>
        </w:rPr>
      </w:pPr>
      <w:r>
        <w:rPr>
          <w:sz w:val="23"/>
          <w:szCs w:val="23"/>
        </w:rPr>
        <w:t>Overigens moet ook los van Brexit in herinnering worden gebracht dat ook steeds meer derdelanders kunnen genieten van</w:t>
      </w:r>
      <w:r w:rsidR="008D2051">
        <w:rPr>
          <w:sz w:val="23"/>
          <w:szCs w:val="23"/>
        </w:rPr>
        <w:t xml:space="preserve"> rechten inzake</w:t>
      </w:r>
      <w:r>
        <w:rPr>
          <w:sz w:val="23"/>
          <w:szCs w:val="23"/>
        </w:rPr>
        <w:t xml:space="preserve"> vrij verkeer. Dat wordt bijzonder goed geïllustreerd door het advies 66.775/1</w:t>
      </w:r>
      <w:r>
        <w:rPr>
          <w:rStyle w:val="Voetnootmarkering"/>
          <w:sz w:val="23"/>
          <w:szCs w:val="23"/>
        </w:rPr>
        <w:footnoteReference w:id="125"/>
      </w:r>
      <w:r>
        <w:rPr>
          <w:sz w:val="23"/>
          <w:szCs w:val="23"/>
        </w:rPr>
        <w:t xml:space="preserve"> over een wetsvoorstel dat beoogde om – na een eerdere vernietiging door het Grondwettelijk Hof</w:t>
      </w:r>
      <w:r>
        <w:rPr>
          <w:rStyle w:val="Voetnootmarkering"/>
          <w:sz w:val="23"/>
          <w:szCs w:val="23"/>
        </w:rPr>
        <w:footnoteReference w:id="126"/>
      </w:r>
      <w:r>
        <w:rPr>
          <w:sz w:val="23"/>
          <w:szCs w:val="23"/>
        </w:rPr>
        <w:t xml:space="preserve"> – opnieuw de toegang tot de inkomensgarantie voor ouderen (IGO) in te perken door het opleggen van een voorwaarde van voorafgaand verblijf, die vooral buitenlandse aanvragers zou treffen. Na het ontwerp te hebben onderzocht op basis van artikel 23 </w:t>
      </w:r>
      <w:r w:rsidR="001D44BE">
        <w:rPr>
          <w:sz w:val="23"/>
          <w:szCs w:val="23"/>
        </w:rPr>
        <w:t>Gw.</w:t>
      </w:r>
      <w:r>
        <w:rPr>
          <w:sz w:val="23"/>
          <w:szCs w:val="23"/>
        </w:rPr>
        <w:t xml:space="preserve">, onderzocht de Raad van State de impact van het voorstel op verschillende categorieën buitenlanders. In de eerste plaats wordt uitvoerig stilgestaan bij de </w:t>
      </w:r>
      <w:r>
        <w:rPr>
          <w:i/>
          <w:sz w:val="23"/>
          <w:szCs w:val="23"/>
        </w:rPr>
        <w:t>Dano</w:t>
      </w:r>
      <w:r>
        <w:rPr>
          <w:sz w:val="23"/>
          <w:szCs w:val="23"/>
        </w:rPr>
        <w:t>-rechtspraak van het Hof van Justitie</w:t>
      </w:r>
      <w:r>
        <w:rPr>
          <w:rStyle w:val="Voetnootmarkering"/>
          <w:sz w:val="23"/>
          <w:szCs w:val="23"/>
        </w:rPr>
        <w:footnoteReference w:id="127"/>
      </w:r>
      <w:r>
        <w:rPr>
          <w:sz w:val="23"/>
          <w:szCs w:val="23"/>
        </w:rPr>
        <w:t xml:space="preserve"> over de mogelijkheden om </w:t>
      </w:r>
      <w:r>
        <w:rPr>
          <w:i/>
          <w:sz w:val="23"/>
          <w:szCs w:val="23"/>
        </w:rPr>
        <w:t>social benefit tourism</w:t>
      </w:r>
      <w:r>
        <w:rPr>
          <w:sz w:val="23"/>
          <w:szCs w:val="23"/>
        </w:rPr>
        <w:t xml:space="preserve"> door EU burgers (en hun familieleden, ook als die niet de nationaliteit van een EU lidstaat hebben) in te perken onder richtlijn 2004/38</w:t>
      </w:r>
      <w:r>
        <w:rPr>
          <w:rStyle w:val="Voetnootmarkering"/>
          <w:sz w:val="23"/>
          <w:szCs w:val="23"/>
        </w:rPr>
        <w:footnoteReference w:id="128"/>
      </w:r>
      <w:r>
        <w:rPr>
          <w:sz w:val="23"/>
          <w:szCs w:val="23"/>
        </w:rPr>
        <w:t>. Vervolgens wordt echter ook gekeken naar de impact van het voorstel op personen die onder een EU akkoord vallen, personen met het statuut van langdurig ingezeten onder richtlijn 2003/109</w:t>
      </w:r>
      <w:r>
        <w:rPr>
          <w:rStyle w:val="Voetnootmarkering"/>
          <w:sz w:val="23"/>
          <w:szCs w:val="23"/>
        </w:rPr>
        <w:footnoteReference w:id="129"/>
      </w:r>
      <w:r>
        <w:rPr>
          <w:sz w:val="23"/>
          <w:szCs w:val="23"/>
        </w:rPr>
        <w:t>, en van asielzoekers en staatlozen.</w:t>
      </w:r>
    </w:p>
    <w:p w14:paraId="3965301B" w14:textId="77777777" w:rsidR="00703851" w:rsidRDefault="00703851" w:rsidP="00703851">
      <w:pPr>
        <w:spacing w:after="0" w:line="240" w:lineRule="auto"/>
        <w:jc w:val="both"/>
        <w:rPr>
          <w:sz w:val="23"/>
          <w:szCs w:val="23"/>
        </w:rPr>
      </w:pPr>
    </w:p>
    <w:p w14:paraId="79F34A68" w14:textId="0AB2F687" w:rsidR="00703851" w:rsidRPr="008878DF" w:rsidRDefault="00703851" w:rsidP="00703851">
      <w:pPr>
        <w:spacing w:after="0" w:line="240" w:lineRule="auto"/>
        <w:jc w:val="both"/>
      </w:pPr>
      <w:r>
        <w:rPr>
          <w:sz w:val="23"/>
          <w:szCs w:val="23"/>
        </w:rPr>
        <w:t>Wat het vrij verkeer tussen de lidstaten betreft heeft de Raad van State verder onder meer een nieuwe standaardopmerking over de zelden te verantwoorden vereiste in allerhande subsidieregelingen dat de steun enkel kan worden gestort op een Belgische bankrekening.</w:t>
      </w:r>
      <w:r>
        <w:rPr>
          <w:rStyle w:val="Voetnootmarkering"/>
          <w:sz w:val="23"/>
          <w:szCs w:val="23"/>
        </w:rPr>
        <w:footnoteReference w:id="130"/>
      </w:r>
      <w:r>
        <w:rPr>
          <w:sz w:val="23"/>
          <w:szCs w:val="23"/>
        </w:rPr>
        <w:t xml:space="preserve"> Een van de meest uitgebreide analyses van het vrij verkeer betrof beperkingen aan de handel in geneesmiddelen – voor mensen en voor dieren – via het internet, wat door de Raad werd geanalyseerd vanuit de relevante richtlijnen, en vervolgens – voor het niet geharmoniseerde deel – vanuit het vrij verkeer van goederen met bijzondere aandacht voor de </w:t>
      </w:r>
      <w:r w:rsidRPr="00B333AE">
        <w:rPr>
          <w:i/>
          <w:iCs/>
          <w:sz w:val="23"/>
          <w:szCs w:val="23"/>
        </w:rPr>
        <w:t>Keck</w:t>
      </w:r>
      <w:r w:rsidR="006F6B02">
        <w:rPr>
          <w:sz w:val="23"/>
          <w:szCs w:val="23"/>
        </w:rPr>
        <w:t>-</w:t>
      </w:r>
      <w:r>
        <w:rPr>
          <w:sz w:val="23"/>
          <w:szCs w:val="23"/>
        </w:rPr>
        <w:t>uitzondering</w:t>
      </w:r>
      <w:r w:rsidR="006F6B02">
        <w:rPr>
          <w:rStyle w:val="Voetnootmarkering"/>
          <w:sz w:val="23"/>
          <w:szCs w:val="23"/>
        </w:rPr>
        <w:footnoteReference w:id="131"/>
      </w:r>
      <w:r>
        <w:rPr>
          <w:sz w:val="23"/>
          <w:szCs w:val="23"/>
        </w:rPr>
        <w:t>, en ten slotte ook vanuit de beperkingen die lidstaten mogen stellen aan retailactiviteiten onder de dienstenrichtlijn.</w:t>
      </w:r>
      <w:r>
        <w:rPr>
          <w:rStyle w:val="Voetnootmarkering"/>
          <w:sz w:val="23"/>
          <w:szCs w:val="23"/>
        </w:rPr>
        <w:footnoteReference w:id="132"/>
      </w:r>
      <w:r>
        <w:rPr>
          <w:sz w:val="23"/>
          <w:szCs w:val="23"/>
        </w:rPr>
        <w:t xml:space="preserve"> Die dienstenrichtlijn raakt ook bij de adviesaanvragers steeds beter ingeburgerd, zodat het aantal dossiers waar de dienstenrichtlijn, zeker wat vestigingsvoorwaarden betreft, nog in alle facetten moet worden onderzocht duidelijk afneemt. Uitzonderingen zijn dossiers – zoals de technische reglementering voor elektrische installaties – waar de focus van de stellers duidelijk elders lag, en regelingen met betrekking tot de rol van certificeringsorganen niet doordacht werden, en de Raad van State allerhande bepalingen van de richtlijn moet toepassen.</w:t>
      </w:r>
      <w:r>
        <w:rPr>
          <w:rStyle w:val="Voetnootmarkering"/>
          <w:sz w:val="23"/>
          <w:szCs w:val="23"/>
        </w:rPr>
        <w:footnoteReference w:id="133"/>
      </w:r>
      <w:r>
        <w:rPr>
          <w:sz w:val="23"/>
          <w:szCs w:val="23"/>
        </w:rPr>
        <w:t xml:space="preserve"> </w:t>
      </w:r>
      <w:r w:rsidR="004E2E67">
        <w:rPr>
          <w:sz w:val="23"/>
          <w:szCs w:val="23"/>
        </w:rPr>
        <w:t xml:space="preserve">Verder kunnen er gevallen zijn waarbij de erkenningsvoorwaarden ontransparant worden, doordat ze zelf terugverwijzen naar beslissingen van private organen, waarvan de beslissingscriteria niet evident zijn en wellicht zelf niet aan de dienstenrichtlijn werden getoetst. Dat was bijvoorbeeld het geval bij de registratieplicht voor sportmakelaars, waarbij een van de ontworpen decretale voorwaarden was dat de makelaar al was erkend door de betrokken </w:t>
      </w:r>
      <w:r w:rsidR="004E2E67">
        <w:rPr>
          <w:sz w:val="23"/>
          <w:szCs w:val="23"/>
        </w:rPr>
        <w:lastRenderedPageBreak/>
        <w:t>sportfederatie, waardoor ook mogelijks restrictieve en discriminerende criteria die die federaties zouden hanteren onrechtstreeks werden opgelegd.</w:t>
      </w:r>
      <w:r w:rsidR="004E2E67">
        <w:rPr>
          <w:rStyle w:val="Voetnootmarkering"/>
          <w:sz w:val="23"/>
          <w:szCs w:val="23"/>
        </w:rPr>
        <w:footnoteReference w:id="134"/>
      </w:r>
      <w:r w:rsidR="004E2E67">
        <w:rPr>
          <w:sz w:val="23"/>
          <w:szCs w:val="23"/>
        </w:rPr>
        <w:t xml:space="preserve"> Datzelfde advies is </w:t>
      </w:r>
      <w:r w:rsidR="00371734">
        <w:rPr>
          <w:sz w:val="23"/>
          <w:szCs w:val="23"/>
        </w:rPr>
        <w:t>ook illustratief voor de vaak over het hoofd geziene secundaire bepalingen van de dienstenrichtlijn, zoals over borgsommen en professionele verzekeringen, of over de rol van concurrenten bij de toekenning van erkenningen.</w:t>
      </w:r>
      <w:r w:rsidR="00371734">
        <w:rPr>
          <w:rStyle w:val="Voetnootmarkering"/>
          <w:sz w:val="23"/>
          <w:szCs w:val="23"/>
        </w:rPr>
        <w:footnoteReference w:id="135"/>
      </w:r>
      <w:r w:rsidR="008D2051">
        <w:rPr>
          <w:sz w:val="23"/>
          <w:szCs w:val="23"/>
        </w:rPr>
        <w:t xml:space="preserve"> </w:t>
      </w:r>
      <w:r>
        <w:rPr>
          <w:sz w:val="23"/>
          <w:szCs w:val="23"/>
        </w:rPr>
        <w:t>Ook valt op dat toepassingen van de bepalingen van de dienstenrichtlijn inzake het vrij verkeer van diensten minder voorkomen dan die inzake vestiging. Toch waren ook daar voorbeelden van te vinden, met name wat betreft de activiteiten van rijscholen met een vestiging buiten het Vlaams Gewest.</w:t>
      </w:r>
      <w:r>
        <w:rPr>
          <w:rStyle w:val="Voetnootmarkering"/>
          <w:sz w:val="23"/>
          <w:szCs w:val="23"/>
        </w:rPr>
        <w:footnoteReference w:id="136"/>
      </w:r>
      <w:r>
        <w:rPr>
          <w:sz w:val="23"/>
          <w:szCs w:val="23"/>
        </w:rPr>
        <w:t xml:space="preserve"> Een van de meest heikele punten, ten slotte, is de verhouding tussen de dienstenrichtlijn en de richtlijn over de beroepskwalificaties, zoals wordt geïllustreerd door de beperkingen die de facto aan het vrij verkeer van diensten van opleiders voor vrachtwagenchauffeurs worden gesteld doordat bepaalde buitenlandse kwalificaties van opleiders niet erkend worden.</w:t>
      </w:r>
      <w:r>
        <w:rPr>
          <w:rStyle w:val="Voetnootmarkering"/>
          <w:sz w:val="23"/>
          <w:szCs w:val="23"/>
        </w:rPr>
        <w:footnoteReference w:id="137"/>
      </w:r>
    </w:p>
    <w:p w14:paraId="259D030C" w14:textId="77777777" w:rsidR="00A42C4B" w:rsidRPr="009A35D7" w:rsidRDefault="00A42C4B" w:rsidP="00532989">
      <w:pPr>
        <w:spacing w:after="0" w:line="240" w:lineRule="auto"/>
        <w:jc w:val="both"/>
      </w:pPr>
    </w:p>
    <w:p w14:paraId="138A9989" w14:textId="77777777" w:rsidR="00F00164" w:rsidRPr="009A35D7" w:rsidRDefault="00F00164" w:rsidP="00532989">
      <w:pPr>
        <w:pStyle w:val="Kop2"/>
        <w:spacing w:before="0" w:line="240" w:lineRule="auto"/>
        <w:jc w:val="both"/>
      </w:pPr>
      <w:bookmarkStart w:id="15" w:name="_Toc5779209"/>
      <w:bookmarkStart w:id="16" w:name="_Toc70497768"/>
      <w:bookmarkStart w:id="17" w:name="_Toc70499139"/>
      <w:r w:rsidRPr="009A35D7">
        <w:t>V</w:t>
      </w:r>
      <w:r w:rsidR="008967C7">
        <w:t>I</w:t>
      </w:r>
      <w:r w:rsidRPr="009A35D7">
        <w:t>. Samenwerking in de federale staatsstructuur</w:t>
      </w:r>
      <w:bookmarkEnd w:id="15"/>
      <w:bookmarkEnd w:id="16"/>
      <w:bookmarkEnd w:id="17"/>
    </w:p>
    <w:p w14:paraId="4730DCC2" w14:textId="77777777" w:rsidR="00A42C4B" w:rsidRPr="009A35D7" w:rsidRDefault="00A42C4B" w:rsidP="00532989">
      <w:pPr>
        <w:pStyle w:val="Kop3"/>
        <w:spacing w:before="0" w:line="240" w:lineRule="auto"/>
        <w:jc w:val="both"/>
      </w:pPr>
    </w:p>
    <w:p w14:paraId="75D92D62" w14:textId="31A7E183" w:rsidR="00703851" w:rsidRPr="00703851" w:rsidRDefault="00FD3856" w:rsidP="00703851">
      <w:pPr>
        <w:spacing w:line="240" w:lineRule="auto"/>
        <w:jc w:val="both"/>
        <w:rPr>
          <w:rFonts w:cstheme="minorHAnsi"/>
          <w:lang w:val="nl-NL"/>
        </w:rPr>
      </w:pPr>
      <w:r w:rsidRPr="00B333AE">
        <w:rPr>
          <w:rFonts w:cstheme="minorHAnsi"/>
          <w:b/>
          <w:lang w:val="nl-NL"/>
        </w:rPr>
        <w:t>29.</w:t>
      </w:r>
      <w:r w:rsidR="00703851" w:rsidRPr="00703851">
        <w:rPr>
          <w:rFonts w:cstheme="minorHAnsi"/>
          <w:b/>
          <w:lang w:val="nl-NL"/>
        </w:rPr>
        <w:tab/>
      </w:r>
      <w:r w:rsidR="00703851" w:rsidRPr="00703851">
        <w:rPr>
          <w:rFonts w:cstheme="minorHAnsi"/>
          <w:lang w:val="nl-NL"/>
        </w:rPr>
        <w:t>Door de wijzigingen die de zesde staatshervorming heeft aangebracht in de juridische instrumenten voor samenwerking in de federale staatsstructuur en door de eerste toepassingsgevallen ervan, zijn we in de voorbije kronieken uitgebreid ingegaan op de samenwerkingsakkoorden, uitvoerende samenwerkingsakkoorden en gemeenschappelijke decreten en ordonnanties.</w:t>
      </w:r>
      <w:r w:rsidR="00703851" w:rsidRPr="00703851">
        <w:rPr>
          <w:rStyle w:val="Voetnootmarkering"/>
          <w:rFonts w:cstheme="minorHAnsi"/>
          <w:lang w:val="nl-NL"/>
        </w:rPr>
        <w:footnoteReference w:id="138"/>
      </w:r>
      <w:r w:rsidR="003E088E">
        <w:rPr>
          <w:rFonts w:cstheme="minorHAnsi"/>
          <w:lang w:val="nl-NL"/>
        </w:rPr>
        <w:t xml:space="preserve"> </w:t>
      </w:r>
      <w:r w:rsidR="00703851" w:rsidRPr="00703851">
        <w:rPr>
          <w:rFonts w:cstheme="minorHAnsi"/>
          <w:lang w:val="nl-NL"/>
        </w:rPr>
        <w:t>Nu het stof in deze materie wat is gaan liggen, kunnen we ons in deze kroniek beperken tot drie aandachtspunten uit de besproken periode. Ten eerste gaan we in op de werking in de tijd van samenwerkingsakkoorden, en meer bepaald op de vraag of samenwerkingsakkoorden kunnen terugwerken in de tijd (2). Ten tweede gaan we in op de vaste canon dat samenwerkingsakkoorden dienen om gezamenlijk bevoegdheden uit te oefenen en dat je hiermee geen bevoegdheden mag overdragen. Hieruit volgt dat een samenwerkingsakkoord geen beslissingsbevoegdheid mag toewijzen aan één van de betrokken overheden</w:t>
      </w:r>
      <w:r w:rsidR="00DC1A9C">
        <w:rPr>
          <w:rFonts w:cstheme="minorHAnsi"/>
          <w:lang w:val="nl-NL"/>
        </w:rPr>
        <w:t>.</w:t>
      </w:r>
      <w:r w:rsidR="00703851" w:rsidRPr="00703851">
        <w:rPr>
          <w:rFonts w:cstheme="minorHAnsi"/>
          <w:lang w:val="nl-NL"/>
        </w:rPr>
        <w:t xml:space="preserve"> </w:t>
      </w:r>
      <w:r w:rsidR="00DC1A9C">
        <w:rPr>
          <w:rFonts w:cstheme="minorHAnsi"/>
          <w:lang w:val="nl-NL"/>
        </w:rPr>
        <w:t>M</w:t>
      </w:r>
      <w:r w:rsidR="00703851" w:rsidRPr="00703851">
        <w:rPr>
          <w:rFonts w:cstheme="minorHAnsi"/>
          <w:lang w:val="nl-NL"/>
        </w:rPr>
        <w:t>aar gaat het ook zover dat de betrokken overheden onder elkaar geen taken, opdrachten of middelen kunnen (her)verdelen? (3) Ten derde, als de partijen op de juiste manier bevoegdheden wensen te delegeren aan een gemeenschappelijke orgaan of instrument</w:t>
      </w:r>
      <w:r w:rsidR="00DC1A9C">
        <w:rPr>
          <w:rFonts w:cstheme="minorHAnsi"/>
          <w:lang w:val="nl-NL"/>
        </w:rPr>
        <w:t>,</w:t>
      </w:r>
      <w:r w:rsidR="00DC1A9C" w:rsidRPr="00703851">
        <w:rPr>
          <w:rFonts w:cstheme="minorHAnsi"/>
          <w:lang w:val="nl-NL"/>
        </w:rPr>
        <w:t xml:space="preserve"> </w:t>
      </w:r>
      <w:r w:rsidR="00703851" w:rsidRPr="00703851">
        <w:rPr>
          <w:rFonts w:cstheme="minorHAnsi"/>
          <w:lang w:val="nl-NL"/>
        </w:rPr>
        <w:t xml:space="preserve">welke vorm kan dit dan aannemen? (4) </w:t>
      </w:r>
    </w:p>
    <w:p w14:paraId="27AEF985" w14:textId="4C75061A" w:rsidR="00703851" w:rsidRPr="00703851" w:rsidRDefault="00FD3856" w:rsidP="00703851">
      <w:pPr>
        <w:spacing w:line="240" w:lineRule="auto"/>
        <w:jc w:val="both"/>
        <w:rPr>
          <w:rFonts w:cstheme="minorHAnsi"/>
          <w:color w:val="000000"/>
          <w:lang w:val="nl-NL"/>
        </w:rPr>
      </w:pPr>
      <w:r>
        <w:rPr>
          <w:rFonts w:cstheme="minorHAnsi"/>
          <w:b/>
          <w:lang w:val="nl-NL"/>
        </w:rPr>
        <w:t>30.</w:t>
      </w:r>
      <w:r w:rsidR="00703851" w:rsidRPr="00703851">
        <w:rPr>
          <w:rFonts w:cstheme="minorHAnsi"/>
          <w:b/>
          <w:lang w:val="nl-NL"/>
        </w:rPr>
        <w:tab/>
      </w:r>
      <w:r w:rsidR="00703851" w:rsidRPr="00703851">
        <w:rPr>
          <w:rFonts w:cstheme="minorHAnsi"/>
          <w:lang w:val="nl-NL"/>
        </w:rPr>
        <w:t xml:space="preserve">In eerdere kronieken hebben we er al op gewezen dat de werking in de tijd van een samenwerkingsakkoord niet door één partij alleen kan worden geregeld door hierover een bepaling op te nemen in zijn instemmingswet, - decreet of </w:t>
      </w:r>
      <w:r w:rsidR="00DC1A9C">
        <w:rPr>
          <w:rFonts w:cstheme="minorHAnsi"/>
          <w:lang w:val="nl-NL"/>
        </w:rPr>
        <w:t>-</w:t>
      </w:r>
      <w:r w:rsidR="00703851" w:rsidRPr="00703851">
        <w:rPr>
          <w:rFonts w:cstheme="minorHAnsi"/>
          <w:lang w:val="nl-NL"/>
        </w:rPr>
        <w:t>ordonnantie (hierna: instemmingswet).</w:t>
      </w:r>
      <w:r w:rsidR="00703851" w:rsidRPr="00703851">
        <w:rPr>
          <w:rStyle w:val="Voetnootmarkering"/>
          <w:rFonts w:cstheme="minorHAnsi"/>
          <w:lang w:val="nl-NL"/>
        </w:rPr>
        <w:footnoteReference w:id="139"/>
      </w:r>
      <w:r w:rsidR="00703851" w:rsidRPr="00703851">
        <w:rPr>
          <w:rFonts w:cstheme="minorHAnsi"/>
          <w:lang w:val="nl-NL"/>
        </w:rPr>
        <w:t xml:space="preserve"> Ofwel dienen de partijen de inwerkingtreding gezamenlijk in het akkoord zelf te regelen (bv. door </w:t>
      </w:r>
      <w:r w:rsidR="00DC1A9C">
        <w:rPr>
          <w:rFonts w:cstheme="minorHAnsi"/>
          <w:lang w:val="nl-NL"/>
        </w:rPr>
        <w:t>te</w:t>
      </w:r>
      <w:r w:rsidR="00DC1A9C" w:rsidRPr="00703851">
        <w:rPr>
          <w:rFonts w:cstheme="minorHAnsi"/>
          <w:lang w:val="nl-NL"/>
        </w:rPr>
        <w:t xml:space="preserve"> </w:t>
      </w:r>
      <w:r w:rsidR="00703851" w:rsidRPr="00703851">
        <w:rPr>
          <w:rFonts w:cstheme="minorHAnsi"/>
          <w:lang w:val="nl-NL"/>
        </w:rPr>
        <w:t xml:space="preserve">voorzien </w:t>
      </w:r>
      <w:r w:rsidR="00DC1A9C">
        <w:rPr>
          <w:rFonts w:cstheme="minorHAnsi"/>
          <w:lang w:val="nl-NL"/>
        </w:rPr>
        <w:t>in</w:t>
      </w:r>
      <w:r w:rsidR="00DC1A9C" w:rsidRPr="00703851">
        <w:rPr>
          <w:rFonts w:cstheme="minorHAnsi"/>
          <w:lang w:val="nl-NL"/>
        </w:rPr>
        <w:t xml:space="preserve"> </w:t>
      </w:r>
      <w:r w:rsidR="00703851" w:rsidRPr="00703851">
        <w:rPr>
          <w:rFonts w:cstheme="minorHAnsi"/>
          <w:lang w:val="nl-NL"/>
        </w:rPr>
        <w:t xml:space="preserve">een precieze datum), ofwel vloeit uit de </w:t>
      </w:r>
      <w:r w:rsidR="00DC1A9C">
        <w:rPr>
          <w:rFonts w:cstheme="minorHAnsi"/>
          <w:lang w:val="nl-NL"/>
        </w:rPr>
        <w:t>BWHI</w:t>
      </w:r>
      <w:r w:rsidR="00703851" w:rsidRPr="00703851">
        <w:rPr>
          <w:rFonts w:cstheme="minorHAnsi"/>
          <w:lang w:val="nl-NL"/>
        </w:rPr>
        <w:t xml:space="preserve"> voort dat het samenwerkingsakkoord in werking treedt op de tiende dag na de dag waarop de laatste instemmingswet ermee in het Belgisch Staatsblad is bekendgemaakt.</w:t>
      </w:r>
      <w:r w:rsidR="00703851" w:rsidRPr="00703851">
        <w:rPr>
          <w:rStyle w:val="Voetnootmarkering"/>
          <w:rFonts w:cstheme="minorHAnsi"/>
          <w:lang w:val="nl-NL"/>
        </w:rPr>
        <w:footnoteReference w:id="140"/>
      </w:r>
      <w:r w:rsidR="00703851" w:rsidRPr="00703851">
        <w:rPr>
          <w:rFonts w:cstheme="minorHAnsi"/>
          <w:lang w:val="nl-NL"/>
        </w:rPr>
        <w:t xml:space="preserve"> De vraag rijst of</w:t>
      </w:r>
      <w:r w:rsidR="00DC1A9C">
        <w:rPr>
          <w:rFonts w:cstheme="minorHAnsi"/>
          <w:lang w:val="nl-NL"/>
        </w:rPr>
        <w:t xml:space="preserve"> aan</w:t>
      </w:r>
      <w:r w:rsidR="00703851" w:rsidRPr="00703851">
        <w:rPr>
          <w:rFonts w:cstheme="minorHAnsi"/>
          <w:lang w:val="nl-NL"/>
        </w:rPr>
        <w:t xml:space="preserve"> een samenwerkingsakkoord ook terugwerkende kracht kan worden verleend. Na dit eerst categoriek te hebben afgewezen, aanvaardt de Raad van State dit thans onder bepaalde voorwaarden, meer bepaald als a</w:t>
      </w:r>
      <w:r w:rsidR="00703851" w:rsidRPr="00703851">
        <w:rPr>
          <w:rStyle w:val="A5"/>
          <w:rFonts w:cstheme="minorHAnsi"/>
          <w:sz w:val="22"/>
          <w:szCs w:val="22"/>
        </w:rPr>
        <w:t xml:space="preserve">) de voorafgaande toepassing uit het samenwerkingsakkoord zelf blijkt, b) het parlement met volle kennis van zaken wordt verzocht </w:t>
      </w:r>
      <w:r w:rsidR="00703851" w:rsidRPr="00703851">
        <w:rPr>
          <w:rStyle w:val="A5"/>
          <w:rFonts w:cstheme="minorHAnsi"/>
          <w:sz w:val="22"/>
          <w:szCs w:val="22"/>
        </w:rPr>
        <w:lastRenderedPageBreak/>
        <w:t>hiermee in te stemmen, en c) aan de algemene voorwaarden is voldaan waarmee aan wetgeving terugwerkende kracht kan worden verleend (</w:t>
      </w:r>
      <w:r w:rsidR="003457F4">
        <w:rPr>
          <w:rStyle w:val="A5"/>
          <w:rFonts w:cstheme="minorHAnsi"/>
          <w:sz w:val="22"/>
          <w:szCs w:val="22"/>
        </w:rPr>
        <w:t>zie deel</w:t>
      </w:r>
      <w:r w:rsidR="00703851" w:rsidRPr="00703851">
        <w:rPr>
          <w:rStyle w:val="A5"/>
          <w:rFonts w:cstheme="minorHAnsi"/>
          <w:sz w:val="22"/>
          <w:szCs w:val="22"/>
        </w:rPr>
        <w:t xml:space="preserve"> XII</w:t>
      </w:r>
      <w:r w:rsidR="003457F4">
        <w:rPr>
          <w:rStyle w:val="A5"/>
          <w:rFonts w:cstheme="minorHAnsi"/>
          <w:sz w:val="22"/>
          <w:szCs w:val="22"/>
        </w:rPr>
        <w:t xml:space="preserve"> van deze kroniek</w:t>
      </w:r>
      <w:r w:rsidR="00703851" w:rsidRPr="00703851">
        <w:rPr>
          <w:rStyle w:val="A5"/>
          <w:rFonts w:cstheme="minorHAnsi"/>
          <w:sz w:val="22"/>
          <w:szCs w:val="22"/>
        </w:rPr>
        <w:t>).</w:t>
      </w:r>
      <w:r w:rsidR="00703851" w:rsidRPr="00703851">
        <w:rPr>
          <w:rStyle w:val="Voetnootmarkering"/>
          <w:rFonts w:cstheme="minorHAnsi"/>
          <w:color w:val="000000"/>
        </w:rPr>
        <w:footnoteReference w:id="141"/>
      </w:r>
      <w:r w:rsidR="00703851" w:rsidRPr="00703851">
        <w:rPr>
          <w:rStyle w:val="A5"/>
          <w:rFonts w:cstheme="minorHAnsi"/>
          <w:sz w:val="22"/>
          <w:szCs w:val="22"/>
        </w:rPr>
        <w:t xml:space="preserve"> In de besproken periode aanvaardde de Raad van State dat aan het samenwerkingsakkoord</w:t>
      </w:r>
      <w:r w:rsidR="00F466E2">
        <w:rPr>
          <w:rStyle w:val="A5"/>
          <w:rFonts w:cstheme="minorHAnsi"/>
          <w:sz w:val="22"/>
          <w:szCs w:val="22"/>
        </w:rPr>
        <w:t xml:space="preserve"> over</w:t>
      </w:r>
      <w:r w:rsidR="00703851" w:rsidRPr="00703851">
        <w:rPr>
          <w:rStyle w:val="A5"/>
          <w:rFonts w:cstheme="minorHAnsi"/>
          <w:sz w:val="22"/>
          <w:szCs w:val="22"/>
        </w:rPr>
        <w:t xml:space="preserve"> </w:t>
      </w:r>
      <w:r w:rsidR="00703851" w:rsidRPr="00703851">
        <w:rPr>
          <w:rStyle w:val="A5"/>
          <w:rFonts w:cstheme="minorHAnsi"/>
          <w:i/>
          <w:sz w:val="22"/>
          <w:szCs w:val="22"/>
        </w:rPr>
        <w:t>contact tracing</w:t>
      </w:r>
      <w:r w:rsidR="00703851" w:rsidRPr="00703851">
        <w:rPr>
          <w:rStyle w:val="A5"/>
          <w:rFonts w:cstheme="minorHAnsi"/>
          <w:sz w:val="22"/>
          <w:szCs w:val="22"/>
        </w:rPr>
        <w:t xml:space="preserve"> terugwerkende kracht zou worden verleend opdat een voldoende rechtszeker juridisch kader zou worden gecreëerd voor de regeling die in volle coronacrisis eerst was uitgewerkt en toegepast op basis van een koninklijk besluit.</w:t>
      </w:r>
      <w:r w:rsidR="00703851" w:rsidRPr="00703851">
        <w:rPr>
          <w:rStyle w:val="Voetnootmarkering"/>
          <w:rFonts w:cstheme="minorHAnsi"/>
          <w:color w:val="000000"/>
        </w:rPr>
        <w:footnoteReference w:id="142"/>
      </w:r>
      <w:r w:rsidR="00703851" w:rsidRPr="00703851">
        <w:rPr>
          <w:rStyle w:val="A5"/>
          <w:rFonts w:cstheme="minorHAnsi"/>
          <w:sz w:val="22"/>
          <w:szCs w:val="22"/>
        </w:rPr>
        <w:t xml:space="preserve"> Deze terugwerkende kracht mocht evenwel enkel betrekking hebben op de bepalingen van het samenwerkingsakkoord die inhoudelijk overeenstem</w:t>
      </w:r>
      <w:r w:rsidR="00F466E2">
        <w:rPr>
          <w:rStyle w:val="A5"/>
          <w:rFonts w:cstheme="minorHAnsi"/>
          <w:sz w:val="22"/>
          <w:szCs w:val="22"/>
        </w:rPr>
        <w:t>d</w:t>
      </w:r>
      <w:r w:rsidR="00703851" w:rsidRPr="00703851">
        <w:rPr>
          <w:rStyle w:val="A5"/>
          <w:rFonts w:cstheme="minorHAnsi"/>
          <w:sz w:val="22"/>
          <w:szCs w:val="22"/>
        </w:rPr>
        <w:t>en met hetgeen al in het koninklijk besluit was geregeld en niet op de nieuwe elementen.</w:t>
      </w:r>
      <w:r w:rsidR="00703851" w:rsidRPr="00703851">
        <w:rPr>
          <w:rStyle w:val="Voetnootmarkering"/>
          <w:rFonts w:cstheme="minorHAnsi"/>
          <w:color w:val="000000"/>
        </w:rPr>
        <w:footnoteReference w:id="143"/>
      </w:r>
      <w:r w:rsidR="00703851" w:rsidRPr="00703851">
        <w:rPr>
          <w:rStyle w:val="A5"/>
          <w:rFonts w:cstheme="minorHAnsi"/>
          <w:sz w:val="22"/>
          <w:szCs w:val="22"/>
        </w:rPr>
        <w:t xml:space="preserve"> </w:t>
      </w:r>
      <w:r w:rsidR="00703851" w:rsidRPr="00703851">
        <w:rPr>
          <w:rFonts w:cstheme="minorHAnsi"/>
          <w:color w:val="000000"/>
        </w:rPr>
        <w:t>Dit neemt niet weg dat het verlenen van terugwerkende kracht de uitzondering moet blijven o.m. omdat deze werkwijze op gespannen voet staat met het rechtszekerheidsbeginsel en omdat het parlement hiermee voor een voldongen feit wordt geplaatst. Om advies gevraagd over een instemmingsakte met een samenwerkingsakkoord van</w:t>
      </w:r>
      <w:r w:rsidR="00703851" w:rsidRPr="00703851">
        <w:rPr>
          <w:rStyle w:val="A5"/>
          <w:rFonts w:cstheme="minorHAnsi"/>
          <w:sz w:val="22"/>
          <w:szCs w:val="22"/>
        </w:rPr>
        <w:t xml:space="preserve"> bepaalde duur dat ondertussen al uitwerking </w:t>
      </w:r>
      <w:r w:rsidR="00F466E2">
        <w:rPr>
          <w:rStyle w:val="A5"/>
          <w:rFonts w:cstheme="minorHAnsi"/>
          <w:sz w:val="22"/>
          <w:szCs w:val="22"/>
        </w:rPr>
        <w:t>had</w:t>
      </w:r>
      <w:r w:rsidR="00F466E2" w:rsidRPr="00703851">
        <w:rPr>
          <w:rStyle w:val="A5"/>
          <w:rFonts w:cstheme="minorHAnsi"/>
          <w:sz w:val="22"/>
          <w:szCs w:val="22"/>
        </w:rPr>
        <w:t xml:space="preserve"> </w:t>
      </w:r>
      <w:r w:rsidR="00703851" w:rsidRPr="00703851">
        <w:rPr>
          <w:rStyle w:val="A5"/>
          <w:rFonts w:cstheme="minorHAnsi"/>
          <w:sz w:val="22"/>
          <w:szCs w:val="22"/>
        </w:rPr>
        <w:t xml:space="preserve">gehad, wees de Raad van State erop dat door het ontwerp van instemmingswet met het samenwerkingsakkoord </w:t>
      </w:r>
      <w:r w:rsidR="00F466E2">
        <w:rPr>
          <w:rStyle w:val="A5"/>
          <w:rFonts w:cstheme="minorHAnsi"/>
          <w:sz w:val="22"/>
          <w:szCs w:val="22"/>
        </w:rPr>
        <w:t xml:space="preserve">niet tijdig </w:t>
      </w:r>
      <w:r w:rsidR="00703851" w:rsidRPr="00703851">
        <w:rPr>
          <w:rStyle w:val="A5"/>
          <w:rFonts w:cstheme="minorHAnsi"/>
          <w:sz w:val="22"/>
          <w:szCs w:val="22"/>
        </w:rPr>
        <w:t xml:space="preserve">aan het parlement </w:t>
      </w:r>
      <w:r w:rsidR="00F466E2" w:rsidRPr="00703851">
        <w:rPr>
          <w:rStyle w:val="A5"/>
          <w:rFonts w:cstheme="minorHAnsi"/>
          <w:sz w:val="22"/>
          <w:szCs w:val="22"/>
        </w:rPr>
        <w:t xml:space="preserve">voor te leggen </w:t>
      </w:r>
      <w:r w:rsidR="00703851" w:rsidRPr="00703851">
        <w:rPr>
          <w:rStyle w:val="A5"/>
          <w:rFonts w:cstheme="minorHAnsi"/>
          <w:sz w:val="22"/>
          <w:szCs w:val="22"/>
        </w:rPr>
        <w:t>de regering in feite elk nuttig effect had ontnomen aan de vereiste van artikel 92</w:t>
      </w:r>
      <w:r w:rsidR="00703851" w:rsidRPr="00703851">
        <w:rPr>
          <w:rStyle w:val="A5"/>
          <w:rFonts w:cstheme="minorHAnsi"/>
          <w:i/>
          <w:sz w:val="22"/>
          <w:szCs w:val="22"/>
        </w:rPr>
        <w:t>bis</w:t>
      </w:r>
      <w:r w:rsidR="00703851" w:rsidRPr="00703851">
        <w:rPr>
          <w:rStyle w:val="A5"/>
          <w:rFonts w:cstheme="minorHAnsi"/>
          <w:sz w:val="22"/>
          <w:szCs w:val="22"/>
        </w:rPr>
        <w:t>, §1, tweede lid, BWHI dat samenwerkingsakkoorden eerst gevolg kunnen hebben nadat ze de instemming hebben verkregen bij wet:</w:t>
      </w:r>
      <w:r w:rsidR="00703851" w:rsidRPr="00703851">
        <w:rPr>
          <w:rFonts w:cstheme="minorHAnsi"/>
        </w:rPr>
        <w:t xml:space="preserve"> “la méthode envisagée (…) place l’assemblée législative devant le fait accompli, lui laissant le choix de consentir à un dispositif ayant déjà épuisé ses effets et à l’égard duquel elle ne dispose plus, en fait, de possibilité d’influence”. De Raad van State drong er op aan om samenwerkingsakkoorden </w:t>
      </w:r>
      <w:r w:rsidR="00F466E2">
        <w:rPr>
          <w:rFonts w:cstheme="minorHAnsi"/>
        </w:rPr>
        <w:t>nadat</w:t>
      </w:r>
      <w:r w:rsidR="00F466E2" w:rsidRPr="00703851">
        <w:rPr>
          <w:rFonts w:cstheme="minorHAnsi"/>
        </w:rPr>
        <w:t xml:space="preserve"> </w:t>
      </w:r>
      <w:r w:rsidR="00703851" w:rsidRPr="00703851">
        <w:rPr>
          <w:rFonts w:cstheme="minorHAnsi"/>
        </w:rPr>
        <w:t>deze zijn gesloten, zo snel mogelijk aan het parlement ter instemming voor te leggen teneinde de parlementaire controle en de rechtszekerheid niet in het gedrang te brengen.</w:t>
      </w:r>
      <w:r w:rsidR="00703851" w:rsidRPr="00703851">
        <w:rPr>
          <w:rStyle w:val="Voetnootmarkering"/>
          <w:rFonts w:cstheme="minorHAnsi"/>
        </w:rPr>
        <w:footnoteReference w:id="144"/>
      </w:r>
    </w:p>
    <w:p w14:paraId="7EA732F6" w14:textId="62A7F713" w:rsidR="00703851" w:rsidRPr="00703851" w:rsidRDefault="00FD3856" w:rsidP="00703851">
      <w:pPr>
        <w:spacing w:line="240" w:lineRule="auto"/>
        <w:jc w:val="both"/>
        <w:rPr>
          <w:rFonts w:cstheme="minorHAnsi"/>
          <w:lang w:val="nl-NL"/>
        </w:rPr>
      </w:pPr>
      <w:r>
        <w:rPr>
          <w:rFonts w:cstheme="minorHAnsi"/>
          <w:b/>
          <w:lang w:val="nl-NL"/>
        </w:rPr>
        <w:t>31.</w:t>
      </w:r>
      <w:r w:rsidR="00703851" w:rsidRPr="00703851">
        <w:rPr>
          <w:rFonts w:cstheme="minorHAnsi"/>
          <w:lang w:val="nl-NL"/>
        </w:rPr>
        <w:tab/>
        <w:t xml:space="preserve">De bedoeling van een samenwerkingsovereenkomst is gewoonlijk om gezamenlijk iets te bereiken dat de partijen, gelet op de territoriale en/of materiële bevoegdheidsverdeling niet alleen kunnen realiseren – of toch niet even kwalitatief. Zo kan elke gemeenschap wel zelf een filmkeuring organiseren, maar is er zeker een meerwaarde om dit gezamenlijk en uniform te organiseren voor het hele land. Niettemin is er een dunne lijn tussen het toegelaten poolen van de bevoegdheden, en de volledige overdracht of afstand van bevoegdheid, wat niet mag. Enkele recente adviezen hebben die klassieke leer verder verduidelijkt. Zo kan de ene overheid noch reglementaire, noch individuele beslissingsmacht overdragen aan een andere overheid. </w:t>
      </w:r>
      <w:r w:rsidR="00F466E2">
        <w:rPr>
          <w:rFonts w:cstheme="minorHAnsi"/>
          <w:lang w:val="nl-NL"/>
        </w:rPr>
        <w:t>E</w:t>
      </w:r>
      <w:r w:rsidR="00703851" w:rsidRPr="00703851">
        <w:rPr>
          <w:rFonts w:cstheme="minorHAnsi"/>
          <w:lang w:val="nl-NL"/>
        </w:rPr>
        <w:t>én van de partijen</w:t>
      </w:r>
      <w:r w:rsidR="00F466E2">
        <w:rPr>
          <w:rFonts w:cstheme="minorHAnsi"/>
          <w:lang w:val="nl-NL"/>
        </w:rPr>
        <w:t xml:space="preserve"> kan</w:t>
      </w:r>
      <w:r w:rsidR="00703851" w:rsidRPr="00703851">
        <w:rPr>
          <w:rFonts w:cstheme="minorHAnsi"/>
          <w:lang w:val="nl-NL"/>
        </w:rPr>
        <w:t xml:space="preserve"> wel gemachtigd worden om het secretariaat van de gezamenlijke filmkeuring te verzorgen, maar </w:t>
      </w:r>
      <w:r w:rsidR="00F466E2">
        <w:rPr>
          <w:rFonts w:cstheme="minorHAnsi"/>
          <w:lang w:val="nl-NL"/>
        </w:rPr>
        <w:t xml:space="preserve">dan </w:t>
      </w:r>
      <w:r w:rsidR="00703851" w:rsidRPr="00703851">
        <w:rPr>
          <w:rFonts w:cstheme="minorHAnsi"/>
          <w:lang w:val="nl-NL"/>
        </w:rPr>
        <w:t>kan dat secretariaat niet worden geautoriseerd om bijvoorbeeld logo’s te bepalen die bioscoopuitbaters moeten gebruiken.</w:t>
      </w:r>
      <w:r w:rsidR="00703851" w:rsidRPr="00703851">
        <w:rPr>
          <w:rStyle w:val="Voetnootmarkering"/>
          <w:rFonts w:cstheme="minorHAnsi"/>
          <w:lang w:val="nl-NL"/>
        </w:rPr>
        <w:footnoteReference w:id="145"/>
      </w:r>
      <w:r w:rsidR="00703851" w:rsidRPr="00703851">
        <w:rPr>
          <w:rFonts w:cstheme="minorHAnsi"/>
          <w:lang w:val="nl-NL"/>
        </w:rPr>
        <w:t xml:space="preserve"> </w:t>
      </w:r>
    </w:p>
    <w:p w14:paraId="6F5B0ACA" w14:textId="085ED757" w:rsidR="00703851" w:rsidRPr="00703851" w:rsidRDefault="00703851" w:rsidP="00703851">
      <w:pPr>
        <w:spacing w:line="240" w:lineRule="auto"/>
        <w:jc w:val="both"/>
        <w:rPr>
          <w:rFonts w:cstheme="minorHAnsi"/>
        </w:rPr>
      </w:pPr>
      <w:r w:rsidRPr="00703851">
        <w:rPr>
          <w:rFonts w:cstheme="minorHAnsi"/>
          <w:lang w:val="nl-NL"/>
        </w:rPr>
        <w:t>Een ander domein waar</w:t>
      </w:r>
      <w:r w:rsidR="00F466E2">
        <w:rPr>
          <w:rFonts w:cstheme="minorHAnsi"/>
          <w:lang w:val="nl-NL"/>
        </w:rPr>
        <w:t>in</w:t>
      </w:r>
      <w:r w:rsidRPr="00703851">
        <w:rPr>
          <w:rFonts w:cstheme="minorHAnsi"/>
          <w:lang w:val="nl-NL"/>
        </w:rPr>
        <w:t xml:space="preserve"> de grenzen werden opgezocht tussen het delen en overdragen van bevoegdheden, maar waar de Raad van State positiever tegenover stond, zijn de samenwerkingsakkoorden inzake radio-frequenties. In het geval van de frequentie Luik 88.5 MHz – die zich zoals de naam suggereert in het Waals Gewest bevindt, maar die is voorbehouden voor de Duitstalige zender BRF – kon de Raad dat nog uitleggen door te benadrukken dat de Franse Gemeenschap geen bevoegdheden over de zendmast of de frequentie opgaf, maar louter zich ertoe </w:t>
      </w:r>
      <w:r w:rsidR="00F466E2">
        <w:rPr>
          <w:rFonts w:cstheme="minorHAnsi"/>
          <w:lang w:val="nl-NL"/>
        </w:rPr>
        <w:t>verbond</w:t>
      </w:r>
      <w:r w:rsidR="00F466E2" w:rsidRPr="00703851">
        <w:rPr>
          <w:rFonts w:cstheme="minorHAnsi"/>
          <w:lang w:val="nl-NL"/>
        </w:rPr>
        <w:t xml:space="preserve"> </w:t>
      </w:r>
      <w:r w:rsidRPr="00703851">
        <w:rPr>
          <w:rFonts w:cstheme="minorHAnsi"/>
          <w:lang w:val="nl-NL"/>
        </w:rPr>
        <w:t>om die te exploiteren ten gunste van de Duitstalige Gemeenschap.</w:t>
      </w:r>
      <w:r w:rsidRPr="00703851">
        <w:rPr>
          <w:rStyle w:val="Voetnootmarkering"/>
          <w:rFonts w:cstheme="minorHAnsi"/>
          <w:lang w:val="nl-NL"/>
        </w:rPr>
        <w:footnoteReference w:id="146"/>
      </w:r>
      <w:r w:rsidRPr="00703851">
        <w:rPr>
          <w:rFonts w:cstheme="minorHAnsi"/>
          <w:lang w:val="nl-NL"/>
        </w:rPr>
        <w:t xml:space="preserve"> Moeilijker lag het voor het samenwerkingsakkoord tussen de Franse Gemeenschap en de Vlaamse Gemeenschap betreffende de aanwending van digitale frequenties voor DAB+ op elkaars grondgebied, waarbij </w:t>
      </w:r>
      <w:r w:rsidRPr="00703851">
        <w:rPr>
          <w:rFonts w:cstheme="minorHAnsi"/>
        </w:rPr>
        <w:t xml:space="preserve">de Vlaamse Gemeenschap voor de digitale frequentieblokken 11A en 12A ook zendvergunningen verleent voor de zendinstallaties in de Waalse gemeentes Waver en Vloesberg, en waarbij de Franse Gemeenschap voor de digitale frequentieblokken 6D en 11D ook zendvergunningen verleent voor de zendinstallatie in het </w:t>
      </w:r>
      <w:r w:rsidRPr="00703851">
        <w:rPr>
          <w:rFonts w:cstheme="minorHAnsi"/>
        </w:rPr>
        <w:lastRenderedPageBreak/>
        <w:t xml:space="preserve">Vlaamse Sint-Pieters-Leeuw. Gelet op het feit dat de overheden voor de rest niettemin over alle bevoegdheden ten aanzien van de zendinstallaties bleven beschikken, dat de uitoefening van de bevoegdheden met betrekking tot de frequenties in kwestie slechts kon gebeuren met inachtname van de karakteristieken in bijlage bij het akkoord en dat elke bevoegde regulator verder zijn rol konden spelen, oordeelde de Raad dat het toch niet ging om een overdracht van bevoegdheid. </w:t>
      </w:r>
    </w:p>
    <w:p w14:paraId="12B9D84E" w14:textId="4CE606DA" w:rsidR="00703851" w:rsidRPr="00703851" w:rsidRDefault="00703851" w:rsidP="00703851">
      <w:pPr>
        <w:spacing w:line="240" w:lineRule="auto"/>
        <w:jc w:val="both"/>
        <w:rPr>
          <w:rFonts w:cstheme="minorHAnsi"/>
          <w:lang w:val="nl-NL"/>
        </w:rPr>
      </w:pPr>
      <w:r w:rsidRPr="00703851">
        <w:rPr>
          <w:rFonts w:cstheme="minorHAnsi"/>
        </w:rPr>
        <w:t>Wat in elk geval niet kan is dat een overheid (</w:t>
      </w:r>
      <w:r w:rsidRPr="00703851">
        <w:rPr>
          <w:rFonts w:cstheme="minorHAnsi"/>
          <w:i/>
        </w:rPr>
        <w:t>in casu</w:t>
      </w:r>
      <w:r w:rsidRPr="00703851">
        <w:rPr>
          <w:rFonts w:cstheme="minorHAnsi"/>
        </w:rPr>
        <w:t xml:space="preserve"> de Franse Gemeenschapscommissie) te kennen geeft dat het geen partij wil zijn bij een samenwerkingsakkoord dat nochtans aan haar bevoegdheden raakt (</w:t>
      </w:r>
      <w:r w:rsidRPr="00703851">
        <w:rPr>
          <w:rFonts w:cstheme="minorHAnsi"/>
          <w:i/>
        </w:rPr>
        <w:t>in casu</w:t>
      </w:r>
      <w:r w:rsidRPr="00703851">
        <w:rPr>
          <w:rFonts w:cstheme="minorHAnsi"/>
        </w:rPr>
        <w:t xml:space="preserve"> het samenwerkingsakkoord </w:t>
      </w:r>
      <w:r w:rsidR="00F466E2">
        <w:rPr>
          <w:rFonts w:cstheme="minorHAnsi"/>
        </w:rPr>
        <w:t xml:space="preserve">inzake </w:t>
      </w:r>
      <w:r w:rsidRPr="00703851">
        <w:rPr>
          <w:rFonts w:cstheme="minorHAnsi"/>
        </w:rPr>
        <w:t>contactopsporing</w:t>
      </w:r>
      <w:r w:rsidRPr="00703851">
        <w:rPr>
          <w:rStyle w:val="Voetnootmarkering"/>
          <w:rFonts w:cstheme="minorHAnsi"/>
        </w:rPr>
        <w:footnoteReference w:id="147"/>
      </w:r>
      <w:r w:rsidRPr="00703851">
        <w:rPr>
          <w:rFonts w:cstheme="minorHAnsi"/>
        </w:rPr>
        <w:t>), omdat ze meent dat een andere overheid (</w:t>
      </w:r>
      <w:r w:rsidRPr="00703851">
        <w:rPr>
          <w:rFonts w:cstheme="minorHAnsi"/>
          <w:i/>
        </w:rPr>
        <w:t>in casu</w:t>
      </w:r>
      <w:r w:rsidRPr="00703851">
        <w:rPr>
          <w:rFonts w:cstheme="minorHAnsi"/>
        </w:rPr>
        <w:t xml:space="preserve"> de Gemeenschappelijke Gemeenschapscommissie) hierbij wel voldoende over haar belangen zal waken.</w:t>
      </w:r>
      <w:r w:rsidRPr="00703851">
        <w:rPr>
          <w:rStyle w:val="Voetnootmarkering"/>
          <w:rFonts w:cstheme="minorHAnsi"/>
        </w:rPr>
        <w:footnoteReference w:id="148"/>
      </w:r>
      <w:r w:rsidRPr="00703851">
        <w:rPr>
          <w:rFonts w:cstheme="minorHAnsi"/>
        </w:rPr>
        <w:t xml:space="preserve"> Ook mochten beslissingen over de dataveiligheid van de gemeenschappelijke databanken, niet door de partijen worden overgelaten aan het federale informatieveiligheidscomité.</w:t>
      </w:r>
      <w:r w:rsidRPr="00703851">
        <w:rPr>
          <w:rStyle w:val="Voetnootmarkering"/>
          <w:rFonts w:cstheme="minorHAnsi"/>
        </w:rPr>
        <w:footnoteReference w:id="149"/>
      </w:r>
      <w:r w:rsidRPr="00703851">
        <w:rPr>
          <w:rFonts w:cstheme="minorHAnsi"/>
        </w:rPr>
        <w:t xml:space="preserve"> Met die vereiste dat de deelstaten actief mee betrokken worden bij het beheer van de informaticatoepassingen die betrekking hebben op hun bevoegdheden, ook al wordt het platform formeel door de federale overheid beheerd, sloot de Raad overigens aan bij een eerder advies waarbij het kritiek gaf op de te beperkte rol van de gemeenschappen in het Beheerscomité van het eHealth-platform, zelfs in aangelegenheden die tot hun exclusieve bevoegdheden behoorden.</w:t>
      </w:r>
      <w:r w:rsidRPr="00703851">
        <w:rPr>
          <w:rStyle w:val="Voetnootmarkering"/>
          <w:rFonts w:cstheme="minorHAnsi"/>
        </w:rPr>
        <w:footnoteReference w:id="150"/>
      </w:r>
    </w:p>
    <w:p w14:paraId="3891DCF6" w14:textId="066C4DD0" w:rsidR="00F00164" w:rsidRPr="00703851" w:rsidRDefault="00FD3856" w:rsidP="00703851">
      <w:pPr>
        <w:spacing w:line="240" w:lineRule="auto"/>
        <w:jc w:val="both"/>
        <w:rPr>
          <w:rFonts w:cstheme="minorHAnsi"/>
          <w:lang w:val="nl-NL"/>
        </w:rPr>
      </w:pPr>
      <w:r>
        <w:rPr>
          <w:rFonts w:cstheme="minorHAnsi"/>
          <w:b/>
          <w:bCs/>
          <w:lang w:val="nl-NL"/>
        </w:rPr>
        <w:t>32.</w:t>
      </w:r>
      <w:r w:rsidR="00703851" w:rsidRPr="00703851">
        <w:rPr>
          <w:rFonts w:cstheme="minorHAnsi"/>
          <w:lang w:val="nl-NL"/>
        </w:rPr>
        <w:tab/>
        <w:t xml:space="preserve">Na erop te hebben gewezen dat bevoegdheden niet mogen worden </w:t>
      </w:r>
      <w:r w:rsidR="00345A3A" w:rsidRPr="00703851">
        <w:rPr>
          <w:rFonts w:cstheme="minorHAnsi"/>
          <w:lang w:val="nl-NL"/>
        </w:rPr>
        <w:t>gedelegeerd</w:t>
      </w:r>
      <w:r w:rsidR="00703851" w:rsidRPr="00703851">
        <w:rPr>
          <w:rFonts w:cstheme="minorHAnsi"/>
          <w:lang w:val="nl-NL"/>
        </w:rPr>
        <w:t xml:space="preserve"> (aan één van de partijen), rijst dan weer de vraag hoe bevoegdheden dan wel mogen worden gedelegeerd (op een wijze waar alle partijen bij betrokken zijn). Het principe van regelgeving op het juiste niveau vereist immers dat in wetgeving de hoofdlijnen zelf worden geregeld, terwijl de nadere uitvoering en details beter worden gedelegeerd naar een lager niveau. De uitgelezen vorm voor een dergelijke delegatie in de context van samenwerkingsakkoorden is een uitvoerend samenwerkingsakkoord. De essentiële elementen moeten dan wel, gelet op het legaliteitsbeginsel dat de Raad leest in artikel 92</w:t>
      </w:r>
      <w:r w:rsidR="00703851" w:rsidRPr="00703851">
        <w:rPr>
          <w:rFonts w:cstheme="minorHAnsi"/>
          <w:i/>
          <w:lang w:val="nl-NL"/>
        </w:rPr>
        <w:t>bis</w:t>
      </w:r>
      <w:r w:rsidR="00703851" w:rsidRPr="00703851">
        <w:rPr>
          <w:rFonts w:cstheme="minorHAnsi"/>
          <w:lang w:val="nl-NL"/>
        </w:rPr>
        <w:t>, § 1, BWHI wel in het basissamenwerkingsakkoord zelf worden geregeld.</w:t>
      </w:r>
      <w:r w:rsidR="00703851" w:rsidRPr="00703851">
        <w:rPr>
          <w:rStyle w:val="Voetnootmarkering"/>
          <w:rFonts w:cstheme="minorHAnsi"/>
          <w:lang w:val="nl-NL"/>
        </w:rPr>
        <w:footnoteReference w:id="151"/>
      </w:r>
      <w:r w:rsidR="00703851" w:rsidRPr="00703851">
        <w:rPr>
          <w:rFonts w:cstheme="minorHAnsi"/>
          <w:lang w:val="nl-NL"/>
        </w:rPr>
        <w:t xml:space="preserve"> Het delegeren van nadere uitvoeringsbevoegdheid of detailmaatregelen aan andere organen is niet uitgesloten, maar botst wel op een aantal grenzen. In de eerste plaats moeten dan alle partijen in het orgaan </w:t>
      </w:r>
      <w:r w:rsidR="00EA76B7">
        <w:rPr>
          <w:rFonts w:cstheme="minorHAnsi"/>
          <w:lang w:val="nl-NL"/>
        </w:rPr>
        <w:t xml:space="preserve">in kwestie </w:t>
      </w:r>
      <w:r w:rsidR="00703851" w:rsidRPr="00703851">
        <w:rPr>
          <w:rFonts w:cstheme="minorHAnsi"/>
          <w:lang w:val="nl-NL"/>
        </w:rPr>
        <w:t>betrokken zijn, om afstand van bevoegdheden te vermijden (</w:t>
      </w:r>
      <w:r w:rsidR="00703851" w:rsidRPr="00703851">
        <w:rPr>
          <w:rFonts w:cstheme="minorHAnsi"/>
          <w:i/>
          <w:lang w:val="nl-NL"/>
        </w:rPr>
        <w:t>supra</w:t>
      </w:r>
      <w:r w:rsidR="000F386E">
        <w:rPr>
          <w:rFonts w:cstheme="minorHAnsi"/>
          <w:iCs/>
          <w:lang w:val="nl-NL"/>
        </w:rPr>
        <w:t>,</w:t>
      </w:r>
      <w:r w:rsidR="00703851" w:rsidRPr="00703851">
        <w:rPr>
          <w:rFonts w:cstheme="minorHAnsi"/>
          <w:lang w:val="nl-NL"/>
        </w:rPr>
        <w:t xml:space="preserve"> </w:t>
      </w:r>
      <w:r w:rsidR="00703851" w:rsidRPr="00703851">
        <w:rPr>
          <w:rFonts w:cstheme="minorHAnsi"/>
          <w:highlight w:val="yellow"/>
          <w:lang w:val="nl-NL"/>
        </w:rPr>
        <w:t>nr. 3</w:t>
      </w:r>
      <w:r w:rsidR="000F386E">
        <w:rPr>
          <w:rFonts w:cstheme="minorHAnsi"/>
          <w:lang w:val="nl-NL"/>
        </w:rPr>
        <w:t>1</w:t>
      </w:r>
      <w:r w:rsidR="00703851" w:rsidRPr="00703851">
        <w:rPr>
          <w:rFonts w:cstheme="minorHAnsi"/>
          <w:lang w:val="nl-NL"/>
        </w:rPr>
        <w:t>).</w:t>
      </w:r>
      <w:r w:rsidR="00703851" w:rsidRPr="00703851">
        <w:rPr>
          <w:rStyle w:val="Voetnootmarkering"/>
          <w:rFonts w:cstheme="minorHAnsi"/>
          <w:lang w:val="nl-NL"/>
        </w:rPr>
        <w:footnoteReference w:id="152"/>
      </w:r>
      <w:r w:rsidR="00703851" w:rsidRPr="00703851">
        <w:rPr>
          <w:rFonts w:cstheme="minorHAnsi"/>
          <w:lang w:val="nl-NL"/>
        </w:rPr>
        <w:t xml:space="preserve"> Ten tweede moet het gaan om een aangelegenheid die – afhankelijk van de samenstelling van het orgaan – mag worden gedelegeerd aan ministers of aan ambtenaren (</w:t>
      </w:r>
      <w:r w:rsidR="000F386E">
        <w:rPr>
          <w:rFonts w:cstheme="minorHAnsi"/>
          <w:lang w:val="nl-NL"/>
        </w:rPr>
        <w:t xml:space="preserve">zie deel </w:t>
      </w:r>
      <w:r w:rsidR="00703851" w:rsidRPr="00703851">
        <w:rPr>
          <w:rFonts w:cstheme="minorHAnsi"/>
          <w:lang w:val="nl-NL"/>
        </w:rPr>
        <w:t>VIII</w:t>
      </w:r>
      <w:r w:rsidR="000F386E">
        <w:rPr>
          <w:rFonts w:cstheme="minorHAnsi"/>
          <w:lang w:val="nl-NL"/>
        </w:rPr>
        <w:t xml:space="preserve"> van deze kroniek</w:t>
      </w:r>
      <w:r w:rsidR="00703851" w:rsidRPr="00703851">
        <w:rPr>
          <w:rFonts w:cstheme="minorHAnsi"/>
          <w:lang w:val="nl-NL"/>
        </w:rPr>
        <w:t>). Dat sluit in elk geval beslissingen over grondrechten of andere aangelegenheden die niet van technische en bijkomstige aard zijn uit.</w:t>
      </w:r>
      <w:r w:rsidR="00703851" w:rsidRPr="00703851">
        <w:rPr>
          <w:rStyle w:val="Voetnootmarkering"/>
          <w:rFonts w:cstheme="minorHAnsi"/>
          <w:lang w:val="nl-NL"/>
        </w:rPr>
        <w:footnoteReference w:id="153"/>
      </w:r>
      <w:r w:rsidR="00703851" w:rsidRPr="00703851">
        <w:rPr>
          <w:rFonts w:cstheme="minorHAnsi"/>
          <w:lang w:val="nl-NL"/>
        </w:rPr>
        <w:t xml:space="preserve"> Zo mag de delegatie ook niet neerkomen op een bevoegdheid om een essentieel element van het akkoord zelf te wijzigen, want anders wordt de door artikel 92</w:t>
      </w:r>
      <w:r w:rsidR="00703851" w:rsidRPr="00703851">
        <w:rPr>
          <w:rFonts w:cstheme="minorHAnsi"/>
          <w:i/>
          <w:iCs/>
          <w:lang w:val="nl-NL"/>
        </w:rPr>
        <w:t>bis</w:t>
      </w:r>
      <w:r w:rsidR="00703851" w:rsidRPr="00703851">
        <w:rPr>
          <w:rFonts w:cstheme="minorHAnsi"/>
          <w:lang w:val="nl-NL"/>
        </w:rPr>
        <w:t xml:space="preserve">, § 1, BWHI voorziene rol van de parlementen </w:t>
      </w:r>
      <w:r w:rsidR="00371734">
        <w:rPr>
          <w:rFonts w:cstheme="minorHAnsi"/>
          <w:lang w:val="nl-NL"/>
        </w:rPr>
        <w:lastRenderedPageBreak/>
        <w:t>uitgehold</w:t>
      </w:r>
      <w:r w:rsidR="00703851" w:rsidRPr="00703851">
        <w:rPr>
          <w:rFonts w:cstheme="minorHAnsi"/>
          <w:lang w:val="nl-NL"/>
        </w:rPr>
        <w:t>.</w:t>
      </w:r>
      <w:r w:rsidR="00703851" w:rsidRPr="00703851">
        <w:rPr>
          <w:rStyle w:val="Voetnootmarkering"/>
          <w:rFonts w:cstheme="minorHAnsi"/>
          <w:lang w:val="nl-NL"/>
        </w:rPr>
        <w:footnoteReference w:id="154"/>
      </w:r>
      <w:r w:rsidR="00703851" w:rsidRPr="00703851">
        <w:rPr>
          <w:rFonts w:cstheme="minorHAnsi"/>
          <w:lang w:val="nl-NL"/>
        </w:rPr>
        <w:t xml:space="preserve"> Dat neemt niet weg dat de Raad van State voor niet-essentiële elementen van een basissamenwerkingsakkoord een vereenvoudigde wijzigingsprocedure niet </w:t>
      </w:r>
      <w:r w:rsidR="00703851" w:rsidRPr="00703851">
        <w:rPr>
          <w:rFonts w:cstheme="minorHAnsi"/>
          <w:i/>
          <w:iCs/>
          <w:lang w:val="nl-NL"/>
        </w:rPr>
        <w:t xml:space="preserve">a priori </w:t>
      </w:r>
      <w:r w:rsidR="00703851" w:rsidRPr="00703851">
        <w:rPr>
          <w:rFonts w:cstheme="minorHAnsi"/>
          <w:lang w:val="nl-NL"/>
        </w:rPr>
        <w:t>afwijst, maar daar kan geen sprake van zijn als bv. grondrechten in het geding zijn.</w:t>
      </w:r>
      <w:r w:rsidR="00703851" w:rsidRPr="00703851">
        <w:rPr>
          <w:rStyle w:val="Voetnootmarkering"/>
          <w:rFonts w:cstheme="minorHAnsi"/>
          <w:lang w:val="nl-NL"/>
        </w:rPr>
        <w:footnoteReference w:id="155"/>
      </w:r>
    </w:p>
    <w:p w14:paraId="4ED6A514" w14:textId="77777777" w:rsidR="008D264C" w:rsidRPr="009A35D7" w:rsidRDefault="008D264C" w:rsidP="00532989">
      <w:pPr>
        <w:spacing w:after="0" w:line="240" w:lineRule="auto"/>
        <w:jc w:val="both"/>
      </w:pPr>
    </w:p>
    <w:p w14:paraId="1B87D6B2" w14:textId="6538C45D" w:rsidR="00C55F6C" w:rsidRDefault="00F00164" w:rsidP="00532989">
      <w:pPr>
        <w:pStyle w:val="Kop2"/>
        <w:spacing w:before="0" w:line="240" w:lineRule="auto"/>
        <w:jc w:val="both"/>
      </w:pPr>
      <w:bookmarkStart w:id="18" w:name="_Toc5779214"/>
      <w:bookmarkStart w:id="19" w:name="_Toc70497769"/>
      <w:bookmarkStart w:id="20" w:name="_Toc70499140"/>
      <w:r w:rsidRPr="009A35D7">
        <w:t>VI</w:t>
      </w:r>
      <w:r w:rsidR="008967C7">
        <w:t>I</w:t>
      </w:r>
      <w:r w:rsidRPr="009A35D7">
        <w:t xml:space="preserve">. </w:t>
      </w:r>
      <w:r w:rsidR="00C55F6C" w:rsidRPr="009A35D7">
        <w:t>Rechtsgrond en algemene uitvoeringsbevoegdheid</w:t>
      </w:r>
      <w:bookmarkEnd w:id="18"/>
      <w:bookmarkEnd w:id="19"/>
      <w:bookmarkEnd w:id="20"/>
    </w:p>
    <w:p w14:paraId="4DD20C3C" w14:textId="77777777" w:rsidR="00E239C4" w:rsidRPr="00E239C4" w:rsidRDefault="00E239C4" w:rsidP="00B333AE"/>
    <w:p w14:paraId="5E5A6CD7" w14:textId="03F1C862" w:rsidR="00D46131" w:rsidRDefault="00FD3856" w:rsidP="00D46131">
      <w:pPr>
        <w:spacing w:after="0" w:line="240" w:lineRule="auto"/>
        <w:jc w:val="both"/>
      </w:pPr>
      <w:r>
        <w:rPr>
          <w:b/>
          <w:bCs/>
        </w:rPr>
        <w:t>33.</w:t>
      </w:r>
      <w:r w:rsidR="00D46131">
        <w:tab/>
        <w:t>Ook in de besproken periode wees de Raad van State op de verplichting voor de adviesaanvrager om mee te werken aan de controle op de rechtsgrond voor complexe besluiten door de rechtsgrondbepalingen nauwkeurig te identificeren in de aanhef en eventueel zelfs een rechtsgrondtabel in het dossier op te nemen.</w:t>
      </w:r>
      <w:r w:rsidR="00D46131">
        <w:rPr>
          <w:rStyle w:val="Voetnootmarkering"/>
        </w:rPr>
        <w:footnoteReference w:id="156"/>
      </w:r>
    </w:p>
    <w:p w14:paraId="4E0E4A92" w14:textId="77777777" w:rsidR="00D46131" w:rsidRDefault="00D46131" w:rsidP="00D46131">
      <w:pPr>
        <w:spacing w:after="0" w:line="240" w:lineRule="auto"/>
        <w:jc w:val="both"/>
      </w:pPr>
    </w:p>
    <w:p w14:paraId="154FB469" w14:textId="6DA10455" w:rsidR="00D46131" w:rsidRDefault="00FD3856" w:rsidP="00D46131">
      <w:pPr>
        <w:spacing w:after="0" w:line="240" w:lineRule="auto"/>
        <w:jc w:val="both"/>
      </w:pPr>
      <w:r>
        <w:rPr>
          <w:b/>
          <w:bCs/>
        </w:rPr>
        <w:t>34.</w:t>
      </w:r>
      <w:r w:rsidR="00D46131">
        <w:tab/>
        <w:t>Wanneer er meer dan een rechtsgrond voorhanden is voor eenzelfde bepaling van een besluit, waarbij de ene rechtsgrond aan bepaalde inhoudelijke of vormvoorwaarden gebonden is en de andere niet, kan er een beroep worden gedaan op de tweede rechtsgrond, zonder dat voldaan moet zijn aan de voorwaarden die samenhangen met de eerste rechtsgrond. De auteur van het besluit heeft ter zake dus een discretionaire bevoegdheid.</w:t>
      </w:r>
      <w:r w:rsidR="00D46131">
        <w:rPr>
          <w:rStyle w:val="Voetnootmarkering"/>
        </w:rPr>
        <w:footnoteReference w:id="157"/>
      </w:r>
    </w:p>
    <w:p w14:paraId="2DC8CCCE" w14:textId="77777777" w:rsidR="00D46131" w:rsidRDefault="00D46131" w:rsidP="00D46131">
      <w:pPr>
        <w:spacing w:after="0" w:line="240" w:lineRule="auto"/>
        <w:jc w:val="both"/>
      </w:pPr>
    </w:p>
    <w:p w14:paraId="0B65B835" w14:textId="55301B93" w:rsidR="00D46131" w:rsidRDefault="00FD3856" w:rsidP="00D46131">
      <w:pPr>
        <w:spacing w:after="0" w:line="240" w:lineRule="auto"/>
        <w:jc w:val="both"/>
      </w:pPr>
      <w:r>
        <w:rPr>
          <w:b/>
          <w:bCs/>
        </w:rPr>
        <w:t>35.</w:t>
      </w:r>
      <w:r w:rsidR="00D46131">
        <w:tab/>
        <w:t>Een rechtsgrondprobleem dat wel eens opduikt, betreft de opheffing van een ministerieel besluit waarvoor geen rechtsgrond meer bestaat doordat het bovenliggende koninklijk besluit of regeringsbesluit al eerder was opgeheven. Normaal gesproken kan een besluit worden opgeheven op basis van dezelfde rechtsgrond waarop het initieel steunde, maar als die rechtsgrond niet meer bestaat, is dat natuurlijk niet mogelijk. Voor de opheffing van een koninklijk besluit of regeringsbesluit waarvoor geen rechtsgrond meer voorhanden is, kan een beroep worden gedaan op de algemene uitvoeringsbevoegdheid, gelezen in samenhang met de opheffingsbepaling van die rechtsgrond. De minister beschikt echter niet over de algemene uitvoeringsbevoegdheid zoals de Koning of de regering. Dat probleem kan enkel worden opgelost door een optreden van de Koning of de regering zelf, die het ministerieel besluit wel kan opheffen, ofwel op basis van de rechtsgrond in de wet of het decreet waarop de opgeheven machtiging aan de minister steunde, ofwel – als ook die rechtsgrond niet meer bestaat – op basis van de algemene uitvoeringsbevoegdheid, zoals hiervoor is uiteengezet.</w:t>
      </w:r>
      <w:r w:rsidR="00D46131">
        <w:rPr>
          <w:rStyle w:val="Voetnootmarkering"/>
        </w:rPr>
        <w:footnoteReference w:id="158"/>
      </w:r>
    </w:p>
    <w:p w14:paraId="585873AA" w14:textId="77777777" w:rsidR="00D46131" w:rsidRDefault="00D46131" w:rsidP="00D46131">
      <w:pPr>
        <w:spacing w:after="0" w:line="240" w:lineRule="auto"/>
        <w:jc w:val="both"/>
      </w:pPr>
    </w:p>
    <w:p w14:paraId="545A1341" w14:textId="319EC96B" w:rsidR="00D46131" w:rsidRDefault="00FD3856" w:rsidP="00D46131">
      <w:pPr>
        <w:spacing w:after="0" w:line="240" w:lineRule="auto"/>
        <w:jc w:val="both"/>
      </w:pPr>
      <w:r>
        <w:rPr>
          <w:b/>
          <w:bCs/>
        </w:rPr>
        <w:t>36.</w:t>
      </w:r>
      <w:r w:rsidR="00D46131">
        <w:tab/>
        <w:t xml:space="preserve">De </w:t>
      </w:r>
      <w:r w:rsidR="00D46131" w:rsidRPr="00710450">
        <w:t xml:space="preserve">algemene uitvoeringsbevoegdheid </w:t>
      </w:r>
      <w:r w:rsidR="00D46131">
        <w:t xml:space="preserve">houdt in </w:t>
      </w:r>
      <w:r w:rsidR="00D46131" w:rsidRPr="00710450">
        <w:t>dat de Koning en de regeringen ook zonder een uitdrukkelijke delegatie alle maatregelen kunnen nemen die noodzakelijk zijn voor de effectieve toepassing van wetgevende normen, rekening houdende met de algemene economie van de wet, zoals die moet worden afgeleid uit de geest die aan de opvatting van de wet ten grondslag heeft gelegen en uit de doelstellingen die de wetgever nastreefde</w:t>
      </w:r>
      <w:r w:rsidR="00D46131">
        <w:t>.</w:t>
      </w:r>
      <w:r w:rsidR="00D46131">
        <w:rPr>
          <w:rStyle w:val="Voetnootmarkering"/>
        </w:rPr>
        <w:footnoteReference w:id="159"/>
      </w:r>
      <w:r w:rsidR="00D46131">
        <w:t xml:space="preserve"> Of een regeling in een besluit al dan niet kan worden ingepast in die “algemene economie”, komt neer op casuïstiek.</w:t>
      </w:r>
    </w:p>
    <w:p w14:paraId="1EA17DEE" w14:textId="77777777" w:rsidR="00D46131" w:rsidRDefault="00D46131" w:rsidP="00D46131">
      <w:pPr>
        <w:spacing w:after="0" w:line="240" w:lineRule="auto"/>
        <w:jc w:val="both"/>
      </w:pPr>
    </w:p>
    <w:p w14:paraId="3468DAB8" w14:textId="77777777" w:rsidR="00D46131" w:rsidRDefault="00D46131" w:rsidP="00D46131">
      <w:pPr>
        <w:spacing w:after="0" w:line="240" w:lineRule="auto"/>
        <w:jc w:val="both"/>
      </w:pPr>
      <w:r>
        <w:t xml:space="preserve">Er kan geen beroep worden gedaan op de algemene uitvoeringsbevoegdheid voor </w:t>
      </w:r>
      <w:r w:rsidRPr="00000669">
        <w:t>het uitwerken van een erkenningssysteem voor bepaalde activiteiten</w:t>
      </w:r>
      <w:r>
        <w:t xml:space="preserve"> zoals voor scheepsmeters </w:t>
      </w:r>
      <w:r w:rsidRPr="00000669">
        <w:t>wanneer de wetgever die</w:t>
      </w:r>
      <w:r>
        <w:t xml:space="preserve"> </w:t>
      </w:r>
      <w:r w:rsidRPr="00000669">
        <w:lastRenderedPageBreak/>
        <w:t>activiteiten enkel heeft opgedragen aan een bepaalde overheidsdienst en niet heeft voorzien in de mogelijkheid van de uitoefening van die activiteiten door natuurlijke personen</w:t>
      </w:r>
      <w:r>
        <w:t>.</w:t>
      </w:r>
      <w:r>
        <w:rPr>
          <w:rStyle w:val="Voetnootmarkering"/>
        </w:rPr>
        <w:footnoteReference w:id="160"/>
      </w:r>
    </w:p>
    <w:p w14:paraId="359B94B8" w14:textId="77777777" w:rsidR="00D46131" w:rsidRDefault="00D46131" w:rsidP="00D46131">
      <w:pPr>
        <w:spacing w:after="0" w:line="240" w:lineRule="auto"/>
        <w:jc w:val="both"/>
      </w:pPr>
    </w:p>
    <w:p w14:paraId="2CA52273" w14:textId="77777777" w:rsidR="00D46131" w:rsidRDefault="00D46131" w:rsidP="00D46131">
      <w:pPr>
        <w:spacing w:after="0" w:line="240" w:lineRule="auto"/>
        <w:jc w:val="both"/>
      </w:pPr>
      <w:r>
        <w:t>De Raad van State uitte twijfels bij de mogelijkheid om een beroep te doen op de algemene uitvoeringsbevoegdheid voor een regeling om zgn. “dubbel gerangschikte” kandidaten voor het toelatingsexamen arts en tandarts enkel gunstig te rangschikken voor de opleiding van hun eerste keuze. Uit de decretale regeling kon immers niet worden afgeleid dat de decreetgever een dergelijke regeling van dubbele rangschikkingen voor ogen had.</w:t>
      </w:r>
      <w:r>
        <w:rPr>
          <w:rStyle w:val="Voetnootmarkering"/>
        </w:rPr>
        <w:footnoteReference w:id="161"/>
      </w:r>
    </w:p>
    <w:p w14:paraId="562753D1" w14:textId="77777777" w:rsidR="00D46131" w:rsidRDefault="00D46131" w:rsidP="00D46131">
      <w:pPr>
        <w:spacing w:after="0" w:line="240" w:lineRule="auto"/>
        <w:jc w:val="both"/>
      </w:pPr>
    </w:p>
    <w:p w14:paraId="3DC7620D" w14:textId="77777777" w:rsidR="00D46131" w:rsidRDefault="00D46131" w:rsidP="00D46131">
      <w:pPr>
        <w:spacing w:after="0" w:line="240" w:lineRule="auto"/>
        <w:jc w:val="both"/>
      </w:pPr>
      <w:r>
        <w:t>Zogenaamde handelsmonsters van geringe waarde zijn niet aan btw onderworpen, maar de wet machtigt de Koning enkel om die geringe waarde te bepalen, met andere woorden een kwantitatieve grens te bepalen, maar niet om andere voorwaarden uit te werken op grond waarvan handelsmonsters al dan niet beschouwd moeten worden als zijnde van geringe waarde. De voorwaarde dat die handelsmonsters “</w:t>
      </w:r>
      <w:r w:rsidRPr="007D0E11">
        <w:t xml:space="preserve">van dezelfde aard zijn als de goederen die </w:t>
      </w:r>
      <w:r>
        <w:t xml:space="preserve">[de btw-plichtige] </w:t>
      </w:r>
      <w:r w:rsidRPr="007D0E11">
        <w:t>fabriceert of verkoopt</w:t>
      </w:r>
      <w:r>
        <w:t>”, kan niet worden ingepast in de algemene uitvoeringsbevoegdheid van de Koning.</w:t>
      </w:r>
      <w:r>
        <w:rPr>
          <w:rStyle w:val="Voetnootmarkering"/>
        </w:rPr>
        <w:footnoteReference w:id="162"/>
      </w:r>
    </w:p>
    <w:p w14:paraId="2509607F" w14:textId="77777777" w:rsidR="00D46131" w:rsidRDefault="00D46131" w:rsidP="00D46131">
      <w:pPr>
        <w:spacing w:after="0" w:line="240" w:lineRule="auto"/>
        <w:jc w:val="both"/>
      </w:pPr>
    </w:p>
    <w:p w14:paraId="73C79E75" w14:textId="77777777" w:rsidR="00D46131" w:rsidRDefault="00D46131" w:rsidP="00D46131">
      <w:pPr>
        <w:spacing w:after="0" w:line="240" w:lineRule="auto"/>
        <w:jc w:val="both"/>
      </w:pPr>
      <w:r>
        <w:t>De algemene uitvoeringsbevoegdheid laat evenmin toe om te bepalen in welke volgorde fiscale aftrekken moeten gebeuren wanner de wetgever daarvoor zelf geen volgorde heeft uitgewerkt.</w:t>
      </w:r>
      <w:r>
        <w:rPr>
          <w:rStyle w:val="Voetnootmarkering"/>
        </w:rPr>
        <w:footnoteReference w:id="163"/>
      </w:r>
    </w:p>
    <w:p w14:paraId="4C16E2CB" w14:textId="77777777" w:rsidR="00D46131" w:rsidRDefault="00D46131" w:rsidP="00D46131">
      <w:pPr>
        <w:spacing w:after="0" w:line="240" w:lineRule="auto"/>
        <w:jc w:val="both"/>
      </w:pPr>
    </w:p>
    <w:p w14:paraId="25075BFE" w14:textId="77777777" w:rsidR="00D46131" w:rsidRDefault="00D46131" w:rsidP="00D46131">
      <w:pPr>
        <w:spacing w:after="0" w:line="240" w:lineRule="auto"/>
        <w:jc w:val="both"/>
      </w:pPr>
      <w:r>
        <w:t>Wanneer de decreetgever een erkenningsregeling heeft uitwerkt, maar heeft nagelaten om de regering specifiek te machtigen om de aanvraagprocedure voor de erkenningen te regelen, kan dat gebeuren op basis van de algemene uitvoeringsbevoegdheid.</w:t>
      </w:r>
      <w:r>
        <w:rPr>
          <w:rStyle w:val="Voetnootmarkering"/>
        </w:rPr>
        <w:footnoteReference w:id="164"/>
      </w:r>
    </w:p>
    <w:p w14:paraId="2660D560" w14:textId="77777777" w:rsidR="00D46131" w:rsidRDefault="00D46131" w:rsidP="00D46131">
      <w:pPr>
        <w:spacing w:after="0" w:line="240" w:lineRule="auto"/>
        <w:jc w:val="both"/>
      </w:pPr>
    </w:p>
    <w:p w14:paraId="6BE67CE5" w14:textId="77777777" w:rsidR="00D46131" w:rsidRDefault="00D46131" w:rsidP="00D46131">
      <w:pPr>
        <w:spacing w:after="0" w:line="240" w:lineRule="auto"/>
        <w:jc w:val="both"/>
      </w:pPr>
    </w:p>
    <w:p w14:paraId="04523FCD" w14:textId="6437AED0" w:rsidR="00D46131" w:rsidRDefault="00FD3856" w:rsidP="00D46131">
      <w:pPr>
        <w:spacing w:after="0" w:line="240" w:lineRule="auto"/>
        <w:jc w:val="both"/>
      </w:pPr>
      <w:r>
        <w:rPr>
          <w:b/>
          <w:bCs/>
        </w:rPr>
        <w:t>37.</w:t>
      </w:r>
      <w:r w:rsidR="00D46131">
        <w:tab/>
        <w:t xml:space="preserve">Wanneer een maatregel in een uitvoeringsbesluit een beperking inhoudt van grondrechten, is daarvoor in beginsel een uitdrukkelijke rechtsgrond vereist, nog afgezien van de vraag of essentiële elementen van voorbehouden aangelegenheden worden geregeld (zie daarover nr. </w:t>
      </w:r>
      <w:r w:rsidR="000F386E">
        <w:t>38 e.v.</w:t>
      </w:r>
      <w:r w:rsidR="00D46131">
        <w:t>).</w:t>
      </w:r>
    </w:p>
    <w:p w14:paraId="62665072" w14:textId="77777777" w:rsidR="00D46131" w:rsidRDefault="00D46131" w:rsidP="00D46131">
      <w:pPr>
        <w:spacing w:after="0" w:line="240" w:lineRule="auto"/>
        <w:jc w:val="both"/>
      </w:pPr>
    </w:p>
    <w:p w14:paraId="0A290F5E" w14:textId="473A60F1" w:rsidR="00D46131" w:rsidRDefault="00D46131" w:rsidP="00D46131">
      <w:pPr>
        <w:spacing w:after="0" w:line="240" w:lineRule="auto"/>
        <w:jc w:val="both"/>
      </w:pPr>
      <w:r>
        <w:t xml:space="preserve">Dat is bijvoorbeeld het geval voor een bepaling waarbij </w:t>
      </w:r>
      <w:r w:rsidRPr="00534013">
        <w:t>wordt voorzien in de mogelijkheid voor elk van de betrokken partijen om het telefonische gesprek op te nemen waarbij overleg wordt gepleegd</w:t>
      </w:r>
      <w:r>
        <w:t xml:space="preserve">. Omdat zo’n mogelijkheid een </w:t>
      </w:r>
      <w:r w:rsidRPr="00534013">
        <w:t xml:space="preserve">beperking kan inhouden van het recht op eerbiediging van het privéleven en het gezinsleven, gewaarborgd bij artikel 22 </w:t>
      </w:r>
      <w:r w:rsidR="001D44BE">
        <w:t>Gw.</w:t>
      </w:r>
      <w:r w:rsidRPr="00534013">
        <w:t xml:space="preserve">, is </w:t>
      </w:r>
      <w:r>
        <w:t xml:space="preserve">daarvoor </w:t>
      </w:r>
      <w:r w:rsidRPr="00534013">
        <w:t>een uitdrukkelijke wettelijke basis vereist.</w:t>
      </w:r>
      <w:r>
        <w:t xml:space="preserve"> Als die niet voorhanden is, moet worden bepaald dat de uitdrukkelijke toestemming van alle betrokken partijen vereist is voor het opnemen van dergelijke telefoongesprekken.</w:t>
      </w:r>
      <w:r>
        <w:rPr>
          <w:rStyle w:val="Voetnootmarkering"/>
        </w:rPr>
        <w:footnoteReference w:id="165"/>
      </w:r>
    </w:p>
    <w:p w14:paraId="643F367A" w14:textId="77777777" w:rsidR="00D46131" w:rsidRDefault="00D46131" w:rsidP="00D46131">
      <w:pPr>
        <w:spacing w:after="0" w:line="240" w:lineRule="auto"/>
        <w:jc w:val="both"/>
      </w:pPr>
    </w:p>
    <w:p w14:paraId="6819E266" w14:textId="25A5CF4D" w:rsidR="00D46131" w:rsidRDefault="00D46131" w:rsidP="00D46131">
      <w:pPr>
        <w:spacing w:after="0" w:line="240" w:lineRule="auto"/>
        <w:jc w:val="both"/>
      </w:pPr>
      <w:r>
        <w:t>Dat geldt ook voor het regelen van de vereiste kennis van het Nederlands als onderwijstaal voor werknemers. Dat taalkennisvereiste, dat specifiek in onderwijszaken wordt opgelegd, moet immers worden beschouwd als een regeling van het gebruik der talen,</w:t>
      </w:r>
      <w:r>
        <w:rPr>
          <w:rStyle w:val="Voetnootmarkering"/>
        </w:rPr>
        <w:footnoteReference w:id="166"/>
      </w:r>
      <w:r>
        <w:t xml:space="preserve"> zodat het overeenkomstig artikel 30 </w:t>
      </w:r>
      <w:r w:rsidR="001D44BE">
        <w:t>Gw.</w:t>
      </w:r>
      <w:r>
        <w:t xml:space="preserve"> enkel “bij wet” kan worden geregeld. Er is een uitdrukkelijke decretale machtiging vereist om dat taalkennisvereiste te kunnen regelen.</w:t>
      </w:r>
      <w:r>
        <w:rPr>
          <w:rStyle w:val="Voetnootmarkering"/>
        </w:rPr>
        <w:footnoteReference w:id="167"/>
      </w:r>
    </w:p>
    <w:p w14:paraId="440F5B77" w14:textId="77777777" w:rsidR="00D46131" w:rsidRDefault="00D46131" w:rsidP="00D46131">
      <w:pPr>
        <w:spacing w:after="0" w:line="240" w:lineRule="auto"/>
        <w:jc w:val="both"/>
      </w:pPr>
    </w:p>
    <w:p w14:paraId="1C34BA1A" w14:textId="77777777" w:rsidR="00D46131" w:rsidRDefault="00D46131" w:rsidP="00D46131">
      <w:pPr>
        <w:spacing w:after="0" w:line="240" w:lineRule="auto"/>
        <w:jc w:val="both"/>
      </w:pPr>
      <w:r>
        <w:lastRenderedPageBreak/>
        <w:t xml:space="preserve">Een verplichting </w:t>
      </w:r>
      <w:r w:rsidRPr="004427E2">
        <w:t xml:space="preserve">voor verantwoordelijken van </w:t>
      </w:r>
      <w:r>
        <w:t>“</w:t>
      </w:r>
      <w:r w:rsidRPr="004427E2">
        <w:t>collectiviteiten</w:t>
      </w:r>
      <w:r>
        <w:t>”</w:t>
      </w:r>
      <w:r>
        <w:rPr>
          <w:rStyle w:val="Voetnootmarkering"/>
        </w:rPr>
        <w:footnoteReference w:id="168"/>
      </w:r>
      <w:r>
        <w:t xml:space="preserve"> om mee te werken aan de activiteiten van mobiele teams voor infectieziektebestrijding kan niet zover reiken dat gebouwen, laat staan woningen kunnen worden betreden of om personen verplicht aan een test of een quarantainemaatregel te onderwerpen, tenzij wanneer daarvoor een uitdrukkelijke rechtsgrond voorhanden is.</w:t>
      </w:r>
      <w:r>
        <w:rPr>
          <w:rStyle w:val="Voetnootmarkering"/>
        </w:rPr>
        <w:footnoteReference w:id="169"/>
      </w:r>
    </w:p>
    <w:p w14:paraId="2DD43111" w14:textId="77777777" w:rsidR="00D46131" w:rsidRDefault="00D46131" w:rsidP="00D46131">
      <w:pPr>
        <w:spacing w:after="0" w:line="240" w:lineRule="auto"/>
        <w:jc w:val="both"/>
      </w:pPr>
    </w:p>
    <w:p w14:paraId="406B26CD" w14:textId="77777777" w:rsidR="00D46131" w:rsidRDefault="00D46131" w:rsidP="00D46131">
      <w:pPr>
        <w:spacing w:after="0" w:line="240" w:lineRule="auto"/>
        <w:jc w:val="both"/>
      </w:pPr>
      <w:r>
        <w:t xml:space="preserve">Een koninklijk besluit voorziet in een vrijstelling van de verplichting voor het nemen van vingerafdrukken voor de identiteitskaart wanneer het fysiek onmogelijk is om vingerafdrukken te nemen. Ook al heeft de wetgever niet uitdrukkelijk voorzien in de mogelijkheid van een vrijstelling om die reden, toch kan daaruit ook niet worden afgeleid dat hij die mogelijkheid heeft willen uitsluiten. Uit de parlementaire voorbereiding blijkt dat de wetgever ook rekening wilde houden met de Europese regelgeving ter zake, die vanaf 2 augustus 2021 zal voorzien in </w:t>
      </w:r>
      <w:r w:rsidRPr="00BD11CC">
        <w:t>gevallen van definitieve en tijdelijke vrijstellingen wanneer het fysiek onmogelijk is vingerafdrukken te nemen</w:t>
      </w:r>
      <w:r>
        <w:t>. In die context kan een beroep worden gedaan op de algemene uitvoeringsbevoegdheid.</w:t>
      </w:r>
      <w:r>
        <w:rPr>
          <w:rStyle w:val="Voetnootmarkering"/>
        </w:rPr>
        <w:footnoteReference w:id="170"/>
      </w:r>
      <w:r>
        <w:t xml:space="preserve"> </w:t>
      </w:r>
    </w:p>
    <w:p w14:paraId="780EE830" w14:textId="77777777" w:rsidR="00917AF2" w:rsidRPr="009A35D7" w:rsidRDefault="00917AF2" w:rsidP="00532989">
      <w:pPr>
        <w:spacing w:after="0" w:line="240" w:lineRule="auto"/>
        <w:jc w:val="both"/>
      </w:pPr>
    </w:p>
    <w:p w14:paraId="6EEE81BB" w14:textId="77777777" w:rsidR="00C55F6C" w:rsidRPr="009A35D7" w:rsidRDefault="00F00164" w:rsidP="00532989">
      <w:pPr>
        <w:pStyle w:val="Kop2"/>
        <w:spacing w:before="0" w:line="240" w:lineRule="auto"/>
        <w:jc w:val="both"/>
      </w:pPr>
      <w:bookmarkStart w:id="21" w:name="_Toc5779215"/>
      <w:bookmarkStart w:id="22" w:name="_Toc70497770"/>
      <w:bookmarkStart w:id="23" w:name="_Toc70499141"/>
      <w:r w:rsidRPr="009A35D7">
        <w:t>VI</w:t>
      </w:r>
      <w:r w:rsidR="008967C7">
        <w:t>I</w:t>
      </w:r>
      <w:r w:rsidRPr="009A35D7">
        <w:t xml:space="preserve">I. </w:t>
      </w:r>
      <w:bookmarkEnd w:id="21"/>
      <w:r w:rsidR="008967C7">
        <w:t>Delegatie van regelgevende bevoegdheid</w:t>
      </w:r>
      <w:bookmarkEnd w:id="22"/>
      <w:bookmarkEnd w:id="23"/>
    </w:p>
    <w:p w14:paraId="4118326F" w14:textId="2516C38D" w:rsidR="00942D88" w:rsidRDefault="00942D88" w:rsidP="00942D88">
      <w:pPr>
        <w:pStyle w:val="Kop3"/>
      </w:pPr>
      <w:bookmarkStart w:id="24" w:name="_Toc70499142"/>
      <w:r>
        <w:t>A. Delegatie in voorbehouden aangelegenheden</w:t>
      </w:r>
      <w:bookmarkEnd w:id="24"/>
    </w:p>
    <w:p w14:paraId="21E9194E" w14:textId="77777777" w:rsidR="00942D88" w:rsidRPr="00B333AE" w:rsidRDefault="00942D88" w:rsidP="00D46131">
      <w:pPr>
        <w:spacing w:after="0" w:line="240" w:lineRule="auto"/>
        <w:jc w:val="both"/>
      </w:pPr>
    </w:p>
    <w:p w14:paraId="62674719" w14:textId="46123CE7" w:rsidR="00D46131" w:rsidRDefault="00FD3856" w:rsidP="00D46131">
      <w:pPr>
        <w:spacing w:after="0" w:line="240" w:lineRule="auto"/>
        <w:jc w:val="both"/>
      </w:pPr>
      <w:r>
        <w:rPr>
          <w:b/>
          <w:bCs/>
        </w:rPr>
        <w:t>38.</w:t>
      </w:r>
      <w:r w:rsidR="00D46131">
        <w:tab/>
        <w:t>Wanneer essentiële elementen van voorbehouden aangelegenheden worden gedelegeerd aan de uitvoerende macht, gelden daarvoor een aantal voorwaarden, waaronder de bekrachtiging van de betrokken besluiten binnen een “relatief korte termijn”. In belastingzaken is die termijn van 24 zaken volgens de Raad van State te kort, onder meer omdat “</w:t>
      </w:r>
      <w:r w:rsidR="00D46131" w:rsidRPr="000F25B0">
        <w:t>de mogelijke implicaties van een niet-bekrachtiging zich over twee begrotingscyclussen kunnen uitstrekken met alle gevolgen van dien: vermits de maatregel dan geacht moet worden nooit te hebben bestaan, dienen alle ermee verbonden belastingontvangsten teruggestort te worden aan de belastingplichtigen</w:t>
      </w:r>
      <w:r w:rsidR="00D46131">
        <w:t>”.</w:t>
      </w:r>
      <w:r w:rsidR="00D46131">
        <w:rPr>
          <w:rStyle w:val="Voetnootmarkering"/>
        </w:rPr>
        <w:footnoteReference w:id="171"/>
      </w:r>
    </w:p>
    <w:p w14:paraId="2F1F7FA5" w14:textId="77777777" w:rsidR="00D46131" w:rsidRDefault="00D46131" w:rsidP="00D46131">
      <w:pPr>
        <w:spacing w:after="0" w:line="240" w:lineRule="auto"/>
        <w:jc w:val="both"/>
      </w:pPr>
    </w:p>
    <w:p w14:paraId="6670B68E" w14:textId="44B751B2" w:rsidR="00D46131" w:rsidRDefault="00FD3856" w:rsidP="00D46131">
      <w:pPr>
        <w:spacing w:after="0" w:line="240" w:lineRule="auto"/>
        <w:jc w:val="both"/>
      </w:pPr>
      <w:r>
        <w:rPr>
          <w:b/>
          <w:bCs/>
        </w:rPr>
        <w:t>39.</w:t>
      </w:r>
      <w:r w:rsidR="00D46131">
        <w:tab/>
        <w:t>Wat precies de essentiële elementen zijn bij beperkingen van het recht op privéleven (art. 22 Gw), meer bepaald bij de verwerking van persoonsgegevens, is nog niet helemaal uitgekristalliseerd in de adviespraktijk van de Raad van State. In sommige adviezen worden het vaststellen van de doeleinden van de verwerking, het aanwijzen van de verwerkingsverantwoordelijke, de wijze waarop de verwerkte persoonsgegevens verzameld worden, de betrokken categorieën van persoonsgegevens, de personen die daar toegang toe hebben en de maximumduur van de bewaring van de verwerkte gegevens als essentiële elementen beschouwd.</w:t>
      </w:r>
      <w:r w:rsidR="00D46131">
        <w:rPr>
          <w:rStyle w:val="Voetnootmarkering"/>
        </w:rPr>
        <w:footnoteReference w:id="172"/>
      </w:r>
      <w:r w:rsidR="00D46131">
        <w:t xml:space="preserve"> In andere adviezen wordt enkel de aard van de te verwerken persoonsgegevens, de finaliteit van de verwerking en de uiterste bewaartermijn als essentiële elementen beschouwd.</w:t>
      </w:r>
      <w:r w:rsidR="00D46131">
        <w:rPr>
          <w:rStyle w:val="Voetnootmarkering"/>
        </w:rPr>
        <w:footnoteReference w:id="173"/>
      </w:r>
      <w:r w:rsidR="00D46131">
        <w:t xml:space="preserve"> In nog andere adviezen worden </w:t>
      </w:r>
      <w:r w:rsidR="00D46131" w:rsidRPr="00065B2F">
        <w:t>de doeleinden van de verwerking, de verwerkingsverantwoordelijke, alsook de gevallen waarin en de voorwaarden waaronder de persoonsgegevens verwerkt worden</w:t>
      </w:r>
      <w:r w:rsidR="00D46131">
        <w:t>, als essentiële elementen beschouwd.</w:t>
      </w:r>
      <w:r w:rsidR="00D46131">
        <w:rPr>
          <w:rStyle w:val="Voetnootmarkering"/>
        </w:rPr>
        <w:footnoteReference w:id="174"/>
      </w:r>
      <w:r w:rsidR="00D46131">
        <w:t xml:space="preserve"> Het zou wenselijk zijn dat hieromtrent eenvormigheid ontstaat.</w:t>
      </w:r>
    </w:p>
    <w:p w14:paraId="0D1848B8" w14:textId="77777777" w:rsidR="00D46131" w:rsidRDefault="00D46131" w:rsidP="00D46131">
      <w:pPr>
        <w:spacing w:after="0" w:line="240" w:lineRule="auto"/>
        <w:jc w:val="both"/>
      </w:pPr>
    </w:p>
    <w:p w14:paraId="77AA7A3B" w14:textId="77777777" w:rsidR="00D46131" w:rsidRDefault="00D46131" w:rsidP="00D46131">
      <w:pPr>
        <w:spacing w:after="0" w:line="240" w:lineRule="auto"/>
        <w:jc w:val="both"/>
      </w:pPr>
      <w:r>
        <w:t xml:space="preserve">Vast staat wel dat die essentiële elementen niet al te vaag mogen worden omschreven. Zo werd bijvoorbeeld in een regeling met betrekking tot de contactopsporing inzake COVID-19, een verwerking </w:t>
      </w:r>
      <w:r>
        <w:lastRenderedPageBreak/>
        <w:t>van “</w:t>
      </w:r>
      <w:r w:rsidRPr="00F570C8">
        <w:t>gegevens meegedeeld aan het contactcentrum, met inbegrip van symptomen, datum van de eerste symptomen, verplaatsingen, opvolging van isolatie- en hygiënemaatregelen</w:t>
      </w:r>
      <w:r>
        <w:t xml:space="preserve">” te ruim omschreven bevonden. Die categorie moest </w:t>
      </w:r>
      <w:r w:rsidRPr="00F570C8">
        <w:t>uitdrukkelijk worden beperkt tot de gegevens die relevant zijn voor de contactopsporing</w:t>
      </w:r>
      <w:r>
        <w:t>.</w:t>
      </w:r>
      <w:r>
        <w:rPr>
          <w:rStyle w:val="Voetnootmarkering"/>
        </w:rPr>
        <w:footnoteReference w:id="175"/>
      </w:r>
    </w:p>
    <w:p w14:paraId="62201CE5" w14:textId="77777777" w:rsidR="00D46131" w:rsidRDefault="00D46131" w:rsidP="00D46131">
      <w:pPr>
        <w:spacing w:after="0" w:line="240" w:lineRule="auto"/>
        <w:jc w:val="both"/>
      </w:pPr>
    </w:p>
    <w:p w14:paraId="050179F3" w14:textId="77777777" w:rsidR="00D46131" w:rsidRDefault="00D46131" w:rsidP="00D46131">
      <w:pPr>
        <w:spacing w:after="0" w:line="240" w:lineRule="auto"/>
        <w:jc w:val="both"/>
      </w:pPr>
      <w:r>
        <w:t>In sommige gevallen aanvaardt de Raad van State (meestal impliciet, zodat daarover geen opmerking wordt gemaakt) dat de regeling van de verwerking van persoonsgegevens in een besluit een intrinsiek gevolg is van wat al in de wet wordt geregeld, zodat geen afzonderlijke wettelijke basis is vereist voor de regeling van die verwerking van persoonsgegevens.</w:t>
      </w:r>
      <w:r>
        <w:rPr>
          <w:rStyle w:val="Voetnootmarkering"/>
        </w:rPr>
        <w:footnoteReference w:id="176"/>
      </w:r>
      <w:r>
        <w:t xml:space="preserve"> Zo veronderstelt een wettelijke subsidieregeling dat de overheid bepaalde persoonsgegevens over de aanvrager moet verwerken die rechtstreeks verband houden met de behandeling en de beoordeling van die aanvraag. Dat die gegevens niet uitdrukkelijk worden opgesomd en dat de finaliteit van de verwerking niet uitdrukkelijk wordt bepaald, neemt niet weg dat het uitvoeringsbesluit die verwerking van persoonsgegevens mag regelen in zoverre die als een intrinsiek gevolg kan worden gezien van de subsidieregeling in de wet.</w:t>
      </w:r>
    </w:p>
    <w:p w14:paraId="24B02350" w14:textId="77777777" w:rsidR="00D46131" w:rsidRDefault="00D46131" w:rsidP="00D46131">
      <w:pPr>
        <w:spacing w:after="0" w:line="240" w:lineRule="auto"/>
        <w:jc w:val="both"/>
      </w:pPr>
    </w:p>
    <w:p w14:paraId="14478B35" w14:textId="3109641B" w:rsidR="00D46131" w:rsidRDefault="00FD3856" w:rsidP="00D46131">
      <w:pPr>
        <w:spacing w:after="0" w:line="240" w:lineRule="auto"/>
        <w:jc w:val="both"/>
        <w:rPr>
          <w:bCs/>
        </w:rPr>
      </w:pPr>
      <w:r>
        <w:rPr>
          <w:b/>
          <w:bCs/>
        </w:rPr>
        <w:t>40.</w:t>
      </w:r>
      <w:r w:rsidR="00D46131">
        <w:tab/>
        <w:t xml:space="preserve">In de vorige kroniek werd al ingegaan op de strengere beoordeling, in vergelijking met het Grondwettelijk Hof, van het </w:t>
      </w:r>
      <w:r w:rsidR="00D46131" w:rsidRPr="009A35D7">
        <w:rPr>
          <w:bCs/>
        </w:rPr>
        <w:t xml:space="preserve">zogenaamde “afgezwakte” legaliteitsbeginsel inzake sociale, culturele en economische rechten, vervat in artikel 23 </w:t>
      </w:r>
      <w:r w:rsidR="001F09F1">
        <w:rPr>
          <w:bCs/>
        </w:rPr>
        <w:t>Gw.</w:t>
      </w:r>
      <w:r w:rsidR="00D46131">
        <w:rPr>
          <w:rStyle w:val="Voetnootmarkering"/>
          <w:bCs/>
        </w:rPr>
        <w:footnoteReference w:id="177"/>
      </w:r>
      <w:r w:rsidR="00D46131">
        <w:rPr>
          <w:bCs/>
        </w:rPr>
        <w:t xml:space="preserve"> Voor het Grondwettelijk Hof volstaat het dat de wetgever het onderwerp van de delegaties “aangeeft”,</w:t>
      </w:r>
      <w:r w:rsidR="00D46131">
        <w:rPr>
          <w:rStyle w:val="Voetnootmarkering"/>
          <w:bCs/>
        </w:rPr>
        <w:footnoteReference w:id="178"/>
      </w:r>
      <w:r w:rsidR="00D46131">
        <w:rPr>
          <w:bCs/>
        </w:rPr>
        <w:t xml:space="preserve"> terwijl de Raad van State vereist dat niet louter dat onderwerp wordt bepaald, maar dat ook de reikwijdte, de toekenningsvoorwaarden en de personele werkingssfeer van de betrokken rechten “in voldoende mate” moeten worden geregeld.</w:t>
      </w:r>
    </w:p>
    <w:p w14:paraId="17B42D40" w14:textId="77777777" w:rsidR="00D46131" w:rsidRDefault="00D46131" w:rsidP="00D46131">
      <w:pPr>
        <w:spacing w:after="0" w:line="240" w:lineRule="auto"/>
        <w:jc w:val="both"/>
        <w:rPr>
          <w:bCs/>
        </w:rPr>
      </w:pPr>
    </w:p>
    <w:p w14:paraId="76389E2E" w14:textId="77777777" w:rsidR="00D46131" w:rsidRDefault="00D46131" w:rsidP="00D46131">
      <w:pPr>
        <w:spacing w:after="0" w:line="240" w:lineRule="auto"/>
        <w:jc w:val="both"/>
      </w:pPr>
      <w:r>
        <w:t>Die strengere beoordeling bleek onder meer uit een advies over onder meer een steunregeling inzake televisieseries en een steunregeling inzake de restauratie van het audiovisueel patrimonium, waarbij de uitwerking telkens grotendeels werd overgelaten aan een overeenkomst met private actoren, wat onvoldoende werd geacht in het licht van het voormelde legaliteitsbeginsel.</w:t>
      </w:r>
      <w:r>
        <w:rPr>
          <w:rStyle w:val="Voetnootmarkering"/>
        </w:rPr>
        <w:footnoteReference w:id="179"/>
      </w:r>
      <w:r>
        <w:t xml:space="preserve"> Een vergoedingsregeling voor “culturele operatoren” en “organisatoren van culturele evenementen” werd onvoldoende geacht omdat de bestemmelingen van de vergoedingen onvoldoende precies werden omschreven en het bedrag en de toekenningsvoorwaarden voor de vergoedingen niet in voldoende mate werden geregeld.</w:t>
      </w:r>
      <w:r>
        <w:rPr>
          <w:rStyle w:val="Voetnootmarkering"/>
        </w:rPr>
        <w:footnoteReference w:id="180"/>
      </w:r>
      <w:r>
        <w:t xml:space="preserve"> Ook ruime delegaties aan de regering om inzake het omgevingshandhavingsprogramma en de omgevingshandhavingsrapportering nadere regels te bepalen, werden bekritiseerd: er moesten een aantal minimale criteria of elementen ter zake in het decreet worden opgenomen.</w:t>
      </w:r>
      <w:r>
        <w:rPr>
          <w:rStyle w:val="Voetnootmarkering"/>
        </w:rPr>
        <w:footnoteReference w:id="181"/>
      </w:r>
    </w:p>
    <w:p w14:paraId="751931CF" w14:textId="77777777" w:rsidR="00D46131" w:rsidRDefault="00D46131" w:rsidP="00D46131">
      <w:pPr>
        <w:spacing w:after="0" w:line="240" w:lineRule="auto"/>
        <w:jc w:val="both"/>
      </w:pPr>
    </w:p>
    <w:p w14:paraId="6298D001" w14:textId="77777777" w:rsidR="00D46131" w:rsidRDefault="00D46131" w:rsidP="00D46131">
      <w:pPr>
        <w:pStyle w:val="Kop3"/>
      </w:pPr>
      <w:bookmarkStart w:id="25" w:name="_Toc70497771"/>
      <w:bookmarkStart w:id="26" w:name="_Toc70499143"/>
      <w:r>
        <w:t>B. Delegatie in niet-voorbehouden aangelegenheden</w:t>
      </w:r>
      <w:bookmarkEnd w:id="25"/>
      <w:bookmarkEnd w:id="26"/>
    </w:p>
    <w:p w14:paraId="1B708F4E" w14:textId="77777777" w:rsidR="00D46131" w:rsidRDefault="00D46131" w:rsidP="00D46131">
      <w:pPr>
        <w:spacing w:after="0" w:line="240" w:lineRule="auto"/>
        <w:jc w:val="both"/>
      </w:pPr>
    </w:p>
    <w:p w14:paraId="48366E1D" w14:textId="505228B7" w:rsidR="00D46131" w:rsidRDefault="00FD3856" w:rsidP="00D46131">
      <w:pPr>
        <w:spacing w:after="0" w:line="240" w:lineRule="auto"/>
        <w:jc w:val="both"/>
      </w:pPr>
      <w:r>
        <w:rPr>
          <w:b/>
          <w:bCs/>
        </w:rPr>
        <w:t>41.</w:t>
      </w:r>
      <w:r w:rsidR="00D46131">
        <w:tab/>
        <w:t xml:space="preserve">In de vorige kroniek werd beschreven hoe de Raad van State zich principieel aansloot bij de rechtspraak van het Grondwettelijk Hof over delegaties in niet-voorbehouden aangelegenheden, maar </w:t>
      </w:r>
      <w:r w:rsidR="00D46131">
        <w:lastRenderedPageBreak/>
        <w:t>dat hij in bepaalde gevallen wel om andere dan strikt juridische redenen</w:t>
      </w:r>
      <w:r w:rsidR="00D46131" w:rsidRPr="0065035C">
        <w:t xml:space="preserve"> </w:t>
      </w:r>
      <w:r w:rsidR="00D46131">
        <w:t>overmatige delegaties afraadt, onder meer omwille van de versterking van de democratische legitimiteit van de betrokken regeling.</w:t>
      </w:r>
      <w:r w:rsidR="00D46131">
        <w:rPr>
          <w:rStyle w:val="Voetnootmarkering"/>
        </w:rPr>
        <w:footnoteReference w:id="182"/>
      </w:r>
    </w:p>
    <w:p w14:paraId="6B2B3303" w14:textId="77777777" w:rsidR="00D46131" w:rsidRDefault="00D46131" w:rsidP="00D46131">
      <w:pPr>
        <w:spacing w:after="0" w:line="240" w:lineRule="auto"/>
        <w:jc w:val="both"/>
      </w:pPr>
    </w:p>
    <w:p w14:paraId="7350EA2E" w14:textId="77777777" w:rsidR="00D46131" w:rsidRDefault="00D46131" w:rsidP="00D46131">
      <w:pPr>
        <w:spacing w:after="0" w:line="240" w:lineRule="auto"/>
        <w:jc w:val="both"/>
      </w:pPr>
      <w:r>
        <w:t>Die kritiek op delegaties in niet-voorbehouden aangelegenheden wordt eerder in zeldzame gevallen gegeven. Dat gebeurde voor:</w:t>
      </w:r>
      <w:r>
        <w:rPr>
          <w:rStyle w:val="Voetnootmarkering"/>
        </w:rPr>
        <w:footnoteReference w:id="183"/>
      </w:r>
    </w:p>
    <w:p w14:paraId="0234DCBA" w14:textId="77777777" w:rsidR="00D46131" w:rsidRDefault="00D46131" w:rsidP="00D46131">
      <w:pPr>
        <w:pStyle w:val="Lijstalinea"/>
        <w:numPr>
          <w:ilvl w:val="0"/>
          <w:numId w:val="10"/>
        </w:numPr>
        <w:spacing w:after="0" w:line="240" w:lineRule="auto"/>
        <w:jc w:val="both"/>
      </w:pPr>
      <w:r>
        <w:t xml:space="preserve">een delegatie aan de Koning om </w:t>
      </w:r>
      <w:r w:rsidRPr="003E40C7">
        <w:t>iedere maatregel te nemen die rechtstreeks of onrechtstreeks leidt tot de bouw van nieuwe elektriciteitsproductie installaties teneinde ’s lands bevoorradingszekerheid te verzekeren</w:t>
      </w:r>
      <w:r>
        <w:t>;</w:t>
      </w:r>
      <w:r>
        <w:rPr>
          <w:rStyle w:val="Voetnootmarkering"/>
        </w:rPr>
        <w:footnoteReference w:id="184"/>
      </w:r>
    </w:p>
    <w:p w14:paraId="41048258" w14:textId="77777777" w:rsidR="00D46131" w:rsidRDefault="00D46131" w:rsidP="00D46131">
      <w:pPr>
        <w:pStyle w:val="Lijstalinea"/>
        <w:numPr>
          <w:ilvl w:val="0"/>
          <w:numId w:val="10"/>
        </w:numPr>
        <w:spacing w:after="0" w:line="240" w:lineRule="auto"/>
        <w:jc w:val="both"/>
      </w:pPr>
      <w:r>
        <w:t xml:space="preserve">het toepasselijk verklaren van </w:t>
      </w:r>
      <w:r w:rsidRPr="0005530E">
        <w:t>de wet van 20 december 2002 betreffende de minnelijke invordering van schulden van de consument</w:t>
      </w:r>
      <w:r>
        <w:t xml:space="preserve"> op </w:t>
      </w:r>
      <w:r w:rsidRPr="0005530E">
        <w:t>andere personen dan ondernemingen, wanneer zij handelen met consumenten</w:t>
      </w:r>
      <w:r>
        <w:t>;</w:t>
      </w:r>
      <w:r>
        <w:rPr>
          <w:rStyle w:val="Voetnootmarkering"/>
        </w:rPr>
        <w:footnoteReference w:id="185"/>
      </w:r>
    </w:p>
    <w:p w14:paraId="65093B57" w14:textId="77777777" w:rsidR="00D46131" w:rsidRDefault="00D46131" w:rsidP="00D46131">
      <w:pPr>
        <w:pStyle w:val="Lijstalinea"/>
        <w:numPr>
          <w:ilvl w:val="0"/>
          <w:numId w:val="10"/>
        </w:numPr>
        <w:spacing w:after="0" w:line="240" w:lineRule="auto"/>
        <w:jc w:val="both"/>
      </w:pPr>
      <w:r>
        <w:t xml:space="preserve">een delegatie aan de Koning </w:t>
      </w:r>
      <w:r w:rsidRPr="00F26886">
        <w:t xml:space="preserve">om in het koninklijk besluit van 20 juli 2012 tot bepaling van de regels inzake de organisatie en de werking van het Beroepsinstituut van Vastgoedmakelaars de nodige wijzigingen aan te brengen om </w:t>
      </w:r>
      <w:r>
        <w:t xml:space="preserve">te komen tot twee nieuwe instituten (een Nederlandstalig en een Franstalig), wanneer volstrekt onduidelijk is hoe dat zich moet verhouden tot </w:t>
      </w:r>
      <w:r w:rsidRPr="00716910">
        <w:t>de kaderwet van 3 augustus 2007 betreffende de dienstverlenende intellectuele beroepen</w:t>
      </w:r>
      <w:r>
        <w:t xml:space="preserve"> die niet in zo’n gesplitste structuren voorziet.</w:t>
      </w:r>
      <w:r>
        <w:rPr>
          <w:rStyle w:val="Voetnootmarkering"/>
        </w:rPr>
        <w:footnoteReference w:id="186"/>
      </w:r>
    </w:p>
    <w:p w14:paraId="2E36737D" w14:textId="77777777" w:rsidR="00D46131" w:rsidRDefault="00D46131" w:rsidP="00D46131">
      <w:pPr>
        <w:spacing w:after="0" w:line="240" w:lineRule="auto"/>
        <w:jc w:val="both"/>
      </w:pPr>
    </w:p>
    <w:p w14:paraId="79F9580D" w14:textId="77777777" w:rsidR="00D46131" w:rsidRDefault="00D46131" w:rsidP="00D46131">
      <w:pPr>
        <w:pStyle w:val="Kop3"/>
      </w:pPr>
      <w:bookmarkStart w:id="27" w:name="_Toc70497772"/>
      <w:bookmarkStart w:id="28" w:name="_Toc70499144"/>
      <w:r>
        <w:t>C. Delegatie aan ministers</w:t>
      </w:r>
      <w:bookmarkEnd w:id="27"/>
      <w:bookmarkEnd w:id="28"/>
    </w:p>
    <w:p w14:paraId="6DB3DC29" w14:textId="77777777" w:rsidR="00D46131" w:rsidRDefault="00D46131" w:rsidP="00D46131">
      <w:pPr>
        <w:spacing w:after="0" w:line="240" w:lineRule="auto"/>
        <w:jc w:val="both"/>
      </w:pPr>
    </w:p>
    <w:p w14:paraId="28121166" w14:textId="7AF0C433" w:rsidR="00D46131" w:rsidRDefault="00FD3856" w:rsidP="00D46131">
      <w:pPr>
        <w:spacing w:after="0" w:line="240" w:lineRule="auto"/>
        <w:jc w:val="both"/>
      </w:pPr>
      <w:r>
        <w:rPr>
          <w:b/>
          <w:bCs/>
        </w:rPr>
        <w:t>42.</w:t>
      </w:r>
      <w:r w:rsidR="00D46131">
        <w:tab/>
        <w:t>Volgens vaste adviespraktijk kunnen delegaties aan ministers enkel betrekking hebben op bijkomstige of detailmatige aangelegenheden. Het bepalen van het personele toepassingsgebied van een koninklijk besluit of een regeringsbesluit kan om die reden in beginsel niet aan een minister worden gedelegeerd.</w:t>
      </w:r>
      <w:r w:rsidR="00D46131">
        <w:rPr>
          <w:rStyle w:val="Voetnootmarkering"/>
        </w:rPr>
        <w:footnoteReference w:id="187"/>
      </w:r>
      <w:r w:rsidR="00D46131">
        <w:t xml:space="preserve"> De delegatie aan een minister om beoordelingscriteria voor een subsidie te “</w:t>
      </w:r>
      <w:r w:rsidR="00D46131" w:rsidRPr="002F3C2B">
        <w:t>verduidelijken overeenkomstig de beleidsprioriteiten en de noodwendigheden</w:t>
      </w:r>
      <w:r w:rsidR="00D46131">
        <w:t xml:space="preserve">” is te ruim, omdat sommige van die beoordelingscriteria zelf al op een algemene wijze worden omschreven. Enkel indien die beoordelingscriteria </w:t>
      </w:r>
      <w:r w:rsidR="00D46131" w:rsidRPr="002F3C2B">
        <w:t>op een meer afgebakende en precieze wijze worden</w:t>
      </w:r>
      <w:r w:rsidR="00D46131">
        <w:t xml:space="preserve"> uitgewerkt</w:t>
      </w:r>
      <w:r w:rsidR="00D46131" w:rsidRPr="002F3C2B">
        <w:t xml:space="preserve">, </w:t>
      </w:r>
      <w:r w:rsidR="00D46131">
        <w:t xml:space="preserve">zodat </w:t>
      </w:r>
      <w:r w:rsidR="00D46131" w:rsidRPr="002F3C2B">
        <w:t xml:space="preserve">dat de aan de minister verleende bevoegdheid niet impliceert dat </w:t>
      </w:r>
      <w:r w:rsidR="00D46131">
        <w:t xml:space="preserve">hij </w:t>
      </w:r>
      <w:r w:rsidR="00D46131" w:rsidRPr="002F3C2B">
        <w:t xml:space="preserve">ook meer substantiële aspecten van de beleidsvoering </w:t>
      </w:r>
      <w:r w:rsidR="00D46131">
        <w:t xml:space="preserve">kan </w:t>
      </w:r>
      <w:r w:rsidR="00D46131" w:rsidRPr="002F3C2B">
        <w:t>regelen</w:t>
      </w:r>
      <w:r w:rsidR="00D46131">
        <w:t>, is die delegatie aanvaardbaar.</w:t>
      </w:r>
      <w:r w:rsidR="00D46131">
        <w:rPr>
          <w:rStyle w:val="Voetnootmarkering"/>
        </w:rPr>
        <w:footnoteReference w:id="188"/>
      </w:r>
      <w:r w:rsidR="00D46131">
        <w:t xml:space="preserve"> De delegatie aan een minister om de “toepassingsmodaliteiten” van een artikel te regelen is te algemeen geformuleerd en moet worden teruggesnoeid tot bijkomstige of detailmatige aangelegenheden.</w:t>
      </w:r>
      <w:r w:rsidR="00D46131">
        <w:rPr>
          <w:rStyle w:val="Voetnootmarkering"/>
        </w:rPr>
        <w:footnoteReference w:id="189"/>
      </w:r>
    </w:p>
    <w:p w14:paraId="58323D4F" w14:textId="77777777" w:rsidR="00D46131" w:rsidRDefault="00D46131" w:rsidP="00D46131">
      <w:pPr>
        <w:spacing w:after="0" w:line="240" w:lineRule="auto"/>
        <w:jc w:val="both"/>
      </w:pPr>
    </w:p>
    <w:p w14:paraId="1A66F5F0" w14:textId="77777777" w:rsidR="00D46131" w:rsidRDefault="00D46131" w:rsidP="00D46131">
      <w:pPr>
        <w:spacing w:after="0" w:line="240" w:lineRule="auto"/>
        <w:jc w:val="both"/>
      </w:pPr>
      <w:r>
        <w:t>Fundamentele regels met betrekking tot een steunregeling kunnen niet aan de minister worden overgelaten. Dat geldt des te meer als die regels zo belangrijk worden geacht dat overleg in de Ministerraad wordt opgelegd vooraleer de minister die regels kan bepalen.</w:t>
      </w:r>
      <w:r>
        <w:rPr>
          <w:rStyle w:val="Voetnootmarkering"/>
        </w:rPr>
        <w:footnoteReference w:id="190"/>
      </w:r>
    </w:p>
    <w:p w14:paraId="7AF5C3C9" w14:textId="77777777" w:rsidR="00D46131" w:rsidRDefault="00D46131" w:rsidP="00D46131">
      <w:pPr>
        <w:spacing w:after="0" w:line="240" w:lineRule="auto"/>
        <w:jc w:val="both"/>
      </w:pPr>
    </w:p>
    <w:p w14:paraId="416500C9" w14:textId="77777777" w:rsidR="00D46131" w:rsidRDefault="00D46131" w:rsidP="00D46131">
      <w:pPr>
        <w:spacing w:after="0" w:line="240" w:lineRule="auto"/>
        <w:jc w:val="both"/>
      </w:pPr>
      <w:r>
        <w:t>Het bepalen van de inwerkingtreding van (een wezenlijk onderdeel van) een koninklijk besluit of een regeringsbesluit kan niet zomaar worden gedelegeerd aan een minister.</w:t>
      </w:r>
      <w:r>
        <w:rPr>
          <w:rStyle w:val="Voetnootmarkering"/>
        </w:rPr>
        <w:footnoteReference w:id="191"/>
      </w:r>
      <w:r>
        <w:t xml:space="preserve"> Dat geldt ook voor het </w:t>
      </w:r>
      <w:r>
        <w:lastRenderedPageBreak/>
        <w:t>verlengen van de geldingsduur van een belangrijke aangelegenheid in een koninklijk besluit of een regeringsbesluit, zoals het recht op corona-ouderschapsverlof.</w:t>
      </w:r>
      <w:r>
        <w:rPr>
          <w:rStyle w:val="Voetnootmarkering"/>
        </w:rPr>
        <w:footnoteReference w:id="192"/>
      </w:r>
    </w:p>
    <w:p w14:paraId="5ADC0825" w14:textId="77777777" w:rsidR="00D46131" w:rsidRDefault="00D46131" w:rsidP="00D46131">
      <w:pPr>
        <w:spacing w:after="0" w:line="240" w:lineRule="auto"/>
        <w:jc w:val="both"/>
      </w:pPr>
    </w:p>
    <w:p w14:paraId="46314736" w14:textId="77777777" w:rsidR="00D46131" w:rsidRDefault="00D46131" w:rsidP="00D46131">
      <w:pPr>
        <w:spacing w:after="0" w:line="240" w:lineRule="auto"/>
        <w:jc w:val="both"/>
      </w:pPr>
      <w:r>
        <w:t xml:space="preserve">Als die beperking onvoldoende tot uiting komt in een delegatie, kan het helpen om te preciseren dat de minister “de nadere </w:t>
      </w:r>
      <w:r>
        <w:rPr>
          <w:i/>
          <w:iCs/>
        </w:rPr>
        <w:t>technische</w:t>
      </w:r>
      <w:r>
        <w:t xml:space="preserve"> regels en voorwaarden” met betrekking tot een bepaald thema bepaalt, veeleer dan “de nadere regels en voorwaarden”.</w:t>
      </w:r>
      <w:r>
        <w:rPr>
          <w:rStyle w:val="Voetnootmarkering"/>
        </w:rPr>
        <w:footnoteReference w:id="193"/>
      </w:r>
    </w:p>
    <w:p w14:paraId="6B85BF4D" w14:textId="77777777" w:rsidR="00D46131" w:rsidRDefault="00D46131" w:rsidP="00D46131">
      <w:pPr>
        <w:pStyle w:val="Kop3"/>
      </w:pPr>
      <w:bookmarkStart w:id="29" w:name="_Toc70497773"/>
      <w:bookmarkStart w:id="30" w:name="_Toc70499145"/>
      <w:r w:rsidRPr="00442C67">
        <w:t>D. Delegatie aan openbare instellingen en ambtenaren</w:t>
      </w:r>
      <w:bookmarkEnd w:id="29"/>
      <w:bookmarkEnd w:id="30"/>
    </w:p>
    <w:p w14:paraId="0508E144" w14:textId="77777777" w:rsidR="00D46131" w:rsidRDefault="00D46131" w:rsidP="00D46131">
      <w:pPr>
        <w:spacing w:after="0" w:line="240" w:lineRule="auto"/>
        <w:jc w:val="both"/>
      </w:pPr>
    </w:p>
    <w:p w14:paraId="40B69D95" w14:textId="387D39B4" w:rsidR="00D46131" w:rsidRDefault="00FD3856" w:rsidP="00D46131">
      <w:pPr>
        <w:spacing w:after="0" w:line="240" w:lineRule="auto"/>
        <w:jc w:val="both"/>
      </w:pPr>
      <w:r>
        <w:rPr>
          <w:b/>
          <w:bCs/>
        </w:rPr>
        <w:t>43.</w:t>
      </w:r>
      <w:r w:rsidR="00D46131">
        <w:tab/>
      </w:r>
      <w:r w:rsidR="00D46131" w:rsidRPr="00A12E82">
        <w:t>Het verlenen van verordenende bevoegdheid aan een openbare instelling</w:t>
      </w:r>
      <w:r w:rsidR="00D46131">
        <w:t xml:space="preserve"> </w:t>
      </w:r>
      <w:r w:rsidR="00D46131" w:rsidRPr="00A12E82">
        <w:t xml:space="preserve">is in beginsel niet in overeenstemming met de algemene publiekrechtelijke beginselen omdat erdoor geraakt wordt aan het beginsel van de eenheid van de verordenende macht en een rechtstreekse parlementaire controle ontbreekt. Bovendien ontbreken de waarborgen waarmee de klassieke regelgeving gepaard gaat, zoals die inzake de bekendmaking, de preventieve controle </w:t>
      </w:r>
      <w:r w:rsidR="002B0B0D">
        <w:t xml:space="preserve">door de afdeling wetgeving van </w:t>
      </w:r>
      <w:r w:rsidR="00D46131" w:rsidRPr="00A12E82">
        <w:t>de Raad van State en de duidelijke plaats in de hiërarchie der normen. Dergelijke delegaties kunnen dan ook enkel worden gebillijkt voor zover zij zeer beperkt zijn en een niet-beleidsmatige karakter hebben, door hun detailmatige of hoofdzakelijk technische draagwijdte. De instellingen die de betrokken reglementering dienen toe te passen moeten hierbij zowel aan rechterlijke controle als aan politieke controle onderworpen zijn</w:t>
      </w:r>
      <w:r w:rsidR="00E239C4">
        <w:t xml:space="preserve">. </w:t>
      </w:r>
      <w:r w:rsidR="00D46131">
        <w:t>Die criteria gelden ook voor delegaties van verordenende bevoegdheid aan individuele ambtenaren.</w:t>
      </w:r>
    </w:p>
    <w:p w14:paraId="38C83997" w14:textId="77777777" w:rsidR="00D46131" w:rsidRDefault="00D46131" w:rsidP="00D46131">
      <w:pPr>
        <w:spacing w:after="0" w:line="240" w:lineRule="auto"/>
        <w:jc w:val="both"/>
      </w:pPr>
    </w:p>
    <w:p w14:paraId="7456353C" w14:textId="77777777" w:rsidR="00D46131" w:rsidRDefault="00D46131" w:rsidP="00D46131">
      <w:pPr>
        <w:spacing w:after="0" w:line="240" w:lineRule="auto"/>
        <w:jc w:val="both"/>
      </w:pPr>
      <w:r>
        <w:t>De Raad van State formuleerde kritiek op de volgende delegaties:</w:t>
      </w:r>
    </w:p>
    <w:p w14:paraId="2A4547C4" w14:textId="77777777" w:rsidR="00D46131" w:rsidRDefault="00D46131" w:rsidP="00D46131">
      <w:pPr>
        <w:pStyle w:val="Lijstalinea"/>
        <w:numPr>
          <w:ilvl w:val="0"/>
          <w:numId w:val="11"/>
        </w:numPr>
        <w:spacing w:after="0" w:line="240" w:lineRule="auto"/>
        <w:jc w:val="both"/>
      </w:pPr>
      <w:r>
        <w:t>de delegatie aan de netbeheerder van om de werkingsregels van het capaciteitsvergoedingsmechanisme te bepalen, zelfs als ze ter goedkeuring aan de CREG moeten worden voorgelegd;</w:t>
      </w:r>
      <w:r>
        <w:rPr>
          <w:rStyle w:val="Voetnootmarkering"/>
        </w:rPr>
        <w:footnoteReference w:id="194"/>
      </w:r>
    </w:p>
    <w:p w14:paraId="3EDF058B" w14:textId="77777777" w:rsidR="00D46131" w:rsidRDefault="00D46131" w:rsidP="00D46131">
      <w:pPr>
        <w:pStyle w:val="Lijstalinea"/>
        <w:numPr>
          <w:ilvl w:val="0"/>
          <w:numId w:val="11"/>
        </w:numPr>
        <w:spacing w:after="0" w:line="240" w:lineRule="auto"/>
        <w:jc w:val="both"/>
      </w:pPr>
      <w:r>
        <w:t xml:space="preserve">de delegatie aan de administratie om een “leidraad” vast te leggen voor het opstellen en indienen van beleidsplannen door subsidieaanvragers, tenzij wanneer die leidraad </w:t>
      </w:r>
      <w:r w:rsidRPr="00AF6837">
        <w:t>een weerspiegeling vormt van de reeds bij decreet of besluit bepaalde elementen en er derhalve geen nieuwe normatieve elementen in voorkomen</w:t>
      </w:r>
      <w:r>
        <w:t>;</w:t>
      </w:r>
      <w:r>
        <w:rPr>
          <w:rStyle w:val="Voetnootmarkering"/>
        </w:rPr>
        <w:footnoteReference w:id="195"/>
      </w:r>
    </w:p>
    <w:p w14:paraId="0CE46916" w14:textId="77777777" w:rsidR="00D46131" w:rsidRDefault="00D46131" w:rsidP="00D46131">
      <w:pPr>
        <w:pStyle w:val="Lijstalinea"/>
        <w:numPr>
          <w:ilvl w:val="0"/>
          <w:numId w:val="11"/>
        </w:numPr>
        <w:spacing w:after="0" w:line="240" w:lineRule="auto"/>
        <w:jc w:val="both"/>
      </w:pPr>
      <w:r>
        <w:t xml:space="preserve">de delegatie aan de Nationale Loterij om </w:t>
      </w:r>
      <w:r w:rsidRPr="00AF6837">
        <w:t>af te wijken van een reeks regels die in koninklijke besluiten zijn vastgesteld en die op die loterijspelen van toepassing zijn</w:t>
      </w:r>
      <w:r>
        <w:t>, behalve wanneer “</w:t>
      </w:r>
      <w:r w:rsidRPr="00AF6837">
        <w:t>de Koning of een minister vanwege uitzonderlijke omstandigheden de verordenende bevoegdheid om noodsituaties het hoofd te bieden niet meer op werkbare en doeltreffende wijze kan uitoefenen</w:t>
      </w:r>
      <w:r>
        <w:t>” (in dit geval omwille van de COVID-19-pandemie;</w:t>
      </w:r>
      <w:r>
        <w:rPr>
          <w:rStyle w:val="Voetnootmarkering"/>
        </w:rPr>
        <w:footnoteReference w:id="196"/>
      </w:r>
    </w:p>
    <w:p w14:paraId="31A01E53" w14:textId="77777777" w:rsidR="00D46131" w:rsidRDefault="00D46131" w:rsidP="00D46131">
      <w:pPr>
        <w:pStyle w:val="Lijstalinea"/>
        <w:numPr>
          <w:ilvl w:val="0"/>
          <w:numId w:val="11"/>
        </w:numPr>
        <w:spacing w:after="0" w:line="240" w:lineRule="auto"/>
        <w:jc w:val="both"/>
      </w:pPr>
      <w:r>
        <w:t>delegaties aan organen van het RIZIV die “</w:t>
      </w:r>
      <w:r w:rsidRPr="00400C3C">
        <w:t>een voorwaarde vormen voor de correcte tenuitvoerlegging van het stelsel van forfaitaire betaling van de verstrekkingen zoals beoogd bij het ontwerp, dat strekt tot grondige hervorming van het systeem van forfaitaire betaling dat momenteel van kracht is, zowel wat betreft de forfaitaire betaling zelf van de verstrekkingen als wat betreft de door de steller van het ontwerp gewenste vereisten inzake transparantie</w:t>
      </w:r>
      <w:r>
        <w:t>”;</w:t>
      </w:r>
      <w:r>
        <w:rPr>
          <w:rStyle w:val="Voetnootmarkering"/>
        </w:rPr>
        <w:footnoteReference w:id="197"/>
      </w:r>
    </w:p>
    <w:p w14:paraId="66B82BDE" w14:textId="77777777" w:rsidR="00D46131" w:rsidRDefault="00D46131" w:rsidP="00D46131">
      <w:pPr>
        <w:pStyle w:val="Lijstalinea"/>
        <w:numPr>
          <w:ilvl w:val="0"/>
          <w:numId w:val="11"/>
        </w:numPr>
        <w:spacing w:after="0" w:line="240" w:lineRule="auto"/>
        <w:jc w:val="both"/>
      </w:pPr>
      <w:r>
        <w:t xml:space="preserve">de delegatie aan het </w:t>
      </w:r>
      <w:r w:rsidRPr="00400C3C">
        <w:t>FAVV om “fytosanitaire akkoorden” af te sluiten met de bevoegde overheden van derde landen om de wijze vast te leggen waarop de naleving van de fytosanitaire eisen van dat derde land gegarandeerd wordt</w:t>
      </w:r>
      <w:r>
        <w:t>;</w:t>
      </w:r>
      <w:r>
        <w:rPr>
          <w:rStyle w:val="Voetnootmarkering"/>
        </w:rPr>
        <w:footnoteReference w:id="198"/>
      </w:r>
    </w:p>
    <w:p w14:paraId="4277DC0F" w14:textId="77777777" w:rsidR="00D46131" w:rsidRDefault="00D46131" w:rsidP="00D46131">
      <w:pPr>
        <w:pStyle w:val="Lijstalinea"/>
        <w:numPr>
          <w:ilvl w:val="0"/>
          <w:numId w:val="11"/>
        </w:numPr>
        <w:spacing w:after="0" w:line="240" w:lineRule="auto"/>
        <w:jc w:val="both"/>
      </w:pPr>
      <w:r>
        <w:lastRenderedPageBreak/>
        <w:t xml:space="preserve">de delegatie aan </w:t>
      </w:r>
      <w:r w:rsidRPr="00F72A5C">
        <w:t>de kamer sociale zekerheid en gezondheid van het informatieveiligheidscomité</w:t>
      </w:r>
      <w:r>
        <w:t xml:space="preserve"> van de regeling van bepaalde aspecten van de verwerking van persoonsgegevens;</w:t>
      </w:r>
      <w:r>
        <w:rPr>
          <w:rStyle w:val="Voetnootmarkering"/>
        </w:rPr>
        <w:footnoteReference w:id="199"/>
      </w:r>
    </w:p>
    <w:p w14:paraId="0B420152" w14:textId="77777777" w:rsidR="00D46131" w:rsidRDefault="00D46131" w:rsidP="00D46131">
      <w:pPr>
        <w:pStyle w:val="Lijstalinea"/>
        <w:numPr>
          <w:ilvl w:val="0"/>
          <w:numId w:val="11"/>
        </w:numPr>
        <w:spacing w:after="0" w:line="240" w:lineRule="auto"/>
        <w:jc w:val="both"/>
      </w:pPr>
      <w:r>
        <w:t xml:space="preserve">de (impliciete) delegatie aan het agentschap Opgroeien regie met betrekking tot </w:t>
      </w:r>
      <w:r w:rsidRPr="00F72A5C">
        <w:t>de wegingscriteria die toegepast worden om de subsidies toe te kennen en om de rangorde tussen de aanvragers vast te stellen als er meer dan een aanvrager is</w:t>
      </w:r>
      <w:r>
        <w:t>, behalve als de grote lijnen eerst in een regeringsbesluit worden bepaald;</w:t>
      </w:r>
      <w:r>
        <w:rPr>
          <w:rStyle w:val="Voetnootmarkering"/>
        </w:rPr>
        <w:footnoteReference w:id="200"/>
      </w:r>
    </w:p>
    <w:p w14:paraId="7E396068" w14:textId="77777777" w:rsidR="00D46131" w:rsidRDefault="00D46131" w:rsidP="00D46131">
      <w:pPr>
        <w:pStyle w:val="Lijstalinea"/>
        <w:numPr>
          <w:ilvl w:val="0"/>
          <w:numId w:val="11"/>
        </w:numPr>
        <w:spacing w:after="0" w:line="240" w:lineRule="auto"/>
        <w:jc w:val="both"/>
      </w:pPr>
      <w:r>
        <w:t>de delegatie aan het Departement Omgeving om een meerjarig werkprogramma op te maken en bekend te maken op zijn website, wanneer dat meerjarig werkprogramma een essentieel karakter heeft in het rapportageproces;</w:t>
      </w:r>
      <w:r>
        <w:rPr>
          <w:rStyle w:val="Voetnootmarkering"/>
        </w:rPr>
        <w:footnoteReference w:id="201"/>
      </w:r>
    </w:p>
    <w:p w14:paraId="7A3469C4" w14:textId="77777777" w:rsidR="00D46131" w:rsidRDefault="00D46131" w:rsidP="00D46131">
      <w:pPr>
        <w:pStyle w:val="Lijstalinea"/>
        <w:numPr>
          <w:ilvl w:val="0"/>
          <w:numId w:val="11"/>
        </w:numPr>
        <w:spacing w:after="0" w:line="240" w:lineRule="auto"/>
        <w:jc w:val="both"/>
      </w:pPr>
      <w:r>
        <w:t xml:space="preserve">de delegatie aan het hoofd van het Departement Mobiliteit en Openbare Werken om bepaalde </w:t>
      </w:r>
      <w:r w:rsidRPr="00E603A4">
        <w:t>voertuigen die uitsluitend voor ceremonieel vervoer worden ingeze</w:t>
      </w:r>
      <w:r>
        <w:t>t, uit te zonderen van de toepassing van een bepaling van een regeringsbesluit, tenzij wanneer het gaat om een individuele beslissingsbevoegdheid.</w:t>
      </w:r>
      <w:r>
        <w:rPr>
          <w:rStyle w:val="Voetnootmarkering"/>
        </w:rPr>
        <w:footnoteReference w:id="202"/>
      </w:r>
    </w:p>
    <w:p w14:paraId="47CA8B4C" w14:textId="77777777" w:rsidR="00D46131" w:rsidRDefault="00D46131" w:rsidP="00D46131">
      <w:pPr>
        <w:spacing w:after="0" w:line="240" w:lineRule="auto"/>
        <w:jc w:val="both"/>
      </w:pPr>
    </w:p>
    <w:p w14:paraId="404ECFA1" w14:textId="77777777" w:rsidR="00D46131" w:rsidRDefault="00D46131" w:rsidP="00D46131">
      <w:pPr>
        <w:spacing w:after="0" w:line="240" w:lineRule="auto"/>
        <w:jc w:val="both"/>
      </w:pPr>
      <w:r>
        <w:t>Het komt wel eens voor dat delegaties worden verleend aan “de minister of zijn afgevaardigde”. Indien het gaat om delegaties van verordenende bevoegdheid kan die dan soms nog wel worden aanvaard voor de minister indien ze van bijkomstige of detailmatige aard zijn, maar in beginsel niet voor de afgevaardigde.</w:t>
      </w:r>
      <w:r>
        <w:rPr>
          <w:rStyle w:val="Voetnootmarkering"/>
        </w:rPr>
        <w:footnoteReference w:id="203"/>
      </w:r>
    </w:p>
    <w:p w14:paraId="2A803858" w14:textId="77777777" w:rsidR="00D46131" w:rsidRDefault="00D46131" w:rsidP="00D46131">
      <w:pPr>
        <w:spacing w:after="0" w:line="240" w:lineRule="auto"/>
        <w:jc w:val="both"/>
      </w:pPr>
    </w:p>
    <w:p w14:paraId="13FE4E2E" w14:textId="77777777" w:rsidR="00D46131" w:rsidRDefault="00D46131" w:rsidP="00D46131">
      <w:pPr>
        <w:spacing w:after="0" w:line="240" w:lineRule="auto"/>
        <w:jc w:val="both"/>
      </w:pPr>
      <w:r>
        <w:t>Een ander thema dat regelmatig terugkeert bij delegaties aan openbare instellingen is het vaststellen van formulieren. Het is een goede zaak dat formulieren niet in wetgevende normen of besluiten worden vastgesteld omdat ze dan gemakkelijker kunnen worden aangepast aan nieuwe ontwikkelingen. Overigens is het gebruik ervan tot op zekere hoogte al achterhaald door interactieve webapplicaties. Wanneer het door de administratie vast te stellen formulier enkel gegevens en documenten bevraagt die nodig zijn om te kunnen beoordelen of de voorwaarden die in de bestaande regelgeving zijn opgenomen, daadwerkelijk vervuld zijn, rijst in elk geval geen bezwaar tegen het overlaten van het vaststellen van dat formulier aan de administratie.</w:t>
      </w:r>
      <w:r>
        <w:rPr>
          <w:rStyle w:val="Voetnootmarkering"/>
        </w:rPr>
        <w:footnoteReference w:id="204"/>
      </w:r>
    </w:p>
    <w:p w14:paraId="1E09F5C2" w14:textId="77777777" w:rsidR="00D46131" w:rsidRDefault="00D46131" w:rsidP="00D46131">
      <w:pPr>
        <w:spacing w:after="0" w:line="240" w:lineRule="auto"/>
        <w:jc w:val="both"/>
      </w:pPr>
    </w:p>
    <w:p w14:paraId="7F25CC0B" w14:textId="77777777" w:rsidR="00D46131" w:rsidRDefault="00D46131" w:rsidP="00D46131">
      <w:pPr>
        <w:pStyle w:val="Kop3"/>
      </w:pPr>
      <w:bookmarkStart w:id="31" w:name="_Toc70497774"/>
      <w:bookmarkStart w:id="32" w:name="_Toc70499146"/>
      <w:r>
        <w:t>E. Contractuele delegatie</w:t>
      </w:r>
      <w:bookmarkEnd w:id="31"/>
      <w:bookmarkEnd w:id="32"/>
    </w:p>
    <w:p w14:paraId="6811C784" w14:textId="77777777" w:rsidR="00D46131" w:rsidRDefault="00D46131" w:rsidP="00D46131">
      <w:pPr>
        <w:spacing w:after="0" w:line="240" w:lineRule="auto"/>
        <w:jc w:val="both"/>
      </w:pPr>
    </w:p>
    <w:p w14:paraId="0D20072C" w14:textId="371B80E3" w:rsidR="00D46131" w:rsidRDefault="00FD3856" w:rsidP="00D46131">
      <w:pPr>
        <w:spacing w:after="0" w:line="240" w:lineRule="auto"/>
        <w:jc w:val="both"/>
        <w:rPr>
          <w:bCs/>
        </w:rPr>
      </w:pPr>
      <w:r>
        <w:rPr>
          <w:b/>
        </w:rPr>
        <w:t>44.</w:t>
      </w:r>
      <w:r w:rsidR="00D46131">
        <w:rPr>
          <w:bCs/>
        </w:rPr>
        <w:tab/>
        <w:t xml:space="preserve">Via convenanten of andere overeenkomsten die de overheid sluit met collectiviteiten van particulieren zoals bedrijfsfederaties kan geen verordenende bevoegdheid worden uitgeoefend ten aanzien van derden. </w:t>
      </w:r>
      <w:r w:rsidR="00D46131" w:rsidRPr="001B7E1E">
        <w:rPr>
          <w:bCs/>
        </w:rPr>
        <w:t xml:space="preserve">Uit de beginselen die de uitoefening van de normatieve functie beheersen, vloeit immers voort dat in een </w:t>
      </w:r>
      <w:r w:rsidR="00D46131">
        <w:rPr>
          <w:bCs/>
        </w:rPr>
        <w:t>dergelijke convenant</w:t>
      </w:r>
      <w:r w:rsidR="00D46131" w:rsidRPr="001B7E1E">
        <w:rPr>
          <w:bCs/>
        </w:rPr>
        <w:t xml:space="preserve"> enkel praktische afspraken kunnen worden opgenomen die een concretisering inhouden van</w:t>
      </w:r>
      <w:r w:rsidR="00D46131">
        <w:rPr>
          <w:bCs/>
        </w:rPr>
        <w:t xml:space="preserve"> bestaande rechtsregels</w:t>
      </w:r>
      <w:r w:rsidR="00D46131" w:rsidRPr="001B7E1E">
        <w:rPr>
          <w:bCs/>
        </w:rPr>
        <w:t>.</w:t>
      </w:r>
      <w:r w:rsidR="00D46131">
        <w:rPr>
          <w:rStyle w:val="Voetnootmarkering"/>
          <w:bCs/>
        </w:rPr>
        <w:footnoteReference w:id="205"/>
      </w:r>
    </w:p>
    <w:p w14:paraId="20BFCBE6" w14:textId="77777777" w:rsidR="00D46131" w:rsidRDefault="00D46131" w:rsidP="00D46131">
      <w:pPr>
        <w:spacing w:after="0" w:line="240" w:lineRule="auto"/>
        <w:jc w:val="both"/>
        <w:rPr>
          <w:bCs/>
        </w:rPr>
      </w:pPr>
    </w:p>
    <w:p w14:paraId="78FDF0C5" w14:textId="77777777" w:rsidR="00D46131" w:rsidRDefault="00D46131" w:rsidP="00D46131">
      <w:pPr>
        <w:spacing w:after="0" w:line="240" w:lineRule="auto"/>
        <w:jc w:val="both"/>
        <w:rPr>
          <w:bCs/>
        </w:rPr>
      </w:pPr>
      <w:r>
        <w:rPr>
          <w:bCs/>
        </w:rPr>
        <w:t>Tegen het vaststellen van subsidiebedragen bij overeenkomsten tussen de overheid en particulieren bestaat als dusdanig geen bezwaar, aangezien de overheid een beroep kan doen op een privaatrechtelijk procedé, veeleer dan op een eenzijdig overheidsoptreden. R</w:t>
      </w:r>
      <w:r w:rsidRPr="001B7E1E">
        <w:rPr>
          <w:bCs/>
        </w:rPr>
        <w:t xml:space="preserve">echtsregels </w:t>
      </w:r>
      <w:r>
        <w:rPr>
          <w:bCs/>
        </w:rPr>
        <w:t xml:space="preserve">bieden wel </w:t>
      </w:r>
      <w:r w:rsidRPr="001B7E1E">
        <w:rPr>
          <w:bCs/>
        </w:rPr>
        <w:t xml:space="preserve">het voordeel dat er bepaalde procedures en waarborgen aan verbonden zijn inzake de transparantie van de belangenafweging door de overheid (onder meer door de adviserings- en bekendmakingsverplichtingen) en inzake de rechtsbescherming tegen die rechtsregels. In het geval </w:t>
      </w:r>
      <w:r w:rsidRPr="001B7E1E">
        <w:rPr>
          <w:bCs/>
        </w:rPr>
        <w:lastRenderedPageBreak/>
        <w:t>van individuele overeenkomsten liggen niet dezelfde waarborgen voor, zeker niet voor derden-belanghebbenden die mogelijkerwijze aanspraak maken op een gelijkaardige subsidiëring.</w:t>
      </w:r>
      <w:r>
        <w:rPr>
          <w:rStyle w:val="Voetnootmarkering"/>
          <w:bCs/>
        </w:rPr>
        <w:footnoteReference w:id="206"/>
      </w:r>
    </w:p>
    <w:p w14:paraId="1484DB77" w14:textId="6EFDD0F2" w:rsidR="00F00164" w:rsidRDefault="00F00164" w:rsidP="00532989">
      <w:pPr>
        <w:spacing w:after="0" w:line="240" w:lineRule="auto"/>
        <w:jc w:val="both"/>
        <w:rPr>
          <w:bCs/>
        </w:rPr>
      </w:pPr>
    </w:p>
    <w:p w14:paraId="1A45B6E6" w14:textId="77777777" w:rsidR="00D46131" w:rsidRDefault="00D46131" w:rsidP="00532989">
      <w:pPr>
        <w:spacing w:after="0" w:line="240" w:lineRule="auto"/>
        <w:jc w:val="both"/>
        <w:rPr>
          <w:bCs/>
        </w:rPr>
      </w:pPr>
    </w:p>
    <w:p w14:paraId="47E42FAF" w14:textId="2759A87B" w:rsidR="008967C7" w:rsidRPr="009A35D7" w:rsidRDefault="008967C7" w:rsidP="008967C7">
      <w:pPr>
        <w:pStyle w:val="Kop2"/>
        <w:spacing w:before="0" w:line="240" w:lineRule="auto"/>
        <w:jc w:val="both"/>
      </w:pPr>
      <w:bookmarkStart w:id="33" w:name="_Toc70497775"/>
      <w:bookmarkStart w:id="34" w:name="_Toc70499147"/>
      <w:r>
        <w:t>IX</w:t>
      </w:r>
      <w:r w:rsidRPr="009A35D7">
        <w:t xml:space="preserve">. </w:t>
      </w:r>
      <w:r>
        <w:t>Bijzondere machten</w:t>
      </w:r>
      <w:r w:rsidR="00D46131">
        <w:t xml:space="preserve"> en</w:t>
      </w:r>
      <w:r>
        <w:t xml:space="preserve"> bekrachtiging</w:t>
      </w:r>
      <w:bookmarkEnd w:id="33"/>
      <w:bookmarkEnd w:id="34"/>
    </w:p>
    <w:p w14:paraId="1806230B" w14:textId="77777777" w:rsidR="008967C7" w:rsidRDefault="008967C7" w:rsidP="00532989">
      <w:pPr>
        <w:spacing w:after="0" w:line="240" w:lineRule="auto"/>
        <w:jc w:val="both"/>
        <w:rPr>
          <w:bCs/>
        </w:rPr>
      </w:pPr>
    </w:p>
    <w:p w14:paraId="4D52CD9E" w14:textId="73CA2F55" w:rsidR="00D46131" w:rsidRDefault="00FD3856" w:rsidP="00BC3595">
      <w:pPr>
        <w:spacing w:after="0" w:line="240" w:lineRule="auto"/>
        <w:jc w:val="both"/>
      </w:pPr>
      <w:r>
        <w:rPr>
          <w:b/>
          <w:bCs/>
        </w:rPr>
        <w:t>45.</w:t>
      </w:r>
      <w:r w:rsidR="00D46131">
        <w:tab/>
        <w:t>De adviespraktijk van de besproken periode werd in aanzienlijk mate getekend door de COVID-19-pandemie die in het voorjaar van 2020 uitbrak. Die gezondheidscrisis leidde tot een plotse herontdekking van de figuur van de bijzondere machten. Bij de zogenaamde ‘eerste golf’ werden zowel op het federale niveau als op het niveau van de meeste deelstaten bijzondere machten toegekend, maar enkel de federale bijzonderemachtenwet werd voor advies voorgelegd. Meerdere deelstaten hanteerden bij de ‘tweede golf’ in het najaar van 2020 opnieuw bijzondere machten. Over verschillende bijzonderemachtendecreten en -ordonnanties werden toen wel het advies ingewonnen. Daarnaast werden talrijke ontwerpen van bijzonderemachtenbesluiten en van bekrachtigingsteksten om advies voorgelegd. D</w:t>
      </w:r>
      <w:r w:rsidR="00E239C4">
        <w:t>it</w:t>
      </w:r>
      <w:r w:rsidR="00D46131">
        <w:t xml:space="preserve"> alles gaf de Raad van State de gelegenheid om verschillende aspecten van het leerstuk van de bijzondere machten te bevestigen en te verdiepen.</w:t>
      </w:r>
    </w:p>
    <w:p w14:paraId="59CB9704" w14:textId="77777777" w:rsidR="00BC3595" w:rsidRDefault="00BC3595" w:rsidP="00BC3595">
      <w:pPr>
        <w:spacing w:after="0" w:line="240" w:lineRule="auto"/>
        <w:jc w:val="both"/>
      </w:pPr>
    </w:p>
    <w:p w14:paraId="7CA705B4" w14:textId="08F0321C" w:rsidR="00D46131" w:rsidRPr="00580105" w:rsidRDefault="00D46131" w:rsidP="00BC3595">
      <w:pPr>
        <w:pStyle w:val="Kop3"/>
      </w:pPr>
      <w:bookmarkStart w:id="35" w:name="_Toc70497776"/>
      <w:bookmarkStart w:id="36" w:name="_Toc70499148"/>
      <w:r>
        <w:t>A</w:t>
      </w:r>
      <w:r w:rsidR="00BC3595">
        <w:t>.</w:t>
      </w:r>
      <w:r>
        <w:t xml:space="preserve"> De toekenning van bijzondere machten</w:t>
      </w:r>
      <w:bookmarkEnd w:id="35"/>
      <w:bookmarkEnd w:id="36"/>
    </w:p>
    <w:p w14:paraId="6A525786" w14:textId="77777777" w:rsidR="00BC3595" w:rsidRDefault="00BC3595" w:rsidP="00BC3595">
      <w:pPr>
        <w:spacing w:after="0" w:line="240" w:lineRule="auto"/>
        <w:jc w:val="both"/>
      </w:pPr>
    </w:p>
    <w:p w14:paraId="2E92CC65" w14:textId="00DEB5F0" w:rsidR="00D46131" w:rsidRDefault="00FD3856" w:rsidP="00BC3595">
      <w:pPr>
        <w:spacing w:after="0" w:line="240" w:lineRule="auto"/>
        <w:jc w:val="both"/>
      </w:pPr>
      <w:r>
        <w:rPr>
          <w:b/>
          <w:bCs/>
        </w:rPr>
        <w:t>46.</w:t>
      </w:r>
      <w:r w:rsidR="00D46131">
        <w:tab/>
        <w:t xml:space="preserve">In het advies over het voorstel van bijzonderemachtenwet bevestigde de Raad van State dat een dergelijke wet wordt gekenmerkt “door de toekenning, op een groot aantal domeinen, van een verordeningsbevoegdheid aan de Koning, die in de uitoefening van die bevoegdheid wetten kan aanvullen en wijzigen, en daarbij over een ruime discretionaire macht beschikt”. Het betreft een bijzondere vorm van opdrachtwet. De rechtsgrond ervan is artikel 105 </w:t>
      </w:r>
      <w:r w:rsidR="001D44BE">
        <w:t>Gw.</w:t>
      </w:r>
      <w:r w:rsidR="00D46131">
        <w:t>, dat bepaalt dat de Koning “geen andere macht [heeft,] dan die welke de Grondwet en de bijzondere wetten, krachtens de Grondwet zelf uitgevaardigd, hem uitdrukkelijk toekennen”.</w:t>
      </w:r>
      <w:r w:rsidR="00D46131">
        <w:rPr>
          <w:rStyle w:val="Voetnootmarkering"/>
        </w:rPr>
        <w:footnoteReference w:id="207"/>
      </w:r>
    </w:p>
    <w:p w14:paraId="50B7F7DC" w14:textId="16BFF57A" w:rsidR="00D46131" w:rsidRDefault="00D46131" w:rsidP="00BC3595">
      <w:pPr>
        <w:spacing w:after="0" w:line="240" w:lineRule="auto"/>
        <w:jc w:val="both"/>
      </w:pPr>
      <w:r>
        <w:t>Om met die grondwetsbepaling verenigbaar te zijn, is de toekenning van bijzondere machten onderworpen aan de volgende voorwaarden: 1° er moeten bepaalde feitelijke omstandigheden voorhanden zijn, die gewoonlijk als uitzonderlijke of crisisomstandigheden worden bestempeld en die de grenzen bepalen van de periode gedurende welke bijzondere machten kunnen worden toegekend; 2° de bijzondere machten kunnen slechts worden toegekend voor een beperkte periode; 3° de aan de Koning toegekende machten moeten nauwkeurig omschreven zijn zowel wat betreft doeleinden en oogmerken als wat betreft de aangelegenheden waarin maatregelen getroffen kunnen worden en de strekking ervan; 4° de wetgever dient bij de toekenning van de bijzondere machten zowel de supra- als internationale normen als de grondwettelijke bevoegdheidsregels te eerbiedigen.</w:t>
      </w:r>
      <w:r>
        <w:rPr>
          <w:rStyle w:val="Voetnootmarkering"/>
        </w:rPr>
        <w:footnoteReference w:id="208"/>
      </w:r>
    </w:p>
    <w:p w14:paraId="5D39148C" w14:textId="77777777" w:rsidR="00BC3595" w:rsidRDefault="00BC3595" w:rsidP="00BC3595">
      <w:pPr>
        <w:spacing w:after="0" w:line="240" w:lineRule="auto"/>
        <w:jc w:val="both"/>
      </w:pPr>
    </w:p>
    <w:p w14:paraId="3CACA377" w14:textId="483E0DA3" w:rsidR="00D46131" w:rsidRDefault="00FD3856" w:rsidP="00BC3595">
      <w:pPr>
        <w:spacing w:after="0" w:line="240" w:lineRule="auto"/>
        <w:jc w:val="both"/>
      </w:pPr>
      <w:r>
        <w:rPr>
          <w:b/>
          <w:bCs/>
        </w:rPr>
        <w:t>47.</w:t>
      </w:r>
      <w:r w:rsidR="00D46131" w:rsidRPr="004D7EA5">
        <w:tab/>
        <w:t>Voor het eerst werden ook het niveau van de deelstaten bijzondere machten toegekend.</w:t>
      </w:r>
      <w:r w:rsidR="00D46131" w:rsidRPr="004D7EA5">
        <w:rPr>
          <w:rStyle w:val="Voetnootmarkering"/>
        </w:rPr>
        <w:footnoteReference w:id="209"/>
      </w:r>
      <w:r w:rsidR="00D46131" w:rsidRPr="004D7EA5">
        <w:t xml:space="preserve"> De Raad van State bevestigde uitdrukkelijk</w:t>
      </w:r>
      <w:r w:rsidR="003E088E">
        <w:t xml:space="preserve"> </w:t>
      </w:r>
      <w:r w:rsidR="00E239C4">
        <w:t xml:space="preserve">dat </w:t>
      </w:r>
      <w:r w:rsidR="00D46131" w:rsidRPr="004D7EA5">
        <w:t xml:space="preserve">zij eveneens gebruik </w:t>
      </w:r>
      <w:r w:rsidR="00D46131">
        <w:t>kunnen</w:t>
      </w:r>
      <w:r w:rsidR="00D46131" w:rsidRPr="004D7EA5">
        <w:t xml:space="preserve"> maken van deze figuur </w:t>
      </w:r>
      <w:r w:rsidR="00D46131" w:rsidRPr="004D7EA5">
        <w:lastRenderedPageBreak/>
        <w:t xml:space="preserve">aangezien artikel 78 </w:t>
      </w:r>
      <w:r w:rsidR="003D14C6">
        <w:t>BWHI</w:t>
      </w:r>
      <w:r w:rsidR="00D46131">
        <w:t xml:space="preserve"> een gelijkaardige draagwijdte heeft als artikel 105 </w:t>
      </w:r>
      <w:r w:rsidR="001F09F1">
        <w:t>Gw.</w:t>
      </w:r>
      <w:r w:rsidR="00D46131">
        <w:rPr>
          <w:rStyle w:val="Voetnootmarkering"/>
        </w:rPr>
        <w:footnoteReference w:id="210"/>
      </w:r>
      <w:r w:rsidR="00D46131">
        <w:t xml:space="preserve"> Voor de Franse Gemeenschapscommissie moet die bepaling worden samen gelezen met de bijzondere decreten waarbij aan haar bevoegdheden van de Franse Gemeenschap zijn overgedragen.</w:t>
      </w:r>
      <w:r w:rsidR="00D46131">
        <w:rPr>
          <w:rStyle w:val="Voetnootmarkering"/>
        </w:rPr>
        <w:footnoteReference w:id="211"/>
      </w:r>
      <w:r w:rsidR="00D46131">
        <w:t xml:space="preserve"> Voor wat betreft de Gemeenschappelijke Gemeenschapscommissie stelde de Raad van State vast dat er weliswaar geen bepaling bestaat met een gelijkaardige draagwijdte als artikel 105 </w:t>
      </w:r>
      <w:r w:rsidR="001D44BE">
        <w:t>Gw.</w:t>
      </w:r>
      <w:r w:rsidR="00D46131">
        <w:t xml:space="preserve"> of artikel 78 BWHI, maar dat kan worden aangenomen dat de staatsrechtelijke beginselen met betrekking tot de bevoegdheidsverdeling tussen de wetgevende en de uitvoerende macht dezelfde zijn als binnen de andere overheden.</w:t>
      </w:r>
      <w:r w:rsidR="00D46131">
        <w:rPr>
          <w:rStyle w:val="Voetnootmarkering"/>
        </w:rPr>
        <w:footnoteReference w:id="212"/>
      </w:r>
    </w:p>
    <w:p w14:paraId="3F9AC463" w14:textId="77777777" w:rsidR="00BC3595" w:rsidRDefault="00BC3595" w:rsidP="00BC3595">
      <w:pPr>
        <w:spacing w:after="0" w:line="240" w:lineRule="auto"/>
        <w:jc w:val="both"/>
      </w:pPr>
    </w:p>
    <w:p w14:paraId="4607DF53" w14:textId="0F9DF412" w:rsidR="00D46131" w:rsidRDefault="003D14C6" w:rsidP="00BC3595">
      <w:pPr>
        <w:spacing w:after="0" w:line="240" w:lineRule="auto"/>
        <w:jc w:val="both"/>
      </w:pPr>
      <w:r>
        <w:rPr>
          <w:b/>
          <w:bCs/>
        </w:rPr>
        <w:t>48.</w:t>
      </w:r>
      <w:r w:rsidR="00D46131">
        <w:tab/>
        <w:t>Uit de aard van de bijzondere machten volgt dat zij enkel bij wet (of decreet of ordonnantie) kunnen worden toegekend.</w:t>
      </w:r>
    </w:p>
    <w:p w14:paraId="7E4134F4" w14:textId="77777777" w:rsidR="00BC3595" w:rsidRDefault="00BC3595" w:rsidP="00BC3595">
      <w:pPr>
        <w:spacing w:after="0" w:line="240" w:lineRule="auto"/>
        <w:jc w:val="both"/>
      </w:pPr>
    </w:p>
    <w:p w14:paraId="370F5DDA" w14:textId="549A50E6" w:rsidR="00D46131" w:rsidRDefault="00D46131" w:rsidP="00BC3595">
      <w:pPr>
        <w:spacing w:after="0" w:line="240" w:lineRule="auto"/>
        <w:jc w:val="both"/>
      </w:pPr>
      <w:r>
        <w:t xml:space="preserve">Daaruit volgt onder meer dat het toekennen of verlengen van bijzondere machten niet kan worden overgelaten aan één tak van de wetgevende macht. Bijgevolg moest de mogelijkheid voor de Kamer van volksvertegenwoordigers om de geldigheid van de bijzondere machten te verlengen uit de bijzonderemachtenwet worden weggelaten. Die regeling week immers van de bij de Grondwet bepaalde uitoefening van de machten, wat strijdig was met artikel 33 </w:t>
      </w:r>
      <w:r w:rsidR="001F09F1">
        <w:t>Gw.</w:t>
      </w:r>
      <w:r>
        <w:rPr>
          <w:rStyle w:val="Voetnootmarkering"/>
        </w:rPr>
        <w:footnoteReference w:id="213"/>
      </w:r>
      <w:r>
        <w:t xml:space="preserve"> De zinsnede dat de Kamer tot de verlenging kon beslissen “bij elk middel dat zij nuttig acht” stond verder op gespannen voet met artikel 60 </w:t>
      </w:r>
      <w:r w:rsidR="001D44BE">
        <w:t>Gw.</w:t>
      </w:r>
      <w:r>
        <w:t xml:space="preserve">, waaruit voortvloeit dat de Kamer zelf de wijze bepaalt waarop zij haar bevoegdheden uitoefent, en artikel 53 </w:t>
      </w:r>
      <w:r w:rsidR="001D44BE">
        <w:t>Gw.</w:t>
      </w:r>
      <w:r>
        <w:t>, dat bepaalt dat de Kamer geen besluit kan nemen</w:t>
      </w:r>
      <w:r w:rsidR="003E088E">
        <w:t xml:space="preserve"> </w:t>
      </w:r>
      <w:r w:rsidRPr="003C4647">
        <w:t>indien niet de meerderheid van haar leden aanwezig is</w:t>
      </w:r>
      <w:r>
        <w:t xml:space="preserve"> (al betekent dat niet dat een meerderheid fysiek aanwezig moet zijn).</w:t>
      </w:r>
      <w:r>
        <w:rPr>
          <w:rStyle w:val="Voetnootmarkering"/>
        </w:rPr>
        <w:footnoteReference w:id="214"/>
      </w:r>
      <w:r>
        <w:t xml:space="preserve"> </w:t>
      </w:r>
    </w:p>
    <w:p w14:paraId="6910099C" w14:textId="77777777" w:rsidR="00BC3595" w:rsidRDefault="00BC3595" w:rsidP="00BC3595">
      <w:pPr>
        <w:spacing w:after="0" w:line="240" w:lineRule="auto"/>
        <w:jc w:val="both"/>
      </w:pPr>
    </w:p>
    <w:p w14:paraId="639040D8" w14:textId="274D8D60" w:rsidR="00D46131" w:rsidRDefault="00D46131" w:rsidP="00BC3595">
      <w:pPr>
        <w:spacing w:after="0" w:line="240" w:lineRule="auto"/>
        <w:jc w:val="both"/>
      </w:pPr>
      <w:r>
        <w:t>Ook op deelstaatniveau kunnen bijzondere machten niet worden verlengd bij een beslissing van (het bureau van) de betrokken wetgevende vergadering.</w:t>
      </w:r>
      <w:r>
        <w:rPr>
          <w:rStyle w:val="Voetnootmarkering"/>
        </w:rPr>
        <w:footnoteReference w:id="215"/>
      </w:r>
    </w:p>
    <w:p w14:paraId="65355E56" w14:textId="77777777" w:rsidR="00BC3595" w:rsidRDefault="00BC3595" w:rsidP="00BC3595">
      <w:pPr>
        <w:spacing w:after="0" w:line="240" w:lineRule="auto"/>
        <w:jc w:val="both"/>
      </w:pPr>
    </w:p>
    <w:p w14:paraId="301497B4" w14:textId="0D42FD94" w:rsidR="00D46131" w:rsidRDefault="00D46131" w:rsidP="00BC3595">
      <w:pPr>
        <w:spacing w:after="0" w:line="240" w:lineRule="auto"/>
        <w:jc w:val="both"/>
      </w:pPr>
      <w:r>
        <w:t xml:space="preserve">De wetgever kan ook enkel machten toekennen die binnen de eigen bevoegdheden vallen. Dat betekent dat de Kamer van volksvertegenwoordigers enkel bijzondere machten kan toekennen met betrekking tot aangelegenheden waarop de monocamerale wetgevingsprocedure van toepassing is (artikel 74 </w:t>
      </w:r>
      <w:r w:rsidR="001D44BE">
        <w:t>Gw.</w:t>
      </w:r>
      <w:r>
        <w:t xml:space="preserve">). Omdat het voorstel van bijzondere machtenwet ook aangelegenheden betrof waarop de optioneel bicamerale procedure van toepassing was (artikel 78 </w:t>
      </w:r>
      <w:r w:rsidR="001D44BE">
        <w:t>Gw.</w:t>
      </w:r>
      <w:r>
        <w:t>) stelde de Raad van State voor om het voorstel op te splitsen in twee onderscheiden wetten.</w:t>
      </w:r>
      <w:r>
        <w:rPr>
          <w:rStyle w:val="Voetnootmarkering"/>
        </w:rPr>
        <w:footnoteReference w:id="216"/>
      </w:r>
    </w:p>
    <w:p w14:paraId="456E06AC" w14:textId="77777777" w:rsidR="00BC3595" w:rsidRDefault="00BC3595" w:rsidP="00BC3595">
      <w:pPr>
        <w:spacing w:after="0" w:line="240" w:lineRule="auto"/>
        <w:jc w:val="both"/>
      </w:pPr>
    </w:p>
    <w:p w14:paraId="210CAA30" w14:textId="69AF8EF9" w:rsidR="00D46131" w:rsidRPr="006C36BE" w:rsidRDefault="00D46131" w:rsidP="00BC3595">
      <w:pPr>
        <w:pStyle w:val="Kop3"/>
      </w:pPr>
      <w:bookmarkStart w:id="37" w:name="_Toc70497777"/>
      <w:bookmarkStart w:id="38" w:name="_Toc70499149"/>
      <w:r w:rsidRPr="006C36BE">
        <w:t>B</w:t>
      </w:r>
      <w:r w:rsidR="00BC3595">
        <w:t>.</w:t>
      </w:r>
      <w:r w:rsidRPr="006C36BE">
        <w:t xml:space="preserve"> De toepassing van bijzondere machten</w:t>
      </w:r>
      <w:bookmarkEnd w:id="37"/>
      <w:bookmarkEnd w:id="38"/>
    </w:p>
    <w:p w14:paraId="787906EC" w14:textId="77777777" w:rsidR="00BC3595" w:rsidRDefault="00BC3595" w:rsidP="00BC3595">
      <w:pPr>
        <w:spacing w:after="0" w:line="240" w:lineRule="auto"/>
        <w:jc w:val="both"/>
      </w:pPr>
    </w:p>
    <w:p w14:paraId="7DE9A616" w14:textId="5E06DF72" w:rsidR="00D46131" w:rsidRDefault="003D14C6" w:rsidP="00BC3595">
      <w:pPr>
        <w:spacing w:after="0" w:line="240" w:lineRule="auto"/>
        <w:jc w:val="both"/>
      </w:pPr>
      <w:r>
        <w:rPr>
          <w:b/>
          <w:bCs/>
        </w:rPr>
        <w:t>49.</w:t>
      </w:r>
      <w:r w:rsidR="00D46131">
        <w:tab/>
        <w:t>Wanneer aan de uitvoerende macht bijzondere machten zijn toegekend, kan zich al snel de situatie voordoen waarbij een maatregel zowel op basis van die machten als op basis van een reeds bestaande (gewone) wettelijke grondslag kan worden genomen. In dat geval beschikt de regering in beginsel over de keuzevrijheid tussen de beschikbare rechtsgronden. De Raad omschrijft de keuze van de rechtsgrond als “een discretionaire bevoegdheid” van de stellers van het ontwerp.</w:t>
      </w:r>
      <w:r w:rsidR="00D46131">
        <w:rPr>
          <w:rStyle w:val="Voetnootmarkering"/>
        </w:rPr>
        <w:footnoteReference w:id="217"/>
      </w:r>
      <w:r w:rsidR="00D46131">
        <w:t xml:space="preserve"> Het is evenwel van belang dat er een duidelijke keuze wordt gemaakt en dat, bijvoorbeeld in de aanhef van het besluit, </w:t>
      </w:r>
      <w:r w:rsidR="00D46131">
        <w:lastRenderedPageBreak/>
        <w:t>geen twijfel wordt gelaten over de gehanteerde rechtsgrond.</w:t>
      </w:r>
      <w:r w:rsidR="00D46131">
        <w:rPr>
          <w:rStyle w:val="Voetnootmarkering"/>
        </w:rPr>
        <w:footnoteReference w:id="218"/>
      </w:r>
      <w:r w:rsidR="00D46131">
        <w:t xml:space="preserve"> Wanneer een bepaalde rechtsgrond wordt gekozen, moeten immers voorwaarden die daarbij gelden worden nageleefd. Bij een reguliere rechtsgrond is dat bijvoorbeeld het voorafgaandelijk inwinnen van bepaalde adviezen. Bijzondere machten kunnen toelaten dat aan bepaalde vormvoorschriften wordt voorbijgegaan, maar vereisen dan weer meestal een tijdige bekrachtiging van het genomen besluit.</w:t>
      </w:r>
      <w:r w:rsidR="00D46131">
        <w:rPr>
          <w:rStyle w:val="Voetnootmarkering"/>
        </w:rPr>
        <w:footnoteReference w:id="219"/>
      </w:r>
      <w:r w:rsidR="00D46131">
        <w:t xml:space="preserve"> </w:t>
      </w:r>
    </w:p>
    <w:p w14:paraId="0795921B" w14:textId="48B6F999" w:rsidR="00D46131" w:rsidRDefault="00D46131" w:rsidP="00BC3595">
      <w:pPr>
        <w:spacing w:after="0" w:line="240" w:lineRule="auto"/>
        <w:jc w:val="both"/>
      </w:pPr>
      <w:r>
        <w:t>In bepaalde gevallen heeft de Raad van State de adviesaanvrager wel degelijk in de richting van een welbepaalde rechtsgrond gestuurd. Zo moest een regeling inzake de ondersteuning van ziekenhuizen de vorm van een bijzonderemachtenbesluit aannemen omdat er weliswaar geen formele wijzigingen werden aangebracht aan decretale bepalingen, maar er wel degelijk van het decreet in kwestie werd afgeweken.</w:t>
      </w:r>
      <w:r>
        <w:rPr>
          <w:rStyle w:val="Voetnootmarkering"/>
        </w:rPr>
        <w:footnoteReference w:id="220"/>
      </w:r>
      <w:r>
        <w:t xml:space="preserve"> Omgekeerd stelde de Raad van State over een ontwerp van bijzonderemachtenbesluit inzake de stage van artsen vast dat de regeling even goed kon worden gesteund op de reguliere rechtsgrond. De Raad nodigde de adviesaanvrager uit om na te gaan of de maatregel dermate dringend was dat op basis van de bijzonderemachtenwet moest worden voorbijgegaan aan bepaalde vormvereisten. Indien dat niet het geval was, kon het ontwerp beter worden omgevormd tot een gewoon koninklijk besluit. In dat geval zou het besluit nadien immers niet moeten worden bekrachtigd.</w:t>
      </w:r>
      <w:r>
        <w:rPr>
          <w:rStyle w:val="Voetnootmarkering"/>
        </w:rPr>
        <w:footnoteReference w:id="221"/>
      </w:r>
      <w:r>
        <w:t xml:space="preserve"> De Raad had reeds in het advies over de bijzonderemachtenwet op deze samenloopproblematiek gewezen.</w:t>
      </w:r>
      <w:r>
        <w:rPr>
          <w:rStyle w:val="Voetnootmarkering"/>
        </w:rPr>
        <w:footnoteReference w:id="222"/>
      </w:r>
    </w:p>
    <w:p w14:paraId="14632398" w14:textId="77777777" w:rsidR="00BC3595" w:rsidRDefault="00BC3595" w:rsidP="00BC3595">
      <w:pPr>
        <w:spacing w:after="0" w:line="240" w:lineRule="auto"/>
        <w:jc w:val="both"/>
      </w:pPr>
    </w:p>
    <w:p w14:paraId="1012CFE2" w14:textId="38C64832" w:rsidR="00D46131" w:rsidRDefault="006D06AF" w:rsidP="00BC3595">
      <w:pPr>
        <w:spacing w:after="0" w:line="240" w:lineRule="auto"/>
        <w:jc w:val="both"/>
      </w:pPr>
      <w:r>
        <w:rPr>
          <w:b/>
          <w:bCs/>
        </w:rPr>
        <w:t>50.</w:t>
      </w:r>
      <w:r w:rsidR="00D46131">
        <w:tab/>
        <w:t>Bij het uitoefenen van bijzondere machten moet uiteraard steeds rekening worden gehouden met de draagwijdte van de toegekende machten. Uit de zo-even opgesomde geldigheidsvoorwaarden (</w:t>
      </w:r>
      <w:r w:rsidR="00FA5FB2">
        <w:t>nr. 46</w:t>
      </w:r>
      <w:r w:rsidR="00D46131">
        <w:t>) volgt dat de doelstelling en het voorwerp van de bijzondere machten voldoende nauwkeurig omschreven moet zijn. De maatregelen die op basis van de bijzondere machten worden genomen moet daarmee steeds in verband kunnen worden gebracht. In enkele adviezen sprake de Raad van State in dat kader van een “proportionaliteitstest, die inherent is aan de tenuitvoerlegging van de bijzondere machten”.</w:t>
      </w:r>
      <w:r w:rsidR="00D46131">
        <w:rPr>
          <w:rStyle w:val="Voetnootmarkering"/>
        </w:rPr>
        <w:footnoteReference w:id="223"/>
      </w:r>
    </w:p>
    <w:p w14:paraId="3CBDBBD0" w14:textId="77777777" w:rsidR="00D46131" w:rsidRDefault="00D46131" w:rsidP="00BC3595">
      <w:pPr>
        <w:spacing w:after="0" w:line="240" w:lineRule="auto"/>
        <w:jc w:val="both"/>
      </w:pPr>
      <w:r>
        <w:t>De Raad van State ging, wat de bijzondere machten in het kader van de coronacrisis betrof, na of de voorliggende maatregelen pasten binnen “het strikte kader (…) van hetgeen noodzakelijk is op grond van de gezondheidscrisis COVID-19”.</w:t>
      </w:r>
      <w:r>
        <w:rPr>
          <w:rStyle w:val="Voetnootmarkering"/>
        </w:rPr>
        <w:footnoteReference w:id="224"/>
      </w:r>
      <w:r>
        <w:t xml:space="preserve"> In bepaalde gevallen moest een te ruim opgestelde bepaling worden geherformuleerd, omdat die anders ook buiten dat strikte kader toepassing kon vinden.</w:t>
      </w:r>
      <w:r>
        <w:rPr>
          <w:rStyle w:val="Voetnootmarkering"/>
        </w:rPr>
        <w:footnoteReference w:id="225"/>
      </w:r>
      <w:r>
        <w:t xml:space="preserve"> </w:t>
      </w:r>
    </w:p>
    <w:p w14:paraId="55DAE291" w14:textId="68F59402" w:rsidR="00D46131" w:rsidRDefault="00D46131" w:rsidP="00BC3595">
      <w:pPr>
        <w:spacing w:after="0" w:line="240" w:lineRule="auto"/>
        <w:jc w:val="both"/>
      </w:pPr>
      <w:r>
        <w:t>Algemene, structurele en permanente regelingen konden in beginsel niet op basis van die bijzondere machten worden genomen.</w:t>
      </w:r>
      <w:r>
        <w:rPr>
          <w:rStyle w:val="Voetnootmarkering"/>
        </w:rPr>
        <w:footnoteReference w:id="226"/>
      </w:r>
      <w:r>
        <w:t xml:space="preserve"> Zo kon geen permanente wijziging aan het arbeidsrecht worden doorgevoerd, maar </w:t>
      </w:r>
      <w:r w:rsidR="00674116">
        <w:t>moest</w:t>
      </w:r>
      <w:r>
        <w:t xml:space="preserve"> het temporeel toepassingsgebied van de maatregelen worden beperkt tot de duur die nodig was om het hoofd te bieden aan de gevolgen van de coronacrisis. De Raad merkte op dat het enkel aan de wetgever toekwam om er over te oordelen of de tot stand gebrachte tijdelijke regeling al dan niet op een definitieve wijze moest worden ingevoerd.</w:t>
      </w:r>
      <w:r>
        <w:rPr>
          <w:rStyle w:val="Voetnootmarkering"/>
        </w:rPr>
        <w:footnoteReference w:id="227"/>
      </w:r>
      <w:r>
        <w:t xml:space="preserve"> Ook een regeling voor het sluiten van een kredietovereenkomst tussen een KMO en een natuurlijk persoon, waarvoor aan deze laatste een belastingkrediet wordt toegekend, en die niet beperkt was tot het louter tegemoetkomen aan situaties die het gevolg zijn van de COVID-19-pandemie, kon geen doorgang vinden.</w:t>
      </w:r>
      <w:r>
        <w:rPr>
          <w:rStyle w:val="Voetnootmarkering"/>
        </w:rPr>
        <w:footnoteReference w:id="228"/>
      </w:r>
      <w:r>
        <w:t xml:space="preserve"> </w:t>
      </w:r>
    </w:p>
    <w:p w14:paraId="0D60CDFB" w14:textId="77777777" w:rsidR="00BC3595" w:rsidRDefault="00BC3595" w:rsidP="00BC3595">
      <w:pPr>
        <w:spacing w:after="0" w:line="240" w:lineRule="auto"/>
        <w:jc w:val="both"/>
      </w:pPr>
    </w:p>
    <w:p w14:paraId="4932C3DE" w14:textId="303C0FBB" w:rsidR="00D46131" w:rsidRDefault="006D06AF" w:rsidP="00BC3595">
      <w:pPr>
        <w:spacing w:after="0" w:line="240" w:lineRule="auto"/>
        <w:jc w:val="both"/>
      </w:pPr>
      <w:r>
        <w:rPr>
          <w:b/>
          <w:bCs/>
        </w:rPr>
        <w:lastRenderedPageBreak/>
        <w:t>51.</w:t>
      </w:r>
      <w:r w:rsidR="00D46131">
        <w:tab/>
        <w:t>Het komt regelmatig voor dat bijzonderemachtenbesluiten op hun beurt zelf een machtiging aan de Koning of de betrokken regeling bevatten. Een dergelijke delegatie is juridisch mogelijk, zoals de wetgever die in een gewone opdrachtwet kan opnemen. Wat echter niet kan is dat de Koning of regering aan zichzelf opnieuw bijzondere machten toekent. Het verlenen van bijzondere machten komt immers enkel toe aan de wetgever.</w:t>
      </w:r>
    </w:p>
    <w:p w14:paraId="631F621A" w14:textId="77777777" w:rsidR="00BC3595" w:rsidRDefault="00BC3595" w:rsidP="00BC3595">
      <w:pPr>
        <w:spacing w:after="0" w:line="240" w:lineRule="auto"/>
        <w:jc w:val="both"/>
      </w:pPr>
    </w:p>
    <w:p w14:paraId="3B910AC5" w14:textId="460377C8" w:rsidR="00D46131" w:rsidRDefault="00D46131" w:rsidP="00BC3595">
      <w:pPr>
        <w:spacing w:after="0" w:line="240" w:lineRule="auto"/>
        <w:jc w:val="both"/>
      </w:pPr>
      <w:r>
        <w:t>De Raad van State moest de adviesaanvragers er meermaals op wijzen dat een machtiging, die veelal tot doel had om de geldigheid van de ontworpen maatregel te verlengen, in essentie moest worden beschouwd als het aan zichzelf toekennen van bijzondere machten en uit het ontwerp moesten worden weggelaten. Dat was bijvoorbeeld het geval voor de mogelijkheid waarbij de Koning het toepassingsgebied kon verlengen van een bijzonderemachtenbesluit dat onder meer alle termijnen van de strafvordering en de strafuitvoering schorste.</w:t>
      </w:r>
      <w:r>
        <w:rPr>
          <w:rStyle w:val="Voetnootmarkering"/>
        </w:rPr>
        <w:footnoteReference w:id="229"/>
      </w:r>
      <w:r>
        <w:t xml:space="preserve"> Ook wanneer een bijzonderemachtenbesluit voorzag in de opschorting van zowat alle termijnen die in of krachtens de wettelijke en reglementaire bepalingen van een overheid waren vastgesteld, kon geen (gewone) machtiging aan de regering worden verleend om de toepassing ervan te verlengen.</w:t>
      </w:r>
      <w:r>
        <w:rPr>
          <w:rStyle w:val="Voetnootmarkering"/>
        </w:rPr>
        <w:footnoteReference w:id="230"/>
      </w:r>
      <w:r>
        <w:t xml:space="preserve"> Indien een dergelijke machtiging moest worden uitgeoefend binnen de periode waarvoor bijzondere machten werden verleend, was zij strikt genomen overigens overbodig. Dan kon er immers rechtstreeks beroep worden gedaan op de bijzondere machten, uiteraard mits inachtneming van de toepasselijke voorwaarden.</w:t>
      </w:r>
      <w:r>
        <w:rPr>
          <w:rStyle w:val="Voetnootmarkering"/>
        </w:rPr>
        <w:footnoteReference w:id="231"/>
      </w:r>
    </w:p>
    <w:p w14:paraId="0E17028F" w14:textId="77777777" w:rsidR="00BC3595" w:rsidRDefault="00BC3595" w:rsidP="00BC3595">
      <w:pPr>
        <w:spacing w:after="0" w:line="240" w:lineRule="auto"/>
        <w:jc w:val="both"/>
      </w:pPr>
    </w:p>
    <w:p w14:paraId="4656E95A" w14:textId="44750D10" w:rsidR="00D46131" w:rsidRDefault="00D46131" w:rsidP="00BC3595">
      <w:pPr>
        <w:spacing w:after="0" w:line="240" w:lineRule="auto"/>
        <w:jc w:val="both"/>
      </w:pPr>
      <w:r>
        <w:t>Uiteraard is niet elke delegatie aan de Koning of deelstaatregering in een bijzonderemachtenbesluit problematisch, zelfs</w:t>
      </w:r>
      <w:r w:rsidR="00A1301D">
        <w:t xml:space="preserve"> niet</w:t>
      </w:r>
      <w:r>
        <w:t xml:space="preserve"> indien zij toelaat om ook na afloop van de periode van bijzondere machten de betrokken regeling te wijzigen of te verlengen. Zo bevestigde de Raad van State dat de Koning zichzelf in een bijzonderemachtenbesluit vermocht te machtigen om de geldingsduur van een binnen die periode van bijzondere machten vastgestelde regeling te verlengen, omdat het ging “om een machtiging die beperkt is tot het verlengen van het temporele toepassingsgebied van een duidelijk afgebakende maatregel, die bovendien niet beschouwd kan worden als een essentieel element van een door de Grondwet aan de wetgever voorbehouden aangelegenheid. Een dergelijke maatregel kan ook na het verstrijken van een bijzonderemachtenregeling fungeren als rechtsgrond voor gewone koninklijke besluiten die niet hoeven te worden bekrachtigd.”</w:t>
      </w:r>
      <w:r>
        <w:rPr>
          <w:rStyle w:val="Voetnootmarkering"/>
        </w:rPr>
        <w:footnoteReference w:id="232"/>
      </w:r>
    </w:p>
    <w:p w14:paraId="137D848E" w14:textId="77777777" w:rsidR="00BC3595" w:rsidRDefault="00BC3595" w:rsidP="00BC3595">
      <w:pPr>
        <w:spacing w:after="0" w:line="240" w:lineRule="auto"/>
        <w:jc w:val="both"/>
      </w:pPr>
    </w:p>
    <w:p w14:paraId="0F430DF8" w14:textId="0B344E35" w:rsidR="00D46131" w:rsidRDefault="006D06AF" w:rsidP="00BC3595">
      <w:pPr>
        <w:spacing w:after="0" w:line="240" w:lineRule="auto"/>
        <w:jc w:val="both"/>
      </w:pPr>
      <w:r>
        <w:rPr>
          <w:b/>
          <w:bCs/>
        </w:rPr>
        <w:t>52.</w:t>
      </w:r>
      <w:r w:rsidR="00D46131">
        <w:tab/>
        <w:t>Bij de uitoefening van bijzondere machten moeten de hogere rechtsnormen, zoals de Grondwet, de bevoegdheidsverdelende regels en het EU-recht, steeds gerespecteerd worden. Dat element komt elders in deze kroniek aan bod.</w:t>
      </w:r>
      <w:r w:rsidR="00D46131">
        <w:rPr>
          <w:rStyle w:val="Voetnootmarkering"/>
        </w:rPr>
        <w:footnoteReference w:id="233"/>
      </w:r>
    </w:p>
    <w:p w14:paraId="77399881" w14:textId="77777777" w:rsidR="00BC3595" w:rsidRDefault="00BC3595" w:rsidP="00BC3595">
      <w:pPr>
        <w:spacing w:after="0" w:line="240" w:lineRule="auto"/>
        <w:jc w:val="both"/>
      </w:pPr>
    </w:p>
    <w:p w14:paraId="1A7BA8A1" w14:textId="6B1C3AAE" w:rsidR="00D46131" w:rsidRPr="006C36BE" w:rsidRDefault="00D46131" w:rsidP="00BC3595">
      <w:pPr>
        <w:pStyle w:val="Kop3"/>
      </w:pPr>
      <w:bookmarkStart w:id="39" w:name="_Toc70497778"/>
      <w:bookmarkStart w:id="40" w:name="_Toc70499150"/>
      <w:r w:rsidRPr="006C36BE">
        <w:t>C</w:t>
      </w:r>
      <w:r w:rsidR="00BC3595">
        <w:t>.</w:t>
      </w:r>
      <w:r w:rsidRPr="006C36BE">
        <w:t xml:space="preserve"> De bekrachtiging van bijzonderemachtenbesluiten</w:t>
      </w:r>
      <w:bookmarkEnd w:id="39"/>
      <w:bookmarkEnd w:id="40"/>
    </w:p>
    <w:p w14:paraId="4C2FF319" w14:textId="77777777" w:rsidR="00BC3595" w:rsidRDefault="00BC3595" w:rsidP="00BC3595">
      <w:pPr>
        <w:spacing w:after="0" w:line="240" w:lineRule="auto"/>
        <w:jc w:val="both"/>
      </w:pPr>
    </w:p>
    <w:p w14:paraId="1500F18C" w14:textId="70A8EF7D" w:rsidR="00D46131" w:rsidRDefault="006D06AF" w:rsidP="00BC3595">
      <w:pPr>
        <w:spacing w:after="0" w:line="240" w:lineRule="auto"/>
        <w:jc w:val="both"/>
      </w:pPr>
      <w:r>
        <w:rPr>
          <w:b/>
          <w:bCs/>
        </w:rPr>
        <w:t>53.</w:t>
      </w:r>
      <w:r w:rsidR="00D46131">
        <w:tab/>
        <w:t>Alle bijzonderemachtenwetten, -decreten en ordonnanties uit de besproken periode schreven voor dat de besluiten die er op gegrond waren, binnen een bepaalde periode moesten worden bekrachtigd, zo niet werden zij geacht nooit uitwerking te hebben gehad. Een dergelijke bekrachtigingsregeling is strikt genomen niet voor alle bijzonderemachtenbesluiten noodzakelijk</w:t>
      </w:r>
      <w:r w:rsidR="00D46131">
        <w:rPr>
          <w:rStyle w:val="Voetnootmarkering"/>
        </w:rPr>
        <w:footnoteReference w:id="234"/>
      </w:r>
      <w:r w:rsidR="00D46131">
        <w:t>, maar het staat de betrokken wetgever vrij om de bekrachtiging voor te schrijven. Er moet dan uiteraard over worden gewaakt dat de besluiten tijdig worden bekrachtigd.</w:t>
      </w:r>
      <w:r w:rsidR="00D46131">
        <w:rPr>
          <w:rStyle w:val="Voetnootmarkering"/>
        </w:rPr>
        <w:footnoteReference w:id="235"/>
      </w:r>
      <w:r w:rsidR="00D46131" w:rsidRPr="00AC6D8B">
        <w:t xml:space="preserve"> </w:t>
      </w:r>
    </w:p>
    <w:p w14:paraId="5A8D1AA0" w14:textId="77777777" w:rsidR="00BC3595" w:rsidRDefault="00BC3595" w:rsidP="00BC3595">
      <w:pPr>
        <w:spacing w:after="0" w:line="240" w:lineRule="auto"/>
        <w:jc w:val="both"/>
      </w:pPr>
    </w:p>
    <w:p w14:paraId="603F3F28" w14:textId="7243425D" w:rsidR="00D46131" w:rsidRDefault="00D46131" w:rsidP="00BC3595">
      <w:pPr>
        <w:spacing w:after="0" w:line="240" w:lineRule="auto"/>
        <w:jc w:val="both"/>
      </w:pPr>
      <w:r>
        <w:t>De gevolgen van de bekrachtiging in het licht van de hiërarchie van de rechtsnormen komt elders in deze kroniek aan bod.</w:t>
      </w:r>
      <w:r>
        <w:rPr>
          <w:rStyle w:val="Voetnootmarkering"/>
        </w:rPr>
        <w:footnoteReference w:id="236"/>
      </w:r>
    </w:p>
    <w:p w14:paraId="1955EC9D" w14:textId="77777777" w:rsidR="00BC3595" w:rsidRDefault="00BC3595" w:rsidP="00BC3595">
      <w:pPr>
        <w:spacing w:after="0" w:line="240" w:lineRule="auto"/>
        <w:jc w:val="both"/>
      </w:pPr>
    </w:p>
    <w:p w14:paraId="7566BD51" w14:textId="1BF87D02" w:rsidR="00D46131" w:rsidRDefault="006D06AF" w:rsidP="00BC3595">
      <w:pPr>
        <w:spacing w:after="0" w:line="240" w:lineRule="auto"/>
        <w:jc w:val="both"/>
      </w:pPr>
      <w:r>
        <w:rPr>
          <w:b/>
          <w:bCs/>
        </w:rPr>
        <w:t>54.</w:t>
      </w:r>
      <w:r w:rsidR="00D46131">
        <w:tab/>
        <w:t>Indien bij het nemen van de bijzonderemachtenbesluiten bepaalde vormvoorschriften, die hun grondslag vinden in hogere rechtsnormen, niet zijn nageleefd, moeten zij alsnog worden vervuld vooraleer de wetgever overgaat tot de bekrachtiging. Dat geldt bijvoorbeeld voor vormvoorschriften die volgen uit het EU-recht of de bevoegdheidsverdelende regels.</w:t>
      </w:r>
      <w:r w:rsidR="00D46131">
        <w:rPr>
          <w:rStyle w:val="Voetnootmarkering"/>
        </w:rPr>
        <w:footnoteReference w:id="237"/>
      </w:r>
      <w:r w:rsidR="00D46131">
        <w:t xml:space="preserve"> De wetgever kan daar immers niet zelf van afwijken.</w:t>
      </w:r>
    </w:p>
    <w:p w14:paraId="4072476F" w14:textId="77777777" w:rsidR="00BC3595" w:rsidRDefault="00BC3595" w:rsidP="00BC3595">
      <w:pPr>
        <w:spacing w:after="0" w:line="240" w:lineRule="auto"/>
        <w:jc w:val="both"/>
      </w:pPr>
    </w:p>
    <w:p w14:paraId="0179B9D3" w14:textId="68C13838" w:rsidR="00D46131" w:rsidRDefault="006D06AF" w:rsidP="00BC3595">
      <w:pPr>
        <w:spacing w:after="0" w:line="240" w:lineRule="auto"/>
        <w:jc w:val="both"/>
      </w:pPr>
      <w:r>
        <w:rPr>
          <w:b/>
          <w:bCs/>
        </w:rPr>
        <w:t>55.</w:t>
      </w:r>
      <w:r w:rsidR="00D46131">
        <w:tab/>
        <w:t>In het vorige onderdeel wezen we op de problematiek waarbij de uitvoerende macht in een bijzonderemachtenbesluit een te ruime delegatie aan zichzelf toekent, bijvoorbeeld om de geldigheid van de regeling ook na afloop van de periode van bijzondere machten te verlengen.</w:t>
      </w:r>
      <w:r w:rsidR="00D46131">
        <w:rPr>
          <w:rStyle w:val="Voetnootmarkering"/>
        </w:rPr>
        <w:footnoteReference w:id="238"/>
      </w:r>
      <w:r w:rsidR="00D46131">
        <w:t xml:space="preserve"> Indien er toch (gewone) besluiten werden genomen op basis van dergelijke machtigingen, stelde de Raad van State vast dat zij “als niets anders beschouwd [konden] worden dan als koninklijke bijzonderemachtenbesluiten” die rechtstreeks op basis van de bijzondere machtenwet zijn vastgesteld. Bijgevolg moesten ook die besluiten worden bekrachtigd.</w:t>
      </w:r>
      <w:r w:rsidR="00D46131">
        <w:rPr>
          <w:rStyle w:val="Voetnootmarkering"/>
        </w:rPr>
        <w:footnoteReference w:id="239"/>
      </w:r>
      <w:r w:rsidR="00D46131">
        <w:t xml:space="preserve"> </w:t>
      </w:r>
      <w:r w:rsidR="00674116">
        <w:t xml:space="preserve">In één </w:t>
      </w:r>
      <w:r w:rsidR="00D46131">
        <w:t>geval oordeelde de Raad dat de verlengingsbesluiten “als bijzonderemachtenbesluiten dienden te worden geconcipieerd”, dat er bijgevolg “twijfels [konden] rijzen omtrent de wettigheid ervan” en dat de wetgever er ter wille van de rechtszekerheid goed aan zou doen ook die besluiten te bekrachtigen.</w:t>
      </w:r>
      <w:r w:rsidR="00D46131">
        <w:rPr>
          <w:rStyle w:val="Voetnootmarkering"/>
        </w:rPr>
        <w:footnoteReference w:id="240"/>
      </w:r>
    </w:p>
    <w:p w14:paraId="45533392" w14:textId="77777777" w:rsidR="00BC3595" w:rsidRDefault="00BC3595" w:rsidP="00BC3595">
      <w:pPr>
        <w:spacing w:after="0" w:line="240" w:lineRule="auto"/>
        <w:jc w:val="both"/>
      </w:pPr>
    </w:p>
    <w:p w14:paraId="35DA8E9F" w14:textId="71CC0D04" w:rsidR="00D46131" w:rsidRDefault="006D06AF" w:rsidP="00BC3595">
      <w:pPr>
        <w:spacing w:after="0" w:line="240" w:lineRule="auto"/>
        <w:jc w:val="both"/>
      </w:pPr>
      <w:r>
        <w:rPr>
          <w:b/>
          <w:bCs/>
        </w:rPr>
        <w:t>56.</w:t>
      </w:r>
      <w:r w:rsidR="00D46131">
        <w:tab/>
        <w:t>In de bekrachtigingstekst moet eenvoudigweg worden bepaald dat de betrokken bijzonderemachtigingsbesluiten “worden bekrachtigd”. Het is af te raden om te bepalen dat een besluit “wordt bekrachtigd met uitwerking op de datum van zijn inwerkingtreding”, te meer wanneer dat besluit terugwerkende kracht kende.</w:t>
      </w:r>
      <w:r w:rsidR="00D46131">
        <w:rPr>
          <w:rStyle w:val="Voetnootmarkering"/>
        </w:rPr>
        <w:footnoteReference w:id="241"/>
      </w:r>
    </w:p>
    <w:p w14:paraId="04683D2D" w14:textId="77777777" w:rsidR="00BC3595" w:rsidRDefault="00BC3595" w:rsidP="00BC3595">
      <w:pPr>
        <w:spacing w:after="0" w:line="240" w:lineRule="auto"/>
        <w:jc w:val="both"/>
      </w:pPr>
    </w:p>
    <w:p w14:paraId="1C9E41BB" w14:textId="3AF02EC6" w:rsidR="00D46131" w:rsidRPr="006C36BE" w:rsidRDefault="00D46131" w:rsidP="00BC3595">
      <w:pPr>
        <w:pStyle w:val="Kop3"/>
      </w:pPr>
      <w:bookmarkStart w:id="41" w:name="_Toc70497779"/>
      <w:bookmarkStart w:id="42" w:name="_Toc70499151"/>
      <w:r w:rsidRPr="006C36BE">
        <w:t>D</w:t>
      </w:r>
      <w:r w:rsidR="00BC3595">
        <w:t>.</w:t>
      </w:r>
      <w:r w:rsidRPr="006C36BE">
        <w:t xml:space="preserve"> Andere aspecten van bekrachtiging</w:t>
      </w:r>
      <w:bookmarkEnd w:id="41"/>
      <w:bookmarkEnd w:id="42"/>
    </w:p>
    <w:p w14:paraId="4148294F" w14:textId="77777777" w:rsidR="00BC3595" w:rsidRDefault="00BC3595" w:rsidP="00BC3595">
      <w:pPr>
        <w:spacing w:after="0" w:line="240" w:lineRule="auto"/>
        <w:jc w:val="both"/>
      </w:pPr>
    </w:p>
    <w:p w14:paraId="7E4C6B50" w14:textId="3C1C3429" w:rsidR="00D46131" w:rsidRDefault="006D06AF" w:rsidP="00BC3595">
      <w:pPr>
        <w:spacing w:after="0" w:line="240" w:lineRule="auto"/>
        <w:jc w:val="both"/>
      </w:pPr>
      <w:r>
        <w:rPr>
          <w:b/>
          <w:bCs/>
        </w:rPr>
        <w:t>57.</w:t>
      </w:r>
      <w:r w:rsidR="00D46131">
        <w:tab/>
        <w:t xml:space="preserve">De bekrachtiging van koninklijke besluiten en regeringsbesluiten kan zich ook voordoen buiten de context van bijzondere machten. Dat geldt in het bijzonder wanneer </w:t>
      </w:r>
      <w:r w:rsidR="00D46131" w:rsidRPr="000C078D">
        <w:t>essentiële elementen van voorbehouden aangelegenheden worden gedelegeerd aan de uitvoerende macht</w:t>
      </w:r>
      <w:r w:rsidR="00D46131">
        <w:t>.</w:t>
      </w:r>
      <w:r w:rsidR="00D46131">
        <w:rPr>
          <w:rStyle w:val="Voetnootmarkering"/>
        </w:rPr>
        <w:footnoteReference w:id="242"/>
      </w:r>
    </w:p>
    <w:p w14:paraId="5FE083DE" w14:textId="77777777" w:rsidR="00BC3595" w:rsidRDefault="00BC3595" w:rsidP="00BC3595">
      <w:pPr>
        <w:spacing w:after="0" w:line="240" w:lineRule="auto"/>
        <w:jc w:val="both"/>
      </w:pPr>
    </w:p>
    <w:p w14:paraId="54BDC7BC" w14:textId="127D2149" w:rsidR="00D46131" w:rsidRDefault="006D06AF" w:rsidP="00BC3595">
      <w:pPr>
        <w:spacing w:after="0" w:line="240" w:lineRule="auto"/>
        <w:jc w:val="both"/>
      </w:pPr>
      <w:r>
        <w:rPr>
          <w:b/>
          <w:bCs/>
        </w:rPr>
        <w:t>58.</w:t>
      </w:r>
      <w:r w:rsidR="00D46131">
        <w:tab/>
        <w:t xml:space="preserve">In bepaalde gevallen schrijft de rechtsgrond voor dat een ontwerp van bekrachtigingswet “onmiddellijk” moet worden ingediend bij de Kamer van volksvertegenwoordigers (of, indien ze niet in zitting is, de opening van de eerstvolgende zitting). Geconfronteerd met een ontwerp van bekrachtigingswet dat niet onmiddellijk was ingediend, merkte de Raad van State op dat de uitvoerende macht in een dergelijke geval het risico neemt dat de rechtskracht aan de betrokken besluiten wordt ontnomen, doordat ze naar aanleiding van een annulatieberoep worden vernietigd </w:t>
      </w:r>
      <w:r w:rsidR="00D46131">
        <w:lastRenderedPageBreak/>
        <w:t>door de Raad van State, afdeling Bestuursrechtspraak</w:t>
      </w:r>
      <w:r w:rsidR="00D46131">
        <w:rPr>
          <w:rStyle w:val="Voetnootmarkering"/>
        </w:rPr>
        <w:footnoteReference w:id="243"/>
      </w:r>
      <w:r w:rsidR="00D46131">
        <w:t>, of doordat het Grondwettelijk Hof naderhand de bekrachtigingswet vernietigt omdat de bekrachtiging niet binnen een relatief korte termijn is gebeurd.</w:t>
      </w:r>
      <w:r w:rsidR="00D46131">
        <w:rPr>
          <w:rStyle w:val="Voetnootmarkering"/>
        </w:rPr>
        <w:footnoteReference w:id="244"/>
      </w:r>
    </w:p>
    <w:p w14:paraId="17D3D3C6" w14:textId="77777777" w:rsidR="00BC3595" w:rsidRDefault="00BC3595" w:rsidP="00BC3595">
      <w:pPr>
        <w:spacing w:after="0" w:line="240" w:lineRule="auto"/>
        <w:jc w:val="both"/>
      </w:pPr>
    </w:p>
    <w:p w14:paraId="0FA451E3" w14:textId="347021D5" w:rsidR="00D46131" w:rsidRDefault="00D46131" w:rsidP="00BC3595">
      <w:pPr>
        <w:spacing w:after="0" w:line="240" w:lineRule="auto"/>
        <w:jc w:val="both"/>
      </w:pPr>
      <w:r>
        <w:t>Over de beoogde bekrachtiging van een ander koninklijk besluit stelde de Raad van State vast dat de in de wet voorziene bekrachtigingstermijn van 12 maanden na de datum van de bekendmaking ervan in het Belgisch Staatsblad reeds was verstreken. Daardoor moest het besluit worden geacht nooit uitwerking te hebben gehad. De Raad stelde vast dat het Grondwettelijk Hof weliswaar reeds laattijdige bekrachtigingen had aanvaard, maar telkens op grond van de overweging dat het om de omzetting van EU-recht in het intern recht ging. Het te bekrachtigen besluit voorzag in een tijdelijke regeling inzake de bedrijfsvoorheffing die gunstiger was voor de betrokkenen. De Raad merkte op dat de niet-bekrachtiging grote rechtsonzekerheid zou doen ontstaan. Gelet op die specifieke omstandigheden meende de Raad dat uitzonderlijk kon worden aanvaard dat het koninklijk besluit met terugwerkende kracht werd bekrachtigd.</w:t>
      </w:r>
      <w:r>
        <w:rPr>
          <w:rStyle w:val="Voetnootmarkering"/>
        </w:rPr>
        <w:footnoteReference w:id="245"/>
      </w:r>
    </w:p>
    <w:p w14:paraId="4CCEA61F" w14:textId="77777777" w:rsidR="00BC3595" w:rsidRDefault="00BC3595" w:rsidP="00BC3595">
      <w:pPr>
        <w:spacing w:after="0" w:line="240" w:lineRule="auto"/>
        <w:jc w:val="both"/>
      </w:pPr>
    </w:p>
    <w:p w14:paraId="2DE63C18" w14:textId="77FEFAAB" w:rsidR="00D46131" w:rsidRDefault="00B00B61" w:rsidP="00BC3595">
      <w:pPr>
        <w:spacing w:after="0" w:line="240" w:lineRule="auto"/>
        <w:jc w:val="both"/>
      </w:pPr>
      <w:r>
        <w:rPr>
          <w:b/>
          <w:bCs/>
        </w:rPr>
        <w:t>59.</w:t>
      </w:r>
      <w:r>
        <w:t xml:space="preserve"> </w:t>
      </w:r>
      <w:r w:rsidR="00D46131">
        <w:tab/>
        <w:t>Bij de redactie van een bekrachtigingstekst moet nauwkeurig worden nagegaan welke teksten of welke onderdelen daarvan al dan niet moeten worden bekrachtigd.</w:t>
      </w:r>
      <w:r w:rsidR="00D46131">
        <w:rPr>
          <w:rStyle w:val="Voetnootmarkering"/>
        </w:rPr>
        <w:footnoteReference w:id="246"/>
      </w:r>
      <w:r w:rsidR="00D46131">
        <w:t xml:space="preserve"> </w:t>
      </w:r>
    </w:p>
    <w:p w14:paraId="15BA5B06" w14:textId="77777777" w:rsidR="008967C7" w:rsidRPr="009A35D7" w:rsidRDefault="008967C7" w:rsidP="00532989">
      <w:pPr>
        <w:spacing w:after="0" w:line="240" w:lineRule="auto"/>
        <w:jc w:val="both"/>
        <w:rPr>
          <w:bCs/>
        </w:rPr>
      </w:pPr>
    </w:p>
    <w:p w14:paraId="2942B28C" w14:textId="77777777" w:rsidR="00F00164" w:rsidRPr="009A35D7" w:rsidRDefault="008967C7" w:rsidP="00532989">
      <w:pPr>
        <w:pStyle w:val="Kop2"/>
        <w:spacing w:before="0" w:line="240" w:lineRule="auto"/>
        <w:jc w:val="both"/>
      </w:pPr>
      <w:bookmarkStart w:id="43" w:name="_Toc5779223"/>
      <w:bookmarkStart w:id="44" w:name="_Toc70497780"/>
      <w:bookmarkStart w:id="45" w:name="_Toc70499152"/>
      <w:r>
        <w:t>X</w:t>
      </w:r>
      <w:r w:rsidR="00F00164" w:rsidRPr="009A35D7">
        <w:t>. Naleving en handhaving</w:t>
      </w:r>
      <w:bookmarkEnd w:id="43"/>
      <w:bookmarkEnd w:id="44"/>
      <w:bookmarkEnd w:id="45"/>
    </w:p>
    <w:p w14:paraId="7EC875A1" w14:textId="77777777" w:rsidR="005671DE" w:rsidRDefault="005671DE" w:rsidP="00532989">
      <w:pPr>
        <w:spacing w:after="0" w:line="240" w:lineRule="auto"/>
        <w:jc w:val="both"/>
        <w:rPr>
          <w:bCs/>
        </w:rPr>
      </w:pPr>
    </w:p>
    <w:p w14:paraId="6B559A58" w14:textId="0BE37B9E" w:rsidR="0040341C" w:rsidRPr="00E04DB2" w:rsidRDefault="00E04DB2" w:rsidP="00E04DB2">
      <w:pPr>
        <w:pStyle w:val="Kop3"/>
      </w:pPr>
      <w:bookmarkStart w:id="46" w:name="_Toc70497781"/>
      <w:bookmarkStart w:id="47" w:name="_Toc70499153"/>
      <w:r>
        <w:t xml:space="preserve">A. </w:t>
      </w:r>
      <w:r w:rsidR="0040341C" w:rsidRPr="00E04DB2">
        <w:t>Algemeen vs. specifiek (straf)recht in ethische dossiers: appreciatiemarge wetgever</w:t>
      </w:r>
      <w:bookmarkEnd w:id="46"/>
      <w:bookmarkEnd w:id="47"/>
      <w:r w:rsidR="003E088E">
        <w:t xml:space="preserve"> </w:t>
      </w:r>
    </w:p>
    <w:p w14:paraId="4E0F21B9" w14:textId="77777777" w:rsidR="00341927" w:rsidRDefault="00341927" w:rsidP="00341927">
      <w:pPr>
        <w:autoSpaceDE w:val="0"/>
        <w:autoSpaceDN w:val="0"/>
        <w:adjustRightInd w:val="0"/>
        <w:spacing w:line="240" w:lineRule="auto"/>
        <w:jc w:val="both"/>
        <w:rPr>
          <w:sz w:val="23"/>
          <w:szCs w:val="23"/>
        </w:rPr>
      </w:pPr>
    </w:p>
    <w:p w14:paraId="358D8482" w14:textId="65955C05" w:rsidR="0040341C" w:rsidRDefault="00B00B61" w:rsidP="003D1F6D">
      <w:pPr>
        <w:autoSpaceDE w:val="0"/>
        <w:autoSpaceDN w:val="0"/>
        <w:adjustRightInd w:val="0"/>
        <w:spacing w:after="0" w:line="240" w:lineRule="auto"/>
        <w:jc w:val="both"/>
      </w:pPr>
      <w:r>
        <w:rPr>
          <w:b/>
          <w:bCs/>
        </w:rPr>
        <w:t>60.</w:t>
      </w:r>
      <w:r w:rsidR="005E6296" w:rsidRPr="003D1F6D">
        <w:tab/>
      </w:r>
      <w:r w:rsidR="0040341C" w:rsidRPr="003D1F6D">
        <w:t>Diverse adviezen behandelden de voorbije twee jaar ethische dossiers waarbij grondrechten in conflict kunnen komen.</w:t>
      </w:r>
      <w:r w:rsidR="0040341C" w:rsidRPr="003D1F6D">
        <w:rPr>
          <w:rStyle w:val="Voetnootmarkering"/>
          <w:color w:val="000000"/>
        </w:rPr>
        <w:footnoteReference w:id="247"/>
      </w:r>
      <w:r w:rsidR="003E088E">
        <w:t xml:space="preserve"> </w:t>
      </w:r>
      <w:r w:rsidR="0040341C" w:rsidRPr="003D1F6D">
        <w:t>De vraag rees onder meer of de wetgever zijn marge te buiten zou gaan door de specifieke strafbaarstelling inzake vrijwillige zwangerschapsafbreking op te heffen (waarbij volgens sommigen sprake was van een volledige “depenalisering”).</w:t>
      </w:r>
      <w:r w:rsidR="003E088E">
        <w:t xml:space="preserve"> </w:t>
      </w:r>
      <w:r w:rsidR="0040341C" w:rsidRPr="003D1F6D">
        <w:t xml:space="preserve">De indieners van het wetsvoorstel wilden de specifieke strafrechtelijke sancties voor de vrouwen en artsen die overgaan tot vrijwillige zwangerschapsafbreking opheffen, en wilden van die handeling een louter medische handeling maken. De Raad van State wees erop dat staten een ruime beoordelingsmarge hebben om te bepalen in welke omstandigheden ze vrijwillige zwangerschapsafbreking toestaan, maar dat, eenmaal de beslissing genomen, het daarmee overeenstemmende juridische kader een zekere samenhang moet vertonen en het mogelijk moet maken te zorgen voor een billijk evenwicht tussen de rechten van de vrouw en het belang van het ongeboren kind, zoals het Europees Hof voor de Rechten van de Mens dat opvat. De wetgever beschikt aldus in principe over een grote beoordelingsruimte. Het opheffen van de specifieke strafrechtelijke sancties betekent volgens de Raad van State evenwel niet dat er sprake is </w:t>
      </w:r>
      <w:r w:rsidR="0040341C" w:rsidRPr="003D1F6D">
        <w:lastRenderedPageBreak/>
        <w:t>van een volledige depenalisering. Het algemeen strafrecht blijft van toepassing. Zo dient ervan uitgegaan te worden dat aan de arts die een vrijwillige zwangerschapsafbreking uitvoert zonder de wettelijke voorwaarden na te leven, een sanctie opgelegd zou kunnen worden inzonderheid krachtens artikel 398 van het Strafwetboek (opzettelijke slagen en verwondingen) of de artikelen 122 en volgende van de wet „betreffende de uitoefening van de gezondheidszorgberoepenwanneer voldaan is aan de voorwaarden gesteld voor de toepassing van die artikelen. Strafrechtelijke sancties kunnen eveneens opgelegd worden met toepassing van artikel 352 van het Strafwetboek, dat van toepassing blijft in de gevallen waarin een zwangerschapsafbreking uitgevoerd wordt bij een vrouw die daar niet mee ingestemd zou hebben. Tuchtsancties zouden in hetzelfde geval eveneens aan de arts opgelegd kunnen worden. Tot slot zouden de regels inzake het burgerlijk aansprakelijkheidsrecht nog toepassing kunnen vinden. Gelet op de grote beoordelingsruimte waarover de wetgever beschikt voor het regelen van vrijwillige zwangerschapsafbreking, voldoet de regeling die ingevoerd wordt aan de vereisten van het juridische kader.</w:t>
      </w:r>
      <w:r w:rsidR="0040341C" w:rsidRPr="003D1F6D">
        <w:rPr>
          <w:rStyle w:val="Voetnootmarkering"/>
          <w:color w:val="000000"/>
        </w:rPr>
        <w:footnoteReference w:id="248"/>
      </w:r>
      <w:r w:rsidR="003E088E">
        <w:t xml:space="preserve"> </w:t>
      </w:r>
      <w:r w:rsidR="0040341C" w:rsidRPr="003D1F6D">
        <w:t>Ook in latere adviezen in verband met inhoudelijk zeer diverse amendementen bij dat wetsvoorstel houdt de Raad van State die lijn aan.</w:t>
      </w:r>
      <w:r w:rsidR="0040341C" w:rsidRPr="003D1F6D">
        <w:rPr>
          <w:rStyle w:val="Voetnootmarkering"/>
          <w:color w:val="000000"/>
        </w:rPr>
        <w:footnoteReference w:id="249"/>
      </w:r>
    </w:p>
    <w:p w14:paraId="065E0039" w14:textId="77777777" w:rsidR="00B00B61" w:rsidRPr="003D1F6D" w:rsidRDefault="00B00B61" w:rsidP="003D1F6D">
      <w:pPr>
        <w:autoSpaceDE w:val="0"/>
        <w:autoSpaceDN w:val="0"/>
        <w:adjustRightInd w:val="0"/>
        <w:spacing w:after="0" w:line="240" w:lineRule="auto"/>
        <w:jc w:val="both"/>
      </w:pPr>
    </w:p>
    <w:p w14:paraId="112141F3" w14:textId="30F05861" w:rsidR="0040341C" w:rsidRDefault="00B00B61" w:rsidP="003D1F6D">
      <w:pPr>
        <w:autoSpaceDE w:val="0"/>
        <w:autoSpaceDN w:val="0"/>
        <w:adjustRightInd w:val="0"/>
        <w:spacing w:after="0" w:line="240" w:lineRule="auto"/>
        <w:jc w:val="both"/>
      </w:pPr>
      <w:r>
        <w:rPr>
          <w:b/>
          <w:bCs/>
        </w:rPr>
        <w:t>61.</w:t>
      </w:r>
      <w:r w:rsidR="005E6296" w:rsidRPr="003D1F6D">
        <w:tab/>
      </w:r>
      <w:r w:rsidR="0040341C" w:rsidRPr="003D1F6D">
        <w:t>Eén van die amendementen</w:t>
      </w:r>
      <w:r w:rsidR="00341927" w:rsidRPr="003D1F6D">
        <w:t xml:space="preserve"> bij het wetsvoorstel inzake zwangerschapsafbreking</w:t>
      </w:r>
      <w:r w:rsidR="0040341C" w:rsidRPr="003D1F6D">
        <w:t xml:space="preserve"> bepaal</w:t>
      </w:r>
      <w:r>
        <w:t>de</w:t>
      </w:r>
      <w:r w:rsidR="0040341C" w:rsidRPr="003D1F6D">
        <w:t xml:space="preserve"> dat indien het geslacht van de foetus middels een prenatale test wordt vastgesteld, die informatie noch rechtstreeks, noch onrechtstreeks mag worden meegedeeld voor het einde van de twintigste amenorroe-week, dat wil zeggen de uiterste datum voor het uitvoeren van vrijwillige zwangerschapsafbrekingen, tenzij er een medische reden voor bestaat.</w:t>
      </w:r>
      <w:r w:rsidR="003E088E">
        <w:t xml:space="preserve"> </w:t>
      </w:r>
      <w:r w:rsidR="0040341C" w:rsidRPr="003D1F6D">
        <w:t>Deze bepaling wil</w:t>
      </w:r>
      <w:r>
        <w:t>de</w:t>
      </w:r>
      <w:r w:rsidR="0040341C" w:rsidRPr="003D1F6D">
        <w:t xml:space="preserve"> vermijden dat de uitbreiding van de wettelijke termijn voor zwangerschapsafbreking ertoe zou kunnen leiden dat zwangerschapsafbrekingen op grond van het geslacht van de foetus plaatsvinden. Aangezien de bepaling zelf niet in sancties voorz</w:t>
      </w:r>
      <w:r>
        <w:t>ag</w:t>
      </w:r>
      <w:r w:rsidR="0040341C" w:rsidRPr="003D1F6D">
        <w:t xml:space="preserve"> bij de niet-naleving van dit verbod, stel</w:t>
      </w:r>
      <w:r>
        <w:t>de</w:t>
      </w:r>
      <w:r w:rsidR="0040341C" w:rsidRPr="003D1F6D">
        <w:t xml:space="preserve"> de Raad van State ook hier vast dat zal teruggevallen moeten worden op de bestaande algemene burgerrechtelijke, strafrechtelijke en tuchtrechtelijke regels om dit verbod te handhaven. De Raad stel</w:t>
      </w:r>
      <w:r>
        <w:t>de</w:t>
      </w:r>
      <w:r w:rsidR="0040341C" w:rsidRPr="003D1F6D">
        <w:t xml:space="preserve"> zich de vraag of dit de bedoeling is van de indieners van het amendement.</w:t>
      </w:r>
      <w:r w:rsidR="0040341C" w:rsidRPr="003D1F6D">
        <w:rPr>
          <w:rStyle w:val="Voetnootmarkering"/>
          <w:color w:val="000000"/>
        </w:rPr>
        <w:footnoteReference w:id="250"/>
      </w:r>
    </w:p>
    <w:p w14:paraId="605006F5" w14:textId="77777777" w:rsidR="00B00B61" w:rsidRPr="003D1F6D" w:rsidRDefault="00B00B61" w:rsidP="003D1F6D">
      <w:pPr>
        <w:autoSpaceDE w:val="0"/>
        <w:autoSpaceDN w:val="0"/>
        <w:adjustRightInd w:val="0"/>
        <w:spacing w:after="0" w:line="240" w:lineRule="auto"/>
        <w:jc w:val="both"/>
      </w:pPr>
    </w:p>
    <w:p w14:paraId="43EBCF22" w14:textId="2966658B" w:rsidR="0040341C" w:rsidRDefault="00B00B61" w:rsidP="003D1F6D">
      <w:pPr>
        <w:autoSpaceDE w:val="0"/>
        <w:autoSpaceDN w:val="0"/>
        <w:adjustRightInd w:val="0"/>
        <w:spacing w:after="0" w:line="240" w:lineRule="auto"/>
        <w:jc w:val="both"/>
      </w:pPr>
      <w:r>
        <w:rPr>
          <w:b/>
          <w:bCs/>
        </w:rPr>
        <w:t>62.</w:t>
      </w:r>
      <w:r>
        <w:tab/>
      </w:r>
      <w:r w:rsidR="0040341C" w:rsidRPr="003D1F6D">
        <w:t>Het vertrouwen in de voorzienbaarheid en duidelijkheid van de algemene burgerrechtelijke, strafrechtelijke en tuchtrechtelijke regels in de adviezen met betrekking tot de wetsvoorstellen inzake de zwangerschapsafbreking, contrasteert</w:t>
      </w:r>
      <w:r w:rsidR="003E088E">
        <w:t xml:space="preserve"> </w:t>
      </w:r>
      <w:r w:rsidR="0040341C" w:rsidRPr="003D1F6D">
        <w:t xml:space="preserve">met </w:t>
      </w:r>
      <w:r w:rsidR="0019371E">
        <w:t>de kritiek</w:t>
      </w:r>
      <w:r w:rsidR="0040341C" w:rsidRPr="003D1F6D">
        <w:t xml:space="preserve"> </w:t>
      </w:r>
      <w:r w:rsidR="0019371E">
        <w:t>die</w:t>
      </w:r>
      <w:r w:rsidR="0040341C" w:rsidRPr="003D1F6D">
        <w:t xml:space="preserve"> de Raad van State </w:t>
      </w:r>
      <w:r w:rsidR="0019371E">
        <w:t>formuleerde</w:t>
      </w:r>
      <w:r w:rsidR="0040341C" w:rsidRPr="003D1F6D">
        <w:t xml:space="preserve"> ten aanzien van een te algemene regeling in een advies over een wetsvoorstel met betrekking tot de prenatale rechtsbescherming. Het om advies voorgelegde voorstel van wet voeg</w:t>
      </w:r>
      <w:r w:rsidR="00B8390E">
        <w:t>de</w:t>
      </w:r>
      <w:r w:rsidR="0040341C" w:rsidRPr="003D1F6D">
        <w:t xml:space="preserve"> in het Burgerlijk Wetboek een nieuw artikel 388/1 in.</w:t>
      </w:r>
      <w:r w:rsidR="0040341C" w:rsidRPr="003D1F6D">
        <w:rPr>
          <w:rStyle w:val="Voetnootmarkering"/>
          <w:color w:val="000000"/>
        </w:rPr>
        <w:footnoteReference w:id="251"/>
      </w:r>
      <w:r w:rsidR="0040341C" w:rsidRPr="003D1F6D">
        <w:t xml:space="preserve"> Volgens de toelichting bij het voorstel beo</w:t>
      </w:r>
      <w:r w:rsidR="00B8390E">
        <w:t>o</w:t>
      </w:r>
      <w:r w:rsidR="0040341C" w:rsidRPr="003D1F6D">
        <w:t>g</w:t>
      </w:r>
      <w:r w:rsidR="00B8390E">
        <w:t>d</w:t>
      </w:r>
      <w:r w:rsidR="0040341C" w:rsidRPr="003D1F6D">
        <w:t>en de indieners ervan een algemene wettelijke basis te creëren voor het beginsel “dat een kind vanaf de verwekking als reeds geboren wordt beschouwd telkens als dat in zijn of haar belang is (</w:t>
      </w:r>
      <w:r w:rsidR="0040341C" w:rsidRPr="003D1F6D">
        <w:rPr>
          <w:i/>
        </w:rPr>
        <w:t>infans conceptus pro iam nato habetur quotiens de eius commodis agitur</w:t>
      </w:r>
      <w:r w:rsidR="0040341C" w:rsidRPr="003D1F6D">
        <w:t>)”, teneinde “bepaalde beschermingsmaatregelen ten aanzien van een ongeboren kind juridisch mogelijk te maken”. De indieners verw</w:t>
      </w:r>
      <w:r w:rsidR="00B8390E">
        <w:t>e</w:t>
      </w:r>
      <w:r w:rsidR="0040341C" w:rsidRPr="003D1F6D">
        <w:t>zen daarbij naar de gevaren van een alcohol- of drugsverslaving van de zwangere vrouw voor het ongeboren kind en naar intrafamiliaal geweld ten aanzien van andere, reeds geboren kinderen.</w:t>
      </w:r>
      <w:r w:rsidR="003E088E">
        <w:t xml:space="preserve"> </w:t>
      </w:r>
      <w:r w:rsidR="0040341C" w:rsidRPr="003D1F6D">
        <w:t>Uit de toelichting bij dit wetsvoorstel bl</w:t>
      </w:r>
      <w:r w:rsidR="00B8390E">
        <w:t>ee</w:t>
      </w:r>
      <w:r w:rsidR="0040341C" w:rsidRPr="003D1F6D">
        <w:t>k ook dat het de bedoeling van de indieners ervan is een regeling in te voeren zoals die van artikel 1:2 van het Nederlands Burgerlijk Wetboek. Het is opvallend dat de Raad van State hier ondanks de erkenning van de ruime appreciatiemarge van de wetgever benadrukt</w:t>
      </w:r>
      <w:r w:rsidR="00B8390E">
        <w:t>e</w:t>
      </w:r>
      <w:r w:rsidR="0040341C" w:rsidRPr="003D1F6D">
        <w:t xml:space="preserve"> dat uit de Nederlandse rechtsleer en rechtspraak blijkt dat er nog veel moeilijkheden rijzen bij de </w:t>
      </w:r>
      <w:r w:rsidR="0040341C" w:rsidRPr="003D1F6D">
        <w:lastRenderedPageBreak/>
        <w:t>tenuitvoerlegging van die regel in combinatie met andere bijzondere wetten, zodat aldus aan de rechter een beoordelingsbevoegdheid w</w:t>
      </w:r>
      <w:r w:rsidR="00B8390E">
        <w:t>e</w:t>
      </w:r>
      <w:r w:rsidR="0040341C" w:rsidRPr="003D1F6D">
        <w:t>rd gelaten die in botsing kan komen met de voorwaarden inzake voorzienbaarheid die krachtens het grondwettelijk en internationaal recht ter zake gelden. In het licht van de vele moeilijkheden die de voorgestelde tekst wegens de algemene bewoordingen ervan d</w:t>
      </w:r>
      <w:r w:rsidR="00B8390E">
        <w:t>e</w:t>
      </w:r>
      <w:r w:rsidR="0040341C" w:rsidRPr="003D1F6D">
        <w:t>e</w:t>
      </w:r>
      <w:r w:rsidR="00B8390E">
        <w:t>d</w:t>
      </w:r>
      <w:r w:rsidR="0040341C" w:rsidRPr="003D1F6D">
        <w:t xml:space="preserve"> rijzen,</w:t>
      </w:r>
      <w:r w:rsidR="003E088E">
        <w:t xml:space="preserve"> </w:t>
      </w:r>
      <w:r w:rsidR="0040341C" w:rsidRPr="003D1F6D">
        <w:t>besl</w:t>
      </w:r>
      <w:r w:rsidR="00B8390E">
        <w:t>oo</w:t>
      </w:r>
      <w:r w:rsidR="0040341C" w:rsidRPr="003D1F6D">
        <w:t>t de Raad van State dat het wellicht beter zou zijn om, in plaats van dit algemeen dispositief aan te nemen, in bepaalde onderdelen van specifieke wetten nauwkeurige juridische regelingen op te nemen waardoor het belang van het ongeboren kind beschermd zou worden zonder daarbij uit het oog te verliezen dat het evenwicht ten opzichte van de grondrechten van de overige betrokken personen bewaard dient te blijven.</w:t>
      </w:r>
      <w:r w:rsidR="0040341C" w:rsidRPr="003D1F6D">
        <w:rPr>
          <w:rStyle w:val="Voetnootmarkering"/>
          <w:color w:val="000000"/>
        </w:rPr>
        <w:footnoteReference w:id="252"/>
      </w:r>
    </w:p>
    <w:p w14:paraId="2906F02C" w14:textId="77777777" w:rsidR="003D1F6D" w:rsidRPr="003D1F6D" w:rsidRDefault="003D1F6D" w:rsidP="003D1F6D">
      <w:pPr>
        <w:autoSpaceDE w:val="0"/>
        <w:autoSpaceDN w:val="0"/>
        <w:adjustRightInd w:val="0"/>
        <w:spacing w:after="0" w:line="240" w:lineRule="auto"/>
        <w:jc w:val="both"/>
      </w:pPr>
    </w:p>
    <w:p w14:paraId="48762C9C" w14:textId="09B716DF" w:rsidR="0040341C" w:rsidRPr="003D1F6D" w:rsidRDefault="003D1F6D" w:rsidP="003D1F6D">
      <w:pPr>
        <w:pStyle w:val="Kop3"/>
      </w:pPr>
      <w:bookmarkStart w:id="48" w:name="_Toc70497782"/>
      <w:bookmarkStart w:id="49" w:name="_Toc70499154"/>
      <w:r>
        <w:t xml:space="preserve">B. </w:t>
      </w:r>
      <w:r w:rsidR="0040341C" w:rsidRPr="003D1F6D">
        <w:t>Legaliteitsbeginsel</w:t>
      </w:r>
      <w:bookmarkEnd w:id="48"/>
      <w:bookmarkEnd w:id="49"/>
    </w:p>
    <w:p w14:paraId="789A2DAB" w14:textId="77777777" w:rsidR="00341927" w:rsidRPr="003D1F6D" w:rsidRDefault="00341927" w:rsidP="003D1F6D">
      <w:pPr>
        <w:autoSpaceDE w:val="0"/>
        <w:autoSpaceDN w:val="0"/>
        <w:adjustRightInd w:val="0"/>
        <w:spacing w:after="0" w:line="240" w:lineRule="auto"/>
        <w:jc w:val="both"/>
      </w:pPr>
    </w:p>
    <w:p w14:paraId="4DD6E086" w14:textId="79E02A0C" w:rsidR="0040341C" w:rsidRPr="003D1F6D" w:rsidRDefault="00300802" w:rsidP="003D1F6D">
      <w:pPr>
        <w:autoSpaceDE w:val="0"/>
        <w:autoSpaceDN w:val="0"/>
        <w:adjustRightInd w:val="0"/>
        <w:spacing w:after="0" w:line="240" w:lineRule="auto"/>
        <w:jc w:val="both"/>
      </w:pPr>
      <w:r>
        <w:rPr>
          <w:b/>
          <w:bCs/>
        </w:rPr>
        <w:t>63.</w:t>
      </w:r>
      <w:r w:rsidR="003D1F6D" w:rsidRPr="003D1F6D">
        <w:tab/>
      </w:r>
      <w:r w:rsidR="0040341C" w:rsidRPr="003D1F6D">
        <w:t xml:space="preserve">Het jaar 2020 zal de geschiedenisboeken ingaan als het jaar </w:t>
      </w:r>
      <w:r>
        <w:t>van</w:t>
      </w:r>
      <w:r w:rsidRPr="003D1F6D">
        <w:t xml:space="preserve"> </w:t>
      </w:r>
      <w:r w:rsidR="0040341C" w:rsidRPr="003D1F6D">
        <w:t>de COVID-19</w:t>
      </w:r>
      <w:r>
        <w:t>-</w:t>
      </w:r>
      <w:r w:rsidR="0040341C" w:rsidRPr="003D1F6D">
        <w:t>pandemie. Het is wellicht ook het jaar waarin het grote publiek</w:t>
      </w:r>
      <w:r w:rsidR="003E088E">
        <w:t xml:space="preserve"> </w:t>
      </w:r>
      <w:r w:rsidR="0040341C" w:rsidRPr="003D1F6D">
        <w:t>het</w:t>
      </w:r>
      <w:r w:rsidR="003E088E">
        <w:t xml:space="preserve"> </w:t>
      </w:r>
      <w:r w:rsidR="0040341C" w:rsidRPr="003D1F6D">
        <w:t>belang van het (strafrechtelijk) legaliteitsbeginsel leerde kennen.</w:t>
      </w:r>
      <w:r w:rsidR="0040341C" w:rsidRPr="003D1F6D">
        <w:rPr>
          <w:rStyle w:val="Voetnootmarkering"/>
          <w:color w:val="000000"/>
        </w:rPr>
        <w:footnoteReference w:id="253"/>
      </w:r>
      <w:r w:rsidR="0040341C" w:rsidRPr="003D1F6D">
        <w:t xml:space="preserve"> Dat beginsel houdt in dat geen enkele gedraging strafbaar zal worden gesteld dan krachtens regels aangenomen door een democratisch verkozen beraadslagende vergadering. Het wettigheidsbeginsel in strafzaken gaat bovendien uit van de idee dat de strafwet moet worden geformuleerd in bewoordingen op grond waarvan eenieder, op het ogenblik waarop hij een gedrag aanneemt, kan uitmaken of dat gedrag al dan niet strafbaar is. Het vereist dat de wetgever in voldoende nauwkeurige, duidelijke en rechtszekerheid biedende bewoordingen bepaalt welke feiten strafbaar worden gesteld, zodat, enerzijds, diegene die een gedrag aanneemt, vooraf op afdoende wijze kan inschatten wat het strafrechtelijke gevolg van dat gedrag zal zijn en, anderzijds, aan de rechter geen al te grote beoordelingsbevoegdheid wordt gelaten. De adviespraktijk bevat talloze toepassingen van dit strafrechtelijk legaliteitsbeginsel in niet coronagerelateerde regelgeving, zoals bijvoorbeeld wanneer te algemeen verwezen wordt naar “bepalingen van een geldend internationaal instrument betreffende de werk- en leefomstandigheden van de vissers”</w:t>
      </w:r>
      <w:r w:rsidR="0040341C" w:rsidRPr="003D1F6D">
        <w:rPr>
          <w:rStyle w:val="Voetnootmarkering"/>
          <w:color w:val="000000"/>
        </w:rPr>
        <w:footnoteReference w:id="254"/>
      </w:r>
      <w:r w:rsidR="0040341C" w:rsidRPr="003D1F6D">
        <w:t xml:space="preserve"> of naar te vage omschrijvingen bij de bestraffing van paardencarrousels die “ronddraaien op een beperkte oppervlakte”</w:t>
      </w:r>
      <w:r w:rsidR="0040341C" w:rsidRPr="003D1F6D">
        <w:rPr>
          <w:rStyle w:val="Voetnootmarkering"/>
          <w:color w:val="000000"/>
        </w:rPr>
        <w:footnoteReference w:id="255"/>
      </w:r>
      <w:r w:rsidR="0040341C" w:rsidRPr="003D1F6D">
        <w:t xml:space="preserve"> . De ministeriële besluiten houdende dringende maatregelen om de verspreiding van het coronavirus COVID-19</w:t>
      </w:r>
      <w:r w:rsidR="0040341C" w:rsidRPr="003D1F6D">
        <w:rPr>
          <w:rStyle w:val="Voetnootmarkering"/>
          <w:color w:val="000000"/>
        </w:rPr>
        <w:footnoteReference w:id="256"/>
      </w:r>
      <w:r w:rsidR="0040341C" w:rsidRPr="003D1F6D">
        <w:t xml:space="preserve"> te beperken werden daarentegen niet voor advies aan de Raad van State voorgelegd, waardoor de Raad van State deze ministeriële besluiten niet heeft kunnen toetsen aan onder meer het strafrechtelijk legaliteitsbeginsel. </w:t>
      </w:r>
    </w:p>
    <w:p w14:paraId="2DA00EDC" w14:textId="77777777" w:rsidR="002B0B0D" w:rsidRDefault="002B0B0D" w:rsidP="003D1F6D">
      <w:pPr>
        <w:autoSpaceDE w:val="0"/>
        <w:autoSpaceDN w:val="0"/>
        <w:adjustRightInd w:val="0"/>
        <w:spacing w:after="0" w:line="240" w:lineRule="auto"/>
        <w:jc w:val="both"/>
      </w:pPr>
    </w:p>
    <w:p w14:paraId="3998A62A" w14:textId="3A8EFA51" w:rsidR="006D62A2" w:rsidRDefault="006C2AB4" w:rsidP="003D1F6D">
      <w:pPr>
        <w:autoSpaceDE w:val="0"/>
        <w:autoSpaceDN w:val="0"/>
        <w:adjustRightInd w:val="0"/>
        <w:spacing w:after="0" w:line="240" w:lineRule="auto"/>
        <w:jc w:val="both"/>
      </w:pPr>
      <w:r>
        <w:rPr>
          <w:b/>
          <w:bCs/>
        </w:rPr>
        <w:t>64.</w:t>
      </w:r>
      <w:r w:rsidR="003D1F6D" w:rsidRPr="003D1F6D">
        <w:tab/>
      </w:r>
      <w:r w:rsidR="0040341C" w:rsidRPr="003D1F6D">
        <w:t>Toch heeft de Raad van State in een aantal adviezen gewezen op het belang van het strafrechtelijk legaliteitsbeginsel in de context van de COVID-19</w:t>
      </w:r>
      <w:r w:rsidR="00EC0C35">
        <w:t>-</w:t>
      </w:r>
      <w:r w:rsidR="0040341C" w:rsidRPr="003D1F6D">
        <w:t>pandemie</w:t>
      </w:r>
      <w:r w:rsidR="00FF7133" w:rsidRPr="003D1F6D">
        <w:rPr>
          <w:rStyle w:val="Voetnootmarkering"/>
        </w:rPr>
        <w:footnoteReference w:id="257"/>
      </w:r>
      <w:r w:rsidR="0040341C" w:rsidRPr="003D1F6D">
        <w:t>. Zo oordeelde de afdeling wetgeving dat een Waals besluit het legaliteitsbeginsel schond doordat het in fine het toepassingsgebied van de strafrechtelijke inbreuken</w:t>
      </w:r>
      <w:r w:rsidR="003E088E">
        <w:t xml:space="preserve"> </w:t>
      </w:r>
      <w:r w:rsidR="0040341C" w:rsidRPr="003D1F6D">
        <w:t>omschreef door enerzijds te</w:t>
      </w:r>
      <w:r w:rsidR="003E088E">
        <w:t xml:space="preserve"> </w:t>
      </w:r>
      <w:r w:rsidR="0040341C" w:rsidRPr="003D1F6D">
        <w:t>verwijzen naar “aanbevelingen en beslissingen van de federale en interfederale instanties” en anderzijds te verwijzen naar reglementaire akten die aangenomen zijn door de regionale hygiëne inspecteur.</w:t>
      </w:r>
      <w:r w:rsidR="0040341C" w:rsidRPr="003D1F6D">
        <w:rPr>
          <w:rStyle w:val="Voetnootmarkering"/>
          <w:color w:val="000000"/>
        </w:rPr>
        <w:footnoteReference w:id="258"/>
      </w:r>
      <w:r w:rsidR="0040341C" w:rsidRPr="003D1F6D">
        <w:t xml:space="preserve"> De preambule van het besluit verwees voor de omschrijving van heel wat sleutelbegrippen</w:t>
      </w:r>
      <w:r w:rsidR="0040341C" w:rsidRPr="003D1F6D">
        <w:rPr>
          <w:rStyle w:val="Voetnootmarkering"/>
          <w:color w:val="000000"/>
        </w:rPr>
        <w:footnoteReference w:id="259"/>
      </w:r>
      <w:r w:rsidR="0040341C" w:rsidRPr="003D1F6D">
        <w:t xml:space="preserve"> naar de aanbevelingen en beslissingen van de federale en interfederale instanties. Gevraagd om deze definities te verduidelijken verwees de gemachtigde naar de website van Sciensano. Aangezien het een definities betrof die konden evolueren, verkoos men deze aanpak om verschillen tussen de regionale definitie en die van Sciensano te vermijden. De gemachtigde verduidelijkte ook dat de “federale en inter-federale instanties” onder meer verwees naar “de Nationale Veiligheidsraad, het Overlegcomité, de Risk Management Group, de Inter-Ministeriële Conferentie Volksgezondheid en Sciensano”. De Raad van State </w:t>
      </w:r>
      <w:r w:rsidR="00226A00" w:rsidRPr="003D1F6D">
        <w:t>w</w:t>
      </w:r>
      <w:r w:rsidR="00226A00">
        <w:t>ees</w:t>
      </w:r>
      <w:r w:rsidR="00226A00" w:rsidRPr="003D1F6D">
        <w:t xml:space="preserve"> </w:t>
      </w:r>
      <w:r w:rsidR="0040341C" w:rsidRPr="003D1F6D">
        <w:t>erop dat deze aanpak erop neerkomt dat niet alleen de omschrijving van belangrijke bestanddelen van de strafbaarstelling gedelegeerd wordt aan entiteiten die geen politieke verantwoordelijkheid moeten afleggen, maar bovendien rechtsonzekerheid teweeggebracht wordt die niet verenigbaar is met de vereisten kwaliteit van de strafwet zoals vastgelegd in de rechtspraak van het Grondwettelijk Hof en het EHRM.</w:t>
      </w:r>
      <w:r w:rsidR="0040341C" w:rsidRPr="003D1F6D">
        <w:rPr>
          <w:rStyle w:val="Voetnootmarkering"/>
          <w:color w:val="000000"/>
        </w:rPr>
        <w:footnoteReference w:id="260"/>
      </w:r>
      <w:r w:rsidR="0040341C" w:rsidRPr="003D1F6D">
        <w:t xml:space="preserve"> De regering moe</w:t>
      </w:r>
      <w:r w:rsidR="00226A00">
        <w:t>s</w:t>
      </w:r>
      <w:r w:rsidR="0040341C" w:rsidRPr="003D1F6D">
        <w:t xml:space="preserve">t ervoor zorgen dat de strafbare gedragingen duidelijk identificeerbaar zijn en dat is onmogelijk wanneer zonder verdere verduidelijking verwezen wordt naar “beslissingen” en “aanbevelingen”, die uitgaan van instanties die niet exhaustief worden opgesomd, en waarvan opgemerkt kan worden dat ze juridisch niet verbindend zijn. Daarenboven is het ondenkbaar dat deze strafbare gedragingen niet vooraf bekendgemaakt worden overeenkomstig de vormen voorzien in artikel 84 </w:t>
      </w:r>
      <w:r w:rsidR="006D62A2">
        <w:t>BWHI</w:t>
      </w:r>
      <w:r w:rsidR="0040341C" w:rsidRPr="003D1F6D">
        <w:t>.</w:t>
      </w:r>
    </w:p>
    <w:p w14:paraId="69D4F901" w14:textId="77777777" w:rsidR="006D62A2" w:rsidRPr="003D1F6D" w:rsidRDefault="006D62A2" w:rsidP="003D1F6D">
      <w:pPr>
        <w:autoSpaceDE w:val="0"/>
        <w:autoSpaceDN w:val="0"/>
        <w:adjustRightInd w:val="0"/>
        <w:spacing w:after="0" w:line="240" w:lineRule="auto"/>
        <w:jc w:val="both"/>
      </w:pPr>
    </w:p>
    <w:p w14:paraId="3892AC3C" w14:textId="57969A61" w:rsidR="0040341C" w:rsidRPr="003D1F6D" w:rsidRDefault="00D41F21" w:rsidP="003D1F6D">
      <w:pPr>
        <w:autoSpaceDE w:val="0"/>
        <w:autoSpaceDN w:val="0"/>
        <w:adjustRightInd w:val="0"/>
        <w:spacing w:after="0" w:line="240" w:lineRule="auto"/>
        <w:jc w:val="both"/>
      </w:pPr>
      <w:r w:rsidRPr="00B333AE">
        <w:rPr>
          <w:b/>
          <w:bCs/>
        </w:rPr>
        <w:t>65.</w:t>
      </w:r>
      <w:r w:rsidR="003D1F6D" w:rsidRPr="003D1F6D">
        <w:tab/>
      </w:r>
      <w:r w:rsidR="0040341C" w:rsidRPr="003D1F6D">
        <w:t>Ook</w:t>
      </w:r>
      <w:r w:rsidR="00674116">
        <w:t xml:space="preserve"> in</w:t>
      </w:r>
      <w:r w:rsidR="0040341C" w:rsidRPr="003D1F6D">
        <w:t xml:space="preserve"> de hierboven reeds aangehaalde ethische dossiers wees de Raad van State</w:t>
      </w:r>
      <w:r w:rsidR="003E088E">
        <w:t xml:space="preserve"> </w:t>
      </w:r>
      <w:r w:rsidR="0040341C" w:rsidRPr="003D1F6D">
        <w:t>herhaaldelijk op het belang van het strafrechtelijk legaliteitsbeginsel. In verband met de invoering van het misdrijf van belemmering van vrijwillige zwangerschapsafbreking</w:t>
      </w:r>
      <w:r w:rsidR="003E088E">
        <w:t xml:space="preserve"> </w:t>
      </w:r>
      <w:r w:rsidR="0040341C" w:rsidRPr="003D1F6D">
        <w:t>stelt het EHRM vast dat de inmenging in het recht op meningsuiting onder meer voorzien dient te zijn “bij de wet”. Aangezien het gaat om een inmenging waarbij handelingen strafbaar worden gesteld, moet deze beantwoorden aan dezelfde voorzienbaarheidsvereisten als die welke afgeleid kunnen worden uit artikel 7 EVRM.</w:t>
      </w:r>
      <w:r w:rsidR="003E088E">
        <w:t xml:space="preserve"> </w:t>
      </w:r>
      <w:r w:rsidR="0040341C" w:rsidRPr="003D1F6D">
        <w:t xml:space="preserve">Zoals vastgesteld wordt in de verantwoording van het amendement is de lijst met laakbare gedragingen slechts illustratief. Op zich betekent dat niet dat het legaliteitsbeginsel in strafzaken hier </w:t>
      </w:r>
      <w:r w:rsidR="0040341C" w:rsidRPr="003D1F6D">
        <w:rPr>
          <w:i/>
        </w:rPr>
        <w:t>ipso jure</w:t>
      </w:r>
      <w:r w:rsidR="0040341C" w:rsidRPr="003D1F6D">
        <w:t xml:space="preserve"> geschonden wordt, aangezien het Europees Hof voor de Rechten van de Mens en het Grondwettelijk Hof toegeven dat dit beginsel niet onderstelt dat de strafwet absolute zekerheid biedt, maar ervan uitgegaan mag worden dat wat strafrechtelijk voorgeschreven is, medebepaald kan worden door interpretatie in de </w:t>
      </w:r>
      <w:r w:rsidR="0040341C" w:rsidRPr="003D1F6D">
        <w:lastRenderedPageBreak/>
        <w:t>rechtspraak. Het is echter belangrijk dat die onzekerheid door de wetgever zelf zo veel als mogelijk beperkt wordt en dat in de parlementaire voorbereiding zelf niet onmiddellijk niet-uitgeklaarde blinde vlekken, contradicties of controverses opduiken in verband met de strafrechtelijke strafbaarheid van bepaalde gedragingen. De afdeling Wetgeving is op dat punt van oordeel dat nog enige verheldering aangebracht kan worden met betrekking tot de vraag of en vanaf wanneer de partner van de zwangere vrouw die zijn afkeuring laat blijken in verband met de geplande vrijwillige zwangerschapsafbreking, strafbaar zal zijn.</w:t>
      </w:r>
      <w:r w:rsidR="0040341C" w:rsidRPr="003D1F6D">
        <w:rPr>
          <w:rStyle w:val="Voetnootmarkering"/>
          <w:color w:val="000000"/>
        </w:rPr>
        <w:footnoteReference w:id="261"/>
      </w:r>
    </w:p>
    <w:p w14:paraId="61B8A7EE" w14:textId="77777777" w:rsidR="003D1F6D" w:rsidRPr="003D1F6D" w:rsidRDefault="003D1F6D" w:rsidP="003D1F6D">
      <w:pPr>
        <w:autoSpaceDE w:val="0"/>
        <w:autoSpaceDN w:val="0"/>
        <w:adjustRightInd w:val="0"/>
        <w:spacing w:after="0" w:line="240" w:lineRule="auto"/>
        <w:jc w:val="both"/>
      </w:pPr>
    </w:p>
    <w:p w14:paraId="6DE63F1A" w14:textId="6F0C8C98" w:rsidR="0040341C" w:rsidRPr="003D1F6D" w:rsidRDefault="00226A00" w:rsidP="003D1F6D">
      <w:pPr>
        <w:autoSpaceDE w:val="0"/>
        <w:autoSpaceDN w:val="0"/>
        <w:adjustRightInd w:val="0"/>
        <w:spacing w:after="0" w:line="240" w:lineRule="auto"/>
        <w:jc w:val="both"/>
      </w:pPr>
      <w:r>
        <w:rPr>
          <w:b/>
          <w:bCs/>
        </w:rPr>
        <w:t>66.</w:t>
      </w:r>
      <w:r w:rsidR="003D1F6D" w:rsidRPr="003D1F6D">
        <w:tab/>
      </w:r>
      <w:r w:rsidR="0040341C" w:rsidRPr="003D1F6D">
        <w:t>Ten slotte dient ook het wetsvoorstel inzake prenatale rechtsbescherming in deze context vermeld te worden. Doordat overwogen w</w:t>
      </w:r>
      <w:r>
        <w:t>e</w:t>
      </w:r>
      <w:r w:rsidR="0040341C" w:rsidRPr="003D1F6D">
        <w:t>rd te voorzien in de mogelijkheid om op grond van de wet van 26 juni 1990 te raken aan de vrijheid van de persoon van een zwangere vrouw ten behoeve van de bescherming van het belang van haar ongeboren kind, moe</w:t>
      </w:r>
      <w:r>
        <w:t>s</w:t>
      </w:r>
      <w:r w:rsidR="0040341C" w:rsidRPr="003D1F6D">
        <w:t>t een dergelijke vrijheidsbenemende maatregel voldoen aan de voorwaarden van artikel 5 EVRM. Zo mag voor de vrijheidsbenemende maatregel alleen gesteund worden op een wet die voldoet aan de kwalitatieve voorwaarden die voor een wet gelden wat betreft kenbaarheid en voorzienbaarheid. Er moe</w:t>
      </w:r>
      <w:r>
        <w:t>s</w:t>
      </w:r>
      <w:r w:rsidR="0040341C" w:rsidRPr="003D1F6D">
        <w:t xml:space="preserve">t worden vastgesteld dat dit hier niet het geval </w:t>
      </w:r>
      <w:r>
        <w:t>wa</w:t>
      </w:r>
      <w:r w:rsidR="0040341C" w:rsidRPr="003D1F6D">
        <w:t>s. Naast de omstandigheid dat de vraag niet beslecht is of alcohol- of drugsverslaving op zichzelf beschouwd gerekend kunnen worden tot de “geestesziekten” in de zin van de wet van 26 juni 1990, moe</w:t>
      </w:r>
      <w:r>
        <w:t>s</w:t>
      </w:r>
      <w:r w:rsidR="0040341C" w:rsidRPr="003D1F6D">
        <w:t>t immers eveneens worden opgemerkt dat als het voorgestelde artikel 388/1 van het Burgerlijk Wetboek, waarin verwezen wordt naar eender welke zwangere vrouw, in samenhang gelezen met artikel 2 van de wet van 26 juni 1990, niet toelaat om met de vereiste duidelijkheid en nauwkeurigheid uit te maken in welke gevallen een zwangere vrouw tegen haar wil wegens alcohol- of drugsverslaving vastgehouden kan worden en in welke gevallen zij door die verslaving een “ernstige bedreiging voor andermans leven of integriteit” vormt, in dit geval voor dat van haar ongeboren kind. Niet alleen bij de vereisten wat betreft duidelijkheid en voorzienbaarheid die voor de wet gelden, moe</w:t>
      </w:r>
      <w:r>
        <w:t>s</w:t>
      </w:r>
      <w:r w:rsidR="0040341C" w:rsidRPr="003D1F6D">
        <w:t xml:space="preserve">ten vragen gesteld worden, maar, zoals hiervoor reeds werd vermeld, ook bij de proportionaliteit van de vrijheidsbenemende maatregel, gelet op het motief waarop die maatregel steunt. In dit geval is het immers alleen als het niet mogelijk is om ter bescherming van het belang van haar ongeboren kind andere maatregelen te overwegen waardoor de grondrechten van de zwangere vrouw minder aangetast zouden worden, dat haar gedwongen opname gerechtvaardigd zou kunnen worden. Het vereiste inzake proportionaliteit dat aldus gesteld wordt, kan evenwel alleen gecontroleerd en vervuld worden indien de gevallen waarin een vrijheidsbenemende maatregel overwogen wordt, nauwkeurig genoeg omschreven zijn, wat met de voorgestelde tekst niet het geval </w:t>
      </w:r>
      <w:r>
        <w:t>wa</w:t>
      </w:r>
      <w:r w:rsidR="0040341C" w:rsidRPr="003D1F6D">
        <w:t>s om de zo-even vermelde redenen. Als het de bedoeling van de wetgever is om bijzondere gevallen te bepalen waarin, als laatste redmiddel, ten aanzien van een zwangere vrouw een vrijheidsbenemende maatregel getroffen zou kunnen worden om haar ongeboren kind in bijzonder ernstige omstandigheden te kunnen beschermen, zou het bijgevolg raadzaam zijn de voorkeur te geven aan het wijzigen van de wet van 26 juni 1990 teneinde de voorwaarden voor die maatregel zo duidelijk en nauwkeurig te formuleren als nodig is, gelet op het evenwicht dat gevonden moet worden tussen, enerzijds, de fundamentele rechten van de zwangere vrouw en, anderzijds, de concurrerende rechten en vrijheden, met inbegrip van die van haar ongeboren kind.</w:t>
      </w:r>
      <w:r w:rsidR="0040341C" w:rsidRPr="003D1F6D">
        <w:rPr>
          <w:rStyle w:val="Voetnootmarkering"/>
          <w:color w:val="000000"/>
        </w:rPr>
        <w:footnoteReference w:id="262"/>
      </w:r>
    </w:p>
    <w:p w14:paraId="350FC953" w14:textId="22245ABE" w:rsidR="0040341C" w:rsidRPr="00FE1D0C" w:rsidRDefault="003D1F6D" w:rsidP="003D1F6D">
      <w:pPr>
        <w:pStyle w:val="Kop3"/>
      </w:pPr>
      <w:bookmarkStart w:id="50" w:name="_Toc70497783"/>
      <w:bookmarkStart w:id="51" w:name="_Toc70499155"/>
      <w:r>
        <w:lastRenderedPageBreak/>
        <w:t xml:space="preserve">C. </w:t>
      </w:r>
      <w:r w:rsidR="0040341C" w:rsidRPr="00FE1D0C">
        <w:t>Evenredigheid</w:t>
      </w:r>
      <w:bookmarkEnd w:id="50"/>
      <w:bookmarkEnd w:id="51"/>
    </w:p>
    <w:p w14:paraId="39AB38D0" w14:textId="77777777" w:rsidR="00341927" w:rsidRPr="003D1F6D" w:rsidRDefault="00341927" w:rsidP="003D1F6D">
      <w:pPr>
        <w:autoSpaceDE w:val="0"/>
        <w:autoSpaceDN w:val="0"/>
        <w:adjustRightInd w:val="0"/>
        <w:spacing w:after="0" w:line="240" w:lineRule="auto"/>
        <w:jc w:val="both"/>
      </w:pPr>
    </w:p>
    <w:p w14:paraId="78AF5E39" w14:textId="0F625DB9" w:rsidR="0040341C" w:rsidRPr="003D1F6D" w:rsidRDefault="00226A00" w:rsidP="003D1F6D">
      <w:pPr>
        <w:autoSpaceDE w:val="0"/>
        <w:autoSpaceDN w:val="0"/>
        <w:adjustRightInd w:val="0"/>
        <w:spacing w:after="0" w:line="240" w:lineRule="auto"/>
        <w:jc w:val="both"/>
      </w:pPr>
      <w:r>
        <w:rPr>
          <w:b/>
          <w:bCs/>
        </w:rPr>
        <w:t>67.</w:t>
      </w:r>
      <w:r>
        <w:tab/>
      </w:r>
      <w:r w:rsidR="0040341C" w:rsidRPr="003D1F6D">
        <w:t>Uit de voorbeelden bij een wetsvoorstel bl</w:t>
      </w:r>
      <w:r>
        <w:t>ee</w:t>
      </w:r>
      <w:r w:rsidR="0040341C" w:rsidRPr="003D1F6D">
        <w:t>k niet duidelijk of men enkel doelbewust gegeven foute informatie (</w:t>
      </w:r>
      <w:r w:rsidR="0040341C" w:rsidRPr="003D1F6D">
        <w:rPr>
          <w:i/>
        </w:rPr>
        <w:t>fake news</w:t>
      </w:r>
      <w:r w:rsidR="0040341C" w:rsidRPr="003D1F6D">
        <w:t>) wil bestraffen of ook meningen. Nochtans stel</w:t>
      </w:r>
      <w:r>
        <w:t>de</w:t>
      </w:r>
      <w:r w:rsidR="0040341C" w:rsidRPr="003D1F6D">
        <w:t xml:space="preserve"> de Raad van State vast dat dit onderscheid belangrijk is voor de beoordeling van de proportionaliteit in de context van artikel 10 EVRM</w:t>
      </w:r>
      <w:r w:rsidR="0040341C" w:rsidRPr="003D1F6D">
        <w:rPr>
          <w:rStyle w:val="Voetnootmarkering"/>
          <w:color w:val="000000"/>
        </w:rPr>
        <w:footnoteReference w:id="263"/>
      </w:r>
      <w:r w:rsidR="0040341C" w:rsidRPr="003D1F6D">
        <w:t>.</w:t>
      </w:r>
      <w:r w:rsidR="0040341C" w:rsidRPr="003D1F6D">
        <w:rPr>
          <w:rStyle w:val="Voetnootmarkering"/>
          <w:color w:val="000000"/>
        </w:rPr>
        <w:t xml:space="preserve"> </w:t>
      </w:r>
      <w:r w:rsidR="0040341C" w:rsidRPr="003D1F6D">
        <w:t xml:space="preserve">Het Europees Hof voor de rechten van de Mens benadrukt alvast dat pamfletten van actievoerders ook overdrijvingen mogen bevatten, zodat het verbieden van het gebruik van overdreven, groteske afbeeldingen op zich disproportioneel is. Het </w:t>
      </w:r>
      <w:r>
        <w:t>wa</w:t>
      </w:r>
      <w:r w:rsidR="0040341C" w:rsidRPr="003D1F6D">
        <w:t>s volgens de Raad van State raadzaam om in de parlementaire bespreking dieper in te gaan op die kwestie.</w:t>
      </w:r>
      <w:r w:rsidR="0040341C" w:rsidRPr="003D1F6D">
        <w:rPr>
          <w:rStyle w:val="Voetnootmarkering"/>
          <w:color w:val="000000"/>
        </w:rPr>
        <w:footnoteReference w:id="264"/>
      </w:r>
      <w:r w:rsidR="0040341C" w:rsidRPr="003D1F6D">
        <w:t xml:space="preserve"> De afdeling Wetgeving stel</w:t>
      </w:r>
      <w:r>
        <w:t>de</w:t>
      </w:r>
      <w:r w:rsidR="0040341C" w:rsidRPr="003D1F6D">
        <w:t xml:space="preserve"> voorts vast dat de straffen die opgelopen kunnen worden wanneer een gedraging wordt gesteld die valt onder de nieuwe strafbaarstelling, ook een mogelijke vrijheidsberoving van drie maanden tot een jaar omvatten. </w:t>
      </w:r>
      <w:r w:rsidR="0040341C" w:rsidRPr="003D1F6D">
        <w:rPr>
          <w:lang w:val="fr-FR"/>
        </w:rPr>
        <w:t>Volgens het Europees Hof voor de Rechten van de Mens mag de uitoefening van de vrijheid van meningsuiting echter alleen tot een vrijheidsberoving leiden “dans des circonstances exceptionnelles, notamment lorsque d‟autres droits fondamentaux ont été gravement atteints, comme dans l‟hypothèse, par exemple, de la diffusion d</w:t>
      </w:r>
      <w:r w:rsidR="00F87508">
        <w:rPr>
          <w:lang w:val="fr-FR"/>
        </w:rPr>
        <w:t>’</w:t>
      </w:r>
      <w:r w:rsidR="0040341C" w:rsidRPr="003D1F6D">
        <w:rPr>
          <w:lang w:val="fr-FR"/>
        </w:rPr>
        <w:t>un discours de haine ou d</w:t>
      </w:r>
      <w:r w:rsidR="00F87508">
        <w:rPr>
          <w:lang w:val="fr-FR"/>
        </w:rPr>
        <w:t>’</w:t>
      </w:r>
      <w:r w:rsidR="0040341C" w:rsidRPr="003D1F6D">
        <w:rPr>
          <w:lang w:val="fr-FR"/>
        </w:rPr>
        <w:t xml:space="preserve">incitation à la violence”. </w:t>
      </w:r>
      <w:r w:rsidR="0040341C" w:rsidRPr="003D1F6D">
        <w:t>Het verdient aanbeveling dat in de parlementaire bespreking aangetoond wordt</w:t>
      </w:r>
      <w:r w:rsidR="003E088E">
        <w:t xml:space="preserve"> </w:t>
      </w:r>
      <w:r w:rsidR="0040341C" w:rsidRPr="003D1F6D">
        <w:t>op welke wijze de beperkingen van de vrijheid van meningsuiting die voortvloeien uit de nieuw geformuleerde strafbaarstelling, beantwoorden aan die “circonstances exceptionnelles”.</w:t>
      </w:r>
      <w:r w:rsidR="003E088E">
        <w:t xml:space="preserve"> </w:t>
      </w:r>
    </w:p>
    <w:p w14:paraId="2194EDA5" w14:textId="77777777" w:rsidR="00226A00" w:rsidRDefault="00226A00" w:rsidP="003D1F6D">
      <w:pPr>
        <w:autoSpaceDE w:val="0"/>
        <w:autoSpaceDN w:val="0"/>
        <w:adjustRightInd w:val="0"/>
        <w:spacing w:after="0" w:line="240" w:lineRule="auto"/>
        <w:jc w:val="both"/>
      </w:pPr>
    </w:p>
    <w:p w14:paraId="7ABEA8AA" w14:textId="7DB14DC5" w:rsidR="0040341C" w:rsidRDefault="00226A00" w:rsidP="003D1F6D">
      <w:pPr>
        <w:autoSpaceDE w:val="0"/>
        <w:autoSpaceDN w:val="0"/>
        <w:adjustRightInd w:val="0"/>
        <w:spacing w:after="0" w:line="240" w:lineRule="auto"/>
        <w:jc w:val="both"/>
      </w:pPr>
      <w:r>
        <w:rPr>
          <w:b/>
          <w:bCs/>
        </w:rPr>
        <w:t>68.</w:t>
      </w:r>
      <w:r>
        <w:tab/>
      </w:r>
      <w:r w:rsidR="0040341C" w:rsidRPr="003D1F6D">
        <w:t xml:space="preserve">De Waalse Code de l’environnement voorzag niet in een adequate definitie voor de bijzondere herhaling. Zo werd niet verduidelijkt dat de nieuwe inbreuk binnen een bepaalde tijdspanne moest gemaakt zijn. Gelet op de gevolgen die verbonden zijn aan de herhaling –zeker wanneer dit van rechtswege wordt toegepast zonder rekening te kunnen houden met de omstandigheden van de zaak – is het geoorloofd om zich af te vragen of dit in sommige </w:t>
      </w:r>
      <w:r w:rsidR="00674116">
        <w:t>gevallen</w:t>
      </w:r>
      <w:r w:rsidR="00674116" w:rsidRPr="003D1F6D">
        <w:t xml:space="preserve"> </w:t>
      </w:r>
      <w:r w:rsidR="0040341C" w:rsidRPr="003D1F6D">
        <w:t>niet zal resulteren in een disproportionele sanctie. Om de evenredigheid van de sancties te garanderen, zoals onder meer gegarandeerd in artikel 49, §3, van het EU-Handvest van de grondrechten moet het ontwerp op dit punt herbekeken worden.</w:t>
      </w:r>
      <w:r w:rsidR="0040341C" w:rsidRPr="003D1F6D">
        <w:rPr>
          <w:rStyle w:val="Voetnootmarkering"/>
          <w:color w:val="000000"/>
        </w:rPr>
        <w:footnoteReference w:id="265"/>
      </w:r>
    </w:p>
    <w:p w14:paraId="51C35EBB" w14:textId="77777777" w:rsidR="00226A00" w:rsidRPr="003D1F6D" w:rsidRDefault="00226A00" w:rsidP="003D1F6D">
      <w:pPr>
        <w:autoSpaceDE w:val="0"/>
        <w:autoSpaceDN w:val="0"/>
        <w:adjustRightInd w:val="0"/>
        <w:spacing w:after="0" w:line="240" w:lineRule="auto"/>
        <w:jc w:val="both"/>
      </w:pPr>
    </w:p>
    <w:p w14:paraId="7F597A9D" w14:textId="16016898" w:rsidR="0040341C" w:rsidRPr="003D1F6D" w:rsidRDefault="00226A00" w:rsidP="003D1F6D">
      <w:pPr>
        <w:autoSpaceDE w:val="0"/>
        <w:autoSpaceDN w:val="0"/>
        <w:adjustRightInd w:val="0"/>
        <w:spacing w:after="0" w:line="240" w:lineRule="auto"/>
        <w:jc w:val="both"/>
      </w:pPr>
      <w:r>
        <w:rPr>
          <w:b/>
          <w:bCs/>
        </w:rPr>
        <w:t>69.</w:t>
      </w:r>
      <w:r>
        <w:tab/>
      </w:r>
      <w:r w:rsidR="0040341C" w:rsidRPr="003D1F6D">
        <w:t>Zoals reeds uitvoerig besproken in eerdere kronieken moet ook een administratieve sanctie evenredig zijn, dat wil zeggen dat de verhouding tussen de hoogte van de boete en de gepleegde inbreuk niet disproportioneel mag zijn.</w:t>
      </w:r>
      <w:r w:rsidR="0040341C" w:rsidRPr="003D1F6D">
        <w:rPr>
          <w:rStyle w:val="Voetnootmarkering"/>
          <w:color w:val="000000"/>
        </w:rPr>
        <w:footnoteReference w:id="266"/>
      </w:r>
      <w:r w:rsidR="0040341C" w:rsidRPr="003D1F6D">
        <w:t xml:space="preserve"> De mogelijkheid rekening te houden met verzachtende omstandigheden draagt ertoe bij dat gewaakt kan worden over de evenredigheid van de sanctie. Meer in het algemeen heeft het Grondwettelijk Hof er trouwens op gewezen dat, wanneer de dader voor dezelfde feiten ofwel een strafrechtelijke boete, ofwel een administratieve boete kan worden opgelegd, er in beginsel een parallellisme moet bestaan tussen de maatregelen tot individualisering van de sanctie, bijvoorbeeld de mogelijkheid rekening te houden met verzachtende omstandigheden: wanneer voor dezelfde feiten de rechter een strafrechtelijke geldboete kan opleggen die minder bedraagt dan het wettelijke minimum indien er verzachtende omstandigheden bestaan, dan moet die </w:t>
      </w:r>
      <w:r w:rsidR="0040341C" w:rsidRPr="003D1F6D">
        <w:lastRenderedPageBreak/>
        <w:t>mogelijkheid ook bestaan in verband met het opleggen van een administratieve geldboete. Wordt niet in die mogelijkheid voorzien, dan dient dat verschil in behandeling redelijk verantwoord te kunnen worden. In advies 67.07/3 oordeelt de Raad van State dat de mogelijkheid om ultiem een beroep te doen op het genaderecht of de fiscale bemiddelingsdienst niet lijkt te volstaan.</w:t>
      </w:r>
      <w:r w:rsidR="0040341C" w:rsidRPr="003D1F6D">
        <w:rPr>
          <w:rStyle w:val="Voetnootmarkering"/>
          <w:color w:val="000000"/>
        </w:rPr>
        <w:footnoteReference w:id="267"/>
      </w:r>
      <w:r w:rsidR="0040341C" w:rsidRPr="003D1F6D">
        <w:t xml:space="preserve"> In beginsel dienen de waarborgen om tot een evenredige sanctionering te komen immers geboden te worden in het kader van de gewone sanctieprocedure waarbij de belastingadministratie of de rechter zich over de sanctie uitspreken. Die garanties mogen niet afhangen van een laatste-redmiddel-procedure die in het leven is geroepen om nog te kunnen ingrijpen omwille van inzonderheid humanitaire of sociale redenen nadat alle beroepsmogelijkheden zijn uitgeput.</w:t>
      </w:r>
    </w:p>
    <w:p w14:paraId="147CE5E1" w14:textId="77777777" w:rsidR="003D1F6D" w:rsidRPr="003D1F6D" w:rsidRDefault="003D1F6D" w:rsidP="003D1F6D">
      <w:pPr>
        <w:autoSpaceDE w:val="0"/>
        <w:autoSpaceDN w:val="0"/>
        <w:adjustRightInd w:val="0"/>
        <w:spacing w:after="0" w:line="240" w:lineRule="auto"/>
        <w:jc w:val="both"/>
      </w:pPr>
    </w:p>
    <w:p w14:paraId="26C1D8CA" w14:textId="74AC89F6" w:rsidR="0040341C" w:rsidRPr="00FE1D0C" w:rsidRDefault="003D1F6D" w:rsidP="003D1F6D">
      <w:pPr>
        <w:pStyle w:val="Kop3"/>
      </w:pPr>
      <w:bookmarkStart w:id="52" w:name="_Toc70497784"/>
      <w:bookmarkStart w:id="53" w:name="_Toc70499156"/>
      <w:r>
        <w:t xml:space="preserve">D. </w:t>
      </w:r>
      <w:r w:rsidR="0040341C" w:rsidRPr="00FE1D0C">
        <w:t>Handhaving en Rechtsbescherming</w:t>
      </w:r>
      <w:bookmarkEnd w:id="52"/>
      <w:bookmarkEnd w:id="53"/>
      <w:r w:rsidR="0040341C" w:rsidRPr="00FE1D0C">
        <w:t xml:space="preserve"> </w:t>
      </w:r>
    </w:p>
    <w:p w14:paraId="75A68BAE" w14:textId="77777777" w:rsidR="00710FAC" w:rsidRPr="003D1F6D" w:rsidRDefault="00710FAC" w:rsidP="003D1F6D">
      <w:pPr>
        <w:autoSpaceDE w:val="0"/>
        <w:autoSpaceDN w:val="0"/>
        <w:adjustRightInd w:val="0"/>
        <w:spacing w:after="0" w:line="240" w:lineRule="auto"/>
        <w:jc w:val="both"/>
      </w:pPr>
    </w:p>
    <w:p w14:paraId="11498B4C" w14:textId="558DABF1" w:rsidR="0040341C" w:rsidRPr="003D1F6D" w:rsidRDefault="00A435C6" w:rsidP="003D1F6D">
      <w:pPr>
        <w:autoSpaceDE w:val="0"/>
        <w:autoSpaceDN w:val="0"/>
        <w:adjustRightInd w:val="0"/>
        <w:spacing w:after="0" w:line="240" w:lineRule="auto"/>
        <w:jc w:val="both"/>
      </w:pPr>
      <w:r>
        <w:rPr>
          <w:b/>
          <w:bCs/>
        </w:rPr>
        <w:t>70.</w:t>
      </w:r>
      <w:r>
        <w:tab/>
      </w:r>
      <w:r w:rsidR="0040341C" w:rsidRPr="003D1F6D">
        <w:t>Naar aanleiding van de COVID-19</w:t>
      </w:r>
      <w:r w:rsidR="00572900">
        <w:t>-</w:t>
      </w:r>
      <w:r w:rsidR="0040341C" w:rsidRPr="003D1F6D">
        <w:t>pandemie zijn diverse maatregelen genomen om de rechtsbescherming aan te passen aan de omstandigheden.</w:t>
      </w:r>
      <w:r w:rsidR="0040341C" w:rsidRPr="003D1F6D">
        <w:rPr>
          <w:rStyle w:val="Voetnootmarkering"/>
          <w:color w:val="000000"/>
        </w:rPr>
        <w:footnoteReference w:id="268"/>
      </w:r>
      <w:r w:rsidR="0040341C" w:rsidRPr="003D1F6D">
        <w:t xml:space="preserve"> Heel wat van die maatregelen zorgden voor beroering bij de magistratuur en advocatuur. Binnen het kader van deze kroniek is het onmogelijk om de adviezen van de Raad van State hierover allemaal te bespreken, al is het interessant om stil te staan bij één maatregel die uiteindelijk na het advies van de Raad niet is aangenomen: het gebruik van de videoconferentie in strafzaken.</w:t>
      </w:r>
      <w:r w:rsidR="0040341C" w:rsidRPr="003D1F6D">
        <w:rPr>
          <w:rStyle w:val="Voetnootmarkering"/>
          <w:color w:val="000000"/>
        </w:rPr>
        <w:footnoteReference w:id="269"/>
      </w:r>
      <w:r w:rsidR="0040341C" w:rsidRPr="003D1F6D">
        <w:t xml:space="preserve"> In een opvallend advies w</w:t>
      </w:r>
      <w:r>
        <w:t>ee</w:t>
      </w:r>
      <w:r w:rsidR="0040341C" w:rsidRPr="003D1F6D">
        <w:t>s de Raad van State erop dat overeenkomstig het recht op privacy en de AVG gewaarborgd dient te worden dat niemand kan binnendringen in het informaticasysteem dat door de operator gebruikt wordt en kennis kan nemen van de inhoud van hetgeen uitgewisseld wordt. De openbare informatie die door Cisco ter beschikking gesteld wordt over de locatie van de gegevens die gegenereerd worden door het gebruik van videoconferencing en over de aard van die gegevens zijn niet duidelijk genoeg om de conformiteit van dit systeem met de voormelde normen te kunnen garanderen. De Raad van State merkt</w:t>
      </w:r>
      <w:r>
        <w:t>e</w:t>
      </w:r>
      <w:r w:rsidR="0040341C" w:rsidRPr="003D1F6D">
        <w:t xml:space="preserve"> wel op dat het Europees Hof voor de rechten van de mens er in een aantal arresten heeft op gewezen dat het gebruik van videoconferenties in strafzaken op zich niet strijdig is met het recht op een eerlijk proces op voorwaarde dat de rechtzoekende de mogelijkheid heeft om de procedure te volgen, dat hij kan zien wie er aanwezig is en kan horen wat er gezegd wordt, dat hij gehoord kan worden door de andere partijen en de rechter zonder daarbij om technische redenen te worden gehinderd en op voorwaarde dat hij op een effectieve en vertrouwelijke wijze kan communiceren met zijn advocaat.</w:t>
      </w:r>
      <w:r w:rsidR="0040341C" w:rsidRPr="003D1F6D">
        <w:rPr>
          <w:rStyle w:val="Voetnootmarkering"/>
          <w:color w:val="000000"/>
        </w:rPr>
        <w:footnoteReference w:id="270"/>
      </w:r>
      <w:r w:rsidR="0040341C" w:rsidRPr="003D1F6D">
        <w:t xml:space="preserve"> De waarborgen waarin voorzien wordt volst</w:t>
      </w:r>
      <w:r>
        <w:t>o</w:t>
      </w:r>
      <w:r w:rsidR="0040341C" w:rsidRPr="003D1F6D">
        <w:t>n</w:t>
      </w:r>
      <w:r>
        <w:t>den</w:t>
      </w:r>
      <w:r w:rsidR="0040341C" w:rsidRPr="003D1F6D">
        <w:t xml:space="preserve"> evenwel niet helemaal om aan het legaliteitsbeginsel van artikel 12 en 22 </w:t>
      </w:r>
      <w:r w:rsidR="001D44BE">
        <w:t>Gw.</w:t>
      </w:r>
      <w:r w:rsidR="0040341C" w:rsidRPr="003D1F6D">
        <w:t xml:space="preserve"> te voldoen. Zo moe</w:t>
      </w:r>
      <w:r>
        <w:t>s</w:t>
      </w:r>
      <w:r w:rsidR="0040341C" w:rsidRPr="003D1F6D">
        <w:t>t onder meer vastgesteld worden dat de ontworpen bepalingen niet verduidelijken of de videoconferentie al dan niet mag worden opgenomen. Er z</w:t>
      </w:r>
      <w:r>
        <w:t>ou</w:t>
      </w:r>
      <w:r w:rsidR="0040341C" w:rsidRPr="003D1F6D">
        <w:t xml:space="preserve"> ook aandacht besteed moeten worden aan de problematiek van de bewaring van potentieel gevoelige gegevens op een server die zich buiten de EER zou bevinden.</w:t>
      </w:r>
      <w:r w:rsidR="0040341C" w:rsidRPr="003D1F6D">
        <w:rPr>
          <w:rStyle w:val="Voetnootmarkering"/>
          <w:color w:val="000000"/>
        </w:rPr>
        <w:footnoteReference w:id="271"/>
      </w:r>
      <w:r w:rsidR="0040341C" w:rsidRPr="003D1F6D">
        <w:t xml:space="preserve"> Daarnaast verduidelijken de ontworpen </w:t>
      </w:r>
      <w:r w:rsidR="0040341C" w:rsidRPr="003D1F6D">
        <w:lastRenderedPageBreak/>
        <w:t>bepalingen niet op welke wijze de openbaarheid van de terechtzitting gegarandeerd zal worden. Het voorontwerp dien</w:t>
      </w:r>
      <w:r>
        <w:t>de</w:t>
      </w:r>
      <w:r w:rsidR="0040341C" w:rsidRPr="003D1F6D">
        <w:t xml:space="preserve"> aangepast te worden zodat aangegeven wordt hoe aan deze verplichting die voortvloeit uit artikel 6, § 1, EVRM en 148 </w:t>
      </w:r>
      <w:r w:rsidR="001D44BE">
        <w:t>Gw.</w:t>
      </w:r>
      <w:r w:rsidR="0040341C" w:rsidRPr="003D1F6D">
        <w:t xml:space="preserve"> zal voldaan worden.</w:t>
      </w:r>
    </w:p>
    <w:p w14:paraId="297A3A06" w14:textId="77777777" w:rsidR="00A435C6" w:rsidRDefault="00A435C6" w:rsidP="003D1F6D">
      <w:pPr>
        <w:autoSpaceDE w:val="0"/>
        <w:autoSpaceDN w:val="0"/>
        <w:adjustRightInd w:val="0"/>
        <w:spacing w:after="0" w:line="240" w:lineRule="auto"/>
        <w:jc w:val="both"/>
      </w:pPr>
    </w:p>
    <w:p w14:paraId="4D71AA77" w14:textId="56A15CE2" w:rsidR="0040341C" w:rsidRPr="003D1F6D" w:rsidRDefault="00A435C6" w:rsidP="003D1F6D">
      <w:pPr>
        <w:autoSpaceDE w:val="0"/>
        <w:autoSpaceDN w:val="0"/>
        <w:adjustRightInd w:val="0"/>
        <w:spacing w:after="0" w:line="240" w:lineRule="auto"/>
        <w:jc w:val="both"/>
      </w:pPr>
      <w:r>
        <w:rPr>
          <w:b/>
          <w:bCs/>
        </w:rPr>
        <w:t>71.</w:t>
      </w:r>
      <w:r w:rsidR="003D1F6D" w:rsidRPr="003D1F6D">
        <w:tab/>
      </w:r>
      <w:r w:rsidR="0040341C" w:rsidRPr="003D1F6D">
        <w:t>Bepaalde vennootschappen worden uitgesloten van de vrijstelling van de doorstorting van bedrijfsvoorheffing die toegekend wordt in het kader van COVID-19</w:t>
      </w:r>
      <w:r w:rsidR="00572900">
        <w:t>-</w:t>
      </w:r>
      <w:r w:rsidR="0040341C" w:rsidRPr="003D1F6D">
        <w:t>steunmaatregelen. Kennelijk is de doelstelling van deze uitsluitingen om te vermijden dat het voordeel van de nieuwe regeling kan worden ingeroepen door vennootschappen waarvan wordt vermoed dat zij fiscaal optimaliseren via een belastingparadijs. Er wordt een onderscheid gemaakt tussen, enerzijds, een vennootschap met een rechtstreekse participatie in een vennootschap gevestigd in een belastingparadijs, in welk geval een automatische uitsluiting geldt, en anderzijds, een vennootschap die aan vennootschappen in dergelijke belastingparadijzen – het kan zelfs om een onrechtstreekse dochtervennootschap gaan – ten minste 100.000 euro heeft betaald, in welk geval een weerlegbare uitsluiting geldt. De Raad van State oordeel</w:t>
      </w:r>
      <w:r>
        <w:t>de</w:t>
      </w:r>
      <w:r w:rsidR="0040341C" w:rsidRPr="003D1F6D">
        <w:t>, mede gelet op de rechtspraak van het Hof van Justitie dat bij belastingmaatregelen ter voorkoming en bestrijding van fraude het evenredigheidsbeginsel vereist dat de belastingplichtige in de gelegenheid wordt gesteld tegenbewijs te leveren</w:t>
      </w:r>
      <w:r w:rsidR="0040341C" w:rsidRPr="003D1F6D">
        <w:rPr>
          <w:rStyle w:val="Voetnootmarkering"/>
          <w:color w:val="000000"/>
        </w:rPr>
        <w:footnoteReference w:id="272"/>
      </w:r>
      <w:r w:rsidR="0040341C" w:rsidRPr="003D1F6D">
        <w:t xml:space="preserve">, het gebruik van onweerlegbare wettelijke vermoedens in belastingaangelegenheden afgeraden </w:t>
      </w:r>
      <w:r w:rsidR="00710FAC" w:rsidRPr="003D1F6D">
        <w:t xml:space="preserve">moet </w:t>
      </w:r>
      <w:r w:rsidR="0040341C" w:rsidRPr="003D1F6D">
        <w:t>worden, vermits de belastingplichtige dan niet de mogelijkheid wordt gelaten om enig tegenbewijs te leveren.</w:t>
      </w:r>
      <w:r w:rsidR="0040341C" w:rsidRPr="003D1F6D">
        <w:rPr>
          <w:rStyle w:val="Voetnootmarkering"/>
          <w:color w:val="000000"/>
        </w:rPr>
        <w:footnoteReference w:id="273"/>
      </w:r>
    </w:p>
    <w:p w14:paraId="1CA5787D" w14:textId="77777777" w:rsidR="00E60EC0" w:rsidRPr="003D1F6D" w:rsidRDefault="00E60EC0" w:rsidP="003D1F6D">
      <w:pPr>
        <w:spacing w:after="0" w:line="240" w:lineRule="auto"/>
        <w:jc w:val="both"/>
      </w:pPr>
    </w:p>
    <w:p w14:paraId="130C2469" w14:textId="77777777" w:rsidR="005671DE" w:rsidRPr="009A35D7" w:rsidRDefault="005671DE" w:rsidP="00532989">
      <w:pPr>
        <w:pStyle w:val="Kop2"/>
        <w:spacing w:before="0" w:line="240" w:lineRule="auto"/>
        <w:jc w:val="both"/>
      </w:pPr>
      <w:bookmarkStart w:id="54" w:name="_Toc5779229"/>
      <w:bookmarkStart w:id="55" w:name="_Toc70497785"/>
      <w:bookmarkStart w:id="56" w:name="_Toc70499157"/>
      <w:r w:rsidRPr="009A35D7">
        <w:t>X</w:t>
      </w:r>
      <w:r w:rsidR="008967C7">
        <w:t>I</w:t>
      </w:r>
      <w:r w:rsidRPr="009A35D7">
        <w:t>. Bekendmaking van rechtsregels</w:t>
      </w:r>
      <w:bookmarkEnd w:id="54"/>
      <w:bookmarkEnd w:id="55"/>
      <w:bookmarkEnd w:id="56"/>
    </w:p>
    <w:p w14:paraId="53DD912E" w14:textId="77777777" w:rsidR="005671DE" w:rsidRPr="00D46131" w:rsidRDefault="005671DE" w:rsidP="00D46131">
      <w:pPr>
        <w:spacing w:after="0" w:line="240" w:lineRule="auto"/>
        <w:jc w:val="both"/>
        <w:rPr>
          <w:rFonts w:cstheme="minorHAnsi"/>
        </w:rPr>
      </w:pPr>
    </w:p>
    <w:p w14:paraId="1C4DD851" w14:textId="03632650" w:rsidR="00D46131" w:rsidRDefault="00A435C6" w:rsidP="00D46131">
      <w:pPr>
        <w:spacing w:after="0" w:line="240" w:lineRule="auto"/>
        <w:jc w:val="both"/>
        <w:rPr>
          <w:rFonts w:cstheme="minorHAnsi"/>
          <w:lang w:val="nl-NL"/>
        </w:rPr>
      </w:pPr>
      <w:r>
        <w:rPr>
          <w:rFonts w:cstheme="minorHAnsi"/>
          <w:b/>
          <w:bCs/>
        </w:rPr>
        <w:t>72.</w:t>
      </w:r>
      <w:r w:rsidR="00D46131" w:rsidRPr="00D46131">
        <w:rPr>
          <w:rFonts w:cstheme="minorHAnsi"/>
        </w:rPr>
        <w:tab/>
      </w:r>
      <w:r w:rsidR="00D46131" w:rsidRPr="00D46131">
        <w:rPr>
          <w:rFonts w:cstheme="minorHAnsi"/>
          <w:lang w:val="nl-NL"/>
        </w:rPr>
        <w:t>De Raad van State herhaalde in de besproken periode dat alle wetten en reglementen – welke vorm ze ook aannemen – moeten worden bekendgemaakt bij gebreke waarvan ze niet tegenwerpbaar zijn aan particulieren. De bekendmaking moet in beginsel gebeuren in het Belgisch Staatsblad (</w:t>
      </w:r>
      <w:r>
        <w:rPr>
          <w:rFonts w:cstheme="minorHAnsi"/>
          <w:lang w:val="nl-NL"/>
        </w:rPr>
        <w:t>nr. 73</w:t>
      </w:r>
      <w:r w:rsidR="00D46131" w:rsidRPr="00D46131">
        <w:rPr>
          <w:rFonts w:cstheme="minorHAnsi"/>
          <w:lang w:val="nl-NL"/>
        </w:rPr>
        <w:t>) en moet aan kwaliteitscriteria beantwoorden die moeten garanderen dat de informatieve, procedurele en documentaire functie van een officiële bekendmaking wordt vervuld (</w:t>
      </w:r>
      <w:r>
        <w:rPr>
          <w:rFonts w:cstheme="minorHAnsi"/>
          <w:lang w:val="nl-NL"/>
        </w:rPr>
        <w:t>nr. 74</w:t>
      </w:r>
      <w:r w:rsidR="00D46131" w:rsidRPr="00D46131">
        <w:rPr>
          <w:rFonts w:cstheme="minorHAnsi"/>
          <w:lang w:val="nl-NL"/>
        </w:rPr>
        <w:t>) en dat de bescherming van persoonsgegevens niet in het gedrang wordt gebracht (</w:t>
      </w:r>
      <w:r>
        <w:rPr>
          <w:rFonts w:cstheme="minorHAnsi"/>
          <w:lang w:val="nl-NL"/>
        </w:rPr>
        <w:t>nr. 75</w:t>
      </w:r>
      <w:r w:rsidR="00D46131" w:rsidRPr="00D46131">
        <w:rPr>
          <w:rFonts w:cstheme="minorHAnsi"/>
          <w:lang w:val="nl-NL"/>
        </w:rPr>
        <w:t>). Ook alle teksten waarnaar in een wet of reglement wordt verwezen en die aldus verbindend worden gemaakt, moeten worden bekendgemaakt (</w:t>
      </w:r>
      <w:r>
        <w:rPr>
          <w:rFonts w:cstheme="minorHAnsi"/>
          <w:lang w:val="nl-NL"/>
        </w:rPr>
        <w:t>nr. 76</w:t>
      </w:r>
      <w:r w:rsidR="00D46131" w:rsidRPr="00D46131">
        <w:rPr>
          <w:rFonts w:cstheme="minorHAnsi"/>
          <w:lang w:val="nl-NL"/>
        </w:rPr>
        <w:t>), ook al is de verwijzing een loutere omzetting is van een Europese richtlijn (</w:t>
      </w:r>
      <w:r>
        <w:rPr>
          <w:rFonts w:cstheme="minorHAnsi"/>
          <w:lang w:val="nl-NL"/>
        </w:rPr>
        <w:t>nr. 77</w:t>
      </w:r>
      <w:r w:rsidR="00D46131" w:rsidRPr="00D46131">
        <w:rPr>
          <w:rFonts w:cstheme="minorHAnsi"/>
          <w:lang w:val="nl-NL"/>
        </w:rPr>
        <w:t>). Regelgeving met loutere verwijzing naar een elektronisch bestand, of naar een rekentool waarin de criteria en parameters ingebed is niet aanvaardbaar (</w:t>
      </w:r>
      <w:r>
        <w:rPr>
          <w:rFonts w:cstheme="minorHAnsi"/>
          <w:lang w:val="nl-NL"/>
        </w:rPr>
        <w:t>nr. 78</w:t>
      </w:r>
      <w:r w:rsidR="00D46131" w:rsidRPr="00D46131">
        <w:rPr>
          <w:rFonts w:cstheme="minorHAnsi"/>
          <w:lang w:val="nl-NL"/>
        </w:rPr>
        <w:t>). Naast de wet of regelgeving zelf dient vaak ook metadata te worden bekendgemaakt die van belang is om het juridische effect ervan te kennen. Al deze vereisten voor de bekendmaking van wet- en regelgeving mag ons niet uit het oog doen verliezen dat ook arresten waarin op prejudiciële vraag de onrechtmatigheid wordt vastgesteld niet tegenwerpbaar zijn aan rechtsonderhorigen (</w:t>
      </w:r>
      <w:r>
        <w:rPr>
          <w:rFonts w:cstheme="minorHAnsi"/>
          <w:lang w:val="nl-NL"/>
        </w:rPr>
        <w:t>nr. 79</w:t>
      </w:r>
      <w:r w:rsidR="00D46131" w:rsidRPr="00D46131">
        <w:rPr>
          <w:rFonts w:cstheme="minorHAnsi"/>
          <w:lang w:val="nl-NL"/>
        </w:rPr>
        <w:t>).</w:t>
      </w:r>
    </w:p>
    <w:p w14:paraId="12247AF8" w14:textId="77777777" w:rsidR="00D46131" w:rsidRPr="00D46131" w:rsidRDefault="00D46131" w:rsidP="00D46131">
      <w:pPr>
        <w:spacing w:after="0" w:line="240" w:lineRule="auto"/>
        <w:jc w:val="both"/>
        <w:rPr>
          <w:rFonts w:cstheme="minorHAnsi"/>
          <w:lang w:val="nl-NL"/>
        </w:rPr>
      </w:pPr>
    </w:p>
    <w:p w14:paraId="71706800" w14:textId="1048FEC2" w:rsidR="00D46131" w:rsidRPr="00D46131" w:rsidRDefault="00A435C6" w:rsidP="00D46131">
      <w:pPr>
        <w:spacing w:after="0" w:line="240" w:lineRule="auto"/>
        <w:jc w:val="both"/>
        <w:rPr>
          <w:rFonts w:cstheme="minorHAnsi"/>
          <w:lang w:val="nl-NL"/>
        </w:rPr>
      </w:pPr>
      <w:r>
        <w:rPr>
          <w:rFonts w:cstheme="minorHAnsi"/>
          <w:b/>
          <w:bCs/>
          <w:lang w:val="nl-NL"/>
        </w:rPr>
        <w:t>73.</w:t>
      </w:r>
      <w:r w:rsidR="00D46131" w:rsidRPr="00D46131">
        <w:rPr>
          <w:rFonts w:cstheme="minorHAnsi"/>
          <w:lang w:val="nl-NL"/>
        </w:rPr>
        <w:tab/>
        <w:t xml:space="preserve">In de vorige </w:t>
      </w:r>
      <w:r w:rsidR="00D46131">
        <w:rPr>
          <w:rFonts w:cstheme="minorHAnsi"/>
          <w:lang w:val="nl-NL"/>
        </w:rPr>
        <w:t>k</w:t>
      </w:r>
      <w:r w:rsidR="00D46131" w:rsidRPr="00D46131">
        <w:rPr>
          <w:rFonts w:cstheme="minorHAnsi"/>
          <w:lang w:val="nl-NL"/>
        </w:rPr>
        <w:t>ronieken wezen we er al op dat alle wetten en reglementen, ongeacht door wie ze worden uitgevaardigd, welke naam ze dragen, of welke vorm ze aannemen, moeten worden bekendgemaakt, bij gebreke waarvan ze niet tegenwerpbaar zijn aan particulieren.</w:t>
      </w:r>
      <w:r w:rsidR="00D46131" w:rsidRPr="00D46131">
        <w:rPr>
          <w:rStyle w:val="Voetnootmarkering"/>
          <w:rFonts w:cstheme="minorHAnsi"/>
          <w:lang w:val="nl-NL"/>
        </w:rPr>
        <w:footnoteReference w:id="274"/>
      </w:r>
      <w:r w:rsidR="00D46131" w:rsidRPr="00D46131">
        <w:rPr>
          <w:rFonts w:cstheme="minorHAnsi"/>
          <w:lang w:val="nl-NL"/>
        </w:rPr>
        <w:t xml:space="preserve"> Volgens de Raad van State moet deze bekendmaking in beginsel in het </w:t>
      </w:r>
      <w:r w:rsidR="00D46131" w:rsidRPr="00D46131">
        <w:rPr>
          <w:rFonts w:cstheme="minorHAnsi"/>
          <w:i/>
          <w:lang w:val="nl-NL"/>
        </w:rPr>
        <w:t>Belgisch Staatsblad</w:t>
      </w:r>
      <w:r w:rsidR="00D46131" w:rsidRPr="00D46131">
        <w:rPr>
          <w:rFonts w:cstheme="minorHAnsi"/>
          <w:lang w:val="nl-NL"/>
        </w:rPr>
        <w:t xml:space="preserve"> plaatsvinden, ook al werd de wijze van bekendmaking niet bij wet bepaald. Voor instructies, modaliteiten en richtlijnen van het Federale Agentschap voor de veiligheid van de voedselketen (FAVV) met een verordenend karakter waarvan de bekendmaking niet is voorzien of geregeld, merkte de Raad van State immers op dat “deze, </w:t>
      </w:r>
      <w:r w:rsidR="00D46131" w:rsidRPr="00D46131">
        <w:rPr>
          <w:rFonts w:cstheme="minorHAnsi"/>
          <w:lang w:val="nl-NL"/>
        </w:rPr>
        <w:lastRenderedPageBreak/>
        <w:t xml:space="preserve">in het licht van het algemeen rechtsbeginsel verwoord in artikel 190 </w:t>
      </w:r>
      <w:r w:rsidR="001D44BE">
        <w:rPr>
          <w:rFonts w:cstheme="minorHAnsi"/>
          <w:lang w:val="nl-NL"/>
        </w:rPr>
        <w:t>Gw.</w:t>
      </w:r>
      <w:r w:rsidR="00D46131" w:rsidRPr="00D46131">
        <w:rPr>
          <w:rFonts w:cstheme="minorHAnsi"/>
          <w:lang w:val="nl-NL"/>
        </w:rPr>
        <w:t>, in principe in het Belgisch Staatsblad [moeten] worden bekendgemaakt om verbindend te kunnen zijn.</w:t>
      </w:r>
      <w:r w:rsidR="00D46131" w:rsidRPr="00D46131">
        <w:rPr>
          <w:rStyle w:val="Voetnootmarkering"/>
          <w:rFonts w:cstheme="minorHAnsi"/>
          <w:lang w:val="nl-NL"/>
        </w:rPr>
        <w:footnoteReference w:id="275"/>
      </w:r>
      <w:r w:rsidR="00D46131" w:rsidRPr="00D46131">
        <w:rPr>
          <w:rFonts w:cstheme="minorHAnsi"/>
          <w:b/>
          <w:lang w:val="nl-NL"/>
        </w:rPr>
        <w:t xml:space="preserve"> </w:t>
      </w:r>
    </w:p>
    <w:p w14:paraId="42A3B84A" w14:textId="77777777" w:rsidR="00D46131" w:rsidRDefault="00D46131" w:rsidP="00D46131">
      <w:pPr>
        <w:spacing w:after="0" w:line="240" w:lineRule="auto"/>
        <w:jc w:val="both"/>
        <w:rPr>
          <w:rFonts w:cstheme="minorHAnsi"/>
          <w:lang w:val="nl-NL"/>
        </w:rPr>
      </w:pPr>
    </w:p>
    <w:p w14:paraId="0052BA45" w14:textId="5EAA5C32" w:rsidR="00D46131" w:rsidRDefault="00A435C6" w:rsidP="00D46131">
      <w:pPr>
        <w:spacing w:after="0" w:line="240" w:lineRule="auto"/>
        <w:jc w:val="both"/>
        <w:rPr>
          <w:rFonts w:cstheme="minorHAnsi"/>
          <w:lang w:val="nl-NL"/>
        </w:rPr>
      </w:pPr>
      <w:r>
        <w:rPr>
          <w:rFonts w:cstheme="minorHAnsi"/>
          <w:b/>
          <w:bCs/>
          <w:lang w:val="nl-NL"/>
        </w:rPr>
        <w:t>74.</w:t>
      </w:r>
      <w:r w:rsidRPr="00D46131">
        <w:rPr>
          <w:rFonts w:cstheme="minorHAnsi"/>
          <w:lang w:val="nl-NL"/>
        </w:rPr>
        <w:t xml:space="preserve"> </w:t>
      </w:r>
      <w:r w:rsidR="00D46131" w:rsidRPr="00D46131">
        <w:rPr>
          <w:rFonts w:cstheme="minorHAnsi"/>
          <w:lang w:val="nl-NL"/>
        </w:rPr>
        <w:tab/>
        <w:t xml:space="preserve">Daar waar de bekendmaking in het </w:t>
      </w:r>
      <w:r w:rsidR="00D46131" w:rsidRPr="00B333AE">
        <w:rPr>
          <w:rFonts w:cstheme="minorHAnsi"/>
          <w:iCs/>
          <w:lang w:val="nl-NL"/>
        </w:rPr>
        <w:t>Belgisch Staatsblad</w:t>
      </w:r>
      <w:r w:rsidR="00D46131" w:rsidRPr="00D46131">
        <w:rPr>
          <w:rFonts w:cstheme="minorHAnsi"/>
          <w:lang w:val="nl-NL"/>
        </w:rPr>
        <w:t xml:space="preserve"> niet voorzien is door een hogere norm kan tevens in een andere wijze van bekendmaking worden voorzien. De Raad van State aanvaardt dergelijke afwijkende wijzen van bekendmaking in uitzonderlijke gevallen en voor zover deze o.m. voldoen aan de hoge vereisten die voor een officiële bekendmaking voortvloeien uit het rechtszekerheidsbeginsel en het gelijkheidsbeginsel. Bij een delegatie van verordenende bevoegdheid aan het (hoofd van het) agentschap natuur en bos (ANB) werd voorzien in een bekendmaking van de betrokken verordening op de website www.natuurenbos.be. De gemachtigde verduidelijkte dat het hierbij niet ging om een aanvullende bekendmaking bovenop de gebruikelijke bekendmaking van verordeningen in het Belgisch Staatsblad. De Raad van State waarschuwde dat hiermee “wordt afgestapt van het beginsel van de gecentraliseerde bekendmaking van alle wets- en verordeningsbepalingen in het Belgisch Staatsblad. Het opteren voor een andere wijze van bekendmaking kan evenwel, in geval van een geschil, aanleiding geven tot bewijsproblemen voor de overheid, die niet rijzen bij een bekendmaking in het Belgisch Staatsblad. Zo kunnen er zich problemen voordoen betreffende de kennisneming van de verordening door de particulier, de datum van bekendmaking, de beschikbaarheid van verschillende versies en hun ontstaansgeschiedenis. Om die redenen is het aan te bevelen de website www.natuurenbos.be veeleer te gebruiken als een aanvullende bekendmaking van de betrokken verordeningen naast hun officiële bekendmaking in het Belgisch Staatsblad”.</w:t>
      </w:r>
      <w:r w:rsidR="00D46131" w:rsidRPr="00D46131">
        <w:rPr>
          <w:rStyle w:val="Voetnootmarkering"/>
          <w:rFonts w:cstheme="minorHAnsi"/>
          <w:lang w:val="nl-NL"/>
        </w:rPr>
        <w:footnoteReference w:id="276"/>
      </w:r>
      <w:r w:rsidR="00D46131" w:rsidRPr="00D46131">
        <w:rPr>
          <w:rFonts w:cstheme="minorHAnsi"/>
          <w:lang w:val="nl-NL"/>
        </w:rPr>
        <w:t xml:space="preserve"> De Raad van State vervolgt dat indien de steller van het ontwerp er alsnog voor opteert om enkel te voorzien in een bekendmaking via de website www.natuurenbos.be, hij erop dient toe te zien dat alle in het ontwerp voorziene verordeningen worden gepubliceerd en dat deze bekendmaking gebeurt op een wijze die niet alleen de informatieve, maar ook de procedurele en documentaire functie van een officiële bekendmaking van een verordening vervult. In het bijzonder moet erop worden toegezien dat de datum van bekendmaking van de verordening duidelijk wordt vermeld, dat de authenticiteit van de documenten en van de bijkomende gegevens wordt gegarandeerd, en dat deze gegevens blijvend beschikbaar zijn, ook de verschillende historische versies van deze teksten.</w:t>
      </w:r>
      <w:r w:rsidR="00D46131" w:rsidRPr="00D46131">
        <w:rPr>
          <w:rStyle w:val="Voetnootmarkering"/>
          <w:rFonts w:cstheme="minorHAnsi"/>
          <w:lang w:val="nl-NL"/>
        </w:rPr>
        <w:footnoteReference w:id="277"/>
      </w:r>
    </w:p>
    <w:p w14:paraId="669E59E1" w14:textId="77777777" w:rsidR="00D46131" w:rsidRPr="00D46131" w:rsidRDefault="00D46131" w:rsidP="00D46131">
      <w:pPr>
        <w:spacing w:after="0" w:line="240" w:lineRule="auto"/>
        <w:jc w:val="both"/>
        <w:rPr>
          <w:rFonts w:cstheme="minorHAnsi"/>
          <w:lang w:val="nl-NL"/>
        </w:rPr>
      </w:pPr>
    </w:p>
    <w:p w14:paraId="00C09CB2" w14:textId="77777777" w:rsidR="00D46131" w:rsidRPr="00D46131" w:rsidRDefault="00D46131" w:rsidP="00D46131">
      <w:pPr>
        <w:spacing w:after="0" w:line="240" w:lineRule="auto"/>
        <w:jc w:val="both"/>
        <w:rPr>
          <w:rFonts w:cstheme="minorHAnsi"/>
          <w:lang w:val="nl-NL"/>
        </w:rPr>
      </w:pPr>
      <w:r w:rsidRPr="00D46131">
        <w:rPr>
          <w:rFonts w:cstheme="minorHAnsi"/>
          <w:lang w:val="nl-NL"/>
        </w:rPr>
        <w:t>In een ander besluit was voorzien in een bekendmaking van de erkende driftreducerende middelen en maatregelen op de officiële website www.fytoweb.be van de dienst Gewasbeschermingsmiddelen en Meststoffen van de FOD Volksgezondheid. De adviesaanvrager meende dat aan de procedurele en de documentaire functie van een officiële bekendmaking kon worden voldaan door in het Belgisch Staatsblad de weblink naar de internetpagina waar de lijst van driftreducerende middelen en maatregelen beschikbaar zou zijn, bekend te maken. Deze informatie was overigens al beschikbaar in het Nederlands en het Frans, en zou nog worden vertaald naar het Duits. De Raad van State antwoordde hierop dat deze waarborgen op zichzelf niet volstaan: “Er zal immers op moeten worden toegezien dat de bekendmaking op de website zal gedagtekend zijn ter garantie van de authenticiteit en de toepasselijkheid van een bepaalde versie van de tekst en er zal een archief dienen te worden opgebouwd waarbij de verschillende historische versies blijvend beschikbaar zullen zijn.” Wat de informatieve functie betreft, werd door de Raad bijkomend benadrukt dat de regels op een eenvoudige wijze teruggevonden moeten kunnen worden op de homepage waarnaar verwezen wordt.</w:t>
      </w:r>
      <w:r w:rsidRPr="00D46131">
        <w:rPr>
          <w:rStyle w:val="Voetnootmarkering"/>
          <w:rFonts w:cstheme="minorHAnsi"/>
          <w:lang w:val="nl-NL"/>
        </w:rPr>
        <w:footnoteReference w:id="278"/>
      </w:r>
      <w:r w:rsidRPr="00D46131">
        <w:rPr>
          <w:rFonts w:cstheme="minorHAnsi"/>
          <w:lang w:val="nl-NL"/>
        </w:rPr>
        <w:t xml:space="preserve"> </w:t>
      </w:r>
    </w:p>
    <w:p w14:paraId="48C44919" w14:textId="77777777" w:rsidR="00D46131" w:rsidRDefault="00D46131" w:rsidP="00D46131">
      <w:pPr>
        <w:spacing w:after="0" w:line="240" w:lineRule="auto"/>
        <w:jc w:val="both"/>
        <w:rPr>
          <w:rFonts w:cstheme="minorHAnsi"/>
          <w:lang w:val="nl-NL"/>
        </w:rPr>
      </w:pPr>
    </w:p>
    <w:p w14:paraId="784811E8" w14:textId="3665380B" w:rsidR="00D46131" w:rsidRPr="00D46131" w:rsidRDefault="00D46131" w:rsidP="00D46131">
      <w:pPr>
        <w:spacing w:after="0" w:line="240" w:lineRule="auto"/>
        <w:jc w:val="both"/>
        <w:rPr>
          <w:rFonts w:cstheme="minorHAnsi"/>
          <w:lang w:val="nl-NL"/>
        </w:rPr>
      </w:pPr>
      <w:r w:rsidRPr="00D46131">
        <w:rPr>
          <w:rFonts w:cstheme="minorHAnsi"/>
          <w:lang w:val="nl-NL"/>
        </w:rPr>
        <w:t xml:space="preserve">In een wet houdende dringende maatregelen ter beheersing van de </w:t>
      </w:r>
      <w:r w:rsidR="00572900">
        <w:rPr>
          <w:rFonts w:cstheme="minorHAnsi"/>
          <w:lang w:val="nl-NL"/>
        </w:rPr>
        <w:t>COVID-19</w:t>
      </w:r>
      <w:r w:rsidRPr="00D46131">
        <w:rPr>
          <w:rFonts w:cstheme="minorHAnsi"/>
          <w:lang w:val="nl-NL"/>
        </w:rPr>
        <w:t xml:space="preserve">-pandemie werd voorzien dat de op basis ervan genomen reglementaire bestuurshandelingen van het federaal </w:t>
      </w:r>
      <w:r w:rsidRPr="00D46131">
        <w:rPr>
          <w:rFonts w:cstheme="minorHAnsi"/>
          <w:lang w:val="nl-NL"/>
        </w:rPr>
        <w:lastRenderedPageBreak/>
        <w:t>agentschap voor geneesmiddelen en gezondheidsproducten (FAGG) in werking zouden treden op de datum van bekendmaking ervan op de website van het FAGG. Deze rechtshandelingen zouden daarna ook onverwijld in het Belgisch Staatsblad worden bekendgemaakt. Als verantwoording van deze afwijkende regeling voor officiële bekendmaking werd aangegeven dat gelet op de urgentie niet kon worden gewacht op de bekendmaking in het Belgisch Staatsblad voor de inwerkingtreding van deze bestuurshandelingen. De Raad van State herinnerde eraan dat het Grondwettelijk Hof de overschakeling naar het elektronisch Belgisch Staatsblad aanvankelijk had vernietigd en vervolgens slechts als bestaanbaar met het grondwettelijk gelijkheidsbeginsel bij de toegang tot de officiële bekendmaking had beoordeeld wegens de begeleidende maatregelen waarin ondertussen was voorzien, met name de gratis telefonische hulpdienst waaraan iedereen tegen kostprijs een afschrift kan vragen van bekendgemaakte akten en documenten en die belast is met het leveren van hulp aan burgers die bepaalde documenten zoeken.</w:t>
      </w:r>
      <w:r w:rsidRPr="00D46131">
        <w:rPr>
          <w:rFonts w:cstheme="minorHAnsi"/>
          <w:vertAlign w:val="superscript"/>
        </w:rPr>
        <w:footnoteReference w:id="279"/>
      </w:r>
      <w:r w:rsidRPr="00D46131">
        <w:rPr>
          <w:rFonts w:cstheme="minorHAnsi"/>
          <w:lang w:val="nl-NL"/>
        </w:rPr>
        <w:t xml:space="preserve"> Door de ontworpen regeling zouden de burgers enige tijd verstoken blijven van deze waarborg. Volgens de Raad valt het bovendien te betwijfelen of burgers op systematische wijze op de website van het FAGG zullen nagaan of er nieuwe bestuurshandelingen zijn bekendgemaakt. Hierbij vroeg de Raad van State zich openlijk af of de bekendmaking via de internetsite van het Bestuur van het Belgisch Staatsblad wezenlijk veel meer tijd neemt dan een bekendmaking via de website van het FAGG, en betwijfelde het of elk van de door het ontwerp geviseerde bestuurshandelingen wel zo dringend is dat zelfs op de bekendmaking ervan in het Belgisch Staatsblad niet kan worden gewacht voor de inwerkingtreding ervan. De Raad besloot dat in ieder geval de ontworpen regeling slechts tijdelijk kan zijn, en ze geen permanent karakter mag krijgen. Bovendien moet erop worden toegezien dat de tijdspanne tussen de bekendmaking op de website van het FAGG en de bekendmaking in het Belgisch Staatsblad tot een minimum wordt beperkt.</w:t>
      </w:r>
      <w:r w:rsidRPr="00D46131">
        <w:rPr>
          <w:rFonts w:cstheme="minorHAnsi"/>
          <w:vertAlign w:val="superscript"/>
          <w:lang w:val="nl-NL"/>
        </w:rPr>
        <w:footnoteReference w:id="280"/>
      </w:r>
    </w:p>
    <w:p w14:paraId="68A76577" w14:textId="77777777" w:rsidR="00D46131" w:rsidRDefault="00D46131" w:rsidP="00D46131">
      <w:pPr>
        <w:spacing w:after="0" w:line="240" w:lineRule="auto"/>
        <w:jc w:val="both"/>
        <w:rPr>
          <w:rFonts w:cstheme="minorHAnsi"/>
          <w:lang w:val="nl-NL"/>
        </w:rPr>
      </w:pPr>
    </w:p>
    <w:p w14:paraId="7FE3F729" w14:textId="6423DF7A" w:rsidR="00D46131" w:rsidRDefault="00A435C6" w:rsidP="00D46131">
      <w:pPr>
        <w:spacing w:after="0" w:line="240" w:lineRule="auto"/>
        <w:jc w:val="both"/>
        <w:rPr>
          <w:rFonts w:cstheme="minorHAnsi"/>
        </w:rPr>
      </w:pPr>
      <w:r>
        <w:rPr>
          <w:rFonts w:cstheme="minorHAnsi"/>
          <w:b/>
          <w:bCs/>
          <w:lang w:val="nl-NL"/>
        </w:rPr>
        <w:t>75.</w:t>
      </w:r>
      <w:r w:rsidR="00D46131" w:rsidRPr="00D46131">
        <w:rPr>
          <w:rFonts w:cstheme="minorHAnsi"/>
          <w:lang w:val="nl-NL"/>
        </w:rPr>
        <w:t xml:space="preserve"> </w:t>
      </w:r>
      <w:r w:rsidR="00D46131" w:rsidRPr="00D46131">
        <w:rPr>
          <w:rFonts w:cstheme="minorHAnsi"/>
          <w:lang w:val="nl-NL"/>
        </w:rPr>
        <w:tab/>
        <w:t>Naast de officiële bekendmaking van de wet of het reglement, zijn vaak ook nog andere, bijkomende vormen van actieve openbaarmaking aangewezen.</w:t>
      </w:r>
      <w:r w:rsidR="00D46131" w:rsidRPr="00D46131">
        <w:rPr>
          <w:rStyle w:val="Voetnootmarkering"/>
          <w:rFonts w:cstheme="minorHAnsi"/>
          <w:lang w:val="nl-NL"/>
        </w:rPr>
        <w:footnoteReference w:id="281"/>
      </w:r>
      <w:r w:rsidR="00D46131" w:rsidRPr="00D46131">
        <w:rPr>
          <w:rFonts w:cstheme="minorHAnsi"/>
          <w:lang w:val="nl-NL"/>
        </w:rPr>
        <w:t xml:space="preserve"> In de vorige kroniek bespraken we dat de Raad van State opmerkingen had geformuleerd over het feit dat de publieke regelgevingsdatabank Fisconetplus van de FOD Financiën enkel toegankelijk was door gebruik te maken van een (weliswaar gratis) Microsoft-account. Volgens de Raad zou de databank hierdoor niet meer </w:t>
      </w:r>
      <w:r w:rsidR="00D46131" w:rsidRPr="00D46131">
        <w:rPr>
          <w:rFonts w:cstheme="minorHAnsi"/>
          <w:i/>
          <w:lang w:val="nl-NL"/>
        </w:rPr>
        <w:t xml:space="preserve">vrij </w:t>
      </w:r>
      <w:r w:rsidR="00D46131" w:rsidRPr="00D46131">
        <w:rPr>
          <w:rFonts w:cstheme="minorHAnsi"/>
          <w:lang w:val="nl-NL"/>
        </w:rPr>
        <w:t>toegankelijk zijn en deze werkwijze zou op gespannen voet staan met de regelgeving inzake de verwerking van persoonsgegeven.</w:t>
      </w:r>
      <w:r w:rsidR="00D46131" w:rsidRPr="00D46131">
        <w:rPr>
          <w:rStyle w:val="Voetnootmarkering"/>
          <w:rFonts w:cstheme="minorHAnsi"/>
          <w:lang w:val="nl-NL"/>
        </w:rPr>
        <w:footnoteReference w:id="282"/>
      </w:r>
      <w:r w:rsidR="00D46131" w:rsidRPr="00D46131">
        <w:rPr>
          <w:rFonts w:cstheme="minorHAnsi"/>
          <w:lang w:val="nl-NL"/>
        </w:rPr>
        <w:t xml:space="preserve"> Dit knelpunt kreeg vervolgens nog een staartje. De Gegevensbeschermingsautoriteit (GBA) formuleerde eerst een aanbeveling waar het bij de FOD Financiën aandrong om de voorwaarden van de toegankelijkheid van de regelgevingsdatabank aan te passen. Het merkte hierbij op: “Overheidsdiensten dienen steeds de vrije toegang tot de officiële bronnen van wetgeving te waarborgen. Dit zonder enige voorwaarden hieraan te koppelen die inmengingen in de persoonlijke levenssfeer uitmaken en/of onnodige risico’s inhouden voor de rechten en vrijheden van de betrokkenen, al dan niet door de voorwaarden of het gebruiksmodel van een derde partij stilzwijgend over te nemen. Dergelijke diensten moeten de volle gebruiksvriendelijkheid en (basis)functionaliteit bieden en makkelijk te vinden zijn ten opzichte van de diensten die wel met voorwaarden worden aangeboden, bijvoorbeeld om de toegang tot de informatie te personaliseren. Hierbij mag geen spraken zijn van het gebruik van beïnvloedende technieken die de keuze voor het meer privacyvriendelijke alternatief onmogelijk, moeilijker of minder interessant maken waardoor de betrokkene geen gelijkwaardige keuze krijgt aangeboden.”</w:t>
      </w:r>
      <w:r w:rsidR="00D46131" w:rsidRPr="00D46131">
        <w:rPr>
          <w:rStyle w:val="Voetnootmarkering"/>
          <w:rFonts w:cstheme="minorHAnsi"/>
          <w:lang w:val="nl-NL"/>
        </w:rPr>
        <w:footnoteReference w:id="283"/>
      </w:r>
      <w:r w:rsidR="00D46131" w:rsidRPr="00D46131">
        <w:rPr>
          <w:rFonts w:cstheme="minorHAnsi"/>
          <w:lang w:val="nl-NL"/>
        </w:rPr>
        <w:t xml:space="preserve"> Aangezien de FOD Financiën niet inging op deze aanbeveling, legde de inspectie van de GBA vervolgens een bevel op aan </w:t>
      </w:r>
      <w:r w:rsidR="00D46131" w:rsidRPr="00D46131">
        <w:rPr>
          <w:rFonts w:cstheme="minorHAnsi"/>
          <w:lang w:val="nl-NL"/>
        </w:rPr>
        <w:lastRenderedPageBreak/>
        <w:t>de FOD Financiën om de toegang tot Fisconetplus los te koppelen van het Microsoft-platform. Nadat de FOD Financiën gevolg had gegeven aan dit bevel werd de zaak door de Geschillenbeslechtingskamer van de GBA afgesloten met een berisping wegens schending van de regelgeving inzake de verwerking van persoonsgegevens.</w:t>
      </w:r>
      <w:r w:rsidR="00D46131" w:rsidRPr="00D46131">
        <w:rPr>
          <w:rStyle w:val="Voetnootmarkering"/>
          <w:rFonts w:cstheme="minorHAnsi"/>
          <w:lang w:val="nl-NL"/>
        </w:rPr>
        <w:footnoteReference w:id="284"/>
      </w:r>
      <w:r w:rsidR="00D46131" w:rsidRPr="00D46131">
        <w:rPr>
          <w:rFonts w:cstheme="minorHAnsi"/>
          <w:lang w:val="nl-NL"/>
        </w:rPr>
        <w:t xml:space="preserve"> Hieruit blijkt dat de vraag tot het afstaan van persoonsgegevens in beginsel geen voorwaarde mag zijn voor toegang tot overheidsinformatie (</w:t>
      </w:r>
      <w:r w:rsidR="00D46131" w:rsidRPr="00D46131">
        <w:rPr>
          <w:rFonts w:cstheme="minorHAnsi"/>
          <w:i/>
          <w:lang w:val="nl-NL"/>
        </w:rPr>
        <w:t>a fortiori</w:t>
      </w:r>
      <w:r w:rsidR="00D46131" w:rsidRPr="00D46131">
        <w:rPr>
          <w:rFonts w:cstheme="minorHAnsi"/>
          <w:lang w:val="nl-NL"/>
        </w:rPr>
        <w:t xml:space="preserve"> voor een officiële bekendmaking) en dat hierbij slechts essentiële cookies mogen worden geplaatst waarvoor een </w:t>
      </w:r>
      <w:r w:rsidR="00D46131" w:rsidRPr="00D46131">
        <w:rPr>
          <w:rFonts w:cstheme="minorHAnsi"/>
        </w:rPr>
        <w:t>rechtsgeldige toestemming is verkregen.</w:t>
      </w:r>
    </w:p>
    <w:p w14:paraId="39054E95" w14:textId="77777777" w:rsidR="00D46131" w:rsidRPr="00D46131" w:rsidRDefault="00D46131" w:rsidP="00D46131">
      <w:pPr>
        <w:spacing w:after="0" w:line="240" w:lineRule="auto"/>
        <w:jc w:val="both"/>
        <w:rPr>
          <w:rFonts w:cstheme="minorHAnsi"/>
          <w:lang w:val="nl-NL"/>
        </w:rPr>
      </w:pPr>
    </w:p>
    <w:p w14:paraId="678DEB7C" w14:textId="09499777" w:rsidR="00D46131" w:rsidRDefault="00A435C6" w:rsidP="00D46131">
      <w:pPr>
        <w:spacing w:after="0" w:line="240" w:lineRule="auto"/>
        <w:jc w:val="both"/>
        <w:rPr>
          <w:rFonts w:cstheme="minorHAnsi"/>
          <w:lang w:val="nl-NL"/>
        </w:rPr>
      </w:pPr>
      <w:r>
        <w:rPr>
          <w:rFonts w:cstheme="minorHAnsi"/>
          <w:b/>
          <w:bCs/>
          <w:lang w:val="nl-NL"/>
        </w:rPr>
        <w:t>76.</w:t>
      </w:r>
      <w:r w:rsidR="00D46131" w:rsidRPr="00D46131">
        <w:rPr>
          <w:rFonts w:cstheme="minorHAnsi"/>
          <w:lang w:val="nl-NL"/>
        </w:rPr>
        <w:tab/>
        <w:t>In wet- en regelgeving wordt soms verwezen naar een andere tekst, van een andere overheid of zelfs van een privé</w:t>
      </w:r>
      <w:r>
        <w:rPr>
          <w:rFonts w:cstheme="minorHAnsi"/>
          <w:lang w:val="nl-NL"/>
        </w:rPr>
        <w:t>-</w:t>
      </w:r>
      <w:r w:rsidR="00D46131" w:rsidRPr="00D46131">
        <w:rPr>
          <w:rFonts w:cstheme="minorHAnsi"/>
          <w:lang w:val="nl-NL"/>
        </w:rPr>
        <w:t>persoon. In eerdere kronieken wezen we al op dat indien deze tekst aldus verbindend worden door verwijzing, deze op dezelfde wijze zullen moeten worden bekendgemaakt als de wet- of regelgeving die ernaar verwijst.</w:t>
      </w:r>
      <w:r w:rsidR="00D46131" w:rsidRPr="00D46131">
        <w:rPr>
          <w:rStyle w:val="Voetnootmarkering"/>
          <w:rFonts w:cstheme="minorHAnsi"/>
          <w:lang w:val="nl-NL"/>
        </w:rPr>
        <w:footnoteReference w:id="285"/>
      </w:r>
    </w:p>
    <w:p w14:paraId="4F47188F" w14:textId="77777777" w:rsidR="00D46131" w:rsidRPr="00D46131" w:rsidRDefault="00D46131" w:rsidP="00D46131">
      <w:pPr>
        <w:spacing w:after="0" w:line="240" w:lineRule="auto"/>
        <w:jc w:val="both"/>
        <w:rPr>
          <w:rFonts w:cstheme="minorHAnsi"/>
          <w:lang w:val="nl-NL"/>
        </w:rPr>
      </w:pPr>
    </w:p>
    <w:p w14:paraId="4A8FDD2C" w14:textId="39BAD21E" w:rsidR="00D46131" w:rsidRDefault="00A435C6" w:rsidP="00D46131">
      <w:pPr>
        <w:spacing w:after="0" w:line="240" w:lineRule="auto"/>
        <w:jc w:val="both"/>
        <w:rPr>
          <w:rFonts w:cstheme="minorHAnsi"/>
          <w:lang w:val="nl-NL"/>
        </w:rPr>
      </w:pPr>
      <w:r>
        <w:rPr>
          <w:rFonts w:cstheme="minorHAnsi"/>
          <w:b/>
          <w:bCs/>
          <w:lang w:val="nl-NL"/>
        </w:rPr>
        <w:t>77.</w:t>
      </w:r>
      <w:r w:rsidR="00D46131" w:rsidRPr="00D46131">
        <w:rPr>
          <w:rFonts w:cstheme="minorHAnsi"/>
          <w:lang w:val="nl-NL"/>
        </w:rPr>
        <w:tab/>
        <w:t xml:space="preserve">In eerdere kronieken hebben we er ook al op gewezen dat volgens de Raad van State het knelpunt van de ontbrekende bekendmaking van technische normen (bv. ISO- of NBN-normen), waarnaar wordt verwezen in de interne rechtsorde op een horizontale manier zou moeten worden opgelost. Zolang er geen dergelijke wettelijke regeling tot stand is gekomen, is een norm die niet overeenkomstig artikel 190 </w:t>
      </w:r>
      <w:r w:rsidR="001D44BE">
        <w:rPr>
          <w:rFonts w:cstheme="minorHAnsi"/>
          <w:lang w:val="nl-NL"/>
        </w:rPr>
        <w:t>Gw.</w:t>
      </w:r>
      <w:r w:rsidR="00D46131" w:rsidRPr="00D46131">
        <w:rPr>
          <w:rFonts w:cstheme="minorHAnsi"/>
          <w:lang w:val="nl-NL"/>
        </w:rPr>
        <w:t xml:space="preserve"> is bekendgemaakt niet tegenwerpbaar aan particulieren.</w:t>
      </w:r>
      <w:r w:rsidR="00D46131" w:rsidRPr="00D46131">
        <w:rPr>
          <w:rStyle w:val="Voetnootmarkering"/>
          <w:rFonts w:cstheme="minorHAnsi"/>
          <w:lang w:val="nl-NL"/>
        </w:rPr>
        <w:footnoteReference w:id="286"/>
      </w:r>
      <w:r w:rsidR="00D46131" w:rsidRPr="00D46131">
        <w:rPr>
          <w:rFonts w:cstheme="minorHAnsi"/>
          <w:lang w:val="nl-NL"/>
        </w:rPr>
        <w:t xml:space="preserve"> Een adviesaanvrager bracht hier evenwel tegen in dat de verwijzing naar een technische norm niet meer dan de omzetting was van een Europese richtlijn die zelf voorschrijft dat aan een bepaalde technische specificatie moet worden voldaan. De Raad van State antwoordde hierop dat dit niet wegneemt dat die norm in overeenstemming met artikel 190 </w:t>
      </w:r>
      <w:r w:rsidR="001D44BE">
        <w:rPr>
          <w:rFonts w:cstheme="minorHAnsi"/>
          <w:lang w:val="nl-NL"/>
        </w:rPr>
        <w:t>Gw.</w:t>
      </w:r>
      <w:r w:rsidR="00D46131" w:rsidRPr="00D46131">
        <w:rPr>
          <w:rFonts w:cstheme="minorHAnsi"/>
          <w:lang w:val="nl-NL"/>
        </w:rPr>
        <w:t xml:space="preserve"> moet worden bekendgemaakt en dat een correcte omzetting van een richtlijn overigens net de verplichting inhoudt om in een volwaardig nationaal rechtskader te voorzien teneinde de doelstellingen van de richtlijn te halen. Als onmiddellijke oplossing suggereerde de Raad van State om de relevante normen als bijlage bij het te nemen besluit op te nemen en aldus bekend te maken.</w:t>
      </w:r>
      <w:r w:rsidR="00D46131" w:rsidRPr="00D46131">
        <w:rPr>
          <w:rStyle w:val="Voetnootmarkering"/>
          <w:rFonts w:cstheme="minorHAnsi"/>
          <w:lang w:val="nl-NL"/>
        </w:rPr>
        <w:footnoteReference w:id="287"/>
      </w:r>
    </w:p>
    <w:p w14:paraId="6DD9AE0F" w14:textId="77777777" w:rsidR="00D46131" w:rsidRPr="00D46131" w:rsidRDefault="00D46131" w:rsidP="00D46131">
      <w:pPr>
        <w:spacing w:after="0" w:line="240" w:lineRule="auto"/>
        <w:jc w:val="both"/>
        <w:rPr>
          <w:rFonts w:cstheme="minorHAnsi"/>
          <w:lang w:val="nl-NL"/>
        </w:rPr>
      </w:pPr>
    </w:p>
    <w:p w14:paraId="0C24B4C2" w14:textId="720B40A8" w:rsidR="00D46131" w:rsidRDefault="00A435C6" w:rsidP="00D46131">
      <w:pPr>
        <w:spacing w:after="0" w:line="240" w:lineRule="auto"/>
        <w:jc w:val="both"/>
        <w:rPr>
          <w:rFonts w:cstheme="minorHAnsi"/>
          <w:lang w:val="nl-NL"/>
        </w:rPr>
      </w:pPr>
      <w:r>
        <w:rPr>
          <w:rFonts w:cstheme="minorHAnsi"/>
          <w:b/>
          <w:bCs/>
          <w:lang w:val="nl-NL"/>
        </w:rPr>
        <w:t>78.</w:t>
      </w:r>
      <w:r w:rsidR="00D46131" w:rsidRPr="00D46131">
        <w:rPr>
          <w:rFonts w:cstheme="minorHAnsi"/>
          <w:lang w:val="nl-NL"/>
        </w:rPr>
        <w:tab/>
        <w:t xml:space="preserve">De Raad van State werd ondertussen ook geconfronteerd met regelgeving waarin wordt verwezen naar elektronische documenten. Volgens een besluit zouden de </w:t>
      </w:r>
      <w:r w:rsidR="00D46131" w:rsidRPr="00D46131">
        <w:rPr>
          <w:rFonts w:cstheme="minorHAnsi"/>
        </w:rPr>
        <w:t xml:space="preserve">bouwtechnische en conceptuele richtlijnen voor de realisatie en instandhouding van sociale woningen en voor de infrastructuuraanleg voor sociale woonprojecten “worden vastgelegd onder de vorm van een beveiligd digitaal bestand”. Volgens de Raad van State zijn deze richtlijnen wel degelijk rechtsregels en moeten ze dan ook </w:t>
      </w:r>
      <w:r w:rsidR="00D46131" w:rsidRPr="00D46131">
        <w:rPr>
          <w:rFonts w:cstheme="minorHAnsi"/>
          <w:lang w:val="nl-NL"/>
        </w:rPr>
        <w:t xml:space="preserve">worden opgenomen in het besluit zelf in plaats van in een "beveiligd digitaal bestand". Er anders over oordelen zou op gespannen voet staan met het algemeen rechtsbeginsel van de verplichte bekendmaking van rechtsregels, zoals verwoord in artikel 190 </w:t>
      </w:r>
      <w:r w:rsidR="001D44BE">
        <w:rPr>
          <w:rFonts w:cstheme="minorHAnsi"/>
          <w:lang w:val="nl-NL"/>
        </w:rPr>
        <w:t>Gw.</w:t>
      </w:r>
      <w:r w:rsidR="00D46131" w:rsidRPr="00D46131">
        <w:rPr>
          <w:rFonts w:cstheme="minorHAnsi"/>
          <w:lang w:val="nl-NL"/>
        </w:rPr>
        <w:t xml:space="preserve"> en in artikel 84, eerste lid, 1°, BWHI.</w:t>
      </w:r>
      <w:r w:rsidR="00D46131" w:rsidRPr="00D46131">
        <w:rPr>
          <w:rStyle w:val="Voetnootmarkering"/>
          <w:rFonts w:cstheme="minorHAnsi"/>
          <w:lang w:val="nl-NL"/>
        </w:rPr>
        <w:footnoteReference w:id="288"/>
      </w:r>
      <w:r w:rsidR="00D46131" w:rsidRPr="00D46131">
        <w:rPr>
          <w:rFonts w:cstheme="minorHAnsi"/>
          <w:lang w:val="nl-NL"/>
        </w:rPr>
        <w:t xml:space="preserve"> </w:t>
      </w:r>
    </w:p>
    <w:p w14:paraId="10BA4350" w14:textId="77777777" w:rsidR="006C1844" w:rsidRPr="00D46131" w:rsidRDefault="006C1844" w:rsidP="00D46131">
      <w:pPr>
        <w:spacing w:after="0" w:line="240" w:lineRule="auto"/>
        <w:jc w:val="both"/>
        <w:rPr>
          <w:rFonts w:cstheme="minorHAnsi"/>
          <w:lang w:val="nl-NL"/>
        </w:rPr>
      </w:pPr>
    </w:p>
    <w:p w14:paraId="77372CCC" w14:textId="24B1ADD0" w:rsidR="00D46131" w:rsidRDefault="00D46131" w:rsidP="00D46131">
      <w:pPr>
        <w:spacing w:after="0" w:line="240" w:lineRule="auto"/>
        <w:jc w:val="both"/>
        <w:rPr>
          <w:rFonts w:eastAsia="Times New Roman" w:cstheme="minorHAnsi"/>
        </w:rPr>
      </w:pPr>
      <w:r w:rsidRPr="00D46131">
        <w:rPr>
          <w:rFonts w:cstheme="minorHAnsi"/>
          <w:lang w:val="nl-NL"/>
        </w:rPr>
        <w:t>In een ander besluit werd voorzien dat energiezuinige aanpassingen aan binnenverlichting in aanmerking kwam</w:t>
      </w:r>
      <w:r w:rsidR="00674116">
        <w:rPr>
          <w:rFonts w:cstheme="minorHAnsi"/>
          <w:lang w:val="nl-NL"/>
        </w:rPr>
        <w:t>en</w:t>
      </w:r>
      <w:r w:rsidRPr="00D46131">
        <w:rPr>
          <w:rFonts w:cstheme="minorHAnsi"/>
          <w:lang w:val="nl-NL"/>
        </w:rPr>
        <w:t xml:space="preserve"> voor een premie indien het geïnstalleerd vermogen van de installatie kleiner is dan of gelijk aan het streefvermogen van de installatie zoals berekend in het excelbestand dat door het Vlaams Energie- en Klimaatagentschap (VEKA) ter beschikking is gesteld. De </w:t>
      </w:r>
      <w:r w:rsidRPr="00D46131">
        <w:rPr>
          <w:rFonts w:eastAsia="Times New Roman" w:cstheme="minorHAnsi"/>
          <w:lang w:val="nl-NL"/>
        </w:rPr>
        <w:t xml:space="preserve">gebruikte handelwijze </w:t>
      </w:r>
      <w:r w:rsidRPr="00D46131">
        <w:rPr>
          <w:rFonts w:eastAsia="Times New Roman" w:cstheme="minorHAnsi"/>
          <w:lang w:val="nl-NL"/>
        </w:rPr>
        <w:lastRenderedPageBreak/>
        <w:t>was volgens de Raad van State weinig transparant en niet aanvaardbaar. De door de premieaanvrager na te leven streefvermogen zou immers voortvloeien uit de parameters, en de verhoudingen ertussen, die worden gehanteerd in het door het VEKA ter beschikking gestelde excelbestand, terwijl die parameters en die verhoudingen op zich niet zou worden bekendgemaakt. Daarentegen moeten d</w:t>
      </w:r>
      <w:r w:rsidRPr="00D46131">
        <w:rPr>
          <w:rFonts w:eastAsia="Times New Roman" w:cstheme="minorHAnsi"/>
        </w:rPr>
        <w:t>e parameters en de verhoudingen tussen deze parameters om het streefvermogen van de installatie te bepalen, in het ontwerp zelf worden geregeld. Eens dat is gebeurd kan het VEKA een rekentool ter beschikking stellen die een loutere vertaling inhoudt van de in het ontwerp bepaalde regeling en kan de minister het gebruik van die rekentool voorschrijven als een procedurele voorwaarde voor een aanvraag van de premie.</w:t>
      </w:r>
      <w:r w:rsidRPr="00D46131">
        <w:rPr>
          <w:rStyle w:val="Voetnootmarkering"/>
          <w:rFonts w:eastAsia="Times New Roman" w:cstheme="minorHAnsi"/>
        </w:rPr>
        <w:footnoteReference w:id="289"/>
      </w:r>
    </w:p>
    <w:p w14:paraId="19B4E6AA" w14:textId="77777777" w:rsidR="00D46131" w:rsidRPr="00D46131" w:rsidRDefault="00D46131" w:rsidP="00D46131">
      <w:pPr>
        <w:spacing w:after="0" w:line="240" w:lineRule="auto"/>
        <w:jc w:val="both"/>
        <w:rPr>
          <w:rFonts w:eastAsia="Times New Roman" w:cstheme="minorHAnsi"/>
          <w:lang w:val="nl-NL"/>
        </w:rPr>
      </w:pPr>
    </w:p>
    <w:p w14:paraId="1ABE8267" w14:textId="34BC6A3D" w:rsidR="00D46131" w:rsidRDefault="00A435C6" w:rsidP="00D46131">
      <w:pPr>
        <w:spacing w:after="0" w:line="240" w:lineRule="auto"/>
        <w:jc w:val="both"/>
        <w:rPr>
          <w:rFonts w:cstheme="minorHAnsi"/>
          <w:lang w:val="nl-NL"/>
        </w:rPr>
      </w:pPr>
      <w:r>
        <w:rPr>
          <w:rFonts w:cstheme="minorHAnsi"/>
          <w:b/>
          <w:bCs/>
          <w:lang w:val="nl-NL"/>
        </w:rPr>
        <w:t>79.</w:t>
      </w:r>
      <w:r w:rsidR="00D46131" w:rsidRPr="00D46131">
        <w:rPr>
          <w:rFonts w:cstheme="minorHAnsi"/>
          <w:lang w:val="nl-NL"/>
        </w:rPr>
        <w:tab/>
        <w:t xml:space="preserve">Een overeenkomst gesloten tussen 23 EU-lidstaten voorzag in de beëindiging van verschillende onder hen gesloten bilaterale investeringsverdragen, dit teneinde uitvoering te geven aan het arrest </w:t>
      </w:r>
      <w:r w:rsidR="00D46131" w:rsidRPr="00D46131">
        <w:rPr>
          <w:rFonts w:cstheme="minorHAnsi"/>
          <w:i/>
          <w:lang w:val="nl-NL"/>
        </w:rPr>
        <w:t>Achmea</w:t>
      </w:r>
      <w:r w:rsidR="00D46131" w:rsidRPr="00D46131">
        <w:rPr>
          <w:rFonts w:cstheme="minorHAnsi"/>
          <w:lang w:val="nl-NL"/>
        </w:rPr>
        <w:t xml:space="preserve"> van het Hof van Justitie, </w:t>
      </w:r>
      <w:r w:rsidR="00D46131" w:rsidRPr="00D46131">
        <w:rPr>
          <w:rFonts w:eastAsia="Arial Unicode MS" w:cstheme="minorHAnsi"/>
          <w:kern w:val="2"/>
          <w:lang w:eastAsia="nl-BE" w:bidi="nl-BE"/>
        </w:rPr>
        <w:t xml:space="preserve">waarin was geoordeeld dat het daarin opgezette systeem van arbitrage onverenigbaar is met het EU-recht. De bilaterale investeringsverdragen zouden worden opgezegd wanneer de overeenkomst voor de beide partijen het bilateraal investeringsverdrag in werking treedt. De Raad van State merkte op dat dit tot gevolg heeft dat de beëindiging van de dertien door België gesloten bilaterale investeringsverdragen wellicht niet op eenzelfde datum zou plaatshebben. Aangezien het op die wijze voor rechtsonderhorige moeilijk te achterhalen valt wanneer een bepaald investeringsverdrag wordt beëindigd, moet deze hierover tijdig worden geïnformeerd via het </w:t>
      </w:r>
      <w:r w:rsidR="00D46131" w:rsidRPr="00D46131">
        <w:rPr>
          <w:rFonts w:eastAsia="Arial Unicode MS" w:cstheme="minorHAnsi"/>
          <w:i/>
          <w:kern w:val="2"/>
          <w:lang w:eastAsia="nl-BE" w:bidi="nl-BE"/>
        </w:rPr>
        <w:t>Belgisch Staatsblad</w:t>
      </w:r>
      <w:r w:rsidR="00D46131" w:rsidRPr="00D46131">
        <w:rPr>
          <w:rFonts w:eastAsia="Arial Unicode MS" w:cstheme="minorHAnsi"/>
          <w:kern w:val="2"/>
          <w:lang w:eastAsia="nl-BE" w:bidi="nl-BE"/>
        </w:rPr>
        <w:t>.</w:t>
      </w:r>
      <w:r w:rsidR="00D46131" w:rsidRPr="00D46131">
        <w:rPr>
          <w:rStyle w:val="Voetnootmarkering"/>
          <w:rFonts w:eastAsia="Arial Unicode MS" w:cstheme="minorHAnsi"/>
          <w:kern w:val="2"/>
          <w:lang w:eastAsia="nl-BE" w:bidi="nl-BE"/>
        </w:rPr>
        <w:footnoteReference w:id="290"/>
      </w:r>
    </w:p>
    <w:p w14:paraId="5A154761" w14:textId="77777777" w:rsidR="00D46131" w:rsidRPr="00D46131" w:rsidRDefault="00D46131" w:rsidP="00D46131">
      <w:pPr>
        <w:spacing w:after="0" w:line="240" w:lineRule="auto"/>
        <w:jc w:val="both"/>
        <w:rPr>
          <w:rFonts w:cstheme="minorHAnsi"/>
          <w:lang w:val="nl-NL"/>
        </w:rPr>
      </w:pPr>
    </w:p>
    <w:p w14:paraId="199D594D" w14:textId="4B31F13A" w:rsidR="00D46131" w:rsidRPr="00D46131" w:rsidRDefault="00D46131" w:rsidP="00D46131">
      <w:pPr>
        <w:spacing w:after="0" w:line="240" w:lineRule="auto"/>
        <w:jc w:val="both"/>
        <w:rPr>
          <w:rFonts w:cstheme="minorHAnsi"/>
        </w:rPr>
      </w:pPr>
      <w:r w:rsidRPr="00D46131">
        <w:rPr>
          <w:rFonts w:cstheme="minorHAnsi"/>
          <w:lang w:val="nl-NL"/>
        </w:rPr>
        <w:t xml:space="preserve">In een complexe overgangsregeling stelt de overeenkomst </w:t>
      </w:r>
      <w:r w:rsidRPr="00D46131">
        <w:rPr>
          <w:rFonts w:eastAsia="Arial Unicode MS" w:cstheme="minorHAnsi"/>
          <w:kern w:val="2"/>
          <w:lang w:eastAsia="nl-BE" w:bidi="nl-BE"/>
        </w:rPr>
        <w:t xml:space="preserve">retroactief een formeel verbod in om vanaf 6 maart 2018 – datum van het arrest </w:t>
      </w:r>
      <w:r w:rsidRPr="00D46131">
        <w:rPr>
          <w:rFonts w:eastAsia="Arial Unicode MS" w:cstheme="minorHAnsi"/>
          <w:i/>
          <w:kern w:val="2"/>
          <w:lang w:eastAsia="nl-BE" w:bidi="nl-BE"/>
        </w:rPr>
        <w:t>Achmea</w:t>
      </w:r>
      <w:r w:rsidRPr="00D46131">
        <w:rPr>
          <w:rFonts w:eastAsia="Arial Unicode MS" w:cstheme="minorHAnsi"/>
          <w:kern w:val="2"/>
          <w:lang w:eastAsia="nl-BE" w:bidi="nl-BE"/>
        </w:rPr>
        <w:t xml:space="preserve"> – nog nieuwe arbitrageprocedures in te leiden op grond van nog geldende arbitragebedingen. De Raad van State erkende dat de gevolgen van het arrest </w:t>
      </w:r>
      <w:r w:rsidRPr="00D46131">
        <w:rPr>
          <w:rFonts w:eastAsia="Arial Unicode MS" w:cstheme="minorHAnsi"/>
          <w:i/>
          <w:kern w:val="2"/>
          <w:lang w:eastAsia="nl-BE" w:bidi="nl-BE"/>
        </w:rPr>
        <w:t>Achmea</w:t>
      </w:r>
      <w:r w:rsidRPr="00D46131">
        <w:rPr>
          <w:rFonts w:eastAsia="Arial Unicode MS" w:cstheme="minorHAnsi"/>
          <w:kern w:val="2"/>
          <w:lang w:eastAsia="nl-BE" w:bidi="nl-BE"/>
        </w:rPr>
        <w:t xml:space="preserve"> niet beperkt zijn in de tijd en dat de lidstaten ertoe gehouden zijn om de onverenigbare arbitragebedingen weg te werken, maar wees erop dat de be</w:t>
      </w:r>
      <w:r w:rsidR="006C1844">
        <w:rPr>
          <w:rFonts w:eastAsia="Arial Unicode MS" w:cstheme="minorHAnsi"/>
          <w:kern w:val="2"/>
          <w:lang w:eastAsia="nl-BE" w:bidi="nl-BE"/>
        </w:rPr>
        <w:t>ëi</w:t>
      </w:r>
      <w:r w:rsidRPr="00D46131">
        <w:rPr>
          <w:rFonts w:eastAsia="Arial Unicode MS" w:cstheme="minorHAnsi"/>
          <w:kern w:val="2"/>
          <w:lang w:eastAsia="nl-BE" w:bidi="nl-BE"/>
        </w:rPr>
        <w:t xml:space="preserve">ndiging van een onverenigbare arbitragebedingen slechts tegenstelbaar is aan rechtsonderhorigen vanaf het ogenblik dat de overeenkomst ten aanzien van de bij een bepaald investeringsverdrag betrokken verdragspartijen in werking treedt. Het op prejudiciële vraag uitgesproken arrest </w:t>
      </w:r>
      <w:r w:rsidRPr="00D46131">
        <w:rPr>
          <w:rFonts w:eastAsia="Arial Unicode MS" w:cstheme="minorHAnsi"/>
          <w:i/>
          <w:iCs/>
          <w:kern w:val="2"/>
          <w:lang w:eastAsia="nl-BE" w:bidi="nl-BE"/>
        </w:rPr>
        <w:t xml:space="preserve">Achmea </w:t>
      </w:r>
      <w:r w:rsidRPr="00D46131">
        <w:rPr>
          <w:rFonts w:eastAsia="Arial Unicode MS" w:cstheme="minorHAnsi"/>
          <w:kern w:val="2"/>
          <w:lang w:eastAsia="nl-BE" w:bidi="nl-BE"/>
        </w:rPr>
        <w:t>kan immers niet worden geacht dat verbod vanaf de datum van zijn uitspraak formeel tegenstelbaar te hebben gemaakt aan particulieren.</w:t>
      </w:r>
      <w:r w:rsidRPr="00D46131">
        <w:rPr>
          <w:rStyle w:val="Voetnootmarkering"/>
          <w:rFonts w:eastAsia="Arial Unicode MS" w:cstheme="minorHAnsi"/>
          <w:kern w:val="2"/>
          <w:lang w:eastAsia="nl-BE" w:bidi="nl-BE"/>
        </w:rPr>
        <w:footnoteReference w:id="291"/>
      </w:r>
      <w:r w:rsidRPr="00D46131">
        <w:rPr>
          <w:rFonts w:eastAsia="Arial Unicode MS" w:cstheme="minorHAnsi"/>
          <w:kern w:val="2"/>
          <w:lang w:eastAsia="nl-BE" w:bidi="nl-BE"/>
        </w:rPr>
        <w:t xml:space="preserve"> Bijgevolg kunnen, niettegenstaande het arrest </w:t>
      </w:r>
      <w:r w:rsidRPr="00D46131">
        <w:rPr>
          <w:rFonts w:eastAsia="Arial Unicode MS" w:cstheme="minorHAnsi"/>
          <w:i/>
          <w:iCs/>
          <w:kern w:val="2"/>
          <w:lang w:eastAsia="nl-BE" w:bidi="nl-BE"/>
        </w:rPr>
        <w:t>Achmea</w:t>
      </w:r>
      <w:r w:rsidRPr="00D46131">
        <w:rPr>
          <w:rFonts w:eastAsia="Arial Unicode MS" w:cstheme="minorHAnsi"/>
          <w:kern w:val="2"/>
          <w:lang w:eastAsia="nl-BE" w:bidi="nl-BE"/>
        </w:rPr>
        <w:t xml:space="preserve">, sinds 6 maart 2018 </w:t>
      </w:r>
      <w:r w:rsidRPr="00D46131">
        <w:rPr>
          <w:rFonts w:eastAsia="Arial Unicode MS" w:cstheme="minorHAnsi"/>
          <w:i/>
          <w:kern w:val="2"/>
          <w:lang w:eastAsia="nl-BE" w:bidi="nl-BE"/>
        </w:rPr>
        <w:t xml:space="preserve">de facto </w:t>
      </w:r>
      <w:r w:rsidRPr="00D46131">
        <w:rPr>
          <w:rFonts w:eastAsia="Arial Unicode MS" w:cstheme="minorHAnsi"/>
          <w:kern w:val="2"/>
          <w:lang w:eastAsia="nl-BE" w:bidi="nl-BE"/>
        </w:rPr>
        <w:t>nog steeds arbitrageprocedures worden ingeleid door investeerders, op grond van een in een investeringsverdrag opgenomen arbitragebeding, en dit tot wanneer de Overeenkomst ten aanzien van de verdragspartijen bij dat investeringsverdrag in werking is getreden en bekendgemaakt en dat verdrag zelf aldus wordt beëindigd. De Raad van State drong er dan ook op aan om een overgangsregeling uit te werken die er rekening mee de nog na 6 maart 2018 aanhangig gemaakte arbitrageprocedures.</w:t>
      </w:r>
      <w:r w:rsidRPr="00D46131">
        <w:rPr>
          <w:rStyle w:val="Voetnootmarkering"/>
          <w:rFonts w:eastAsia="Arial Unicode MS" w:cstheme="minorHAnsi"/>
          <w:kern w:val="2"/>
          <w:lang w:eastAsia="nl-BE" w:bidi="nl-BE"/>
        </w:rPr>
        <w:footnoteReference w:id="292"/>
      </w:r>
      <w:r w:rsidRPr="00D46131">
        <w:rPr>
          <w:rFonts w:eastAsia="Arial Unicode MS" w:cstheme="minorHAnsi"/>
          <w:kern w:val="2"/>
          <w:lang w:eastAsia="nl-BE" w:bidi="nl-BE"/>
        </w:rPr>
        <w:t xml:space="preserve"> De Raad van State benadrukte hierbij dat er weliswaar een Unierechtelijke verplichting is om tegemoet te komen aan het arrest </w:t>
      </w:r>
      <w:r w:rsidRPr="00D46131">
        <w:rPr>
          <w:rFonts w:eastAsia="Arial Unicode MS" w:cstheme="minorHAnsi"/>
          <w:i/>
          <w:iCs/>
          <w:kern w:val="2"/>
          <w:lang w:eastAsia="nl-BE" w:bidi="nl-BE"/>
        </w:rPr>
        <w:t>Achmea</w:t>
      </w:r>
      <w:r w:rsidRPr="00D46131">
        <w:rPr>
          <w:rFonts w:eastAsia="Arial Unicode MS" w:cstheme="minorHAnsi"/>
          <w:kern w:val="2"/>
          <w:lang w:eastAsia="nl-BE" w:bidi="nl-BE"/>
        </w:rPr>
        <w:t>, maar dat de voorrang van het Unierecht niet zo ver gaat dat dit ten koste kan gaan van het waarborgen van de grondrechten.</w:t>
      </w:r>
      <w:r w:rsidRPr="00D46131">
        <w:rPr>
          <w:rStyle w:val="Voetnootmarkering"/>
          <w:rFonts w:eastAsia="Arial Unicode MS" w:cstheme="minorHAnsi"/>
          <w:kern w:val="2"/>
          <w:lang w:eastAsia="nl-BE" w:bidi="nl-BE"/>
        </w:rPr>
        <w:footnoteReference w:id="293"/>
      </w:r>
      <w:r w:rsidRPr="00D46131">
        <w:rPr>
          <w:rFonts w:eastAsia="Arial Unicode MS" w:cstheme="minorHAnsi"/>
          <w:kern w:val="2"/>
          <w:lang w:eastAsia="nl-BE" w:bidi="nl-BE"/>
        </w:rPr>
        <w:t xml:space="preserve"> </w:t>
      </w:r>
    </w:p>
    <w:p w14:paraId="7F5725EC" w14:textId="44779512" w:rsidR="005671DE" w:rsidRDefault="005671DE" w:rsidP="00532989">
      <w:pPr>
        <w:spacing w:after="0" w:line="240" w:lineRule="auto"/>
        <w:jc w:val="both"/>
      </w:pPr>
    </w:p>
    <w:p w14:paraId="45978798" w14:textId="77777777" w:rsidR="00D46131" w:rsidRPr="009A35D7" w:rsidRDefault="00D46131" w:rsidP="00532989">
      <w:pPr>
        <w:spacing w:after="0" w:line="240" w:lineRule="auto"/>
        <w:jc w:val="both"/>
      </w:pPr>
    </w:p>
    <w:p w14:paraId="4D56BA8E" w14:textId="77777777" w:rsidR="005671DE" w:rsidRPr="009A35D7" w:rsidRDefault="005671DE" w:rsidP="00532989">
      <w:pPr>
        <w:pStyle w:val="Kop2"/>
        <w:spacing w:before="0" w:line="240" w:lineRule="auto"/>
        <w:jc w:val="both"/>
      </w:pPr>
      <w:bookmarkStart w:id="57" w:name="_Toc5779230"/>
      <w:bookmarkStart w:id="58" w:name="_Toc70497786"/>
      <w:bookmarkStart w:id="59" w:name="_Toc70499158"/>
      <w:r w:rsidRPr="009A35D7">
        <w:t>X</w:t>
      </w:r>
      <w:r w:rsidR="008967C7">
        <w:t>II</w:t>
      </w:r>
      <w:r w:rsidRPr="009A35D7">
        <w:t>. Inwerkingtreding en terugwerkende kracht</w:t>
      </w:r>
      <w:bookmarkEnd w:id="57"/>
      <w:bookmarkEnd w:id="58"/>
      <w:bookmarkEnd w:id="59"/>
    </w:p>
    <w:p w14:paraId="133FC21D" w14:textId="77777777" w:rsidR="00ED3F41" w:rsidRPr="009A35D7" w:rsidRDefault="00ED3F41" w:rsidP="00532989">
      <w:pPr>
        <w:spacing w:after="0" w:line="240" w:lineRule="auto"/>
        <w:jc w:val="both"/>
      </w:pPr>
    </w:p>
    <w:p w14:paraId="7D54A701" w14:textId="77777777" w:rsidR="00D46131" w:rsidRDefault="00D46131" w:rsidP="00D46131">
      <w:pPr>
        <w:pStyle w:val="Kop3"/>
      </w:pPr>
      <w:bookmarkStart w:id="60" w:name="_Toc70497787"/>
      <w:bookmarkStart w:id="61" w:name="_Toc70499159"/>
      <w:r>
        <w:lastRenderedPageBreak/>
        <w:t>A. Inwerkingtreding</w:t>
      </w:r>
      <w:bookmarkEnd w:id="60"/>
      <w:bookmarkEnd w:id="61"/>
    </w:p>
    <w:p w14:paraId="3397DD55" w14:textId="77777777" w:rsidR="00D46131" w:rsidRDefault="00D46131" w:rsidP="00D46131">
      <w:pPr>
        <w:spacing w:after="0" w:line="240" w:lineRule="auto"/>
        <w:jc w:val="both"/>
      </w:pPr>
    </w:p>
    <w:p w14:paraId="6412C50B" w14:textId="56001F8D" w:rsidR="00D46131" w:rsidRDefault="00A91330" w:rsidP="00D46131">
      <w:pPr>
        <w:spacing w:after="0" w:line="240" w:lineRule="auto"/>
        <w:jc w:val="both"/>
      </w:pPr>
      <w:r>
        <w:rPr>
          <w:b/>
          <w:bCs/>
        </w:rPr>
        <w:t>80.</w:t>
      </w:r>
      <w:r w:rsidR="00D46131">
        <w:tab/>
        <w:t xml:space="preserve">Herhaaldelijk moet de Raad van State erop wijzen dat, hoe gehaast men ook is met rechtsregels, een inwerkingtreding op de datum van de ondertekening door de Koning, de regering of de minister uit den boze is. </w:t>
      </w:r>
      <w:r w:rsidR="00D46131" w:rsidRPr="002356E4">
        <w:t xml:space="preserve">Zolang </w:t>
      </w:r>
      <w:r w:rsidR="00D46131">
        <w:t>die rechtsregel</w:t>
      </w:r>
      <w:r w:rsidR="00D46131" w:rsidRPr="002356E4">
        <w:t xml:space="preserve"> niet is bekendgemaakt weten de </w:t>
      </w:r>
      <w:r w:rsidR="00D46131">
        <w:t xml:space="preserve">burgers immers </w:t>
      </w:r>
      <w:r w:rsidR="00D46131" w:rsidRPr="002356E4">
        <w:t xml:space="preserve">niet wanneer </w:t>
      </w:r>
      <w:r w:rsidR="00D46131">
        <w:t xml:space="preserve">ze </w:t>
      </w:r>
      <w:r w:rsidR="00D46131" w:rsidRPr="002356E4">
        <w:t xml:space="preserve">werd ondertekend en kunnen zij evenmin weten dat </w:t>
      </w:r>
      <w:r w:rsidR="00D46131">
        <w:t xml:space="preserve">ze </w:t>
      </w:r>
      <w:r w:rsidR="00D46131" w:rsidRPr="002356E4">
        <w:t xml:space="preserve">in werking is getreden. Bovendien zal </w:t>
      </w:r>
      <w:r w:rsidR="00D46131">
        <w:t xml:space="preserve">de rechtsregel </w:t>
      </w:r>
      <w:r w:rsidR="00D46131" w:rsidRPr="002356E4">
        <w:t xml:space="preserve">noodzakelijkerwijze bekendgemaakt worden na de ondertekening ervan, zodat daardoor </w:t>
      </w:r>
      <w:r w:rsidR="00D46131">
        <w:t xml:space="preserve">eraan </w:t>
      </w:r>
      <w:r w:rsidR="00D46131" w:rsidRPr="002356E4">
        <w:t xml:space="preserve">ook feitelijk terugwerkende kracht </w:t>
      </w:r>
      <w:r w:rsidR="00D46131">
        <w:t xml:space="preserve">wordt </w:t>
      </w:r>
      <w:r w:rsidR="00D46131" w:rsidRPr="002356E4">
        <w:t>verleend.</w:t>
      </w:r>
      <w:r w:rsidR="00D46131">
        <w:rPr>
          <w:rStyle w:val="Voetnootmarkering"/>
        </w:rPr>
        <w:footnoteReference w:id="294"/>
      </w:r>
    </w:p>
    <w:p w14:paraId="3F1E158E" w14:textId="77777777" w:rsidR="00D46131" w:rsidRDefault="00D46131" w:rsidP="00D46131">
      <w:pPr>
        <w:spacing w:after="0" w:line="240" w:lineRule="auto"/>
        <w:jc w:val="both"/>
      </w:pPr>
    </w:p>
    <w:p w14:paraId="002DCB45" w14:textId="5DC74A20" w:rsidR="00D46131" w:rsidRDefault="00A91330" w:rsidP="00D46131">
      <w:pPr>
        <w:spacing w:after="0" w:line="240" w:lineRule="auto"/>
        <w:jc w:val="both"/>
      </w:pPr>
      <w:r>
        <w:rPr>
          <w:b/>
          <w:bCs/>
        </w:rPr>
        <w:t>81.</w:t>
      </w:r>
      <w:r w:rsidR="00D46131">
        <w:tab/>
        <w:t>Het regelen van de buitenwerkingtreding van een wijzigingsbepaling is zinledig. Van zodra een wijzigingsbepaling in werking treedt, wordt de wijziging aangebracht en is de wijzigigingsbepaling uitgewerkt. De latere opheffing of buitenwerkingtreding ervan heeft niet tot gevolg dat de wijziging ongedaan wordt gemaakt. Dat kan enkel door een nieuwe wijzigingsbepaling die de oorspronkelijke tekst herstelt.</w:t>
      </w:r>
      <w:r w:rsidR="00D46131">
        <w:rPr>
          <w:rStyle w:val="Voetnootmarkering"/>
        </w:rPr>
        <w:footnoteReference w:id="295"/>
      </w:r>
    </w:p>
    <w:p w14:paraId="77DBD202" w14:textId="77777777" w:rsidR="00D46131" w:rsidRDefault="00D46131" w:rsidP="00D46131">
      <w:pPr>
        <w:spacing w:after="0" w:line="240" w:lineRule="auto"/>
        <w:jc w:val="both"/>
      </w:pPr>
    </w:p>
    <w:p w14:paraId="47147C8E" w14:textId="77777777" w:rsidR="00D46131" w:rsidRDefault="00D46131" w:rsidP="00D46131">
      <w:pPr>
        <w:pStyle w:val="Kop3"/>
      </w:pPr>
      <w:bookmarkStart w:id="62" w:name="_Toc70497788"/>
      <w:bookmarkStart w:id="63" w:name="_Toc70499160"/>
      <w:r>
        <w:t>B. Terugwerkende kracht</w:t>
      </w:r>
      <w:bookmarkEnd w:id="62"/>
      <w:bookmarkEnd w:id="63"/>
      <w:r>
        <w:t xml:space="preserve"> </w:t>
      </w:r>
    </w:p>
    <w:p w14:paraId="77FB361D" w14:textId="77777777" w:rsidR="00D46131" w:rsidRDefault="00D46131" w:rsidP="00D46131">
      <w:pPr>
        <w:spacing w:after="0" w:line="240" w:lineRule="auto"/>
        <w:jc w:val="both"/>
      </w:pPr>
    </w:p>
    <w:p w14:paraId="7B57F144" w14:textId="417388AA" w:rsidR="00D46131" w:rsidRDefault="00A91330" w:rsidP="00D46131">
      <w:pPr>
        <w:spacing w:after="0" w:line="240" w:lineRule="auto"/>
        <w:jc w:val="both"/>
      </w:pPr>
      <w:r>
        <w:rPr>
          <w:b/>
          <w:bCs/>
        </w:rPr>
        <w:t>82.</w:t>
      </w:r>
      <w:r w:rsidR="00D46131">
        <w:tab/>
      </w:r>
      <w:r w:rsidR="00D46131" w:rsidRPr="009A35D7">
        <w:t xml:space="preserve">De beginselen en de belangrijkste toepassingen inzake terugwerkende kracht die reeds in </w:t>
      </w:r>
      <w:r w:rsidR="00D46131">
        <w:t>een</w:t>
      </w:r>
      <w:r w:rsidR="00D46131" w:rsidRPr="009A35D7">
        <w:t xml:space="preserve"> vorige editie van de kroniek</w:t>
      </w:r>
      <w:r w:rsidR="00D46131">
        <w:t xml:space="preserve"> zijn uiteengezet</w:t>
      </w:r>
      <w:r w:rsidR="00D46131" w:rsidRPr="009A35D7">
        <w:rPr>
          <w:rStyle w:val="Voetnootmarkering"/>
        </w:rPr>
        <w:footnoteReference w:id="296"/>
      </w:r>
      <w:r w:rsidR="00D46131" w:rsidRPr="009A35D7">
        <w:t xml:space="preserve"> zijn tijdens de besproken periode niet veranderd. Daarom wordt dit onderdeel beperkt tot enkele </w:t>
      </w:r>
      <w:r w:rsidR="00D46131">
        <w:t>toepassingsgevallen</w:t>
      </w:r>
      <w:r w:rsidR="00D46131" w:rsidRPr="009A35D7">
        <w:t>.</w:t>
      </w:r>
    </w:p>
    <w:p w14:paraId="77CFABEB" w14:textId="77777777" w:rsidR="00D46131" w:rsidRDefault="00D46131" w:rsidP="00D46131">
      <w:pPr>
        <w:spacing w:after="0" w:line="240" w:lineRule="auto"/>
        <w:jc w:val="both"/>
      </w:pPr>
    </w:p>
    <w:p w14:paraId="75035E10" w14:textId="77777777" w:rsidR="00D46131" w:rsidRDefault="00D46131" w:rsidP="00D46131">
      <w:pPr>
        <w:spacing w:after="0" w:line="240" w:lineRule="auto"/>
        <w:jc w:val="both"/>
      </w:pPr>
      <w:r>
        <w:t>Soms wordt een beroep gedaan op terugwerkende kracht wanneer dat overbodig of zinloos is. Zelfs als de retroactiviteit in dat geval juridisch toelaatbaar zou zijn is het af te raden om er gebruik van te maken. Dat is bijvoorbeeld het geval wanneer de regeling in kwestie enkel herneemt wat reeds voortvloeit uit bestaande en geldende regelgeving.</w:t>
      </w:r>
      <w:r>
        <w:rPr>
          <w:rStyle w:val="Voetnootmarkering"/>
        </w:rPr>
        <w:footnoteReference w:id="297"/>
      </w:r>
    </w:p>
    <w:p w14:paraId="1D3C8A38" w14:textId="77777777" w:rsidR="00D46131" w:rsidRDefault="00D46131" w:rsidP="00D46131">
      <w:pPr>
        <w:spacing w:after="0" w:line="240" w:lineRule="auto"/>
        <w:jc w:val="both"/>
      </w:pPr>
    </w:p>
    <w:p w14:paraId="368F4A4E" w14:textId="77777777" w:rsidR="00D46131" w:rsidRDefault="00D46131" w:rsidP="00D46131">
      <w:pPr>
        <w:spacing w:after="0" w:line="240" w:lineRule="auto"/>
        <w:jc w:val="both"/>
      </w:pPr>
      <w:r>
        <w:t xml:space="preserve">De Raad van State bekritiseerde ook in de besproken periode de “voldongenfeitenpolitiek” </w:t>
      </w:r>
      <w:r w:rsidRPr="008452AA">
        <w:t>waarbij de terugwerkende kracht wordt verantwoord met als argument dat de ontworpen regeling in praktijk reeds wordt toegepast</w:t>
      </w:r>
      <w:r>
        <w:t>.</w:t>
      </w:r>
      <w:r>
        <w:rPr>
          <w:rStyle w:val="Voetnootmarkering"/>
        </w:rPr>
        <w:footnoteReference w:id="298"/>
      </w:r>
      <w:r>
        <w:t xml:space="preserve"> Dat de regelgeving wordt aangekondigd bij omzendbrief om ze vervolgens met terugwerkende kracht uit te vaardigen of dat de sector op een andere wijze vooraf werd geïnformeerd over mogelijke wijzigingen van de regelgeving, kan dat procedé niet verantwoorden.</w:t>
      </w:r>
      <w:r>
        <w:rPr>
          <w:rStyle w:val="Voetnootmarkering"/>
        </w:rPr>
        <w:footnoteReference w:id="299"/>
      </w:r>
    </w:p>
    <w:p w14:paraId="32226283" w14:textId="77777777" w:rsidR="00D46131" w:rsidRDefault="00D46131" w:rsidP="00D46131">
      <w:pPr>
        <w:spacing w:after="0" w:line="240" w:lineRule="auto"/>
        <w:jc w:val="both"/>
      </w:pPr>
    </w:p>
    <w:p w14:paraId="6C29FCB3" w14:textId="77777777" w:rsidR="00D46131" w:rsidRPr="009A35D7" w:rsidRDefault="00D46131" w:rsidP="00D46131">
      <w:pPr>
        <w:spacing w:after="0" w:line="240" w:lineRule="auto"/>
        <w:jc w:val="both"/>
      </w:pPr>
      <w:r>
        <w:t xml:space="preserve">Het verlenen van terugwerkende kracht aan de omzetting van een richtlijn omdat de omzettingsdatum ervan al is verstreken, kan niet zomaar worden aanvaard. Als de richtlijn en dus ook de omzettingsregeling nieuwe verplichtingen bevatten voor particulieren, kan aan die particulieren niet worden verweten dat ze de bekendmaking van die omzettingsregeling in het Belgisch Staatsblad afwachten om te weten wat hun concrete verplichtingen zijn na de omzetting van de richtlijn. </w:t>
      </w:r>
      <w:r w:rsidRPr="00C30591">
        <w:t>Er moet dan ook worden afgezien van de terugwerkende kracht, ook al zou dit de aansprakelijkheid van de Belgische Staat wegens niet-tijdige omzetting van de uitvoeringsrichtlijn in het gedrang kunnen brengen.</w:t>
      </w:r>
      <w:r>
        <w:rPr>
          <w:rStyle w:val="Voetnootmarkering"/>
        </w:rPr>
        <w:footnoteReference w:id="300"/>
      </w:r>
    </w:p>
    <w:p w14:paraId="678BF906" w14:textId="77777777" w:rsidR="008F65A4" w:rsidRPr="009A35D7" w:rsidRDefault="008F65A4" w:rsidP="00532989">
      <w:pPr>
        <w:spacing w:after="0" w:line="240" w:lineRule="auto"/>
        <w:jc w:val="both"/>
      </w:pPr>
    </w:p>
    <w:p w14:paraId="1E5B1C09" w14:textId="77777777" w:rsidR="008967C7" w:rsidRDefault="008967C7" w:rsidP="00532989">
      <w:pPr>
        <w:tabs>
          <w:tab w:val="left" w:pos="1418"/>
        </w:tabs>
        <w:spacing w:after="0" w:line="240" w:lineRule="auto"/>
        <w:jc w:val="both"/>
      </w:pPr>
    </w:p>
    <w:p w14:paraId="284F572B" w14:textId="7D1F2E59" w:rsidR="008967C7" w:rsidRPr="009A35D7" w:rsidRDefault="008967C7" w:rsidP="008967C7">
      <w:pPr>
        <w:pStyle w:val="Kop2"/>
        <w:spacing w:before="0" w:line="240" w:lineRule="auto"/>
        <w:jc w:val="both"/>
      </w:pPr>
      <w:bookmarkStart w:id="64" w:name="_Toc70497789"/>
      <w:bookmarkStart w:id="65" w:name="_Toc70499161"/>
      <w:r w:rsidRPr="009A35D7">
        <w:lastRenderedPageBreak/>
        <w:t>X</w:t>
      </w:r>
      <w:r>
        <w:t>I</w:t>
      </w:r>
      <w:r w:rsidR="00D46131">
        <w:t>II</w:t>
      </w:r>
      <w:r w:rsidRPr="009A35D7">
        <w:t xml:space="preserve">. </w:t>
      </w:r>
      <w:r>
        <w:t>Zorgvuldigheids- en evenredigheidsbeginsel</w:t>
      </w:r>
      <w:bookmarkEnd w:id="64"/>
      <w:bookmarkEnd w:id="65"/>
    </w:p>
    <w:p w14:paraId="06CFD48E" w14:textId="77777777" w:rsidR="008967C7" w:rsidRDefault="008967C7" w:rsidP="00532989">
      <w:pPr>
        <w:tabs>
          <w:tab w:val="left" w:pos="1418"/>
        </w:tabs>
        <w:spacing w:after="0" w:line="240" w:lineRule="auto"/>
        <w:jc w:val="both"/>
      </w:pPr>
    </w:p>
    <w:p w14:paraId="6E1A0D72" w14:textId="4DBC628F" w:rsidR="008967C7" w:rsidRDefault="00A91330" w:rsidP="00532989">
      <w:pPr>
        <w:tabs>
          <w:tab w:val="left" w:pos="1418"/>
        </w:tabs>
        <w:spacing w:after="0" w:line="240" w:lineRule="auto"/>
        <w:jc w:val="both"/>
      </w:pPr>
      <w:r>
        <w:rPr>
          <w:b/>
          <w:bCs/>
        </w:rPr>
        <w:t>83.</w:t>
      </w:r>
      <w:r>
        <w:tab/>
      </w:r>
      <w:r w:rsidR="00703851">
        <w:t>Het evenredigheidsbeginsel wordt ontelbare keren ingeroepen, zodat een volledig overzicht ervan het bestek van deze bijdrage ver te buiten gaat. Een advies verdient het niettemin om te worden belicht. In advies 68.3.09/1-3</w:t>
      </w:r>
      <w:r w:rsidR="00431ADC">
        <w:rPr>
          <w:rStyle w:val="Voetnootmarkering"/>
        </w:rPr>
        <w:footnoteReference w:id="301"/>
      </w:r>
      <w:r w:rsidR="00703851">
        <w:t xml:space="preserve"> was onder meer een steunmaatregel </w:t>
      </w:r>
      <w:r w:rsidR="00431ADC">
        <w:t xml:space="preserve">voor werkgevers </w:t>
      </w:r>
      <w:r w:rsidR="00703851">
        <w:t xml:space="preserve">aan de orde in het kader van de </w:t>
      </w:r>
      <w:r w:rsidR="00572900">
        <w:t>COVID</w:t>
      </w:r>
      <w:r w:rsidR="00703851">
        <w:t>-19 pandemie, waarbij de steunmaatregel voorzag in een onderscheiden behandeling met vier trappen afhankelijk van de mate waarin een werkgever beroep heeft gedaan op tijdelijke werkloosheid door overmacht ingevolge de COVID-19-pandemie en waarbij de laagste categorie van werkgevers geen compensatie en de hoogste categorie een volledige compensatie ontvangt.</w:t>
      </w:r>
      <w:r w:rsidR="00431ADC">
        <w:t xml:space="preserve"> Als verantwoording voor de indeling in die vier trappen werd in de memorie enkel verwezen naar een advies van de sociale partners. Voor de eerste keer erkende de Raad van State met zoveel woorden dat een dergelijk overleg inderdaad kan bijdragen aan de “procedurele rationaliteit” van de maatregel; niettemin is die procedurele rationaliteit geen substituut voor een gedegen materiële verantwoording voor de ongelijke behandeling.</w:t>
      </w:r>
    </w:p>
    <w:p w14:paraId="7882C1A7" w14:textId="77777777" w:rsidR="008967C7" w:rsidRPr="009A35D7" w:rsidRDefault="008967C7" w:rsidP="00532989">
      <w:pPr>
        <w:tabs>
          <w:tab w:val="left" w:pos="1418"/>
        </w:tabs>
        <w:spacing w:after="0" w:line="240" w:lineRule="auto"/>
        <w:jc w:val="both"/>
      </w:pPr>
    </w:p>
    <w:p w14:paraId="4B4C0B98" w14:textId="3042008C" w:rsidR="005671DE" w:rsidRPr="009A35D7" w:rsidRDefault="005671DE" w:rsidP="00532989">
      <w:pPr>
        <w:pStyle w:val="Kop2"/>
        <w:spacing w:before="0" w:line="240" w:lineRule="auto"/>
        <w:jc w:val="both"/>
      </w:pPr>
      <w:bookmarkStart w:id="66" w:name="_Toc5779234"/>
      <w:bookmarkStart w:id="67" w:name="_Toc70497790"/>
      <w:bookmarkStart w:id="68" w:name="_Toc70499162"/>
      <w:r w:rsidRPr="009A35D7">
        <w:t>X</w:t>
      </w:r>
      <w:r w:rsidR="00D46131">
        <w:t>I</w:t>
      </w:r>
      <w:r w:rsidR="008967C7">
        <w:t>V</w:t>
      </w:r>
      <w:r w:rsidRPr="009A35D7">
        <w:t>. Wetgevingstechniek</w:t>
      </w:r>
      <w:bookmarkEnd w:id="66"/>
      <w:bookmarkEnd w:id="67"/>
      <w:bookmarkEnd w:id="68"/>
    </w:p>
    <w:p w14:paraId="3F659DA9" w14:textId="77777777" w:rsidR="005671DE" w:rsidRDefault="005671DE" w:rsidP="00532989">
      <w:pPr>
        <w:tabs>
          <w:tab w:val="left" w:pos="1418"/>
        </w:tabs>
        <w:suppressAutoHyphens/>
        <w:spacing w:after="0" w:line="240" w:lineRule="auto"/>
        <w:jc w:val="both"/>
      </w:pPr>
    </w:p>
    <w:p w14:paraId="564D61A8" w14:textId="47943DC1" w:rsidR="00D46131" w:rsidRDefault="00A91330" w:rsidP="00A605D8">
      <w:pPr>
        <w:spacing w:after="0" w:line="240" w:lineRule="auto"/>
        <w:jc w:val="both"/>
      </w:pPr>
      <w:r>
        <w:rPr>
          <w:b/>
          <w:bCs/>
        </w:rPr>
        <w:t>84.</w:t>
      </w:r>
      <w:r w:rsidR="00D46131">
        <w:tab/>
        <w:t>Ook in de besproken periode kwam de Raad van State, als gevolg van de strikte termijnen en de grote hoeveelheid adviesaanvragen, in de meeste gevallen niet toe aan een (volledig) wetgevingstechnisch onderzoek van de ontwerpen.</w:t>
      </w:r>
      <w:r w:rsidR="00D46131">
        <w:rPr>
          <w:rStyle w:val="Voetnootmarkering"/>
        </w:rPr>
        <w:footnoteReference w:id="302"/>
      </w:r>
      <w:r w:rsidR="003E088E">
        <w:t xml:space="preserve"> </w:t>
      </w:r>
      <w:r w:rsidR="00D46131">
        <w:t>In deze kroniek focussen we op de specifieke opmerkingen met betrekking tot de wetgevingstechniek werden gemaakt in het kader van de talrijke adviesaanvragen omtrent bijzondere machten, waarmee de Raad in de besproken periode werd geconfronteerd.</w:t>
      </w:r>
    </w:p>
    <w:p w14:paraId="3D44009D" w14:textId="77777777" w:rsidR="00A605D8" w:rsidRDefault="00A605D8" w:rsidP="00A605D8">
      <w:pPr>
        <w:spacing w:after="0" w:line="240" w:lineRule="auto"/>
        <w:jc w:val="both"/>
      </w:pPr>
    </w:p>
    <w:p w14:paraId="71A85028" w14:textId="1D11F0AE" w:rsidR="00D46131" w:rsidRDefault="00A91330" w:rsidP="00A605D8">
      <w:pPr>
        <w:spacing w:after="0" w:line="240" w:lineRule="auto"/>
        <w:jc w:val="both"/>
      </w:pPr>
      <w:r>
        <w:rPr>
          <w:b/>
          <w:bCs/>
        </w:rPr>
        <w:t>85.</w:t>
      </w:r>
      <w:r w:rsidR="00D46131">
        <w:tab/>
        <w:t>Het wordt afgeraden om een bijzonderemachtenbesluit in het opschrift aan te benoemen als een “bijzondere-machtenbesluit” of een “volmachtbesluit”. Ondanks de specifieke rechtsgrond en rechtsgevolgen van dergelijke besluiten betreft het strikt genomen nog steeds een koninklijk besluit of, bijvoorbeeld, een besluit van de Brusselse Hoofdstedelijke Regering.</w:t>
      </w:r>
      <w:r w:rsidR="00D46131">
        <w:rPr>
          <w:rStyle w:val="Voetnootmarkering"/>
        </w:rPr>
        <w:footnoteReference w:id="303"/>
      </w:r>
      <w:r w:rsidR="00D46131">
        <w:t xml:space="preserve"> In het Nederlands is het gebruik van het begrip “volmachtbesluit” bijkomend af te raden omdat de correcte benaming van het gebruikte instrument “bijzondere machten” en niet “volmachten” is.</w:t>
      </w:r>
      <w:r w:rsidR="00D46131">
        <w:rPr>
          <w:rStyle w:val="Voetnootmarkering"/>
        </w:rPr>
        <w:footnoteReference w:id="304"/>
      </w:r>
    </w:p>
    <w:p w14:paraId="29D5DC65" w14:textId="77777777" w:rsidR="00A605D8" w:rsidRPr="0058272F" w:rsidRDefault="00A605D8" w:rsidP="00A605D8">
      <w:pPr>
        <w:spacing w:after="0" w:line="240" w:lineRule="auto"/>
        <w:jc w:val="both"/>
      </w:pPr>
    </w:p>
    <w:p w14:paraId="6117FE79" w14:textId="0C74EA55" w:rsidR="00D46131" w:rsidRDefault="00D46131" w:rsidP="00A605D8">
      <w:pPr>
        <w:spacing w:after="0" w:line="240" w:lineRule="auto"/>
        <w:jc w:val="both"/>
      </w:pPr>
      <w:r>
        <w:t>Wel verdient het aanbeveling de gewoonte te volgen om bijzonderemachtenbesluiten te nummeren. Als de bedoelde besluiten worden genummerd, volstaat de loutere vermelding van het nummer en de datum ervan immers om ze met grote zekerheid te kunnen identificeren, in het bijzonder wanneer verschillende bijzonderemachtenbesluiten op dezelfde datum zouden worden uitgevaardigd. Overigens is de impliciete informatie die de nummering van het besluit inhoudt, namelijk dat het gaat om een tekst die ordonnanties onmiddellijk kan wijzigen maar die zelf later bij ordonnantie moet worden bekrachtigd, van groot nut voor de rechtssubjecten, die aldus weten binnen welke grenzen de wettigheid van het dispositief ervan voor de rechtbanken kan worden betwist.</w:t>
      </w:r>
      <w:r>
        <w:rPr>
          <w:rStyle w:val="Voetnootmarkering"/>
        </w:rPr>
        <w:footnoteReference w:id="305"/>
      </w:r>
    </w:p>
    <w:p w14:paraId="7C4E77F9" w14:textId="77777777" w:rsidR="00A605D8" w:rsidRDefault="00A605D8" w:rsidP="00A605D8">
      <w:pPr>
        <w:spacing w:after="0" w:line="240" w:lineRule="auto"/>
        <w:jc w:val="both"/>
      </w:pPr>
    </w:p>
    <w:p w14:paraId="708A502E" w14:textId="544AF556" w:rsidR="00D46131" w:rsidRDefault="00A91330" w:rsidP="00A605D8">
      <w:pPr>
        <w:spacing w:after="0" w:line="240" w:lineRule="auto"/>
        <w:jc w:val="both"/>
      </w:pPr>
      <w:r>
        <w:rPr>
          <w:b/>
          <w:bCs/>
        </w:rPr>
        <w:t>86.</w:t>
      </w:r>
      <w:r w:rsidR="00D46131">
        <w:tab/>
        <w:t xml:space="preserve">Bijzondere machten laten meestal toe om af te wijken van bestaande wettelijke bepalingen. Wanneer een tijdelijke afwijkingsregeling wordt ingevoerd, verdient het de voorkeur om geen formele </w:t>
      </w:r>
      <w:r w:rsidR="00D46131">
        <w:lastRenderedPageBreak/>
        <w:t>wijzigingen aan te brengen in de wetsbepaling waarvan wordt afgeweken, maar wel om autonome bepalingen aan te nemen die gelden “in afwijking van” de betrokken wetsbepalingen.</w:t>
      </w:r>
      <w:r w:rsidR="00D46131">
        <w:rPr>
          <w:rStyle w:val="Voetnootmarkering"/>
        </w:rPr>
        <w:footnoteReference w:id="306"/>
      </w:r>
      <w:r w:rsidR="00D46131">
        <w:t xml:space="preserve"> </w:t>
      </w:r>
    </w:p>
    <w:p w14:paraId="415F8B33" w14:textId="77777777" w:rsidR="00A605D8" w:rsidRDefault="00A605D8" w:rsidP="00A605D8">
      <w:pPr>
        <w:spacing w:after="0" w:line="240" w:lineRule="auto"/>
        <w:jc w:val="both"/>
      </w:pPr>
    </w:p>
    <w:p w14:paraId="0532E7F4" w14:textId="096BEE76" w:rsidR="00D46131" w:rsidRDefault="00D46131" w:rsidP="00A605D8">
      <w:pPr>
        <w:spacing w:after="0" w:line="240" w:lineRule="auto"/>
        <w:jc w:val="both"/>
      </w:pPr>
      <w:r>
        <w:t>Het vermengen van autonome bepalingen met bepalingen die beogen een aantal in de tijd beperkte wijzigingen aan te brengen in bestaande wetsbepalingen, wordt hoe dan ook afgeraden. Die werkwijze is niet bevorderlijk voor de rechtszekerheid.</w:t>
      </w:r>
      <w:r>
        <w:rPr>
          <w:rStyle w:val="Voetnootmarkering"/>
        </w:rPr>
        <w:footnoteReference w:id="307"/>
      </w:r>
    </w:p>
    <w:p w14:paraId="0CA7CA8F" w14:textId="77777777" w:rsidR="00A605D8" w:rsidRDefault="00A605D8" w:rsidP="00A605D8">
      <w:pPr>
        <w:spacing w:after="0" w:line="240" w:lineRule="auto"/>
        <w:jc w:val="both"/>
      </w:pPr>
    </w:p>
    <w:p w14:paraId="0CF93D35" w14:textId="192CBB08" w:rsidR="00D46131" w:rsidRPr="0058272F" w:rsidRDefault="00A91330" w:rsidP="00A605D8">
      <w:pPr>
        <w:spacing w:after="0" w:line="240" w:lineRule="auto"/>
        <w:jc w:val="both"/>
      </w:pPr>
      <w:r>
        <w:rPr>
          <w:b/>
          <w:bCs/>
        </w:rPr>
        <w:t>87.</w:t>
      </w:r>
      <w:r>
        <w:t xml:space="preserve"> </w:t>
      </w:r>
      <w:r w:rsidR="00D46131">
        <w:tab/>
        <w:t>Overeenkomstig artikel 3bis, § 1, van de gecoördineerde wetten op de Raad van State worden koninklijke besluiten “die de van kracht zijnde wettelijke bepalingen kunnen opheffen, aanvullen, wijzigen of vervangen” samen met het advies van de Raad van State, afdeling Wetgeving, en een verslag aan de Koning bekendgemaakt. Die bepaling is niet van toepassing op de (bijzonderemachten)besluiten van de deelstaatregeringen. In bepaalde gevallen heeft de Raad van State toch voorgesteld om het te nemen bijzonderemachtenbesluit vergezeld te laten gaan van een verslag aan de betrokken regering, met name wanneer het zinvol was om de concrete gevolgen van de regeling te verduidelijken.</w:t>
      </w:r>
      <w:r w:rsidR="00D46131">
        <w:rPr>
          <w:rStyle w:val="Voetnootmarkering"/>
        </w:rPr>
        <w:footnoteReference w:id="308"/>
      </w:r>
      <w:r w:rsidR="00D46131">
        <w:t xml:space="preserve"> Die opmerking werd echter niet systematisch gemaakt, wellicht mede omdat het opstellen van een dergelijk verslag niet altijd te rijmen valt met het dringende karakter van de te nemen maatregelen.</w:t>
      </w:r>
    </w:p>
    <w:p w14:paraId="112E0F27" w14:textId="77777777" w:rsidR="0099088F" w:rsidRPr="009A35D7" w:rsidRDefault="0099088F" w:rsidP="00A605D8">
      <w:pPr>
        <w:tabs>
          <w:tab w:val="left" w:pos="1418"/>
        </w:tabs>
        <w:suppressAutoHyphens/>
        <w:spacing w:after="0" w:line="240" w:lineRule="auto"/>
        <w:jc w:val="both"/>
      </w:pPr>
    </w:p>
    <w:sectPr w:rsidR="0099088F" w:rsidRPr="009A35D7" w:rsidSect="002B40AF">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E72BC" w14:textId="77777777" w:rsidR="00AD31E6" w:rsidRDefault="00AD31E6" w:rsidP="00121967">
      <w:pPr>
        <w:spacing w:after="0" w:line="240" w:lineRule="auto"/>
      </w:pPr>
      <w:r>
        <w:separator/>
      </w:r>
    </w:p>
  </w:endnote>
  <w:endnote w:type="continuationSeparator" w:id="0">
    <w:p w14:paraId="3DA58F97" w14:textId="77777777" w:rsidR="00AD31E6" w:rsidRDefault="00AD31E6" w:rsidP="0012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alaSansPro">
    <w:altName w:val="MS Gothic"/>
    <w:panose1 w:val="00000000000000000000"/>
    <w:charset w:val="80"/>
    <w:family w:val="swiss"/>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7942E" w14:textId="77777777" w:rsidR="00AD31E6" w:rsidRDefault="00AD31E6" w:rsidP="00121967">
      <w:pPr>
        <w:spacing w:after="0" w:line="240" w:lineRule="auto"/>
      </w:pPr>
      <w:r>
        <w:separator/>
      </w:r>
    </w:p>
  </w:footnote>
  <w:footnote w:type="continuationSeparator" w:id="0">
    <w:p w14:paraId="305269FE" w14:textId="77777777" w:rsidR="00AD31E6" w:rsidRDefault="00AD31E6" w:rsidP="00121967">
      <w:pPr>
        <w:spacing w:after="0" w:line="240" w:lineRule="auto"/>
      </w:pPr>
      <w:r>
        <w:continuationSeparator/>
      </w:r>
    </w:p>
  </w:footnote>
  <w:footnote w:id="1">
    <w:p w14:paraId="2E941A7C" w14:textId="45357B54"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Auditeur in de Raad van State; Deeltijds docent VUB, Vakgroep Publiekrecht; Visiting Professor Universität Wien.</w:t>
      </w:r>
    </w:p>
  </w:footnote>
  <w:footnote w:id="2">
    <w:p w14:paraId="02C8D9FF"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Auditeur in de Raad van State; Praktijkassistent UGent.</w:t>
      </w:r>
    </w:p>
  </w:footnote>
  <w:footnote w:id="3">
    <w:p w14:paraId="6E5FC208"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Auditeur in de Raad van State; Assistent Université Saint-Louis.</w:t>
      </w:r>
    </w:p>
  </w:footnote>
  <w:footnote w:id="4">
    <w:p w14:paraId="6AA3A82A"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Auditeur in de Raad van State; Deeltijds docent UAntwerpen, Vrijwillig wetenschappelijk medewerker KU Leuven.</w:t>
      </w:r>
    </w:p>
  </w:footnote>
  <w:footnote w:id="5">
    <w:p w14:paraId="23773C62"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Staatsraad; Vrijwillig wetenschappelijk medewerker KU Leuven.</w:t>
      </w:r>
    </w:p>
  </w:footnote>
  <w:footnote w:id="6">
    <w:p w14:paraId="30544F5F"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Voor een volledig overzicht van die klassieke thema’s wordt dan ook verwezen naar de vorige uitgaven van de kroniek: zie </w:t>
      </w:r>
      <w:r w:rsidRPr="00D46131">
        <w:rPr>
          <w:rFonts w:cstheme="minorHAnsi"/>
          <w:i/>
        </w:rPr>
        <w:t>TvW</w:t>
      </w:r>
      <w:r w:rsidRPr="00D46131">
        <w:rPr>
          <w:rFonts w:cstheme="minorHAnsi"/>
        </w:rPr>
        <w:t xml:space="preserve"> 2001, 3-12 (kroniek 2000); 2002, 148-160 (kroniek 2001); 2003, 204-225 (kroniek 2002); 2004, 147-166 (kroniek 2003); 2005, 173-197 (kroniek 2004); 2006, 185-208 (kroniek 2005); 2007, 138-164 (kroniek 2006); 2009, 100-133 (kroniek 2007 en 2008); 2011, 114-147 (kroniek 2009 en 2010); 2013, 124-158 (kroniek 2011 en 2012); 2015, 109-147 (kroniek 2013 en 2014); 2017, 275-325 (kroniek 2015 en 2016); 2019, 82-106 (kroniek 2017 en 2018).</w:t>
      </w:r>
    </w:p>
  </w:footnote>
  <w:footnote w:id="7">
    <w:p w14:paraId="2D75CC33"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Het nummer bestaat uit een rolnummer (dat een eenvoudig volgnummer is dat wordt toegekend wanneer de adviesaanvraag wordt geregistreerd op de griffie) en de vermelding van de kamer(s) die het advies uitbracht(en). De eerste en de derde kamer zijn de Nederlandstalige kamers; de tweede en de vierde kamer de Franstalige. Bij programmawetten behandelt elke kamer in beginsel de tekstgedeelten waarvoor zij bevoegd is. De vermeldingen "1/V" en "2/V" slaan op de Nederlandstalige resp. Franstalige vakantiekamers, die een wisselende samenstelling kennen. De (eerder zeldzame) vermelding "VR" slaat op de verenigde kamers (d.w.z. één Nederlandstalige en één Franstalige kamer die samen beraadslagen over belangrijke bevoegdheidsproblemen die rijzen in een bepaalde zaak); de (zeer zeldzame) vermelding "AV" slaat op de algemene vergadering van de afdeling Wetgeving (d.w.z. alle vier kamers van deze afdeling, die samen beraadslagen over belangrijke kwesties waarvoor een eenvormig standpunt wenselijk is).</w:t>
      </w:r>
    </w:p>
  </w:footnote>
  <w:footnote w:id="8">
    <w:p w14:paraId="1B278E75" w14:textId="77777777" w:rsidR="00C54441" w:rsidRPr="00B333AE" w:rsidRDefault="00C54441" w:rsidP="00710FAC">
      <w:pPr>
        <w:pStyle w:val="Voetnoottekst"/>
        <w:jc w:val="both"/>
        <w:rPr>
          <w:rFonts w:cstheme="minorHAnsi"/>
        </w:rPr>
      </w:pPr>
      <w:r w:rsidRPr="00D46131">
        <w:rPr>
          <w:rStyle w:val="Voetnootmarkering"/>
          <w:rFonts w:cstheme="minorHAnsi"/>
        </w:rPr>
        <w:footnoteRef/>
      </w:r>
      <w:r w:rsidRPr="00B333AE">
        <w:rPr>
          <w:rFonts w:cstheme="minorHAnsi"/>
        </w:rPr>
        <w:t xml:space="preserve"> reflex.raadvanstate.be</w:t>
      </w:r>
    </w:p>
  </w:footnote>
  <w:footnote w:id="9">
    <w:p w14:paraId="1F672550" w14:textId="207D5145" w:rsidR="00C54441" w:rsidRDefault="00C54441">
      <w:pPr>
        <w:pStyle w:val="Voetnoottekst"/>
      </w:pPr>
      <w:r>
        <w:rPr>
          <w:rStyle w:val="Voetnootmarkering"/>
        </w:rPr>
        <w:footnoteRef/>
      </w:r>
      <w:r>
        <w:t xml:space="preserve"> A</w:t>
      </w:r>
      <w:r w:rsidRPr="000D1768">
        <w:t>rtikelen 5/1 en 5/2 RvS-wet</w:t>
      </w:r>
      <w:r>
        <w:t>.</w:t>
      </w:r>
    </w:p>
  </w:footnote>
  <w:footnote w:id="10">
    <w:p w14:paraId="5790CE62" w14:textId="77777777" w:rsidR="00C54441" w:rsidRPr="00B333AE" w:rsidRDefault="00C54441" w:rsidP="00710FAC">
      <w:pPr>
        <w:pStyle w:val="Voetnoottekst"/>
        <w:jc w:val="both"/>
        <w:rPr>
          <w:rFonts w:cstheme="minorHAnsi"/>
        </w:rPr>
      </w:pPr>
      <w:r w:rsidRPr="00D46131">
        <w:rPr>
          <w:rStyle w:val="Voetnootmarkering"/>
          <w:rFonts w:cstheme="minorHAnsi"/>
        </w:rPr>
        <w:footnoteRef/>
      </w:r>
      <w:r w:rsidRPr="00B333AE">
        <w:rPr>
          <w:rFonts w:cstheme="minorHAnsi"/>
        </w:rPr>
        <w:t xml:space="preserve"> www.raadvanstate.be/?lang=nl&amp;page=adv_search</w:t>
      </w:r>
    </w:p>
  </w:footnote>
  <w:footnote w:id="11">
    <w:p w14:paraId="7BCD3892" w14:textId="43A79A0A" w:rsidR="00C54441" w:rsidRDefault="00C54441">
      <w:pPr>
        <w:pStyle w:val="Voetnoottekst"/>
      </w:pPr>
      <w:r>
        <w:rPr>
          <w:rStyle w:val="Voetnootmarkering"/>
        </w:rPr>
        <w:footnoteRef/>
      </w:r>
      <w:r>
        <w:t xml:space="preserve"> A</w:t>
      </w:r>
      <w:r w:rsidRPr="000D1768">
        <w:t>rtikel 5/3 RvS-wet</w:t>
      </w:r>
      <w:r>
        <w:t>.</w:t>
      </w:r>
    </w:p>
  </w:footnote>
  <w:footnote w:id="12">
    <w:p w14:paraId="694A6210" w14:textId="77777777" w:rsidR="00C54441" w:rsidRPr="00B333AE" w:rsidRDefault="00C54441" w:rsidP="00710FAC">
      <w:pPr>
        <w:pStyle w:val="Voetnoottekst"/>
        <w:jc w:val="both"/>
        <w:rPr>
          <w:rFonts w:cstheme="minorHAnsi"/>
        </w:rPr>
      </w:pPr>
      <w:r w:rsidRPr="00D46131">
        <w:rPr>
          <w:rStyle w:val="Voetnootmarkering"/>
          <w:rFonts w:cstheme="minorHAnsi"/>
        </w:rPr>
        <w:footnoteRef/>
      </w:r>
      <w:r w:rsidRPr="00B333AE">
        <w:rPr>
          <w:rFonts w:cstheme="minorHAnsi"/>
        </w:rPr>
        <w:t xml:space="preserve"> Zie daarover uitgebreider H. </w:t>
      </w:r>
      <w:r w:rsidRPr="00B333AE">
        <w:rPr>
          <w:rFonts w:cstheme="minorHAnsi"/>
          <w:smallCaps/>
        </w:rPr>
        <w:t>Lerouxel</w:t>
      </w:r>
      <w:r w:rsidRPr="00B333AE">
        <w:rPr>
          <w:rFonts w:cstheme="minorHAnsi"/>
        </w:rPr>
        <w:t xml:space="preserve">, “La publication généralisée des avis du Conseil d’État: « une mine d’or » désormais à ciel ouvert”, </w:t>
      </w:r>
      <w:r w:rsidRPr="00B333AE">
        <w:rPr>
          <w:rFonts w:cstheme="minorHAnsi"/>
          <w:i/>
        </w:rPr>
        <w:t>APT</w:t>
      </w:r>
      <w:r w:rsidRPr="00B333AE">
        <w:rPr>
          <w:rFonts w:cstheme="minorHAnsi"/>
        </w:rPr>
        <w:t xml:space="preserve"> 2018, (3) 13-14 en 18-20; </w:t>
      </w:r>
      <w:r w:rsidRPr="00B333AE">
        <w:rPr>
          <w:rFonts w:cstheme="minorHAnsi"/>
          <w:smallCaps/>
          <w:kern w:val="22"/>
        </w:rPr>
        <w:t>J. Van Nieuwenhove</w:t>
      </w:r>
      <w:r w:rsidRPr="00B333AE">
        <w:rPr>
          <w:rFonts w:cstheme="minorHAnsi"/>
        </w:rPr>
        <w:t xml:space="preserve">, “Openbaarheid van de adviezen van de Raad van State”, </w:t>
      </w:r>
      <w:r w:rsidRPr="00B333AE">
        <w:rPr>
          <w:rFonts w:cstheme="minorHAnsi"/>
          <w:i/>
        </w:rPr>
        <w:t>TVW</w:t>
      </w:r>
      <w:r w:rsidRPr="00B333AE">
        <w:rPr>
          <w:rFonts w:cstheme="minorHAnsi"/>
        </w:rPr>
        <w:t xml:space="preserve"> 2017, (3) 16-18.</w:t>
      </w:r>
    </w:p>
  </w:footnote>
  <w:footnote w:id="13">
    <w:p w14:paraId="65A0DF32"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De Raad van State hanteert in zijn statistieken de gerechtelijke jaren in plaats van de kalenderjaren. De statistische gegevens voor de afdeling Wetgeving in onder meer de jaarverslagen van de Raad van State zullen dan ook noodzakelijkerwijze afwijken van dit overzicht.</w:t>
      </w:r>
    </w:p>
  </w:footnote>
  <w:footnote w:id="14">
    <w:p w14:paraId="392A1FFB" w14:textId="32CFA997" w:rsidR="00C54441" w:rsidRDefault="00C54441">
      <w:pPr>
        <w:pStyle w:val="Voetnoottekst"/>
      </w:pPr>
      <w:r>
        <w:rPr>
          <w:rStyle w:val="Voetnootmarkering"/>
        </w:rPr>
        <w:footnoteRef/>
      </w:r>
      <w:r>
        <w:t xml:space="preserve"> Dit percentage lag zelfs nog beduidend hoger voor bepaalde periodes in 2020, zoals het tweede kwartaal.</w:t>
      </w:r>
    </w:p>
  </w:footnote>
  <w:footnote w:id="15">
    <w:p w14:paraId="679F63C5"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Zie daarover het </w:t>
      </w:r>
      <w:r w:rsidRPr="00D46131">
        <w:rPr>
          <w:rFonts w:cstheme="minorHAnsi"/>
          <w:i/>
        </w:rPr>
        <w:t>Vademecum adviesprocedure voor de afdeling Wetgeving</w:t>
      </w:r>
      <w:r w:rsidRPr="00D46131">
        <w:rPr>
          <w:rFonts w:cstheme="minorHAnsi"/>
        </w:rPr>
        <w:t>, onderdelen I.D.2.c.ii en II.D (</w:t>
      </w:r>
      <w:hyperlink r:id="rId1" w:history="1">
        <w:r w:rsidRPr="00D46131">
          <w:rPr>
            <w:rStyle w:val="Hyperlink"/>
            <w:rFonts w:cstheme="minorHAnsi"/>
          </w:rPr>
          <w:t>www.raadvanstate.be/?action=doc&amp;doc=1009</w:t>
        </w:r>
      </w:hyperlink>
      <w:r w:rsidRPr="00D46131">
        <w:rPr>
          <w:rFonts w:cstheme="minorHAnsi"/>
        </w:rPr>
        <w:t>).</w:t>
      </w:r>
    </w:p>
  </w:footnote>
  <w:footnote w:id="16">
    <w:p w14:paraId="68C357E7"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w:t>
      </w:r>
      <w:hyperlink r:id="rId2" w:history="1">
        <w:r w:rsidRPr="00D46131">
          <w:rPr>
            <w:rStyle w:val="Hyperlink"/>
            <w:rFonts w:cstheme="minorHAnsi"/>
          </w:rPr>
          <w:t>www.raadvst-consetat.be/?action=doc&amp;doc=1069</w:t>
        </w:r>
      </w:hyperlink>
      <w:r w:rsidRPr="00D46131">
        <w:rPr>
          <w:rFonts w:cstheme="minorHAnsi"/>
        </w:rPr>
        <w:t>.</w:t>
      </w:r>
    </w:p>
  </w:footnote>
  <w:footnote w:id="17">
    <w:p w14:paraId="291022DE"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Zie daarover onder meer J. </w:t>
      </w:r>
      <w:r w:rsidRPr="00D46131">
        <w:rPr>
          <w:rFonts w:cstheme="minorHAnsi"/>
          <w:smallCaps/>
        </w:rPr>
        <w:t>Smets</w:t>
      </w:r>
      <w:r w:rsidRPr="00D46131">
        <w:rPr>
          <w:rFonts w:cstheme="minorHAnsi"/>
        </w:rPr>
        <w:t xml:space="preserve"> en J. </w:t>
      </w:r>
      <w:r w:rsidRPr="00D46131">
        <w:rPr>
          <w:rFonts w:cstheme="minorHAnsi"/>
          <w:smallCaps/>
        </w:rPr>
        <w:t>Van Nieuwenhove</w:t>
      </w:r>
      <w:r w:rsidRPr="00D46131">
        <w:rPr>
          <w:rFonts w:cstheme="minorHAnsi"/>
        </w:rPr>
        <w:t xml:space="preserve">, "De afdeling Wetgeving van de Raad van State: aanzetten voor een noodzakelijke hervorming", in R. </w:t>
      </w:r>
      <w:r w:rsidRPr="00D46131">
        <w:rPr>
          <w:rFonts w:cstheme="minorHAnsi"/>
          <w:smallCaps/>
        </w:rPr>
        <w:t>Leysen</w:t>
      </w:r>
      <w:r w:rsidRPr="00D46131">
        <w:rPr>
          <w:rFonts w:cstheme="minorHAnsi"/>
        </w:rPr>
        <w:t xml:space="preserve">, K. </w:t>
      </w:r>
      <w:r w:rsidRPr="00D46131">
        <w:rPr>
          <w:rFonts w:cstheme="minorHAnsi"/>
          <w:smallCaps/>
        </w:rPr>
        <w:t>Muylle</w:t>
      </w:r>
      <w:r w:rsidRPr="00D46131">
        <w:rPr>
          <w:rFonts w:cstheme="minorHAnsi"/>
        </w:rPr>
        <w:t xml:space="preserve">, J. </w:t>
      </w:r>
      <w:r w:rsidRPr="00D46131">
        <w:rPr>
          <w:rFonts w:cstheme="minorHAnsi"/>
          <w:smallCaps/>
        </w:rPr>
        <w:t>Theunis</w:t>
      </w:r>
      <w:r w:rsidRPr="00D46131">
        <w:rPr>
          <w:rFonts w:cstheme="minorHAnsi"/>
        </w:rPr>
        <w:t xml:space="preserve"> en W. </w:t>
      </w:r>
      <w:r w:rsidRPr="00D46131">
        <w:rPr>
          <w:rFonts w:cstheme="minorHAnsi"/>
          <w:smallCaps/>
        </w:rPr>
        <w:t>Verrijdt</w:t>
      </w:r>
      <w:r w:rsidRPr="00D46131">
        <w:rPr>
          <w:rFonts w:cstheme="minorHAnsi"/>
        </w:rPr>
        <w:t xml:space="preserve"> (eds.), </w:t>
      </w:r>
      <w:r w:rsidRPr="00D46131">
        <w:rPr>
          <w:rFonts w:cstheme="minorHAnsi"/>
          <w:i/>
          <w:iCs/>
        </w:rPr>
        <w:t>Semper perseverans. Liber amicorum André Alen</w:t>
      </w:r>
      <w:r w:rsidRPr="00D46131">
        <w:rPr>
          <w:rFonts w:cstheme="minorHAnsi"/>
        </w:rPr>
        <w:t>, Antwerpen, Intersentia, 2020, 303-322.</w:t>
      </w:r>
    </w:p>
  </w:footnote>
  <w:footnote w:id="18">
    <w:p w14:paraId="6B167257" w14:textId="77777777" w:rsidR="00C54441" w:rsidRPr="00D46131"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Hiermee wordt bedoeld de overeenstemming met de bevoegdheidsverdelende regels, met de rechtsgrond (en bij uitbreiding met hogere rechtsnormen), alsook de naleving van de voorafgaande vormvereisten. Zie artikel 84, § 3, eerste lid, RvS-wet.</w:t>
      </w:r>
    </w:p>
  </w:footnote>
  <w:footnote w:id="19">
    <w:p w14:paraId="572D6FB0" w14:textId="118E9CA8" w:rsidR="00C54441" w:rsidRPr="00D46131" w:rsidRDefault="00C54441" w:rsidP="00710FAC">
      <w:pPr>
        <w:pStyle w:val="Voetnoottekst"/>
        <w:jc w:val="both"/>
        <w:rPr>
          <w:rFonts w:cstheme="minorHAnsi"/>
          <w:lang w:val="nl-NL"/>
        </w:rPr>
      </w:pPr>
      <w:r w:rsidRPr="00B333AE">
        <w:rPr>
          <w:rStyle w:val="Voetnootmarkering"/>
          <w:rFonts w:cstheme="minorHAnsi"/>
          <w:highlight w:val="yellow"/>
        </w:rPr>
        <w:footnoteRef/>
      </w:r>
      <w:r w:rsidRPr="00B333AE">
        <w:rPr>
          <w:rFonts w:cstheme="minorHAnsi"/>
          <w:highlight w:val="yellow"/>
        </w:rPr>
        <w:t xml:space="preserve"> </w:t>
      </w:r>
      <w:r w:rsidRPr="007576C8">
        <w:rPr>
          <w:rFonts w:cstheme="minorHAnsi"/>
          <w:highlight w:val="yellow"/>
          <w:lang w:val="nl-NL"/>
        </w:rPr>
        <w:t xml:space="preserve">Zie </w:t>
      </w:r>
      <w:r w:rsidR="00C408E8">
        <w:rPr>
          <w:rFonts w:cstheme="minorHAnsi"/>
          <w:highlight w:val="yellow"/>
          <w:lang w:val="nl-NL"/>
        </w:rPr>
        <w:t>deel</w:t>
      </w:r>
      <w:r w:rsidRPr="007576C8">
        <w:rPr>
          <w:rFonts w:cstheme="minorHAnsi"/>
          <w:highlight w:val="yellow"/>
          <w:lang w:val="nl-NL"/>
        </w:rPr>
        <w:t xml:space="preserve"> IX</w:t>
      </w:r>
      <w:r w:rsidR="00C408E8">
        <w:rPr>
          <w:rFonts w:cstheme="minorHAnsi"/>
          <w:highlight w:val="yellow"/>
          <w:lang w:val="nl-NL"/>
        </w:rPr>
        <w:t xml:space="preserve"> van deze kroniek</w:t>
      </w:r>
      <w:r w:rsidRPr="007576C8">
        <w:rPr>
          <w:rFonts w:cstheme="minorHAnsi"/>
          <w:highlight w:val="yellow"/>
          <w:lang w:val="nl-NL"/>
        </w:rPr>
        <w:t>.</w:t>
      </w:r>
    </w:p>
  </w:footnote>
  <w:footnote w:id="20">
    <w:p w14:paraId="052284FD" w14:textId="28CC129B"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67.142/AV, nr. 6.</w:t>
      </w:r>
    </w:p>
  </w:footnote>
  <w:footnote w:id="21">
    <w:p w14:paraId="18548D6B" w14:textId="6CFB3F6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67.210/3, nr. 5.1; Adv.RvS 67.584/3, nr. 4.</w:t>
      </w:r>
    </w:p>
  </w:footnote>
  <w:footnote w:id="22">
    <w:p w14:paraId="7EC1FB7D"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smallCaps/>
          <w:kern w:val="22"/>
          <w:lang w:val="nl-NL"/>
        </w:rPr>
        <w:t>T. Moonen</w:t>
      </w:r>
      <w:r w:rsidRPr="00D46131">
        <w:rPr>
          <w:rFonts w:cstheme="minorHAnsi"/>
          <w:lang w:val="nl-NL"/>
        </w:rPr>
        <w:t xml:space="preserve"> en </w:t>
      </w:r>
      <w:r w:rsidRPr="00D46131">
        <w:rPr>
          <w:rFonts w:cstheme="minorHAnsi"/>
          <w:smallCaps/>
          <w:kern w:val="22"/>
          <w:lang w:val="nl-NL"/>
        </w:rPr>
        <w:t>J. Riemslagh</w:t>
      </w:r>
      <w:r w:rsidRPr="00D46131">
        <w:rPr>
          <w:rFonts w:cstheme="minorHAnsi"/>
          <w:lang w:val="nl-NL"/>
        </w:rPr>
        <w:t xml:space="preserve">, “Bijzondere machten tijdens een pandemie: analyse en evaluatie van de wetten van 27 maart 2020”, </w:t>
      </w:r>
      <w:r w:rsidRPr="00D46131">
        <w:rPr>
          <w:rFonts w:cstheme="minorHAnsi"/>
          <w:i/>
          <w:lang w:val="nl-NL"/>
        </w:rPr>
        <w:t>Tijdschrift voor Wetgeving</w:t>
      </w:r>
      <w:r w:rsidRPr="00D46131">
        <w:rPr>
          <w:rFonts w:cstheme="minorHAnsi"/>
          <w:lang w:val="nl-NL"/>
        </w:rPr>
        <w:t xml:space="preserve"> 2020, (248) 249.</w:t>
      </w:r>
    </w:p>
  </w:footnote>
  <w:footnote w:id="23">
    <w:p w14:paraId="1BCCA4D8" w14:textId="0DFC40C1" w:rsidR="00C54441" w:rsidRPr="00B333AE" w:rsidRDefault="00C54441">
      <w:pPr>
        <w:pStyle w:val="Voetnoottekst"/>
        <w:rPr>
          <w:lang w:val="nl-NL"/>
        </w:rPr>
      </w:pPr>
      <w:r>
        <w:rPr>
          <w:rStyle w:val="Voetnootmarkering"/>
        </w:rPr>
        <w:footnoteRef/>
      </w:r>
      <w:r>
        <w:t xml:space="preserve"> </w:t>
      </w:r>
      <w:r w:rsidRPr="00B333AE">
        <w:rPr>
          <w:highlight w:val="yellow"/>
          <w:lang w:val="nl-NL"/>
        </w:rPr>
        <w:t xml:space="preserve">Zie </w:t>
      </w:r>
      <w:r w:rsidR="00C408E8">
        <w:rPr>
          <w:highlight w:val="yellow"/>
          <w:lang w:val="nl-NL"/>
        </w:rPr>
        <w:t xml:space="preserve">deel </w:t>
      </w:r>
      <w:r w:rsidRPr="00B333AE">
        <w:rPr>
          <w:highlight w:val="yellow"/>
          <w:lang w:val="nl-NL"/>
        </w:rPr>
        <w:t>IX, B</w:t>
      </w:r>
      <w:r w:rsidR="00C408E8">
        <w:rPr>
          <w:highlight w:val="yellow"/>
          <w:lang w:val="nl-NL"/>
        </w:rPr>
        <w:t xml:space="preserve"> van deze kroniek</w:t>
      </w:r>
      <w:r w:rsidRPr="00B333AE">
        <w:rPr>
          <w:highlight w:val="yellow"/>
          <w:lang w:val="nl-NL"/>
        </w:rPr>
        <w:t>.</w:t>
      </w:r>
    </w:p>
  </w:footnote>
  <w:footnote w:id="24">
    <w:p w14:paraId="72D9DE65" w14:textId="3B7B5DCA" w:rsidR="00C54441" w:rsidRPr="00B333AE" w:rsidRDefault="00C54441" w:rsidP="00710FAC">
      <w:pPr>
        <w:pStyle w:val="Voetnoottekst"/>
        <w:jc w:val="both"/>
        <w:rPr>
          <w:rFonts w:cstheme="minorHAnsi"/>
          <w:lang w:val="nl-NL"/>
        </w:rPr>
      </w:pPr>
      <w:r w:rsidRPr="00D46131">
        <w:rPr>
          <w:rStyle w:val="Voetnootmarkering"/>
          <w:rFonts w:cstheme="minorHAnsi"/>
        </w:rPr>
        <w:footnoteRef/>
      </w:r>
      <w:r w:rsidRPr="00B333AE">
        <w:rPr>
          <w:rFonts w:cstheme="minorHAnsi"/>
          <w:lang w:val="nl-NL"/>
        </w:rPr>
        <w:t xml:space="preserve"> </w:t>
      </w:r>
      <w:r>
        <w:rPr>
          <w:rFonts w:cstheme="minorHAnsi"/>
          <w:lang w:val="nl-NL"/>
        </w:rPr>
        <w:t>Adv.RvS</w:t>
      </w:r>
      <w:r w:rsidRPr="00B333AE">
        <w:rPr>
          <w:rFonts w:cstheme="minorHAnsi"/>
          <w:lang w:val="nl-NL"/>
        </w:rPr>
        <w:t xml:space="preserve"> 67.142/AV, nr. 8.</w:t>
      </w:r>
    </w:p>
  </w:footnote>
  <w:footnote w:id="25">
    <w:p w14:paraId="2B35CFCA" w14:textId="0A602A13" w:rsidR="00C54441" w:rsidRPr="00B333AE" w:rsidRDefault="00C54441" w:rsidP="00710FAC">
      <w:pPr>
        <w:pStyle w:val="Default"/>
        <w:jc w:val="both"/>
        <w:rPr>
          <w:rFonts w:asciiTheme="minorHAnsi" w:hAnsiTheme="minorHAnsi" w:cstheme="minorHAnsi"/>
          <w:sz w:val="20"/>
          <w:szCs w:val="20"/>
          <w:lang w:val="nl-NL"/>
        </w:rPr>
      </w:pPr>
      <w:r w:rsidRPr="00D46131">
        <w:rPr>
          <w:rStyle w:val="Voetnootmarkering"/>
          <w:rFonts w:asciiTheme="minorHAnsi" w:hAnsiTheme="minorHAnsi" w:cstheme="minorHAnsi"/>
          <w:sz w:val="20"/>
          <w:szCs w:val="20"/>
        </w:rPr>
        <w:footnoteRef/>
      </w:r>
      <w:r w:rsidRPr="00B333AE">
        <w:rPr>
          <w:rFonts w:asciiTheme="minorHAnsi" w:hAnsiTheme="minorHAnsi" w:cstheme="minorHAnsi"/>
          <w:sz w:val="20"/>
          <w:szCs w:val="20"/>
          <w:lang w:val="nl-NL"/>
        </w:rPr>
        <w:t xml:space="preserve"> </w:t>
      </w:r>
      <w:r>
        <w:rPr>
          <w:rFonts w:asciiTheme="minorHAnsi" w:hAnsiTheme="minorHAnsi" w:cstheme="minorHAnsi"/>
          <w:color w:val="auto"/>
          <w:sz w:val="20"/>
          <w:szCs w:val="20"/>
          <w:lang w:val="nl-NL"/>
        </w:rPr>
        <w:t>Adv.RvS</w:t>
      </w:r>
      <w:r w:rsidRPr="00B333AE">
        <w:rPr>
          <w:rFonts w:asciiTheme="minorHAnsi" w:hAnsiTheme="minorHAnsi" w:cstheme="minorHAnsi"/>
          <w:color w:val="auto"/>
          <w:sz w:val="20"/>
          <w:szCs w:val="20"/>
          <w:lang w:val="nl-NL"/>
        </w:rPr>
        <w:t xml:space="preserve"> 67.366/3, 1 juli 2020, nr. 6.</w:t>
      </w:r>
    </w:p>
  </w:footnote>
  <w:footnote w:id="26">
    <w:p w14:paraId="4A713F0A" w14:textId="443FD908"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67.806/AV, 9 november 2020, nr.</w:t>
      </w:r>
      <w:r>
        <w:rPr>
          <w:rFonts w:cstheme="minorHAnsi"/>
          <w:lang w:val="nl-NL"/>
        </w:rPr>
        <w:t xml:space="preserve"> </w:t>
      </w:r>
      <w:r w:rsidRPr="00D46131">
        <w:rPr>
          <w:rFonts w:cstheme="minorHAnsi"/>
          <w:lang w:val="nl-NL"/>
        </w:rPr>
        <w:t xml:space="preserve">4. </w:t>
      </w:r>
    </w:p>
  </w:footnote>
  <w:footnote w:id="27">
    <w:p w14:paraId="758C477C" w14:textId="4AFC4DE4"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66.760/3, 20 december 2019.</w:t>
      </w:r>
    </w:p>
  </w:footnote>
  <w:footnote w:id="28">
    <w:p w14:paraId="6541DAFB" w14:textId="77777777" w:rsidR="00C54441" w:rsidRDefault="00C54441" w:rsidP="00D46131">
      <w:pPr>
        <w:pStyle w:val="Voetnoottekst"/>
        <w:rPr>
          <w:rFonts w:cstheme="minorHAnsi"/>
          <w:lang w:eastAsia="nl-BE"/>
        </w:rPr>
      </w:pPr>
      <w:r>
        <w:rPr>
          <w:rStyle w:val="Voetnootmarkering"/>
          <w:rFonts w:cstheme="minorHAnsi"/>
        </w:rPr>
        <w:footnoteRef/>
      </w:r>
      <w:r>
        <w:rPr>
          <w:rFonts w:cstheme="minorHAnsi"/>
        </w:rPr>
        <w:t xml:space="preserve"> Kroniek 2015 en 2016, nr. 4; Kroniek 2017 en 2018, nr. 4. </w:t>
      </w:r>
    </w:p>
  </w:footnote>
  <w:footnote w:id="29">
    <w:p w14:paraId="2A7ABF47" w14:textId="77777777" w:rsidR="00C54441" w:rsidRDefault="00C54441" w:rsidP="00D46131">
      <w:pPr>
        <w:pStyle w:val="Voetnoottekst"/>
        <w:rPr>
          <w:rFonts w:cstheme="minorHAnsi"/>
          <w:lang w:val="en-US"/>
        </w:rPr>
      </w:pPr>
      <w:r>
        <w:rPr>
          <w:rStyle w:val="Voetnootmarkering"/>
          <w:rFonts w:cstheme="minorHAnsi"/>
        </w:rPr>
        <w:footnoteRef/>
      </w:r>
      <w:r>
        <w:rPr>
          <w:rFonts w:cstheme="minorHAnsi"/>
          <w:lang w:val="en-US"/>
        </w:rPr>
        <w:t xml:space="preserve"> Adv.RvS 65.553/1, 2 april 2019, nr. 5.</w:t>
      </w:r>
    </w:p>
  </w:footnote>
  <w:footnote w:id="30">
    <w:p w14:paraId="4208D671" w14:textId="77777777" w:rsidR="00C54441" w:rsidRDefault="00C54441" w:rsidP="00D46131">
      <w:pPr>
        <w:pStyle w:val="Voetnoottekst"/>
        <w:rPr>
          <w:rFonts w:cstheme="minorHAnsi"/>
          <w:lang w:val="en-US"/>
        </w:rPr>
      </w:pPr>
      <w:r>
        <w:rPr>
          <w:rStyle w:val="Voetnootmarkering"/>
          <w:rFonts w:cstheme="minorHAnsi"/>
        </w:rPr>
        <w:footnoteRef/>
      </w:r>
      <w:r>
        <w:rPr>
          <w:rFonts w:cstheme="minorHAnsi"/>
          <w:lang w:val="en-US"/>
        </w:rPr>
        <w:t xml:space="preserve"> Adv.RvS 68.339/VR, 22 december 2020, nr. 6.</w:t>
      </w:r>
    </w:p>
  </w:footnote>
  <w:footnote w:id="31">
    <w:p w14:paraId="68178A1C" w14:textId="77777777" w:rsidR="00C54441" w:rsidRDefault="00C54441" w:rsidP="00D46131">
      <w:pPr>
        <w:pStyle w:val="Voetnoottekst"/>
        <w:rPr>
          <w:rFonts w:cstheme="minorHAnsi"/>
        </w:rPr>
      </w:pPr>
      <w:r>
        <w:rPr>
          <w:rStyle w:val="Voetnootmarkering"/>
          <w:rFonts w:cstheme="minorHAnsi"/>
        </w:rPr>
        <w:footnoteRef/>
      </w:r>
      <w:r>
        <w:rPr>
          <w:rFonts w:cstheme="minorHAnsi"/>
        </w:rPr>
        <w:t xml:space="preserve"> Adv.RvS 68.250/1, 1 december 2020, nr. 5.</w:t>
      </w:r>
    </w:p>
  </w:footnote>
  <w:footnote w:id="32">
    <w:p w14:paraId="6A1A44F0" w14:textId="77777777" w:rsidR="00C54441" w:rsidRDefault="00C54441" w:rsidP="00D46131">
      <w:pPr>
        <w:pStyle w:val="Voetnoottekst"/>
        <w:rPr>
          <w:rFonts w:cstheme="minorHAnsi"/>
        </w:rPr>
      </w:pPr>
      <w:r>
        <w:rPr>
          <w:rStyle w:val="Voetnootmarkering"/>
          <w:rFonts w:cstheme="minorHAnsi"/>
        </w:rPr>
        <w:footnoteRef/>
      </w:r>
      <w:r>
        <w:rPr>
          <w:rFonts w:cstheme="minorHAnsi"/>
        </w:rPr>
        <w:t xml:space="preserve"> Adv.RvS 65.960/1, 10 mei 2019, nr. 7.</w:t>
      </w:r>
    </w:p>
  </w:footnote>
  <w:footnote w:id="33">
    <w:p w14:paraId="0CD39331" w14:textId="77777777" w:rsidR="00C54441" w:rsidRDefault="00C54441" w:rsidP="00D46131">
      <w:pPr>
        <w:pStyle w:val="Voetnoottekst"/>
        <w:rPr>
          <w:rFonts w:cstheme="minorHAnsi"/>
        </w:rPr>
      </w:pPr>
      <w:r>
        <w:rPr>
          <w:rStyle w:val="Voetnootmarkering"/>
          <w:rFonts w:cstheme="minorHAnsi"/>
        </w:rPr>
        <w:footnoteRef/>
      </w:r>
      <w:r>
        <w:rPr>
          <w:rFonts w:cstheme="minorHAnsi"/>
        </w:rPr>
        <w:t xml:space="preserve"> Adv.RvS 66.587/3, 16 oktober 2019, nr. 7.3.</w:t>
      </w:r>
    </w:p>
  </w:footnote>
  <w:footnote w:id="34">
    <w:p w14:paraId="2BC276C6" w14:textId="77777777" w:rsidR="00C54441" w:rsidRDefault="00C54441" w:rsidP="00D46131">
      <w:pPr>
        <w:pStyle w:val="Voetnoottekst"/>
        <w:rPr>
          <w:rFonts w:cs="Times New Roman"/>
        </w:rPr>
      </w:pPr>
      <w:r>
        <w:rPr>
          <w:rStyle w:val="Voetnootmarkering"/>
        </w:rPr>
        <w:footnoteRef/>
      </w:r>
      <w:r>
        <w:t xml:space="preserve"> Adv.RvS 64.577/3, 10 december 2018, nr. 5; Adv.RvS 67.243/3, 28 mei 2020, nr. 13. </w:t>
      </w:r>
    </w:p>
  </w:footnote>
  <w:footnote w:id="35">
    <w:p w14:paraId="5E5357B4" w14:textId="77777777" w:rsidR="00C54441" w:rsidRDefault="00C54441" w:rsidP="00D46131">
      <w:pPr>
        <w:pStyle w:val="Voetnoottekst"/>
      </w:pPr>
      <w:r>
        <w:rPr>
          <w:rStyle w:val="Voetnootmarkering"/>
        </w:rPr>
        <w:footnoteRef/>
      </w:r>
      <w:r>
        <w:t xml:space="preserve"> In de zin van artikel 92</w:t>
      </w:r>
      <w:r>
        <w:rPr>
          <w:i/>
          <w:iCs/>
        </w:rPr>
        <w:t>bis</w:t>
      </w:r>
      <w:r>
        <w:t xml:space="preserve"> van de bijzondere wet van 8 augustus 1980 ‘tot hervorming der instellingen’.</w:t>
      </w:r>
    </w:p>
  </w:footnote>
  <w:footnote w:id="36">
    <w:p w14:paraId="3E58830F" w14:textId="77777777" w:rsidR="00C54441" w:rsidRPr="00D46131" w:rsidRDefault="00C54441" w:rsidP="00D46131">
      <w:pPr>
        <w:pStyle w:val="Voetnoottekst"/>
      </w:pPr>
      <w:r>
        <w:rPr>
          <w:rStyle w:val="Voetnootmarkering"/>
        </w:rPr>
        <w:footnoteRef/>
      </w:r>
      <w:r w:rsidRPr="00D46131">
        <w:t xml:space="preserve"> Adv.RvS 68.156/1, 10 november 2020, nr. 5.</w:t>
      </w:r>
    </w:p>
  </w:footnote>
  <w:footnote w:id="37">
    <w:p w14:paraId="64A8BB27" w14:textId="77777777" w:rsidR="00C54441" w:rsidRDefault="00C54441" w:rsidP="00D46131">
      <w:pPr>
        <w:pStyle w:val="Voetnoottekst"/>
      </w:pPr>
      <w:r>
        <w:rPr>
          <w:rStyle w:val="Voetnootmarkering"/>
        </w:rPr>
        <w:footnoteRef/>
      </w:r>
      <w:r>
        <w:t xml:space="preserve"> Adv.RvS 65.058/4, 14 februari 2019, nr. 5 bij art. 14.</w:t>
      </w:r>
    </w:p>
  </w:footnote>
  <w:footnote w:id="38">
    <w:p w14:paraId="3820A5CE" w14:textId="77777777" w:rsidR="00C54441" w:rsidRDefault="00C54441" w:rsidP="00D46131">
      <w:pPr>
        <w:pStyle w:val="Voetnoottekst"/>
        <w:rPr>
          <w:rFonts w:cstheme="minorHAnsi"/>
        </w:rPr>
      </w:pPr>
      <w:r>
        <w:rPr>
          <w:rStyle w:val="Voetnootmarkering"/>
          <w:rFonts w:cstheme="minorHAnsi"/>
        </w:rPr>
        <w:footnoteRef/>
      </w:r>
      <w:r>
        <w:rPr>
          <w:rFonts w:cstheme="minorHAnsi"/>
        </w:rPr>
        <w:t xml:space="preserve"> Adv.RvS 64.866/3, 4 januari 2019, nr. 4.1. </w:t>
      </w:r>
    </w:p>
  </w:footnote>
  <w:footnote w:id="39">
    <w:p w14:paraId="0CCD0178"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Bv. investeringsakkoorden die ook aangelegenheden regelen die tot de bevoegdheid van de gemeenschappen behoren (bv. Adv.RvS </w:t>
      </w:r>
      <w:r w:rsidRPr="00D46131">
        <w:rPr>
          <w:rFonts w:cstheme="minorHAnsi"/>
          <w:lang w:val="nl-NL"/>
        </w:rPr>
        <w:t xml:space="preserve">68.048/VR, </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 xml:space="preserve">12 november 2020, nrs. 3.1-3.2; </w:t>
      </w:r>
      <w:r w:rsidRPr="00D46131">
        <w:rPr>
          <w:rFonts w:cstheme="minorHAnsi"/>
        </w:rPr>
        <w:t xml:space="preserve">Adv.RvS 65.244/VR, 19 maart 2019, nr. 3.3; Adv.RvS 68.111/VR, 29 oktober 2020, nrs. 3.1-3.2); overeenkomsten inzake luchtvervoer hebben eveneens betrekking op gewestbevoegdheden (bv. Adv.RvS 68.151/3, 10 november 2020, nr. 3); </w:t>
      </w:r>
      <w:r w:rsidRPr="00D46131">
        <w:rPr>
          <w:rFonts w:cstheme="minorHAnsi"/>
          <w:lang w:val="nl-NL"/>
        </w:rPr>
        <w:t>Benelux-verdrag inzake de jacht die ook bevoegdheden regelt die tot de bevoegdheid van de federale overheid behoort (</w:t>
      </w:r>
      <w:r w:rsidRPr="00D46131">
        <w:rPr>
          <w:rFonts w:cstheme="minorHAnsi"/>
        </w:rPr>
        <w:t xml:space="preserve">Adv.RvS </w:t>
      </w:r>
      <w:r w:rsidRPr="00D46131">
        <w:rPr>
          <w:rFonts w:cstheme="minorHAnsi"/>
          <w:lang w:val="nl-NL"/>
        </w:rPr>
        <w:t>68.778/1, 1 maart 2021, nr. 3); protocol bij het EVRM behoort ook tot de bevoegdheid van de deelstaten (Adv.RvS 67.896/VR, 29 september 2020, nrs. 3-7). Kroniek 2017-2018, nr. 9; kroniek 2015-2016, nr. 18; kroniek 2013-2014, nr. 12; kroniek 2011-2012, nr. 13; kroniek 2009-2010, nr. 15; kroniek 2007-2008, nr. 26.</w:t>
      </w:r>
    </w:p>
  </w:footnote>
  <w:footnote w:id="40">
    <w:p w14:paraId="2FBE19DC"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Bv. Adv.RvS </w:t>
      </w:r>
      <w:r w:rsidRPr="00D46131">
        <w:rPr>
          <w:rFonts w:cstheme="minorHAnsi"/>
          <w:lang w:val="nl-NL"/>
        </w:rPr>
        <w:t xml:space="preserve">65.244/VR, 19 maart 2019, nrs. 8.1-8.4; </w:t>
      </w:r>
      <w:r w:rsidRPr="00D46131">
        <w:rPr>
          <w:rFonts w:cstheme="minorHAnsi"/>
        </w:rPr>
        <w:t>Adv.RvS 68.151/3, 10 november 2020, nrs. 5.1-5.4. Kroniek 2017-2018, nr. 10; kroniek 2013-2014, nr. 19; kroniek 2009-2010, nr. 13; kroniek 2007-2008, nr. 25.</w:t>
      </w:r>
    </w:p>
  </w:footnote>
  <w:footnote w:id="41">
    <w:p w14:paraId="2AF2C86B"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Adv.RvS </w:t>
      </w:r>
      <w:r w:rsidRPr="00D46131">
        <w:rPr>
          <w:rFonts w:cstheme="minorHAnsi"/>
        </w:rPr>
        <w:t>65.244/VR</w:t>
      </w:r>
      <w:r w:rsidRPr="00D46131">
        <w:rPr>
          <w:rFonts w:cstheme="minorHAnsi"/>
        </w:rPr>
        <w:fldChar w:fldCharType="begin"/>
      </w:r>
      <w:r w:rsidRPr="00D46131">
        <w:rPr>
          <w:rFonts w:cstheme="minorHAnsi"/>
        </w:rPr>
        <w:instrText xml:space="preserve">  </w:instrText>
      </w:r>
      <w:r w:rsidRPr="00D46131">
        <w:rPr>
          <w:rFonts w:cstheme="minorHAnsi"/>
        </w:rPr>
        <w:fldChar w:fldCharType="end"/>
      </w:r>
      <w:r w:rsidRPr="00D46131">
        <w:rPr>
          <w:rFonts w:cstheme="minorHAnsi"/>
        </w:rPr>
        <w:t xml:space="preserve">, 19 maart 2019, </w:t>
      </w:r>
      <w:r w:rsidRPr="00D46131">
        <w:rPr>
          <w:rFonts w:cstheme="minorHAnsi"/>
          <w:lang w:val="nl-NL"/>
        </w:rPr>
        <w:t>6.2.1-6.2.2. Zie ook: Adv.RvS 63.240/3 van 2 mei 2018 waarin de Raad van State bedenkingen had bij de feitelijke toepassing van een nog niet bekrachtigd verdrag op basis van administratieve akkoorden als alternatief voor het instrument van voorlopige toepassing. Kroniek 2017-2018, nr. 15; kroniek 2013-2014, nrs. 24 en 84; kroniek 2011-2012, nr. 18; kroniek 2009-2010, nr. 17; kroniek 2007-2008, nr. 30.</w:t>
      </w:r>
    </w:p>
  </w:footnote>
  <w:footnote w:id="42">
    <w:p w14:paraId="3EFF6CE4"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Bv. Adv.RvS </w:t>
      </w:r>
      <w:r w:rsidRPr="00D46131">
        <w:rPr>
          <w:rFonts w:cstheme="minorHAnsi"/>
          <w:lang w:val="nl-NL"/>
        </w:rPr>
        <w:t>68.111/VR, 29 oktober 2020, nrs. 6.1.2.3 en 4; Adv.RvS 66.650/2 van 18 november 2019, nr. 3; Adv.RvS 65.982/4, 4 juni 2019, nr. 2; adv.RvS 66.547/3, 1 oktober 2019, nr. 4; Adv.RvS 65.244/VR, 19 maart 2019, nr. 6.1.2.3 en 4. Kroniek 2015-2016, nrs. 21-25; kroniek 2007-2008, nr. 29.</w:t>
      </w:r>
    </w:p>
  </w:footnote>
  <w:footnote w:id="43">
    <w:p w14:paraId="68012D42"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Bv. Adv.RvS </w:t>
      </w:r>
      <w:r w:rsidRPr="00D46131">
        <w:rPr>
          <w:rFonts w:cstheme="minorHAnsi"/>
          <w:lang w:val="nl-NL"/>
        </w:rPr>
        <w:t>68.111/VR, 29 oktober 2020, nrs. 6.1.2.3 en 4; Adv.RvS 65.244/VR, 19 maart 2019, nr. 6.1.2.3 en 4. Kroniek 2017-2018, nr. 11.</w:t>
      </w:r>
    </w:p>
  </w:footnote>
  <w:footnote w:id="44">
    <w:p w14:paraId="1032334B" w14:textId="77777777" w:rsidR="00C54441" w:rsidRPr="00D46131" w:rsidRDefault="00C54441" w:rsidP="00632DEA">
      <w:pPr>
        <w:autoSpaceDE w:val="0"/>
        <w:autoSpaceDN w:val="0"/>
        <w:adjustRightInd w:val="0"/>
        <w:spacing w:after="0" w:line="240" w:lineRule="auto"/>
        <w:jc w:val="both"/>
        <w:rPr>
          <w:rFonts w:cstheme="minorHAnsi"/>
          <w:sz w:val="20"/>
          <w:szCs w:val="20"/>
          <w:lang w:val="nl-NL"/>
        </w:rPr>
      </w:pPr>
      <w:r w:rsidRPr="00D46131">
        <w:rPr>
          <w:rStyle w:val="Voetnootmarkering"/>
          <w:rFonts w:cstheme="minorHAnsi"/>
          <w:sz w:val="20"/>
          <w:szCs w:val="20"/>
        </w:rPr>
        <w:footnoteRef/>
      </w:r>
      <w:r w:rsidRPr="00D46131">
        <w:rPr>
          <w:rFonts w:cstheme="minorHAnsi"/>
          <w:sz w:val="20"/>
          <w:szCs w:val="20"/>
        </w:rPr>
        <w:t xml:space="preserve"> </w:t>
      </w:r>
      <w:r w:rsidRPr="00D46131">
        <w:rPr>
          <w:rFonts w:cstheme="minorHAnsi"/>
          <w:sz w:val="20"/>
          <w:szCs w:val="20"/>
          <w:lang w:val="nl-NL"/>
        </w:rPr>
        <w:t xml:space="preserve">Samenwerkingsakkoord van 8 maart 1994 tussen de Federale Staat, de Gemeenschappen en de Gewesten ‘met betrekking tot de vertegenwoordiging van het Koninkrijk België in de ministerraad van de Europese Unie’ </w:t>
      </w:r>
      <w:r w:rsidRPr="00D46131">
        <w:rPr>
          <w:rFonts w:eastAsia="ScalaSansPro" w:cstheme="minorHAnsi"/>
          <w:sz w:val="20"/>
          <w:szCs w:val="20"/>
          <w:lang w:val="nl-NL"/>
        </w:rPr>
        <w:t>en het samenwerkingsakkoord van 8 maart 1994 tussen de federale overheid, de Gemeenschappen en de Gewesten en het Verenigd College van de Gemeenschappelijke Gemeenschapscommissie ‘met betrekking tot de vertegenwoordiging van het Koninkrijk België in de ministerraad van de Europese Unie’.</w:t>
      </w:r>
    </w:p>
  </w:footnote>
  <w:footnote w:id="45">
    <w:p w14:paraId="70E67073"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Adv.RvS </w:t>
      </w:r>
      <w:r w:rsidRPr="00D46131">
        <w:rPr>
          <w:rFonts w:cstheme="minorHAnsi"/>
        </w:rPr>
        <w:t>65.244/VR</w:t>
      </w:r>
      <w:r w:rsidRPr="00D46131">
        <w:rPr>
          <w:rFonts w:cstheme="minorHAnsi"/>
        </w:rPr>
        <w:fldChar w:fldCharType="begin"/>
      </w:r>
      <w:r w:rsidRPr="00D46131">
        <w:rPr>
          <w:rFonts w:cstheme="minorHAnsi"/>
        </w:rPr>
        <w:instrText xml:space="preserve">  </w:instrText>
      </w:r>
      <w:r w:rsidRPr="00D46131">
        <w:rPr>
          <w:rFonts w:cstheme="minorHAnsi"/>
        </w:rPr>
        <w:fldChar w:fldCharType="end"/>
      </w:r>
      <w:r w:rsidRPr="00D46131">
        <w:rPr>
          <w:rFonts w:cstheme="minorHAnsi"/>
        </w:rPr>
        <w:t>, 19 maart 2019, 6.1.1.3.-6.1.1.4. Kroniek 2017-2018, nr. 13; kroniek 2013-2014, nrs. 11 en 14; kroniek 2011-2012, nr. 23.</w:t>
      </w:r>
    </w:p>
  </w:footnote>
  <w:footnote w:id="46">
    <w:p w14:paraId="5374F26C"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Zie hierover: D. </w:t>
      </w:r>
      <w:r w:rsidRPr="00D46131">
        <w:rPr>
          <w:rFonts w:cstheme="minorHAnsi"/>
          <w:smallCaps/>
        </w:rPr>
        <w:t>Van Eeckhoutte</w:t>
      </w:r>
      <w:r w:rsidRPr="00D46131">
        <w:rPr>
          <w:rFonts w:cstheme="minorHAnsi"/>
        </w:rPr>
        <w:t xml:space="preserve">, “De Belgische interfederale standpuntbepaling inzake buitenlandse betrekkingen en de besluitvorming in de ministerraad” in T. </w:t>
      </w:r>
      <w:r w:rsidRPr="00D46131">
        <w:rPr>
          <w:rFonts w:cstheme="minorHAnsi"/>
          <w:smallCaps/>
        </w:rPr>
        <w:t>Moonen</w:t>
      </w:r>
      <w:r w:rsidRPr="00D46131">
        <w:rPr>
          <w:rFonts w:cstheme="minorHAnsi"/>
        </w:rPr>
        <w:t xml:space="preserve">, E. </w:t>
      </w:r>
      <w:r w:rsidRPr="00D46131">
        <w:rPr>
          <w:rFonts w:cstheme="minorHAnsi"/>
          <w:smallCaps/>
        </w:rPr>
        <w:t>Desmet</w:t>
      </w:r>
      <w:r w:rsidRPr="00D46131">
        <w:rPr>
          <w:rFonts w:cstheme="minorHAnsi"/>
        </w:rPr>
        <w:t xml:space="preserve"> &amp; T. </w:t>
      </w:r>
      <w:r w:rsidRPr="00D46131">
        <w:rPr>
          <w:rFonts w:cstheme="minorHAnsi"/>
          <w:smallCaps/>
        </w:rPr>
        <w:t>Ruys</w:t>
      </w:r>
      <w:r w:rsidRPr="00D46131">
        <w:rPr>
          <w:rFonts w:cstheme="minorHAnsi"/>
        </w:rPr>
        <w:t xml:space="preserve"> (eds.), </w:t>
      </w:r>
      <w:r w:rsidRPr="00D46131">
        <w:rPr>
          <w:rFonts w:cstheme="minorHAnsi"/>
          <w:i/>
        </w:rPr>
        <w:t>Het migratiepact: kroniek van een crisis</w:t>
      </w:r>
      <w:r w:rsidRPr="00D46131">
        <w:rPr>
          <w:rFonts w:cstheme="minorHAnsi"/>
        </w:rPr>
        <w:t>, Brugge, die Keure, 2020, 37-62.</w:t>
      </w:r>
    </w:p>
  </w:footnote>
  <w:footnote w:id="47">
    <w:p w14:paraId="488502CF"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Zie ook: kroniek 2015-16, nrs. 27-28.</w:t>
      </w:r>
    </w:p>
  </w:footnote>
  <w:footnote w:id="48">
    <w:p w14:paraId="31C9966B" w14:textId="214CE80F"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De vertaling van een verdragstekst kan dan weer </w:t>
      </w:r>
      <w:r>
        <w:rPr>
          <w:rFonts w:cstheme="minorHAnsi"/>
          <w:lang w:val="nl-NL"/>
        </w:rPr>
        <w:t xml:space="preserve">wel </w:t>
      </w:r>
      <w:r w:rsidRPr="00D46131">
        <w:rPr>
          <w:rFonts w:cstheme="minorHAnsi"/>
          <w:lang w:val="nl-NL"/>
        </w:rPr>
        <w:t xml:space="preserve">eenvoudig gewijzigd worden, </w:t>
      </w:r>
      <w:r>
        <w:rPr>
          <w:rFonts w:cstheme="minorHAnsi"/>
          <w:lang w:val="nl-NL"/>
        </w:rPr>
        <w:t xml:space="preserve">zodat </w:t>
      </w:r>
      <w:r w:rsidRPr="00D46131">
        <w:rPr>
          <w:rFonts w:cstheme="minorHAnsi"/>
          <w:lang w:val="nl-NL"/>
        </w:rPr>
        <w:t xml:space="preserve">de Raad van State minder scrupules </w:t>
      </w:r>
      <w:r>
        <w:rPr>
          <w:rFonts w:cstheme="minorHAnsi"/>
          <w:lang w:val="nl-NL"/>
        </w:rPr>
        <w:t xml:space="preserve">heeft </w:t>
      </w:r>
      <w:r w:rsidRPr="00D46131">
        <w:rPr>
          <w:rFonts w:cstheme="minorHAnsi"/>
          <w:lang w:val="nl-NL"/>
        </w:rPr>
        <w:t>om hierover opmerkingen te formuleren, zie bv. Adv.RvS 68.623/3, 5 februari 2021, nr. 8; Adv.RvS 68.646/3, 5 februari 2021, nr. 8.</w:t>
      </w:r>
    </w:p>
  </w:footnote>
  <w:footnote w:id="49">
    <w:p w14:paraId="1D9C4AD5"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Artikel 167, §1, eerste lid, §3, Grondwet. </w:t>
      </w:r>
    </w:p>
  </w:footnote>
  <w:footnote w:id="50">
    <w:p w14:paraId="0FEF9D8E" w14:textId="77777777" w:rsidR="00C54441" w:rsidRPr="00D46131" w:rsidRDefault="00C54441" w:rsidP="00632DEA">
      <w:pPr>
        <w:pStyle w:val="Voetnoottekst"/>
        <w:rPr>
          <w:rFonts w:cstheme="minorHAnsi"/>
          <w:color w:val="000000"/>
        </w:rPr>
      </w:pPr>
      <w:r w:rsidRPr="00D46131">
        <w:rPr>
          <w:rStyle w:val="Voetnootmarkering"/>
          <w:rFonts w:cstheme="minorHAnsi"/>
        </w:rPr>
        <w:footnoteRef/>
      </w:r>
      <w:r w:rsidRPr="00D46131">
        <w:rPr>
          <w:rFonts w:cstheme="minorHAnsi"/>
        </w:rPr>
        <w:t xml:space="preserve"> </w:t>
      </w:r>
      <w:r w:rsidRPr="00D46131">
        <w:rPr>
          <w:rFonts w:cstheme="minorHAnsi"/>
          <w:color w:val="000000"/>
        </w:rPr>
        <w:t xml:space="preserve">Gedaan te Parijs op 9 maart 2020. </w:t>
      </w:r>
    </w:p>
  </w:footnote>
  <w:footnote w:id="51">
    <w:p w14:paraId="767C11B2" w14:textId="1E6F46EA"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In opschriften van verdragen kan louter naar de partijen verwezen worden.</w:t>
      </w:r>
      <w:r w:rsidRPr="00D46131">
        <w:rPr>
          <w:rFonts w:cstheme="minorHAnsi"/>
          <w:lang w:val="nl-NL"/>
        </w:rPr>
        <w:t xml:space="preserve"> Vgl. bv. ook met het verdrag tussen de Regering van de Franse Republiek, het Vlaamse Gewest en het Waalse Gewest ‘inzake de aanleg van de Grensleie tussen Deûlémont in Frankrijk en Menen in België’, gedaan te Brussel op 19 november 2018, waarbij aan Belgische zijde louter de deelstaten als verdragspartij optreden, en vgl. bv. met het Akkoord tussen de Regering van het Koninkrijk België, de Vlaamse Regering, de Regering van de Franse Gemeenschap en de Regering van het Waalse Gewest, enerzijds, en de Regering van de Franse Republiek, anderzijds, ‘inzake de grensoverschrijdende samenwerking tussen territoriale gemeenschappen en lokale openbare lichamen’, gedaan te 16 september 2005, waarbij aan Belgische zijde zowel het Koninkrijk België evenals zijn deelstaten als verdragspartij optreden. Zie ook kroniek 2015-2016, nr. 28, voetnoot 63. </w:t>
      </w:r>
    </w:p>
  </w:footnote>
  <w:footnote w:id="52">
    <w:p w14:paraId="10BFD3F3"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Adv.RvS 68.339/VR, 22 december 2020, nr. 5. Zie bv. ook Adv.RvS 66.733/3, 6 december 2019, nr. 6; Adv.RvS 68.151/3, 10 november 2020, nr. 7 en verwijzingen aldaar.</w:t>
      </w:r>
    </w:p>
  </w:footnote>
  <w:footnote w:id="53">
    <w:p w14:paraId="2A32D58A" w14:textId="2E005314"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In sommige staten bestaat wel het gebruik om naar de regering (of een minister of administratie) te verwijzen als partij bij de overeenkomst om duidelijk te maken dat de overeenkomst overeenkomstig volgens hun eigen grondwettelijke orde niet kan worden gekwalificeerd als een verdrag (maar bv. eerder over een </w:t>
      </w:r>
      <w:r w:rsidRPr="00D46131">
        <w:rPr>
          <w:rFonts w:cstheme="minorHAnsi"/>
          <w:i/>
          <w:lang w:val="nl-NL"/>
        </w:rPr>
        <w:t>executive agreement</w:t>
      </w:r>
      <w:r w:rsidRPr="00D46131">
        <w:rPr>
          <w:rFonts w:cstheme="minorHAnsi"/>
          <w:lang w:val="nl-NL"/>
        </w:rPr>
        <w:t xml:space="preserve"> of een </w:t>
      </w:r>
      <w:r w:rsidRPr="00D46131">
        <w:rPr>
          <w:rFonts w:cstheme="minorHAnsi"/>
          <w:i/>
          <w:lang w:val="nl-NL"/>
        </w:rPr>
        <w:t>memorand</w:t>
      </w:r>
      <w:r>
        <w:rPr>
          <w:rFonts w:cstheme="minorHAnsi"/>
          <w:i/>
          <w:lang w:val="nl-NL"/>
        </w:rPr>
        <w:t>um</w:t>
      </w:r>
      <w:r w:rsidRPr="00D46131">
        <w:rPr>
          <w:rFonts w:cstheme="minorHAnsi"/>
          <w:i/>
          <w:lang w:val="nl-NL"/>
        </w:rPr>
        <w:t xml:space="preserve"> of understanding</w:t>
      </w:r>
      <w:r w:rsidRPr="00D46131">
        <w:rPr>
          <w:rFonts w:cstheme="minorHAnsi"/>
          <w:lang w:val="nl-NL"/>
        </w:rPr>
        <w:t xml:space="preserve">). </w:t>
      </w:r>
    </w:p>
  </w:footnote>
  <w:footnote w:id="54">
    <w:p w14:paraId="7B36D4D0"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w:t>
      </w:r>
      <w:bookmarkStart w:id="11" w:name="_Hlk66268803"/>
      <w:r w:rsidRPr="00D46131">
        <w:rPr>
          <w:rFonts w:cstheme="minorHAnsi"/>
        </w:rPr>
        <w:t xml:space="preserve">Adv.RvS 68.339/VR, 22 december 2020, nr. 5. Zie bv. ook Adv.RvS 66.733/3, 6 december 2019, nr. 6; Adv.RvS 68.151/3, 10 november 2020, nr. 7. </w:t>
      </w:r>
      <w:bookmarkEnd w:id="11"/>
    </w:p>
  </w:footnote>
  <w:footnote w:id="55">
    <w:p w14:paraId="018F2CEC" w14:textId="77777777"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Ook de benaming “regering van het Koninkrijk België” die de federale overheid hier gebruikt kan aanleiding geven tot verwarring: treedt het immers op als onderdeel van de federale staat (m.n. als federale overheid), dan wel als vertegenwoordiger van het geheel (het Koninkrijk België). Zie: kroniek 2015-2016, nr. 28. </w:t>
      </w:r>
    </w:p>
  </w:footnote>
  <w:footnote w:id="56">
    <w:p w14:paraId="6CBB08DD" w14:textId="5D7FF876"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Waarbij voor de verwijzing naar de buitenlandse verdragsluitende partij, dan wel rekening moet worden gehouden met wetgevingstechnische regels of gebruiken, zie: </w:t>
      </w:r>
      <w:r w:rsidRPr="00D46131">
        <w:rPr>
          <w:rFonts w:cstheme="minorHAnsi"/>
          <w:i/>
          <w:iCs/>
        </w:rPr>
        <w:t>Beginselen van de wetgevingstechniek. Handleiding voor het opstellen van wetgevende en reglementaire teksten</w:t>
      </w:r>
      <w:r w:rsidRPr="00D46131">
        <w:rPr>
          <w:rFonts w:cstheme="minorHAnsi"/>
        </w:rPr>
        <w:t>, Raad van State, 2008, opmerking 198, te raadplegen op de internetsite van de Raad van State (www.raadvst consetat.be).</w:t>
      </w:r>
    </w:p>
  </w:footnote>
  <w:footnote w:id="57">
    <w:p w14:paraId="5E4FE9CA" w14:textId="116BAAAD"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lang w:val="nl-NL"/>
        </w:rPr>
        <w:t xml:space="preserve"> Formule 1 is de mede-ondertekening; formule 2 is één enkele ondertekening, door een federale, gewest- of gemeenschapsminister, met volmachten van alle betrokken overheden en in naam van alle betrokken entiteiten d.w.z. met vermelding ervan </w:t>
      </w:r>
      <w:r w:rsidRPr="00D46131">
        <w:rPr>
          <w:rFonts w:cstheme="minorHAnsi"/>
          <w:i/>
          <w:lang w:val="nl-NL"/>
        </w:rPr>
        <w:t>boven</w:t>
      </w:r>
      <w:r w:rsidRPr="00D46131">
        <w:rPr>
          <w:rFonts w:cstheme="minorHAnsi"/>
          <w:lang w:val="nl-NL"/>
        </w:rPr>
        <w:t xml:space="preserve"> de handtekening; formule 3 is één enkele ondertekening door een federale, gewest- of gemeenschapsminister, met volmachten van alle betrokken overheden in naam van het Koninkrijk België doch met vermelding van alle betrokken entiteiten </w:t>
      </w:r>
      <w:r w:rsidRPr="00D46131">
        <w:rPr>
          <w:rFonts w:cstheme="minorHAnsi"/>
          <w:i/>
          <w:lang w:val="nl-NL"/>
        </w:rPr>
        <w:t>onder</w:t>
      </w:r>
      <w:r w:rsidRPr="00D46131">
        <w:rPr>
          <w:rFonts w:cstheme="minorHAnsi"/>
          <w:lang w:val="nl-NL"/>
        </w:rPr>
        <w:t xml:space="preserve"> de handtekening; formule 4 is één enkele ondertekening, door een federale, gewest- of gemeenschapsminister, met volmachten van alle betrokken overheden, enkel in naam van het Koninkrijk België, met (voorlezing en) neerlegging van een verklaring bij de ondertekening waarin alle gebonden entiteiten worden opgesomd en formule 5 is één enkele ondertekening, door een federale, gewest of gemeenschapsminister, met volmachten van alle betrokken overheden, enkel in naam van het Koninkrijk België en zonder verklaring bij de ondertekening (Bijlage III ‘Algemeen referentiekader voor de ondertekeningsmodaliteiten van gemengde verdragen’ bij het proces-verbaal van de ICBB van </w:t>
      </w:r>
      <w:r w:rsidRPr="00D46131">
        <w:rPr>
          <w:rFonts w:cstheme="minorHAnsi"/>
        </w:rPr>
        <w:t>17 juni 1994)</w:t>
      </w:r>
      <w:r w:rsidRPr="00D46131">
        <w:rPr>
          <w:rFonts w:cstheme="minorHAnsi"/>
          <w:lang w:val="nl-NL"/>
        </w:rPr>
        <w:t>.</w:t>
      </w:r>
    </w:p>
  </w:footnote>
  <w:footnote w:id="58">
    <w:p w14:paraId="3AC8D827" w14:textId="2AA18C1C" w:rsidR="00C54441" w:rsidRPr="00D46131" w:rsidRDefault="00C54441" w:rsidP="00632DEA">
      <w:pPr>
        <w:autoSpaceDE w:val="0"/>
        <w:autoSpaceDN w:val="0"/>
        <w:adjustRightInd w:val="0"/>
        <w:spacing w:after="0" w:line="240" w:lineRule="auto"/>
        <w:jc w:val="both"/>
        <w:rPr>
          <w:rFonts w:cstheme="minorHAnsi"/>
          <w:sz w:val="20"/>
          <w:szCs w:val="20"/>
          <w:lang w:val="en-US"/>
        </w:rPr>
      </w:pPr>
      <w:r w:rsidRPr="00D46131">
        <w:rPr>
          <w:rStyle w:val="Voetnootmarkering"/>
          <w:rFonts w:cstheme="minorHAnsi"/>
          <w:sz w:val="20"/>
          <w:szCs w:val="20"/>
        </w:rPr>
        <w:footnoteRef/>
      </w:r>
      <w:r w:rsidRPr="00D46131">
        <w:rPr>
          <w:rFonts w:cstheme="minorHAnsi"/>
          <w:sz w:val="20"/>
          <w:szCs w:val="20"/>
          <w:lang w:val="en-GB"/>
        </w:rPr>
        <w:t xml:space="preserve"> Bv. Adv.RvS 65.520/VR, 5 april 2019, nr. 4.</w:t>
      </w:r>
      <w:r>
        <w:rPr>
          <w:rFonts w:cstheme="minorHAnsi"/>
          <w:sz w:val="20"/>
          <w:szCs w:val="20"/>
          <w:lang w:val="en-GB"/>
        </w:rPr>
        <w:t xml:space="preserve"> </w:t>
      </w:r>
    </w:p>
  </w:footnote>
  <w:footnote w:id="59">
    <w:p w14:paraId="46192DFA" w14:textId="23F2898C" w:rsidR="00C54441" w:rsidRPr="00D46131" w:rsidRDefault="00C54441" w:rsidP="00632DEA">
      <w:pPr>
        <w:pStyle w:val="Voetnoottekst"/>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Bv. Adv.RvS </w:t>
      </w:r>
      <w:r w:rsidRPr="00D46131">
        <w:rPr>
          <w:rFonts w:cstheme="minorHAnsi"/>
        </w:rPr>
        <w:t>63.588/4,</w:t>
      </w:r>
      <w:r>
        <w:rPr>
          <w:rFonts w:cstheme="minorHAnsi"/>
        </w:rPr>
        <w:t xml:space="preserve"> </w:t>
      </w:r>
      <w:r w:rsidRPr="00D46131">
        <w:rPr>
          <w:rFonts w:cstheme="minorHAnsi"/>
        </w:rPr>
        <w:t>25 juni 2018, blz. 4.</w:t>
      </w:r>
    </w:p>
  </w:footnote>
  <w:footnote w:id="60">
    <w:p w14:paraId="4F05B98B" w14:textId="77777777" w:rsidR="00C54441" w:rsidRPr="00D46131" w:rsidRDefault="00C54441" w:rsidP="00632DEA">
      <w:pPr>
        <w:pStyle w:val="Voetnoottekst"/>
        <w:rPr>
          <w:rFonts w:cstheme="minorHAnsi"/>
        </w:rPr>
      </w:pPr>
      <w:r w:rsidRPr="00D46131">
        <w:rPr>
          <w:rStyle w:val="Voetnootmarkering"/>
          <w:rFonts w:cstheme="minorHAnsi"/>
        </w:rPr>
        <w:footnoteRef/>
      </w:r>
      <w:r w:rsidRPr="00D46131">
        <w:rPr>
          <w:rFonts w:cstheme="minorHAnsi"/>
        </w:rPr>
        <w:t xml:space="preserve"> Adv.RvS 65.244/VR</w:t>
      </w:r>
      <w:r w:rsidRPr="00D46131">
        <w:rPr>
          <w:rFonts w:cstheme="minorHAnsi"/>
        </w:rPr>
        <w:fldChar w:fldCharType="begin"/>
      </w:r>
      <w:r w:rsidRPr="00D46131">
        <w:rPr>
          <w:rFonts w:cstheme="minorHAnsi"/>
        </w:rPr>
        <w:instrText xml:space="preserve">  </w:instrText>
      </w:r>
      <w:r w:rsidRPr="00D46131">
        <w:rPr>
          <w:rFonts w:cstheme="minorHAnsi"/>
        </w:rPr>
        <w:fldChar w:fldCharType="end"/>
      </w:r>
      <w:r w:rsidRPr="00D46131">
        <w:rPr>
          <w:rFonts w:cstheme="minorHAnsi"/>
        </w:rPr>
        <w:t>, 19 maart 2019, nrs. 6.1.2 e.v.</w:t>
      </w:r>
    </w:p>
  </w:footnote>
  <w:footnote w:id="61">
    <w:p w14:paraId="29ABEEA7" w14:textId="339B5F72" w:rsidR="00C54441" w:rsidRPr="00D46131" w:rsidRDefault="00C54441" w:rsidP="00632DEA">
      <w:pPr>
        <w:pStyle w:val="Default"/>
        <w:jc w:val="both"/>
        <w:rPr>
          <w:rFonts w:asciiTheme="minorHAnsi" w:hAnsiTheme="minorHAnsi" w:cstheme="minorHAnsi"/>
          <w:sz w:val="20"/>
          <w:szCs w:val="20"/>
          <w:lang w:val="nl-NL"/>
        </w:rPr>
      </w:pPr>
      <w:r w:rsidRPr="00D46131">
        <w:rPr>
          <w:rStyle w:val="Voetnootmarkering"/>
          <w:rFonts w:asciiTheme="minorHAnsi" w:hAnsiTheme="minorHAnsi" w:cstheme="minorHAnsi"/>
          <w:sz w:val="20"/>
          <w:szCs w:val="20"/>
        </w:rPr>
        <w:footnoteRef/>
      </w:r>
      <w:r w:rsidRPr="00D46131">
        <w:rPr>
          <w:rFonts w:asciiTheme="minorHAnsi" w:hAnsiTheme="minorHAnsi" w:cstheme="minorHAnsi"/>
          <w:sz w:val="20"/>
          <w:szCs w:val="20"/>
        </w:rPr>
        <w:t xml:space="preserve"> </w:t>
      </w:r>
      <w:r w:rsidRPr="00D46131">
        <w:rPr>
          <w:rFonts w:asciiTheme="minorHAnsi" w:hAnsiTheme="minorHAnsi" w:cstheme="minorHAnsi"/>
          <w:sz w:val="20"/>
          <w:szCs w:val="20"/>
          <w:lang w:val="nl-NL"/>
        </w:rPr>
        <w:t xml:space="preserve">Zie T. </w:t>
      </w:r>
      <w:r w:rsidRPr="00D46131">
        <w:rPr>
          <w:rFonts w:asciiTheme="minorHAnsi" w:hAnsiTheme="minorHAnsi" w:cstheme="minorHAnsi"/>
          <w:smallCaps/>
          <w:sz w:val="20"/>
          <w:szCs w:val="20"/>
          <w:lang w:val="nl-NL"/>
        </w:rPr>
        <w:t>Corthaut</w:t>
      </w:r>
      <w:r w:rsidRPr="00D46131">
        <w:rPr>
          <w:rFonts w:asciiTheme="minorHAnsi" w:hAnsiTheme="minorHAnsi" w:cstheme="minorHAnsi"/>
          <w:sz w:val="20"/>
          <w:szCs w:val="20"/>
          <w:lang w:val="nl-NL"/>
        </w:rPr>
        <w:t xml:space="preserve"> en D. </w:t>
      </w:r>
      <w:r w:rsidRPr="00D46131">
        <w:rPr>
          <w:rFonts w:asciiTheme="minorHAnsi" w:hAnsiTheme="minorHAnsi" w:cstheme="minorHAnsi"/>
          <w:smallCaps/>
          <w:sz w:val="20"/>
          <w:szCs w:val="20"/>
          <w:lang w:val="nl-NL"/>
        </w:rPr>
        <w:t>Van</w:t>
      </w:r>
      <w:r w:rsidRPr="00D46131">
        <w:rPr>
          <w:rFonts w:asciiTheme="minorHAnsi" w:hAnsiTheme="minorHAnsi" w:cstheme="minorHAnsi"/>
          <w:sz w:val="20"/>
          <w:szCs w:val="20"/>
          <w:lang w:val="nl-NL"/>
        </w:rPr>
        <w:t xml:space="preserve"> </w:t>
      </w:r>
      <w:r w:rsidRPr="00D46131">
        <w:rPr>
          <w:rFonts w:asciiTheme="minorHAnsi" w:hAnsiTheme="minorHAnsi" w:cstheme="minorHAnsi"/>
          <w:smallCaps/>
          <w:sz w:val="20"/>
          <w:szCs w:val="20"/>
          <w:lang w:val="nl-NL"/>
        </w:rPr>
        <w:t>Eeckhoutte</w:t>
      </w:r>
      <w:r w:rsidRPr="00D46131">
        <w:rPr>
          <w:rFonts w:asciiTheme="minorHAnsi" w:hAnsiTheme="minorHAnsi" w:cstheme="minorHAnsi"/>
          <w:sz w:val="20"/>
          <w:szCs w:val="20"/>
          <w:lang w:val="nl-NL"/>
        </w:rPr>
        <w:t xml:space="preserve">, “Samenwerkingsakkoorden als interne Belgische verdragen? Gelijkenissen en verschillen tussen samenwerkingsakkoorden en verdragen en hun constitutionele implicaties” in </w:t>
      </w:r>
      <w:r w:rsidRPr="00D46131">
        <w:rPr>
          <w:rFonts w:asciiTheme="minorHAnsi" w:hAnsiTheme="minorHAnsi" w:cstheme="minorHAnsi"/>
          <w:i/>
          <w:iCs/>
          <w:sz w:val="20"/>
          <w:szCs w:val="20"/>
          <w:lang w:val="nl-NL"/>
        </w:rPr>
        <w:t>Liber amicorum Marnix Van Damme</w:t>
      </w:r>
      <w:r w:rsidRPr="00D46131">
        <w:rPr>
          <w:rFonts w:asciiTheme="minorHAnsi" w:hAnsiTheme="minorHAnsi" w:cstheme="minorHAnsi"/>
          <w:sz w:val="20"/>
          <w:szCs w:val="20"/>
          <w:lang w:val="nl-NL"/>
        </w:rPr>
        <w:t xml:space="preserve">, </w:t>
      </w:r>
      <w:r>
        <w:rPr>
          <w:rFonts w:asciiTheme="minorHAnsi" w:hAnsiTheme="minorHAnsi" w:cstheme="minorHAnsi"/>
          <w:sz w:val="20"/>
          <w:szCs w:val="20"/>
          <w:lang w:val="nl-NL"/>
        </w:rPr>
        <w:t>die Keure, 2021, nrs.</w:t>
      </w:r>
      <w:r w:rsidRPr="00D46131">
        <w:rPr>
          <w:rFonts w:asciiTheme="minorHAnsi" w:hAnsiTheme="minorHAnsi" w:cstheme="minorHAnsi"/>
          <w:sz w:val="20"/>
          <w:szCs w:val="20"/>
          <w:lang w:val="nl-NL"/>
        </w:rPr>
        <w:t xml:space="preserve"> 26-28.</w:t>
      </w:r>
    </w:p>
  </w:footnote>
  <w:footnote w:id="62">
    <w:p w14:paraId="057A6661"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Richtlijn 2006/123/EG van het Europees Parlement en de Raad van 12 december 2006 betreffende diensten op de interne markt.</w:t>
      </w:r>
    </w:p>
  </w:footnote>
  <w:footnote w:id="63">
    <w:p w14:paraId="43B64E9C"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Richtlijn (EU) 2015/1535 van het Europees Parlement en de Raad van 9 september 2015 betreffende een informatieprocedure op het gebied van technische voorschriften en regels betreffende de diensten van de informatiemaatschappij.</w:t>
      </w:r>
    </w:p>
  </w:footnote>
  <w:footnote w:id="64">
    <w:p w14:paraId="43F2996D"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Artikel 108, lid 3, VWEU.</w:t>
      </w:r>
    </w:p>
  </w:footnote>
  <w:footnote w:id="65">
    <w:p w14:paraId="4CF4D3DF"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Kroniek 2015 en 2016, nr. 50; Kroniek 2017 en 2018, nrs. 8 en 17.</w:t>
      </w:r>
    </w:p>
  </w:footnote>
  <w:footnote w:id="66">
    <w:p w14:paraId="6770F3B7"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67.424/3, 26 mei 2020, nr. 11.</w:t>
      </w:r>
    </w:p>
  </w:footnote>
  <w:footnote w:id="67">
    <w:p w14:paraId="7342AE49" w14:textId="018B398C" w:rsidR="00C54441" w:rsidRPr="008D2051" w:rsidRDefault="00C54441" w:rsidP="00703851">
      <w:pPr>
        <w:pStyle w:val="Voetnoottekst"/>
        <w:rPr>
          <w:rFonts w:cstheme="minorHAnsi"/>
        </w:rPr>
      </w:pPr>
      <w:r w:rsidRPr="00D46131">
        <w:rPr>
          <w:rStyle w:val="Voetnootmarkering"/>
          <w:rFonts w:cstheme="minorHAnsi"/>
        </w:rPr>
        <w:footnoteRef/>
      </w:r>
      <w:r w:rsidRPr="008D2051">
        <w:rPr>
          <w:rFonts w:cstheme="minorHAnsi"/>
        </w:rPr>
        <w:t xml:space="preserve"> Adv.RvS 67.681/1/V, 4 augustus 2020, </w:t>
      </w:r>
      <w:r w:rsidR="008D2051" w:rsidRPr="008D2051">
        <w:rPr>
          <w:rFonts w:cstheme="minorHAnsi"/>
        </w:rPr>
        <w:t>nrs. 4.1 to</w:t>
      </w:r>
      <w:r w:rsidR="008D2051" w:rsidRPr="00B333AE">
        <w:rPr>
          <w:rFonts w:cstheme="minorHAnsi"/>
        </w:rPr>
        <w:t>t</w:t>
      </w:r>
      <w:r w:rsidR="008D2051">
        <w:rPr>
          <w:rFonts w:cstheme="minorHAnsi"/>
        </w:rPr>
        <w:t xml:space="preserve"> 4.4.</w:t>
      </w:r>
    </w:p>
  </w:footnote>
  <w:footnote w:id="68">
    <w:p w14:paraId="60251B8E"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artikel 2, lid 2, d), van richtlijn 2006/123/EG.</w:t>
      </w:r>
    </w:p>
  </w:footnote>
  <w:footnote w:id="69">
    <w:p w14:paraId="0A9F0C4D" w14:textId="77777777" w:rsidR="00C54441" w:rsidRPr="00D46131" w:rsidRDefault="00C54441" w:rsidP="00703851">
      <w:pPr>
        <w:pStyle w:val="Voetnoottekst"/>
        <w:rPr>
          <w:rFonts w:cstheme="minorHAnsi"/>
          <w:lang w:val="de-DE"/>
        </w:rPr>
      </w:pPr>
      <w:r w:rsidRPr="00D46131">
        <w:rPr>
          <w:rStyle w:val="Voetnootmarkering"/>
          <w:rFonts w:cstheme="minorHAnsi"/>
        </w:rPr>
        <w:footnoteRef/>
      </w:r>
      <w:r w:rsidRPr="00D46131">
        <w:rPr>
          <w:rFonts w:cstheme="minorHAnsi"/>
          <w:lang w:val="de-DE"/>
        </w:rPr>
        <w:t xml:space="preserve"> Adv.RvS 66.339/3, 10 juli 2019, nr. 11.</w:t>
      </w:r>
    </w:p>
  </w:footnote>
  <w:footnote w:id="70">
    <w:p w14:paraId="12A7A72A" w14:textId="77777777" w:rsidR="00C54441" w:rsidRPr="00D46131" w:rsidRDefault="00C54441" w:rsidP="00703851">
      <w:pPr>
        <w:pStyle w:val="Voetnoottekst"/>
        <w:rPr>
          <w:rFonts w:cstheme="minorHAnsi"/>
          <w:lang w:val="de-DE"/>
        </w:rPr>
      </w:pPr>
      <w:r w:rsidRPr="00D46131">
        <w:rPr>
          <w:rStyle w:val="Voetnootmarkering"/>
          <w:rFonts w:cstheme="minorHAnsi"/>
        </w:rPr>
        <w:footnoteRef/>
      </w:r>
      <w:r w:rsidRPr="00D46131">
        <w:rPr>
          <w:rFonts w:cstheme="minorHAnsi"/>
          <w:lang w:val="de-DE"/>
        </w:rPr>
        <w:t xml:space="preserve"> Adv.RvS 68.022/3, 13 oktober 2020, nr. 8.1-8.3.</w:t>
      </w:r>
    </w:p>
  </w:footnote>
  <w:footnote w:id="71">
    <w:p w14:paraId="44C4AAC8" w14:textId="552B6B20"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w:t>
      </w:r>
      <w:r w:rsidRPr="00D46131">
        <w:rPr>
          <w:rFonts w:cstheme="minorHAnsi"/>
          <w:i/>
          <w:iCs/>
          <w:highlight w:val="yellow"/>
        </w:rPr>
        <w:t>Infra</w:t>
      </w:r>
      <w:r w:rsidRPr="00D46131">
        <w:rPr>
          <w:rFonts w:cstheme="minorHAnsi"/>
          <w:highlight w:val="yellow"/>
        </w:rPr>
        <w:t xml:space="preserve">, nr. </w:t>
      </w:r>
      <w:r w:rsidR="008D2051">
        <w:rPr>
          <w:rFonts w:cstheme="minorHAnsi"/>
        </w:rPr>
        <w:t>28.</w:t>
      </w:r>
    </w:p>
  </w:footnote>
  <w:footnote w:id="72">
    <w:p w14:paraId="47D8A128"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65.284/1, 27 februari 2019, nr. 4.1; Adv.RvS 66.163/3 van 18 juni 2019, nr. 7.1.</w:t>
      </w:r>
    </w:p>
  </w:footnote>
  <w:footnote w:id="73">
    <w:p w14:paraId="5CAB67F3" w14:textId="77777777" w:rsidR="00C54441" w:rsidRPr="00B333AE" w:rsidRDefault="00C54441" w:rsidP="00703851">
      <w:pPr>
        <w:pStyle w:val="Voetnoottekst"/>
        <w:rPr>
          <w:rFonts w:cstheme="minorHAnsi"/>
          <w:lang w:val="en-GB"/>
        </w:rPr>
      </w:pPr>
      <w:r w:rsidRPr="00D46131">
        <w:rPr>
          <w:rStyle w:val="Voetnootmarkering"/>
          <w:rFonts w:cstheme="minorHAnsi"/>
        </w:rPr>
        <w:footnoteRef/>
      </w:r>
      <w:r w:rsidRPr="00B333AE">
        <w:rPr>
          <w:rFonts w:cstheme="minorHAnsi"/>
          <w:lang w:val="en-GB"/>
        </w:rPr>
        <w:t xml:space="preserve"> Adv.RvS 65.752/4, 24 april 2019.</w:t>
      </w:r>
    </w:p>
  </w:footnote>
  <w:footnote w:id="74">
    <w:p w14:paraId="36BFCF1D" w14:textId="77777777" w:rsidR="00C54441" w:rsidRPr="00B333AE" w:rsidRDefault="00C54441" w:rsidP="00703851">
      <w:pPr>
        <w:pStyle w:val="Voetnoottekst"/>
        <w:rPr>
          <w:rFonts w:cstheme="minorHAnsi"/>
          <w:lang w:val="en-GB"/>
        </w:rPr>
      </w:pPr>
      <w:r w:rsidRPr="00D46131">
        <w:rPr>
          <w:rStyle w:val="Voetnootmarkering"/>
          <w:rFonts w:cstheme="minorHAnsi"/>
        </w:rPr>
        <w:footnoteRef/>
      </w:r>
      <w:r w:rsidRPr="00B333AE">
        <w:rPr>
          <w:rFonts w:cstheme="minorHAnsi"/>
          <w:lang w:val="en-GB"/>
        </w:rPr>
        <w:t xml:space="preserve"> Adv.RvS 67.713/1-1/V, 14 augustus 2020, voetnoot 5.</w:t>
      </w:r>
    </w:p>
  </w:footnote>
  <w:footnote w:id="75">
    <w:p w14:paraId="77794C58"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67.488/1, 4 juni 2020, nr. 6; Adv.RvS 67.953/3-1/V, 31 augustus 2020, nr. 8.</w:t>
      </w:r>
    </w:p>
  </w:footnote>
  <w:footnote w:id="76">
    <w:p w14:paraId="0372D0BF"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artikel 6, lid 6, van richtlijn (EU) 2015/1535; Adv.RvS 67.953/3-1/V, 31 augustus 2020, nr. 8.</w:t>
      </w:r>
    </w:p>
  </w:footnote>
  <w:footnote w:id="77">
    <w:p w14:paraId="66BEDDC4"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daarover al Kroniek 2015-2016, nr. 51.</w:t>
      </w:r>
    </w:p>
  </w:footnote>
  <w:footnote w:id="78">
    <w:p w14:paraId="434E92C0"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67.210/3, 14 april 2020, nr. 5.1-5.2.</w:t>
      </w:r>
    </w:p>
  </w:footnote>
  <w:footnote w:id="79">
    <w:p w14:paraId="3860B4D4"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66.226/3, 17 juni 2019, nr. 5.</w:t>
      </w:r>
    </w:p>
  </w:footnote>
  <w:footnote w:id="80">
    <w:p w14:paraId="71060420" w14:textId="77777777" w:rsidR="00C54441" w:rsidRPr="00B333AE" w:rsidRDefault="00C54441" w:rsidP="00703851">
      <w:pPr>
        <w:pStyle w:val="Voetnoottekst"/>
        <w:rPr>
          <w:rFonts w:cstheme="minorHAnsi"/>
        </w:rPr>
      </w:pPr>
      <w:r w:rsidRPr="00D46131">
        <w:rPr>
          <w:rStyle w:val="Voetnootmarkering"/>
          <w:rFonts w:cstheme="minorHAnsi"/>
        </w:rPr>
        <w:footnoteRef/>
      </w:r>
      <w:r w:rsidRPr="00B333AE">
        <w:rPr>
          <w:rFonts w:cstheme="minorHAnsi"/>
        </w:rPr>
        <w:t xml:space="preserve"> Adv.RvS 67.086/3, 7 april 2020, nrs 3.1-3.2.</w:t>
      </w:r>
    </w:p>
  </w:footnote>
  <w:footnote w:id="81">
    <w:p w14:paraId="0ED93B09" w14:textId="7DB99E76" w:rsidR="00C54441" w:rsidRPr="00D46131" w:rsidRDefault="00C54441" w:rsidP="00703851">
      <w:pPr>
        <w:pStyle w:val="Voetnoottekst"/>
        <w:rPr>
          <w:rFonts w:cstheme="minorHAnsi"/>
        </w:rPr>
      </w:pPr>
      <w:r w:rsidRPr="00D46131">
        <w:rPr>
          <w:rStyle w:val="Voetnootmarkering"/>
          <w:rFonts w:cstheme="minorHAnsi"/>
        </w:rPr>
        <w:footnoteRef/>
      </w:r>
      <w:r w:rsidRPr="00B333AE">
        <w:rPr>
          <w:rFonts w:cstheme="minorHAnsi"/>
        </w:rPr>
        <w:t xml:space="preserve"> Adv.RvS 67.210/3, 14 april 2020, nr. 5.1-5.2. </w:t>
      </w:r>
      <w:r w:rsidRPr="00D46131">
        <w:rPr>
          <w:rFonts w:cstheme="minorHAnsi"/>
        </w:rPr>
        <w:t xml:space="preserve">Het oordeel van de Raad over de noodzaak van aanmelding is overigens niet te begrijpen als een voorafname op het – exclusieve – recht van de Europese Commissie om te oordelen over de verenigbaarheid van een staatssteunregel met de interne </w:t>
      </w:r>
      <w:r>
        <w:rPr>
          <w:rFonts w:cstheme="minorHAnsi"/>
        </w:rPr>
        <w:t>markt</w:t>
      </w:r>
      <w:r w:rsidRPr="00D46131">
        <w:rPr>
          <w:rFonts w:cstheme="minorHAnsi"/>
        </w:rPr>
        <w:t>, en beoogt gewoonlijk dus ook niet te suggereren dat de Europese Commissie een voorgenomen steunmaatregel zou verwerpen. Maar gelet op de draconische sanctie die staat op niet-aanmelding – zelfs van steun die inhoudelijke verenigbaar met de interne markt zou kunnen worden bevonden – is aanmelding vereist bij de minste discrepantie.</w:t>
      </w:r>
    </w:p>
  </w:footnote>
  <w:footnote w:id="82">
    <w:p w14:paraId="3EBA820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66.663/3, 25 november 2019, nr. 3; Adv.RvS 66.627/3, 18 juni 2019, nrs 6.1-6.4. Zie ook Adv.RvS 68.242/1-2-4, 10 november 2020, nr. 4, waar bleek dat na een eerder advies van de Raad van State (Adv.RvS 66.889/1, 14 januari 2020, nr. 4) met de Europese Commissie al een overleg was opgestart over een verwant voorontwerp.</w:t>
      </w:r>
    </w:p>
  </w:footnote>
  <w:footnote w:id="83">
    <w:p w14:paraId="141B9533"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66.627/3, 18 juni 2019, nrs 6.1-6.4.</w:t>
      </w:r>
    </w:p>
  </w:footnote>
  <w:footnote w:id="84">
    <w:p w14:paraId="013777A9"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67.568/3, 8 juli 2020, nr. 4. Gelet op het feit dat de Commissie zich al inhoudelijk over de maatregel (</w:t>
      </w:r>
      <w:r w:rsidRPr="00D46131">
        <w:rPr>
          <w:rFonts w:cstheme="minorHAnsi"/>
          <w:i/>
          <w:iCs/>
        </w:rPr>
        <w:t>supercap</w:t>
      </w:r>
      <w:r w:rsidRPr="00D46131">
        <w:rPr>
          <w:rFonts w:cstheme="minorHAnsi"/>
        </w:rPr>
        <w:t xml:space="preserve"> voor warmtekrachtcertificaten) al had uitgesproken bij een aanmelding over de </w:t>
      </w:r>
      <w:r w:rsidRPr="00D46131">
        <w:rPr>
          <w:rFonts w:cstheme="minorHAnsi"/>
          <w:i/>
          <w:iCs/>
        </w:rPr>
        <w:t>supercap</w:t>
      </w:r>
      <w:r w:rsidRPr="00D46131">
        <w:rPr>
          <w:rFonts w:cstheme="minorHAnsi"/>
        </w:rPr>
        <w:t xml:space="preserve"> voor groenestroomcertificaten, liet de Raad echter de deur open voor een informele afstemming met de Europese Commissie over de noodzaak van een nieuwe aanmelding.</w:t>
      </w:r>
    </w:p>
  </w:footnote>
  <w:footnote w:id="85">
    <w:p w14:paraId="47F62F5D" w14:textId="77777777" w:rsidR="00C54441" w:rsidRPr="00D46131" w:rsidRDefault="00C54441" w:rsidP="00703851">
      <w:pPr>
        <w:pStyle w:val="Voetnoottekst"/>
        <w:rPr>
          <w:rFonts w:cstheme="minorHAnsi"/>
          <w:lang w:val="en-GB"/>
        </w:rPr>
      </w:pPr>
      <w:r w:rsidRPr="00D46131">
        <w:rPr>
          <w:rStyle w:val="Voetnootmarkering"/>
          <w:rFonts w:cstheme="minorHAnsi"/>
        </w:rPr>
        <w:footnoteRef/>
      </w:r>
      <w:r w:rsidRPr="00D46131">
        <w:rPr>
          <w:rFonts w:cstheme="minorHAnsi"/>
          <w:lang w:val="en-GB"/>
        </w:rPr>
        <w:t xml:space="preserve"> Adv.RvS 67.203/3, 14 april 2020, nr. 4; 67.210/3, 14 april 2020, nr. 5.1-5.2.</w:t>
      </w:r>
    </w:p>
  </w:footnote>
  <w:footnote w:id="86">
    <w:p w14:paraId="4A83D9A1"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Mededeling van de Commissie - Tijdelijke kaderregeling inzake staatssteun ter ondersteuning van de economie vanwege de huidige COVID-19-uitbraak (2020/C 91 I/01), zoals verschillende malen gewijzigd in de loop van de pandemie.</w:t>
      </w:r>
    </w:p>
  </w:footnote>
  <w:footnote w:id="87">
    <w:p w14:paraId="3F40C86F"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bv. Adv.RvS 68.506/3, 13 januari 2021, nr. 12.</w:t>
      </w:r>
    </w:p>
  </w:footnote>
  <w:footnote w:id="88">
    <w:p w14:paraId="33562716"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Verordening (EU) 2019/943 van het Europees Parlement en de Raad van 5 juni 2019 betreffende de interne markt voor elektriciteit. Zie Adv.RvS 68.506/3, 13 januari 2021, nr. 4.</w:t>
      </w:r>
    </w:p>
  </w:footnote>
  <w:footnote w:id="89">
    <w:p w14:paraId="0B264BE4"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68.847/3, 11 maart 2021, nr. 7.</w:t>
      </w:r>
    </w:p>
  </w:footnote>
  <w:footnote w:id="90">
    <w:p w14:paraId="573A1596"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65.632/3, 9 april 2019, nr. 9.</w:t>
      </w:r>
    </w:p>
  </w:footnote>
  <w:footnote w:id="91">
    <w:p w14:paraId="6A5AF853"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footnote>
  <w:footnote w:id="92">
    <w:p w14:paraId="3EF58A61" w14:textId="5501197D"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Daarbij zijn de adviesaanvragers zich niet eens altijd bewust van het feit dat in het kader van hun ontwerpen persoonsgegevens worden verwerkt, zie bv. Adv.RvS 68.881/1 van 23 februari 2021 (uit documenten die werknemers moeten voorleggen om werkverlet te krijgen om zich te laten vaccineren, kon de werkgever heel wat deduceren over de vaccinatiestatus en zelfs de algemene gezondheid van zijn werknemer – zoals achteraf ook door de Gegevensbeschermingsautoriteit werd bevestigd in haar </w:t>
      </w:r>
      <w:r>
        <w:rPr>
          <w:rFonts w:cstheme="minorHAnsi"/>
        </w:rPr>
        <w:t>a</w:t>
      </w:r>
      <w:r w:rsidRPr="00D46131">
        <w:rPr>
          <w:rFonts w:cstheme="minorHAnsi"/>
        </w:rPr>
        <w:t>dvies nr. 25/2021 van 8 maart 2021).</w:t>
      </w:r>
    </w:p>
  </w:footnote>
  <w:footnote w:id="93">
    <w:p w14:paraId="6CCA793C"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66.033/1/AV, 3 juni 2019, nrs 5.1 tot 5.4</w:t>
      </w:r>
    </w:p>
  </w:footnote>
  <w:footnote w:id="94">
    <w:p w14:paraId="2E99F65F" w14:textId="77777777" w:rsidR="00C54441" w:rsidRPr="00D46131" w:rsidRDefault="00C54441" w:rsidP="00703851">
      <w:pPr>
        <w:pStyle w:val="Voetnoottekst"/>
        <w:rPr>
          <w:rFonts w:cstheme="minorHAnsi"/>
          <w:lang w:val="fr-FR"/>
        </w:rPr>
      </w:pPr>
      <w:r w:rsidRPr="00D46131">
        <w:rPr>
          <w:rStyle w:val="Voetnootmarkering"/>
          <w:rFonts w:cstheme="minorHAnsi"/>
        </w:rPr>
        <w:footnoteRef/>
      </w:r>
      <w:r w:rsidRPr="00D46131">
        <w:rPr>
          <w:rFonts w:cstheme="minorHAnsi"/>
          <w:lang w:val="fr-FR"/>
        </w:rPr>
        <w:t xml:space="preserve"> HvJ 26 februari 2013, </w:t>
      </w:r>
      <w:r w:rsidRPr="00D46131">
        <w:rPr>
          <w:rFonts w:cstheme="minorHAnsi"/>
          <w:i/>
          <w:iCs/>
          <w:lang w:val="fr-FR"/>
        </w:rPr>
        <w:t>Melloni</w:t>
      </w:r>
      <w:r w:rsidRPr="00D46131">
        <w:rPr>
          <w:rFonts w:cstheme="minorHAnsi"/>
          <w:lang w:val="fr-FR"/>
        </w:rPr>
        <w:t>, C-399/11, ECLI:EU:C:2013:107.</w:t>
      </w:r>
    </w:p>
  </w:footnote>
  <w:footnote w:id="95">
    <w:p w14:paraId="638D72DA" w14:textId="3E1C7D4A" w:rsidR="00C54441" w:rsidRPr="00B333AE" w:rsidRDefault="00C54441" w:rsidP="00703851">
      <w:pPr>
        <w:pStyle w:val="Voetnoottekst"/>
        <w:rPr>
          <w:rFonts w:cstheme="minorHAnsi"/>
          <w:lang w:val="fr-FR"/>
        </w:rPr>
      </w:pPr>
      <w:r w:rsidRPr="00D46131">
        <w:rPr>
          <w:rStyle w:val="Voetnootmarkering"/>
          <w:rFonts w:cstheme="minorHAnsi"/>
        </w:rPr>
        <w:footnoteRef/>
      </w:r>
      <w:r w:rsidRPr="00B333AE">
        <w:rPr>
          <w:rFonts w:cstheme="minorHAnsi"/>
          <w:lang w:val="fr-FR"/>
        </w:rPr>
        <w:t xml:space="preserve"> Zie de arresten van het Bundesverfassungsgericht van 6 november 2019 in </w:t>
      </w:r>
      <w:hyperlink r:id="rId3" w:tooltip="Beschluss vom 6. November 2019" w:history="1">
        <w:r w:rsidRPr="00B333AE">
          <w:rPr>
            <w:rStyle w:val="Hyperlink"/>
            <w:rFonts w:cstheme="minorHAnsi"/>
            <w:lang w:val="fr-FR"/>
          </w:rPr>
          <w:t>1 BvR 16/13 -</w:t>
        </w:r>
      </w:hyperlink>
      <w:r w:rsidRPr="00B333AE">
        <w:rPr>
          <w:rFonts w:cstheme="minorHAnsi"/>
          <w:lang w:val="fr-FR"/>
        </w:rPr>
        <w:t xml:space="preserve"> Recht auf Vergessen I en </w:t>
      </w:r>
      <w:hyperlink r:id="rId4" w:tooltip="Beschluss vom 6. November 2019" w:history="1">
        <w:r w:rsidRPr="00B333AE">
          <w:rPr>
            <w:rStyle w:val="Hyperlink"/>
            <w:rFonts w:cstheme="minorHAnsi"/>
            <w:lang w:val="fr-FR"/>
          </w:rPr>
          <w:t>1 BvR 276/17 -</w:t>
        </w:r>
      </w:hyperlink>
      <w:r w:rsidRPr="00B333AE">
        <w:rPr>
          <w:rFonts w:cstheme="minorHAnsi"/>
          <w:lang w:val="fr-FR"/>
        </w:rPr>
        <w:t> Recht auf Vergessen II.</w:t>
      </w:r>
    </w:p>
  </w:footnote>
  <w:footnote w:id="96">
    <w:p w14:paraId="508D071A" w14:textId="255B864C" w:rsidR="00C54441" w:rsidRPr="00F87508" w:rsidRDefault="00C54441">
      <w:pPr>
        <w:pStyle w:val="Voetnoottekst"/>
      </w:pPr>
      <w:r>
        <w:rPr>
          <w:rStyle w:val="Voetnootmarkering"/>
        </w:rPr>
        <w:footnoteRef/>
      </w:r>
      <w:r w:rsidRPr="00F87508">
        <w:t xml:space="preserve"> Zie bv. adv.RvS 65.036/4, 20 f</w:t>
      </w:r>
      <w:r w:rsidRPr="00B333AE">
        <w:t>ebruari</w:t>
      </w:r>
      <w:r>
        <w:t xml:space="preserve"> 2020, algemene opmerking 4 (enkel artikel 49, § 3, Handvest) en opmerkingen bij artikel 20 (artikel 49, § 3, Handvest en artikel 7 EVRM), waarbij geen onderscheid gemaakt wordt of de strafbepalingen betrekking hebben op de afdwinging van Unierecht of niet.</w:t>
      </w:r>
    </w:p>
  </w:footnote>
  <w:footnote w:id="97">
    <w:p w14:paraId="447BF4F4" w14:textId="77777777" w:rsidR="00C54441" w:rsidRPr="00F87508" w:rsidRDefault="00C54441" w:rsidP="00703851">
      <w:pPr>
        <w:pStyle w:val="Voetnoottekst"/>
        <w:rPr>
          <w:rFonts w:cstheme="minorHAnsi"/>
        </w:rPr>
      </w:pPr>
      <w:r w:rsidRPr="00D46131">
        <w:rPr>
          <w:rStyle w:val="Voetnootmarkering"/>
          <w:rFonts w:cstheme="minorHAnsi"/>
        </w:rPr>
        <w:footnoteRef/>
      </w:r>
      <w:r w:rsidRPr="00F87508">
        <w:rPr>
          <w:rFonts w:cstheme="minorHAnsi"/>
        </w:rPr>
        <w:t xml:space="preserve"> HvJ 19 november 2019, </w:t>
      </w:r>
      <w:r w:rsidRPr="00F87508">
        <w:rPr>
          <w:rFonts w:cstheme="minorHAnsi"/>
          <w:i/>
          <w:iCs/>
        </w:rPr>
        <w:t>Terveys- ja sosiaalialan neuvottelujärjestö (TSN)</w:t>
      </w:r>
      <w:r w:rsidRPr="00F87508">
        <w:rPr>
          <w:rFonts w:cstheme="minorHAnsi"/>
        </w:rPr>
        <w:t>, gevoegde zaken C-609/17 en C-610/17, ECLI:EU:C:2019:981, punten 42-55.</w:t>
      </w:r>
    </w:p>
  </w:footnote>
  <w:footnote w:id="98">
    <w:p w14:paraId="627113B9"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67.693/3-1/V van 14 augustus 2020, nr. 6.</w:t>
      </w:r>
    </w:p>
  </w:footnote>
  <w:footnote w:id="99">
    <w:p w14:paraId="270E8D4E"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HvJ 6 maart 2018, </w:t>
      </w:r>
      <w:r w:rsidRPr="00D46131">
        <w:rPr>
          <w:rFonts w:cstheme="minorHAnsi"/>
          <w:i/>
          <w:iCs/>
        </w:rPr>
        <w:t>Achmea</w:t>
      </w:r>
      <w:r w:rsidRPr="00D46131">
        <w:rPr>
          <w:rFonts w:cstheme="minorHAnsi"/>
        </w:rPr>
        <w:t>, C-284/16, ECLI:EU:C:2018:158.</w:t>
      </w:r>
    </w:p>
  </w:footnote>
  <w:footnote w:id="100">
    <w:p w14:paraId="744FAECB"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68.048/VR, 26 februari 2013, punten 9.4.1 – 9.6.</w:t>
      </w:r>
    </w:p>
  </w:footnote>
  <w:footnote w:id="101">
    <w:p w14:paraId="2FF18A33"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w:t>
      </w:r>
      <w:r w:rsidRPr="00D46131">
        <w:rPr>
          <w:rFonts w:cstheme="minorHAnsi"/>
          <w:i/>
          <w:iCs/>
        </w:rPr>
        <w:t>Idem</w:t>
      </w:r>
      <w:r w:rsidRPr="00D46131">
        <w:rPr>
          <w:rFonts w:cstheme="minorHAnsi"/>
        </w:rPr>
        <w:t>, nr. 9.6.</w:t>
      </w:r>
    </w:p>
  </w:footnote>
  <w:footnote w:id="102">
    <w:p w14:paraId="604F8218" w14:textId="5CEA894C"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bijvoorbeeld in het kader van de pandemie, het exportverbod voor griepvaccins, dat node enkel kon slaan op de export naar andere EU</w:t>
      </w:r>
      <w:r>
        <w:rPr>
          <w:rFonts w:cstheme="minorHAnsi"/>
        </w:rPr>
        <w:t>-</w:t>
      </w:r>
      <w:r w:rsidRPr="00D46131">
        <w:rPr>
          <w:rFonts w:cstheme="minorHAnsi"/>
        </w:rPr>
        <w:t>lidstaten en niet naar derde landen, zie Adv.RvS 68.055/3, 25 september</w:t>
      </w:r>
      <w:r>
        <w:rPr>
          <w:rFonts w:cstheme="minorHAnsi"/>
        </w:rPr>
        <w:t xml:space="preserve"> 2020</w:t>
      </w:r>
      <w:r w:rsidRPr="00D46131">
        <w:rPr>
          <w:rFonts w:cstheme="minorHAnsi"/>
        </w:rPr>
        <w:t>, nr. 7. Zie ook Adv.RvS 69.024/</w:t>
      </w:r>
      <w:r>
        <w:rPr>
          <w:rFonts w:cstheme="minorHAnsi"/>
        </w:rPr>
        <w:t>2-</w:t>
      </w:r>
      <w:r w:rsidRPr="00D46131">
        <w:rPr>
          <w:rFonts w:cstheme="minorHAnsi"/>
        </w:rPr>
        <w:t xml:space="preserve">3 van </w:t>
      </w:r>
      <w:r>
        <w:rPr>
          <w:rFonts w:cstheme="minorHAnsi"/>
        </w:rPr>
        <w:t>22</w:t>
      </w:r>
      <w:r w:rsidRPr="00D46131">
        <w:rPr>
          <w:rFonts w:cstheme="minorHAnsi"/>
        </w:rPr>
        <w:t xml:space="preserve"> maart 2021, opmerkingen bij artikel 30 van het ontwerp.</w:t>
      </w:r>
    </w:p>
  </w:footnote>
  <w:footnote w:id="103">
    <w:p w14:paraId="653EBC11" w14:textId="2CA204B3" w:rsidR="00C54441" w:rsidRPr="00D46131" w:rsidRDefault="00C54441" w:rsidP="00703851">
      <w:pPr>
        <w:autoSpaceDE w:val="0"/>
        <w:autoSpaceDN w:val="0"/>
        <w:adjustRightInd w:val="0"/>
        <w:spacing w:after="0" w:line="240" w:lineRule="auto"/>
        <w:rPr>
          <w:rFonts w:cstheme="minorHAnsi"/>
          <w:sz w:val="20"/>
          <w:szCs w:val="20"/>
        </w:rPr>
      </w:pPr>
      <w:r w:rsidRPr="00D46131">
        <w:rPr>
          <w:rStyle w:val="Voetnootmarkering"/>
          <w:rFonts w:cstheme="minorHAnsi"/>
          <w:sz w:val="20"/>
          <w:szCs w:val="20"/>
        </w:rPr>
        <w:footnoteRef/>
      </w:r>
      <w:r w:rsidRPr="00D46131">
        <w:rPr>
          <w:rFonts w:cstheme="minorHAnsi"/>
          <w:sz w:val="20"/>
          <w:szCs w:val="20"/>
        </w:rPr>
        <w:t xml:space="preserve"> Kroniek 2017-2018, nr. 15. Zie met name Adv.RvS 65.217/1-2-3-4, 25 januari 2019, opmerkingen bij artikel 7, nr. 4 en Adv.RvS 65.594/3, 11 maart 2019, nrs. 9-9.3.</w:t>
      </w:r>
    </w:p>
  </w:footnote>
  <w:footnote w:id="104">
    <w:p w14:paraId="32C1C0D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68.931/1, 8 maart 2021, nrs 6-10</w:t>
      </w:r>
    </w:p>
  </w:footnote>
  <w:footnote w:id="105">
    <w:p w14:paraId="4E103B85"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w:t>
      </w:r>
      <w:r w:rsidRPr="00D46131">
        <w:rPr>
          <w:rFonts w:cstheme="minorHAnsi"/>
          <w:i/>
          <w:iCs/>
        </w:rPr>
        <w:t>Pb.</w:t>
      </w:r>
      <w:r w:rsidRPr="00D46131">
        <w:rPr>
          <w:rFonts w:cstheme="minorHAnsi"/>
        </w:rPr>
        <w:t xml:space="preserve"> 31 december 2020, L 444/14.</w:t>
      </w:r>
    </w:p>
  </w:footnote>
  <w:footnote w:id="106">
    <w:p w14:paraId="5FC82C5D"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68.506/3, 13 januari 2021, nr. 11.</w:t>
      </w:r>
    </w:p>
  </w:footnote>
  <w:footnote w:id="107">
    <w:p w14:paraId="1D5ADDD4"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HvJ 6 oktober 2020, </w:t>
      </w:r>
      <w:r w:rsidRPr="00D46131">
        <w:rPr>
          <w:rFonts w:cstheme="minorHAnsi"/>
          <w:i/>
          <w:iCs/>
        </w:rPr>
        <w:t>Commissie/Hongarije</w:t>
      </w:r>
      <w:r w:rsidRPr="00D46131">
        <w:rPr>
          <w:rFonts w:cstheme="minorHAnsi"/>
        </w:rPr>
        <w:t>, ECLI:EU:C:2020:792.</w:t>
      </w:r>
    </w:p>
  </w:footnote>
  <w:footnote w:id="108">
    <w:p w14:paraId="41FCD306"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68.931/1, 8 maart 2021, voetnoot 5.</w:t>
      </w:r>
    </w:p>
  </w:footnote>
  <w:footnote w:id="109">
    <w:p w14:paraId="1B387230"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ook al Kroniek 2017-2018, nr. 13.</w:t>
      </w:r>
    </w:p>
  </w:footnote>
  <w:footnote w:id="110">
    <w:p w14:paraId="5F814938" w14:textId="77777777" w:rsidR="00C54441" w:rsidRPr="00D46131" w:rsidRDefault="00C54441" w:rsidP="00703851">
      <w:pPr>
        <w:pStyle w:val="Voetnoottekst"/>
        <w:rPr>
          <w:rFonts w:cstheme="minorHAnsi"/>
          <w:lang w:val="fr-FR"/>
        </w:rPr>
      </w:pPr>
      <w:r w:rsidRPr="00D46131">
        <w:rPr>
          <w:rStyle w:val="Voetnootmarkering"/>
          <w:rFonts w:cstheme="minorHAnsi"/>
        </w:rPr>
        <w:footnoteRef/>
      </w:r>
      <w:r w:rsidRPr="00D46131">
        <w:rPr>
          <w:rFonts w:cstheme="minorHAnsi"/>
          <w:lang w:val="fr-FR"/>
        </w:rPr>
        <w:t xml:space="preserve"> K. </w:t>
      </w:r>
      <w:r w:rsidRPr="00B333AE">
        <w:rPr>
          <w:rFonts w:cstheme="minorHAnsi"/>
          <w:smallCaps/>
          <w:color w:val="000000"/>
          <w:shd w:val="clear" w:color="auto" w:fill="FFFFFF"/>
          <w:lang w:val="fr-FR"/>
        </w:rPr>
        <w:t>Lenaerts</w:t>
      </w:r>
      <w:r w:rsidRPr="00D46131">
        <w:rPr>
          <w:rFonts w:cstheme="minorHAnsi"/>
          <w:color w:val="000000"/>
          <w:shd w:val="clear" w:color="auto" w:fill="FFFFFF"/>
          <w:lang w:val="fr-FR"/>
        </w:rPr>
        <w:t xml:space="preserve"> en P. </w:t>
      </w:r>
      <w:r w:rsidRPr="00B333AE">
        <w:rPr>
          <w:rFonts w:cstheme="minorHAnsi"/>
          <w:smallCaps/>
          <w:color w:val="000000"/>
          <w:shd w:val="clear" w:color="auto" w:fill="FFFFFF"/>
          <w:lang w:val="fr-FR"/>
        </w:rPr>
        <w:t>Van Nuffel</w:t>
      </w:r>
      <w:r w:rsidRPr="00D46131">
        <w:rPr>
          <w:rFonts w:cstheme="minorHAnsi"/>
          <w:color w:val="000000"/>
          <w:shd w:val="clear" w:color="auto" w:fill="FFFFFF"/>
          <w:lang w:val="fr-FR"/>
        </w:rPr>
        <w:t xml:space="preserve">, T. </w:t>
      </w:r>
      <w:r w:rsidRPr="00B333AE">
        <w:rPr>
          <w:rFonts w:cstheme="minorHAnsi"/>
          <w:smallCaps/>
          <w:color w:val="000000"/>
          <w:shd w:val="clear" w:color="auto" w:fill="FFFFFF"/>
          <w:lang w:val="fr-FR"/>
        </w:rPr>
        <w:t>Corthaut</w:t>
      </w:r>
      <w:r w:rsidRPr="00D46131">
        <w:rPr>
          <w:rFonts w:cstheme="minorHAnsi"/>
          <w:color w:val="000000"/>
          <w:shd w:val="clear" w:color="auto" w:fill="FFFFFF"/>
          <w:lang w:val="fr-FR"/>
        </w:rPr>
        <w:t xml:space="preserve"> (ed.), </w:t>
      </w:r>
      <w:r w:rsidRPr="00D46131">
        <w:rPr>
          <w:rFonts w:cstheme="minorHAnsi"/>
          <w:i/>
          <w:iCs/>
          <w:color w:val="000000"/>
          <w:shd w:val="clear" w:color="auto" w:fill="FFFFFF"/>
          <w:lang w:val="fr-FR"/>
        </w:rPr>
        <w:t>EU Constitutional law</w:t>
      </w:r>
      <w:r w:rsidRPr="00D46131">
        <w:rPr>
          <w:rFonts w:cstheme="minorHAnsi"/>
          <w:color w:val="000000"/>
          <w:shd w:val="clear" w:color="auto" w:fill="FFFFFF"/>
          <w:lang w:val="fr-FR"/>
        </w:rPr>
        <w:t>, OUP, 2021, §27-003.</w:t>
      </w:r>
    </w:p>
  </w:footnote>
  <w:footnote w:id="111">
    <w:p w14:paraId="7DE2C281"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68.803/3, 3 maart 2021, nrs 4.1-4.3.</w:t>
      </w:r>
    </w:p>
  </w:footnote>
  <w:footnote w:id="112">
    <w:p w14:paraId="7F4CD4E8"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Uitvoeringsrichtlijn (EU) 2018/1581 van de Commissie van 19 oktober 2018 tot wijziging van Richtlijn 2009/119/EG van de Raad wat betreft de methoden voor de berekening van de opslagverplichtingen.</w:t>
      </w:r>
    </w:p>
  </w:footnote>
  <w:footnote w:id="113">
    <w:p w14:paraId="4190C6D6"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Richtlijn 2009/119/EG van de Raad van 14 september 2009 houdende verplichting voor de lidstaten om minimumvoorraden ruwe aardolie en/of aardolieproducten in opslag te houden.</w:t>
      </w:r>
    </w:p>
  </w:footnote>
  <w:footnote w:id="114">
    <w:p w14:paraId="6A28D1A3"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Verordening (EU) nr. 182/2011 van het Europees Parlement en de Raad van 16 februari 2011 tot vaststelling van de algemene voorschriften en beginselen die van toepassing zijn op de wijze waarop de lidstaten de uitoefening van de uitvoeringsbevoegdheden door de Commissie controleren.</w:t>
      </w:r>
    </w:p>
  </w:footnote>
  <w:footnote w:id="115">
    <w:p w14:paraId="3AFF4883" w14:textId="77777777" w:rsidR="00C54441" w:rsidRPr="00D46131" w:rsidRDefault="00C54441" w:rsidP="00703851">
      <w:pPr>
        <w:pStyle w:val="Voetnoottekst"/>
        <w:rPr>
          <w:rFonts w:cstheme="minorHAnsi"/>
          <w:lang w:val="de-DE"/>
        </w:rPr>
      </w:pPr>
      <w:r w:rsidRPr="00D46131">
        <w:rPr>
          <w:rStyle w:val="Voetnootmarkering"/>
          <w:rFonts w:cstheme="minorHAnsi"/>
        </w:rPr>
        <w:footnoteRef/>
      </w:r>
      <w:r w:rsidRPr="00D46131">
        <w:rPr>
          <w:rFonts w:cstheme="minorHAnsi"/>
          <w:lang w:val="de-DE"/>
        </w:rPr>
        <w:t xml:space="preserve"> HvJ 8 juli 2019, </w:t>
      </w:r>
      <w:r w:rsidRPr="00D46131">
        <w:rPr>
          <w:rFonts w:cstheme="minorHAnsi"/>
          <w:i/>
          <w:iCs/>
          <w:lang w:val="de-DE"/>
        </w:rPr>
        <w:t>Commissie t. België</w:t>
      </w:r>
      <w:r w:rsidRPr="00D46131">
        <w:rPr>
          <w:rFonts w:cstheme="minorHAnsi"/>
          <w:lang w:val="de-DE"/>
        </w:rPr>
        <w:t>, C-543/17, ECLI:EU:C:2019:573.</w:t>
      </w:r>
    </w:p>
  </w:footnote>
  <w:footnote w:id="116">
    <w:p w14:paraId="6E8D8B73"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lang w:val="fr-FR"/>
        </w:rPr>
        <w:t xml:space="preserve"> HvJ 24 juni 2019, </w:t>
      </w:r>
      <w:r w:rsidRPr="00D46131">
        <w:rPr>
          <w:rFonts w:cstheme="minorHAnsi"/>
          <w:i/>
          <w:iCs/>
          <w:lang w:val="fr-FR"/>
        </w:rPr>
        <w:t>Popławski</w:t>
      </w:r>
      <w:r w:rsidRPr="00D46131">
        <w:rPr>
          <w:rFonts w:cstheme="minorHAnsi"/>
          <w:lang w:val="fr-FR"/>
        </w:rPr>
        <w:t xml:space="preserve">, C-573/17, ECLI:EU:C:2019:530. </w:t>
      </w:r>
      <w:r w:rsidRPr="00D46131">
        <w:rPr>
          <w:rFonts w:cstheme="minorHAnsi"/>
        </w:rPr>
        <w:t xml:space="preserve">Zie ook al HvJ 7 augustus 2018, </w:t>
      </w:r>
      <w:r w:rsidRPr="00D46131">
        <w:rPr>
          <w:rFonts w:cstheme="minorHAnsi"/>
          <w:i/>
          <w:iCs/>
        </w:rPr>
        <w:t>Smith</w:t>
      </w:r>
      <w:r w:rsidRPr="00D46131">
        <w:rPr>
          <w:rFonts w:cstheme="minorHAnsi"/>
        </w:rPr>
        <w:t>, C</w:t>
      </w:r>
      <w:r w:rsidRPr="00D46131">
        <w:rPr>
          <w:rFonts w:cstheme="minorHAnsi"/>
        </w:rPr>
        <w:noBreakHyphen/>
        <w:t>122/17, EU:C:2018:631</w:t>
      </w:r>
      <w:r w:rsidRPr="00D46131">
        <w:rPr>
          <w:rFonts w:cstheme="minorHAnsi"/>
          <w:color w:val="000000"/>
        </w:rPr>
        <w:t>.</w:t>
      </w:r>
    </w:p>
  </w:footnote>
  <w:footnote w:id="117">
    <w:p w14:paraId="472BAE04"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naast het al aangehaalde HvJ 8 juli 2019, </w:t>
      </w:r>
      <w:r w:rsidRPr="00D46131">
        <w:rPr>
          <w:rFonts w:cstheme="minorHAnsi"/>
          <w:i/>
          <w:iCs/>
        </w:rPr>
        <w:t>Commissie t. België</w:t>
      </w:r>
      <w:r w:rsidRPr="00D46131">
        <w:rPr>
          <w:rFonts w:cstheme="minorHAnsi"/>
        </w:rPr>
        <w:t xml:space="preserve">, C-543/17, ECLI:EU:C:2019:573, intussen ook de Grote Kamer arresten van 16 juli 2020 in </w:t>
      </w:r>
      <w:r w:rsidRPr="00D46131">
        <w:rPr>
          <w:rFonts w:cstheme="minorHAnsi"/>
          <w:i/>
          <w:iCs/>
        </w:rPr>
        <w:t>Commissie t. Ierland</w:t>
      </w:r>
      <w:r w:rsidRPr="00D46131">
        <w:rPr>
          <w:rFonts w:cstheme="minorHAnsi"/>
        </w:rPr>
        <w:t xml:space="preserve">, C-549/18, ECLI:EU:C:2020:564 en </w:t>
      </w:r>
      <w:r w:rsidRPr="00D46131">
        <w:rPr>
          <w:rFonts w:cstheme="minorHAnsi"/>
          <w:i/>
          <w:iCs/>
        </w:rPr>
        <w:t>Commissie t. Roemenië</w:t>
      </w:r>
      <w:r w:rsidRPr="00D46131">
        <w:rPr>
          <w:rFonts w:cstheme="minorHAnsi"/>
        </w:rPr>
        <w:t xml:space="preserve">, C-550/18, ECLI:EU:C:2020:563. Zie nog recent HvJ 25 februari 2021, </w:t>
      </w:r>
      <w:r w:rsidRPr="00D46131">
        <w:rPr>
          <w:rFonts w:cstheme="minorHAnsi"/>
          <w:i/>
          <w:iCs/>
        </w:rPr>
        <w:t>Commissie t. Spanje</w:t>
      </w:r>
      <w:r w:rsidRPr="00D46131">
        <w:rPr>
          <w:rFonts w:cstheme="minorHAnsi"/>
        </w:rPr>
        <w:t>, C-658/19, ECLI:EU:C:2021:138.</w:t>
      </w:r>
    </w:p>
  </w:footnote>
  <w:footnote w:id="118">
    <w:p w14:paraId="71BFB760"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66.852/1, 22 januari 2020, nr. 3; Adv.RvS 66.896/1, 29 januari 2020, nr. 6; Adv.RvS 67.022/3, 13 maart 2020, nr. 3; Adv.RvS 68.102/2, 26 oktober 2020, voorafgaande opmerking nr. 2. In Adv.RvS 68.494/3, 22 januari 2021, nr. 5 wordt dit ook gekoppeld aan het vervullen van de overlegverplichtingen tussen de federale overheid en de gewesten.</w:t>
      </w:r>
    </w:p>
  </w:footnote>
  <w:footnote w:id="119">
    <w:p w14:paraId="1361520A" w14:textId="47304350" w:rsidR="00C54441" w:rsidRPr="00B333AE" w:rsidRDefault="00C54441">
      <w:pPr>
        <w:pStyle w:val="Voetnoottekst"/>
        <w:rPr>
          <w:u w:val="single"/>
          <w:lang w:val="en-GB"/>
        </w:rPr>
      </w:pPr>
      <w:r>
        <w:rPr>
          <w:rStyle w:val="Voetnootmarkering"/>
        </w:rPr>
        <w:footnoteRef/>
      </w:r>
      <w:r w:rsidRPr="00B333AE">
        <w:rPr>
          <w:lang w:val="en-GB"/>
        </w:rPr>
        <w:t xml:space="preserve"> Linkin Park, “Until it</w:t>
      </w:r>
      <w:r>
        <w:rPr>
          <w:lang w:val="en-GB"/>
        </w:rPr>
        <w:t>’</w:t>
      </w:r>
      <w:r w:rsidRPr="00B333AE">
        <w:rPr>
          <w:lang w:val="en-GB"/>
        </w:rPr>
        <w:t>s g</w:t>
      </w:r>
      <w:r>
        <w:rPr>
          <w:lang w:val="en-GB"/>
        </w:rPr>
        <w:t xml:space="preserve">one”, </w:t>
      </w:r>
      <w:r>
        <w:rPr>
          <w:i/>
          <w:iCs/>
          <w:lang w:val="en-GB"/>
        </w:rPr>
        <w:t>The Hunting Part</w:t>
      </w:r>
      <w:r>
        <w:rPr>
          <w:i/>
          <w:iCs/>
          <w:u w:val="single"/>
          <w:lang w:val="en-GB"/>
        </w:rPr>
        <w:t>y</w:t>
      </w:r>
      <w:r>
        <w:rPr>
          <w:u w:val="single"/>
          <w:lang w:val="en-GB"/>
        </w:rPr>
        <w:t>, Warner Bros/Machine Stop, 2014.</w:t>
      </w:r>
    </w:p>
  </w:footnote>
  <w:footnote w:id="120">
    <w:p w14:paraId="62EADB9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68.931/1, 8 maart 2021, nrs 6-10.</w:t>
      </w:r>
    </w:p>
  </w:footnote>
  <w:footnote w:id="121">
    <w:p w14:paraId="66F79B5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68.242/1-2-4, 10 november 2020.</w:t>
      </w:r>
    </w:p>
  </w:footnote>
  <w:footnote w:id="122">
    <w:p w14:paraId="440FC7ED" w14:textId="77777777" w:rsidR="00C54441" w:rsidRPr="00D46131" w:rsidRDefault="00C54441" w:rsidP="00703851">
      <w:pPr>
        <w:pStyle w:val="Voetnoottekst"/>
        <w:rPr>
          <w:rFonts w:cstheme="minorHAnsi"/>
          <w:lang w:val="de-DE"/>
        </w:rPr>
      </w:pPr>
      <w:r w:rsidRPr="00D46131">
        <w:rPr>
          <w:rStyle w:val="Voetnootmarkering"/>
          <w:rFonts w:cstheme="minorHAnsi"/>
        </w:rPr>
        <w:footnoteRef/>
      </w:r>
      <w:r w:rsidRPr="00D46131">
        <w:rPr>
          <w:rFonts w:cstheme="minorHAnsi"/>
          <w:lang w:val="de-DE"/>
        </w:rPr>
        <w:t xml:space="preserve"> Adv.RvS 66.375/1/V, 31 juli 2019, nrs 5.1-5.3.</w:t>
      </w:r>
    </w:p>
  </w:footnote>
  <w:footnote w:id="123">
    <w:p w14:paraId="2C75AF15"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68.331/3, 21 december 2020, nr. 22.</w:t>
      </w:r>
    </w:p>
  </w:footnote>
  <w:footnote w:id="124">
    <w:p w14:paraId="39CA8641"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Over de status van Britten na 31 december 2020, zie ook Adv.RvS 68.648/1, 15 januari 2021.</w:t>
      </w:r>
    </w:p>
  </w:footnote>
  <w:footnote w:id="125">
    <w:p w14:paraId="298D4C59"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66.775/1, 10 januari 2020, nrs 10.1-10.4.</w:t>
      </w:r>
    </w:p>
  </w:footnote>
  <w:footnote w:id="126">
    <w:p w14:paraId="2CB6B8E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GwH 23 januari 2019, nr. 6/2019.</w:t>
      </w:r>
    </w:p>
  </w:footnote>
  <w:footnote w:id="127">
    <w:p w14:paraId="78E0C6E4" w14:textId="77777777" w:rsidR="00C54441" w:rsidRPr="00D46131" w:rsidRDefault="00C54441" w:rsidP="00703851">
      <w:pPr>
        <w:pStyle w:val="Voetnoottekst"/>
        <w:rPr>
          <w:rFonts w:cstheme="minorHAnsi"/>
        </w:rPr>
      </w:pPr>
      <w:r w:rsidRPr="00D46131">
        <w:rPr>
          <w:rStyle w:val="Voetnootmarkering"/>
          <w:rFonts w:cstheme="minorHAnsi"/>
        </w:rPr>
        <w:footnoteRef/>
      </w:r>
      <w:r w:rsidRPr="00B333AE">
        <w:rPr>
          <w:rFonts w:cstheme="minorHAnsi"/>
        </w:rPr>
        <w:t xml:space="preserve"> HvJ 11 november 2014, </w:t>
      </w:r>
      <w:r w:rsidRPr="00B333AE">
        <w:rPr>
          <w:rFonts w:cstheme="minorHAnsi"/>
          <w:i/>
        </w:rPr>
        <w:t>Dano</w:t>
      </w:r>
      <w:r w:rsidRPr="00B333AE">
        <w:rPr>
          <w:rFonts w:cstheme="minorHAnsi"/>
        </w:rPr>
        <w:t>,</w:t>
      </w:r>
      <w:r w:rsidRPr="00B333AE">
        <w:rPr>
          <w:rFonts w:cstheme="minorHAnsi"/>
          <w:i/>
        </w:rPr>
        <w:t xml:space="preserve"> </w:t>
      </w:r>
      <w:r w:rsidRPr="00B333AE">
        <w:rPr>
          <w:rFonts w:cstheme="minorHAnsi"/>
        </w:rPr>
        <w:t xml:space="preserve">C-333/13, EU:C:2014:2358. </w:t>
      </w:r>
      <w:r w:rsidRPr="00D46131">
        <w:rPr>
          <w:rFonts w:cstheme="minorHAnsi"/>
        </w:rPr>
        <w:t xml:space="preserve">Zie ook HvJ 14 juni 2016, </w:t>
      </w:r>
      <w:r w:rsidRPr="00D46131">
        <w:rPr>
          <w:rFonts w:cstheme="minorHAnsi"/>
          <w:i/>
          <w:iCs/>
        </w:rPr>
        <w:t>Commissie v. Verenigd Koninkrijk</w:t>
      </w:r>
      <w:r w:rsidRPr="00D46131">
        <w:rPr>
          <w:rFonts w:cstheme="minorHAnsi"/>
        </w:rPr>
        <w:t xml:space="preserve">, C-308/14, ECLI:EU:C:2016:436, en eerder HvJ 19 september 2013, </w:t>
      </w:r>
      <w:r w:rsidRPr="00D46131">
        <w:rPr>
          <w:rFonts w:cstheme="minorHAnsi"/>
          <w:i/>
        </w:rPr>
        <w:t>Brey</w:t>
      </w:r>
      <w:r w:rsidRPr="00D46131">
        <w:rPr>
          <w:rFonts w:cstheme="minorHAnsi"/>
        </w:rPr>
        <w:t>, C-140/12, EU:C:2013:565.</w:t>
      </w:r>
    </w:p>
  </w:footnote>
  <w:footnote w:id="128">
    <w:p w14:paraId="623B0985"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Richtlijn 2004/38/EG van het Europees Parlement en de Raad van 29 april 2004 betreffende het recht van vrij verkeer en verblijf op het grondgebied van de lidstaten voor de burgers van de Unie en hun familieleden, tot wijziging van Verordening (EEG) nr. 1612/68 en tot intrekking van Richtlijnen 64/221/EEG, 68/360/EEG, 72/194/EEG, 73/148/EEG, 75/34/EEG, 75/35/EEG, 90/364/EEG, 90/365/EEG en 93/96/EEG</w:t>
      </w:r>
    </w:p>
  </w:footnote>
  <w:footnote w:id="129">
    <w:p w14:paraId="0DE9145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Richtlĳn 2003/109/EG van de Raad van 25 november 2003 betreffende de status van langdurig ingezeten onderdanen van derde landen.</w:t>
      </w:r>
    </w:p>
  </w:footnote>
  <w:footnote w:id="130">
    <w:p w14:paraId="41BE7CCA"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bv. Adv.RvS 68.214/1, 9 november 2020,nr. 11; Adv.RvS 68.423/3, 11 december 2020, nr. 9.</w:t>
      </w:r>
    </w:p>
  </w:footnote>
  <w:footnote w:id="131">
    <w:p w14:paraId="5B8B0A64" w14:textId="77777777" w:rsidR="00C54441" w:rsidRPr="00D46131" w:rsidRDefault="00C54441" w:rsidP="006F6B02">
      <w:pPr>
        <w:pStyle w:val="Voetnoottekst"/>
        <w:rPr>
          <w:rFonts w:cstheme="minorHAnsi"/>
        </w:rPr>
      </w:pPr>
      <w:r w:rsidRPr="00D46131">
        <w:rPr>
          <w:rStyle w:val="Voetnootmarkering"/>
          <w:rFonts w:cstheme="minorHAnsi"/>
        </w:rPr>
        <w:footnoteRef/>
      </w:r>
      <w:r w:rsidRPr="00D46131">
        <w:rPr>
          <w:rFonts w:cstheme="minorHAnsi"/>
        </w:rPr>
        <w:t xml:space="preserve"> HvJ 24 november 1993, </w:t>
      </w:r>
      <w:r w:rsidRPr="00D46131">
        <w:rPr>
          <w:rFonts w:cstheme="minorHAnsi"/>
          <w:i/>
        </w:rPr>
        <w:t>Keck en Mithouard</w:t>
      </w:r>
      <w:r w:rsidRPr="00D46131">
        <w:rPr>
          <w:rFonts w:cstheme="minorHAnsi"/>
        </w:rPr>
        <w:t>, C-267/91, ECLI:EU:C:1993:905.</w:t>
      </w:r>
    </w:p>
  </w:footnote>
  <w:footnote w:id="132">
    <w:p w14:paraId="2297D0D9"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Zie Adv.RvS 66.163/3, 18 juni 2019.</w:t>
      </w:r>
    </w:p>
  </w:footnote>
  <w:footnote w:id="133">
    <w:p w14:paraId="3533E7C7" w14:textId="77777777" w:rsidR="00C54441" w:rsidRPr="00D46131" w:rsidRDefault="00C54441" w:rsidP="00703851">
      <w:pPr>
        <w:pStyle w:val="Voetnoottekst"/>
        <w:rPr>
          <w:rFonts w:cstheme="minorHAnsi"/>
        </w:rPr>
      </w:pPr>
      <w:r w:rsidRPr="00D46131">
        <w:rPr>
          <w:rStyle w:val="Voetnootmarkering"/>
          <w:rFonts w:cstheme="minorHAnsi"/>
        </w:rPr>
        <w:footnoteRef/>
      </w:r>
      <w:r w:rsidRPr="00D46131">
        <w:rPr>
          <w:rFonts w:cstheme="minorHAnsi"/>
        </w:rPr>
        <w:t xml:space="preserve"> Adv.RvS 65.788/6, 26 april 2019, nrs 12-12.5.</w:t>
      </w:r>
    </w:p>
  </w:footnote>
  <w:footnote w:id="134">
    <w:p w14:paraId="7F64184B" w14:textId="2B7876FC" w:rsidR="00C54441" w:rsidRPr="004E2E67" w:rsidRDefault="00C54441">
      <w:pPr>
        <w:pStyle w:val="Voetnoottekst"/>
      </w:pPr>
      <w:r>
        <w:rPr>
          <w:rStyle w:val="Voetnootmarkering"/>
        </w:rPr>
        <w:footnoteRef/>
      </w:r>
      <w:r w:rsidRPr="004E2E67">
        <w:t xml:space="preserve"> A</w:t>
      </w:r>
      <w:r w:rsidRPr="00B333AE">
        <w:t>dv.RvS 65.101/1,</w:t>
      </w:r>
      <w:r>
        <w:t xml:space="preserve"> 1 februari 2019, nr. 12.2.</w:t>
      </w:r>
    </w:p>
  </w:footnote>
  <w:footnote w:id="135">
    <w:p w14:paraId="737E58F9" w14:textId="2D4DB04D" w:rsidR="00C54441" w:rsidRDefault="00C54441">
      <w:pPr>
        <w:pStyle w:val="Voetnoottekst"/>
      </w:pPr>
      <w:r>
        <w:rPr>
          <w:rStyle w:val="Voetnootmarkering"/>
        </w:rPr>
        <w:footnoteRef/>
      </w:r>
      <w:r>
        <w:t xml:space="preserve"> </w:t>
      </w:r>
      <w:r w:rsidRPr="004E2E67">
        <w:t>A</w:t>
      </w:r>
      <w:r w:rsidRPr="00895880">
        <w:t>dv.RvS 65.101/1,</w:t>
      </w:r>
      <w:r>
        <w:t xml:space="preserve"> 1 februari 2019, nrs 12.3 en 12.4.</w:t>
      </w:r>
    </w:p>
  </w:footnote>
  <w:footnote w:id="136">
    <w:p w14:paraId="234F9A0E" w14:textId="77777777" w:rsidR="00C54441" w:rsidRPr="002B0B0D" w:rsidRDefault="00C54441" w:rsidP="00703851">
      <w:pPr>
        <w:pStyle w:val="Voetnoottekst"/>
        <w:rPr>
          <w:rFonts w:cstheme="minorHAnsi"/>
          <w:lang w:val="en-US"/>
        </w:rPr>
      </w:pPr>
      <w:r w:rsidRPr="00D46131">
        <w:rPr>
          <w:rStyle w:val="Voetnootmarkering"/>
          <w:rFonts w:cstheme="minorHAnsi"/>
        </w:rPr>
        <w:footnoteRef/>
      </w:r>
      <w:r w:rsidRPr="007576C8">
        <w:rPr>
          <w:rFonts w:cstheme="minorHAnsi"/>
          <w:lang w:val="en-US"/>
        </w:rPr>
        <w:t xml:space="preserve"> Adv.RvS 66.339/3, 10 juli 2019, nrs 11.1-11.6.</w:t>
      </w:r>
    </w:p>
  </w:footnote>
  <w:footnote w:id="137">
    <w:p w14:paraId="3FD5DFFB" w14:textId="3EF370CE" w:rsidR="00C54441" w:rsidRPr="002B0B0D" w:rsidRDefault="00C54441" w:rsidP="00703851">
      <w:pPr>
        <w:pStyle w:val="Voetnoottekst"/>
        <w:rPr>
          <w:rFonts w:cstheme="minorHAnsi"/>
          <w:lang w:val="en-US"/>
        </w:rPr>
      </w:pPr>
      <w:r w:rsidRPr="00D46131">
        <w:rPr>
          <w:rStyle w:val="Voetnootmarkering"/>
          <w:rFonts w:cstheme="minorHAnsi"/>
        </w:rPr>
        <w:footnoteRef/>
      </w:r>
      <w:r w:rsidRPr="007576C8">
        <w:rPr>
          <w:rFonts w:cstheme="minorHAnsi"/>
          <w:lang w:val="en-US"/>
        </w:rPr>
        <w:t xml:space="preserve"> Adv.RvS 66</w:t>
      </w:r>
      <w:r w:rsidRPr="00B333AE">
        <w:rPr>
          <w:rFonts w:cstheme="minorHAnsi"/>
          <w:lang w:val="en-US"/>
        </w:rPr>
        <w:t>.</w:t>
      </w:r>
      <w:r w:rsidRPr="007576C8">
        <w:rPr>
          <w:rFonts w:cstheme="minorHAnsi"/>
          <w:lang w:val="en-US"/>
        </w:rPr>
        <w:t>478/3-1/V, 9 september 2019, nrs 8.1-8.5.</w:t>
      </w:r>
    </w:p>
  </w:footnote>
  <w:footnote w:id="138">
    <w:p w14:paraId="26D47235"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Kroniek 2017-2018, nrs. 29-35, kroniek 2015-2016, nrs. 63-71; kroniek 2013-2014, nrs. 26-39.</w:t>
      </w:r>
    </w:p>
  </w:footnote>
  <w:footnote w:id="139">
    <w:p w14:paraId="3F2E2AD4"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Kroniek 2007-2008, nr. 34. Zie ook: adv.RvS 67.425/3 t.e.m. 67.427/3, 26 mei 2020, nr. 16.1.</w:t>
      </w:r>
    </w:p>
  </w:footnote>
  <w:footnote w:id="140">
    <w:p w14:paraId="692DDD1B" w14:textId="44741EB5" w:rsidR="00C54441" w:rsidRPr="00D46131" w:rsidRDefault="00C54441" w:rsidP="0070385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Adv.RvS 65.154/1, 8 februari 2019, nr. 4; Adv.RvS 65.379/1, 11 maart 2019; Adv.RvS 66.792/2, 6 januari 2020, blz. 5. Althans voor samenwerkingsakkoorden waarvoor de parlementaire instemming vereist is. Voor andere samenwerkingsakkoorden, zie: T. </w:t>
      </w:r>
      <w:r w:rsidRPr="00D46131">
        <w:rPr>
          <w:rFonts w:cstheme="minorHAnsi"/>
          <w:smallCaps/>
          <w:lang w:val="nl-NL"/>
        </w:rPr>
        <w:t>Corthaut</w:t>
      </w:r>
      <w:r w:rsidRPr="00D46131">
        <w:rPr>
          <w:rFonts w:cstheme="minorHAnsi"/>
          <w:lang w:val="nl-NL"/>
        </w:rPr>
        <w:t xml:space="preserve"> en D. </w:t>
      </w:r>
      <w:r w:rsidRPr="00D46131">
        <w:rPr>
          <w:rFonts w:cstheme="minorHAnsi"/>
          <w:smallCaps/>
          <w:lang w:val="nl-NL"/>
        </w:rPr>
        <w:t>Van</w:t>
      </w:r>
      <w:r w:rsidRPr="00D46131">
        <w:rPr>
          <w:rFonts w:cstheme="minorHAnsi"/>
          <w:lang w:val="nl-NL"/>
        </w:rPr>
        <w:t xml:space="preserve"> </w:t>
      </w:r>
      <w:r w:rsidRPr="00D46131">
        <w:rPr>
          <w:rFonts w:cstheme="minorHAnsi"/>
          <w:smallCaps/>
          <w:lang w:val="nl-NL"/>
        </w:rPr>
        <w:t>Eeckhoutte</w:t>
      </w:r>
      <w:r w:rsidRPr="00D46131">
        <w:rPr>
          <w:rFonts w:cstheme="minorHAnsi"/>
          <w:lang w:val="nl-NL"/>
        </w:rPr>
        <w:t xml:space="preserve">, “Samenwerkingsakkoorden als interne Belgische verdragen? Gelijkenissen en verschillen tussen samenwerkingsakkoorden en verdragen en hun constitutionele implicaties” in </w:t>
      </w:r>
      <w:r w:rsidRPr="00D46131">
        <w:rPr>
          <w:rFonts w:cstheme="minorHAnsi"/>
          <w:i/>
          <w:iCs/>
          <w:lang w:val="nl-NL"/>
        </w:rPr>
        <w:t>Liber amicorum Marnix Van Damme</w:t>
      </w:r>
      <w:r w:rsidRPr="00D46131">
        <w:rPr>
          <w:rFonts w:cstheme="minorHAnsi"/>
          <w:lang w:val="nl-NL"/>
        </w:rPr>
        <w:t xml:space="preserve">, </w:t>
      </w:r>
      <w:r>
        <w:rPr>
          <w:rFonts w:cstheme="minorHAnsi"/>
          <w:lang w:val="nl-NL"/>
        </w:rPr>
        <w:t xml:space="preserve">Brugge, </w:t>
      </w:r>
      <w:r w:rsidRPr="00D46131">
        <w:rPr>
          <w:rFonts w:cstheme="minorHAnsi"/>
          <w:lang w:val="nl-NL"/>
        </w:rPr>
        <w:t>die Keure, 2021, 16 en 13.</w:t>
      </w:r>
    </w:p>
  </w:footnote>
  <w:footnote w:id="141">
    <w:p w14:paraId="1F8849B3"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Kroniek 2007-2008, nr. 34.</w:t>
      </w:r>
    </w:p>
  </w:footnote>
  <w:footnote w:id="142">
    <w:p w14:paraId="4A80194A"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67.425/3 t.e.m. 67.427/3, 26 mei 2020, nr. 10.</w:t>
      </w:r>
    </w:p>
  </w:footnote>
  <w:footnote w:id="143">
    <w:p w14:paraId="2F570DBE" w14:textId="77777777" w:rsidR="00C54441" w:rsidRPr="00D46131" w:rsidRDefault="00C54441" w:rsidP="00703851">
      <w:pPr>
        <w:pStyle w:val="Voetnoottekst"/>
        <w:jc w:val="both"/>
        <w:rPr>
          <w:rFonts w:cstheme="minorHAnsi"/>
          <w:lang w:val="de-DE"/>
        </w:rPr>
      </w:pPr>
      <w:r w:rsidRPr="00D46131">
        <w:rPr>
          <w:rStyle w:val="Voetnootmarkering"/>
          <w:rFonts w:cstheme="minorHAnsi"/>
        </w:rPr>
        <w:footnoteRef/>
      </w:r>
      <w:r w:rsidRPr="00D46131">
        <w:rPr>
          <w:rFonts w:cstheme="minorHAnsi"/>
          <w:lang w:val="de-DE"/>
        </w:rPr>
        <w:t xml:space="preserve"> Adv.RvS 67.719/VR, 15 juli 2020, nr. 43. </w:t>
      </w:r>
    </w:p>
  </w:footnote>
  <w:footnote w:id="144">
    <w:p w14:paraId="39B6EE0B" w14:textId="77777777" w:rsidR="00C54441" w:rsidRPr="00D46131" w:rsidRDefault="00C54441" w:rsidP="00703851">
      <w:pPr>
        <w:pStyle w:val="Voetnoottekst"/>
        <w:jc w:val="both"/>
        <w:rPr>
          <w:rFonts w:cstheme="minorHAnsi"/>
          <w:lang w:val="de-DE"/>
        </w:rPr>
      </w:pPr>
      <w:r w:rsidRPr="00D46131">
        <w:rPr>
          <w:rStyle w:val="Voetnootmarkering"/>
          <w:rFonts w:cstheme="minorHAnsi"/>
        </w:rPr>
        <w:footnoteRef/>
      </w:r>
      <w:r w:rsidRPr="00D46131">
        <w:rPr>
          <w:rFonts w:cstheme="minorHAnsi"/>
          <w:lang w:val="de-DE"/>
        </w:rPr>
        <w:t xml:space="preserve"> Adv.RvS 66.792/2, 6 januari 2020, blz. 3-4.</w:t>
      </w:r>
    </w:p>
  </w:footnote>
  <w:footnote w:id="145">
    <w:p w14:paraId="39D6E26E" w14:textId="77777777" w:rsidR="00C54441" w:rsidRPr="00D46131" w:rsidRDefault="00C54441" w:rsidP="00703851">
      <w:pPr>
        <w:pStyle w:val="Voetnoottekst"/>
        <w:jc w:val="both"/>
        <w:rPr>
          <w:rFonts w:cstheme="minorHAnsi"/>
          <w:lang w:val="de-DE"/>
        </w:rPr>
      </w:pPr>
      <w:r w:rsidRPr="00D46131">
        <w:rPr>
          <w:rStyle w:val="Voetnootmarkering"/>
          <w:rFonts w:cstheme="minorHAnsi"/>
        </w:rPr>
        <w:footnoteRef/>
      </w:r>
      <w:r w:rsidRPr="00D46131">
        <w:rPr>
          <w:rFonts w:cstheme="minorHAnsi"/>
          <w:lang w:val="de-DE"/>
        </w:rPr>
        <w:t xml:space="preserve"> Adv.RvS 64.800/VR, 5 februari 2019, nr. 3.3.3.</w:t>
      </w:r>
    </w:p>
  </w:footnote>
  <w:footnote w:id="146">
    <w:p w14:paraId="7A876E36" w14:textId="5370E1B8"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64.763/3, 2 januari 2019, nrs</w:t>
      </w:r>
      <w:r>
        <w:rPr>
          <w:rFonts w:cstheme="minorHAnsi"/>
        </w:rPr>
        <w:t>.</w:t>
      </w:r>
      <w:r w:rsidRPr="00D46131">
        <w:rPr>
          <w:rFonts w:cstheme="minorHAnsi"/>
        </w:rPr>
        <w:t xml:space="preserve"> 3.1-3.3.</w:t>
      </w:r>
    </w:p>
  </w:footnote>
  <w:footnote w:id="147">
    <w:p w14:paraId="389C1444"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Samenwerkingsakkoord tussen de Federale staat, de Vlaamse Gemeenschap, het Waalse Gewest, de Duitstalige Gemeenschap en de Gemeenschappelijke Gemeenschapscommissie, betreffende de gezamenlijke gegevensverwerking door Sciensano en de door de bevoegde regionale overheden of door de bevoegde agentschappen aangeduide contactcentra, gezondheidsinspecties en mobiele teams in het kader van een contactonderzoek bij personen die (vermoedelijk) met het coronavirus COVID-19 besmet zijn op basis van een gegevensbank bij Sciensano, afgesloten te Brussel op 2 juli 2020 en tot intrekking van het koninklijk besluit nr. 18 van 2 mei 2020, het koninklijk besluit nr. 25 van 28 mei 2020 en het koninklijk besluit nr. 44 van 26 juni 2020 inzake een databank bij Sciensano in het kader van de strijd tegen de verspreiding van het coronavirus COVID-19’.</w:t>
      </w:r>
    </w:p>
  </w:footnote>
  <w:footnote w:id="148">
    <w:p w14:paraId="56C237EA" w14:textId="77777777" w:rsidR="00C54441" w:rsidRPr="00D46131" w:rsidRDefault="00C54441" w:rsidP="00703851">
      <w:pPr>
        <w:pStyle w:val="Voetnoottekst"/>
        <w:jc w:val="both"/>
        <w:rPr>
          <w:rFonts w:cstheme="minorHAnsi"/>
          <w:lang w:val="de-DE"/>
        </w:rPr>
      </w:pPr>
      <w:r w:rsidRPr="00D46131">
        <w:rPr>
          <w:rStyle w:val="Voetnootmarkering"/>
          <w:rFonts w:cstheme="minorHAnsi"/>
        </w:rPr>
        <w:footnoteRef/>
      </w:r>
      <w:r w:rsidRPr="00D46131">
        <w:rPr>
          <w:rFonts w:cstheme="minorHAnsi"/>
          <w:lang w:val="de-DE"/>
        </w:rPr>
        <w:t xml:space="preserve"> Adv.RvS 67.719/VR, 15 juli 2020, nr. 6.1.</w:t>
      </w:r>
    </w:p>
  </w:footnote>
  <w:footnote w:id="149">
    <w:p w14:paraId="73E7E339" w14:textId="77777777" w:rsidR="00C54441" w:rsidRPr="00D46131" w:rsidRDefault="00C54441" w:rsidP="00703851">
      <w:pPr>
        <w:pStyle w:val="Voetnoottekst"/>
        <w:jc w:val="both"/>
        <w:rPr>
          <w:rFonts w:cstheme="minorHAnsi"/>
          <w:lang w:val="de-DE"/>
        </w:rPr>
      </w:pPr>
      <w:r w:rsidRPr="00D46131">
        <w:rPr>
          <w:rStyle w:val="Voetnootmarkering"/>
          <w:rFonts w:cstheme="minorHAnsi"/>
        </w:rPr>
        <w:footnoteRef/>
      </w:r>
      <w:r w:rsidRPr="00D46131">
        <w:rPr>
          <w:rFonts w:cstheme="minorHAnsi"/>
          <w:lang w:val="de-DE"/>
        </w:rPr>
        <w:t xml:space="preserve"> Adv.RvS 67.719/VR, 15 juli 2020, nr. 27.</w:t>
      </w:r>
    </w:p>
  </w:footnote>
  <w:footnote w:id="150">
    <w:p w14:paraId="2204EC08"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63.949/VR/V van 31 juli 2018. Zie daarover Y. </w:t>
      </w:r>
      <w:r w:rsidRPr="00D46131">
        <w:rPr>
          <w:rFonts w:cstheme="minorHAnsi"/>
          <w:smallCaps/>
        </w:rPr>
        <w:t>Peeters</w:t>
      </w:r>
      <w:r w:rsidRPr="00D46131">
        <w:rPr>
          <w:rFonts w:cstheme="minorHAnsi"/>
        </w:rPr>
        <w:t xml:space="preserve">, </w:t>
      </w:r>
      <w:r w:rsidRPr="00D46131">
        <w:rPr>
          <w:rFonts w:cstheme="minorHAnsi"/>
          <w:i/>
        </w:rPr>
        <w:t>De plaats van samenwerkingsakkoorden in het constitutioneel kader</w:t>
      </w:r>
      <w:r w:rsidRPr="00D46131">
        <w:rPr>
          <w:rFonts w:cstheme="minorHAnsi"/>
        </w:rPr>
        <w:t>, Brugge, die Keure, 2016, 312-315.</w:t>
      </w:r>
    </w:p>
  </w:footnote>
  <w:footnote w:id="151">
    <w:p w14:paraId="31DFBF28"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Zie daarover kroniek 2017-2018, nr. 30.</w:t>
      </w:r>
    </w:p>
  </w:footnote>
  <w:footnote w:id="152">
    <w:p w14:paraId="6FB5299C"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67.719/VR, 15 juli 2020, nr. 27.</w:t>
      </w:r>
    </w:p>
  </w:footnote>
  <w:footnote w:id="153">
    <w:p w14:paraId="140A3BD6"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64.800/VR, 5 februari 2019, nr. 3.3.4.</w:t>
      </w:r>
    </w:p>
  </w:footnote>
  <w:footnote w:id="154">
    <w:p w14:paraId="67A64573"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66.170/2/V van 11 september 2019, nr. 3.2.2: twee ministers mogen niet worden aangewezen om de kernaangelegenheid van het samenwerkingakkoord – reductiedoelstellingen – te wijzigen.</w:t>
      </w:r>
    </w:p>
  </w:footnote>
  <w:footnote w:id="155">
    <w:p w14:paraId="70C33C45" w14:textId="77777777" w:rsidR="00C54441" w:rsidRPr="00D46131" w:rsidRDefault="00C54441" w:rsidP="00703851">
      <w:pPr>
        <w:pStyle w:val="Voetnoottekst"/>
        <w:jc w:val="both"/>
        <w:rPr>
          <w:rFonts w:cstheme="minorHAnsi"/>
        </w:rPr>
      </w:pPr>
      <w:r w:rsidRPr="00D46131">
        <w:rPr>
          <w:rStyle w:val="Voetnootmarkering"/>
          <w:rFonts w:cstheme="minorHAnsi"/>
        </w:rPr>
        <w:footnoteRef/>
      </w:r>
      <w:r w:rsidRPr="00D46131">
        <w:rPr>
          <w:rFonts w:cstheme="minorHAnsi"/>
        </w:rPr>
        <w:t xml:space="preserve"> Adv.RvS 64.800/VR, 5 februari 2019, nr. 8.</w:t>
      </w:r>
    </w:p>
  </w:footnote>
  <w:footnote w:id="156">
    <w:p w14:paraId="69BC6734" w14:textId="77777777" w:rsidR="00C54441" w:rsidRDefault="00C54441" w:rsidP="00D46131">
      <w:pPr>
        <w:pStyle w:val="Voetnoottekst"/>
      </w:pPr>
      <w:r>
        <w:rPr>
          <w:rStyle w:val="Voetnootmarkering"/>
        </w:rPr>
        <w:footnoteRef/>
      </w:r>
      <w:r>
        <w:t xml:space="preserve"> Adv.RvS 65.861/3, 6 mei 2019, nr. 3.3; Adv.RvS 66.204/3, 17 juni 2019 nr. 4; Adv.RvS 66.408/1/V, 31 juli 2019, nr. 6.</w:t>
      </w:r>
    </w:p>
  </w:footnote>
  <w:footnote w:id="157">
    <w:p w14:paraId="7BD022D5" w14:textId="77777777" w:rsidR="00C54441" w:rsidRPr="0023060B" w:rsidRDefault="00C54441" w:rsidP="00D46131">
      <w:pPr>
        <w:pStyle w:val="Voetnoottekst"/>
      </w:pPr>
      <w:r>
        <w:rPr>
          <w:rStyle w:val="Voetnootmarkering"/>
        </w:rPr>
        <w:footnoteRef/>
      </w:r>
      <w:r w:rsidRPr="0023060B">
        <w:rPr>
          <w:lang w:val="fr-BE"/>
        </w:rPr>
        <w:t xml:space="preserve"> Adv.RvS 67.184/1, 6 april 2020, nrs. 3.2.1 en 3</w:t>
      </w:r>
      <w:r>
        <w:rPr>
          <w:lang w:val="fr-BE"/>
        </w:rPr>
        <w:t xml:space="preserve">.2.2. </w:t>
      </w:r>
      <w:r w:rsidRPr="0023060B">
        <w:t xml:space="preserve">Zie in dat verband overigens ook Adv.RvS </w:t>
      </w:r>
      <w:r>
        <w:t>68.848/3, 10 maart 2021, nr. 4.</w:t>
      </w:r>
    </w:p>
  </w:footnote>
  <w:footnote w:id="158">
    <w:p w14:paraId="7AD549A0" w14:textId="77777777" w:rsidR="00C54441" w:rsidRDefault="00C54441" w:rsidP="00D46131">
      <w:pPr>
        <w:pStyle w:val="Voetnoottekst"/>
      </w:pPr>
      <w:r>
        <w:rPr>
          <w:rStyle w:val="Voetnootmarkering"/>
        </w:rPr>
        <w:footnoteRef/>
      </w:r>
      <w:r>
        <w:t xml:space="preserve"> Adv.RvS 67.378/3, 8 juni 2020, nr. 4.</w:t>
      </w:r>
    </w:p>
  </w:footnote>
  <w:footnote w:id="159">
    <w:p w14:paraId="63766FE4" w14:textId="77777777" w:rsidR="00C54441" w:rsidRDefault="00C54441" w:rsidP="00D46131">
      <w:pPr>
        <w:pStyle w:val="Voetnoottekst"/>
      </w:pPr>
      <w:r>
        <w:rPr>
          <w:rStyle w:val="Voetnootmarkering"/>
        </w:rPr>
        <w:footnoteRef/>
      </w:r>
      <w:r>
        <w:t xml:space="preserve"> </w:t>
      </w:r>
      <w:r w:rsidRPr="00710450">
        <w:t>Cass. 18 november 1924, Mertz</w:t>
      </w:r>
      <w:r>
        <w:t>.</w:t>
      </w:r>
    </w:p>
  </w:footnote>
  <w:footnote w:id="160">
    <w:p w14:paraId="51AF65E7" w14:textId="77777777" w:rsidR="00C54441" w:rsidRDefault="00C54441" w:rsidP="00D46131">
      <w:pPr>
        <w:pStyle w:val="Voetnoottekst"/>
      </w:pPr>
      <w:r>
        <w:rPr>
          <w:rStyle w:val="Voetnootmarkering"/>
        </w:rPr>
        <w:footnoteRef/>
      </w:r>
      <w:r>
        <w:t xml:space="preserve"> Adv.RvS 66.090/3, 27 mei 2019, nr. 5.</w:t>
      </w:r>
    </w:p>
  </w:footnote>
  <w:footnote w:id="161">
    <w:p w14:paraId="50E53438" w14:textId="77777777" w:rsidR="00C54441" w:rsidRDefault="00C54441" w:rsidP="00D46131">
      <w:pPr>
        <w:pStyle w:val="Voetnoottekst"/>
      </w:pPr>
      <w:r>
        <w:rPr>
          <w:rStyle w:val="Voetnootmarkering"/>
        </w:rPr>
        <w:footnoteRef/>
      </w:r>
      <w:r>
        <w:t xml:space="preserve"> Adv.RvS 65.020/1, 10 januari 2019.</w:t>
      </w:r>
    </w:p>
  </w:footnote>
  <w:footnote w:id="162">
    <w:p w14:paraId="0411385E" w14:textId="77777777" w:rsidR="00C54441" w:rsidRDefault="00C54441" w:rsidP="00D46131">
      <w:pPr>
        <w:pStyle w:val="Voetnoottekst"/>
      </w:pPr>
      <w:r>
        <w:rPr>
          <w:rStyle w:val="Voetnootmarkering"/>
        </w:rPr>
        <w:footnoteRef/>
      </w:r>
      <w:r>
        <w:t xml:space="preserve"> Adv.RvS 65.794/3, 13 mei 2019, nr. 4.2.1.</w:t>
      </w:r>
    </w:p>
  </w:footnote>
  <w:footnote w:id="163">
    <w:p w14:paraId="23AC1078" w14:textId="77777777" w:rsidR="00C54441" w:rsidRDefault="00C54441" w:rsidP="00D46131">
      <w:pPr>
        <w:pStyle w:val="Voetnoottekst"/>
      </w:pPr>
      <w:r>
        <w:rPr>
          <w:rStyle w:val="Voetnootmarkering"/>
        </w:rPr>
        <w:footnoteRef/>
      </w:r>
      <w:r>
        <w:t xml:space="preserve"> Adv.RvS 66.599/3, 23 oktober 2019, nr. 6.</w:t>
      </w:r>
    </w:p>
  </w:footnote>
  <w:footnote w:id="164">
    <w:p w14:paraId="1B00866A" w14:textId="77777777" w:rsidR="00C54441" w:rsidRDefault="00C54441" w:rsidP="00D46131">
      <w:pPr>
        <w:pStyle w:val="Voetnoottekst"/>
      </w:pPr>
      <w:r>
        <w:rPr>
          <w:rStyle w:val="Voetnootmarkering"/>
        </w:rPr>
        <w:footnoteRef/>
      </w:r>
      <w:r>
        <w:t xml:space="preserve"> Adv.RvS 67.866/2/V, 3 september 2020, opmerking over de rechtsgrond.</w:t>
      </w:r>
    </w:p>
  </w:footnote>
  <w:footnote w:id="165">
    <w:p w14:paraId="7E315A89" w14:textId="77777777" w:rsidR="00C54441" w:rsidRDefault="00C54441" w:rsidP="00D46131">
      <w:pPr>
        <w:pStyle w:val="Voetnoottekst"/>
      </w:pPr>
      <w:r>
        <w:rPr>
          <w:rStyle w:val="Voetnootmarkering"/>
        </w:rPr>
        <w:footnoteRef/>
      </w:r>
      <w:r>
        <w:t xml:space="preserve"> Adv.RvS 65.364/3, 8 maart 2019, nr. 6.</w:t>
      </w:r>
    </w:p>
  </w:footnote>
  <w:footnote w:id="166">
    <w:p w14:paraId="466B254B" w14:textId="77777777" w:rsidR="00C54441" w:rsidRPr="00043C15" w:rsidRDefault="00C54441" w:rsidP="00D46131">
      <w:pPr>
        <w:pStyle w:val="Voetnoottekst"/>
      </w:pPr>
      <w:r>
        <w:rPr>
          <w:rStyle w:val="Voetnootmarkering"/>
        </w:rPr>
        <w:footnoteRef/>
      </w:r>
      <w:r w:rsidRPr="00043C15">
        <w:t xml:space="preserve"> GwH 12 maart 2015, nr. 28/2015, B.8.2-B.8.3.</w:t>
      </w:r>
    </w:p>
  </w:footnote>
  <w:footnote w:id="167">
    <w:p w14:paraId="17827AE7" w14:textId="77777777" w:rsidR="00C54441" w:rsidRPr="00B333AE" w:rsidRDefault="00C54441" w:rsidP="00D46131">
      <w:pPr>
        <w:pStyle w:val="Voetnoottekst"/>
        <w:rPr>
          <w:lang w:val="en-GB"/>
        </w:rPr>
      </w:pPr>
      <w:r>
        <w:rPr>
          <w:rStyle w:val="Voetnootmarkering"/>
        </w:rPr>
        <w:footnoteRef/>
      </w:r>
      <w:r w:rsidRPr="00B333AE">
        <w:rPr>
          <w:lang w:val="en-GB"/>
        </w:rPr>
        <w:t xml:space="preserve"> Adv.RvS 67.706/1/V, 5 augustus 2020, nr. 3.2.</w:t>
      </w:r>
    </w:p>
  </w:footnote>
  <w:footnote w:id="168">
    <w:p w14:paraId="03B19C6E" w14:textId="77777777" w:rsidR="00C54441" w:rsidRDefault="00C54441" w:rsidP="00D46131">
      <w:pPr>
        <w:pStyle w:val="Voetnoottekst"/>
      </w:pPr>
      <w:r>
        <w:rPr>
          <w:rStyle w:val="Voetnootmarkering"/>
        </w:rPr>
        <w:footnoteRef/>
      </w:r>
      <w:r>
        <w:t xml:space="preserve"> Daarmee werd bedoeld </w:t>
      </w:r>
      <w:r w:rsidRPr="004427E2">
        <w:t>“een gemeenschap bestaande uit een groep mensen waarvan de samenhang gekenmerkt is door een gedeelde geografische, epidemiologische of sociale interactie”</w:t>
      </w:r>
      <w:r>
        <w:t>.</w:t>
      </w:r>
    </w:p>
  </w:footnote>
  <w:footnote w:id="169">
    <w:p w14:paraId="4FCAD764" w14:textId="19D3EC1F" w:rsidR="00C54441" w:rsidRPr="00B333AE" w:rsidRDefault="00C54441" w:rsidP="00D46131">
      <w:pPr>
        <w:pStyle w:val="Voetnoottekst"/>
      </w:pPr>
      <w:r>
        <w:rPr>
          <w:rStyle w:val="Voetnootmarkering"/>
        </w:rPr>
        <w:footnoteRef/>
      </w:r>
      <w:r w:rsidRPr="007B5285">
        <w:rPr>
          <w:lang w:val="de-DE"/>
        </w:rPr>
        <w:t xml:space="preserve"> Adv.RvS 67.787/1/V, 22 juli 2020, nr. 6.2.2.</w:t>
      </w:r>
      <w:r>
        <w:rPr>
          <w:lang w:val="de-DE"/>
        </w:rPr>
        <w:t xml:space="preserve"> </w:t>
      </w:r>
      <w:r w:rsidRPr="00B333AE">
        <w:t>Zie ook adv.RvS 67.272/1</w:t>
      </w:r>
      <w:r>
        <w:t>, 19 mei 2020</w:t>
      </w:r>
      <w:r w:rsidRPr="00B333AE">
        <w:t>, n</w:t>
      </w:r>
      <w:r>
        <w:t>rs. 3.2.1 tot 3.2.4.</w:t>
      </w:r>
    </w:p>
  </w:footnote>
  <w:footnote w:id="170">
    <w:p w14:paraId="33B5F058" w14:textId="77777777" w:rsidR="00C54441" w:rsidRDefault="00C54441" w:rsidP="00D46131">
      <w:pPr>
        <w:pStyle w:val="Voetnoottekst"/>
      </w:pPr>
      <w:r>
        <w:rPr>
          <w:rStyle w:val="Voetnootmarkering"/>
        </w:rPr>
        <w:footnoteRef/>
      </w:r>
      <w:r>
        <w:t xml:space="preserve"> Adv.RvS 66.611/2, 28 oktober 2019, algemene opmerking 1.</w:t>
      </w:r>
    </w:p>
  </w:footnote>
  <w:footnote w:id="171">
    <w:p w14:paraId="410ABAF0" w14:textId="77777777" w:rsidR="00C54441" w:rsidRDefault="00C54441" w:rsidP="00D46131">
      <w:pPr>
        <w:pStyle w:val="Voetnoottekst"/>
      </w:pPr>
      <w:r>
        <w:rPr>
          <w:rStyle w:val="Voetnootmarkering"/>
        </w:rPr>
        <w:footnoteRef/>
      </w:r>
      <w:r>
        <w:t xml:space="preserve"> Adv.RvS 65.412/3, 25 maart 2019, nrs. 11-14. Zie ook Adv.RvS 65.594, 11 maart 2019, nr. 14.</w:t>
      </w:r>
    </w:p>
  </w:footnote>
  <w:footnote w:id="172">
    <w:p w14:paraId="53B26F50" w14:textId="77777777" w:rsidR="00C54441" w:rsidRDefault="00C54441" w:rsidP="00D46131">
      <w:pPr>
        <w:pStyle w:val="Voetnoottekst"/>
      </w:pPr>
      <w:r>
        <w:rPr>
          <w:rStyle w:val="Voetnootmarkering"/>
        </w:rPr>
        <w:footnoteRef/>
      </w:r>
      <w:r>
        <w:t xml:space="preserve"> Adv.RvS 64.879/4, 4 februari 2019, opmerkingen 2.1 tot 2.4 bij artikel 3; Adv.RvS 67.013/2, 12 maart 2020, algemene opmerking 2.</w:t>
      </w:r>
    </w:p>
  </w:footnote>
  <w:footnote w:id="173">
    <w:p w14:paraId="7F654000" w14:textId="77777777" w:rsidR="00C54441" w:rsidRDefault="00C54441" w:rsidP="00D46131">
      <w:pPr>
        <w:pStyle w:val="Voetnoottekst"/>
      </w:pPr>
      <w:r>
        <w:rPr>
          <w:rStyle w:val="Voetnootmarkering"/>
        </w:rPr>
        <w:footnoteRef/>
      </w:r>
      <w:r>
        <w:t xml:space="preserve"> Adv.RvS 67.118/3, 6 mei 2020, nr. 11.3.</w:t>
      </w:r>
    </w:p>
  </w:footnote>
  <w:footnote w:id="174">
    <w:p w14:paraId="6A554E70" w14:textId="77777777" w:rsidR="00C54441" w:rsidRDefault="00C54441" w:rsidP="00D46131">
      <w:pPr>
        <w:pStyle w:val="Voetnoottekst"/>
      </w:pPr>
      <w:r>
        <w:rPr>
          <w:rStyle w:val="Voetnootmarkering"/>
        </w:rPr>
        <w:footnoteRef/>
      </w:r>
      <w:r>
        <w:t xml:space="preserve"> Adv.RvS 67.422/1, 25 mei 2020, nr. 11.</w:t>
      </w:r>
    </w:p>
  </w:footnote>
  <w:footnote w:id="175">
    <w:p w14:paraId="65AF0410" w14:textId="77777777" w:rsidR="00C54441" w:rsidRPr="00F570C8" w:rsidRDefault="00C54441" w:rsidP="00D46131">
      <w:pPr>
        <w:pStyle w:val="Voetnoottekst"/>
        <w:rPr>
          <w:lang w:val="de-DE"/>
        </w:rPr>
      </w:pPr>
      <w:r>
        <w:rPr>
          <w:rStyle w:val="Voetnootmarkering"/>
        </w:rPr>
        <w:footnoteRef/>
      </w:r>
      <w:r w:rsidRPr="00F570C8">
        <w:rPr>
          <w:lang w:val="de-DE"/>
        </w:rPr>
        <w:t xml:space="preserve"> Adv.RvS 67.719/VR, 15 juli 2020, nr. 10.3.</w:t>
      </w:r>
    </w:p>
  </w:footnote>
  <w:footnote w:id="176">
    <w:p w14:paraId="063BD0CD" w14:textId="77777777" w:rsidR="00C54441" w:rsidRPr="00DF1BAD" w:rsidRDefault="00C54441" w:rsidP="00D46131">
      <w:pPr>
        <w:pStyle w:val="Voetnoottekst"/>
      </w:pPr>
      <w:r>
        <w:rPr>
          <w:rStyle w:val="Voetnootmarkering"/>
        </w:rPr>
        <w:footnoteRef/>
      </w:r>
      <w:r w:rsidRPr="00DF1BAD">
        <w:t xml:space="preserve"> Adv.RvS 66.344/3, 11 juli 2019, nr. 5; Adv.RvS 67.906/1/V, 16 september 2020, nr. 3.6; Adv.Rv</w:t>
      </w:r>
      <w:r>
        <w:t>S 68.030/3, 14 oktober 2020, nr. 3.3.</w:t>
      </w:r>
    </w:p>
  </w:footnote>
  <w:footnote w:id="177">
    <w:p w14:paraId="3FC60D08" w14:textId="77777777" w:rsidR="00C54441" w:rsidRPr="0065035C" w:rsidRDefault="00C54441" w:rsidP="00D46131">
      <w:pPr>
        <w:pStyle w:val="Voetnoottekst"/>
        <w:rPr>
          <w:lang w:val="fr-BE"/>
        </w:rPr>
      </w:pPr>
      <w:r>
        <w:rPr>
          <w:rStyle w:val="Voetnootmarkering"/>
        </w:rPr>
        <w:footnoteRef/>
      </w:r>
      <w:r>
        <w:t xml:space="preserve"> Kroniek 2017 en 2018, nr. 42, met verwijzing naar Adv.RvS 63.964/4/VR, 16 oktober 2018, onderdeel III van de algemene opmerkingen. Zie ook D. </w:t>
      </w:r>
      <w:r w:rsidRPr="00A0797A">
        <w:rPr>
          <w:smallCaps/>
        </w:rPr>
        <w:t>Bijnens</w:t>
      </w:r>
      <w:r>
        <w:t xml:space="preserve"> en H. </w:t>
      </w:r>
      <w:r w:rsidRPr="00A0797A">
        <w:rPr>
          <w:smallCaps/>
        </w:rPr>
        <w:t>Bortels</w:t>
      </w:r>
      <w:r>
        <w:t xml:space="preserve">, “Het wetgevend voorbehoud uit artikel 23 van de Grondwet: de afdeling Wetgeving van de Raad van State zet de puntjes op de i”, </w:t>
      </w:r>
      <w:r>
        <w:rPr>
          <w:i/>
          <w:iCs/>
        </w:rPr>
        <w:t>TvW</w:t>
      </w:r>
      <w:r>
        <w:t xml:space="preserve"> 2019, 138-144; I. </w:t>
      </w:r>
      <w:r w:rsidRPr="0065035C">
        <w:rPr>
          <w:smallCaps/>
        </w:rPr>
        <w:t>Hachez</w:t>
      </w:r>
      <w:r>
        <w:t xml:space="preserve"> en L. </w:t>
      </w:r>
      <w:r w:rsidRPr="0065035C">
        <w:rPr>
          <w:smallCaps/>
        </w:rPr>
        <w:t>Triaille</w:t>
      </w:r>
      <w:r>
        <w:t xml:space="preserve">, “Le principe de légalité en matière de droits économiques, sociaux et culturels: la Cour constitutionnelle à la croisée des chemins”, in L. </w:t>
      </w:r>
      <w:r w:rsidRPr="0065035C">
        <w:rPr>
          <w:smallCaps/>
        </w:rPr>
        <w:t>Detroux</w:t>
      </w:r>
      <w:r>
        <w:t xml:space="preserve">, M. </w:t>
      </w:r>
      <w:r w:rsidRPr="0065035C">
        <w:rPr>
          <w:smallCaps/>
        </w:rPr>
        <w:t>El Berhoumi</w:t>
      </w:r>
      <w:r>
        <w:t xml:space="preserve"> en B. </w:t>
      </w:r>
      <w:r w:rsidRPr="0065035C">
        <w:rPr>
          <w:smallCaps/>
        </w:rPr>
        <w:t>Lombaert</w:t>
      </w:r>
      <w:r>
        <w:t xml:space="preserve"> (eds.), </w:t>
      </w:r>
      <w:r>
        <w:rPr>
          <w:i/>
          <w:iCs/>
        </w:rPr>
        <w:t xml:space="preserve">La légalité. </w:t>
      </w:r>
      <w:r w:rsidRPr="0065035C">
        <w:rPr>
          <w:i/>
          <w:iCs/>
          <w:lang w:val="fr-BE"/>
        </w:rPr>
        <w:t>Un principe de la démocratie b</w:t>
      </w:r>
      <w:r>
        <w:rPr>
          <w:i/>
          <w:iCs/>
          <w:lang w:val="fr-BE"/>
        </w:rPr>
        <w:t>elge en péril?</w:t>
      </w:r>
      <w:r>
        <w:rPr>
          <w:lang w:val="fr-BE"/>
        </w:rPr>
        <w:t>, Brussel, Larcier, 2019, 179-232.</w:t>
      </w:r>
    </w:p>
  </w:footnote>
  <w:footnote w:id="178">
    <w:p w14:paraId="2BEECD77" w14:textId="77777777" w:rsidR="00C54441" w:rsidRPr="00791EB4" w:rsidRDefault="00C54441" w:rsidP="00D46131">
      <w:pPr>
        <w:pStyle w:val="Voetnoottekst"/>
      </w:pPr>
      <w:r>
        <w:rPr>
          <w:rStyle w:val="Voetnootmarkering"/>
        </w:rPr>
        <w:footnoteRef/>
      </w:r>
      <w:r w:rsidRPr="00791EB4">
        <w:t xml:space="preserve"> GwH 24 september 2020, nr. 118/2020, B.9.</w:t>
      </w:r>
    </w:p>
  </w:footnote>
  <w:footnote w:id="179">
    <w:p w14:paraId="034D14BE" w14:textId="77777777" w:rsidR="00C54441" w:rsidRDefault="00C54441" w:rsidP="00D46131">
      <w:pPr>
        <w:pStyle w:val="Voetnoottekst"/>
      </w:pPr>
      <w:r>
        <w:rPr>
          <w:rStyle w:val="Voetnootmarkering"/>
        </w:rPr>
        <w:footnoteRef/>
      </w:r>
      <w:r>
        <w:t xml:space="preserve"> Adv.RvS 67.724/2/V, 9 september 2020, onderdeel V van de algemene opmerkingen.</w:t>
      </w:r>
    </w:p>
  </w:footnote>
  <w:footnote w:id="180">
    <w:p w14:paraId="3F216D94" w14:textId="77777777" w:rsidR="00C54441" w:rsidRDefault="00C54441" w:rsidP="00D46131">
      <w:pPr>
        <w:pStyle w:val="Voetnoottekst"/>
      </w:pPr>
      <w:r>
        <w:rPr>
          <w:rStyle w:val="Voetnootmarkering"/>
        </w:rPr>
        <w:footnoteRef/>
      </w:r>
      <w:r>
        <w:t xml:space="preserve"> Adv.RvS 67.225/4, 16 april 2020, algemene opmerking 2.</w:t>
      </w:r>
    </w:p>
  </w:footnote>
  <w:footnote w:id="181">
    <w:p w14:paraId="00759539" w14:textId="77777777" w:rsidR="00C54441" w:rsidRDefault="00C54441" w:rsidP="00D46131">
      <w:pPr>
        <w:pStyle w:val="Voetnoottekst"/>
      </w:pPr>
      <w:r>
        <w:rPr>
          <w:rStyle w:val="Voetnootmarkering"/>
        </w:rPr>
        <w:footnoteRef/>
      </w:r>
      <w:r>
        <w:t xml:space="preserve"> Adv.RvS 68.156/1, 10 november 2020, nrs. 3.1 en 3.2.</w:t>
      </w:r>
    </w:p>
  </w:footnote>
  <w:footnote w:id="182">
    <w:p w14:paraId="39EA56A4" w14:textId="77777777" w:rsidR="00C54441" w:rsidRDefault="00C54441" w:rsidP="00D46131">
      <w:pPr>
        <w:pStyle w:val="Voetnoottekst"/>
      </w:pPr>
      <w:r>
        <w:rPr>
          <w:rStyle w:val="Voetnootmarkering"/>
        </w:rPr>
        <w:footnoteRef/>
      </w:r>
      <w:r>
        <w:t xml:space="preserve"> Kroniek 2017 en 2018, nr. 43.</w:t>
      </w:r>
    </w:p>
  </w:footnote>
  <w:footnote w:id="183">
    <w:p w14:paraId="6E0AAE7D" w14:textId="77777777" w:rsidR="00C54441" w:rsidRDefault="00C54441" w:rsidP="00D46131">
      <w:pPr>
        <w:pStyle w:val="Voetnoottekst"/>
      </w:pPr>
      <w:r>
        <w:rPr>
          <w:rStyle w:val="Voetnootmarkering"/>
        </w:rPr>
        <w:footnoteRef/>
      </w:r>
      <w:r>
        <w:t xml:space="preserve"> Zie voorts ook adv.RvS 64.883/1, 25 januari 2019, nr. 3; adv.RvS 68.213/3, 16 december 2020, nr. 20 (sterk verkorte versie).</w:t>
      </w:r>
    </w:p>
  </w:footnote>
  <w:footnote w:id="184">
    <w:p w14:paraId="2AD4DFB5" w14:textId="77777777" w:rsidR="00C54441" w:rsidRDefault="00C54441" w:rsidP="00D46131">
      <w:pPr>
        <w:pStyle w:val="Voetnoottekst"/>
      </w:pPr>
      <w:r>
        <w:rPr>
          <w:rStyle w:val="Voetnootmarkering"/>
        </w:rPr>
        <w:footnoteRef/>
      </w:r>
      <w:r>
        <w:t xml:space="preserve"> Adv.RvS 65.181/3, 14 februari 2019, nr. 13.1.</w:t>
      </w:r>
    </w:p>
  </w:footnote>
  <w:footnote w:id="185">
    <w:p w14:paraId="4396E49E" w14:textId="77777777" w:rsidR="00C54441" w:rsidRDefault="00C54441" w:rsidP="00D46131">
      <w:pPr>
        <w:pStyle w:val="Voetnoottekst"/>
      </w:pPr>
      <w:r>
        <w:rPr>
          <w:rStyle w:val="Voetnootmarkering"/>
        </w:rPr>
        <w:footnoteRef/>
      </w:r>
      <w:r>
        <w:t xml:space="preserve"> Adv.RvS 66.858/1 en 66.859/1, 24 januari 2020, nr. 6.</w:t>
      </w:r>
    </w:p>
  </w:footnote>
  <w:footnote w:id="186">
    <w:p w14:paraId="0ECD4E47" w14:textId="77777777" w:rsidR="00C54441" w:rsidRDefault="00C54441" w:rsidP="00D46131">
      <w:pPr>
        <w:pStyle w:val="Voetnoottekst"/>
      </w:pPr>
      <w:r>
        <w:rPr>
          <w:rStyle w:val="Voetnootmarkering"/>
        </w:rPr>
        <w:footnoteRef/>
      </w:r>
      <w:r>
        <w:t xml:space="preserve"> Adv.RvS 66.802/1, 20 mei 2020, nr. 4.</w:t>
      </w:r>
    </w:p>
  </w:footnote>
  <w:footnote w:id="187">
    <w:p w14:paraId="7540BB34" w14:textId="77777777" w:rsidR="00C54441" w:rsidRDefault="00C54441" w:rsidP="00D46131">
      <w:pPr>
        <w:pStyle w:val="Voetnoottekst"/>
      </w:pPr>
      <w:r>
        <w:rPr>
          <w:rStyle w:val="Voetnootmarkering"/>
        </w:rPr>
        <w:footnoteRef/>
      </w:r>
      <w:r>
        <w:t xml:space="preserve"> Adv.RvS 65.519/3, 27 maart 2019, nr. 4.3.</w:t>
      </w:r>
    </w:p>
  </w:footnote>
  <w:footnote w:id="188">
    <w:p w14:paraId="4F5AA9AF" w14:textId="77777777" w:rsidR="00C54441" w:rsidRDefault="00C54441" w:rsidP="00D46131">
      <w:pPr>
        <w:pStyle w:val="Voetnoottekst"/>
      </w:pPr>
      <w:r>
        <w:rPr>
          <w:rStyle w:val="Voetnootmarkering"/>
        </w:rPr>
        <w:footnoteRef/>
      </w:r>
      <w:r>
        <w:t xml:space="preserve"> Adv.RvS 66.156/1, 11 juni 2019, nr. 14. In dezelfde zin Adv.RvS 67.812/1/V, 24 augustus 2020, nr. 6.</w:t>
      </w:r>
    </w:p>
  </w:footnote>
  <w:footnote w:id="189">
    <w:p w14:paraId="642C78B6" w14:textId="77777777" w:rsidR="00C54441" w:rsidRDefault="00C54441" w:rsidP="00D46131">
      <w:pPr>
        <w:pStyle w:val="Voetnoottekst"/>
      </w:pPr>
      <w:r>
        <w:rPr>
          <w:rStyle w:val="Voetnootmarkering"/>
        </w:rPr>
        <w:footnoteRef/>
      </w:r>
      <w:r>
        <w:t xml:space="preserve"> Adv.RvS 66.676/3, 26 november 2019, nrs. 8.1 en 8.2.</w:t>
      </w:r>
    </w:p>
  </w:footnote>
  <w:footnote w:id="190">
    <w:p w14:paraId="191FCBAA" w14:textId="77777777" w:rsidR="00C54441" w:rsidRDefault="00C54441" w:rsidP="00D46131">
      <w:pPr>
        <w:pStyle w:val="Voetnoottekst"/>
      </w:pPr>
      <w:r>
        <w:rPr>
          <w:rStyle w:val="Voetnootmarkering"/>
        </w:rPr>
        <w:footnoteRef/>
      </w:r>
      <w:r>
        <w:t xml:space="preserve"> Adv.RvS 65.181/3, 14 februari 2019, nr. 12.</w:t>
      </w:r>
    </w:p>
  </w:footnote>
  <w:footnote w:id="191">
    <w:p w14:paraId="73D501A9" w14:textId="77777777" w:rsidR="00C54441" w:rsidRDefault="00C54441" w:rsidP="00D46131">
      <w:pPr>
        <w:pStyle w:val="Voetnoottekst"/>
      </w:pPr>
      <w:r>
        <w:rPr>
          <w:rStyle w:val="Voetnootmarkering"/>
        </w:rPr>
        <w:footnoteRef/>
      </w:r>
      <w:r>
        <w:t xml:space="preserve"> Adv.RvS 66.611/2, 28 oktober 2019, derde opmerking bij artikel 4.</w:t>
      </w:r>
    </w:p>
  </w:footnote>
  <w:footnote w:id="192">
    <w:p w14:paraId="4DADA67B" w14:textId="77777777" w:rsidR="00C54441" w:rsidRPr="00B26505" w:rsidRDefault="00C54441" w:rsidP="00D46131">
      <w:pPr>
        <w:pStyle w:val="Voetnoottekst"/>
        <w:rPr>
          <w:lang w:val="de-DE"/>
        </w:rPr>
      </w:pPr>
      <w:r>
        <w:rPr>
          <w:rStyle w:val="Voetnootmarkering"/>
        </w:rPr>
        <w:footnoteRef/>
      </w:r>
      <w:r w:rsidRPr="00B26505">
        <w:rPr>
          <w:lang w:val="de-DE"/>
        </w:rPr>
        <w:t xml:space="preserve"> Adv.RvS 67.829/1/V, 29 juli 2020, nr. 5.</w:t>
      </w:r>
    </w:p>
  </w:footnote>
  <w:footnote w:id="193">
    <w:p w14:paraId="19D8A0B7" w14:textId="77777777" w:rsidR="00C54441" w:rsidRPr="00CF2361" w:rsidRDefault="00C54441" w:rsidP="00D46131">
      <w:pPr>
        <w:pStyle w:val="Voetnoottekst"/>
        <w:rPr>
          <w:lang w:val="de-DE"/>
        </w:rPr>
      </w:pPr>
      <w:r>
        <w:rPr>
          <w:rStyle w:val="Voetnootmarkering"/>
        </w:rPr>
        <w:footnoteRef/>
      </w:r>
      <w:r w:rsidRPr="00CF2361">
        <w:rPr>
          <w:lang w:val="de-DE"/>
        </w:rPr>
        <w:t xml:space="preserve"> Adv.RvS 66.450/1/V, 2 september 2019, nr. 13.</w:t>
      </w:r>
    </w:p>
  </w:footnote>
  <w:footnote w:id="194">
    <w:p w14:paraId="25FD77CC" w14:textId="77777777" w:rsidR="00C54441" w:rsidRPr="00CF2361" w:rsidRDefault="00C54441" w:rsidP="00D46131">
      <w:pPr>
        <w:pStyle w:val="Voetnoottekst"/>
        <w:rPr>
          <w:lang w:val="de-DE"/>
        </w:rPr>
      </w:pPr>
      <w:r>
        <w:rPr>
          <w:rStyle w:val="Voetnootmarkering"/>
        </w:rPr>
        <w:footnoteRef/>
      </w:r>
      <w:r w:rsidRPr="00CF2361">
        <w:rPr>
          <w:lang w:val="de-DE"/>
        </w:rPr>
        <w:t xml:space="preserve"> Adv.RvS 65.181/3, 14 februari 2019, nr. 5.3.</w:t>
      </w:r>
    </w:p>
  </w:footnote>
  <w:footnote w:id="195">
    <w:p w14:paraId="07E98649" w14:textId="77777777" w:rsidR="00C54441" w:rsidRPr="00CF2361" w:rsidRDefault="00C54441" w:rsidP="00D46131">
      <w:pPr>
        <w:pStyle w:val="Voetnoottekst"/>
        <w:rPr>
          <w:lang w:val="de-DE"/>
        </w:rPr>
      </w:pPr>
      <w:r>
        <w:rPr>
          <w:rStyle w:val="Voetnootmarkering"/>
        </w:rPr>
        <w:footnoteRef/>
      </w:r>
      <w:r w:rsidRPr="00CF2361">
        <w:rPr>
          <w:lang w:val="de-DE"/>
        </w:rPr>
        <w:t xml:space="preserve"> Adv.RvS 66.228/3, 17 juni 2019, nr. 6.2.</w:t>
      </w:r>
    </w:p>
  </w:footnote>
  <w:footnote w:id="196">
    <w:p w14:paraId="24D14256" w14:textId="77777777" w:rsidR="00C54441" w:rsidRDefault="00C54441" w:rsidP="00D46131">
      <w:pPr>
        <w:pStyle w:val="Voetnoottekst"/>
      </w:pPr>
      <w:r>
        <w:rPr>
          <w:rStyle w:val="Voetnootmarkering"/>
        </w:rPr>
        <w:footnoteRef/>
      </w:r>
      <w:r>
        <w:t xml:space="preserve"> Adv.RvS 67.156/4, 30 maart 2020, nr. 3.</w:t>
      </w:r>
    </w:p>
  </w:footnote>
  <w:footnote w:id="197">
    <w:p w14:paraId="0AEAB057" w14:textId="77777777" w:rsidR="00C54441" w:rsidRDefault="00C54441" w:rsidP="00D46131">
      <w:pPr>
        <w:pStyle w:val="Voetnoottekst"/>
      </w:pPr>
      <w:r>
        <w:rPr>
          <w:rStyle w:val="Voetnootmarkering"/>
        </w:rPr>
        <w:footnoteRef/>
      </w:r>
      <w:r>
        <w:t xml:space="preserve"> Adv.RvS 67.287/2, 18 mei 2020, algemene opmerking I. Zie ook Adv.RvS 67.983/2/V, 10 september 2020, algemene opmerking 2.</w:t>
      </w:r>
    </w:p>
  </w:footnote>
  <w:footnote w:id="198">
    <w:p w14:paraId="687BBDF0" w14:textId="77777777" w:rsidR="00C54441" w:rsidRPr="00B333AE" w:rsidRDefault="00C54441" w:rsidP="00D46131">
      <w:pPr>
        <w:pStyle w:val="Voetnoottekst"/>
        <w:rPr>
          <w:lang w:val="en-GB"/>
        </w:rPr>
      </w:pPr>
      <w:r>
        <w:rPr>
          <w:rStyle w:val="Voetnootmarkering"/>
        </w:rPr>
        <w:footnoteRef/>
      </w:r>
      <w:r w:rsidRPr="00B333AE">
        <w:rPr>
          <w:lang w:val="en-GB"/>
        </w:rPr>
        <w:t xml:space="preserve"> Adv.RvS 67.693/1/V, 14 augustus 2020, nr. 7.2.2.</w:t>
      </w:r>
    </w:p>
  </w:footnote>
  <w:footnote w:id="199">
    <w:p w14:paraId="6E329333" w14:textId="77777777" w:rsidR="00C54441" w:rsidRPr="00F72A5C" w:rsidRDefault="00C54441" w:rsidP="00D46131">
      <w:pPr>
        <w:pStyle w:val="Voetnoottekst"/>
        <w:rPr>
          <w:lang w:val="de-DE"/>
        </w:rPr>
      </w:pPr>
      <w:r>
        <w:rPr>
          <w:rStyle w:val="Voetnootmarkering"/>
        </w:rPr>
        <w:footnoteRef/>
      </w:r>
      <w:r w:rsidRPr="00F72A5C">
        <w:rPr>
          <w:lang w:val="de-DE"/>
        </w:rPr>
        <w:t xml:space="preserve"> Adv.RvS 67.719/VR, 15 juli 2020, nr. 27</w:t>
      </w:r>
      <w:r>
        <w:rPr>
          <w:lang w:val="de-DE"/>
        </w:rPr>
        <w:t>.</w:t>
      </w:r>
    </w:p>
  </w:footnote>
  <w:footnote w:id="200">
    <w:p w14:paraId="254604C3" w14:textId="77777777" w:rsidR="00C54441" w:rsidRPr="00B333AE" w:rsidRDefault="00C54441" w:rsidP="00D46131">
      <w:pPr>
        <w:pStyle w:val="Voetnoottekst"/>
        <w:rPr>
          <w:lang w:val="en-GB"/>
        </w:rPr>
      </w:pPr>
      <w:r>
        <w:rPr>
          <w:rStyle w:val="Voetnootmarkering"/>
        </w:rPr>
        <w:footnoteRef/>
      </w:r>
      <w:r w:rsidRPr="00B333AE">
        <w:rPr>
          <w:lang w:val="en-GB"/>
        </w:rPr>
        <w:t xml:space="preserve"> Adv.RvS 67.879/1/V, 28 augustus 2020, nr. 15.</w:t>
      </w:r>
    </w:p>
  </w:footnote>
  <w:footnote w:id="201">
    <w:p w14:paraId="0A3182C9" w14:textId="77777777" w:rsidR="00C54441" w:rsidRDefault="00C54441" w:rsidP="00D46131">
      <w:pPr>
        <w:pStyle w:val="Voetnoottekst"/>
      </w:pPr>
      <w:r>
        <w:rPr>
          <w:rStyle w:val="Voetnootmarkering"/>
        </w:rPr>
        <w:footnoteRef/>
      </w:r>
      <w:r>
        <w:t xml:space="preserve"> Adv.RvS 68.044/3, 16 oktober 2020, nr. 3.2.</w:t>
      </w:r>
    </w:p>
  </w:footnote>
  <w:footnote w:id="202">
    <w:p w14:paraId="2873199C" w14:textId="77777777" w:rsidR="00C54441" w:rsidRDefault="00C54441" w:rsidP="00D46131">
      <w:pPr>
        <w:pStyle w:val="Voetnoottekst"/>
      </w:pPr>
      <w:r>
        <w:rPr>
          <w:rStyle w:val="Voetnootmarkering"/>
        </w:rPr>
        <w:footnoteRef/>
      </w:r>
      <w:r>
        <w:t xml:space="preserve"> Adv.RvS 68.285/3, 15 december 2020, nr. 7. Zie ook Adv.RvS 65.625/1, 8 april 2019, nrs. 8 en 9.</w:t>
      </w:r>
    </w:p>
  </w:footnote>
  <w:footnote w:id="203">
    <w:p w14:paraId="62AA3F2D" w14:textId="77777777" w:rsidR="00C54441" w:rsidRDefault="00C54441" w:rsidP="00D46131">
      <w:pPr>
        <w:pStyle w:val="Voetnoottekst"/>
      </w:pPr>
      <w:r>
        <w:rPr>
          <w:rStyle w:val="Voetnootmarkering"/>
        </w:rPr>
        <w:footnoteRef/>
      </w:r>
      <w:r>
        <w:t xml:space="preserve"> Adv.RvS 67.939/1/V, 11 september 2020, nrs. 7.1 tot 7.3.</w:t>
      </w:r>
    </w:p>
  </w:footnote>
  <w:footnote w:id="204">
    <w:p w14:paraId="38468275" w14:textId="77777777" w:rsidR="00C54441" w:rsidRDefault="00C54441" w:rsidP="00D46131">
      <w:pPr>
        <w:pStyle w:val="Voetnoottekst"/>
      </w:pPr>
      <w:r>
        <w:rPr>
          <w:rStyle w:val="Voetnootmarkering"/>
        </w:rPr>
        <w:footnoteRef/>
      </w:r>
      <w:r>
        <w:t xml:space="preserve"> Adv.RvS 68.113/1, 8 oktober 2020, nr. 7.</w:t>
      </w:r>
    </w:p>
  </w:footnote>
  <w:footnote w:id="205">
    <w:p w14:paraId="04078592" w14:textId="77777777" w:rsidR="00C54441" w:rsidRDefault="00C54441" w:rsidP="00D46131">
      <w:pPr>
        <w:pStyle w:val="Voetnoottekst"/>
      </w:pPr>
      <w:r>
        <w:rPr>
          <w:rStyle w:val="Voetnootmarkering"/>
        </w:rPr>
        <w:footnoteRef/>
      </w:r>
      <w:r>
        <w:t xml:space="preserve"> Adv.RvS 64.588/1-3, 17 januari 2019, opmerking bij art. 104. Zie ook Adv.RvS 65.386/3, 11 maart 2019, nr. 11.</w:t>
      </w:r>
    </w:p>
  </w:footnote>
  <w:footnote w:id="206">
    <w:p w14:paraId="2F9BD4F5" w14:textId="77777777" w:rsidR="00C54441" w:rsidRDefault="00C54441" w:rsidP="00D46131">
      <w:pPr>
        <w:pStyle w:val="Voetnoottekst"/>
      </w:pPr>
      <w:r>
        <w:rPr>
          <w:rStyle w:val="Voetnootmarkering"/>
        </w:rPr>
        <w:footnoteRef/>
      </w:r>
      <w:r>
        <w:t xml:space="preserve"> Adv.RvS 66.341/3, 10 juli 2019, nr. 7.1.3.</w:t>
      </w:r>
    </w:p>
  </w:footnote>
  <w:footnote w:id="207">
    <w:p w14:paraId="30916778" w14:textId="77777777" w:rsidR="00C54441" w:rsidRPr="00D974B8" w:rsidRDefault="00C54441" w:rsidP="00D46131">
      <w:pPr>
        <w:pStyle w:val="Voetnoottekst"/>
        <w:rPr>
          <w:lang w:val="nl-NL"/>
        </w:rPr>
      </w:pPr>
      <w:r>
        <w:rPr>
          <w:rStyle w:val="Voetnootmarkering"/>
        </w:rPr>
        <w:footnoteRef/>
      </w:r>
      <w:r>
        <w:t xml:space="preserve"> </w:t>
      </w:r>
      <w:r>
        <w:rPr>
          <w:lang w:val="nl-NL"/>
        </w:rPr>
        <w:t xml:space="preserve">Adv.RvS 67.142/AV, 25 maart 2020, nr. 5.1. </w:t>
      </w:r>
    </w:p>
  </w:footnote>
  <w:footnote w:id="208">
    <w:p w14:paraId="553B3FD5" w14:textId="12FB85EF" w:rsidR="00C54441" w:rsidRPr="00D974B8" w:rsidRDefault="00C54441" w:rsidP="00D46131">
      <w:pPr>
        <w:pStyle w:val="Voetnoottekst"/>
        <w:rPr>
          <w:lang w:val="nl-NL"/>
        </w:rPr>
      </w:pPr>
      <w:r>
        <w:rPr>
          <w:rStyle w:val="Voetnootmarkering"/>
        </w:rPr>
        <w:footnoteRef/>
      </w:r>
      <w:r>
        <w:t xml:space="preserve"> </w:t>
      </w:r>
      <w:r>
        <w:rPr>
          <w:lang w:val="nl-NL"/>
        </w:rPr>
        <w:t xml:space="preserve">Adv.RvS 67.142/AV, 25 maart 2020, nr. 5. </w:t>
      </w:r>
      <w:r w:rsidRPr="00A32113">
        <w:rPr>
          <w:highlight w:val="yellow"/>
          <w:lang w:val="nl-NL"/>
        </w:rPr>
        <w:t xml:space="preserve">Zie over de vierde voorwaarde ook nr. </w:t>
      </w:r>
      <w:r w:rsidR="00D348B8">
        <w:rPr>
          <w:highlight w:val="yellow"/>
          <w:lang w:val="nl-NL"/>
        </w:rPr>
        <w:t>4</w:t>
      </w:r>
      <w:r w:rsidRPr="00A32113">
        <w:rPr>
          <w:highlight w:val="yellow"/>
          <w:lang w:val="nl-NL"/>
        </w:rPr>
        <w:t>.</w:t>
      </w:r>
    </w:p>
  </w:footnote>
  <w:footnote w:id="209">
    <w:p w14:paraId="5D0CB507" w14:textId="564DD0CE" w:rsidR="00C54441" w:rsidRDefault="00C54441" w:rsidP="00D46131">
      <w:pPr>
        <w:pStyle w:val="Voetnoottekst"/>
      </w:pPr>
      <w:r>
        <w:rPr>
          <w:rStyle w:val="Voetnootmarkering"/>
        </w:rPr>
        <w:footnoteRef/>
      </w:r>
      <w:r>
        <w:t xml:space="preserve"> </w:t>
      </w:r>
      <w:r w:rsidRPr="00BE3B1F">
        <w:rPr>
          <w:rFonts w:cstheme="minorHAnsi"/>
        </w:rPr>
        <w:t xml:space="preserve">Bepaalde auteurs stellen dat er in het verleden </w:t>
      </w:r>
      <w:r>
        <w:rPr>
          <w:rFonts w:cstheme="minorHAnsi"/>
        </w:rPr>
        <w:t>reeds</w:t>
      </w:r>
      <w:r w:rsidRPr="00BE3B1F">
        <w:rPr>
          <w:rFonts w:cstheme="minorHAnsi"/>
        </w:rPr>
        <w:t xml:space="preserve"> bijzondere machten zijn toegekend op deelstaatniveau, al erkennen zij dat dit “op zeer zuinige wijze” gebeurde (F. </w:t>
      </w:r>
      <w:r w:rsidRPr="00BE3B1F">
        <w:rPr>
          <w:rFonts w:cstheme="minorHAnsi"/>
          <w:smallCaps/>
        </w:rPr>
        <w:t>Bouhon</w:t>
      </w:r>
      <w:r w:rsidRPr="00BE3B1F">
        <w:rPr>
          <w:rFonts w:cstheme="minorHAnsi"/>
        </w:rPr>
        <w:t xml:space="preserve"> en E</w:t>
      </w:r>
      <w:r w:rsidRPr="00BE3B1F">
        <w:rPr>
          <w:rFonts w:cstheme="minorHAnsi"/>
          <w:smallCaps/>
        </w:rPr>
        <w:t>. Slautsky</w:t>
      </w:r>
      <w:r w:rsidRPr="00BE3B1F">
        <w:rPr>
          <w:rFonts w:cstheme="minorHAnsi"/>
        </w:rPr>
        <w:t xml:space="preserve">, “Toekenning, uitoefening van en toezicht op bijzondere machten binnen de deelstaten: gecontrasteerde praktijken om het hoofd te bieden aan de eerste golf van de COVID-19 pandemie’, </w:t>
      </w:r>
      <w:r w:rsidRPr="00BE3B1F">
        <w:rPr>
          <w:rFonts w:cstheme="minorHAnsi"/>
          <w:i/>
          <w:iCs/>
        </w:rPr>
        <w:t>TVW</w:t>
      </w:r>
      <w:r w:rsidRPr="00BE3B1F">
        <w:rPr>
          <w:rFonts w:cstheme="minorHAnsi"/>
        </w:rPr>
        <w:t xml:space="preserve"> 2020, (261) 262) of louter technische aangelegenheden betrof </w:t>
      </w:r>
      <w:r>
        <w:rPr>
          <w:rFonts w:cstheme="minorHAnsi"/>
        </w:rPr>
        <w:t>(</w:t>
      </w:r>
      <w:r w:rsidRPr="00BE3B1F">
        <w:rPr>
          <w:rFonts w:cstheme="minorHAnsi"/>
        </w:rPr>
        <w:t xml:space="preserve">M. </w:t>
      </w:r>
      <w:r w:rsidRPr="00BE3B1F">
        <w:rPr>
          <w:rFonts w:cstheme="minorHAnsi"/>
          <w:smallCaps/>
        </w:rPr>
        <w:t>L</w:t>
      </w:r>
      <w:r>
        <w:rPr>
          <w:rFonts w:cstheme="minorHAnsi"/>
          <w:smallCaps/>
        </w:rPr>
        <w:t>er</w:t>
      </w:r>
      <w:r w:rsidRPr="00BE3B1F">
        <w:rPr>
          <w:rFonts w:cstheme="minorHAnsi"/>
          <w:smallCaps/>
        </w:rPr>
        <w:t>oy</w:t>
      </w:r>
      <w:r w:rsidRPr="00BE3B1F">
        <w:rPr>
          <w:rFonts w:cstheme="minorHAnsi"/>
        </w:rPr>
        <w:t xml:space="preserve">, “Les pouvoirs spéciaux en Belgique”, </w:t>
      </w:r>
      <w:r w:rsidRPr="00BE3B1F">
        <w:rPr>
          <w:rFonts w:cstheme="minorHAnsi"/>
          <w:i/>
          <w:iCs/>
        </w:rPr>
        <w:t>AP</w:t>
      </w:r>
      <w:r w:rsidRPr="00BE3B1F">
        <w:rPr>
          <w:rFonts w:cstheme="minorHAnsi"/>
        </w:rPr>
        <w:t xml:space="preserve"> 2014, (483) 502-503). </w:t>
      </w:r>
      <w:r>
        <w:rPr>
          <w:rFonts w:cstheme="minorHAnsi"/>
        </w:rPr>
        <w:t>O.i.</w:t>
      </w:r>
      <w:r w:rsidRPr="00BE3B1F">
        <w:rPr>
          <w:rFonts w:cstheme="minorHAnsi"/>
        </w:rPr>
        <w:t xml:space="preserve"> </w:t>
      </w:r>
      <w:r>
        <w:rPr>
          <w:rFonts w:cstheme="minorHAnsi"/>
        </w:rPr>
        <w:t xml:space="preserve">ging het in die gevallen telkens om (loutere) </w:t>
      </w:r>
      <w:r w:rsidRPr="00BE3B1F">
        <w:rPr>
          <w:rFonts w:cstheme="minorHAnsi"/>
        </w:rPr>
        <w:t xml:space="preserve">opdrachtwetten waarbij de uitvoerende macht </w:t>
      </w:r>
      <w:r>
        <w:rPr>
          <w:rFonts w:cstheme="minorHAnsi"/>
        </w:rPr>
        <w:t xml:space="preserve">weliswaar </w:t>
      </w:r>
      <w:r w:rsidRPr="00BE3B1F">
        <w:rPr>
          <w:rFonts w:cstheme="minorHAnsi"/>
        </w:rPr>
        <w:t xml:space="preserve">wetgevende normen kon wijzigen, </w:t>
      </w:r>
      <w:r>
        <w:rPr>
          <w:rFonts w:cstheme="minorHAnsi"/>
        </w:rPr>
        <w:t xml:space="preserve">maar was de omvang van de machtigingen </w:t>
      </w:r>
      <w:r w:rsidRPr="00BE3B1F">
        <w:rPr>
          <w:rFonts w:cstheme="minorHAnsi"/>
        </w:rPr>
        <w:t>en</w:t>
      </w:r>
      <w:r>
        <w:rPr>
          <w:rFonts w:cstheme="minorHAnsi"/>
        </w:rPr>
        <w:t xml:space="preserve"> van</w:t>
      </w:r>
      <w:r w:rsidRPr="00BE3B1F">
        <w:rPr>
          <w:rFonts w:cstheme="minorHAnsi"/>
        </w:rPr>
        <w:t xml:space="preserve"> de beleidsvrijheid waarover de uitvoerende macht beschikt</w:t>
      </w:r>
      <w:r>
        <w:rPr>
          <w:rFonts w:cstheme="minorHAnsi"/>
        </w:rPr>
        <w:t xml:space="preserve"> te beperkt om van bijzondere machten te spreken.</w:t>
      </w:r>
    </w:p>
  </w:footnote>
  <w:footnote w:id="210">
    <w:p w14:paraId="4B89C7E7" w14:textId="77777777" w:rsidR="00C54441" w:rsidRDefault="00C54441" w:rsidP="00D46131">
      <w:pPr>
        <w:pStyle w:val="Voetnoottekst"/>
      </w:pPr>
      <w:r>
        <w:rPr>
          <w:rStyle w:val="Voetnootmarkering"/>
        </w:rPr>
        <w:footnoteRef/>
      </w:r>
      <w:r>
        <w:t xml:space="preserve"> Adv.RvS 68.206/4/AG, 9 november 2020, alg. opm. nr. 2 (Franse Gemeenschap): Adv.RvS 68.231/AV/3, 10 november 2020, nr. 4 (Brussels Hoofdstedelijk Gewest).</w:t>
      </w:r>
    </w:p>
  </w:footnote>
  <w:footnote w:id="211">
    <w:p w14:paraId="7FC6B424" w14:textId="77777777" w:rsidR="00C54441" w:rsidRDefault="00C54441" w:rsidP="00D46131">
      <w:pPr>
        <w:pStyle w:val="Voetnoottekst"/>
      </w:pPr>
      <w:r>
        <w:rPr>
          <w:rStyle w:val="Voetnootmarkering"/>
        </w:rPr>
        <w:footnoteRef/>
      </w:r>
      <w:r>
        <w:t xml:space="preserve"> Adv.RvS 68.215/4/AG, 9 november 2020, alg. opm. nr. 2. </w:t>
      </w:r>
    </w:p>
  </w:footnote>
  <w:footnote w:id="212">
    <w:p w14:paraId="04F9D75F" w14:textId="77777777" w:rsidR="00C54441" w:rsidRDefault="00C54441" w:rsidP="00D46131">
      <w:pPr>
        <w:pStyle w:val="Voetnoottekst"/>
      </w:pPr>
      <w:r>
        <w:rPr>
          <w:rStyle w:val="Voetnootmarkering"/>
        </w:rPr>
        <w:footnoteRef/>
      </w:r>
      <w:r>
        <w:t xml:space="preserve"> Adv.RvS 68.232/AV/3, 10 november 2020, nr. 6. </w:t>
      </w:r>
    </w:p>
  </w:footnote>
  <w:footnote w:id="213">
    <w:p w14:paraId="7FC80896" w14:textId="77777777" w:rsidR="00C54441" w:rsidRDefault="00C54441" w:rsidP="00D46131">
      <w:pPr>
        <w:pStyle w:val="Voetnoottekst"/>
      </w:pPr>
      <w:r>
        <w:rPr>
          <w:rStyle w:val="Voetnootmarkering"/>
        </w:rPr>
        <w:footnoteRef/>
      </w:r>
      <w:r>
        <w:t xml:space="preserve"> Adv.RvS 67.142/AV, 25 maart 2020, nr. 9.2.1.</w:t>
      </w:r>
    </w:p>
  </w:footnote>
  <w:footnote w:id="214">
    <w:p w14:paraId="37FE61B9" w14:textId="77777777" w:rsidR="00C54441" w:rsidRDefault="00C54441" w:rsidP="00D46131">
      <w:pPr>
        <w:pStyle w:val="Voetnoottekst"/>
      </w:pPr>
      <w:r>
        <w:rPr>
          <w:rStyle w:val="Voetnootmarkering"/>
        </w:rPr>
        <w:footnoteRef/>
      </w:r>
      <w:r>
        <w:t xml:space="preserve"> Adv.RvS 67.142/AV, 25 maart 2020, nr. 9.3.</w:t>
      </w:r>
    </w:p>
  </w:footnote>
  <w:footnote w:id="215">
    <w:p w14:paraId="34F7BA2B" w14:textId="182B4DEE" w:rsidR="00C54441" w:rsidRPr="00697E20" w:rsidRDefault="00C54441" w:rsidP="00D46131">
      <w:pPr>
        <w:pStyle w:val="Voetnoottekst"/>
      </w:pPr>
      <w:r>
        <w:rPr>
          <w:rStyle w:val="Voetnootmarkering"/>
        </w:rPr>
        <w:footnoteRef/>
      </w:r>
      <w:r w:rsidRPr="00B333AE">
        <w:rPr>
          <w:lang w:val="de-DE"/>
        </w:rPr>
        <w:t xml:space="preserve"> Adv.RvS 68.206/4/AG, 9 november 2020, art. 4. </w:t>
      </w:r>
      <w:r w:rsidRPr="00697E20">
        <w:t>Zie ook:</w:t>
      </w:r>
      <w:r>
        <w:t xml:space="preserve"> Adv.RvS 68.215/4/AG, 9 november 2020, art. 4;</w:t>
      </w:r>
      <w:r w:rsidRPr="00697E20">
        <w:t xml:space="preserve"> </w:t>
      </w:r>
      <w:r>
        <w:t>Adv.RvS 68.231/AV/3, 10 november 2020, nr. 16; Adv.RvS 68.232/AV/3, 10 november 2020, nr. 22.</w:t>
      </w:r>
    </w:p>
  </w:footnote>
  <w:footnote w:id="216">
    <w:p w14:paraId="1EADD3CC" w14:textId="77777777" w:rsidR="00C54441" w:rsidRDefault="00C54441" w:rsidP="00D46131">
      <w:pPr>
        <w:pStyle w:val="Voetnoottekst"/>
      </w:pPr>
      <w:r>
        <w:rPr>
          <w:rStyle w:val="Voetnootmarkering"/>
        </w:rPr>
        <w:footnoteRef/>
      </w:r>
      <w:r>
        <w:t xml:space="preserve"> Adv.RvS 67.142/AV, 25 maart 2020, nr. 10 (en wat de verlenging betreft nr. 9.2.2).</w:t>
      </w:r>
    </w:p>
  </w:footnote>
  <w:footnote w:id="217">
    <w:p w14:paraId="0DA2FA3A" w14:textId="77777777" w:rsidR="00C54441" w:rsidRDefault="00C54441" w:rsidP="00D46131">
      <w:pPr>
        <w:pStyle w:val="Voetnoottekst"/>
      </w:pPr>
      <w:r>
        <w:rPr>
          <w:rStyle w:val="Voetnootmarkering"/>
        </w:rPr>
        <w:footnoteRef/>
      </w:r>
      <w:r>
        <w:t xml:space="preserve"> Adv.RvS 67.184/1, 6 april 2020, opm. 3.2.2. </w:t>
      </w:r>
    </w:p>
  </w:footnote>
  <w:footnote w:id="218">
    <w:p w14:paraId="406630A1" w14:textId="77777777" w:rsidR="00C54441" w:rsidRPr="006347BB" w:rsidRDefault="00C54441" w:rsidP="00D46131">
      <w:pPr>
        <w:pStyle w:val="Voetnoottekst"/>
      </w:pPr>
      <w:r>
        <w:rPr>
          <w:rStyle w:val="Voetnootmarkering"/>
        </w:rPr>
        <w:footnoteRef/>
      </w:r>
      <w:r>
        <w:t xml:space="preserve"> Adv.RvS 67.169/4, 1 april</w:t>
      </w:r>
      <w:r w:rsidRPr="006347BB">
        <w:t> 2020, strekking en rechtsgrond, nr. 1.4-1.6.</w:t>
      </w:r>
    </w:p>
  </w:footnote>
  <w:footnote w:id="219">
    <w:p w14:paraId="2B6454C0" w14:textId="77777777" w:rsidR="00C54441" w:rsidRPr="006347BB" w:rsidRDefault="00C54441" w:rsidP="00D46131">
      <w:pPr>
        <w:pStyle w:val="Voetnoottekst"/>
      </w:pPr>
      <w:r>
        <w:rPr>
          <w:rStyle w:val="Voetnootmarkering"/>
        </w:rPr>
        <w:footnoteRef/>
      </w:r>
      <w:r w:rsidRPr="006347BB">
        <w:t xml:space="preserve"> Adv.RvS 67.206/3, 14 april 2020, nr. 3.2; adv.RvS 67.315/2, </w:t>
      </w:r>
      <w:r>
        <w:t xml:space="preserve">4 mei 2020, </w:t>
      </w:r>
      <w:r w:rsidRPr="006347BB">
        <w:t>alg. op</w:t>
      </w:r>
      <w:r>
        <w:t>m. nr. 4.</w:t>
      </w:r>
    </w:p>
  </w:footnote>
  <w:footnote w:id="220">
    <w:p w14:paraId="43140F6F" w14:textId="77777777" w:rsidR="00C54441" w:rsidRPr="00D049D1" w:rsidRDefault="00C54441" w:rsidP="00D46131">
      <w:pPr>
        <w:pStyle w:val="Voetnoottekst"/>
      </w:pPr>
      <w:r>
        <w:rPr>
          <w:rStyle w:val="Voetnootmarkering"/>
        </w:rPr>
        <w:footnoteRef/>
      </w:r>
      <w:r w:rsidRPr="00D049D1">
        <w:t xml:space="preserve"> Adv.RvS 67.278/4, 27 april 2020, alg. opm. nr. 3-4.</w:t>
      </w:r>
    </w:p>
  </w:footnote>
  <w:footnote w:id="221">
    <w:p w14:paraId="73A0EC50" w14:textId="77777777" w:rsidR="00C54441" w:rsidRDefault="00C54441" w:rsidP="00D46131">
      <w:pPr>
        <w:pStyle w:val="Voetnoottekst"/>
      </w:pPr>
      <w:r>
        <w:rPr>
          <w:rStyle w:val="Voetnootmarkering"/>
        </w:rPr>
        <w:footnoteRef/>
      </w:r>
      <w:r>
        <w:t xml:space="preserve"> Adv.RvS 67.406/2, 18 mei 2020. Zie ook: Adv.RvS 67.248/2, 20 april 2020.</w:t>
      </w:r>
    </w:p>
  </w:footnote>
  <w:footnote w:id="222">
    <w:p w14:paraId="7F96B4D7" w14:textId="02504468" w:rsidR="00C54441" w:rsidRDefault="00C54441" w:rsidP="00D46131">
      <w:pPr>
        <w:pStyle w:val="Voetnoottekst"/>
      </w:pPr>
      <w:r>
        <w:rPr>
          <w:rStyle w:val="Voetnootmarkering"/>
        </w:rPr>
        <w:footnoteRef/>
      </w:r>
      <w:r>
        <w:t xml:space="preserve"> Adv.RvS 67.142/AV, 25 maart 2020, nr. 8. </w:t>
      </w:r>
      <w:r w:rsidRPr="003751BA">
        <w:rPr>
          <w:highlight w:val="yellow"/>
        </w:rPr>
        <w:t xml:space="preserve">Zie ook </w:t>
      </w:r>
      <w:r w:rsidR="00307053">
        <w:rPr>
          <w:highlight w:val="yellow"/>
        </w:rPr>
        <w:t>nr. 5</w:t>
      </w:r>
      <w:r w:rsidRPr="003751BA">
        <w:rPr>
          <w:highlight w:val="yellow"/>
        </w:rPr>
        <w:t>.</w:t>
      </w:r>
    </w:p>
  </w:footnote>
  <w:footnote w:id="223">
    <w:p w14:paraId="53A49F01" w14:textId="77777777" w:rsidR="00C54441" w:rsidRPr="006A07A3" w:rsidRDefault="00C54441" w:rsidP="00D46131">
      <w:pPr>
        <w:pStyle w:val="Voetnoottekst"/>
      </w:pPr>
      <w:r>
        <w:rPr>
          <w:rStyle w:val="Voetnootmarkering"/>
        </w:rPr>
        <w:footnoteRef/>
      </w:r>
      <w:r w:rsidRPr="00CF2361">
        <w:t xml:space="preserve"> Adv.RvS 67.180/2, 3 april 2020, nr. 2 bij art. 6. </w:t>
      </w:r>
      <w:r w:rsidRPr="006A07A3">
        <w:t>Zie ook: Adv.RvS 67.253/2</w:t>
      </w:r>
      <w:r>
        <w:t>, 21 april 2020</w:t>
      </w:r>
      <w:r w:rsidRPr="006A07A3">
        <w:t>, nr.</w:t>
      </w:r>
      <w:r>
        <w:t> 1 bij art. 1, eerste lid, derde streepje.</w:t>
      </w:r>
    </w:p>
  </w:footnote>
  <w:footnote w:id="224">
    <w:p w14:paraId="6D74CFCA" w14:textId="77777777" w:rsidR="00C54441" w:rsidRPr="006A07A3" w:rsidRDefault="00C54441" w:rsidP="00D46131">
      <w:pPr>
        <w:pStyle w:val="Voetnoottekst"/>
        <w:rPr>
          <w:lang w:val="en-GB"/>
        </w:rPr>
      </w:pPr>
      <w:r>
        <w:rPr>
          <w:rStyle w:val="Voetnootmarkering"/>
        </w:rPr>
        <w:footnoteRef/>
      </w:r>
      <w:r w:rsidRPr="006A07A3">
        <w:rPr>
          <w:lang w:val="en-GB"/>
        </w:rPr>
        <w:t xml:space="preserve"> Adv.RvS 67.253/2, 21 april 2020.</w:t>
      </w:r>
    </w:p>
  </w:footnote>
  <w:footnote w:id="225">
    <w:p w14:paraId="35545DD6" w14:textId="77777777" w:rsidR="00C54441" w:rsidRPr="00543D59" w:rsidRDefault="00C54441" w:rsidP="00D46131">
      <w:pPr>
        <w:pStyle w:val="Voetnoottekst"/>
        <w:rPr>
          <w:lang w:val="en-US"/>
        </w:rPr>
      </w:pPr>
      <w:r>
        <w:rPr>
          <w:rStyle w:val="Voetnootmarkering"/>
        </w:rPr>
        <w:footnoteRef/>
      </w:r>
      <w:r w:rsidRPr="00543D59">
        <w:rPr>
          <w:lang w:val="en-US"/>
        </w:rPr>
        <w:t xml:space="preserve"> Adv.RvS 67.511/3, 8 juni 2020, nr. 5.</w:t>
      </w:r>
    </w:p>
  </w:footnote>
  <w:footnote w:id="226">
    <w:p w14:paraId="00A0B27D" w14:textId="77777777" w:rsidR="00C54441" w:rsidRDefault="00C54441" w:rsidP="00D46131">
      <w:pPr>
        <w:pStyle w:val="Voetnoottekst"/>
      </w:pPr>
      <w:r>
        <w:rPr>
          <w:rStyle w:val="Voetnootmarkering"/>
        </w:rPr>
        <w:footnoteRef/>
      </w:r>
      <w:r>
        <w:t xml:space="preserve"> Zie omtrent regelingen die langer duren dan de termijn waarvoor de bijzondere machten worden toegekend: Adv.RvS 67.142/AV, 25 maart 2020, nr. 5.2.4.</w:t>
      </w:r>
    </w:p>
  </w:footnote>
  <w:footnote w:id="227">
    <w:p w14:paraId="2FEC0D6C" w14:textId="77777777" w:rsidR="00C54441" w:rsidRDefault="00C54441" w:rsidP="00D46131">
      <w:pPr>
        <w:pStyle w:val="Voetnoottekst"/>
      </w:pPr>
      <w:r>
        <w:rPr>
          <w:rStyle w:val="Voetnootmarkering"/>
        </w:rPr>
        <w:footnoteRef/>
      </w:r>
      <w:r>
        <w:t xml:space="preserve"> Adv.RvS 67.527/1, 9 juni 2020, nr. 5.1-5.4.</w:t>
      </w:r>
    </w:p>
  </w:footnote>
  <w:footnote w:id="228">
    <w:p w14:paraId="0DCBC1EE" w14:textId="77777777" w:rsidR="00C54441" w:rsidRDefault="00C54441" w:rsidP="00D46131">
      <w:pPr>
        <w:pStyle w:val="Voetnoottekst"/>
      </w:pPr>
      <w:r>
        <w:rPr>
          <w:rStyle w:val="Voetnootmarkering"/>
        </w:rPr>
        <w:footnoteRef/>
      </w:r>
      <w:r>
        <w:t xml:space="preserve"> Adv.RvS 67.600/1, 18 juni 2020, nr. 4. </w:t>
      </w:r>
    </w:p>
  </w:footnote>
  <w:footnote w:id="229">
    <w:p w14:paraId="5CDB7055" w14:textId="7879DC5B" w:rsidR="00C54441" w:rsidRPr="00543D59" w:rsidRDefault="00C54441" w:rsidP="00D46131">
      <w:pPr>
        <w:pStyle w:val="Voetnoottekst"/>
      </w:pPr>
      <w:r>
        <w:rPr>
          <w:rStyle w:val="Voetnootmarkering"/>
        </w:rPr>
        <w:footnoteRef/>
      </w:r>
      <w:r w:rsidRPr="00543D59">
        <w:t xml:space="preserve"> Adv.RvS 67.181, 3 april 2020, nr. 8.</w:t>
      </w:r>
      <w:r>
        <w:t xml:space="preserve"> </w:t>
      </w:r>
    </w:p>
  </w:footnote>
  <w:footnote w:id="230">
    <w:p w14:paraId="69715D28" w14:textId="77777777" w:rsidR="00C54441" w:rsidRPr="0058095C" w:rsidRDefault="00C54441" w:rsidP="00D46131">
      <w:pPr>
        <w:pStyle w:val="Voetnoottekst"/>
      </w:pPr>
      <w:r>
        <w:rPr>
          <w:rStyle w:val="Voetnootmarkering"/>
        </w:rPr>
        <w:footnoteRef/>
      </w:r>
      <w:r w:rsidRPr="0058095C">
        <w:t xml:space="preserve"> Adv.RvS 67.146/1, 27 maart 202</w:t>
      </w:r>
      <w:r>
        <w:t>0</w:t>
      </w:r>
      <w:r w:rsidRPr="0058095C">
        <w:t xml:space="preserve">, nr. 12.2. Andere opmerkingen inzake het aan zichzelf toekennen van bijzondere machten: </w:t>
      </w:r>
      <w:r>
        <w:t>Adv.RvS 67.147/1, 27 maart 2020, nr. 11.2; Adv.RvS 67.206/3, 14 april 2020, nr. 8; Adv.RvS 67.246/2, 20 april 2020; Adv.RvS 67.497/1, 5 juni 2020, nr. 7; Adv.RvS 67.608/1, 19 juni 2020, nr. 9.2.</w:t>
      </w:r>
    </w:p>
  </w:footnote>
  <w:footnote w:id="231">
    <w:p w14:paraId="3D0FBBD2" w14:textId="77777777" w:rsidR="00C54441" w:rsidRPr="00481CC4" w:rsidRDefault="00C54441" w:rsidP="00D46131">
      <w:pPr>
        <w:pStyle w:val="Voetnoottekst"/>
      </w:pPr>
      <w:r>
        <w:rPr>
          <w:rStyle w:val="Voetnootmarkering"/>
        </w:rPr>
        <w:footnoteRef/>
      </w:r>
      <w:r w:rsidRPr="00481CC4">
        <w:t xml:space="preserve"> Zie o.m.: Adv.RvS 67.146/1, 27 maart 2020, nr. 12.2; Adv.RvS 67.181, 3 april 2020, nr. 8.</w:t>
      </w:r>
    </w:p>
  </w:footnote>
  <w:footnote w:id="232">
    <w:p w14:paraId="1FA53D89" w14:textId="77777777" w:rsidR="00C54441" w:rsidRPr="00D049D1" w:rsidRDefault="00C54441" w:rsidP="00D46131">
      <w:pPr>
        <w:pStyle w:val="Voetnoottekst"/>
      </w:pPr>
      <w:r>
        <w:rPr>
          <w:rStyle w:val="Voetnootmarkering"/>
        </w:rPr>
        <w:footnoteRef/>
      </w:r>
      <w:r>
        <w:t xml:space="preserve"> </w:t>
      </w:r>
      <w:r w:rsidRPr="00D049D1">
        <w:t>Adv.RvS nr. 67.916/1/V, 7 augustus 2020, nr. 4.</w:t>
      </w:r>
    </w:p>
  </w:footnote>
  <w:footnote w:id="233">
    <w:p w14:paraId="213666DF" w14:textId="69561FAC" w:rsidR="00C54441" w:rsidRPr="00826A49" w:rsidRDefault="00C54441" w:rsidP="00D46131">
      <w:pPr>
        <w:pStyle w:val="Voetnoottekst"/>
        <w:rPr>
          <w:lang w:val="nl-NL"/>
        </w:rPr>
      </w:pPr>
      <w:r>
        <w:rPr>
          <w:rStyle w:val="Voetnootmarkering"/>
        </w:rPr>
        <w:footnoteRef/>
      </w:r>
      <w:r>
        <w:t xml:space="preserve"> </w:t>
      </w:r>
      <w:r>
        <w:rPr>
          <w:lang w:val="nl-NL"/>
        </w:rPr>
        <w:t xml:space="preserve">Zie </w:t>
      </w:r>
      <w:r w:rsidR="00307053">
        <w:rPr>
          <w:highlight w:val="yellow"/>
          <w:lang w:val="nl-NL"/>
        </w:rPr>
        <w:t>nr. 4</w:t>
      </w:r>
      <w:r>
        <w:rPr>
          <w:lang w:val="nl-NL"/>
        </w:rPr>
        <w:t>.</w:t>
      </w:r>
    </w:p>
  </w:footnote>
  <w:footnote w:id="234">
    <w:p w14:paraId="3F153208" w14:textId="26C1058C" w:rsidR="00C54441" w:rsidRPr="00543D59" w:rsidRDefault="00C54441" w:rsidP="00307053">
      <w:pPr>
        <w:pStyle w:val="Voetnoottekst"/>
        <w:rPr>
          <w:lang w:val="nl-NL"/>
        </w:rPr>
      </w:pPr>
      <w:r>
        <w:rPr>
          <w:rStyle w:val="Voetnootmarkering"/>
        </w:rPr>
        <w:footnoteRef/>
      </w:r>
      <w:r>
        <w:t xml:space="preserve"> </w:t>
      </w:r>
      <w:r>
        <w:rPr>
          <w:lang w:val="nl-NL"/>
        </w:rPr>
        <w:t xml:space="preserve">Zie </w:t>
      </w:r>
      <w:r w:rsidR="00307053">
        <w:rPr>
          <w:lang w:val="nl-NL"/>
        </w:rPr>
        <w:t>nrs. 5 en 38</w:t>
      </w:r>
      <w:r>
        <w:rPr>
          <w:lang w:val="nl-NL"/>
        </w:rPr>
        <w:t>.</w:t>
      </w:r>
    </w:p>
  </w:footnote>
  <w:footnote w:id="235">
    <w:p w14:paraId="2B2D3F83" w14:textId="77777777" w:rsidR="00C54441" w:rsidRPr="00826A49" w:rsidRDefault="00C54441" w:rsidP="00D46131">
      <w:pPr>
        <w:pStyle w:val="Voetnoottekst"/>
        <w:rPr>
          <w:lang w:val="nl-NL"/>
        </w:rPr>
      </w:pPr>
      <w:r>
        <w:rPr>
          <w:rStyle w:val="Voetnootmarkering"/>
        </w:rPr>
        <w:footnoteRef/>
      </w:r>
      <w:r>
        <w:t xml:space="preserve"> </w:t>
      </w:r>
      <w:r>
        <w:rPr>
          <w:lang w:val="nl-NL"/>
        </w:rPr>
        <w:t>Adv.RvS 68.021/3, 14 oktober 2020, nr. 13.</w:t>
      </w:r>
    </w:p>
  </w:footnote>
  <w:footnote w:id="236">
    <w:p w14:paraId="01EA5FEE" w14:textId="55FE97B0" w:rsidR="00C54441" w:rsidRPr="00AC6D8B" w:rsidRDefault="00C54441" w:rsidP="00D46131">
      <w:pPr>
        <w:pStyle w:val="Voetnoottekst"/>
        <w:rPr>
          <w:lang w:val="nl-NL"/>
        </w:rPr>
      </w:pPr>
      <w:r>
        <w:rPr>
          <w:rStyle w:val="Voetnootmarkering"/>
        </w:rPr>
        <w:footnoteRef/>
      </w:r>
      <w:r>
        <w:t xml:space="preserve"> </w:t>
      </w:r>
      <w:r w:rsidRPr="00AC6D8B">
        <w:rPr>
          <w:highlight w:val="yellow"/>
          <w:lang w:val="nl-NL"/>
        </w:rPr>
        <w:t>Zie</w:t>
      </w:r>
      <w:r w:rsidR="00307053">
        <w:rPr>
          <w:highlight w:val="yellow"/>
          <w:lang w:val="nl-NL"/>
        </w:rPr>
        <w:t xml:space="preserve"> nr. 5</w:t>
      </w:r>
      <w:r w:rsidRPr="00AC6D8B">
        <w:rPr>
          <w:highlight w:val="yellow"/>
          <w:lang w:val="nl-NL"/>
        </w:rPr>
        <w:t>.</w:t>
      </w:r>
    </w:p>
  </w:footnote>
  <w:footnote w:id="237">
    <w:p w14:paraId="176EF10D" w14:textId="77777777" w:rsidR="00C54441" w:rsidRPr="00826A49" w:rsidRDefault="00C54441" w:rsidP="00D46131">
      <w:pPr>
        <w:pStyle w:val="Voetnoottekst"/>
        <w:rPr>
          <w:lang w:val="nl-NL"/>
        </w:rPr>
      </w:pPr>
      <w:r>
        <w:rPr>
          <w:rStyle w:val="Voetnootmarkering"/>
        </w:rPr>
        <w:footnoteRef/>
      </w:r>
      <w:r>
        <w:t xml:space="preserve"> Bijvoorbeeld wat het advies van de Gegevensbeschermingsautoriteit betreft: Adv.RvS 67.986/1/3/4, 5 oktober 2020, nr. 5; Adv.RvS 68.021/3, 14 oktober 2020, nr. 5. Aanmelding staatssteun: Adv.RvS 67.958/2/V, 28 september 2020 (zie ook buiten de context van bijzondere machten: Adv.RvS 68.794/3, 4 maart 2020). Advies op basis van de Cultuurpactwet: Adv.RvS 67.957/4, 28 september 2020; Adv.RvS 67.958/4, 28 september 2020. </w:t>
      </w:r>
    </w:p>
  </w:footnote>
  <w:footnote w:id="238">
    <w:p w14:paraId="16222D0F" w14:textId="230E0DE3" w:rsidR="00C54441" w:rsidRPr="00AC6D8B" w:rsidRDefault="00C54441" w:rsidP="00D46131">
      <w:pPr>
        <w:pStyle w:val="Voetnoottekst"/>
        <w:rPr>
          <w:lang w:val="nl-NL"/>
        </w:rPr>
      </w:pPr>
      <w:r>
        <w:rPr>
          <w:rStyle w:val="Voetnootmarkering"/>
        </w:rPr>
        <w:footnoteRef/>
      </w:r>
      <w:r>
        <w:t xml:space="preserve"> </w:t>
      </w:r>
      <w:r w:rsidRPr="00AC6D8B">
        <w:rPr>
          <w:highlight w:val="yellow"/>
          <w:lang w:val="nl-NL"/>
        </w:rPr>
        <w:t>Zie</w:t>
      </w:r>
      <w:r w:rsidR="00FA5FB2">
        <w:rPr>
          <w:highlight w:val="yellow"/>
          <w:lang w:val="nl-NL"/>
        </w:rPr>
        <w:t xml:space="preserve"> nr. 51</w:t>
      </w:r>
      <w:r w:rsidRPr="00AC6D8B">
        <w:rPr>
          <w:highlight w:val="yellow"/>
          <w:lang w:val="nl-NL"/>
        </w:rPr>
        <w:t>.</w:t>
      </w:r>
    </w:p>
  </w:footnote>
  <w:footnote w:id="239">
    <w:p w14:paraId="38275ECF" w14:textId="77777777" w:rsidR="00C54441" w:rsidRPr="00AC6D8B" w:rsidRDefault="00C54441" w:rsidP="00D46131">
      <w:pPr>
        <w:pStyle w:val="Voetnoottekst"/>
        <w:rPr>
          <w:lang w:val="nl-NL"/>
        </w:rPr>
      </w:pPr>
      <w:r>
        <w:rPr>
          <w:rStyle w:val="Voetnootmarkering"/>
        </w:rPr>
        <w:footnoteRef/>
      </w:r>
      <w:r>
        <w:t xml:space="preserve"> </w:t>
      </w:r>
      <w:r w:rsidRPr="00AC6D8B">
        <w:t>Adv.RvS 67.577/2-4, 3 juli 2020, nr. 4; Adv.RvS 65.578/1-2-3, 3 juli 2020, alg. opm. nr. 5</w:t>
      </w:r>
      <w:r>
        <w:t>. Zie ook:</w:t>
      </w:r>
      <w:r w:rsidRPr="00AC6D8B">
        <w:t xml:space="preserve"> Adv.RvS 67.986/1/3/4, 5 oktober 2020, nr. </w:t>
      </w:r>
      <w:r>
        <w:t>7.</w:t>
      </w:r>
    </w:p>
  </w:footnote>
  <w:footnote w:id="240">
    <w:p w14:paraId="596CF42E" w14:textId="77777777" w:rsidR="00C54441" w:rsidRPr="008B3D06" w:rsidRDefault="00C54441" w:rsidP="00D46131">
      <w:pPr>
        <w:pStyle w:val="Voetnoottekst"/>
        <w:rPr>
          <w:lang w:val="nl-NL"/>
        </w:rPr>
      </w:pPr>
      <w:r>
        <w:rPr>
          <w:rStyle w:val="Voetnootmarkering"/>
        </w:rPr>
        <w:footnoteRef/>
      </w:r>
      <w:r>
        <w:t xml:space="preserve"> </w:t>
      </w:r>
      <w:r w:rsidRPr="00AC6D8B">
        <w:t>Adv.RvS 65.578/1-2-3, 3 juli 2020,</w:t>
      </w:r>
      <w:r>
        <w:t xml:space="preserve"> art. 4. </w:t>
      </w:r>
    </w:p>
  </w:footnote>
  <w:footnote w:id="241">
    <w:p w14:paraId="43E05F67" w14:textId="77777777" w:rsidR="00C54441" w:rsidRPr="008F4764" w:rsidRDefault="00C54441" w:rsidP="00D46131">
      <w:pPr>
        <w:pStyle w:val="Voetnoottekst"/>
        <w:rPr>
          <w:lang w:val="nl-NL"/>
        </w:rPr>
      </w:pPr>
      <w:r>
        <w:rPr>
          <w:rStyle w:val="Voetnootmarkering"/>
        </w:rPr>
        <w:footnoteRef/>
      </w:r>
      <w:r>
        <w:t xml:space="preserve"> </w:t>
      </w:r>
      <w:r w:rsidRPr="00AC6D8B">
        <w:t>Adv.RvS 65.578/1-2-3, 3 juli 2020,</w:t>
      </w:r>
      <w:r>
        <w:t xml:space="preserve"> alg. opm. nr. 4; Adv.RvS 67.986/1/3/4, 5 oktober 2020, nr. 6; Adv.RvS .021/3, 14 oktober 2020, nr. 6; Adv.RvS 68.172/2, 13 november 2020, nr. 2. </w:t>
      </w:r>
    </w:p>
  </w:footnote>
  <w:footnote w:id="242">
    <w:p w14:paraId="11B8D254" w14:textId="2BC4D016" w:rsidR="00C54441" w:rsidRPr="000C078D" w:rsidRDefault="00C54441" w:rsidP="00D46131">
      <w:pPr>
        <w:pStyle w:val="Voetnoottekst"/>
        <w:rPr>
          <w:lang w:val="nl-NL"/>
        </w:rPr>
      </w:pPr>
      <w:r>
        <w:rPr>
          <w:rStyle w:val="Voetnootmarkering"/>
        </w:rPr>
        <w:footnoteRef/>
      </w:r>
      <w:r>
        <w:t xml:space="preserve"> </w:t>
      </w:r>
      <w:r>
        <w:rPr>
          <w:lang w:val="nl-NL"/>
        </w:rPr>
        <w:t xml:space="preserve">Zie </w:t>
      </w:r>
      <w:r w:rsidR="00307053">
        <w:rPr>
          <w:lang w:val="nl-NL"/>
        </w:rPr>
        <w:t>nr</w:t>
      </w:r>
      <w:r w:rsidR="00230B4A">
        <w:rPr>
          <w:lang w:val="nl-NL"/>
        </w:rPr>
        <w:t>s</w:t>
      </w:r>
      <w:r w:rsidR="00307053">
        <w:rPr>
          <w:lang w:val="nl-NL"/>
        </w:rPr>
        <w:t>. 38</w:t>
      </w:r>
      <w:r w:rsidR="00230B4A">
        <w:rPr>
          <w:lang w:val="nl-NL"/>
        </w:rPr>
        <w:t xml:space="preserve"> e.v</w:t>
      </w:r>
      <w:r>
        <w:rPr>
          <w:lang w:val="nl-NL"/>
        </w:rPr>
        <w:t>.</w:t>
      </w:r>
    </w:p>
  </w:footnote>
  <w:footnote w:id="243">
    <w:p w14:paraId="7A69A72B" w14:textId="77777777" w:rsidR="00C54441" w:rsidRPr="000C078D" w:rsidRDefault="00C54441" w:rsidP="00D46131">
      <w:pPr>
        <w:pStyle w:val="Voetnoottekst"/>
        <w:rPr>
          <w:lang w:val="nl-NL"/>
        </w:rPr>
      </w:pPr>
      <w:r>
        <w:rPr>
          <w:rStyle w:val="Voetnootmarkering"/>
        </w:rPr>
        <w:footnoteRef/>
      </w:r>
      <w:r>
        <w:t xml:space="preserve"> Indien die daarover uitspraak doet vóór het tijdstip van de inwerkingtreding van de bekrachtigingswet.</w:t>
      </w:r>
    </w:p>
  </w:footnote>
  <w:footnote w:id="244">
    <w:p w14:paraId="423F27D7" w14:textId="77777777" w:rsidR="00C54441" w:rsidRPr="000C078D" w:rsidRDefault="00C54441" w:rsidP="00D46131">
      <w:pPr>
        <w:pStyle w:val="Voetnoottekst"/>
        <w:rPr>
          <w:lang w:val="nl-NL"/>
        </w:rPr>
      </w:pPr>
      <w:r>
        <w:rPr>
          <w:rStyle w:val="Voetnootmarkering"/>
        </w:rPr>
        <w:footnoteRef/>
      </w:r>
      <w:r>
        <w:t xml:space="preserve"> </w:t>
      </w:r>
      <w:r>
        <w:rPr>
          <w:lang w:val="nl-NL"/>
        </w:rPr>
        <w:t>Adv.RvS 64.323/2-3, 4 januari 2019, nr. 9.</w:t>
      </w:r>
    </w:p>
  </w:footnote>
  <w:footnote w:id="245">
    <w:p w14:paraId="0BE82977" w14:textId="77777777" w:rsidR="00C54441" w:rsidRPr="003C70DB" w:rsidRDefault="00C54441" w:rsidP="00D46131">
      <w:pPr>
        <w:pStyle w:val="Voetnoottekst"/>
        <w:rPr>
          <w:lang w:val="nl-NL"/>
        </w:rPr>
      </w:pPr>
      <w:r>
        <w:rPr>
          <w:rStyle w:val="Voetnootmarkering"/>
        </w:rPr>
        <w:footnoteRef/>
      </w:r>
      <w:r>
        <w:t xml:space="preserve"> </w:t>
      </w:r>
      <w:r>
        <w:rPr>
          <w:lang w:val="nl-NL"/>
        </w:rPr>
        <w:t xml:space="preserve">Adv.RvS </w:t>
      </w:r>
      <w:r>
        <w:t xml:space="preserve">68.243/1-2-3-4, 10 november 2020, </w:t>
      </w:r>
      <w:r>
        <w:rPr>
          <w:lang w:val="nl-NL"/>
        </w:rPr>
        <w:t>nr. 2 bij art. 27.</w:t>
      </w:r>
    </w:p>
  </w:footnote>
  <w:footnote w:id="246">
    <w:p w14:paraId="648B8335" w14:textId="77777777" w:rsidR="00C54441" w:rsidRPr="0058272F" w:rsidRDefault="00C54441" w:rsidP="00D46131">
      <w:pPr>
        <w:pStyle w:val="Voetnoottekst"/>
        <w:rPr>
          <w:lang w:val="nl-NL"/>
        </w:rPr>
      </w:pPr>
      <w:r>
        <w:rPr>
          <w:rStyle w:val="Voetnootmarkering"/>
        </w:rPr>
        <w:footnoteRef/>
      </w:r>
      <w:r>
        <w:t xml:space="preserve"> Adv.RvS 67.120/3, 15 april 2020, nr. 2 (te weinig bekrachtigd; in de omgekeerde zin; Adv.RvS 64.445/3, 30 november 2018, nr. 4).</w:t>
      </w:r>
    </w:p>
  </w:footnote>
  <w:footnote w:id="247">
    <w:p w14:paraId="219F4C9F" w14:textId="0DF81878" w:rsidR="00C54441" w:rsidRPr="00D46131" w:rsidRDefault="00C54441" w:rsidP="00710FAC">
      <w:pPr>
        <w:pStyle w:val="Voetnoottekst"/>
        <w:jc w:val="both"/>
        <w:rPr>
          <w:rFonts w:cstheme="minorHAnsi"/>
          <w:lang w:val="nl-NL"/>
        </w:rPr>
      </w:pPr>
      <w:r w:rsidRPr="00D46131">
        <w:rPr>
          <w:rStyle w:val="Voetnootmarkering"/>
          <w:rFonts w:cstheme="minorHAnsi"/>
        </w:rPr>
        <w:footnoteRef/>
      </w:r>
      <w:r>
        <w:rPr>
          <w:rFonts w:cstheme="minorHAnsi"/>
        </w:rPr>
        <w:t xml:space="preserve"> </w:t>
      </w:r>
      <w:r w:rsidRPr="00D46131">
        <w:rPr>
          <w:rFonts w:cstheme="minorHAnsi"/>
          <w:lang w:val="nl-NL"/>
        </w:rPr>
        <w:t>Zo ook bij een wetsvoorstel tot hervorming van de euthanasiewetgeving. Daarin stelt de Raad dat het de taak van de wetgever is om in de mate van het mogelijke een evenwichtige afweging te maken van de conflicterende ethische opvattingen ter zake en erkent de Raad van State dat het zich niet in de plaats van de wetgever kan stellen. Toch is de beleidsvrijheid waarover de wetgever beschikt niet onbeperkt. De voorgestelde onbeperkte geldingsduur van de wilsverklaring verschuift het zwaartepunt van de regeling weliswaar meer in de richting van het zelfbeschikkingsrecht van de persoon die de wilsverklaring heeft opgesteld, maar niet op een wijze die op onevenredige wijze afbreuk doet aan de verplichting van de overheid om het recht op leven te beschermen, mede gelet op de ruime beoordelingsmarge die de overheid ter zake heeft.</w:t>
      </w:r>
      <w:r>
        <w:rPr>
          <w:rFonts w:cstheme="minorHAnsi"/>
          <w:lang w:val="nl-NL"/>
        </w:rPr>
        <w:t xml:space="preserve"> </w:t>
      </w:r>
      <w:r w:rsidRPr="00D46131">
        <w:rPr>
          <w:rFonts w:cstheme="minorHAnsi"/>
          <w:lang w:val="nl-NL"/>
        </w:rPr>
        <w:t>De overige inhoudelijke en vormelijke voorwaarden met betrekking tot de wilsverklaring,</w:t>
      </w:r>
      <w:r>
        <w:rPr>
          <w:rFonts w:cstheme="minorHAnsi"/>
          <w:lang w:val="nl-NL"/>
        </w:rPr>
        <w:t xml:space="preserve"> </w:t>
      </w:r>
      <w:r w:rsidRPr="00D46131">
        <w:rPr>
          <w:rFonts w:cstheme="minorHAnsi"/>
          <w:lang w:val="nl-NL"/>
        </w:rPr>
        <w:t>bieden ter zake nog voldoende waarborgen (</w:t>
      </w:r>
      <w:r>
        <w:rPr>
          <w:rFonts w:cstheme="minorHAnsi"/>
        </w:rPr>
        <w:t>Adv.RvS</w:t>
      </w:r>
      <w:r w:rsidRPr="00D46131">
        <w:rPr>
          <w:rFonts w:cstheme="minorHAnsi"/>
        </w:rPr>
        <w:t xml:space="preserve"> 66.816/AV en 817/AV, 29 januari 2020). </w:t>
      </w:r>
    </w:p>
  </w:footnote>
  <w:footnote w:id="248">
    <w:p w14:paraId="774B2AE1" w14:textId="0D026B98"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66.881/AV,</w:t>
      </w:r>
      <w:r>
        <w:rPr>
          <w:rFonts w:cstheme="minorHAnsi"/>
          <w:lang w:val="nl-NL"/>
        </w:rPr>
        <w:t xml:space="preserve"> </w:t>
      </w:r>
      <w:r w:rsidRPr="00D46131">
        <w:rPr>
          <w:rFonts w:cstheme="minorHAnsi"/>
          <w:lang w:val="nl-NL"/>
        </w:rPr>
        <w:t>24 februari 2020, nr. 5.1-5.3 en 8.1 tot 8.3.</w:t>
      </w:r>
    </w:p>
  </w:footnote>
  <w:footnote w:id="249">
    <w:p w14:paraId="19B8DFA5" w14:textId="0FEF2BA0"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67.122/AV. 19 juni 2020, nr. 6.</w:t>
      </w:r>
    </w:p>
  </w:footnote>
  <w:footnote w:id="250">
    <w:p w14:paraId="6468719D" w14:textId="1623753C"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67.122/AV. 19 juni 2020, nr. 7.</w:t>
      </w:r>
    </w:p>
  </w:footnote>
  <w:footnote w:id="251">
    <w:p w14:paraId="15DB887A"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De bepaling luidt als volgt</w:t>
      </w:r>
      <w:r w:rsidRPr="00D46131">
        <w:rPr>
          <w:rFonts w:cstheme="minorHAnsi"/>
        </w:rPr>
        <w:t>: “Het kind waarvan een vrouw zwanger is wordt vermoed reeds geboren te zijn, zo dikwijls zijn belang dit vordert en onverminderd de wet van 15 oktober 2018 betreffende de vrijwillige zwangerschapsafbreking, tot opheffing van de artikelen 350 en 351 van het Strafwetboek, tot wijziging van de artikelen 352 en 383 van hetzelfde Wetboek en tot wijziging van diverse wetsbepalingen. Dit vermoeden geldt niet meer indien het dood ter wereld komt.”</w:t>
      </w:r>
    </w:p>
  </w:footnote>
  <w:footnote w:id="252">
    <w:p w14:paraId="450108EF" w14:textId="03EF5F2F"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67.057/AV, 12 november 2020, nr. 9 en verder.</w:t>
      </w:r>
    </w:p>
  </w:footnote>
  <w:footnote w:id="253">
    <w:p w14:paraId="53C098F5"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Voor een overzicht van de handhavingsmaatregelen zie L. TODTS, “Corona op lokaal niveau: de juridische mogelijkheden en grenzen van een lokaal coronabeleid”, </w:t>
      </w:r>
      <w:r w:rsidRPr="00D46131">
        <w:rPr>
          <w:rFonts w:cstheme="minorHAnsi"/>
          <w:i/>
          <w:lang w:val="nl-NL"/>
        </w:rPr>
        <w:t>Tijdschrift voor wetgeving</w:t>
      </w:r>
      <w:r w:rsidRPr="00D46131">
        <w:rPr>
          <w:rFonts w:cstheme="minorHAnsi"/>
          <w:lang w:val="nl-NL"/>
        </w:rPr>
        <w:t xml:space="preserve"> 2020, 292-302.</w:t>
      </w:r>
    </w:p>
  </w:footnote>
  <w:footnote w:id="254">
    <w:p w14:paraId="1EB8CA92" w14:textId="10CD2D71" w:rsidR="00C54441" w:rsidRPr="00D46131" w:rsidRDefault="00C54441" w:rsidP="00710FAC">
      <w:pPr>
        <w:pStyle w:val="Voetnoottekst"/>
        <w:jc w:val="both"/>
        <w:rPr>
          <w:rFonts w:cstheme="minorHAnsi"/>
          <w:lang w:val="nl-NL"/>
        </w:rPr>
      </w:pPr>
      <w:r w:rsidRPr="00D46131">
        <w:rPr>
          <w:rStyle w:val="Voetnootmarkering"/>
          <w:rFonts w:cstheme="minorHAnsi"/>
        </w:rPr>
        <w:footnoteRef/>
      </w:r>
      <w:r>
        <w:rPr>
          <w:rFonts w:cstheme="minorHAnsi"/>
        </w:rPr>
        <w:t xml:space="preserve"> </w:t>
      </w:r>
      <w:r w:rsidRPr="00D46131">
        <w:rPr>
          <w:rFonts w:cstheme="minorHAnsi"/>
          <w:lang w:val="nl-NL"/>
        </w:rPr>
        <w:t xml:space="preserve">Zie </w:t>
      </w:r>
      <w:r>
        <w:rPr>
          <w:rFonts w:cstheme="minorHAnsi"/>
          <w:lang w:val="nl-NL"/>
        </w:rPr>
        <w:t>Adv.RvS</w:t>
      </w:r>
      <w:r w:rsidRPr="00D46131">
        <w:rPr>
          <w:rFonts w:cstheme="minorHAnsi"/>
          <w:lang w:val="nl-NL"/>
        </w:rPr>
        <w:t xml:space="preserve"> 66920/1, 25 februari 2020, nr. 20: “Artikel 68, 2°, van het voorontwerp bepaalt dat, voor elk vissersschip dat een vreemde vlag voert, de reder, zijn lasthebber of aangestelde, en/of de schipper of zijn vertegenwoordiger die "een overtreding begaat aan de bepalingen van een geldend internationaal instrument betreffende de werk- en leefomstandigheden van de vissers en /of, voor wat betreft de vissersschepen die onder de vlag van een Lidstaat van de Europese unie varen, van de bepalingen van de Overeenkomst" worden gestraft met een strafrechtelijke geldboete van 600 tot 6.000 euro. Een dermate ruim en vaag geformuleerde strafbaarstelling is niet in overeenstemming met het legaliteitsbeginsel dat voortvloeit uit artikel 14 van de Grondwet. De strafbaar gestelde handelwijzen dienen nauwer te worden afgebakend en preciezer te worden geformuleerd.”</w:t>
      </w:r>
    </w:p>
  </w:footnote>
  <w:footnote w:id="255">
    <w:p w14:paraId="323FF52B" w14:textId="18F49F36"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Zie </w:t>
      </w:r>
      <w:r>
        <w:rPr>
          <w:rFonts w:cstheme="minorHAnsi"/>
          <w:lang w:val="nl-NL"/>
        </w:rPr>
        <w:t>Adv.RvS</w:t>
      </w:r>
      <w:r w:rsidRPr="00D46131">
        <w:rPr>
          <w:rFonts w:cstheme="minorHAnsi"/>
          <w:lang w:val="nl-NL"/>
        </w:rPr>
        <w:t xml:space="preserve"> 67.704/1/V, 6 augustus 2020, nr. 3:</w:t>
      </w:r>
      <w:r>
        <w:rPr>
          <w:rFonts w:cstheme="minorHAnsi"/>
          <w:lang w:val="nl-NL"/>
        </w:rPr>
        <w:t xml:space="preserve"> </w:t>
      </w:r>
      <w:r w:rsidRPr="00D46131">
        <w:rPr>
          <w:rFonts w:cstheme="minorHAnsi"/>
          <w:lang w:val="nl-NL"/>
        </w:rPr>
        <w:t>“Het verbod om paardencarrousels te gebruiken geldt volgens het ontworpen artikel 6ter, eerste lid, 2°, van de wet van 14 augustus 1986, voor "een mobiele piste waar pony's en paarden (…) op monotone wijze ronddraaien op een beperkte oppervlakte". Gelet op de strafbaarstelling en om mogelijke betwistingen te voorkomen, is het nodig het begrip "beperkt" een nadere invulling te geven.”</w:t>
      </w:r>
    </w:p>
  </w:footnote>
  <w:footnote w:id="256">
    <w:p w14:paraId="5AAD39F4" w14:textId="386FB3BC"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Zie MB van 13 maart 2020 houdende dringende maatregelen om de verspreiding van het coronarivus COVID-19 te beperken, </w:t>
      </w:r>
      <w:r w:rsidRPr="00D46131">
        <w:rPr>
          <w:rFonts w:cstheme="minorHAnsi"/>
          <w:i/>
          <w:lang w:val="nl-NL"/>
        </w:rPr>
        <w:t>BS</w:t>
      </w:r>
      <w:r w:rsidRPr="00D46131">
        <w:rPr>
          <w:rFonts w:cstheme="minorHAnsi"/>
          <w:lang w:val="nl-NL"/>
        </w:rPr>
        <w:t xml:space="preserve"> 13 maart, ed. 2, </w:t>
      </w:r>
      <w:r w:rsidRPr="00D46131">
        <w:rPr>
          <w:rFonts w:cstheme="minorHAnsi"/>
          <w:i/>
          <w:lang w:val="nl-NL"/>
        </w:rPr>
        <w:t>err.</w:t>
      </w:r>
      <w:r w:rsidRPr="00D46131">
        <w:rPr>
          <w:rFonts w:cstheme="minorHAnsi"/>
          <w:lang w:val="nl-NL"/>
        </w:rPr>
        <w:t xml:space="preserve"> 14 maart 2020 en MB 18 maart 2020 houdende dringende maatregelen om de verspreiding van het coronavirus COVID-19 te beperken, </w:t>
      </w:r>
      <w:r w:rsidRPr="00D46131">
        <w:rPr>
          <w:rFonts w:cstheme="minorHAnsi"/>
          <w:i/>
          <w:lang w:val="nl-NL"/>
        </w:rPr>
        <w:t>BS</w:t>
      </w:r>
      <w:r w:rsidRPr="00D46131">
        <w:rPr>
          <w:rFonts w:cstheme="minorHAnsi"/>
          <w:lang w:val="nl-NL"/>
        </w:rPr>
        <w:t xml:space="preserve"> 18 maart 2020, ed. 3 en de talloze daaropvolgende wijzigende besluiten. Voor een overzicht zie </w:t>
      </w:r>
      <w:r w:rsidRPr="00D46131">
        <w:rPr>
          <w:rFonts w:cstheme="minorHAnsi"/>
          <w:smallCaps/>
          <w:kern w:val="22"/>
          <w:lang w:val="nl-NL"/>
        </w:rPr>
        <w:t>P. Popelier</w:t>
      </w:r>
      <w:r w:rsidRPr="00D46131">
        <w:rPr>
          <w:rFonts w:cstheme="minorHAnsi"/>
          <w:lang w:val="nl-NL"/>
        </w:rPr>
        <w:t xml:space="preserve">, “Crisisbeheer per ministerieel besluit”, </w:t>
      </w:r>
      <w:r w:rsidRPr="00D46131">
        <w:rPr>
          <w:rFonts w:cstheme="minorHAnsi"/>
          <w:i/>
          <w:lang w:val="nl-NL"/>
        </w:rPr>
        <w:t>Tijdschrift voor Wetgeving</w:t>
      </w:r>
      <w:r w:rsidRPr="00D46131">
        <w:rPr>
          <w:rFonts w:cstheme="minorHAnsi"/>
          <w:lang w:val="nl-NL"/>
        </w:rPr>
        <w:t xml:space="preserve"> 2020, 282-291.</w:t>
      </w:r>
    </w:p>
  </w:footnote>
  <w:footnote w:id="257">
    <w:p w14:paraId="42951C7C" w14:textId="599027C3" w:rsidR="00C54441" w:rsidRPr="00D46131" w:rsidRDefault="00C54441" w:rsidP="00FF7133">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 xml:space="preserve">Zie bijvoorbeeld ook </w:t>
      </w:r>
      <w:r>
        <w:rPr>
          <w:rFonts w:cstheme="minorHAnsi"/>
          <w:lang w:val="nl-NL"/>
        </w:rPr>
        <w:t>Adv.RvS</w:t>
      </w:r>
      <w:r w:rsidRPr="00D46131">
        <w:rPr>
          <w:rFonts w:cstheme="minorHAnsi"/>
          <w:lang w:val="nl-NL"/>
        </w:rPr>
        <w:t xml:space="preserve"> 67.610/1: “</w:t>
      </w:r>
      <w:r w:rsidRPr="00D46131">
        <w:rPr>
          <w:rFonts w:cstheme="minorHAnsi"/>
        </w:rPr>
        <w:t>In artikel 15 van het ontwerp wordt een algemene omschrijving gehanteerd van de verplichtingen waarvan de niet-naleving aanleiding kan geven tot de sanctie bepaald bij artikel 17 van het ontwerp. Tegen die werkwijze is, in het licht van het legaliteitsbeginsel in strafzaken, in beginsel geen bezwaar, nu die verplichtingen op vrij gedetailleerde wijze worden bepaald in het voornoemde ministerieel besluit van 23 maart 2020. Wel is het zo dat niet alle verplichtingen bepaald in dat besluit van toepassing zijn op werkgevers. Vraag is dan ook of dit laatste voldoende duidelijk is, en of in dat opzicht artikel 15 van het ontwerp geen nadere precisering behoeft, bijvoorbeeld door te verwijzen naar de desbetreffende bepalingen van dat besluit. In elk geval verdient het aanbeveling om hierover nadere toelichting te verstrekken in het bijgevoegde verslag aan de Koning.”</w:t>
      </w:r>
      <w:r w:rsidRPr="00D46131">
        <w:rPr>
          <w:rFonts w:cstheme="minorHAnsi"/>
          <w:lang w:val="nl-NL"/>
        </w:rPr>
        <w:t>.</w:t>
      </w:r>
    </w:p>
  </w:footnote>
  <w:footnote w:id="258">
    <w:p w14:paraId="6D728887" w14:textId="10BBC663"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w:t>
      </w:r>
      <w:r>
        <w:rPr>
          <w:rFonts w:cstheme="minorHAnsi"/>
          <w:lang w:val="fr-FR"/>
        </w:rPr>
        <w:t>Adv.RvS</w:t>
      </w:r>
      <w:r w:rsidRPr="00D46131">
        <w:rPr>
          <w:rFonts w:cstheme="minorHAnsi"/>
          <w:lang w:val="fr-FR"/>
        </w:rPr>
        <w:t xml:space="preserve"> 68.188/4, 27 oktober 2020.</w:t>
      </w:r>
    </w:p>
  </w:footnote>
  <w:footnote w:id="259">
    <w:p w14:paraId="5DEC87D2" w14:textId="77777777"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Het betrof onder meer de volgende begrippen: « séjour sur un territoire à très haut risque d’infection par la COVID-19 », « personnes supposées infectées », « contacts étroits ou à hauts risques ».</w:t>
      </w:r>
    </w:p>
  </w:footnote>
  <w:footnote w:id="260">
    <w:p w14:paraId="562368F7" w14:textId="27F6A0E6"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Het advies verwijst ook uitvoerig naar EHRM (GK), advies van 29 mei 2020 « relatif à l’utilisation de la technique de « législation par référence » pour la définition d’une infraction et aux critères à appliquer pour comparer la loi pénale telle qu’elle était en vigueur au moment de la commission de l’infraction et la loi pénale telle que modifiée », nr. P16-2019-001</w:t>
      </w:r>
      <w:r w:rsidRPr="00D46131">
        <w:rPr>
          <w:rFonts w:cstheme="minorHAnsi"/>
          <w:i/>
          <w:iCs/>
          <w:lang w:val="fr-FR"/>
        </w:rPr>
        <w:t xml:space="preserve">, </w:t>
      </w:r>
      <w:r w:rsidRPr="00D46131">
        <w:rPr>
          <w:rFonts w:cstheme="minorHAnsi"/>
          <w:lang w:val="fr-FR"/>
        </w:rPr>
        <w:t>§ 61.</w:t>
      </w:r>
      <w:r>
        <w:rPr>
          <w:rFonts w:cstheme="minorHAnsi"/>
          <w:lang w:val="fr-FR"/>
        </w:rPr>
        <w:t xml:space="preserve"> </w:t>
      </w:r>
    </w:p>
  </w:footnote>
  <w:footnote w:id="261">
    <w:p w14:paraId="277EB83A" w14:textId="61FFFD2C"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3F770A">
        <w:rPr>
          <w:rFonts w:cstheme="minorHAnsi"/>
        </w:rPr>
        <w:t xml:space="preserve"> Adv.RvS 66.881/AV, 24 februari 2020, nr. 11.4. </w:t>
      </w:r>
      <w:r w:rsidRPr="00D46131">
        <w:rPr>
          <w:rFonts w:cstheme="minorHAnsi"/>
          <w:lang w:val="nl-NL"/>
        </w:rPr>
        <w:t>In dezelfde zin over diverse amendementen die aan dit bezwaar wensen tegemoet te komen maar daar niet helemaal in slagen</w:t>
      </w:r>
      <w:r w:rsidR="00226A00">
        <w:rPr>
          <w:rFonts w:cstheme="minorHAnsi"/>
          <w:lang w:val="nl-NL"/>
        </w:rPr>
        <w:t>, zie</w:t>
      </w:r>
      <w:r w:rsidRPr="00D46131">
        <w:rPr>
          <w:rFonts w:cstheme="minorHAnsi"/>
          <w:lang w:val="nl-NL"/>
        </w:rPr>
        <w:t xml:space="preserve"> </w:t>
      </w:r>
      <w:r>
        <w:rPr>
          <w:rFonts w:cstheme="minorHAnsi"/>
          <w:lang w:val="nl-NL"/>
        </w:rPr>
        <w:t>Adv.RvS</w:t>
      </w:r>
      <w:r w:rsidRPr="00D46131">
        <w:rPr>
          <w:rFonts w:cstheme="minorHAnsi"/>
          <w:lang w:val="nl-NL"/>
        </w:rPr>
        <w:t xml:space="preserve"> 67.122/AV, 19 juni 2020, nr.</w:t>
      </w:r>
      <w:r>
        <w:rPr>
          <w:rFonts w:cstheme="minorHAnsi"/>
          <w:lang w:val="nl-NL"/>
        </w:rPr>
        <w:t xml:space="preserve"> </w:t>
      </w:r>
      <w:r w:rsidRPr="00D46131">
        <w:rPr>
          <w:rFonts w:cstheme="minorHAnsi"/>
          <w:lang w:val="nl-NL"/>
        </w:rPr>
        <w:t>9 en verder.</w:t>
      </w:r>
    </w:p>
  </w:footnote>
  <w:footnote w:id="262">
    <w:p w14:paraId="436E6382" w14:textId="4A892252"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kern w:val="1"/>
          <w:lang w:val="nl-NL" w:bidi="nl-BE"/>
        </w:rPr>
        <w:t>Adv.RvS</w:t>
      </w:r>
      <w:r w:rsidRPr="00D46131">
        <w:rPr>
          <w:rFonts w:cstheme="minorHAnsi"/>
          <w:kern w:val="1"/>
          <w:lang w:val="nl-NL" w:bidi="nl-BE"/>
        </w:rPr>
        <w:t xml:space="preserve"> 67.057/AV, 12 november 2020, nr. 9. In hetzelfde advies wordt een gelijkaardige opmerking geformuleerd het volgende randnummer m</w:t>
      </w:r>
      <w:r w:rsidR="00226A00">
        <w:rPr>
          <w:rFonts w:cstheme="minorHAnsi"/>
          <w:kern w:val="1"/>
          <w:lang w:val="nl-NL" w:bidi="nl-BE"/>
        </w:rPr>
        <w:t>.</w:t>
      </w:r>
      <w:r w:rsidRPr="00D46131">
        <w:rPr>
          <w:rFonts w:cstheme="minorHAnsi"/>
          <w:kern w:val="1"/>
          <w:lang w:val="nl-NL" w:bidi="nl-BE"/>
        </w:rPr>
        <w:t>b</w:t>
      </w:r>
      <w:r w:rsidR="00226A00">
        <w:rPr>
          <w:rFonts w:cstheme="minorHAnsi"/>
          <w:kern w:val="1"/>
          <w:lang w:val="nl-NL" w:bidi="nl-BE"/>
        </w:rPr>
        <w:t>.</w:t>
      </w:r>
      <w:r w:rsidRPr="00D46131">
        <w:rPr>
          <w:rFonts w:cstheme="minorHAnsi"/>
          <w:kern w:val="1"/>
          <w:lang w:val="nl-NL" w:bidi="nl-BE"/>
        </w:rPr>
        <w:t>t</w:t>
      </w:r>
      <w:r w:rsidR="00226A00">
        <w:rPr>
          <w:rFonts w:cstheme="minorHAnsi"/>
          <w:kern w:val="1"/>
          <w:lang w:val="nl-NL" w:bidi="nl-BE"/>
        </w:rPr>
        <w:t>.</w:t>
      </w:r>
      <w:r w:rsidRPr="00D46131">
        <w:rPr>
          <w:rFonts w:cstheme="minorHAnsi"/>
          <w:kern w:val="1"/>
          <w:lang w:val="nl-NL" w:bidi="nl-BE"/>
        </w:rPr>
        <w:t xml:space="preserve"> de ondertoezichtstelling: “Wat de proportionaliteit van de ondertoezichtstelling betreft, dienen de motieven waarop daarvoor gesteund wordt, zoals opgemerkt is in punt C, 1, van dit advies, bijzonder deugdelijk te zijn en moeten ze geval voor geval onderzocht worden, aangezien de ontwrichting van een gezin een zeer ernstige inmenging vormt. De ondertoezichtstelling moet daarenboven een in principe tijdelijke maatregel zijn die dient te vervallen zodra het opnieuw mogelijk is om ouder en kind samen te brengen en die slechts als laatste redmiddel getroffen mag worden wanneer het belang van het ongeboren kind niet gevrijwaard kan worden met andere maatregelen waardoor het recht op eerbiediging van het privéleven en het gezinsleven van de betrokkenen minder aangetast zou worden. Ook in dit verband zal het alleen door middel van bijzondere maatregelen die beschreven zouden worden in bijzondere wetten, zoals, bijvoorbeeld, de wetten betreffende de jeugdbescherming, mogelijk zijn ervoor te zorgen dat de maatregel proportioneel is in het licht van het nagestreefde doel en dat tussen de fundamentele rechten die in het geding zijn een evenwicht tot stand gebracht wordt. Met de invoeging op zich van een dermate algemene maatregel als die welke voorgesteld wordt, kan niet genoegzaam gewaarborgd worden dat dit evenwicht tot stand komt”.</w:t>
      </w:r>
    </w:p>
  </w:footnote>
  <w:footnote w:id="263">
    <w:p w14:paraId="7CEC5547" w14:textId="059BB50C"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EHRM 15 februari 2005, </w:t>
      </w:r>
      <w:r w:rsidRPr="00D46131">
        <w:rPr>
          <w:rFonts w:cstheme="minorHAnsi"/>
          <w:i/>
          <w:lang w:val="fr-FR"/>
        </w:rPr>
        <w:t>Steel en Morris t. Verenigd Koninkrijk</w:t>
      </w:r>
      <w:r w:rsidRPr="00D46131">
        <w:rPr>
          <w:rFonts w:cstheme="minorHAnsi"/>
          <w:lang w:val="fr-FR"/>
        </w:rPr>
        <w:t>, § 87: “Dans sa pratique, la Cour distingue entre faits et jugements de valeur. Si la matérialité des premiers peut se prouver, les seconds ne se prêtent pas à une démonstration de leur exactitude. Lorsqu</w:t>
      </w:r>
      <w:r w:rsidR="00226A00">
        <w:rPr>
          <w:rFonts w:cstheme="minorHAnsi"/>
          <w:lang w:val="fr-FR"/>
        </w:rPr>
        <w:t>’</w:t>
      </w:r>
      <w:r w:rsidRPr="00D46131">
        <w:rPr>
          <w:rFonts w:cstheme="minorHAnsi"/>
          <w:lang w:val="fr-FR"/>
        </w:rPr>
        <w:t>une déclaration s</w:t>
      </w:r>
      <w:r w:rsidR="00226A00">
        <w:rPr>
          <w:rFonts w:cstheme="minorHAnsi"/>
          <w:lang w:val="fr-FR"/>
        </w:rPr>
        <w:t>’</w:t>
      </w:r>
      <w:r w:rsidRPr="00D46131">
        <w:rPr>
          <w:rFonts w:cstheme="minorHAnsi"/>
          <w:lang w:val="fr-FR"/>
        </w:rPr>
        <w:t>analyse en un jugement de valeur, la proportionnalité de l</w:t>
      </w:r>
      <w:r>
        <w:rPr>
          <w:rFonts w:cstheme="minorHAnsi"/>
          <w:lang w:val="fr-FR"/>
        </w:rPr>
        <w:t>’</w:t>
      </w:r>
      <w:r w:rsidRPr="00D46131">
        <w:rPr>
          <w:rFonts w:cstheme="minorHAnsi"/>
          <w:lang w:val="fr-FR"/>
        </w:rPr>
        <w:t>ingérence peut être fonction de l</w:t>
      </w:r>
      <w:r w:rsidR="00226A00">
        <w:rPr>
          <w:rFonts w:cstheme="minorHAnsi"/>
          <w:lang w:val="fr-FR"/>
        </w:rPr>
        <w:t>’</w:t>
      </w:r>
      <w:r w:rsidRPr="00D46131">
        <w:rPr>
          <w:rFonts w:cstheme="minorHAnsi"/>
          <w:lang w:val="fr-FR"/>
        </w:rPr>
        <w:t>existence d</w:t>
      </w:r>
      <w:r w:rsidR="00226A00">
        <w:rPr>
          <w:rFonts w:cstheme="minorHAnsi"/>
          <w:lang w:val="fr-FR"/>
        </w:rPr>
        <w:t>’</w:t>
      </w:r>
      <w:r w:rsidRPr="00D46131">
        <w:rPr>
          <w:rFonts w:cstheme="minorHAnsi"/>
          <w:lang w:val="fr-FR"/>
        </w:rPr>
        <w:t>une base factuelle suffisante car, faute d</w:t>
      </w:r>
      <w:r w:rsidR="00226A00">
        <w:rPr>
          <w:rFonts w:cstheme="minorHAnsi"/>
          <w:lang w:val="fr-FR"/>
        </w:rPr>
        <w:t>’</w:t>
      </w:r>
      <w:r w:rsidRPr="00D46131">
        <w:rPr>
          <w:rFonts w:cstheme="minorHAnsi"/>
          <w:lang w:val="fr-FR"/>
        </w:rPr>
        <w:t>une telle base, un jugement de valeur peut lui aussi se révéler excessif.”</w:t>
      </w:r>
    </w:p>
  </w:footnote>
  <w:footnote w:id="264">
    <w:p w14:paraId="119089F2" w14:textId="2B666B5C"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w:t>
      </w:r>
      <w:r>
        <w:rPr>
          <w:rFonts w:cstheme="minorHAnsi"/>
          <w:lang w:val="fr-FR"/>
        </w:rPr>
        <w:t>Adv.RvS</w:t>
      </w:r>
      <w:r w:rsidRPr="00D46131">
        <w:rPr>
          <w:rFonts w:cstheme="minorHAnsi"/>
          <w:lang w:val="fr-FR"/>
        </w:rPr>
        <w:t xml:space="preserve"> 66.881/AV,</w:t>
      </w:r>
      <w:r>
        <w:rPr>
          <w:rFonts w:cstheme="minorHAnsi"/>
          <w:lang w:val="fr-FR"/>
        </w:rPr>
        <w:t xml:space="preserve"> </w:t>
      </w:r>
      <w:r w:rsidRPr="00D46131">
        <w:rPr>
          <w:rFonts w:cstheme="minorHAnsi"/>
          <w:lang w:val="fr-FR"/>
        </w:rPr>
        <w:t>24 februari 2020, 11.5.</w:t>
      </w:r>
    </w:p>
  </w:footnote>
  <w:footnote w:id="265">
    <w:p w14:paraId="7108B3D8" w14:textId="69E6DDF9" w:rsidR="00C54441" w:rsidRPr="00D46131" w:rsidRDefault="00C54441" w:rsidP="00710FAC">
      <w:pPr>
        <w:pStyle w:val="Voetnoottekst"/>
        <w:jc w:val="both"/>
        <w:rPr>
          <w:rFonts w:cstheme="minorHAnsi"/>
          <w:lang w:val="fr-FR"/>
        </w:rPr>
      </w:pPr>
      <w:r w:rsidRPr="00D46131">
        <w:rPr>
          <w:rStyle w:val="Voetnootmarkering"/>
          <w:rFonts w:cstheme="minorHAnsi"/>
        </w:rPr>
        <w:footnoteRef/>
      </w:r>
      <w:r w:rsidRPr="00D46131">
        <w:rPr>
          <w:rFonts w:cstheme="minorHAnsi"/>
          <w:lang w:val="fr-FR"/>
        </w:rPr>
        <w:t xml:space="preserve"> </w:t>
      </w:r>
      <w:r>
        <w:rPr>
          <w:rFonts w:cstheme="minorHAnsi"/>
          <w:lang w:val="fr-FR"/>
        </w:rPr>
        <w:t>Adv.RvS</w:t>
      </w:r>
      <w:r w:rsidRPr="00D46131">
        <w:rPr>
          <w:rFonts w:cstheme="minorHAnsi"/>
          <w:lang w:val="fr-FR"/>
        </w:rPr>
        <w:t xml:space="preserve"> 65.036/4, 20 februari 2019. </w:t>
      </w:r>
    </w:p>
  </w:footnote>
  <w:footnote w:id="266">
    <w:p w14:paraId="75E868BD"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Zie bijvoorbeeld </w:t>
      </w:r>
      <w:r w:rsidRPr="00D46131">
        <w:rPr>
          <w:rFonts w:cstheme="minorHAnsi"/>
          <w:lang w:val="nl-NL"/>
        </w:rPr>
        <w:t>Kroniek 2017-18, nr. 53 en in het bijzonder Adv.RvS 64.535/3, 10 januari 2019 over het voorontwerp van decreet betreffende de bestuurlijke handhaving dat reeds in die Kroniek werd besproken.</w:t>
      </w:r>
    </w:p>
  </w:footnote>
  <w:footnote w:id="267">
    <w:p w14:paraId="700723DA" w14:textId="6A055040"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67.078/3, 8 april 2020.</w:t>
      </w:r>
    </w:p>
  </w:footnote>
  <w:footnote w:id="268">
    <w:p w14:paraId="5CF75283" w14:textId="2E528AC2"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Zie onder meer Koninklijk besluit nr. 2 van 9 april 2020 met betrekking tot de verlenging van de verjaringstermijnen en de andere termijnen om in rechte te treden, alsmede de verlenging van de termijnen van de rechtspleging en de schriftelijke behandeling voor de hoven en rechtbanken, Koninklijk besluit nr. 3 van 9 april 2020 houdende diverse bepalingen inzake strafprocedure en uitvoering van straffen en maatregelen in het kader van de strijd tegen de verspreiding van het coronavirus COVID-19,</w:t>
      </w:r>
      <w:r>
        <w:rPr>
          <w:rFonts w:cstheme="minorHAnsi"/>
          <w:lang w:val="nl-NL"/>
        </w:rPr>
        <w:t xml:space="preserve"> </w:t>
      </w:r>
      <w:r w:rsidRPr="00D46131">
        <w:rPr>
          <w:rFonts w:cstheme="minorHAnsi"/>
          <w:lang w:val="nl-NL"/>
        </w:rPr>
        <w:t xml:space="preserve">Koninklijk besluit nr. 12 van 21 april 2020 met betrekking tot de verlenging van de termijnen van de rechtspleging voor de Raad van State en de schriftelijke behandeling van de zaken, Wet van 20 mei 2020 houdende diverse bepalingen inzake justitie in het kader van de strijd tegen de verspreiding van het coronavirus COVID-19’ en de </w:t>
      </w:r>
      <w:r w:rsidRPr="00D46131">
        <w:rPr>
          <w:rFonts w:cstheme="minorHAnsi"/>
        </w:rPr>
        <w:t>wet van 20 december 2020 ‘houdende diverse tijdelijke en structurele bepalingen inzake justitie in het kader van de strijd tegen de verspreiding van het coronavirus COVID-19’</w:t>
      </w:r>
      <w:r w:rsidRPr="00D46131">
        <w:rPr>
          <w:rFonts w:cstheme="minorHAnsi"/>
          <w:lang w:val="nl-NL"/>
        </w:rPr>
        <w:t xml:space="preserve">. </w:t>
      </w:r>
    </w:p>
  </w:footnote>
  <w:footnote w:id="269">
    <w:p w14:paraId="17255039" w14:textId="26F5FEF2"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68.261/1-2, 13 november 2020.</w:t>
      </w:r>
    </w:p>
  </w:footnote>
  <w:footnote w:id="270">
    <w:p w14:paraId="0D834C03"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EHRM, 5 oktober 2006, </w:t>
      </w:r>
      <w:r w:rsidRPr="00D46131">
        <w:rPr>
          <w:rFonts w:cstheme="minorHAnsi"/>
          <w:i/>
        </w:rPr>
        <w:t>Marcello Viola t. Italië</w:t>
      </w:r>
      <w:r w:rsidRPr="00D46131">
        <w:rPr>
          <w:rFonts w:cstheme="minorHAnsi"/>
        </w:rPr>
        <w:t xml:space="preserve">, §§ 63 e.v., bevestigd door onder meer EHRM, Grote Kamer, 5 april 2009, </w:t>
      </w:r>
      <w:r w:rsidRPr="00D46131">
        <w:rPr>
          <w:rFonts w:cstheme="minorHAnsi"/>
          <w:i/>
        </w:rPr>
        <w:t>Sakhnovskiy t. Rusland</w:t>
      </w:r>
      <w:r w:rsidRPr="00D46131">
        <w:rPr>
          <w:rFonts w:cstheme="minorHAnsi"/>
        </w:rPr>
        <w:t xml:space="preserve">; EHRM, 1 februari 2016, </w:t>
      </w:r>
      <w:r w:rsidRPr="00D46131">
        <w:rPr>
          <w:rFonts w:cstheme="minorHAnsi"/>
          <w:i/>
        </w:rPr>
        <w:t>Yevdokimo e.a. t. Rusland</w:t>
      </w:r>
      <w:r w:rsidRPr="00D46131">
        <w:rPr>
          <w:rFonts w:cstheme="minorHAnsi"/>
        </w:rPr>
        <w:t xml:space="preserve">, § 43; 2 oktober 2018, </w:t>
      </w:r>
      <w:r w:rsidRPr="00D46131">
        <w:rPr>
          <w:rFonts w:cstheme="minorHAnsi"/>
          <w:i/>
        </w:rPr>
        <w:t>Bivolaru t. Roemenië</w:t>
      </w:r>
      <w:r w:rsidRPr="00D46131">
        <w:rPr>
          <w:rFonts w:cstheme="minorHAnsi"/>
        </w:rPr>
        <w:t>, §§ 138 en 139.</w:t>
      </w:r>
    </w:p>
  </w:footnote>
  <w:footnote w:id="271">
    <w:p w14:paraId="0107D680" w14:textId="77777777"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Zie in dit verband Hof van Justitie, 16 juli 2020, </w:t>
      </w:r>
      <w:r w:rsidRPr="00D46131">
        <w:rPr>
          <w:rFonts w:cstheme="minorHAnsi"/>
          <w:i/>
        </w:rPr>
        <w:t>Schrems II</w:t>
      </w:r>
      <w:r w:rsidRPr="00D46131">
        <w:rPr>
          <w:rFonts w:cstheme="minorHAnsi"/>
        </w:rPr>
        <w:t>, C-311/18.</w:t>
      </w:r>
    </w:p>
  </w:footnote>
  <w:footnote w:id="272">
    <w:p w14:paraId="24BCA3F3" w14:textId="38C72B6F" w:rsidR="00C54441" w:rsidRPr="00B333AE" w:rsidRDefault="00C54441" w:rsidP="00710FAC">
      <w:pPr>
        <w:pStyle w:val="Voetnoottekst"/>
        <w:jc w:val="both"/>
        <w:rPr>
          <w:rFonts w:cstheme="minorHAnsi"/>
        </w:rPr>
      </w:pPr>
      <w:r w:rsidRPr="00D46131">
        <w:rPr>
          <w:rStyle w:val="Voetnootmarkering"/>
          <w:rFonts w:cstheme="minorHAnsi"/>
        </w:rPr>
        <w:footnoteRef/>
      </w:r>
      <w:r w:rsidRPr="00D46131">
        <w:rPr>
          <w:rFonts w:cstheme="minorHAnsi"/>
        </w:rPr>
        <w:t xml:space="preserve"> In dit verband kan volgens de Raad van State, louter bij wijze van voorbeeld, worden gewezen op de rechtspraak van het Hof van Justitie dat bij belastingmaatregelen ter voorkoming en bestrijding van fraude het evenredigheidsbeginsel vereist dat de belastingplichtige in de gelegenheid wordt gesteld tegenbewijs te leveren (zie bv. </w:t>
      </w:r>
      <w:r w:rsidRPr="00B333AE">
        <w:rPr>
          <w:rFonts w:cstheme="minorHAnsi"/>
        </w:rPr>
        <w:t xml:space="preserve">HvJ 19 september 2000, </w:t>
      </w:r>
      <w:r w:rsidRPr="00B333AE">
        <w:rPr>
          <w:rFonts w:cstheme="minorHAnsi"/>
          <w:i/>
        </w:rPr>
        <w:t xml:space="preserve">Ampafrance </w:t>
      </w:r>
      <w:r w:rsidRPr="00B333AE">
        <w:rPr>
          <w:rFonts w:cstheme="minorHAnsi"/>
        </w:rPr>
        <w:t xml:space="preserve">, C-177/99 en C-181/99, ECLI:EU:C:2000:470, punt 62, HvJ 4 maart 2004, C-334/02, </w:t>
      </w:r>
      <w:r w:rsidRPr="00B333AE">
        <w:rPr>
          <w:rFonts w:cstheme="minorHAnsi"/>
          <w:i/>
        </w:rPr>
        <w:t>Commissie v. Frankrijk</w:t>
      </w:r>
      <w:r w:rsidRPr="00B333AE">
        <w:rPr>
          <w:rFonts w:cstheme="minorHAnsi"/>
        </w:rPr>
        <w:t xml:space="preserve">, ECLI:EU:C:2004:129, punten 27 en 28 en HvJ 12 september 2006, </w:t>
      </w:r>
      <w:r w:rsidRPr="00B333AE">
        <w:rPr>
          <w:rFonts w:cstheme="minorHAnsi"/>
          <w:i/>
        </w:rPr>
        <w:t>Cadbury Schweppes</w:t>
      </w:r>
      <w:r w:rsidRPr="00B333AE">
        <w:rPr>
          <w:rFonts w:cstheme="minorHAnsi"/>
        </w:rPr>
        <w:t>,</w:t>
      </w:r>
      <w:r w:rsidRPr="00391A4A">
        <w:rPr>
          <w:rFonts w:cstheme="minorHAnsi"/>
        </w:rPr>
        <w:t xml:space="preserve"> </w:t>
      </w:r>
      <w:r w:rsidRPr="00582C79">
        <w:rPr>
          <w:rFonts w:cstheme="minorHAnsi"/>
        </w:rPr>
        <w:t>C-196/04,</w:t>
      </w:r>
      <w:r>
        <w:rPr>
          <w:rFonts w:cstheme="minorHAnsi"/>
        </w:rPr>
        <w:t xml:space="preserve"> </w:t>
      </w:r>
      <w:r w:rsidRPr="00B333AE">
        <w:rPr>
          <w:rFonts w:cstheme="minorHAnsi"/>
        </w:rPr>
        <w:t>ECLI:EU:C:2006:544, punt 70).</w:t>
      </w:r>
    </w:p>
  </w:footnote>
  <w:footnote w:id="273">
    <w:p w14:paraId="73EA64A3" w14:textId="76C6D0A9" w:rsidR="00C54441" w:rsidRPr="00D46131" w:rsidRDefault="00C54441" w:rsidP="00710FAC">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Pr>
          <w:rFonts w:cstheme="minorHAnsi"/>
          <w:lang w:val="nl-NL"/>
        </w:rPr>
        <w:t>Adv.RvS</w:t>
      </w:r>
      <w:r w:rsidRPr="00D46131">
        <w:rPr>
          <w:rFonts w:cstheme="minorHAnsi"/>
          <w:lang w:val="nl-NL"/>
        </w:rPr>
        <w:t xml:space="preserve"> 67.621/3, 22 juni 2020.</w:t>
      </w:r>
    </w:p>
  </w:footnote>
  <w:footnote w:id="274">
    <w:p w14:paraId="3A9EB2EC"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Bv. kroniek </w:t>
      </w:r>
      <w:r w:rsidRPr="00D46131">
        <w:rPr>
          <w:rFonts w:cstheme="minorHAnsi"/>
          <w:lang w:val="nl-NL"/>
        </w:rPr>
        <w:t>2017-2018, nr. 67 en kroniek 2007-2008, nrs. 16-19.</w:t>
      </w:r>
    </w:p>
  </w:footnote>
  <w:footnote w:id="275">
    <w:p w14:paraId="7542EA56" w14:textId="77777777" w:rsidR="00C54441" w:rsidRPr="00D46131" w:rsidRDefault="00C54441" w:rsidP="00D46131">
      <w:pPr>
        <w:pStyle w:val="Voetnoottekst"/>
        <w:jc w:val="both"/>
        <w:rPr>
          <w:rFonts w:cstheme="minorHAnsi"/>
          <w:lang w:val="en-US"/>
        </w:rPr>
      </w:pPr>
      <w:r w:rsidRPr="00D46131">
        <w:rPr>
          <w:rStyle w:val="Voetnootmarkering"/>
          <w:rFonts w:cstheme="minorHAnsi"/>
        </w:rPr>
        <w:footnoteRef/>
      </w:r>
      <w:r w:rsidRPr="00D46131">
        <w:rPr>
          <w:rFonts w:cstheme="minorHAnsi"/>
          <w:lang w:val="en-US"/>
        </w:rPr>
        <w:t xml:space="preserve"> Adv.RvS 67.777/1/V, 27 augustus 2020, nr. 4.</w:t>
      </w:r>
    </w:p>
  </w:footnote>
  <w:footnote w:id="276">
    <w:p w14:paraId="2324E6F2"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B333AE">
        <w:rPr>
          <w:rFonts w:cstheme="minorHAnsi"/>
        </w:rPr>
        <w:t xml:space="preserve"> Adv.RvS 65.625/1, 8 april 2019, nr. 10. </w:t>
      </w:r>
      <w:r w:rsidRPr="00D46131">
        <w:rPr>
          <w:rFonts w:cstheme="minorHAnsi"/>
          <w:lang w:val="nl-NL"/>
        </w:rPr>
        <w:t>Zie ook: Kroniek 2013-14, nr. 73.</w:t>
      </w:r>
    </w:p>
  </w:footnote>
  <w:footnote w:id="277">
    <w:p w14:paraId="59BC9593" w14:textId="77777777" w:rsidR="00C54441" w:rsidRPr="00D46131" w:rsidRDefault="00C54441" w:rsidP="00D46131">
      <w:pPr>
        <w:pStyle w:val="Voetnoottekst"/>
        <w:jc w:val="both"/>
        <w:rPr>
          <w:rFonts w:cstheme="minorHAnsi"/>
        </w:rPr>
      </w:pPr>
      <w:r w:rsidRPr="00D46131">
        <w:rPr>
          <w:rStyle w:val="Voetnootmarkering"/>
          <w:rFonts w:cstheme="minorHAnsi"/>
        </w:rPr>
        <w:footnoteRef/>
      </w:r>
      <w:r w:rsidRPr="00D46131">
        <w:rPr>
          <w:rFonts w:cstheme="minorHAnsi"/>
        </w:rPr>
        <w:t xml:space="preserve"> Adv.RvS </w:t>
      </w:r>
      <w:r w:rsidRPr="00D46131">
        <w:rPr>
          <w:rFonts w:cstheme="minorHAnsi"/>
          <w:lang w:val="nl-NL"/>
        </w:rPr>
        <w:t xml:space="preserve">65.625/1, 8 april 2019, nr. 10. </w:t>
      </w:r>
    </w:p>
  </w:footnote>
  <w:footnote w:id="278">
    <w:p w14:paraId="32C30311"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Adv.RvS 67.997/1, 6 oktober 2020, nrs. 8.1 e.v.</w:t>
      </w:r>
    </w:p>
  </w:footnote>
  <w:footnote w:id="279">
    <w:p w14:paraId="7E5974C5" w14:textId="77777777" w:rsidR="00C54441" w:rsidRPr="00D46131" w:rsidRDefault="00C54441" w:rsidP="00D46131">
      <w:pPr>
        <w:pStyle w:val="Voetnoottekst"/>
        <w:rPr>
          <w:rFonts w:cstheme="minorHAnsi"/>
        </w:rPr>
      </w:pPr>
      <w:r w:rsidRPr="00D46131">
        <w:rPr>
          <w:rStyle w:val="Voetnootmarkering"/>
          <w:rFonts w:cstheme="minorHAnsi"/>
        </w:rPr>
        <w:footnoteRef/>
      </w:r>
      <w:r w:rsidRPr="00D46131">
        <w:rPr>
          <w:rFonts w:cstheme="minorHAnsi"/>
        </w:rPr>
        <w:t xml:space="preserve"> Dat deze begeleidende maatregel nog steeds pertinent is, zie B. </w:t>
      </w:r>
      <w:r w:rsidRPr="00D46131">
        <w:rPr>
          <w:rFonts w:cstheme="minorHAnsi"/>
          <w:smallCaps/>
        </w:rPr>
        <w:t>Hubo</w:t>
      </w:r>
      <w:r w:rsidRPr="00D46131">
        <w:rPr>
          <w:rFonts w:cstheme="minorHAnsi"/>
        </w:rPr>
        <w:t xml:space="preserve">, “Reportage: Dikste krant van het land blijft groeien: op bezoek bij het Staatsblad”, </w:t>
      </w:r>
      <w:r w:rsidRPr="00D46131">
        <w:rPr>
          <w:rFonts w:cstheme="minorHAnsi"/>
          <w:i/>
        </w:rPr>
        <w:t xml:space="preserve">Bruzz </w:t>
      </w:r>
      <w:r w:rsidRPr="00D46131">
        <w:rPr>
          <w:rFonts w:cstheme="minorHAnsi"/>
        </w:rPr>
        <w:t xml:space="preserve">7 februari 2020, </w:t>
      </w:r>
      <w:hyperlink r:id="rId5" w:history="1">
        <w:r w:rsidRPr="00D46131">
          <w:rPr>
            <w:rStyle w:val="Hyperlink"/>
            <w:rFonts w:cstheme="minorHAnsi"/>
          </w:rPr>
          <w:t>https://www.bruzz.be/samenleving/dikste-krant-van-het-land-blijft-groeien-op-bezoek-bij-het-staatsblad-2020-02-07</w:t>
        </w:r>
      </w:hyperlink>
      <w:r w:rsidRPr="00D46131">
        <w:rPr>
          <w:rFonts w:cstheme="minorHAnsi"/>
        </w:rPr>
        <w:t xml:space="preserve"> </w:t>
      </w:r>
    </w:p>
  </w:footnote>
  <w:footnote w:id="280">
    <w:p w14:paraId="48E1A25A" w14:textId="77777777" w:rsidR="00C54441" w:rsidRPr="00D46131" w:rsidRDefault="00C54441" w:rsidP="00D46131">
      <w:pPr>
        <w:pStyle w:val="Voetnoottekst"/>
        <w:rPr>
          <w:rFonts w:cstheme="minorHAnsi"/>
        </w:rPr>
      </w:pPr>
      <w:r w:rsidRPr="00D46131">
        <w:rPr>
          <w:rStyle w:val="Voetnootmarkering"/>
          <w:rFonts w:cstheme="minorHAnsi"/>
        </w:rPr>
        <w:footnoteRef/>
      </w:r>
      <w:r w:rsidRPr="00D46131">
        <w:rPr>
          <w:rFonts w:cstheme="minorHAnsi"/>
        </w:rPr>
        <w:t xml:space="preserve"> Adv.RvS 69.024/2-3, 19 maart 2021, blz. 20-22.</w:t>
      </w:r>
    </w:p>
  </w:footnote>
  <w:footnote w:id="281">
    <w:p w14:paraId="131E290B"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Zie bv. </w:t>
      </w:r>
      <w:r w:rsidRPr="00D46131">
        <w:rPr>
          <w:rFonts w:cstheme="minorHAnsi"/>
          <w:lang w:val="nl-NL"/>
        </w:rPr>
        <w:t>kroniek 2017-2018, nr. 69 en kroniek 2013-2014, nr. 71.</w:t>
      </w:r>
    </w:p>
  </w:footnote>
  <w:footnote w:id="282">
    <w:p w14:paraId="07195661"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Kroniek 2017-2018, nr. 69.</w:t>
      </w:r>
    </w:p>
  </w:footnote>
  <w:footnote w:id="283">
    <w:p w14:paraId="7213705F" w14:textId="77777777" w:rsidR="00C54441" w:rsidRPr="00D46131" w:rsidRDefault="00C54441" w:rsidP="00D46131">
      <w:pPr>
        <w:pStyle w:val="Voetnoottekst"/>
        <w:jc w:val="both"/>
        <w:rPr>
          <w:rFonts w:cstheme="minorHAnsi"/>
        </w:rPr>
      </w:pPr>
      <w:r w:rsidRPr="00D46131">
        <w:rPr>
          <w:rStyle w:val="Voetnootmarkering"/>
          <w:rFonts w:cstheme="minorHAnsi"/>
        </w:rPr>
        <w:footnoteRef/>
      </w:r>
      <w:r w:rsidRPr="00D46131">
        <w:rPr>
          <w:rFonts w:cstheme="minorHAnsi"/>
        </w:rPr>
        <w:t xml:space="preserve"> GBA aanbeveling nr. 1/2019 van 6 februari 2019, </w:t>
      </w:r>
      <w:hyperlink r:id="rId6" w:history="1">
        <w:r w:rsidRPr="00D46131">
          <w:rPr>
            <w:rStyle w:val="Hyperlink"/>
            <w:rFonts w:cstheme="minorHAnsi"/>
          </w:rPr>
          <w:t>https://www.gegevensbeschermingsautoriteit.be/publications/aanbeveling-nr.-01-2019.pdf</w:t>
        </w:r>
      </w:hyperlink>
      <w:r w:rsidRPr="00D46131">
        <w:rPr>
          <w:rFonts w:cstheme="minorHAnsi"/>
        </w:rPr>
        <w:t>, blz. 8.</w:t>
      </w:r>
    </w:p>
  </w:footnote>
  <w:footnote w:id="284">
    <w:p w14:paraId="6ECAE1FF"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GBA inspectiedienst bevel tot voorlopige opschorting van 18 mei 2020 en </w:t>
      </w:r>
      <w:r w:rsidRPr="00D46131">
        <w:rPr>
          <w:rFonts w:cstheme="minorHAnsi"/>
          <w:lang w:val="nl-NL"/>
        </w:rPr>
        <w:t xml:space="preserve">GBA geschillenkamer beslissing ten gronde 82/2020 van 23 december 2020, </w:t>
      </w:r>
      <w:hyperlink r:id="rId7" w:history="1">
        <w:r w:rsidRPr="00D46131">
          <w:rPr>
            <w:rStyle w:val="Hyperlink"/>
            <w:rFonts w:cstheme="minorHAnsi"/>
            <w:lang w:val="nl-NL"/>
          </w:rPr>
          <w:t>https://www.autoriteprotectiondonnees.be/publications/decision-quant-au-fond-n-82-2020.pdf</w:t>
        </w:r>
      </w:hyperlink>
      <w:r w:rsidRPr="00D46131">
        <w:rPr>
          <w:rFonts w:cstheme="minorHAnsi"/>
          <w:lang w:val="nl-NL"/>
        </w:rPr>
        <w:t xml:space="preserve"> </w:t>
      </w:r>
    </w:p>
  </w:footnote>
  <w:footnote w:id="285">
    <w:p w14:paraId="784CECA5"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Kroniek 2015-2016, nr. 96 en kroniek 2013-2014, nr. 74. In de thans besproken periode, zie bv. A</w:t>
      </w:r>
      <w:r w:rsidRPr="00D46131">
        <w:rPr>
          <w:rFonts w:cstheme="minorHAnsi"/>
        </w:rPr>
        <w:t>dv.RvS</w:t>
      </w:r>
      <w:r w:rsidRPr="00D46131">
        <w:rPr>
          <w:rFonts w:cstheme="minorHAnsi"/>
          <w:lang w:val="nl-NL"/>
        </w:rPr>
        <w:t xml:space="preserve"> 65.032/1, 22 februari 2019, 7 (door verwijzing werden de criteria vervat in de praktische handleidingen voor vegetatiekartering en het rapport INBO.M.2001.1 zoals gepubliceerd door het Instituut voor Natuur en Bosonderzoek verbindend voor het bepalen van de ecologische waarde van het bos). </w:t>
      </w:r>
    </w:p>
  </w:footnote>
  <w:footnote w:id="286">
    <w:p w14:paraId="3A1F5D45" w14:textId="77777777" w:rsidR="00C54441" w:rsidRPr="00D46131" w:rsidRDefault="00C54441" w:rsidP="00D46131">
      <w:pPr>
        <w:autoSpaceDE w:val="0"/>
        <w:autoSpaceDN w:val="0"/>
        <w:adjustRightInd w:val="0"/>
        <w:spacing w:after="0" w:line="240" w:lineRule="auto"/>
        <w:jc w:val="both"/>
        <w:rPr>
          <w:rFonts w:cstheme="minorHAnsi"/>
          <w:sz w:val="20"/>
          <w:szCs w:val="20"/>
          <w:lang w:val="nl-NL"/>
        </w:rPr>
      </w:pPr>
      <w:r w:rsidRPr="00D46131">
        <w:rPr>
          <w:rStyle w:val="Voetnootmarkering"/>
          <w:rFonts w:cstheme="minorHAnsi"/>
          <w:sz w:val="20"/>
          <w:szCs w:val="20"/>
        </w:rPr>
        <w:footnoteRef/>
      </w:r>
      <w:r w:rsidRPr="00D46131">
        <w:rPr>
          <w:rFonts w:cstheme="minorHAnsi"/>
          <w:sz w:val="20"/>
          <w:szCs w:val="20"/>
        </w:rPr>
        <w:t xml:space="preserve"> </w:t>
      </w:r>
      <w:r w:rsidRPr="00D46131">
        <w:rPr>
          <w:rFonts w:cstheme="minorHAnsi"/>
          <w:sz w:val="20"/>
          <w:szCs w:val="20"/>
          <w:lang w:val="nl-NL"/>
        </w:rPr>
        <w:t>Kroniek 2013-2014, nr. 74, kroniek 2011-2012, nrs. 65-67, kroniek 2009-2010, nrs. 58-59 en kroniek 2007- 2008, nr. 17.</w:t>
      </w:r>
    </w:p>
  </w:footnote>
  <w:footnote w:id="287">
    <w:p w14:paraId="6049E61F"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Adv.RvS 65.529/3, 18 maart 2019, nr. 4.3; Adv.RvS 65.929/3</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 9 mei 2019, nr. 5.2.</w:t>
      </w:r>
    </w:p>
  </w:footnote>
  <w:footnote w:id="288">
    <w:p w14:paraId="0E0E2D19"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w:t>
      </w:r>
      <w:r w:rsidRPr="00D46131">
        <w:rPr>
          <w:rFonts w:cstheme="minorHAnsi"/>
          <w:lang w:val="nl-NL"/>
        </w:rPr>
        <w:t>Adv.RvS 67.404/3, 12 juni 2020, nr. 3.</w:t>
      </w:r>
    </w:p>
  </w:footnote>
  <w:footnote w:id="289">
    <w:p w14:paraId="50E4D8E5"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Adv.RvS </w:t>
      </w:r>
      <w:r w:rsidRPr="00D46131">
        <w:rPr>
          <w:rFonts w:cstheme="minorHAnsi"/>
          <w:lang w:val="nl-NL"/>
        </w:rPr>
        <w:t>68.257/3</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 8 december 2020, nr. 4.2.</w:t>
      </w:r>
    </w:p>
  </w:footnote>
  <w:footnote w:id="290">
    <w:p w14:paraId="7661A799"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Adv.RvS </w:t>
      </w:r>
      <w:r w:rsidRPr="00D46131">
        <w:rPr>
          <w:rFonts w:cstheme="minorHAnsi"/>
          <w:lang w:val="nl-NL"/>
        </w:rPr>
        <w:t xml:space="preserve">68.048/VR, </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12 november 2020, nr. 5. Zie ook: kroniek 2007-2008, nr. 19.</w:t>
      </w:r>
    </w:p>
  </w:footnote>
  <w:footnote w:id="291">
    <w:p w14:paraId="1B6793B1" w14:textId="77777777" w:rsidR="00C54441" w:rsidRPr="00D46131" w:rsidRDefault="00C54441" w:rsidP="00D46131">
      <w:pPr>
        <w:pStyle w:val="Voetnoottekst"/>
        <w:jc w:val="both"/>
        <w:rPr>
          <w:rFonts w:cstheme="minorHAnsi"/>
          <w:lang w:val="en-US"/>
        </w:rPr>
      </w:pPr>
      <w:r w:rsidRPr="00D46131">
        <w:rPr>
          <w:rStyle w:val="Voetnootmarkering"/>
          <w:rFonts w:cstheme="minorHAnsi"/>
        </w:rPr>
        <w:footnoteRef/>
      </w:r>
      <w:r w:rsidRPr="00D46131">
        <w:rPr>
          <w:rFonts w:cstheme="minorHAnsi"/>
        </w:rPr>
        <w:t xml:space="preserve"> Dit geldt overigens ook voor arresten op een vernietigingsberoep die worden verworpen, zie bv. waarin tot de verwerping wordt besloten, zie bv. </w:t>
      </w:r>
      <w:r w:rsidRPr="00D46131">
        <w:rPr>
          <w:rFonts w:cstheme="minorHAnsi"/>
          <w:lang w:val="en-US"/>
        </w:rPr>
        <w:t>Cass. 24 februari 2021 AR P.20.0965.F, ECLI:BE:CASS:2021:ARR.20210224.2F.20.</w:t>
      </w:r>
    </w:p>
  </w:footnote>
  <w:footnote w:id="292">
    <w:p w14:paraId="6F99B18F" w14:textId="77777777"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Adv.RvS </w:t>
      </w:r>
      <w:r w:rsidRPr="00D46131">
        <w:rPr>
          <w:rFonts w:cstheme="minorHAnsi"/>
          <w:lang w:val="nl-NL"/>
        </w:rPr>
        <w:t xml:space="preserve">68.048/VR, </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12 november 2020, nrs. 8 en 6.</w:t>
      </w:r>
    </w:p>
  </w:footnote>
  <w:footnote w:id="293">
    <w:p w14:paraId="763DA6FE" w14:textId="6058E122" w:rsidR="00C54441" w:rsidRPr="00D46131" w:rsidRDefault="00C54441" w:rsidP="00D46131">
      <w:pPr>
        <w:pStyle w:val="Voetnoottekst"/>
        <w:jc w:val="both"/>
        <w:rPr>
          <w:rFonts w:cstheme="minorHAnsi"/>
          <w:lang w:val="nl-NL"/>
        </w:rPr>
      </w:pPr>
      <w:r w:rsidRPr="00D46131">
        <w:rPr>
          <w:rStyle w:val="Voetnootmarkering"/>
          <w:rFonts w:cstheme="minorHAnsi"/>
        </w:rPr>
        <w:footnoteRef/>
      </w:r>
      <w:r w:rsidRPr="00D46131">
        <w:rPr>
          <w:rFonts w:cstheme="minorHAnsi"/>
        </w:rPr>
        <w:t xml:space="preserve"> Adv.RvS </w:t>
      </w:r>
      <w:r w:rsidRPr="00D46131">
        <w:rPr>
          <w:rFonts w:cstheme="minorHAnsi"/>
          <w:lang w:val="nl-NL"/>
        </w:rPr>
        <w:t xml:space="preserve">68.048/VR, </w:t>
      </w:r>
      <w:r w:rsidRPr="00D46131">
        <w:rPr>
          <w:rFonts w:cstheme="minorHAnsi"/>
          <w:lang w:val="nl-NL"/>
        </w:rPr>
        <w:fldChar w:fldCharType="begin"/>
      </w:r>
      <w:r w:rsidRPr="00D46131">
        <w:rPr>
          <w:rFonts w:cstheme="minorHAnsi"/>
          <w:lang w:val="nl-NL"/>
        </w:rPr>
        <w:instrText xml:space="preserve">  </w:instrText>
      </w:r>
      <w:r w:rsidRPr="00D46131">
        <w:rPr>
          <w:rFonts w:cstheme="minorHAnsi"/>
          <w:lang w:val="nl-NL"/>
        </w:rPr>
        <w:fldChar w:fldCharType="end"/>
      </w:r>
      <w:r w:rsidRPr="00D46131">
        <w:rPr>
          <w:rFonts w:cstheme="minorHAnsi"/>
          <w:lang w:val="nl-NL"/>
        </w:rPr>
        <w:t>12 november 2020, nr. 9.6. Zie ook</w:t>
      </w:r>
      <w:r w:rsidR="00825BC2">
        <w:rPr>
          <w:rFonts w:cstheme="minorHAnsi"/>
          <w:lang w:val="nl-NL"/>
        </w:rPr>
        <w:t xml:space="preserve"> nr. 25 van deze kroniek</w:t>
      </w:r>
      <w:r w:rsidRPr="00D46131">
        <w:rPr>
          <w:rFonts w:cstheme="minorHAnsi"/>
          <w:lang w:val="nl-NL"/>
        </w:rPr>
        <w:t xml:space="preserve">. </w:t>
      </w:r>
    </w:p>
  </w:footnote>
  <w:footnote w:id="294">
    <w:p w14:paraId="21D05950" w14:textId="77777777" w:rsidR="00C54441" w:rsidRDefault="00C54441" w:rsidP="00D46131">
      <w:pPr>
        <w:pStyle w:val="Voetnoottekst"/>
      </w:pPr>
      <w:r>
        <w:rPr>
          <w:rStyle w:val="Voetnootmarkering"/>
        </w:rPr>
        <w:footnoteRef/>
      </w:r>
      <w:r>
        <w:t xml:space="preserve"> Adv.RvS 68.053/1, 20 oktober 2020, nr. 10.</w:t>
      </w:r>
    </w:p>
  </w:footnote>
  <w:footnote w:id="295">
    <w:p w14:paraId="50FF1652" w14:textId="77777777" w:rsidR="00C54441" w:rsidRDefault="00C54441" w:rsidP="00D46131">
      <w:pPr>
        <w:pStyle w:val="Voetnoottekst"/>
      </w:pPr>
      <w:r>
        <w:rPr>
          <w:rStyle w:val="Voetnootmarkering"/>
        </w:rPr>
        <w:footnoteRef/>
      </w:r>
      <w:r>
        <w:t xml:space="preserve"> Adv.RvS 66.226/3, 17 juni 2019, nrs. 9.2.1 tot 9.2.3.</w:t>
      </w:r>
    </w:p>
  </w:footnote>
  <w:footnote w:id="296">
    <w:p w14:paraId="650833D5" w14:textId="77777777" w:rsidR="00C54441" w:rsidRPr="009A35D7" w:rsidRDefault="00C54441" w:rsidP="00D46131">
      <w:pPr>
        <w:pStyle w:val="Voetnoottekst"/>
        <w:jc w:val="both"/>
      </w:pPr>
      <w:r w:rsidRPr="009A35D7">
        <w:rPr>
          <w:rStyle w:val="Voetnootmarkering"/>
        </w:rPr>
        <w:footnoteRef/>
      </w:r>
      <w:r w:rsidRPr="009A35D7">
        <w:t xml:space="preserve"> Kroniek 2015 en 2016, nrs. 102-111.</w:t>
      </w:r>
    </w:p>
  </w:footnote>
  <w:footnote w:id="297">
    <w:p w14:paraId="06B96FBD" w14:textId="77777777" w:rsidR="00C54441" w:rsidRDefault="00C54441" w:rsidP="00D46131">
      <w:pPr>
        <w:pStyle w:val="Voetnoottekst"/>
      </w:pPr>
      <w:r>
        <w:rPr>
          <w:rStyle w:val="Voetnootmarkering"/>
        </w:rPr>
        <w:footnoteRef/>
      </w:r>
      <w:r>
        <w:t xml:space="preserve"> Adv.RvS 66.019/3, 16 mei 2019, nrs. 4.1 tot 4.3.</w:t>
      </w:r>
    </w:p>
  </w:footnote>
  <w:footnote w:id="298">
    <w:p w14:paraId="130054B8" w14:textId="77777777" w:rsidR="00C54441" w:rsidRDefault="00C54441" w:rsidP="00D46131">
      <w:pPr>
        <w:pStyle w:val="Voetnoottekst"/>
      </w:pPr>
      <w:r>
        <w:rPr>
          <w:rStyle w:val="Voetnootmarkering"/>
        </w:rPr>
        <w:footnoteRef/>
      </w:r>
      <w:r>
        <w:t xml:space="preserve"> Zie daarover ook Kroniek 2017 en 2018, nr. 74.</w:t>
      </w:r>
    </w:p>
  </w:footnote>
  <w:footnote w:id="299">
    <w:p w14:paraId="0EBECD05" w14:textId="77777777" w:rsidR="00C54441" w:rsidRPr="008452AA" w:rsidRDefault="00C54441" w:rsidP="00D46131">
      <w:pPr>
        <w:pStyle w:val="Voetnoottekst"/>
      </w:pPr>
      <w:r>
        <w:rPr>
          <w:rStyle w:val="Voetnootmarkering"/>
        </w:rPr>
        <w:footnoteRef/>
      </w:r>
      <w:r w:rsidRPr="008452AA">
        <w:t xml:space="preserve"> Adv.RvS 66.365/3, 12 juli 2019, nr. 5; Adv.RvS 66.431/1/V, 27 augustus 2019, nrs. 7.1 en 7.2.</w:t>
      </w:r>
    </w:p>
  </w:footnote>
  <w:footnote w:id="300">
    <w:p w14:paraId="48CBF8CE" w14:textId="77777777" w:rsidR="00C54441" w:rsidRDefault="00C54441" w:rsidP="00D46131">
      <w:pPr>
        <w:pStyle w:val="Voetnoottekst"/>
      </w:pPr>
      <w:r>
        <w:rPr>
          <w:rStyle w:val="Voetnootmarkering"/>
        </w:rPr>
        <w:footnoteRef/>
      </w:r>
      <w:r>
        <w:t xml:space="preserve"> Adv.RvS 67.609/3, 14 juli 2020, nr. 4.</w:t>
      </w:r>
    </w:p>
  </w:footnote>
  <w:footnote w:id="301">
    <w:p w14:paraId="2EBC8A1D" w14:textId="000CB3A4" w:rsidR="00C54441" w:rsidRPr="00D46131" w:rsidRDefault="00C54441">
      <w:pPr>
        <w:pStyle w:val="Voetnoottekst"/>
        <w:rPr>
          <w:rFonts w:cstheme="minorHAnsi"/>
        </w:rPr>
      </w:pPr>
      <w:r w:rsidRPr="00D46131">
        <w:rPr>
          <w:rStyle w:val="Voetnootmarkering"/>
          <w:rFonts w:cstheme="minorHAnsi"/>
        </w:rPr>
        <w:footnoteRef/>
      </w:r>
      <w:r w:rsidRPr="00D46131">
        <w:rPr>
          <w:rFonts w:cstheme="minorHAnsi"/>
        </w:rPr>
        <w:t xml:space="preserve"> Adv.RvS 68.309/1-3, 24 november 2020, opmerkingen bij artikel 27, nr. 3.</w:t>
      </w:r>
    </w:p>
  </w:footnote>
  <w:footnote w:id="302">
    <w:p w14:paraId="50ADCB42" w14:textId="77777777" w:rsidR="00C54441" w:rsidRPr="001D4FF0" w:rsidRDefault="00C54441" w:rsidP="00D46131">
      <w:pPr>
        <w:pStyle w:val="Voetnoottekst"/>
        <w:rPr>
          <w:lang w:val="nl-NL"/>
        </w:rPr>
      </w:pPr>
      <w:r>
        <w:rPr>
          <w:rStyle w:val="Voetnootmarkering"/>
        </w:rPr>
        <w:footnoteRef/>
      </w:r>
      <w:r>
        <w:t xml:space="preserve"> </w:t>
      </w:r>
      <w:r w:rsidRPr="00472D45">
        <w:rPr>
          <w:rFonts w:cstheme="minorHAnsi"/>
        </w:rPr>
        <w:t>Kroniek 2017 en 2018, nr. </w:t>
      </w:r>
      <w:r>
        <w:rPr>
          <w:rFonts w:cstheme="minorHAnsi"/>
        </w:rPr>
        <w:t xml:space="preserve">117. </w:t>
      </w:r>
    </w:p>
  </w:footnote>
  <w:footnote w:id="303">
    <w:p w14:paraId="365B74E0" w14:textId="77777777" w:rsidR="00C54441" w:rsidRPr="007D1EC8" w:rsidRDefault="00C54441" w:rsidP="00D46131">
      <w:pPr>
        <w:pStyle w:val="Voetnoottekst"/>
        <w:rPr>
          <w:lang w:val="nl-NL"/>
        </w:rPr>
      </w:pPr>
      <w:r>
        <w:rPr>
          <w:rStyle w:val="Voetnootmarkering"/>
        </w:rPr>
        <w:footnoteRef/>
      </w:r>
      <w:r>
        <w:t xml:space="preserve"> </w:t>
      </w:r>
      <w:r>
        <w:rPr>
          <w:lang w:val="nl-NL"/>
        </w:rPr>
        <w:t xml:space="preserve">Adv.RvS 67.146/1, 27 maart 2020, nr. 7; Adv.RvS 67.147/1, 27 maart 2020, nr. 6; Adv.RvS 67.345/1, 11 mei 2020, nr. 4. </w:t>
      </w:r>
    </w:p>
  </w:footnote>
  <w:footnote w:id="304">
    <w:p w14:paraId="6D9F7D4E" w14:textId="77777777" w:rsidR="00C54441" w:rsidRPr="00D64905" w:rsidRDefault="00C54441" w:rsidP="00D46131">
      <w:pPr>
        <w:pStyle w:val="Voetnoottekst"/>
        <w:rPr>
          <w:lang w:val="nl-NL"/>
        </w:rPr>
      </w:pPr>
      <w:r>
        <w:rPr>
          <w:rStyle w:val="Voetnootmarkering"/>
        </w:rPr>
        <w:footnoteRef/>
      </w:r>
      <w:r>
        <w:t xml:space="preserve"> </w:t>
      </w:r>
      <w:r>
        <w:rPr>
          <w:lang w:val="nl-NL"/>
        </w:rPr>
        <w:t xml:space="preserve">Adv.RvS 67.146/1, 27 maart 2020, nr. 7. </w:t>
      </w:r>
    </w:p>
  </w:footnote>
  <w:footnote w:id="305">
    <w:p w14:paraId="1A970190" w14:textId="77777777" w:rsidR="00C54441" w:rsidRPr="00D64905" w:rsidRDefault="00C54441" w:rsidP="00D46131">
      <w:pPr>
        <w:pStyle w:val="Voetnoottekst"/>
        <w:rPr>
          <w:lang w:val="nl-NL"/>
        </w:rPr>
      </w:pPr>
      <w:r>
        <w:rPr>
          <w:rStyle w:val="Voetnootmarkering"/>
        </w:rPr>
        <w:footnoteRef/>
      </w:r>
      <w:r>
        <w:t xml:space="preserve"> </w:t>
      </w:r>
      <w:r>
        <w:rPr>
          <w:lang w:val="nl-NL"/>
        </w:rPr>
        <w:t>Adv.RvS 67.146/1, 27 maart 2020, nr. 7; Adv.RvS 67.147/1, 27 maart 2020, nr. 6.</w:t>
      </w:r>
    </w:p>
  </w:footnote>
  <w:footnote w:id="306">
    <w:p w14:paraId="2E23BE44" w14:textId="77777777" w:rsidR="00C54441" w:rsidRPr="00AC1E39" w:rsidRDefault="00C54441" w:rsidP="00D46131">
      <w:pPr>
        <w:pStyle w:val="Voetnoottekst"/>
        <w:rPr>
          <w:lang w:val="nl-NL"/>
        </w:rPr>
      </w:pPr>
      <w:r>
        <w:rPr>
          <w:rStyle w:val="Voetnootmarkering"/>
        </w:rPr>
        <w:footnoteRef/>
      </w:r>
      <w:r>
        <w:t xml:space="preserve"> Adv.RvS 67.527/1, 9 juni 2020, nr. 5.4. In dezelfde zin buiten de context van bijzondere machten: Adv.RvS 68.487/1, 18 december 2020, nr. 5. </w:t>
      </w:r>
    </w:p>
  </w:footnote>
  <w:footnote w:id="307">
    <w:p w14:paraId="2C46FF16" w14:textId="77777777" w:rsidR="00C54441" w:rsidRPr="00992510" w:rsidRDefault="00C54441" w:rsidP="00D46131">
      <w:pPr>
        <w:pStyle w:val="Voetnoottekst"/>
        <w:rPr>
          <w:lang w:val="en-US"/>
        </w:rPr>
      </w:pPr>
      <w:r>
        <w:rPr>
          <w:rStyle w:val="Voetnootmarkering"/>
        </w:rPr>
        <w:footnoteRef/>
      </w:r>
      <w:r w:rsidRPr="00992510">
        <w:rPr>
          <w:lang w:val="en-US"/>
        </w:rPr>
        <w:t xml:space="preserve"> Adv.RvS 67.215/1, 15 april 2020, nr. 5; </w:t>
      </w:r>
      <w:r>
        <w:rPr>
          <w:lang w:val="en-US"/>
        </w:rPr>
        <w:t xml:space="preserve">Adv.RvS </w:t>
      </w:r>
      <w:r w:rsidRPr="00992510">
        <w:rPr>
          <w:lang w:val="en-US"/>
        </w:rPr>
        <w:t>67.172/1</w:t>
      </w:r>
      <w:r>
        <w:rPr>
          <w:lang w:val="en-US"/>
        </w:rPr>
        <w:t xml:space="preserve">, </w:t>
      </w:r>
      <w:r w:rsidRPr="00992510">
        <w:rPr>
          <w:lang w:val="en-US"/>
        </w:rPr>
        <w:t>2 april 2020</w:t>
      </w:r>
      <w:r>
        <w:rPr>
          <w:lang w:val="en-US"/>
        </w:rPr>
        <w:t>, nr. 6.</w:t>
      </w:r>
    </w:p>
  </w:footnote>
  <w:footnote w:id="308">
    <w:p w14:paraId="3AB4B44D" w14:textId="77777777" w:rsidR="00C54441" w:rsidRPr="00AF1DEF" w:rsidRDefault="00C54441" w:rsidP="00D46131">
      <w:pPr>
        <w:pStyle w:val="Voetnoottekst"/>
        <w:rPr>
          <w:lang w:val="nl-NL"/>
        </w:rPr>
      </w:pPr>
      <w:r>
        <w:rPr>
          <w:rStyle w:val="Voetnootmarkering"/>
        </w:rPr>
        <w:footnoteRef/>
      </w:r>
      <w:r>
        <w:t xml:space="preserve"> </w:t>
      </w:r>
      <w:r>
        <w:rPr>
          <w:lang w:val="nl-NL"/>
        </w:rPr>
        <w:t>Adv.RvS 67.146/1, 27 maart 2020, nr. 8; Adv.RvS 67.147/1, 27 maart 2020, nr.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575635"/>
      <w:docPartObj>
        <w:docPartGallery w:val="Page Numbers (Top of Page)"/>
        <w:docPartUnique/>
      </w:docPartObj>
    </w:sdtPr>
    <w:sdtEndPr/>
    <w:sdtContent>
      <w:p w14:paraId="71104220" w14:textId="77777777" w:rsidR="00C54441" w:rsidRDefault="00C54441">
        <w:pPr>
          <w:pStyle w:val="Koptekst"/>
          <w:jc w:val="right"/>
        </w:pPr>
        <w:r>
          <w:fldChar w:fldCharType="begin"/>
        </w:r>
        <w:r>
          <w:instrText>PAGE   \* MERGEFORMAT</w:instrText>
        </w:r>
        <w:r>
          <w:fldChar w:fldCharType="separate"/>
        </w:r>
        <w:r w:rsidRPr="00FF7133">
          <w:rPr>
            <w:noProof/>
            <w:lang w:val="nl-NL"/>
          </w:rPr>
          <w:t>2</w:t>
        </w:r>
        <w:r>
          <w:rPr>
            <w:noProof/>
            <w:lang w:val="nl-NL"/>
          </w:rPr>
          <w:fldChar w:fldCharType="end"/>
        </w:r>
      </w:p>
    </w:sdtContent>
  </w:sdt>
  <w:p w14:paraId="17C5B6FF" w14:textId="77777777" w:rsidR="00C54441" w:rsidRDefault="00C544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2321D"/>
    <w:multiLevelType w:val="hybridMultilevel"/>
    <w:tmpl w:val="8AA8B476"/>
    <w:lvl w:ilvl="0" w:tplc="ABECFA5E">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E54D4E"/>
    <w:multiLevelType w:val="hybridMultilevel"/>
    <w:tmpl w:val="03842F12"/>
    <w:lvl w:ilvl="0" w:tplc="A444507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61F5CDA"/>
    <w:multiLevelType w:val="hybridMultilevel"/>
    <w:tmpl w:val="B504F7BA"/>
    <w:lvl w:ilvl="0" w:tplc="ABECFA5E">
      <w:start w:val="1"/>
      <w:numFmt w:val="bullet"/>
      <w:lvlText w:val="-"/>
      <w:lvlJc w:val="left"/>
      <w:pPr>
        <w:ind w:left="360" w:hanging="360"/>
      </w:pPr>
      <w:rPr>
        <w:rFonts w:ascii="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A3533F7"/>
    <w:multiLevelType w:val="hybridMultilevel"/>
    <w:tmpl w:val="9AE0323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00F412E"/>
    <w:multiLevelType w:val="hybridMultilevel"/>
    <w:tmpl w:val="8D5EE41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41743895"/>
    <w:multiLevelType w:val="hybridMultilevel"/>
    <w:tmpl w:val="B6485596"/>
    <w:lvl w:ilvl="0" w:tplc="ABECFA5E">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46C19AB"/>
    <w:multiLevelType w:val="hybridMultilevel"/>
    <w:tmpl w:val="9ECC7C94"/>
    <w:lvl w:ilvl="0" w:tplc="551EBE7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49B90528"/>
    <w:multiLevelType w:val="hybridMultilevel"/>
    <w:tmpl w:val="EC6A62D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BE43DCC"/>
    <w:multiLevelType w:val="hybridMultilevel"/>
    <w:tmpl w:val="A0B617F2"/>
    <w:lvl w:ilvl="0" w:tplc="27FEB3D0">
      <w:start w:val="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C3856B7"/>
    <w:multiLevelType w:val="hybridMultilevel"/>
    <w:tmpl w:val="C2B8A470"/>
    <w:lvl w:ilvl="0" w:tplc="ABECFA5E">
      <w:start w:val="1"/>
      <w:numFmt w:val="bullet"/>
      <w:lvlText w:val="-"/>
      <w:lvlJc w:val="left"/>
      <w:pPr>
        <w:ind w:left="1800" w:hanging="360"/>
      </w:pPr>
      <w:rPr>
        <w:rFonts w:ascii="Times New Roman" w:hAnsi="Times New Roman" w:cs="Times New Roman"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 w15:restartNumberingAfterBreak="0">
    <w:nsid w:val="5D9E424F"/>
    <w:multiLevelType w:val="hybridMultilevel"/>
    <w:tmpl w:val="0694B2CE"/>
    <w:lvl w:ilvl="0" w:tplc="ABECFA5E">
      <w:start w:val="1"/>
      <w:numFmt w:val="bullet"/>
      <w:lvlText w:val="-"/>
      <w:lvlJc w:val="left"/>
      <w:pPr>
        <w:ind w:left="360" w:hanging="360"/>
      </w:pPr>
      <w:rPr>
        <w:rFonts w:ascii="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7"/>
  </w:num>
  <w:num w:numId="4">
    <w:abstractNumId w:val="8"/>
  </w:num>
  <w:num w:numId="5">
    <w:abstractNumId w:val="9"/>
  </w:num>
  <w:num w:numId="6">
    <w:abstractNumId w:val="0"/>
  </w:num>
  <w:num w:numId="7">
    <w:abstractNumId w:val="5"/>
  </w:num>
  <w:num w:numId="8">
    <w:abstractNumId w:val="1"/>
  </w:num>
  <w:num w:numId="9">
    <w:abstractNumId w:val="6"/>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6C"/>
    <w:rsid w:val="00011936"/>
    <w:rsid w:val="00011D8B"/>
    <w:rsid w:val="00021739"/>
    <w:rsid w:val="00022D61"/>
    <w:rsid w:val="000234E8"/>
    <w:rsid w:val="00024490"/>
    <w:rsid w:val="0003059B"/>
    <w:rsid w:val="00033496"/>
    <w:rsid w:val="000366D9"/>
    <w:rsid w:val="00045F0D"/>
    <w:rsid w:val="00046130"/>
    <w:rsid w:val="00054960"/>
    <w:rsid w:val="00056140"/>
    <w:rsid w:val="00071C6A"/>
    <w:rsid w:val="0007257B"/>
    <w:rsid w:val="00073716"/>
    <w:rsid w:val="000747D2"/>
    <w:rsid w:val="000752A1"/>
    <w:rsid w:val="000A355B"/>
    <w:rsid w:val="000A3AED"/>
    <w:rsid w:val="000B0B78"/>
    <w:rsid w:val="000B2C26"/>
    <w:rsid w:val="000B2C46"/>
    <w:rsid w:val="000C1A5C"/>
    <w:rsid w:val="000C2ACE"/>
    <w:rsid w:val="000C6261"/>
    <w:rsid w:val="000C6890"/>
    <w:rsid w:val="000C6E4F"/>
    <w:rsid w:val="000D1768"/>
    <w:rsid w:val="000D1DB6"/>
    <w:rsid w:val="000D7897"/>
    <w:rsid w:val="000E061D"/>
    <w:rsid w:val="000F386E"/>
    <w:rsid w:val="000F589A"/>
    <w:rsid w:val="00104F4D"/>
    <w:rsid w:val="00110EC3"/>
    <w:rsid w:val="001171E1"/>
    <w:rsid w:val="0012109A"/>
    <w:rsid w:val="00121967"/>
    <w:rsid w:val="00122CD6"/>
    <w:rsid w:val="00123006"/>
    <w:rsid w:val="00132CB1"/>
    <w:rsid w:val="00134333"/>
    <w:rsid w:val="0014049A"/>
    <w:rsid w:val="001462F9"/>
    <w:rsid w:val="0016544F"/>
    <w:rsid w:val="00172052"/>
    <w:rsid w:val="00175866"/>
    <w:rsid w:val="00184F00"/>
    <w:rsid w:val="00192D84"/>
    <w:rsid w:val="0019371E"/>
    <w:rsid w:val="001A0431"/>
    <w:rsid w:val="001B4F21"/>
    <w:rsid w:val="001C2543"/>
    <w:rsid w:val="001C5F86"/>
    <w:rsid w:val="001D44BE"/>
    <w:rsid w:val="001D601D"/>
    <w:rsid w:val="001E3358"/>
    <w:rsid w:val="001F09F1"/>
    <w:rsid w:val="001F3A5D"/>
    <w:rsid w:val="001F3CA5"/>
    <w:rsid w:val="001F57EA"/>
    <w:rsid w:val="00213E4F"/>
    <w:rsid w:val="00214007"/>
    <w:rsid w:val="00215A5F"/>
    <w:rsid w:val="00226A00"/>
    <w:rsid w:val="00230B4A"/>
    <w:rsid w:val="002419A2"/>
    <w:rsid w:val="00242B6A"/>
    <w:rsid w:val="002464ED"/>
    <w:rsid w:val="0025136D"/>
    <w:rsid w:val="00257C24"/>
    <w:rsid w:val="00260C2E"/>
    <w:rsid w:val="00264D5A"/>
    <w:rsid w:val="00267CE2"/>
    <w:rsid w:val="0028335C"/>
    <w:rsid w:val="002859D8"/>
    <w:rsid w:val="00293114"/>
    <w:rsid w:val="002945C0"/>
    <w:rsid w:val="0029777B"/>
    <w:rsid w:val="002A7598"/>
    <w:rsid w:val="002B0B0D"/>
    <w:rsid w:val="002B40AF"/>
    <w:rsid w:val="002C2FA3"/>
    <w:rsid w:val="002C3605"/>
    <w:rsid w:val="002C4472"/>
    <w:rsid w:val="002D206F"/>
    <w:rsid w:val="002D313F"/>
    <w:rsid w:val="002E65A8"/>
    <w:rsid w:val="002F4F81"/>
    <w:rsid w:val="00300802"/>
    <w:rsid w:val="00307053"/>
    <w:rsid w:val="003173C6"/>
    <w:rsid w:val="0032725E"/>
    <w:rsid w:val="00341927"/>
    <w:rsid w:val="00341B2A"/>
    <w:rsid w:val="003456D6"/>
    <w:rsid w:val="003457F4"/>
    <w:rsid w:val="00345A3A"/>
    <w:rsid w:val="00366A52"/>
    <w:rsid w:val="00371734"/>
    <w:rsid w:val="00375A22"/>
    <w:rsid w:val="00383D5D"/>
    <w:rsid w:val="00391A4A"/>
    <w:rsid w:val="00396179"/>
    <w:rsid w:val="003A0893"/>
    <w:rsid w:val="003A3FC2"/>
    <w:rsid w:val="003A6874"/>
    <w:rsid w:val="003A7300"/>
    <w:rsid w:val="003B0C9F"/>
    <w:rsid w:val="003C0A39"/>
    <w:rsid w:val="003C5D36"/>
    <w:rsid w:val="003C60B9"/>
    <w:rsid w:val="003D14C6"/>
    <w:rsid w:val="003D1F6D"/>
    <w:rsid w:val="003E088E"/>
    <w:rsid w:val="003E4DB5"/>
    <w:rsid w:val="003E60FB"/>
    <w:rsid w:val="003F1C29"/>
    <w:rsid w:val="003F770A"/>
    <w:rsid w:val="004001C8"/>
    <w:rsid w:val="0040341C"/>
    <w:rsid w:val="00414913"/>
    <w:rsid w:val="00416B23"/>
    <w:rsid w:val="00431ADC"/>
    <w:rsid w:val="00440657"/>
    <w:rsid w:val="0044212E"/>
    <w:rsid w:val="00444514"/>
    <w:rsid w:val="00447FC6"/>
    <w:rsid w:val="004542A6"/>
    <w:rsid w:val="0045597F"/>
    <w:rsid w:val="00457584"/>
    <w:rsid w:val="004674AD"/>
    <w:rsid w:val="00475CD4"/>
    <w:rsid w:val="00493547"/>
    <w:rsid w:val="00496135"/>
    <w:rsid w:val="00497481"/>
    <w:rsid w:val="004A330B"/>
    <w:rsid w:val="004A4EF4"/>
    <w:rsid w:val="004A769B"/>
    <w:rsid w:val="004B1851"/>
    <w:rsid w:val="004B6575"/>
    <w:rsid w:val="004C203C"/>
    <w:rsid w:val="004C599A"/>
    <w:rsid w:val="004C678D"/>
    <w:rsid w:val="004D0A0B"/>
    <w:rsid w:val="004D45C0"/>
    <w:rsid w:val="004D655B"/>
    <w:rsid w:val="004E2E67"/>
    <w:rsid w:val="004E7668"/>
    <w:rsid w:val="004E779D"/>
    <w:rsid w:val="004E7AC5"/>
    <w:rsid w:val="004F17BD"/>
    <w:rsid w:val="004F6340"/>
    <w:rsid w:val="005004E9"/>
    <w:rsid w:val="00500A14"/>
    <w:rsid w:val="00501DCA"/>
    <w:rsid w:val="00510878"/>
    <w:rsid w:val="005152E2"/>
    <w:rsid w:val="005204D2"/>
    <w:rsid w:val="005251FB"/>
    <w:rsid w:val="00530701"/>
    <w:rsid w:val="00532989"/>
    <w:rsid w:val="00537543"/>
    <w:rsid w:val="00544EDE"/>
    <w:rsid w:val="005547D1"/>
    <w:rsid w:val="00561759"/>
    <w:rsid w:val="00563AFD"/>
    <w:rsid w:val="005671DE"/>
    <w:rsid w:val="005704C8"/>
    <w:rsid w:val="00571CF3"/>
    <w:rsid w:val="00572900"/>
    <w:rsid w:val="0059232F"/>
    <w:rsid w:val="00595898"/>
    <w:rsid w:val="005A63A6"/>
    <w:rsid w:val="005A676F"/>
    <w:rsid w:val="005B5748"/>
    <w:rsid w:val="005B5805"/>
    <w:rsid w:val="005B61FA"/>
    <w:rsid w:val="005C246B"/>
    <w:rsid w:val="005C5F24"/>
    <w:rsid w:val="005D5579"/>
    <w:rsid w:val="005E2318"/>
    <w:rsid w:val="005E6296"/>
    <w:rsid w:val="005F1D2D"/>
    <w:rsid w:val="005F72B0"/>
    <w:rsid w:val="006010CA"/>
    <w:rsid w:val="00602EF2"/>
    <w:rsid w:val="00606986"/>
    <w:rsid w:val="00614746"/>
    <w:rsid w:val="006217B9"/>
    <w:rsid w:val="00632A45"/>
    <w:rsid w:val="00632DEA"/>
    <w:rsid w:val="0063508A"/>
    <w:rsid w:val="006363BE"/>
    <w:rsid w:val="006369F9"/>
    <w:rsid w:val="006431D8"/>
    <w:rsid w:val="00653C1E"/>
    <w:rsid w:val="0065455C"/>
    <w:rsid w:val="006606BB"/>
    <w:rsid w:val="00661157"/>
    <w:rsid w:val="00673995"/>
    <w:rsid w:val="00674116"/>
    <w:rsid w:val="00675ECA"/>
    <w:rsid w:val="00682AD5"/>
    <w:rsid w:val="00694418"/>
    <w:rsid w:val="006979C1"/>
    <w:rsid w:val="006A17D2"/>
    <w:rsid w:val="006B1E17"/>
    <w:rsid w:val="006C02A9"/>
    <w:rsid w:val="006C1844"/>
    <w:rsid w:val="006C2AB4"/>
    <w:rsid w:val="006C5C26"/>
    <w:rsid w:val="006D06AF"/>
    <w:rsid w:val="006D62A2"/>
    <w:rsid w:val="006F322D"/>
    <w:rsid w:val="006F6B02"/>
    <w:rsid w:val="006F78D3"/>
    <w:rsid w:val="00703851"/>
    <w:rsid w:val="00703A4E"/>
    <w:rsid w:val="0070668A"/>
    <w:rsid w:val="00710FAC"/>
    <w:rsid w:val="00712911"/>
    <w:rsid w:val="007176D2"/>
    <w:rsid w:val="007253A9"/>
    <w:rsid w:val="00736967"/>
    <w:rsid w:val="00746938"/>
    <w:rsid w:val="007543B6"/>
    <w:rsid w:val="007576C8"/>
    <w:rsid w:val="00772C6B"/>
    <w:rsid w:val="007731BF"/>
    <w:rsid w:val="00781A01"/>
    <w:rsid w:val="007A4D12"/>
    <w:rsid w:val="007A600E"/>
    <w:rsid w:val="007B3C34"/>
    <w:rsid w:val="007B561A"/>
    <w:rsid w:val="007C5584"/>
    <w:rsid w:val="007D203D"/>
    <w:rsid w:val="007D2A5D"/>
    <w:rsid w:val="007D5FC4"/>
    <w:rsid w:val="007E0208"/>
    <w:rsid w:val="007E158A"/>
    <w:rsid w:val="007E483E"/>
    <w:rsid w:val="00803F37"/>
    <w:rsid w:val="00806B2B"/>
    <w:rsid w:val="00807B26"/>
    <w:rsid w:val="00825BC2"/>
    <w:rsid w:val="00825BF3"/>
    <w:rsid w:val="00827985"/>
    <w:rsid w:val="00840769"/>
    <w:rsid w:val="008469C0"/>
    <w:rsid w:val="00853660"/>
    <w:rsid w:val="00861863"/>
    <w:rsid w:val="00866685"/>
    <w:rsid w:val="00867F36"/>
    <w:rsid w:val="008711DB"/>
    <w:rsid w:val="00871907"/>
    <w:rsid w:val="00872849"/>
    <w:rsid w:val="00876851"/>
    <w:rsid w:val="00880EE2"/>
    <w:rsid w:val="0088374A"/>
    <w:rsid w:val="00885C00"/>
    <w:rsid w:val="00886D04"/>
    <w:rsid w:val="008967C7"/>
    <w:rsid w:val="00896807"/>
    <w:rsid w:val="00896BF1"/>
    <w:rsid w:val="008B0D92"/>
    <w:rsid w:val="008B3135"/>
    <w:rsid w:val="008B57F4"/>
    <w:rsid w:val="008B6778"/>
    <w:rsid w:val="008C56A1"/>
    <w:rsid w:val="008C66AE"/>
    <w:rsid w:val="008D2051"/>
    <w:rsid w:val="008D264C"/>
    <w:rsid w:val="008D3A9D"/>
    <w:rsid w:val="008E0545"/>
    <w:rsid w:val="008E2CA8"/>
    <w:rsid w:val="008E4984"/>
    <w:rsid w:val="008F3BB4"/>
    <w:rsid w:val="008F44B5"/>
    <w:rsid w:val="008F65A4"/>
    <w:rsid w:val="00901937"/>
    <w:rsid w:val="00912138"/>
    <w:rsid w:val="00912BBD"/>
    <w:rsid w:val="00917AF2"/>
    <w:rsid w:val="0092455D"/>
    <w:rsid w:val="00927FED"/>
    <w:rsid w:val="00930D83"/>
    <w:rsid w:val="00932700"/>
    <w:rsid w:val="009330CB"/>
    <w:rsid w:val="00934E83"/>
    <w:rsid w:val="009352F4"/>
    <w:rsid w:val="00942D88"/>
    <w:rsid w:val="009432FC"/>
    <w:rsid w:val="0095239A"/>
    <w:rsid w:val="00961069"/>
    <w:rsid w:val="009621F3"/>
    <w:rsid w:val="009644BE"/>
    <w:rsid w:val="00977707"/>
    <w:rsid w:val="00986342"/>
    <w:rsid w:val="009867D7"/>
    <w:rsid w:val="0099088F"/>
    <w:rsid w:val="009A35D7"/>
    <w:rsid w:val="009A46D2"/>
    <w:rsid w:val="009A5E11"/>
    <w:rsid w:val="009A755D"/>
    <w:rsid w:val="009B0E80"/>
    <w:rsid w:val="009C2CD9"/>
    <w:rsid w:val="009D4E14"/>
    <w:rsid w:val="009D5A95"/>
    <w:rsid w:val="009D789D"/>
    <w:rsid w:val="009E7AFD"/>
    <w:rsid w:val="009F1CC9"/>
    <w:rsid w:val="009F5908"/>
    <w:rsid w:val="00A0575B"/>
    <w:rsid w:val="00A07091"/>
    <w:rsid w:val="00A1301D"/>
    <w:rsid w:val="00A26487"/>
    <w:rsid w:val="00A26791"/>
    <w:rsid w:val="00A33AC8"/>
    <w:rsid w:val="00A41FF9"/>
    <w:rsid w:val="00A42C4B"/>
    <w:rsid w:val="00A435C6"/>
    <w:rsid w:val="00A44FF8"/>
    <w:rsid w:val="00A47483"/>
    <w:rsid w:val="00A56302"/>
    <w:rsid w:val="00A605D8"/>
    <w:rsid w:val="00A63F3C"/>
    <w:rsid w:val="00A73509"/>
    <w:rsid w:val="00A77A49"/>
    <w:rsid w:val="00A80850"/>
    <w:rsid w:val="00A90C31"/>
    <w:rsid w:val="00A91330"/>
    <w:rsid w:val="00A92611"/>
    <w:rsid w:val="00A94744"/>
    <w:rsid w:val="00AA6C28"/>
    <w:rsid w:val="00AB114B"/>
    <w:rsid w:val="00AB7997"/>
    <w:rsid w:val="00AC1621"/>
    <w:rsid w:val="00AC1F23"/>
    <w:rsid w:val="00AC5949"/>
    <w:rsid w:val="00AD18AF"/>
    <w:rsid w:val="00AD31E6"/>
    <w:rsid w:val="00AD514A"/>
    <w:rsid w:val="00AE19AF"/>
    <w:rsid w:val="00AE203C"/>
    <w:rsid w:val="00AE3CA4"/>
    <w:rsid w:val="00AF26DB"/>
    <w:rsid w:val="00AF616D"/>
    <w:rsid w:val="00B00B61"/>
    <w:rsid w:val="00B01517"/>
    <w:rsid w:val="00B06E0B"/>
    <w:rsid w:val="00B23C93"/>
    <w:rsid w:val="00B30DA9"/>
    <w:rsid w:val="00B333AE"/>
    <w:rsid w:val="00B35155"/>
    <w:rsid w:val="00B453A7"/>
    <w:rsid w:val="00B47174"/>
    <w:rsid w:val="00B51BA2"/>
    <w:rsid w:val="00B5485C"/>
    <w:rsid w:val="00B55F7B"/>
    <w:rsid w:val="00B714EA"/>
    <w:rsid w:val="00B72E27"/>
    <w:rsid w:val="00B8390E"/>
    <w:rsid w:val="00B84CC0"/>
    <w:rsid w:val="00B85A6C"/>
    <w:rsid w:val="00B86CA2"/>
    <w:rsid w:val="00B90833"/>
    <w:rsid w:val="00BA071F"/>
    <w:rsid w:val="00BA0C2F"/>
    <w:rsid w:val="00BB2501"/>
    <w:rsid w:val="00BB2D0D"/>
    <w:rsid w:val="00BB3B41"/>
    <w:rsid w:val="00BB61AB"/>
    <w:rsid w:val="00BB6328"/>
    <w:rsid w:val="00BC215B"/>
    <w:rsid w:val="00BC2892"/>
    <w:rsid w:val="00BC3595"/>
    <w:rsid w:val="00BC755A"/>
    <w:rsid w:val="00BD4397"/>
    <w:rsid w:val="00BD4819"/>
    <w:rsid w:val="00BD5199"/>
    <w:rsid w:val="00BD6ECF"/>
    <w:rsid w:val="00BD7F15"/>
    <w:rsid w:val="00BF07E9"/>
    <w:rsid w:val="00BF6A3D"/>
    <w:rsid w:val="00C1374C"/>
    <w:rsid w:val="00C162D9"/>
    <w:rsid w:val="00C21F0F"/>
    <w:rsid w:val="00C233BD"/>
    <w:rsid w:val="00C27C42"/>
    <w:rsid w:val="00C27EB6"/>
    <w:rsid w:val="00C36F48"/>
    <w:rsid w:val="00C405D0"/>
    <w:rsid w:val="00C408E8"/>
    <w:rsid w:val="00C51C52"/>
    <w:rsid w:val="00C54441"/>
    <w:rsid w:val="00C55F6C"/>
    <w:rsid w:val="00C6033C"/>
    <w:rsid w:val="00C607BC"/>
    <w:rsid w:val="00C62237"/>
    <w:rsid w:val="00C62470"/>
    <w:rsid w:val="00C62F1E"/>
    <w:rsid w:val="00C65414"/>
    <w:rsid w:val="00C71DE1"/>
    <w:rsid w:val="00C97DDB"/>
    <w:rsid w:val="00CA438B"/>
    <w:rsid w:val="00CB0993"/>
    <w:rsid w:val="00CB426B"/>
    <w:rsid w:val="00CC1A47"/>
    <w:rsid w:val="00CC204D"/>
    <w:rsid w:val="00CC4E06"/>
    <w:rsid w:val="00CC5715"/>
    <w:rsid w:val="00CD5903"/>
    <w:rsid w:val="00CE523E"/>
    <w:rsid w:val="00CE7DD5"/>
    <w:rsid w:val="00CF2361"/>
    <w:rsid w:val="00CF2444"/>
    <w:rsid w:val="00CF2FA4"/>
    <w:rsid w:val="00CF6131"/>
    <w:rsid w:val="00D015F8"/>
    <w:rsid w:val="00D05A12"/>
    <w:rsid w:val="00D128CE"/>
    <w:rsid w:val="00D14BFE"/>
    <w:rsid w:val="00D15306"/>
    <w:rsid w:val="00D1581A"/>
    <w:rsid w:val="00D24318"/>
    <w:rsid w:val="00D2501A"/>
    <w:rsid w:val="00D30780"/>
    <w:rsid w:val="00D343D7"/>
    <w:rsid w:val="00D348B8"/>
    <w:rsid w:val="00D35B98"/>
    <w:rsid w:val="00D41F21"/>
    <w:rsid w:val="00D43748"/>
    <w:rsid w:val="00D46131"/>
    <w:rsid w:val="00D47A25"/>
    <w:rsid w:val="00D47BD4"/>
    <w:rsid w:val="00D55F23"/>
    <w:rsid w:val="00D621DC"/>
    <w:rsid w:val="00D64302"/>
    <w:rsid w:val="00D664D6"/>
    <w:rsid w:val="00D7687A"/>
    <w:rsid w:val="00D77962"/>
    <w:rsid w:val="00D873B5"/>
    <w:rsid w:val="00D92112"/>
    <w:rsid w:val="00D95B2A"/>
    <w:rsid w:val="00DA5C4F"/>
    <w:rsid w:val="00DB4A3D"/>
    <w:rsid w:val="00DC1A9C"/>
    <w:rsid w:val="00DD13C9"/>
    <w:rsid w:val="00DD1AF6"/>
    <w:rsid w:val="00DD36F9"/>
    <w:rsid w:val="00DD3EA0"/>
    <w:rsid w:val="00DD482B"/>
    <w:rsid w:val="00DD7B8C"/>
    <w:rsid w:val="00DF1304"/>
    <w:rsid w:val="00DF5E68"/>
    <w:rsid w:val="00DF6A20"/>
    <w:rsid w:val="00E00DD3"/>
    <w:rsid w:val="00E047E2"/>
    <w:rsid w:val="00E04DB2"/>
    <w:rsid w:val="00E15F1A"/>
    <w:rsid w:val="00E17B0D"/>
    <w:rsid w:val="00E21021"/>
    <w:rsid w:val="00E22F10"/>
    <w:rsid w:val="00E239C4"/>
    <w:rsid w:val="00E31788"/>
    <w:rsid w:val="00E45CCE"/>
    <w:rsid w:val="00E4694F"/>
    <w:rsid w:val="00E53287"/>
    <w:rsid w:val="00E60EC0"/>
    <w:rsid w:val="00E60F00"/>
    <w:rsid w:val="00E62994"/>
    <w:rsid w:val="00E640EA"/>
    <w:rsid w:val="00E66AC9"/>
    <w:rsid w:val="00E71379"/>
    <w:rsid w:val="00E8462E"/>
    <w:rsid w:val="00E85FEC"/>
    <w:rsid w:val="00E9283A"/>
    <w:rsid w:val="00E954C6"/>
    <w:rsid w:val="00EA030B"/>
    <w:rsid w:val="00EA66FF"/>
    <w:rsid w:val="00EA76B7"/>
    <w:rsid w:val="00EB3EB6"/>
    <w:rsid w:val="00EB455E"/>
    <w:rsid w:val="00EC08BB"/>
    <w:rsid w:val="00EC0C35"/>
    <w:rsid w:val="00EC10B8"/>
    <w:rsid w:val="00EC36C7"/>
    <w:rsid w:val="00EC5849"/>
    <w:rsid w:val="00ED367D"/>
    <w:rsid w:val="00ED3F41"/>
    <w:rsid w:val="00ED5DCE"/>
    <w:rsid w:val="00EE0152"/>
    <w:rsid w:val="00EE069E"/>
    <w:rsid w:val="00EE1875"/>
    <w:rsid w:val="00EE4033"/>
    <w:rsid w:val="00EF01F3"/>
    <w:rsid w:val="00EF31D3"/>
    <w:rsid w:val="00EF56CB"/>
    <w:rsid w:val="00F00164"/>
    <w:rsid w:val="00F012A2"/>
    <w:rsid w:val="00F0262A"/>
    <w:rsid w:val="00F06169"/>
    <w:rsid w:val="00F11D78"/>
    <w:rsid w:val="00F1214C"/>
    <w:rsid w:val="00F2093A"/>
    <w:rsid w:val="00F22314"/>
    <w:rsid w:val="00F31A90"/>
    <w:rsid w:val="00F34E2D"/>
    <w:rsid w:val="00F466E2"/>
    <w:rsid w:val="00F47C66"/>
    <w:rsid w:val="00F51CB5"/>
    <w:rsid w:val="00F54D03"/>
    <w:rsid w:val="00F55351"/>
    <w:rsid w:val="00F566AB"/>
    <w:rsid w:val="00F620F2"/>
    <w:rsid w:val="00F67AA8"/>
    <w:rsid w:val="00F70977"/>
    <w:rsid w:val="00F7195D"/>
    <w:rsid w:val="00F80067"/>
    <w:rsid w:val="00F81959"/>
    <w:rsid w:val="00F83D33"/>
    <w:rsid w:val="00F87508"/>
    <w:rsid w:val="00F90DE9"/>
    <w:rsid w:val="00F90EC2"/>
    <w:rsid w:val="00F92FF6"/>
    <w:rsid w:val="00F95C58"/>
    <w:rsid w:val="00FA5D00"/>
    <w:rsid w:val="00FA5FB2"/>
    <w:rsid w:val="00FC4AAE"/>
    <w:rsid w:val="00FD3856"/>
    <w:rsid w:val="00FE0E5C"/>
    <w:rsid w:val="00FE5A3A"/>
    <w:rsid w:val="00FF177A"/>
    <w:rsid w:val="00FF1C45"/>
    <w:rsid w:val="00FF4303"/>
    <w:rsid w:val="00FF4C6B"/>
    <w:rsid w:val="00FF7133"/>
    <w:rsid w:val="00FF7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0482"/>
  <w15:docId w15:val="{192A2B4F-1727-4038-8C14-40544F35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239A"/>
  </w:style>
  <w:style w:type="paragraph" w:styleId="Kop1">
    <w:name w:val="heading 1"/>
    <w:basedOn w:val="Standaard"/>
    <w:next w:val="Standaard"/>
    <w:link w:val="Kop1Char"/>
    <w:uiPriority w:val="9"/>
    <w:qFormat/>
    <w:rsid w:val="00C55F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55F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D1A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5F6C"/>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55F6C"/>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D1AF6"/>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32725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Voetnoottekst">
    <w:name w:val="footnote text"/>
    <w:aliases w:val="tekst,Footnote Text Char,DTE-Voetnoottekst,Car Char,Car,DTE-V,Char,5_G,Footnote Tex,Voetnootverwijzing_par,Note de bas de page,Carattere,Footnote Text Char1,Ftnote-texte,Footnote texte,fn,Fo,PYR Fo,Note de bas de page2,Footnotes,FuÛnotente"/>
    <w:basedOn w:val="Standaard"/>
    <w:link w:val="VoetnoottekstChar"/>
    <w:unhideWhenUsed/>
    <w:qFormat/>
    <w:rsid w:val="00121967"/>
    <w:pPr>
      <w:spacing w:after="0" w:line="240" w:lineRule="auto"/>
    </w:pPr>
    <w:rPr>
      <w:sz w:val="20"/>
      <w:szCs w:val="20"/>
    </w:rPr>
  </w:style>
  <w:style w:type="character" w:customStyle="1" w:styleId="VoetnoottekstChar">
    <w:name w:val="Voetnoottekst Char"/>
    <w:aliases w:val="tekst Char,Footnote Text Char Char,DTE-Voetnoottekst Char,Car Char Char,Car Char1,DTE-V Char,Char Char,5_G Char,Footnote Tex Char,Voetnootverwijzing_par Char,Note de bas de page Char,Carattere Char,Footnote Text Char1 Char,fn Char"/>
    <w:basedOn w:val="Standaardalinea-lettertype"/>
    <w:link w:val="Voetnoottekst"/>
    <w:qFormat/>
    <w:rsid w:val="00121967"/>
    <w:rPr>
      <w:sz w:val="20"/>
      <w:szCs w:val="20"/>
    </w:rPr>
  </w:style>
  <w:style w:type="character" w:styleId="Voetnootmarkering">
    <w:name w:val="footnote reference"/>
    <w:aliases w:val="4_G,Appel note de bas de page,SUPERS,PIC Footnote Reference,XP Voetnootmarkering X,Voetnootmarkering PHD,PHD Voetnootmarkering,Ref,de nota al pie,Footnote,Foo,ABA Footnote Reference,fr 2,fr,Appel note de bas d,Appel note de bas de p,o"/>
    <w:basedOn w:val="Standaardalinea-lettertype"/>
    <w:link w:val="4GCharCharChar"/>
    <w:unhideWhenUsed/>
    <w:qFormat/>
    <w:rsid w:val="00121967"/>
    <w:rPr>
      <w:vertAlign w:val="superscript"/>
    </w:rPr>
  </w:style>
  <w:style w:type="character" w:styleId="Verwijzingopmerking">
    <w:name w:val="annotation reference"/>
    <w:basedOn w:val="Standaardalinea-lettertype"/>
    <w:uiPriority w:val="99"/>
    <w:semiHidden/>
    <w:unhideWhenUsed/>
    <w:rsid w:val="008B3135"/>
    <w:rPr>
      <w:sz w:val="16"/>
      <w:szCs w:val="16"/>
    </w:rPr>
  </w:style>
  <w:style w:type="paragraph" w:styleId="Tekstopmerking">
    <w:name w:val="annotation text"/>
    <w:basedOn w:val="Standaard"/>
    <w:link w:val="TekstopmerkingChar"/>
    <w:uiPriority w:val="99"/>
    <w:semiHidden/>
    <w:unhideWhenUsed/>
    <w:rsid w:val="008B3135"/>
    <w:pPr>
      <w:spacing w:after="0" w:line="240" w:lineRule="auto"/>
      <w:jc w:val="both"/>
    </w:pPr>
    <w:rPr>
      <w:rFonts w:ascii="Times New Roman" w:eastAsia="Calibri" w:hAnsi="Times New Roman" w:cs="Times New Roman"/>
      <w:sz w:val="20"/>
      <w:szCs w:val="20"/>
    </w:rPr>
  </w:style>
  <w:style w:type="character" w:customStyle="1" w:styleId="TekstopmerkingChar">
    <w:name w:val="Tekst opmerking Char"/>
    <w:basedOn w:val="Standaardalinea-lettertype"/>
    <w:link w:val="Tekstopmerking"/>
    <w:uiPriority w:val="99"/>
    <w:semiHidden/>
    <w:rsid w:val="008B3135"/>
    <w:rPr>
      <w:rFonts w:ascii="Times New Roman" w:eastAsia="Calibri" w:hAnsi="Times New Roman" w:cs="Times New Roman"/>
      <w:sz w:val="20"/>
      <w:szCs w:val="20"/>
    </w:rPr>
  </w:style>
  <w:style w:type="paragraph" w:styleId="Ballontekst">
    <w:name w:val="Balloon Text"/>
    <w:basedOn w:val="Standaard"/>
    <w:link w:val="BallontekstChar"/>
    <w:uiPriority w:val="99"/>
    <w:semiHidden/>
    <w:unhideWhenUsed/>
    <w:rsid w:val="008B31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3135"/>
    <w:rPr>
      <w:rFonts w:ascii="Tahoma" w:hAnsi="Tahoma" w:cs="Tahoma"/>
      <w:sz w:val="16"/>
      <w:szCs w:val="16"/>
    </w:rPr>
  </w:style>
  <w:style w:type="character" w:styleId="Subtielebenadrukking">
    <w:name w:val="Subtle Emphasis"/>
    <w:basedOn w:val="Standaardalinea-lettertype"/>
    <w:uiPriority w:val="19"/>
    <w:qFormat/>
    <w:rsid w:val="008D264C"/>
    <w:rPr>
      <w:i/>
      <w:iCs/>
      <w:color w:val="808080" w:themeColor="text1" w:themeTint="7F"/>
    </w:rPr>
  </w:style>
  <w:style w:type="paragraph" w:styleId="Lijstalinea">
    <w:name w:val="List Paragraph"/>
    <w:basedOn w:val="Standaard"/>
    <w:uiPriority w:val="34"/>
    <w:qFormat/>
    <w:rsid w:val="008D264C"/>
    <w:pPr>
      <w:ind w:left="720"/>
      <w:contextualSpacing/>
    </w:pPr>
  </w:style>
  <w:style w:type="paragraph" w:styleId="Koptekst">
    <w:name w:val="header"/>
    <w:basedOn w:val="Standaard"/>
    <w:link w:val="KoptekstChar"/>
    <w:uiPriority w:val="99"/>
    <w:unhideWhenUsed/>
    <w:rsid w:val="002B40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40AF"/>
  </w:style>
  <w:style w:type="paragraph" w:styleId="Voettekst">
    <w:name w:val="footer"/>
    <w:basedOn w:val="Standaard"/>
    <w:link w:val="VoettekstChar"/>
    <w:uiPriority w:val="99"/>
    <w:unhideWhenUsed/>
    <w:rsid w:val="002B40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40AF"/>
  </w:style>
  <w:style w:type="character" w:styleId="Hyperlink">
    <w:name w:val="Hyperlink"/>
    <w:basedOn w:val="Standaardalinea-lettertype"/>
    <w:uiPriority w:val="99"/>
    <w:unhideWhenUsed/>
    <w:rsid w:val="001A0431"/>
    <w:rPr>
      <w:color w:val="0000FF" w:themeColor="hyperlink"/>
      <w:u w:val="single"/>
    </w:rPr>
  </w:style>
  <w:style w:type="paragraph" w:styleId="Kopvaninhoudsopgave">
    <w:name w:val="TOC Heading"/>
    <w:basedOn w:val="Kop1"/>
    <w:next w:val="Standaard"/>
    <w:uiPriority w:val="39"/>
    <w:semiHidden/>
    <w:unhideWhenUsed/>
    <w:qFormat/>
    <w:rsid w:val="00532989"/>
    <w:pPr>
      <w:outlineLvl w:val="9"/>
    </w:pPr>
    <w:rPr>
      <w:lang w:eastAsia="nl-BE"/>
    </w:rPr>
  </w:style>
  <w:style w:type="paragraph" w:styleId="Inhopg1">
    <w:name w:val="toc 1"/>
    <w:basedOn w:val="Standaard"/>
    <w:next w:val="Standaard"/>
    <w:autoRedefine/>
    <w:uiPriority w:val="39"/>
    <w:unhideWhenUsed/>
    <w:rsid w:val="00532989"/>
    <w:pPr>
      <w:spacing w:after="100"/>
    </w:pPr>
  </w:style>
  <w:style w:type="paragraph" w:styleId="Inhopg2">
    <w:name w:val="toc 2"/>
    <w:basedOn w:val="Standaard"/>
    <w:next w:val="Standaard"/>
    <w:autoRedefine/>
    <w:uiPriority w:val="39"/>
    <w:unhideWhenUsed/>
    <w:rsid w:val="00532989"/>
    <w:pPr>
      <w:spacing w:after="100"/>
      <w:ind w:left="220"/>
    </w:pPr>
  </w:style>
  <w:style w:type="paragraph" w:styleId="Inhopg3">
    <w:name w:val="toc 3"/>
    <w:basedOn w:val="Standaard"/>
    <w:next w:val="Standaard"/>
    <w:autoRedefine/>
    <w:uiPriority w:val="39"/>
    <w:unhideWhenUsed/>
    <w:rsid w:val="00532989"/>
    <w:pPr>
      <w:spacing w:after="100"/>
      <w:ind w:left="440"/>
    </w:pPr>
  </w:style>
  <w:style w:type="paragraph" w:styleId="Titel">
    <w:name w:val="Title"/>
    <w:basedOn w:val="Standaard"/>
    <w:next w:val="Standaard"/>
    <w:link w:val="TitelChar"/>
    <w:uiPriority w:val="10"/>
    <w:qFormat/>
    <w:rsid w:val="00772C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72C6B"/>
    <w:rPr>
      <w:rFonts w:asciiTheme="majorHAnsi" w:eastAsiaTheme="majorEastAsia" w:hAnsiTheme="majorHAnsi" w:cstheme="majorBidi"/>
      <w:color w:val="17365D" w:themeColor="text2" w:themeShade="BF"/>
      <w:spacing w:val="5"/>
      <w:kern w:val="28"/>
      <w:sz w:val="52"/>
      <w:szCs w:val="52"/>
    </w:rPr>
  </w:style>
  <w:style w:type="paragraph" w:styleId="Onderwerpvanopmerking">
    <w:name w:val="annotation subject"/>
    <w:basedOn w:val="Tekstopmerking"/>
    <w:next w:val="Tekstopmerking"/>
    <w:link w:val="OnderwerpvanopmerkingChar"/>
    <w:uiPriority w:val="99"/>
    <w:semiHidden/>
    <w:unhideWhenUsed/>
    <w:rsid w:val="009A755D"/>
    <w:pPr>
      <w:spacing w:after="200"/>
      <w:jc w:val="left"/>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9A755D"/>
    <w:rPr>
      <w:rFonts w:ascii="Times New Roman" w:eastAsia="Calibri" w:hAnsi="Times New Roman" w:cs="Times New Roman"/>
      <w:b/>
      <w:bCs/>
      <w:sz w:val="20"/>
      <w:szCs w:val="20"/>
    </w:rPr>
  </w:style>
  <w:style w:type="paragraph" w:styleId="Revisie">
    <w:name w:val="Revision"/>
    <w:hidden/>
    <w:uiPriority w:val="99"/>
    <w:semiHidden/>
    <w:rsid w:val="00661157"/>
    <w:pPr>
      <w:spacing w:after="0" w:line="240" w:lineRule="auto"/>
    </w:pPr>
  </w:style>
  <w:style w:type="character" w:customStyle="1" w:styleId="Onopgelostemelding1">
    <w:name w:val="Onopgeloste melding1"/>
    <w:basedOn w:val="Standaardalinea-lettertype"/>
    <w:uiPriority w:val="99"/>
    <w:semiHidden/>
    <w:unhideWhenUsed/>
    <w:rsid w:val="00CF6131"/>
    <w:rPr>
      <w:color w:val="605E5C"/>
      <w:shd w:val="clear" w:color="auto" w:fill="E1DFDD"/>
    </w:rPr>
  </w:style>
  <w:style w:type="paragraph" w:customStyle="1" w:styleId="Default">
    <w:name w:val="Default"/>
    <w:rsid w:val="004034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A5"/>
    <w:uiPriority w:val="99"/>
    <w:rsid w:val="00703851"/>
    <w:rPr>
      <w:color w:val="000000"/>
      <w:sz w:val="21"/>
      <w:szCs w:val="21"/>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Standaard"/>
    <w:link w:val="Voetnootmarkering"/>
    <w:uiPriority w:val="99"/>
    <w:rsid w:val="00D46131"/>
    <w:pPr>
      <w:spacing w:after="160" w:line="240" w:lineRule="exact"/>
      <w:jc w:val="both"/>
    </w:pPr>
    <w:rPr>
      <w:vertAlign w:val="superscript"/>
    </w:rPr>
  </w:style>
  <w:style w:type="character" w:styleId="Onopgelostemelding">
    <w:name w:val="Unresolved Mention"/>
    <w:basedOn w:val="Standaardalinea-lettertype"/>
    <w:uiPriority w:val="99"/>
    <w:semiHidden/>
    <w:unhideWhenUsed/>
    <w:rsid w:val="00876851"/>
    <w:rPr>
      <w:color w:val="605E5C"/>
      <w:shd w:val="clear" w:color="auto" w:fill="E1DFDD"/>
    </w:rPr>
  </w:style>
  <w:style w:type="character" w:styleId="GevolgdeHyperlink">
    <w:name w:val="FollowedHyperlink"/>
    <w:basedOn w:val="Standaardalinea-lettertype"/>
    <w:uiPriority w:val="99"/>
    <w:semiHidden/>
    <w:unhideWhenUsed/>
    <w:rsid w:val="009777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089002">
      <w:bodyDiv w:val="1"/>
      <w:marLeft w:val="0"/>
      <w:marRight w:val="0"/>
      <w:marTop w:val="0"/>
      <w:marBottom w:val="0"/>
      <w:divBdr>
        <w:top w:val="none" w:sz="0" w:space="0" w:color="auto"/>
        <w:left w:val="none" w:sz="0" w:space="0" w:color="auto"/>
        <w:bottom w:val="none" w:sz="0" w:space="0" w:color="auto"/>
        <w:right w:val="none" w:sz="0" w:space="0" w:color="auto"/>
      </w:divBdr>
    </w:div>
    <w:div w:id="1751190852">
      <w:bodyDiv w:val="1"/>
      <w:marLeft w:val="0"/>
      <w:marRight w:val="0"/>
      <w:marTop w:val="0"/>
      <w:marBottom w:val="0"/>
      <w:divBdr>
        <w:top w:val="none" w:sz="0" w:space="0" w:color="auto"/>
        <w:left w:val="none" w:sz="0" w:space="0" w:color="auto"/>
        <w:bottom w:val="none" w:sz="0" w:space="0" w:color="auto"/>
        <w:right w:val="none" w:sz="0" w:space="0" w:color="auto"/>
      </w:divBdr>
    </w:div>
    <w:div w:id="200561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undesverfassungsgericht.de/SharedDocs/Entscheidungen/DE/2019/11/rs20191106_1bvr001613.html" TargetMode="External"/><Relationship Id="rId7" Type="http://schemas.openxmlformats.org/officeDocument/2006/relationships/hyperlink" Target="https://www.autoriteprotectiondonnees.be/publications/decision-quant-au-fond-n-82-2020.pdf" TargetMode="External"/><Relationship Id="rId2" Type="http://schemas.openxmlformats.org/officeDocument/2006/relationships/hyperlink" Target="file:///D:\Wetgevingsleer\TvW\kroniek%20behoorlijke%20wetgeving%20adviespraktijk%20RvS\2019%20en%202020\www.raadvst-consetat.be\%3faction=doc&amp;doc=1069" TargetMode="External"/><Relationship Id="rId1" Type="http://schemas.openxmlformats.org/officeDocument/2006/relationships/hyperlink" Target="http://www.raadvanstate.be/?action=doc&amp;doc=1009" TargetMode="External"/><Relationship Id="rId6" Type="http://schemas.openxmlformats.org/officeDocument/2006/relationships/hyperlink" Target="https://www.gegevensbeschermingsautoriteit.be/publications/aanbeveling-nr.-01-2019.pdf" TargetMode="External"/><Relationship Id="rId5" Type="http://schemas.openxmlformats.org/officeDocument/2006/relationships/hyperlink" Target="https://www.bruzz.be/samenleving/dikste-krant-van-het-land-blijft-groeien-op-bezoek-bij-het-staatsblad-2020-02-07" TargetMode="External"/><Relationship Id="rId4" Type="http://schemas.openxmlformats.org/officeDocument/2006/relationships/hyperlink" Target="https://www.bundesverfassungsgericht.de/SharedDocs/Entscheidungen/DE/2019/11/rs20191106_1bvr027617.html;jsessionid=35A5E4ADD0B314189CAD8EA2530E4673.1_cid38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1ECB-3E26-4960-8458-58B334FAB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21962</Words>
  <Characters>120791</Characters>
  <Application>Microsoft Office Word</Application>
  <DocSecurity>0</DocSecurity>
  <Lines>1006</Lines>
  <Paragraphs>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Nieuwenhove</dc:creator>
  <cp:lastModifiedBy>Jeroen Van Nieuwenhove</cp:lastModifiedBy>
  <cp:revision>4</cp:revision>
  <cp:lastPrinted>2019-04-04T14:53:00Z</cp:lastPrinted>
  <dcterms:created xsi:type="dcterms:W3CDTF">2021-04-28T08:44:00Z</dcterms:created>
  <dcterms:modified xsi:type="dcterms:W3CDTF">2021-04-28T08:45:00Z</dcterms:modified>
</cp:coreProperties>
</file>