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83B65" w14:textId="77777777" w:rsidR="00586FC2" w:rsidRPr="00586FC2" w:rsidRDefault="00586FC2" w:rsidP="00EB33AD">
      <w:pPr>
        <w:spacing w:line="360" w:lineRule="auto"/>
        <w:jc w:val="both"/>
        <w:rPr>
          <w:rFonts w:ascii="Garamond" w:hAnsi="Garamond"/>
          <w:b/>
          <w:bCs/>
        </w:rPr>
      </w:pPr>
      <w:r w:rsidRPr="00586FC2">
        <w:rPr>
          <w:rFonts w:ascii="Garamond" w:hAnsi="Garamond"/>
          <w:b/>
          <w:bCs/>
        </w:rPr>
        <w:t>Colloque Territoires en transition. Habitat, vieillissement et espaces de vie</w:t>
      </w:r>
    </w:p>
    <w:p w14:paraId="6A6B5773" w14:textId="77777777" w:rsidR="00586FC2" w:rsidRPr="00586FC2" w:rsidRDefault="00586FC2" w:rsidP="00EB33AD">
      <w:pPr>
        <w:spacing w:line="360" w:lineRule="auto"/>
        <w:jc w:val="both"/>
        <w:rPr>
          <w:rFonts w:ascii="Garamond" w:hAnsi="Garamond"/>
        </w:rPr>
      </w:pPr>
      <w:r w:rsidRPr="00586FC2">
        <w:rPr>
          <w:rFonts w:ascii="Garamond" w:hAnsi="Garamond"/>
        </w:rPr>
        <w:t>Rouen, 14, 15 septembre 2023</w:t>
      </w:r>
    </w:p>
    <w:p w14:paraId="3306B4BD" w14:textId="77777777" w:rsidR="00586FC2" w:rsidRPr="00586FC2" w:rsidRDefault="00586FC2" w:rsidP="00EB33AD">
      <w:pPr>
        <w:spacing w:line="360" w:lineRule="auto"/>
        <w:jc w:val="both"/>
        <w:rPr>
          <w:rFonts w:ascii="Garamond" w:hAnsi="Garamond"/>
        </w:rPr>
      </w:pPr>
      <w:r w:rsidRPr="00586FC2">
        <w:rPr>
          <w:rFonts w:ascii="Garamond" w:hAnsi="Garamond"/>
        </w:rPr>
        <w:t>Laboratoire ATE, ENSA Normandie</w:t>
      </w:r>
    </w:p>
    <w:p w14:paraId="235087F6" w14:textId="77777777" w:rsidR="00586FC2" w:rsidRPr="00586FC2" w:rsidRDefault="00586FC2" w:rsidP="00EB33AD">
      <w:pPr>
        <w:pStyle w:val="GSTitre1"/>
        <w:spacing w:line="360" w:lineRule="auto"/>
        <w:jc w:val="both"/>
        <w:rPr>
          <w:rFonts w:ascii="Garamond" w:hAnsi="Garamond"/>
          <w:sz w:val="24"/>
          <w:szCs w:val="24"/>
        </w:rPr>
      </w:pPr>
      <w:r w:rsidRPr="00586FC2">
        <w:rPr>
          <w:rFonts w:ascii="Garamond" w:hAnsi="Garamond"/>
          <w:sz w:val="24"/>
          <w:szCs w:val="24"/>
          <w:lang w:val="fr-BE"/>
        </w:rPr>
        <w:t xml:space="preserve">Le grand ensemble : une </w:t>
      </w:r>
      <w:r w:rsidRPr="00586FC2">
        <w:rPr>
          <w:rFonts w:ascii="Garamond" w:hAnsi="Garamond"/>
          <w:sz w:val="24"/>
          <w:szCs w:val="24"/>
        </w:rPr>
        <w:t>intériorité étendue support du bien vieillir chez soi</w:t>
      </w:r>
    </w:p>
    <w:p w14:paraId="637C9EEA" w14:textId="77777777" w:rsidR="00586FC2" w:rsidRPr="00586FC2" w:rsidRDefault="00586FC2" w:rsidP="00EB33AD">
      <w:pPr>
        <w:pStyle w:val="GSTitre1"/>
        <w:spacing w:line="360" w:lineRule="auto"/>
        <w:jc w:val="both"/>
        <w:rPr>
          <w:rFonts w:ascii="Garamond" w:hAnsi="Garamond"/>
          <w:sz w:val="24"/>
          <w:szCs w:val="24"/>
          <w:lang w:val="fr-BE"/>
        </w:rPr>
      </w:pPr>
      <w:r w:rsidRPr="00586FC2">
        <w:rPr>
          <w:rFonts w:ascii="Garamond" w:hAnsi="Garamond"/>
          <w:sz w:val="24"/>
          <w:szCs w:val="24"/>
        </w:rPr>
        <w:t xml:space="preserve">Audrey Courbebaisse, LOCI-LAB </w:t>
      </w:r>
      <w:proofErr w:type="spellStart"/>
      <w:r w:rsidRPr="00586FC2">
        <w:rPr>
          <w:rFonts w:ascii="Garamond" w:hAnsi="Garamond"/>
          <w:sz w:val="24"/>
          <w:szCs w:val="24"/>
        </w:rPr>
        <w:t>UCLouvain</w:t>
      </w:r>
      <w:proofErr w:type="spellEnd"/>
    </w:p>
    <w:p w14:paraId="339F5704" w14:textId="74AB882E" w:rsidR="000109C7" w:rsidRPr="00586FC2" w:rsidRDefault="00586FC2" w:rsidP="00EB33AD">
      <w:pPr>
        <w:pStyle w:val="GSnormal"/>
        <w:spacing w:line="360" w:lineRule="auto"/>
        <w:rPr>
          <w:rFonts w:ascii="Garamond" w:hAnsi="Garamond"/>
          <w:sz w:val="24"/>
          <w:szCs w:val="24"/>
        </w:rPr>
      </w:pPr>
      <w:r w:rsidRPr="00DD3243">
        <w:rPr>
          <w:rFonts w:ascii="Garamond" w:hAnsi="Garamond"/>
          <w:sz w:val="24"/>
          <w:szCs w:val="24"/>
        </w:rPr>
        <w:t xml:space="preserve">Cette communication propose de s’intéresser à l’évolution socio-spatiale des quartiers de grands ensembles immobiliers privés construits dans les années 1960-70 à Toulouse et à Bruxelles. </w:t>
      </w:r>
      <w:r>
        <w:rPr>
          <w:rFonts w:ascii="Garamond" w:hAnsi="Garamond"/>
          <w:sz w:val="24"/>
          <w:szCs w:val="24"/>
        </w:rPr>
        <w:t xml:space="preserve">Elle s’appuie sur un article paru dans la revue </w:t>
      </w:r>
      <w:r w:rsidRPr="00E9432D">
        <w:rPr>
          <w:rFonts w:ascii="Garamond" w:hAnsi="Garamond"/>
          <w:i/>
          <w:iCs/>
          <w:sz w:val="24"/>
          <w:szCs w:val="24"/>
        </w:rPr>
        <w:t>Gérontologie et société</w:t>
      </w:r>
      <w:r>
        <w:rPr>
          <w:rFonts w:ascii="Garamond" w:hAnsi="Garamond"/>
          <w:sz w:val="24"/>
          <w:szCs w:val="24"/>
        </w:rPr>
        <w:t xml:space="preserve"> </w:t>
      </w:r>
      <w:r w:rsidR="00E9432D">
        <w:rPr>
          <w:rFonts w:ascii="Garamond" w:hAnsi="Garamond"/>
          <w:sz w:val="24"/>
          <w:szCs w:val="24"/>
        </w:rPr>
        <w:t xml:space="preserve">où, à </w:t>
      </w:r>
      <w:r w:rsidRPr="00DD3243">
        <w:rPr>
          <w:rFonts w:ascii="Garamond" w:hAnsi="Garamond"/>
          <w:sz w:val="24"/>
          <w:szCs w:val="24"/>
        </w:rPr>
        <w:t xml:space="preserve">partir de la notion théorique de « support » </w:t>
      </w:r>
      <w:r w:rsidRPr="00DD3243">
        <w:rPr>
          <w:rFonts w:ascii="Garamond" w:hAnsi="Garamond"/>
          <w:sz w:val="24"/>
          <w:szCs w:val="24"/>
        </w:rPr>
        <w:fldChar w:fldCharType="begin">
          <w:fldData xml:space="preserve">PEVuZE5vdGU+PENpdGU+PEF1dGhvcj5NYXJ0dWNjZWxsaTwvQXV0aG9yPjxZZWFyPjIwMDI8L1ll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</w:fldData>
        </w:fldChar>
      </w:r>
      <w:r w:rsidR="00E9432D">
        <w:rPr>
          <w:rFonts w:ascii="Garamond" w:hAnsi="Garamond"/>
          <w:sz w:val="24"/>
          <w:szCs w:val="24"/>
        </w:rPr>
        <w:instrText xml:space="preserve"> ADDIN EN.CITE </w:instrText>
      </w:r>
      <w:r w:rsidR="00E9432D">
        <w:rPr>
          <w:rFonts w:ascii="Garamond" w:hAnsi="Garamond"/>
          <w:sz w:val="24"/>
          <w:szCs w:val="24"/>
        </w:rPr>
        <w:fldChar w:fldCharType="begin">
          <w:fldData xml:space="preserve">PEVuZE5vdGU+PENpdGU+PEF1dGhvcj5NYXJ0dWNjZWxsaTwvQXV0aG9yPjxZZWFyPjIwMDI8L1ll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</w:fldData>
        </w:fldChar>
      </w:r>
      <w:r w:rsidR="00E9432D">
        <w:rPr>
          <w:rFonts w:ascii="Garamond" w:hAnsi="Garamond"/>
          <w:sz w:val="24"/>
          <w:szCs w:val="24"/>
        </w:rPr>
        <w:instrText xml:space="preserve"> ADDIN EN.CITE.DATA </w:instrText>
      </w:r>
      <w:r w:rsidR="00E9432D">
        <w:rPr>
          <w:rFonts w:ascii="Garamond" w:hAnsi="Garamond"/>
          <w:sz w:val="24"/>
          <w:szCs w:val="24"/>
        </w:rPr>
      </w:r>
      <w:r w:rsidR="00E9432D">
        <w:rPr>
          <w:rFonts w:ascii="Garamond" w:hAnsi="Garamond"/>
          <w:sz w:val="24"/>
          <w:szCs w:val="24"/>
        </w:rPr>
        <w:fldChar w:fldCharType="end"/>
      </w:r>
      <w:r w:rsidRPr="00DD3243">
        <w:rPr>
          <w:rFonts w:ascii="Garamond" w:hAnsi="Garamond"/>
          <w:sz w:val="24"/>
          <w:szCs w:val="24"/>
        </w:rPr>
      </w:r>
      <w:r w:rsidRPr="00DD3243">
        <w:rPr>
          <w:rFonts w:ascii="Garamond" w:hAnsi="Garamond"/>
          <w:sz w:val="24"/>
          <w:szCs w:val="24"/>
        </w:rPr>
        <w:fldChar w:fldCharType="separate"/>
      </w:r>
      <w:r w:rsidR="00E9432D">
        <w:rPr>
          <w:rFonts w:ascii="Garamond" w:hAnsi="Garamond"/>
          <w:noProof/>
          <w:sz w:val="24"/>
          <w:szCs w:val="24"/>
        </w:rPr>
        <w:t>(Martuccelli, 2002 ; Caradec, 2005, 2014 ; Olivier Masson, 2016)</w:t>
      </w:r>
      <w:r w:rsidRPr="00DD3243">
        <w:rPr>
          <w:rFonts w:ascii="Garamond" w:hAnsi="Garamond"/>
          <w:sz w:val="24"/>
          <w:szCs w:val="24"/>
        </w:rPr>
        <w:fldChar w:fldCharType="end"/>
      </w:r>
      <w:r w:rsidRPr="00DD3243">
        <w:rPr>
          <w:rFonts w:ascii="Garamond" w:hAnsi="Garamond"/>
          <w:sz w:val="24"/>
          <w:szCs w:val="24"/>
        </w:rPr>
        <w:t xml:space="preserve"> appliquée au cas particulier de cinq terrains de grands ensembles </w:t>
      </w:r>
      <w:r w:rsidRPr="00DD3243">
        <w:rPr>
          <w:rFonts w:ascii="Garamond" w:hAnsi="Garamond"/>
          <w:sz w:val="24"/>
          <w:szCs w:val="24"/>
        </w:rPr>
        <w:fldChar w:fldCharType="begin"/>
      </w:r>
      <w:r w:rsidR="00E9432D">
        <w:rPr>
          <w:rFonts w:ascii="Garamond" w:hAnsi="Garamond"/>
          <w:sz w:val="24"/>
          <w:szCs w:val="24"/>
        </w:rPr>
        <w:instrText xml:space="preserve"> ADDIN EN.CITE &lt;EndNote&gt;&lt;Cite&gt;&lt;Author&gt;Dufaux&lt;/Author&gt;&lt;Year&gt;2004&lt;/Year&gt;&lt;RecNum&gt;28&lt;/RecNum&gt;&lt;DisplayText&gt;(Dufaux, Fourcaut et Chemetov, 2004 ; Courbebaisse, 2017)&lt;/DisplayText&gt;&lt;record&gt;&lt;rec-number&gt;28&lt;/rec-number&gt;&lt;foreign-keys&gt;&lt;key app="EN" db-id="2wx00x0p8t5t25e9df6pfrv4zzvpvpwsfv0f" timestamp="1693299741"&gt;28&lt;/key&gt;&lt;/foreign-keys&gt;&lt;ref-type name="Book"&gt;6&lt;/ref-type&gt;&lt;contributors&gt;&lt;authors&gt;&lt;author&gt;Dufaux, F.&lt;/author&gt;&lt;author&gt;Fourcaut, A.&lt;/author&gt;&lt;author&gt;Chemetov, P.&lt;/author&gt;&lt;/authors&gt;&lt;/contributors&gt;&lt;titles&gt;&lt;title&gt;Le monde des grands ensembles&lt;/title&gt;&lt;/titles&gt;&lt;dates&gt;&lt;year&gt;2004&lt;/year&gt;&lt;/dates&gt;&lt;publisher&gt;Créaphis&lt;/publisher&gt;&lt;isbn&gt;9782913610347&lt;/isbn&gt;&lt;urls&gt;&lt;related-urls&gt;&lt;url&gt;https://books.google.be/books?id=ycTdwPXkhsQC&lt;/url&gt;&lt;/related-urls&gt;&lt;/urls&gt;&lt;/record&gt;&lt;/Cite&gt;&lt;Cite&gt;&lt;Author&gt;Courbebaisse&lt;/Author&gt;&lt;Year&gt;2017&lt;/Year&gt;&lt;RecNum&gt;24&lt;/RecNum&gt;&lt;record&gt;&lt;rec-number&gt;24&lt;/rec-number&gt;&lt;foreign-keys&gt;&lt;key app="EN" db-id="2wx00x0p8t5t25e9df6pfrv4zzvpvpwsfv0f" timestamp="1693297627"&gt;24&lt;/key&gt;&lt;/foreign-keys&gt;&lt;ref-type name="Book"&gt;6&lt;/ref-type&gt;&lt;contributors&gt;&lt;authors&gt;&lt;author&gt;Courbebaisse, A.&lt;/author&gt;&lt;/authors&gt;&lt;/contributors&gt;&lt;titles&gt;&lt;title&gt;Toulouse, le sens caché des grands ensembles&lt;/title&gt;&lt;/titles&gt;&lt;section&gt;304&lt;/section&gt;&lt;dates&gt;&lt;year&gt;2017&lt;/year&gt;&lt;/dates&gt;&lt;publisher&gt;Presses universitaires du Midi&lt;/publisher&gt;&lt;isbn&gt;9782810705320&lt;/isbn&gt;&lt;urls&gt;&lt;related-urls&gt;&lt;url&gt;https://books.google.be/books?id=pbMutAEACAAJ&lt;/url&gt;&lt;/related-urls&gt;&lt;/urls&gt;&lt;/record&gt;&lt;/Cite&gt;&lt;/EndNote&gt;</w:instrText>
      </w:r>
      <w:r w:rsidRPr="00DD3243">
        <w:rPr>
          <w:rFonts w:ascii="Garamond" w:hAnsi="Garamond"/>
          <w:sz w:val="24"/>
          <w:szCs w:val="24"/>
        </w:rPr>
        <w:fldChar w:fldCharType="separate"/>
      </w:r>
      <w:r w:rsidR="00E9432D">
        <w:rPr>
          <w:rFonts w:ascii="Garamond" w:hAnsi="Garamond"/>
          <w:noProof/>
          <w:sz w:val="24"/>
          <w:szCs w:val="24"/>
        </w:rPr>
        <w:t>(Dufaux, Fourcaut et Chemetov, 2004 ; Courbebaisse, 2017)</w:t>
      </w:r>
      <w:r w:rsidRPr="00DD3243">
        <w:rPr>
          <w:rFonts w:ascii="Garamond" w:hAnsi="Garamond"/>
          <w:sz w:val="24"/>
          <w:szCs w:val="24"/>
        </w:rPr>
        <w:fldChar w:fldCharType="end"/>
      </w:r>
      <w:r w:rsidRPr="00DD3243">
        <w:rPr>
          <w:rFonts w:ascii="Garamond" w:hAnsi="Garamond"/>
          <w:sz w:val="24"/>
          <w:szCs w:val="24"/>
        </w:rPr>
        <w:t xml:space="preserve"> nous interrogeons les possibilités</w:t>
      </w:r>
      <w:r w:rsidR="00E9432D">
        <w:rPr>
          <w:rFonts w:ascii="Garamond" w:hAnsi="Garamond"/>
          <w:sz w:val="24"/>
          <w:szCs w:val="24"/>
        </w:rPr>
        <w:t>,</w:t>
      </w:r>
      <w:r w:rsidRPr="00DD3243">
        <w:rPr>
          <w:rFonts w:ascii="Garamond" w:hAnsi="Garamond"/>
          <w:sz w:val="24"/>
          <w:szCs w:val="24"/>
        </w:rPr>
        <w:t xml:space="preserve"> pour une forme sociale et urbaine vieille de plus de 50 ans, d’accueillir et de soutenir une pluralité de vieillesses</w:t>
      </w:r>
      <w:r w:rsidR="00E9432D">
        <w:rPr>
          <w:rFonts w:ascii="Garamond" w:hAnsi="Garamond"/>
          <w:sz w:val="24"/>
          <w:szCs w:val="24"/>
        </w:rPr>
        <w:t xml:space="preserve"> </w:t>
      </w:r>
      <w:r w:rsidR="00E9432D">
        <w:rPr>
          <w:rFonts w:ascii="Garamond" w:hAnsi="Garamond"/>
          <w:sz w:val="24"/>
          <w:szCs w:val="24"/>
        </w:rPr>
        <w:fldChar w:fldCharType="begin"/>
      </w:r>
      <w:r w:rsidR="00E9432D">
        <w:rPr>
          <w:rFonts w:ascii="Garamond" w:hAnsi="Garamond"/>
          <w:sz w:val="24"/>
          <w:szCs w:val="24"/>
        </w:rPr>
        <w:instrText xml:space="preserve"> ADDIN EN.CITE &lt;EndNote&gt;&lt;Cite&gt;&lt;Author&gt;Courbebaisse&lt;/Author&gt;&lt;Year&gt;2023&lt;/Year&gt;&lt;RecNum&gt;36&lt;/RecNum&gt;&lt;DisplayText&gt;(Courbebaisse, 2023)&lt;/DisplayText&gt;&lt;record&gt;&lt;rec-number&gt;36&lt;/rec-number&gt;&lt;foreign-keys&gt;&lt;key app="EN" db-id="2wx00x0p8t5t25e9df6pfrv4zzvpvpwsfv0f" timestamp="1695287229"&gt;36&lt;/key&gt;&lt;/foreign-keys&gt;&lt;ref-type name="Journal Article"&gt;17&lt;/ref-type&gt;&lt;contributors&gt;&lt;authors&gt;&lt;author&gt;Courbebaisse, Audrey&lt;/author&gt;&lt;/authors&gt;&lt;/contributors&gt;&lt;titles&gt;&lt;title&gt;Les grands ensembles, supports au vieillissement ? Études de cas à Toulouse et Bruxelles&lt;/title&gt;&lt;secondary-title&gt;Gérontologie et société&lt;/secondary-title&gt;&lt;short-title&gt;Les grands ensembles, supports au vieillissement ? Études de cas à Toulouse et Bruxelles&lt;/short-title&gt;&lt;/titles&gt;&lt;periodical&gt;&lt;full-title&gt;Gérontologie et société&lt;/full-title&gt;&lt;/periodical&gt;&lt;pages&gt;19-44&lt;/pages&gt;&lt;volume&gt;45&lt;/volume&gt;&lt;number&gt;2&lt;/number&gt;&lt;dates&gt;&lt;year&gt;2023&lt;/year&gt;&lt;/dates&gt;&lt;isbn&gt;9782858231447&lt;/isbn&gt;&lt;urls&gt;&lt;related-urls&gt;&lt;url&gt;https://www.cairn.info/revue-gerontologie-et-societe-2023-2-page-19.htm&lt;/url&gt;&lt;url&gt;https://www.cairn.info/load_pdf.php?ID_ARTICLE=GS1_171_0019&lt;/url&gt;&lt;/related-urls&gt;&lt;/urls&gt;&lt;electronic-resource-num&gt;10.3917/gs1.171.0019&lt;/electronic-resource-num&gt;&lt;remote-database-name&gt;Cairn.info&lt;/remote-database-name&gt;&lt;remote-database-provider&gt;Cairn.info&lt;/remote-database-provider&gt;&lt;language&gt;Fr&lt;/language&gt;&lt;/record&gt;&lt;/Cite&gt;&lt;/EndNote&gt;</w:instrText>
      </w:r>
      <w:r w:rsidR="00E9432D">
        <w:rPr>
          <w:rFonts w:ascii="Garamond" w:hAnsi="Garamond"/>
          <w:sz w:val="24"/>
          <w:szCs w:val="24"/>
        </w:rPr>
        <w:fldChar w:fldCharType="separate"/>
      </w:r>
      <w:r w:rsidR="00E9432D">
        <w:rPr>
          <w:rFonts w:ascii="Garamond" w:hAnsi="Garamond"/>
          <w:noProof/>
          <w:sz w:val="24"/>
          <w:szCs w:val="24"/>
        </w:rPr>
        <w:t>(Courbebaisse, 2023)</w:t>
      </w:r>
      <w:r w:rsidR="00E9432D">
        <w:rPr>
          <w:rFonts w:ascii="Garamond" w:hAnsi="Garamond"/>
          <w:sz w:val="24"/>
          <w:szCs w:val="24"/>
        </w:rPr>
        <w:fldChar w:fldCharType="end"/>
      </w:r>
      <w:r w:rsidR="00E9432D">
        <w:rPr>
          <w:rFonts w:ascii="Garamond" w:hAnsi="Garamond"/>
          <w:sz w:val="24"/>
          <w:szCs w:val="24"/>
        </w:rPr>
        <w:t>.</w:t>
      </w:r>
      <w:r w:rsidRPr="00DD3243">
        <w:rPr>
          <w:rFonts w:ascii="Garamond" w:hAnsi="Garamond"/>
          <w:sz w:val="24"/>
          <w:szCs w:val="24"/>
        </w:rPr>
        <w:t xml:space="preserve"> </w:t>
      </w:r>
      <w:r w:rsidR="00E9432D">
        <w:rPr>
          <w:rFonts w:ascii="Garamond" w:hAnsi="Garamond"/>
          <w:sz w:val="24"/>
          <w:szCs w:val="24"/>
        </w:rPr>
        <w:t>Dans cette communication, nous souhaitons approfondir</w:t>
      </w:r>
      <w:r w:rsidRPr="00DD3243">
        <w:rPr>
          <w:rFonts w:ascii="Garamond" w:hAnsi="Garamond"/>
          <w:sz w:val="24"/>
          <w:szCs w:val="24"/>
        </w:rPr>
        <w:t xml:space="preserve"> l’hypothèse selon laquelle le grand ensemble constitue une </w:t>
      </w:r>
      <w:r w:rsidRPr="00DD3243">
        <w:rPr>
          <w:rFonts w:ascii="Garamond" w:hAnsi="Garamond"/>
          <w:i/>
          <w:iCs/>
          <w:sz w:val="24"/>
          <w:szCs w:val="24"/>
        </w:rPr>
        <w:t>intériorité étendue</w:t>
      </w:r>
      <w:r w:rsidRPr="00DD3243">
        <w:rPr>
          <w:rFonts w:ascii="Garamond" w:hAnsi="Garamond"/>
          <w:sz w:val="24"/>
          <w:szCs w:val="24"/>
        </w:rPr>
        <w:t xml:space="preserve"> pour des personnes dont la sphère spatiale se réduit progressivement. Des recherches en psychologie environnementale nous renseignent sur les effets du vieillissement sur le rapport </w:t>
      </w:r>
      <w:r w:rsidR="00060044">
        <w:rPr>
          <w:rFonts w:ascii="Garamond" w:hAnsi="Garamond"/>
          <w:sz w:val="24"/>
          <w:szCs w:val="24"/>
        </w:rPr>
        <w:t xml:space="preserve">des personnes </w:t>
      </w:r>
      <w:r w:rsidRPr="00DD3243">
        <w:rPr>
          <w:rFonts w:ascii="Garamond" w:hAnsi="Garamond"/>
          <w:sz w:val="24"/>
          <w:szCs w:val="24"/>
        </w:rPr>
        <w:t>à l’espace et au temps. La réduction de l’espace social, de la mobilité, des déplacements, les pertes de la maitrise de l’espace accompagnent inéluctablement le processus de vieillissement</w:t>
      </w:r>
      <w:r w:rsidR="00E9432D">
        <w:rPr>
          <w:rFonts w:ascii="Garamond" w:hAnsi="Garamond"/>
          <w:sz w:val="24"/>
          <w:szCs w:val="24"/>
        </w:rPr>
        <w:t xml:space="preserve"> et participent à la transformation de la sphère spatiale appréhendée et vécue </w:t>
      </w:r>
      <w:r w:rsidR="00E9432D" w:rsidRPr="00DD3243">
        <w:rPr>
          <w:rFonts w:ascii="Garamond" w:hAnsi="Garamond"/>
          <w:sz w:val="24"/>
          <w:szCs w:val="24"/>
        </w:rPr>
        <w:fldChar w:fldCharType="begin"/>
      </w:r>
      <w:r w:rsidR="00E9432D" w:rsidRPr="00DD3243">
        <w:rPr>
          <w:rFonts w:ascii="Garamond" w:hAnsi="Garamond"/>
          <w:sz w:val="24"/>
          <w:szCs w:val="24"/>
        </w:rPr>
        <w:instrText xml:space="preserve"> ADDIN EN.CITE &lt;EndNote&gt;&lt;Cite&gt;&lt;Author&gt;Morval&lt;/Author&gt;&lt;Year&gt;2006&lt;/Year&gt;&lt;RecNum&gt;30&lt;/RecNum&gt;&lt;DisplayText&gt;(Morval, 2006)&lt;/DisplayText&gt;&lt;record&gt;&lt;rec-number&gt;30&lt;/rec-number&gt;&lt;foreign-keys&gt;&lt;key app="EN" db-id="2wx00x0p8t5t25e9df6pfrv4zzvpvpwsfv0f" timestamp="1693300083"&gt;30&lt;/key&gt;&lt;/foreign-keys&gt;&lt;ref-type name="Book Section"&gt;5&lt;/ref-type&gt;&lt;contributors&gt;&lt;authors&gt;&lt;author&gt;Jean Morval&lt;/author&gt;&lt;/authors&gt;&lt;secondary-authors&gt;&lt;author&gt;Presses universitaires de France&lt;/author&gt;&lt;/secondary-authors&gt;&lt;/contributors&gt;&lt;titles&gt;&lt;title&gt;L’appropriation et la désappropriation de l’espace chez la personne âgée&lt;/title&gt;&lt;secondary-title&gt;Penser l’espace pour lire la vieillesse&lt;/secondary-title&gt;&lt;/titles&gt;&lt;pages&gt;51-69&lt;/pages&gt;&lt;dates&gt;&lt;year&gt;2006&lt;/year&gt;&lt;/dates&gt;&lt;pub-location&gt;Paris&lt;/pub-location&gt;&lt;urls&gt;&lt;/urls&gt;&lt;/record&gt;&lt;/Cite&gt;&lt;/EndNote&gt;</w:instrText>
      </w:r>
      <w:r w:rsidR="00E9432D" w:rsidRPr="00DD3243">
        <w:rPr>
          <w:rFonts w:ascii="Garamond" w:hAnsi="Garamond"/>
          <w:sz w:val="24"/>
          <w:szCs w:val="24"/>
        </w:rPr>
        <w:fldChar w:fldCharType="separate"/>
      </w:r>
      <w:r w:rsidR="00E9432D" w:rsidRPr="00DD3243">
        <w:rPr>
          <w:rFonts w:ascii="Garamond" w:hAnsi="Garamond"/>
          <w:noProof/>
          <w:sz w:val="24"/>
          <w:szCs w:val="24"/>
        </w:rPr>
        <w:t>(Morval, 2006)</w:t>
      </w:r>
      <w:r w:rsidR="00E9432D" w:rsidRPr="00DD3243">
        <w:rPr>
          <w:rFonts w:ascii="Garamond" w:hAnsi="Garamond"/>
          <w:sz w:val="24"/>
          <w:szCs w:val="24"/>
        </w:rPr>
        <w:fldChar w:fldCharType="end"/>
      </w:r>
      <w:r w:rsidR="00E9432D">
        <w:rPr>
          <w:rFonts w:ascii="Garamond" w:hAnsi="Garamond"/>
          <w:sz w:val="24"/>
          <w:szCs w:val="24"/>
        </w:rPr>
        <w:t xml:space="preserve">. Or, </w:t>
      </w:r>
      <w:r w:rsidR="00247FE4">
        <w:rPr>
          <w:rFonts w:ascii="Garamond" w:hAnsi="Garamond"/>
          <w:sz w:val="24"/>
          <w:szCs w:val="24"/>
        </w:rPr>
        <w:t xml:space="preserve">ce rétrécissement ne peut-il pas être amoindri et ou compensé par certains dispositifs spatiaux ? </w:t>
      </w:r>
      <w:r w:rsidR="00647E8E">
        <w:rPr>
          <w:rFonts w:ascii="Garamond" w:hAnsi="Garamond"/>
          <w:sz w:val="24"/>
          <w:szCs w:val="24"/>
        </w:rPr>
        <w:t>La</w:t>
      </w:r>
      <w:r w:rsidR="00247FE4">
        <w:rPr>
          <w:rFonts w:ascii="Garamond" w:hAnsi="Garamond"/>
          <w:sz w:val="24"/>
          <w:szCs w:val="24"/>
        </w:rPr>
        <w:t xml:space="preserve"> présence de balcons, de paliers et d’équipements collectifs </w:t>
      </w:r>
      <w:r w:rsidR="00AE136C">
        <w:rPr>
          <w:rFonts w:ascii="Garamond" w:hAnsi="Garamond"/>
          <w:sz w:val="24"/>
          <w:szCs w:val="24"/>
        </w:rPr>
        <w:t xml:space="preserve">peuvent-ils </w:t>
      </w:r>
      <w:r w:rsidR="00247FE4">
        <w:rPr>
          <w:rFonts w:ascii="Garamond" w:hAnsi="Garamond"/>
          <w:sz w:val="24"/>
          <w:szCs w:val="24"/>
        </w:rPr>
        <w:t>pallie</w:t>
      </w:r>
      <w:r w:rsidR="00AE136C">
        <w:rPr>
          <w:rFonts w:ascii="Garamond" w:hAnsi="Garamond"/>
          <w:sz w:val="24"/>
          <w:szCs w:val="24"/>
        </w:rPr>
        <w:t>r</w:t>
      </w:r>
      <w:r w:rsidR="00247FE4">
        <w:rPr>
          <w:rFonts w:ascii="Garamond" w:hAnsi="Garamond"/>
          <w:sz w:val="24"/>
          <w:szCs w:val="24"/>
        </w:rPr>
        <w:t xml:space="preserve"> ce rétrécissement et participe</w:t>
      </w:r>
      <w:r w:rsidR="00647E8E">
        <w:rPr>
          <w:rFonts w:ascii="Garamond" w:hAnsi="Garamond"/>
          <w:sz w:val="24"/>
          <w:szCs w:val="24"/>
        </w:rPr>
        <w:t>r</w:t>
      </w:r>
      <w:r w:rsidR="00247FE4">
        <w:rPr>
          <w:rFonts w:ascii="Garamond" w:hAnsi="Garamond"/>
          <w:sz w:val="24"/>
          <w:szCs w:val="24"/>
        </w:rPr>
        <w:t xml:space="preserve"> à une redéfinition des limites de la sphère intime ? </w:t>
      </w:r>
      <w:r w:rsidR="00647E8E">
        <w:rPr>
          <w:rFonts w:ascii="Garamond" w:hAnsi="Garamond"/>
          <w:sz w:val="24"/>
          <w:szCs w:val="24"/>
        </w:rPr>
        <w:t>Sous</w:t>
      </w:r>
      <w:r w:rsidR="00247FE4">
        <w:rPr>
          <w:rFonts w:ascii="Garamond" w:hAnsi="Garamond"/>
          <w:sz w:val="24"/>
          <w:szCs w:val="24"/>
        </w:rPr>
        <w:t xml:space="preserve"> </w:t>
      </w:r>
      <w:r w:rsidR="00AE136C">
        <w:rPr>
          <w:rFonts w:ascii="Garamond" w:hAnsi="Garamond"/>
          <w:sz w:val="24"/>
          <w:szCs w:val="24"/>
        </w:rPr>
        <w:t xml:space="preserve">quelles </w:t>
      </w:r>
      <w:r w:rsidR="00247FE4">
        <w:rPr>
          <w:rFonts w:ascii="Garamond" w:hAnsi="Garamond"/>
          <w:sz w:val="24"/>
          <w:szCs w:val="24"/>
        </w:rPr>
        <w:t xml:space="preserve">conditions, </w:t>
      </w:r>
      <w:r w:rsidRPr="00DD3243">
        <w:rPr>
          <w:rFonts w:ascii="Garamond" w:hAnsi="Garamond"/>
          <w:sz w:val="24"/>
          <w:szCs w:val="24"/>
        </w:rPr>
        <w:t>«</w:t>
      </w:r>
      <w:r w:rsidRPr="00DD3243">
        <w:rPr>
          <w:rFonts w:ascii="Garamond" w:hAnsi="Garamond"/>
          <w:i/>
          <w:iCs/>
          <w:sz w:val="24"/>
          <w:szCs w:val="24"/>
        </w:rPr>
        <w:t> ce rétrécissement ne pourrait-il pas déboucher</w:t>
      </w:r>
      <w:r w:rsidR="00AE136C">
        <w:rPr>
          <w:rFonts w:ascii="Garamond" w:hAnsi="Garamond"/>
          <w:i/>
          <w:iCs/>
          <w:sz w:val="24"/>
          <w:szCs w:val="24"/>
        </w:rPr>
        <w:t xml:space="preserve"> </w:t>
      </w:r>
      <w:r w:rsidR="00AE136C" w:rsidRPr="00AE136C">
        <w:rPr>
          <w:rFonts w:ascii="Garamond" w:hAnsi="Garamond"/>
          <w:sz w:val="24"/>
          <w:szCs w:val="24"/>
        </w:rPr>
        <w:t>[…]</w:t>
      </w:r>
      <w:r w:rsidR="00AE136C">
        <w:rPr>
          <w:rFonts w:ascii="Garamond" w:hAnsi="Garamond"/>
          <w:i/>
          <w:iCs/>
          <w:sz w:val="24"/>
          <w:szCs w:val="24"/>
        </w:rPr>
        <w:t xml:space="preserve"> </w:t>
      </w:r>
      <w:r w:rsidRPr="00DD3243">
        <w:rPr>
          <w:rFonts w:ascii="Garamond" w:hAnsi="Garamond"/>
          <w:i/>
          <w:iCs/>
          <w:sz w:val="24"/>
          <w:szCs w:val="24"/>
        </w:rPr>
        <w:t>sur une dilatation de l’espace intérieur ? </w:t>
      </w:r>
      <w:r w:rsidRPr="00DD3243">
        <w:rPr>
          <w:rFonts w:ascii="Garamond" w:hAnsi="Garamond"/>
          <w:sz w:val="24"/>
          <w:szCs w:val="24"/>
        </w:rPr>
        <w:t xml:space="preserve">» </w:t>
      </w:r>
      <w:r w:rsidR="00647E8E">
        <w:rPr>
          <w:rFonts w:ascii="Garamond" w:hAnsi="Garamond"/>
          <w:sz w:val="24"/>
          <w:szCs w:val="24"/>
        </w:rPr>
        <w:fldChar w:fldCharType="begin"/>
      </w:r>
      <w:r w:rsidR="00FB0F56">
        <w:rPr>
          <w:rFonts w:ascii="Garamond" w:hAnsi="Garamond"/>
          <w:sz w:val="24"/>
          <w:szCs w:val="24"/>
        </w:rPr>
        <w:instrText xml:space="preserve"> ADDIN EN.CITE &lt;EndNote&gt;&lt;Cite&gt;&lt;Author&gt;Morval&lt;/Author&gt;&lt;Year&gt;2006&lt;/Year&gt;&lt;RecNum&gt;30&lt;/RecNum&gt;&lt;DisplayText&gt;(Morval, 2006)&lt;/DisplayText&gt;&lt;record&gt;&lt;rec-number&gt;30&lt;/rec-number&gt;&lt;foreign-keys&gt;&lt;key app="EN" db-id="2wx00x0p8t5t25e9df6pfrv4zzvpvpwsfv0f" timestamp="1693300083"&gt;30&lt;/key&gt;&lt;/foreign-keys&gt;&lt;ref-type name="Book Section"&gt;5&lt;/ref-type&gt;&lt;contributors&gt;&lt;authors&gt;&lt;author&gt;Jean Morval&lt;/author&gt;&lt;/authors&gt;&lt;secondary-authors&gt;&lt;author&gt;Presses universitaires de France&lt;/author&gt;&lt;/secondary-authors&gt;&lt;/contributors&gt;&lt;titles&gt;&lt;title&gt;L’appropriation et la désappropriation de l’espace chez la personne âgée&lt;/title&gt;&lt;secondary-title&gt;Penser l’espace pour lire la vieillesse&lt;/secondary-title&gt;&lt;/titles&gt;&lt;pages&gt;51-69&lt;/pages&gt;&lt;dates&gt;&lt;year&gt;2006&lt;/year&gt;&lt;/dates&gt;&lt;pub-location&gt;Paris&lt;/pub-location&gt;&lt;urls&gt;&lt;/urls&gt;&lt;/record&gt;&lt;/Cite&gt;&lt;/EndNote&gt;</w:instrText>
      </w:r>
      <w:r w:rsidR="00647E8E">
        <w:rPr>
          <w:rFonts w:ascii="Garamond" w:hAnsi="Garamond"/>
          <w:sz w:val="24"/>
          <w:szCs w:val="24"/>
        </w:rPr>
        <w:fldChar w:fldCharType="separate"/>
      </w:r>
      <w:r w:rsidR="00FB0F56">
        <w:rPr>
          <w:rFonts w:ascii="Garamond" w:hAnsi="Garamond"/>
          <w:noProof/>
          <w:sz w:val="24"/>
          <w:szCs w:val="24"/>
        </w:rPr>
        <w:t>(Morval, 2006)</w:t>
      </w:r>
      <w:r w:rsidR="00647E8E">
        <w:rPr>
          <w:rFonts w:ascii="Garamond" w:hAnsi="Garamond"/>
          <w:sz w:val="24"/>
          <w:szCs w:val="24"/>
        </w:rPr>
        <w:fldChar w:fldCharType="end"/>
      </w:r>
      <w:r w:rsidRPr="00DD3243">
        <w:rPr>
          <w:rFonts w:ascii="Garamond" w:hAnsi="Garamond"/>
          <w:sz w:val="24"/>
          <w:szCs w:val="24"/>
        </w:rPr>
        <w:t xml:space="preserve">. </w:t>
      </w:r>
      <w:r w:rsidR="00AE136C">
        <w:rPr>
          <w:rFonts w:ascii="Garamond" w:hAnsi="Garamond"/>
          <w:sz w:val="24"/>
          <w:szCs w:val="24"/>
        </w:rPr>
        <w:t>C’est ce que nous proposons d’explorer à partir du</w:t>
      </w:r>
      <w:r w:rsidRPr="00DD3243">
        <w:rPr>
          <w:rFonts w:ascii="Garamond" w:hAnsi="Garamond"/>
          <w:sz w:val="24"/>
          <w:szCs w:val="24"/>
        </w:rPr>
        <w:t xml:space="preserve"> grand ensemble, forme urbaine faisant lien entre l’espace individuel de l’appartement et l’espace public de la ville, échelle collective par excellence avec ses communs, ses espaces extérieurs, ses équipements</w:t>
      </w:r>
      <w:r w:rsidR="00AE136C">
        <w:rPr>
          <w:rFonts w:ascii="Garamond" w:hAnsi="Garamond"/>
          <w:sz w:val="24"/>
          <w:szCs w:val="24"/>
        </w:rPr>
        <w:t>.</w:t>
      </w:r>
    </w:p>
    <w:p w14:paraId="0151710E" w14:textId="0259FE47" w:rsidR="000109C7" w:rsidRPr="00586FC2" w:rsidRDefault="000109C7" w:rsidP="00EB33AD">
      <w:pPr>
        <w:pStyle w:val="GSnormal"/>
        <w:spacing w:line="360" w:lineRule="auto"/>
        <w:rPr>
          <w:rFonts w:ascii="Garamond" w:hAnsi="Garamond" w:cs="Calibri"/>
          <w:sz w:val="24"/>
          <w:szCs w:val="24"/>
        </w:rPr>
      </w:pPr>
      <w:r w:rsidRPr="00586FC2">
        <w:rPr>
          <w:rFonts w:ascii="Garamond" w:hAnsi="Garamond" w:cs="Calibri"/>
          <w:sz w:val="24"/>
          <w:szCs w:val="24"/>
        </w:rPr>
        <w:t xml:space="preserve">De quelle manière cette extériorité amenée par les espaces intermédiaires et les abords des grands ensembles agit-elle </w:t>
      </w:r>
      <w:r w:rsidR="00AE136C" w:rsidRPr="00DD3243">
        <w:rPr>
          <w:rFonts w:ascii="Garamond" w:hAnsi="Garamond"/>
          <w:sz w:val="24"/>
          <w:szCs w:val="24"/>
        </w:rPr>
        <w:t>en faveur d’un agrandissement, d’une ouverture de l’espace vital de ses habitants ?</w:t>
      </w:r>
    </w:p>
    <w:p w14:paraId="3986431B" w14:textId="77777777" w:rsidR="00586FC2" w:rsidRDefault="00586FC2" w:rsidP="00EB33AD">
      <w:pPr>
        <w:pStyle w:val="GSnormal"/>
        <w:spacing w:line="360" w:lineRule="auto"/>
        <w:rPr>
          <w:rFonts w:ascii="Garamond" w:hAnsi="Garamond" w:cs="Calibri"/>
          <w:sz w:val="24"/>
          <w:szCs w:val="24"/>
        </w:rPr>
      </w:pPr>
    </w:p>
    <w:p w14:paraId="52B69618" w14:textId="4BEAAFB1" w:rsidR="002E0707" w:rsidRPr="00C9667E" w:rsidRDefault="002E0707" w:rsidP="00EB33AD">
      <w:pPr>
        <w:pStyle w:val="GSnormal"/>
        <w:spacing w:line="360" w:lineRule="auto"/>
        <w:rPr>
          <w:rFonts w:ascii="Garamond" w:hAnsi="Garamond" w:cs="Calibri"/>
          <w:sz w:val="24"/>
          <w:szCs w:val="24"/>
        </w:rPr>
      </w:pPr>
      <w:r w:rsidRPr="00586FC2">
        <w:rPr>
          <w:rFonts w:ascii="Garamond" w:hAnsi="Garamond" w:cs="Calibri"/>
          <w:sz w:val="24"/>
          <w:szCs w:val="24"/>
        </w:rPr>
        <w:lastRenderedPageBreak/>
        <w:t>Pour répondre à ces questions, nous avons mené un travail de terrain</w:t>
      </w:r>
      <w:r w:rsidR="00FB0F56" w:rsidRPr="00DD3243">
        <w:rPr>
          <w:rStyle w:val="Appelnotedebasdep"/>
          <w:rFonts w:ascii="Garamond" w:hAnsi="Garamond"/>
          <w:sz w:val="24"/>
          <w:szCs w:val="24"/>
        </w:rPr>
        <w:footnoteReference w:id="1"/>
      </w:r>
      <w:r w:rsidRPr="00586FC2">
        <w:rPr>
          <w:rFonts w:ascii="Garamond" w:hAnsi="Garamond" w:cs="Calibri"/>
          <w:sz w:val="24"/>
          <w:szCs w:val="24"/>
        </w:rPr>
        <w:t xml:space="preserve"> </w:t>
      </w:r>
      <w:r w:rsidR="00FB0F56">
        <w:rPr>
          <w:rFonts w:ascii="Garamond" w:hAnsi="Garamond" w:cs="Calibri"/>
          <w:sz w:val="24"/>
          <w:szCs w:val="24"/>
        </w:rPr>
        <w:t xml:space="preserve">de 2018 à 2020 à Toulouse et </w:t>
      </w:r>
      <w:r w:rsidR="00C9667E">
        <w:rPr>
          <w:rFonts w:ascii="Garamond" w:hAnsi="Garamond" w:cs="Calibri"/>
          <w:sz w:val="24"/>
          <w:szCs w:val="24"/>
        </w:rPr>
        <w:t>de</w:t>
      </w:r>
      <w:r w:rsidR="00FB0F56">
        <w:rPr>
          <w:rFonts w:ascii="Garamond" w:hAnsi="Garamond" w:cs="Calibri"/>
          <w:sz w:val="24"/>
          <w:szCs w:val="24"/>
        </w:rPr>
        <w:t xml:space="preserve"> 2021</w:t>
      </w:r>
      <w:r w:rsidR="00C9667E">
        <w:rPr>
          <w:rFonts w:ascii="Garamond" w:hAnsi="Garamond" w:cs="Calibri"/>
          <w:sz w:val="24"/>
          <w:szCs w:val="24"/>
        </w:rPr>
        <w:t xml:space="preserve"> à 20</w:t>
      </w:r>
      <w:r w:rsidR="00FB0F56">
        <w:rPr>
          <w:rFonts w:ascii="Garamond" w:hAnsi="Garamond" w:cs="Calibri"/>
          <w:sz w:val="24"/>
          <w:szCs w:val="24"/>
        </w:rPr>
        <w:t xml:space="preserve">22 à Bruxelles </w:t>
      </w:r>
      <w:r w:rsidR="00512F48" w:rsidRPr="00586FC2">
        <w:rPr>
          <w:rFonts w:ascii="Garamond" w:hAnsi="Garamond" w:cs="Calibri"/>
          <w:sz w:val="24"/>
          <w:szCs w:val="24"/>
        </w:rPr>
        <w:t>auprès de personnes âgées de 60 à 98 ans</w:t>
      </w:r>
      <w:r w:rsidR="00FB0F56">
        <w:rPr>
          <w:rFonts w:ascii="Garamond" w:hAnsi="Garamond" w:cs="Calibri"/>
          <w:sz w:val="24"/>
          <w:szCs w:val="24"/>
        </w:rPr>
        <w:t>.</w:t>
      </w:r>
      <w:r w:rsidR="00C9667E">
        <w:rPr>
          <w:rFonts w:ascii="Garamond" w:hAnsi="Garamond" w:cs="Calibri"/>
          <w:sz w:val="24"/>
          <w:szCs w:val="24"/>
        </w:rPr>
        <w:t xml:space="preserve"> </w:t>
      </w:r>
      <w:r w:rsidR="00C9667E" w:rsidRPr="00C9667E">
        <w:rPr>
          <w:rFonts w:ascii="Garamond" w:hAnsi="Garamond" w:cs="Calibri"/>
          <w:sz w:val="24"/>
          <w:szCs w:val="24"/>
        </w:rPr>
        <w:t>Trente-quatre</w:t>
      </w:r>
      <w:r w:rsidRPr="00C9667E">
        <w:rPr>
          <w:rFonts w:ascii="Garamond" w:hAnsi="Garamond" w:cs="Calibri"/>
          <w:sz w:val="24"/>
          <w:szCs w:val="24"/>
        </w:rPr>
        <w:t xml:space="preserve"> </w:t>
      </w:r>
      <w:r w:rsidR="00C9667E" w:rsidRPr="00C9667E">
        <w:rPr>
          <w:rFonts w:ascii="Garamond" w:hAnsi="Garamond" w:cs="Calibri"/>
          <w:sz w:val="24"/>
          <w:szCs w:val="24"/>
        </w:rPr>
        <w:t>e</w:t>
      </w:r>
      <w:r w:rsidRPr="00C9667E">
        <w:rPr>
          <w:rFonts w:ascii="Garamond" w:hAnsi="Garamond" w:cs="Calibri"/>
          <w:sz w:val="24"/>
          <w:szCs w:val="24"/>
        </w:rPr>
        <w:t>ntretiens compréhensifs ont été réalisés</w:t>
      </w:r>
      <w:r w:rsidR="00C9667E" w:rsidRPr="00C9667E">
        <w:rPr>
          <w:rFonts w:ascii="Garamond" w:hAnsi="Garamond" w:cs="Calibri"/>
          <w:sz w:val="24"/>
          <w:szCs w:val="24"/>
        </w:rPr>
        <w:t>, et l</w:t>
      </w:r>
      <w:r w:rsidRPr="00C9667E">
        <w:rPr>
          <w:rFonts w:ascii="Garamond" w:hAnsi="Garamond" w:cs="Calibri"/>
          <w:sz w:val="24"/>
          <w:szCs w:val="24"/>
        </w:rPr>
        <w:t>orsque cela était possible</w:t>
      </w:r>
      <w:r w:rsidR="00C9667E" w:rsidRPr="00C9667E">
        <w:rPr>
          <w:rFonts w:ascii="Garamond" w:hAnsi="Garamond" w:cs="Calibri"/>
          <w:sz w:val="24"/>
          <w:szCs w:val="24"/>
        </w:rPr>
        <w:t>,</w:t>
      </w:r>
      <w:r w:rsidRPr="00C9667E">
        <w:rPr>
          <w:rFonts w:ascii="Garamond" w:hAnsi="Garamond" w:cs="Calibri"/>
          <w:sz w:val="24"/>
          <w:szCs w:val="24"/>
        </w:rPr>
        <w:t xml:space="preserve"> des relevés habités des logements et des parties communes intérieures.</w:t>
      </w:r>
      <w:r w:rsidR="00C9667E">
        <w:rPr>
          <w:rFonts w:ascii="Garamond" w:hAnsi="Garamond" w:cs="Calibri"/>
          <w:sz w:val="24"/>
          <w:szCs w:val="24"/>
        </w:rPr>
        <w:t xml:space="preserve"> </w:t>
      </w:r>
      <w:r w:rsidRPr="00C9667E">
        <w:rPr>
          <w:rFonts w:ascii="Garamond" w:hAnsi="Garamond" w:cs="Calibri"/>
          <w:sz w:val="24"/>
          <w:szCs w:val="24"/>
        </w:rPr>
        <w:t xml:space="preserve">Des observations participantes </w:t>
      </w:r>
      <w:r w:rsidR="00C9667E" w:rsidRPr="00C9667E">
        <w:rPr>
          <w:rFonts w:ascii="Garamond" w:hAnsi="Garamond" w:cs="Calibri"/>
          <w:sz w:val="24"/>
          <w:szCs w:val="24"/>
        </w:rPr>
        <w:t xml:space="preserve">ont également été menées, </w:t>
      </w:r>
      <w:r w:rsidRPr="00C9667E">
        <w:rPr>
          <w:rFonts w:ascii="Garamond" w:hAnsi="Garamond" w:cs="Calibri"/>
          <w:sz w:val="24"/>
          <w:szCs w:val="24"/>
        </w:rPr>
        <w:t xml:space="preserve">dans des évènements organisés par des associations de personnes âgées (REVA Ancely) </w:t>
      </w:r>
      <w:r w:rsidR="00C9667E" w:rsidRPr="00C9667E">
        <w:rPr>
          <w:rFonts w:ascii="Garamond" w:hAnsi="Garamond" w:cs="Calibri"/>
          <w:sz w:val="24"/>
          <w:szCs w:val="24"/>
        </w:rPr>
        <w:t>et auprès de services</w:t>
      </w:r>
      <w:r w:rsidRPr="00C9667E">
        <w:rPr>
          <w:rFonts w:ascii="Garamond" w:hAnsi="Garamond" w:cs="Calibri"/>
          <w:sz w:val="24"/>
          <w:szCs w:val="24"/>
        </w:rPr>
        <w:t xml:space="preserve"> d’aide à la personne (livraison des repas à domicile) à Bruxelles. </w:t>
      </w:r>
    </w:p>
    <w:p w14:paraId="2CC73FDF" w14:textId="77777777" w:rsidR="002E0707" w:rsidRPr="00586FC2" w:rsidRDefault="002E0707" w:rsidP="00EB33AD">
      <w:pPr>
        <w:spacing w:line="360" w:lineRule="auto"/>
        <w:jc w:val="both"/>
        <w:rPr>
          <w:rFonts w:ascii="Garamond" w:hAnsi="Garamond" w:cs="Calibri"/>
          <w:lang w:val="fr-FR"/>
        </w:rPr>
      </w:pPr>
    </w:p>
    <w:p w14:paraId="7B615928" w14:textId="07FB4C2D" w:rsidR="00512F48" w:rsidRPr="00586FC2" w:rsidRDefault="00C9667E" w:rsidP="00EB33AD">
      <w:pPr>
        <w:spacing w:line="360" w:lineRule="auto"/>
        <w:jc w:val="both"/>
        <w:rPr>
          <w:rFonts w:ascii="Garamond" w:hAnsi="Garamond" w:cs="Calibri"/>
          <w:lang w:val="fr-FR"/>
        </w:rPr>
      </w:pPr>
      <w:r>
        <w:rPr>
          <w:rFonts w:ascii="Garamond" w:hAnsi="Garamond" w:cs="Calibri"/>
          <w:lang w:val="fr-FR"/>
        </w:rPr>
        <w:t>Les cinq</w:t>
      </w:r>
      <w:r w:rsidR="00512F48" w:rsidRPr="00586FC2">
        <w:rPr>
          <w:rFonts w:ascii="Garamond" w:hAnsi="Garamond" w:cs="Calibri"/>
          <w:lang w:val="fr-FR"/>
        </w:rPr>
        <w:t xml:space="preserve"> copropriétés </w:t>
      </w:r>
      <w:r>
        <w:rPr>
          <w:rFonts w:ascii="Garamond" w:hAnsi="Garamond" w:cs="Calibri"/>
          <w:lang w:val="fr-FR"/>
        </w:rPr>
        <w:t xml:space="preserve">étudiées </w:t>
      </w:r>
      <w:r w:rsidR="00512F48" w:rsidRPr="00586FC2">
        <w:rPr>
          <w:rFonts w:ascii="Garamond" w:hAnsi="Garamond" w:cs="Calibri"/>
          <w:lang w:val="fr-FR"/>
        </w:rPr>
        <w:t>se situent dans la seconde couronne urbaine</w:t>
      </w:r>
      <w:r>
        <w:rPr>
          <w:rFonts w:ascii="Garamond" w:hAnsi="Garamond" w:cs="Calibri"/>
          <w:lang w:val="fr-FR"/>
        </w:rPr>
        <w:t xml:space="preserve"> et </w:t>
      </w:r>
      <w:r w:rsidR="00512F48" w:rsidRPr="00586FC2">
        <w:rPr>
          <w:rFonts w:ascii="Garamond" w:hAnsi="Garamond" w:cs="Calibri"/>
          <w:lang w:val="fr-FR"/>
        </w:rPr>
        <w:t>font aujourd’hui parties des quartiers les plus vieillissants de la R</w:t>
      </w:r>
      <w:r>
        <w:rPr>
          <w:rFonts w:ascii="Garamond" w:hAnsi="Garamond" w:cs="Calibri"/>
          <w:lang w:val="fr-FR"/>
        </w:rPr>
        <w:t xml:space="preserve">égion de Bruxelles Capitale et </w:t>
      </w:r>
      <w:r w:rsidR="00512F48" w:rsidRPr="00586FC2">
        <w:rPr>
          <w:rFonts w:ascii="Garamond" w:hAnsi="Garamond" w:cs="Calibri"/>
          <w:lang w:val="fr-FR"/>
        </w:rPr>
        <w:t>de la métropole toulousaine</w:t>
      </w:r>
      <w:r w:rsidR="00592797">
        <w:rPr>
          <w:rFonts w:ascii="Garamond" w:hAnsi="Garamond" w:cs="Calibri"/>
          <w:lang w:val="fr-FR"/>
        </w:rPr>
        <w:t xml:space="preserve"> avec une part de personnes de 65 ans et </w:t>
      </w:r>
      <w:proofErr w:type="gramStart"/>
      <w:r w:rsidR="00592797">
        <w:rPr>
          <w:rFonts w:ascii="Garamond" w:hAnsi="Garamond" w:cs="Calibri"/>
          <w:lang w:val="fr-FR"/>
        </w:rPr>
        <w:t>plus supérieure</w:t>
      </w:r>
      <w:proofErr w:type="gramEnd"/>
      <w:r w:rsidR="00592797">
        <w:rPr>
          <w:rFonts w:ascii="Garamond" w:hAnsi="Garamond" w:cs="Calibri"/>
          <w:lang w:val="fr-FR"/>
        </w:rPr>
        <w:t xml:space="preserve"> à 20% (alors que les moyennes régionales se situent autour des 13%).</w:t>
      </w:r>
      <w:r w:rsidR="002E1468">
        <w:rPr>
          <w:rFonts w:ascii="Garamond" w:hAnsi="Garamond" w:cs="Calibri"/>
          <w:lang w:val="fr-FR"/>
        </w:rPr>
        <w:t xml:space="preserve"> </w:t>
      </w:r>
      <w:r w:rsidR="002E1468" w:rsidRPr="002E1468">
        <w:rPr>
          <w:rFonts w:ascii="Garamond" w:hAnsi="Garamond" w:cs="Calibri"/>
          <w:color w:val="FF0000"/>
          <w:lang w:val="fr-FR"/>
        </w:rPr>
        <w:t>Figure 1</w:t>
      </w:r>
    </w:p>
    <w:p w14:paraId="377C0BE2" w14:textId="6CAD67A7" w:rsidR="00512F48" w:rsidRPr="00586FC2" w:rsidRDefault="00592797" w:rsidP="00EB33AD">
      <w:pPr>
        <w:spacing w:line="360" w:lineRule="auto"/>
        <w:jc w:val="both"/>
        <w:rPr>
          <w:rFonts w:ascii="Garamond" w:hAnsi="Garamond" w:cs="Calibri"/>
          <w:lang w:val="fr-FR"/>
        </w:rPr>
      </w:pPr>
      <w:r w:rsidRPr="00586FC2">
        <w:rPr>
          <w:rFonts w:ascii="Garamond" w:hAnsi="Garamond" w:cs="Calibri"/>
          <w:lang w:val="fr-FR"/>
        </w:rPr>
        <w:t>Conçus comme des ensembles urbains</w:t>
      </w:r>
      <w:r>
        <w:rPr>
          <w:rFonts w:ascii="Garamond" w:hAnsi="Garamond" w:cs="Calibri"/>
          <w:lang w:val="fr-FR"/>
        </w:rPr>
        <w:t>, c</w:t>
      </w:r>
      <w:r w:rsidR="00512F48" w:rsidRPr="00586FC2">
        <w:rPr>
          <w:rFonts w:ascii="Garamond" w:hAnsi="Garamond" w:cs="Calibri"/>
          <w:lang w:val="fr-FR"/>
        </w:rPr>
        <w:t>es grands ensembles privés</w:t>
      </w:r>
      <w:r>
        <w:rPr>
          <w:rFonts w:ascii="Garamond" w:hAnsi="Garamond" w:cs="Calibri"/>
          <w:lang w:val="fr-FR"/>
        </w:rPr>
        <w:t xml:space="preserve"> comportent </w:t>
      </w:r>
      <w:r w:rsidR="00512F48" w:rsidRPr="00586FC2">
        <w:rPr>
          <w:rFonts w:ascii="Garamond" w:hAnsi="Garamond" w:cs="Calibri"/>
          <w:lang w:val="fr-FR"/>
        </w:rPr>
        <w:t>plusieurs centaines de logements</w:t>
      </w:r>
      <w:r>
        <w:rPr>
          <w:rFonts w:ascii="Garamond" w:hAnsi="Garamond" w:cs="Calibri"/>
          <w:lang w:val="fr-FR"/>
        </w:rPr>
        <w:t xml:space="preserve"> (entre 350 et 766 logements) ainsi que </w:t>
      </w:r>
      <w:r w:rsidR="00512F48" w:rsidRPr="00586FC2">
        <w:rPr>
          <w:rFonts w:ascii="Garamond" w:hAnsi="Garamond" w:cs="Calibri"/>
          <w:lang w:val="fr-FR"/>
        </w:rPr>
        <w:t>des espaces collectifs intérieurs</w:t>
      </w:r>
      <w:r>
        <w:rPr>
          <w:rFonts w:ascii="Garamond" w:hAnsi="Garamond" w:cs="Calibri"/>
          <w:lang w:val="fr-FR"/>
        </w:rPr>
        <w:t xml:space="preserve"> comme les </w:t>
      </w:r>
      <w:r w:rsidRPr="00586FC2">
        <w:rPr>
          <w:rFonts w:ascii="Garamond" w:hAnsi="Garamond" w:cs="Calibri"/>
          <w:lang w:val="fr-FR"/>
        </w:rPr>
        <w:t>halls d’entrée, cage d’escalier</w:t>
      </w:r>
      <w:r>
        <w:rPr>
          <w:rFonts w:ascii="Garamond" w:hAnsi="Garamond" w:cs="Calibri"/>
          <w:lang w:val="fr-FR"/>
        </w:rPr>
        <w:t xml:space="preserve">, </w:t>
      </w:r>
      <w:r w:rsidRPr="00586FC2">
        <w:rPr>
          <w:rFonts w:ascii="Garamond" w:hAnsi="Garamond" w:cs="Calibri"/>
          <w:lang w:val="fr-FR"/>
        </w:rPr>
        <w:t>ascenseur</w:t>
      </w:r>
      <w:r>
        <w:rPr>
          <w:rFonts w:ascii="Garamond" w:hAnsi="Garamond" w:cs="Calibri"/>
          <w:lang w:val="fr-FR"/>
        </w:rPr>
        <w:t xml:space="preserve">, et des espaces </w:t>
      </w:r>
      <w:r w:rsidR="00512F48" w:rsidRPr="00586FC2">
        <w:rPr>
          <w:rFonts w:ascii="Garamond" w:hAnsi="Garamond" w:cs="Calibri"/>
          <w:lang w:val="fr-FR"/>
        </w:rPr>
        <w:t xml:space="preserve">extérieurs, </w:t>
      </w:r>
      <w:r>
        <w:rPr>
          <w:rFonts w:ascii="Garamond" w:hAnsi="Garamond" w:cs="Calibri"/>
          <w:lang w:val="fr-FR"/>
        </w:rPr>
        <w:t xml:space="preserve">comme </w:t>
      </w:r>
      <w:r w:rsidR="008364AE">
        <w:rPr>
          <w:rFonts w:ascii="Garamond" w:hAnsi="Garamond" w:cs="Calibri"/>
          <w:lang w:val="fr-FR"/>
        </w:rPr>
        <w:t>d</w:t>
      </w:r>
      <w:r>
        <w:rPr>
          <w:rFonts w:ascii="Garamond" w:hAnsi="Garamond" w:cs="Calibri"/>
          <w:lang w:val="fr-FR"/>
        </w:rPr>
        <w:t xml:space="preserve">es parcs, </w:t>
      </w:r>
      <w:r w:rsidR="008364AE">
        <w:rPr>
          <w:rFonts w:ascii="Garamond" w:hAnsi="Garamond" w:cs="Calibri"/>
          <w:lang w:val="fr-FR"/>
        </w:rPr>
        <w:t xml:space="preserve">des </w:t>
      </w:r>
      <w:r w:rsidR="00512F48" w:rsidRPr="00586FC2">
        <w:rPr>
          <w:rFonts w:ascii="Garamond" w:hAnsi="Garamond" w:cs="Calibri"/>
          <w:lang w:val="fr-FR"/>
        </w:rPr>
        <w:t xml:space="preserve">chemins de promenades, </w:t>
      </w:r>
      <w:r w:rsidR="008364AE">
        <w:rPr>
          <w:rFonts w:ascii="Garamond" w:hAnsi="Garamond" w:cs="Calibri"/>
          <w:lang w:val="fr-FR"/>
        </w:rPr>
        <w:t xml:space="preserve">du </w:t>
      </w:r>
      <w:r w:rsidR="00512F48" w:rsidRPr="00586FC2">
        <w:rPr>
          <w:rFonts w:ascii="Garamond" w:hAnsi="Garamond" w:cs="Calibri"/>
          <w:lang w:val="fr-FR"/>
        </w:rPr>
        <w:t>mobilier urbain</w:t>
      </w:r>
      <w:r>
        <w:rPr>
          <w:rFonts w:ascii="Garamond" w:hAnsi="Garamond" w:cs="Calibri"/>
          <w:lang w:val="fr-FR"/>
        </w:rPr>
        <w:t>, etc</w:t>
      </w:r>
      <w:r w:rsidR="00512F48" w:rsidRPr="00586FC2">
        <w:rPr>
          <w:rFonts w:ascii="Garamond" w:hAnsi="Garamond" w:cs="Calibri"/>
          <w:lang w:val="fr-FR"/>
        </w:rPr>
        <w:t xml:space="preserve">. </w:t>
      </w:r>
      <w:r w:rsidR="002E1468" w:rsidRPr="002E1468">
        <w:rPr>
          <w:rFonts w:ascii="Garamond" w:hAnsi="Garamond" w:cs="Calibri"/>
          <w:color w:val="FF0000"/>
          <w:lang w:val="fr-FR"/>
        </w:rPr>
        <w:t>Figure 2</w:t>
      </w:r>
      <w:r w:rsidR="00FD2871">
        <w:rPr>
          <w:rFonts w:ascii="Garamond" w:hAnsi="Garamond" w:cs="Calibri"/>
          <w:color w:val="FF0000"/>
          <w:lang w:val="fr-FR"/>
        </w:rPr>
        <w:t>-7</w:t>
      </w:r>
    </w:p>
    <w:p w14:paraId="0C619D0B" w14:textId="6608CCB2" w:rsidR="00512F48" w:rsidRPr="00586FC2" w:rsidRDefault="008364AE" w:rsidP="00EB33AD">
      <w:pPr>
        <w:spacing w:line="360" w:lineRule="auto"/>
        <w:jc w:val="both"/>
        <w:rPr>
          <w:rFonts w:ascii="Garamond" w:hAnsi="Garamond" w:cs="Calibri"/>
          <w:lang w:val="fr-FR"/>
        </w:rPr>
      </w:pPr>
      <w:r>
        <w:rPr>
          <w:rFonts w:ascii="Garamond" w:hAnsi="Garamond" w:cs="Calibri"/>
          <w:lang w:val="fr-FR"/>
        </w:rPr>
        <w:t>Dans ce sens, le grand ensemble</w:t>
      </w:r>
      <w:r w:rsidR="00512F48" w:rsidRPr="00586FC2">
        <w:rPr>
          <w:rFonts w:ascii="Garamond" w:hAnsi="Garamond" w:cs="Calibri"/>
          <w:lang w:val="fr-FR"/>
        </w:rPr>
        <w:t xml:space="preserve"> Ancely à Toulouse </w:t>
      </w:r>
      <w:r>
        <w:rPr>
          <w:rFonts w:ascii="Garamond" w:hAnsi="Garamond" w:cs="Calibri"/>
          <w:lang w:val="fr-FR"/>
        </w:rPr>
        <w:t>est exemplaire. Contrairement à d’autres grands ensembles</w:t>
      </w:r>
      <w:r w:rsidR="00060044">
        <w:rPr>
          <w:rFonts w:ascii="Garamond" w:hAnsi="Garamond" w:cs="Calibri"/>
          <w:lang w:val="fr-FR"/>
        </w:rPr>
        <w:t xml:space="preserve"> </w:t>
      </w:r>
      <w:r>
        <w:rPr>
          <w:rFonts w:ascii="Garamond" w:hAnsi="Garamond" w:cs="Calibri"/>
          <w:lang w:val="fr-FR"/>
        </w:rPr>
        <w:t xml:space="preserve">où les équipements prévus lors de la conception n’ont pas tous été réalisés ou ont périclité avec le temps, la copropriété comprend une série de services et locaux collectifs encore en activité : </w:t>
      </w:r>
      <w:r w:rsidR="00512F48" w:rsidRPr="00586FC2">
        <w:rPr>
          <w:rFonts w:ascii="Garamond" w:hAnsi="Garamond" w:cs="Calibri"/>
          <w:lang w:val="fr-FR"/>
        </w:rPr>
        <w:t>bureau de poste, groupe scolaire, crèches, commerces, aires de jeux et sportives, piscine</w:t>
      </w:r>
      <w:r>
        <w:rPr>
          <w:rFonts w:ascii="Garamond" w:hAnsi="Garamond" w:cs="Calibri"/>
          <w:lang w:val="fr-FR"/>
        </w:rPr>
        <w:t>,</w:t>
      </w:r>
      <w:r w:rsidR="00512F48" w:rsidRPr="00586FC2">
        <w:rPr>
          <w:rFonts w:ascii="Garamond" w:hAnsi="Garamond" w:cs="Calibri"/>
          <w:lang w:val="fr-FR"/>
        </w:rPr>
        <w:t xml:space="preserve"> centre culturel, bibliothèque</w:t>
      </w:r>
      <w:r>
        <w:rPr>
          <w:rFonts w:ascii="Garamond" w:hAnsi="Garamond" w:cs="Calibri"/>
          <w:lang w:val="fr-FR"/>
        </w:rPr>
        <w:t xml:space="preserve"> municipale,</w:t>
      </w:r>
      <w:r w:rsidR="00512F48" w:rsidRPr="00586FC2">
        <w:rPr>
          <w:rFonts w:ascii="Garamond" w:hAnsi="Garamond" w:cs="Calibri"/>
          <w:lang w:val="fr-FR"/>
        </w:rPr>
        <w:t xml:space="preserve"> nombreux aménagements paysagers</w:t>
      </w:r>
      <w:r>
        <w:rPr>
          <w:rFonts w:ascii="Garamond" w:hAnsi="Garamond" w:cs="Calibri"/>
          <w:lang w:val="fr-FR"/>
        </w:rPr>
        <w:t>.</w:t>
      </w:r>
    </w:p>
    <w:p w14:paraId="7B89EBCD" w14:textId="6F5233ED" w:rsidR="008364AE" w:rsidRPr="00586FC2" w:rsidRDefault="008364AE" w:rsidP="00EB33AD">
      <w:pPr>
        <w:spacing w:line="360" w:lineRule="auto"/>
        <w:jc w:val="both"/>
        <w:rPr>
          <w:rFonts w:ascii="Garamond" w:hAnsi="Garamond" w:cs="Calibri"/>
          <w:lang w:val="fr-FR"/>
        </w:rPr>
      </w:pPr>
      <w:r>
        <w:rPr>
          <w:rFonts w:ascii="Garamond" w:hAnsi="Garamond" w:cs="Calibri"/>
          <w:lang w:val="fr-FR"/>
        </w:rPr>
        <w:t xml:space="preserve">Les rez-de-chaussée des immeubles, dans lesquels ont été prévues des salles collectives, </w:t>
      </w:r>
      <w:proofErr w:type="gramStart"/>
      <w:r w:rsidR="00EB33AD">
        <w:rPr>
          <w:rFonts w:ascii="Garamond" w:hAnsi="Garamond" w:cs="Calibri"/>
          <w:lang w:val="fr-FR"/>
        </w:rPr>
        <w:t>hébergent pas</w:t>
      </w:r>
      <w:proofErr w:type="gramEnd"/>
      <w:r>
        <w:rPr>
          <w:rFonts w:ascii="Garamond" w:hAnsi="Garamond" w:cs="Calibri"/>
          <w:lang w:val="fr-FR"/>
        </w:rPr>
        <w:t xml:space="preserve"> moins de 17 services et associations ouvertes aux habitant.es du quartier. </w:t>
      </w:r>
      <w:r w:rsidR="00FD2871" w:rsidRPr="00FD2871">
        <w:rPr>
          <w:rFonts w:ascii="Garamond" w:hAnsi="Garamond" w:cs="Calibri"/>
          <w:color w:val="FF0000"/>
          <w:lang w:val="fr-FR"/>
        </w:rPr>
        <w:t>Figure 8</w:t>
      </w:r>
    </w:p>
    <w:p w14:paraId="5CF4F5FA" w14:textId="7527FFB2" w:rsidR="00CA10B1" w:rsidRPr="00586FC2" w:rsidRDefault="00CA10B1" w:rsidP="00EB33AD">
      <w:pPr>
        <w:spacing w:line="360" w:lineRule="auto"/>
        <w:jc w:val="both"/>
        <w:rPr>
          <w:rFonts w:ascii="Garamond" w:hAnsi="Garamond" w:cs="Calibri"/>
          <w:lang w:val="fr-FR"/>
        </w:rPr>
      </w:pPr>
    </w:p>
    <w:p w14:paraId="03FA9BCB" w14:textId="0CEAC413" w:rsidR="00CA10B1" w:rsidRPr="00586FC2" w:rsidRDefault="00CA10B1" w:rsidP="00EB33AD">
      <w:pPr>
        <w:spacing w:line="360" w:lineRule="auto"/>
        <w:jc w:val="both"/>
        <w:rPr>
          <w:rFonts w:ascii="Garamond" w:hAnsi="Garamond" w:cs="Calibri"/>
          <w:lang w:val="fr-FR"/>
        </w:rPr>
      </w:pPr>
      <w:r w:rsidRPr="00586FC2">
        <w:rPr>
          <w:rFonts w:ascii="Garamond" w:hAnsi="Garamond" w:cs="Calibri"/>
          <w:lang w:val="fr-FR"/>
        </w:rPr>
        <w:t>Selon les terrains, les commerces de proximité ont été maintenus</w:t>
      </w:r>
      <w:r w:rsidR="00EB33AD">
        <w:rPr>
          <w:rFonts w:ascii="Garamond" w:hAnsi="Garamond" w:cs="Calibri"/>
          <w:lang w:val="fr-FR"/>
        </w:rPr>
        <w:t xml:space="preserve"> au sein même des grands ensembles</w:t>
      </w:r>
      <w:r w:rsidRPr="00586FC2">
        <w:rPr>
          <w:rFonts w:ascii="Garamond" w:hAnsi="Garamond" w:cs="Calibri"/>
          <w:lang w:val="fr-FR"/>
        </w:rPr>
        <w:t xml:space="preserve"> (Ancely) ou ont disparu au profit de petits supermarchés de proximité</w:t>
      </w:r>
      <w:r w:rsidR="008364AE">
        <w:rPr>
          <w:rFonts w:ascii="Garamond" w:hAnsi="Garamond" w:cs="Calibri"/>
          <w:lang w:val="fr-FR"/>
        </w:rPr>
        <w:t xml:space="preserve"> (Ganshoren</w:t>
      </w:r>
      <w:r w:rsidR="00EB33AD">
        <w:rPr>
          <w:rFonts w:ascii="Garamond" w:hAnsi="Garamond" w:cs="Calibri"/>
          <w:lang w:val="fr-FR"/>
        </w:rPr>
        <w:t>, Belle Paule</w:t>
      </w:r>
      <w:r w:rsidR="008364AE">
        <w:rPr>
          <w:rFonts w:ascii="Garamond" w:hAnsi="Garamond" w:cs="Calibri"/>
          <w:lang w:val="fr-FR"/>
        </w:rPr>
        <w:t>)</w:t>
      </w:r>
      <w:r w:rsidRPr="00586FC2">
        <w:rPr>
          <w:rFonts w:ascii="Garamond" w:hAnsi="Garamond" w:cs="Calibri"/>
          <w:lang w:val="fr-FR"/>
        </w:rPr>
        <w:t>.</w:t>
      </w:r>
      <w:r w:rsidR="00EB33AD">
        <w:rPr>
          <w:rFonts w:ascii="Garamond" w:hAnsi="Garamond" w:cs="Calibri"/>
          <w:lang w:val="fr-FR"/>
        </w:rPr>
        <w:t xml:space="preserve"> L’urbanisation</w:t>
      </w:r>
      <w:r w:rsidRPr="00586FC2">
        <w:rPr>
          <w:rFonts w:ascii="Garamond" w:hAnsi="Garamond" w:cs="Calibri"/>
          <w:lang w:val="fr-FR"/>
        </w:rPr>
        <w:t xml:space="preserve"> des quartiers</w:t>
      </w:r>
      <w:r w:rsidR="00EB33AD">
        <w:rPr>
          <w:rFonts w:ascii="Garamond" w:hAnsi="Garamond" w:cs="Calibri"/>
          <w:lang w:val="fr-FR"/>
        </w:rPr>
        <w:t xml:space="preserve"> a aussi entrainé le</w:t>
      </w:r>
      <w:r w:rsidRPr="00586FC2">
        <w:rPr>
          <w:rFonts w:ascii="Garamond" w:hAnsi="Garamond" w:cs="Calibri"/>
          <w:lang w:val="fr-FR"/>
        </w:rPr>
        <w:t xml:space="preserve"> développement des réseaux de transports en commun. </w:t>
      </w:r>
      <w:r w:rsidR="00EB33AD">
        <w:rPr>
          <w:rFonts w:ascii="Garamond" w:hAnsi="Garamond" w:cs="Calibri"/>
          <w:lang w:val="fr-FR"/>
        </w:rPr>
        <w:t>Les cinq copropriétés sont donc aujourd’hui desservies par les lignes de t</w:t>
      </w:r>
      <w:r w:rsidRPr="00586FC2">
        <w:rPr>
          <w:rFonts w:ascii="Garamond" w:hAnsi="Garamond" w:cs="Calibri"/>
          <w:lang w:val="fr-FR"/>
        </w:rPr>
        <w:t>ram</w:t>
      </w:r>
      <w:r w:rsidR="00EB33AD">
        <w:rPr>
          <w:rFonts w:ascii="Garamond" w:hAnsi="Garamond" w:cs="Calibri"/>
          <w:lang w:val="fr-FR"/>
        </w:rPr>
        <w:t xml:space="preserve">way, bus et métro. Certains quartiers sont aussi concernés par des projets de développement de voies vertes, comme à Ancely avec le projet d’aménagement de voies piétonnes et cyclables en bord de </w:t>
      </w:r>
      <w:r w:rsidRPr="00586FC2">
        <w:rPr>
          <w:rFonts w:ascii="Garamond" w:hAnsi="Garamond" w:cs="Calibri"/>
          <w:lang w:val="fr-FR"/>
        </w:rPr>
        <w:t xml:space="preserve">Garonne et de </w:t>
      </w:r>
      <w:proofErr w:type="spellStart"/>
      <w:r w:rsidRPr="00586FC2">
        <w:rPr>
          <w:rFonts w:ascii="Garamond" w:hAnsi="Garamond" w:cs="Calibri"/>
          <w:lang w:val="fr-FR"/>
        </w:rPr>
        <w:t>Touch</w:t>
      </w:r>
      <w:proofErr w:type="spellEnd"/>
      <w:r w:rsidRPr="00586FC2">
        <w:rPr>
          <w:rFonts w:ascii="Garamond" w:hAnsi="Garamond" w:cs="Calibri"/>
          <w:lang w:val="fr-FR"/>
        </w:rPr>
        <w:t>.</w:t>
      </w:r>
      <w:r w:rsidR="00FD2871">
        <w:rPr>
          <w:rFonts w:ascii="Garamond" w:hAnsi="Garamond" w:cs="Calibri"/>
          <w:lang w:val="fr-FR"/>
        </w:rPr>
        <w:t xml:space="preserve"> </w:t>
      </w:r>
      <w:r w:rsidR="00FD2871" w:rsidRPr="00FD2871">
        <w:rPr>
          <w:rFonts w:ascii="Garamond" w:hAnsi="Garamond" w:cs="Calibri"/>
          <w:color w:val="FF0000"/>
          <w:lang w:val="fr-FR"/>
        </w:rPr>
        <w:t xml:space="preserve">Figure 9 </w:t>
      </w:r>
    </w:p>
    <w:p w14:paraId="3AFBC4C6" w14:textId="77777777" w:rsidR="00362FB8" w:rsidRDefault="00362FB8" w:rsidP="00EB33AD">
      <w:pPr>
        <w:spacing w:line="360" w:lineRule="auto"/>
        <w:jc w:val="both"/>
        <w:rPr>
          <w:rFonts w:ascii="Garamond" w:hAnsi="Garamond" w:cs="Calibri"/>
          <w:lang w:val="fr-FR"/>
        </w:rPr>
      </w:pPr>
    </w:p>
    <w:p w14:paraId="0A8A7ED4" w14:textId="25F62F05" w:rsidR="00362FB8" w:rsidRPr="00586FC2" w:rsidRDefault="00362FB8" w:rsidP="00362FB8">
      <w:pPr>
        <w:spacing w:line="360" w:lineRule="auto"/>
        <w:jc w:val="both"/>
        <w:rPr>
          <w:rFonts w:ascii="Garamond" w:hAnsi="Garamond" w:cs="Calibri"/>
          <w:lang w:val="fr-FR"/>
        </w:rPr>
      </w:pPr>
      <w:r w:rsidRPr="00362FB8">
        <w:rPr>
          <w:rFonts w:ascii="Garamond" w:hAnsi="Garamond" w:cs="Calibri"/>
          <w:lang w:val="fr-FR"/>
        </w:rPr>
        <w:lastRenderedPageBreak/>
        <w:t>Touchés par le vieillissement de leurs habitant.es ces quartiers, construits pour l’accession à la propriété de jeunes ménages dans les années 1960 subissent différentes mutations.</w:t>
      </w:r>
    </w:p>
    <w:p w14:paraId="32EDC4D2" w14:textId="5A77586F" w:rsidR="00CA10B1" w:rsidRPr="00AF5C92" w:rsidRDefault="00CA10B1" w:rsidP="00EB33AD">
      <w:pPr>
        <w:spacing w:line="360" w:lineRule="auto"/>
        <w:jc w:val="both"/>
        <w:rPr>
          <w:rFonts w:ascii="Garamond" w:hAnsi="Garamond" w:cs="Calibri"/>
          <w:color w:val="FF0000"/>
          <w:lang w:val="fr-FR"/>
        </w:rPr>
      </w:pPr>
      <w:r w:rsidRPr="00586FC2">
        <w:rPr>
          <w:rFonts w:ascii="Garamond" w:hAnsi="Garamond" w:cs="Calibri"/>
          <w:lang w:val="fr-FR"/>
        </w:rPr>
        <w:t xml:space="preserve">Dans certains ensembles, </w:t>
      </w:r>
      <w:r w:rsidR="00362FB8">
        <w:rPr>
          <w:rFonts w:ascii="Garamond" w:hAnsi="Garamond" w:cs="Calibri"/>
          <w:lang w:val="fr-FR"/>
        </w:rPr>
        <w:t>on constate l’abandon des terrains de jeux et de sport d’origine. Les copropriétaires profitent des travaux d’étanchéité des dalles de parkings pour améliorer l’accessibilité des halls d’entrée des immeubles avec l’installation de rampes, de mains courantes à l’extérieur et d’assises à l’intérieur, près des boites aux lettres. De nombreu</w:t>
      </w:r>
      <w:r w:rsidR="00461CC2">
        <w:rPr>
          <w:rFonts w:ascii="Garamond" w:hAnsi="Garamond" w:cs="Calibri"/>
          <w:lang w:val="fr-FR"/>
        </w:rPr>
        <w:t>x panneaux d’interdictions et de lutte contre le bruit jalonnent les espaces extérieurs des copropriétés.</w:t>
      </w:r>
      <w:r w:rsidR="00AF5C92">
        <w:rPr>
          <w:rFonts w:ascii="Garamond" w:hAnsi="Garamond" w:cs="Calibri"/>
          <w:lang w:val="fr-FR"/>
        </w:rPr>
        <w:t xml:space="preserve"> </w:t>
      </w:r>
      <w:r w:rsidR="00AF5C92" w:rsidRPr="00AF5C92">
        <w:rPr>
          <w:rFonts w:ascii="Garamond" w:hAnsi="Garamond" w:cs="Calibri"/>
          <w:color w:val="FF0000"/>
          <w:lang w:val="fr-FR"/>
        </w:rPr>
        <w:t>Figure</w:t>
      </w:r>
      <w:r w:rsidR="00AF5C92">
        <w:rPr>
          <w:rFonts w:ascii="Garamond" w:hAnsi="Garamond" w:cs="Calibri"/>
          <w:color w:val="FF0000"/>
          <w:lang w:val="fr-FR"/>
        </w:rPr>
        <w:t>s</w:t>
      </w:r>
      <w:r w:rsidR="00AF5C92" w:rsidRPr="00AF5C92">
        <w:rPr>
          <w:rFonts w:ascii="Garamond" w:hAnsi="Garamond" w:cs="Calibri"/>
          <w:color w:val="FF0000"/>
          <w:lang w:val="fr-FR"/>
        </w:rPr>
        <w:t xml:space="preserve"> 10</w:t>
      </w:r>
      <w:r w:rsidR="00AF5C92">
        <w:rPr>
          <w:rFonts w:ascii="Garamond" w:hAnsi="Garamond" w:cs="Calibri"/>
          <w:color w:val="FF0000"/>
          <w:lang w:val="fr-FR"/>
        </w:rPr>
        <w:t xml:space="preserve"> et 11</w:t>
      </w:r>
    </w:p>
    <w:p w14:paraId="1F869EBF" w14:textId="48881CAA" w:rsidR="00CA10B1" w:rsidRPr="00586FC2" w:rsidRDefault="00461CC2" w:rsidP="00EB33AD">
      <w:pPr>
        <w:spacing w:line="360" w:lineRule="auto"/>
        <w:jc w:val="both"/>
        <w:rPr>
          <w:rFonts w:ascii="Garamond" w:hAnsi="Garamond" w:cs="Calibri"/>
          <w:lang w:val="fr-FR"/>
        </w:rPr>
      </w:pPr>
      <w:r>
        <w:rPr>
          <w:rFonts w:ascii="Garamond" w:hAnsi="Garamond" w:cs="Calibri"/>
          <w:lang w:val="fr-FR"/>
        </w:rPr>
        <w:t>Enfin, l</w:t>
      </w:r>
      <w:r w:rsidR="00CA10B1" w:rsidRPr="00586FC2">
        <w:rPr>
          <w:rFonts w:ascii="Garamond" w:hAnsi="Garamond" w:cs="Calibri"/>
          <w:lang w:val="fr-FR"/>
        </w:rPr>
        <w:t xml:space="preserve">es services et commerces </w:t>
      </w:r>
      <w:r>
        <w:rPr>
          <w:rFonts w:ascii="Garamond" w:hAnsi="Garamond" w:cs="Calibri"/>
          <w:lang w:val="fr-FR"/>
        </w:rPr>
        <w:t xml:space="preserve">présents </w:t>
      </w:r>
      <w:r w:rsidR="00CA10B1" w:rsidRPr="00586FC2">
        <w:rPr>
          <w:rFonts w:ascii="Garamond" w:hAnsi="Garamond" w:cs="Calibri"/>
          <w:lang w:val="fr-FR"/>
        </w:rPr>
        <w:t xml:space="preserve">en pieds d’immeubles se sont </w:t>
      </w:r>
      <w:r>
        <w:rPr>
          <w:rFonts w:ascii="Garamond" w:hAnsi="Garamond" w:cs="Calibri"/>
          <w:lang w:val="fr-FR"/>
        </w:rPr>
        <w:t xml:space="preserve">eux </w:t>
      </w:r>
      <w:r w:rsidR="00CA10B1" w:rsidRPr="00586FC2">
        <w:rPr>
          <w:rFonts w:ascii="Garamond" w:hAnsi="Garamond" w:cs="Calibri"/>
          <w:lang w:val="fr-FR"/>
        </w:rPr>
        <w:t>aussi transformé</w:t>
      </w:r>
      <w:r>
        <w:rPr>
          <w:rFonts w:ascii="Garamond" w:hAnsi="Garamond" w:cs="Calibri"/>
          <w:lang w:val="fr-FR"/>
        </w:rPr>
        <w:t>s</w:t>
      </w:r>
      <w:r w:rsidR="00CA10B1" w:rsidRPr="00586FC2">
        <w:rPr>
          <w:rFonts w:ascii="Garamond" w:hAnsi="Garamond" w:cs="Calibri"/>
          <w:lang w:val="fr-FR"/>
        </w:rPr>
        <w:t xml:space="preserve"> et adaptés à la demande</w:t>
      </w:r>
      <w:r>
        <w:rPr>
          <w:rFonts w:ascii="Garamond" w:hAnsi="Garamond" w:cs="Calibri"/>
          <w:lang w:val="fr-FR"/>
        </w:rPr>
        <w:t xml:space="preserve"> d’un public vieillissant : </w:t>
      </w:r>
      <w:r w:rsidR="00CA10B1" w:rsidRPr="00586FC2">
        <w:rPr>
          <w:rFonts w:ascii="Garamond" w:hAnsi="Garamond" w:cs="Calibri"/>
          <w:lang w:val="fr-FR"/>
        </w:rPr>
        <w:t>centre médicaux, podologue, kiné…</w:t>
      </w:r>
      <w:r>
        <w:rPr>
          <w:rFonts w:ascii="Garamond" w:hAnsi="Garamond" w:cs="Calibri"/>
          <w:lang w:val="fr-FR"/>
        </w:rPr>
        <w:t xml:space="preserve"> ont remplacé les salons de coiffure, merceries et boucherie chevaline.</w:t>
      </w:r>
      <w:r w:rsidR="00CA10B1" w:rsidRPr="00586FC2">
        <w:rPr>
          <w:rFonts w:ascii="Garamond" w:hAnsi="Garamond" w:cs="Calibri"/>
          <w:lang w:val="fr-FR"/>
        </w:rPr>
        <w:t xml:space="preserve"> </w:t>
      </w:r>
      <w:r>
        <w:rPr>
          <w:rFonts w:ascii="Garamond" w:hAnsi="Garamond" w:cs="Calibri"/>
          <w:lang w:val="fr-FR"/>
        </w:rPr>
        <w:t>Seules les</w:t>
      </w:r>
      <w:r w:rsidR="00CA10B1" w:rsidRPr="00586FC2">
        <w:rPr>
          <w:rFonts w:ascii="Garamond" w:hAnsi="Garamond" w:cs="Calibri"/>
          <w:lang w:val="fr-FR"/>
        </w:rPr>
        <w:t xml:space="preserve"> pharmacies </w:t>
      </w:r>
      <w:r>
        <w:rPr>
          <w:rFonts w:ascii="Garamond" w:hAnsi="Garamond" w:cs="Calibri"/>
          <w:lang w:val="fr-FR"/>
        </w:rPr>
        <w:t>sont restées. Certaines d’entre-elles adaptent d’ailleurs leurs services aux personnes âgées (livraison des médicaments à domicile à Ganshoren par exemple). L’offre médico-sociale s’accompagne également d’une offre culturelle</w:t>
      </w:r>
      <w:r w:rsidR="00932C00">
        <w:rPr>
          <w:rFonts w:ascii="Garamond" w:hAnsi="Garamond" w:cs="Calibri"/>
          <w:lang w:val="fr-FR"/>
        </w:rPr>
        <w:t xml:space="preserve"> avec l’installation, dans les rez-de-chaussée des immeubles, d’atelier de peinture (à la place d’anciens boxes de garage à la Belle Paule) ou de </w:t>
      </w:r>
      <w:r>
        <w:rPr>
          <w:rFonts w:ascii="Garamond" w:hAnsi="Garamond" w:cs="Calibri"/>
          <w:lang w:val="fr-FR"/>
        </w:rPr>
        <w:t>club</w:t>
      </w:r>
      <w:r w:rsidR="00932C00">
        <w:rPr>
          <w:rFonts w:ascii="Garamond" w:hAnsi="Garamond" w:cs="Calibri"/>
          <w:lang w:val="fr-FR"/>
        </w:rPr>
        <w:t xml:space="preserve"> d’aide à l’informatique (Ancely)</w:t>
      </w:r>
      <w:r>
        <w:rPr>
          <w:rFonts w:ascii="Garamond" w:hAnsi="Garamond" w:cs="Calibri"/>
          <w:lang w:val="fr-FR"/>
        </w:rPr>
        <w:t xml:space="preserve"> destinés aux personnes âgées</w:t>
      </w:r>
      <w:r w:rsidR="00932C00">
        <w:rPr>
          <w:rFonts w:ascii="Garamond" w:hAnsi="Garamond" w:cs="Calibri"/>
          <w:lang w:val="fr-FR"/>
        </w:rPr>
        <w:t>.</w:t>
      </w:r>
    </w:p>
    <w:p w14:paraId="0977F434" w14:textId="381816F2" w:rsidR="00CA10B1" w:rsidRPr="00586FC2" w:rsidRDefault="00CA10B1" w:rsidP="00EB33AD">
      <w:pPr>
        <w:spacing w:line="360" w:lineRule="auto"/>
        <w:jc w:val="both"/>
        <w:rPr>
          <w:rFonts w:ascii="Garamond" w:hAnsi="Garamond" w:cs="Calibri"/>
          <w:lang w:val="fr-FR"/>
        </w:rPr>
      </w:pPr>
      <w:r w:rsidRPr="00586FC2">
        <w:rPr>
          <w:rFonts w:ascii="Garamond" w:hAnsi="Garamond" w:cs="Calibri"/>
          <w:lang w:val="fr-FR"/>
        </w:rPr>
        <w:t xml:space="preserve">Cette adaptation de l’offre s’étend parfois au quartier élargi, surtout sur les terrains bruxellois. </w:t>
      </w:r>
      <w:r w:rsidR="00932C00">
        <w:rPr>
          <w:rFonts w:ascii="Garamond" w:hAnsi="Garamond" w:cs="Calibri"/>
          <w:lang w:val="fr-FR"/>
        </w:rPr>
        <w:t xml:space="preserve">A </w:t>
      </w:r>
      <w:r w:rsidRPr="00586FC2">
        <w:rPr>
          <w:rFonts w:ascii="Garamond" w:hAnsi="Garamond" w:cs="Calibri"/>
          <w:lang w:val="fr-FR"/>
        </w:rPr>
        <w:t>Ganshoren</w:t>
      </w:r>
      <w:r w:rsidR="00932C00">
        <w:rPr>
          <w:rFonts w:ascii="Garamond" w:hAnsi="Garamond" w:cs="Calibri"/>
          <w:lang w:val="fr-FR"/>
        </w:rPr>
        <w:t xml:space="preserve">, </w:t>
      </w:r>
      <w:r w:rsidRPr="00586FC2">
        <w:rPr>
          <w:rFonts w:ascii="Garamond" w:hAnsi="Garamond" w:cs="Calibri"/>
          <w:lang w:val="fr-FR"/>
        </w:rPr>
        <w:t xml:space="preserve">la commune a mis en place des </w:t>
      </w:r>
      <w:r w:rsidRPr="00586FC2">
        <w:rPr>
          <w:rFonts w:ascii="Garamond" w:hAnsi="Garamond" w:cs="Calibri"/>
        </w:rPr>
        <w:t xml:space="preserve">aides aux actes de la vie quotidienne (livraison de repas à domicile, aides ménagères, soins légers), </w:t>
      </w:r>
      <w:r w:rsidR="00932C00">
        <w:rPr>
          <w:rFonts w:ascii="Garamond" w:hAnsi="Garamond" w:cs="Calibri"/>
        </w:rPr>
        <w:t xml:space="preserve">une </w:t>
      </w:r>
      <w:r w:rsidRPr="00586FC2">
        <w:rPr>
          <w:rFonts w:ascii="Garamond" w:hAnsi="Garamond" w:cs="Calibri"/>
        </w:rPr>
        <w:t>maison de repos et d’accueil journalier hébergée par un immeuble d’appartements-services dédiés aux personnes âgées qui mènent une vie indépendante. Le bâtiment comprend aussi un restaurant, une cafétaria, une buanderie, des animations qui sont accessibles à tous les habitants du quartier. La communauté flamande propose également, dans ses locaux, une programmation d’activités linguistiques, sportives et culturelles, des sorties. Une maison médicale offrant une aide sociale et administrative, des soins de kiné et des soins infirmiers et de toilette à domicile a été implantée à proximité des immeubles.</w:t>
      </w:r>
      <w:r w:rsidR="00932C00">
        <w:rPr>
          <w:rFonts w:ascii="Garamond" w:hAnsi="Garamond" w:cs="Calibri"/>
        </w:rPr>
        <w:t xml:space="preserve"> Notons également que dans les années 2000, deux homes (maisons de retraite) se sont implantées en vis-à-vis direct du grand ensemble.</w:t>
      </w:r>
      <w:r w:rsidR="00AF5C92">
        <w:rPr>
          <w:rFonts w:ascii="Garamond" w:hAnsi="Garamond" w:cs="Calibri"/>
        </w:rPr>
        <w:t xml:space="preserve"> </w:t>
      </w:r>
      <w:r w:rsidR="00AF5C92" w:rsidRPr="00AF5C92">
        <w:rPr>
          <w:rFonts w:ascii="Garamond" w:hAnsi="Garamond" w:cs="Calibri"/>
          <w:color w:val="FF0000"/>
        </w:rPr>
        <w:t>Figure 12</w:t>
      </w:r>
    </w:p>
    <w:p w14:paraId="5EAA172F" w14:textId="77777777" w:rsidR="00CA10B1" w:rsidRPr="00586FC2" w:rsidRDefault="00CA10B1" w:rsidP="00EB33AD">
      <w:pPr>
        <w:spacing w:line="360" w:lineRule="auto"/>
        <w:jc w:val="both"/>
        <w:rPr>
          <w:rFonts w:ascii="Garamond" w:hAnsi="Garamond" w:cs="Calibri"/>
          <w:lang w:val="fr-FR"/>
        </w:rPr>
      </w:pPr>
    </w:p>
    <w:p w14:paraId="2A6FFE97" w14:textId="6A5EADA0" w:rsidR="00CA10B1" w:rsidRPr="00586FC2" w:rsidRDefault="00CA10B1" w:rsidP="00EB33AD">
      <w:pPr>
        <w:spacing w:line="360" w:lineRule="auto"/>
        <w:jc w:val="both"/>
        <w:rPr>
          <w:rFonts w:ascii="Garamond" w:hAnsi="Garamond" w:cs="Calibri"/>
          <w:b/>
          <w:bCs/>
        </w:rPr>
      </w:pPr>
      <w:r w:rsidRPr="00586FC2">
        <w:rPr>
          <w:rFonts w:ascii="Garamond" w:hAnsi="Garamond" w:cs="Calibri"/>
          <w:b/>
          <w:bCs/>
        </w:rPr>
        <w:t xml:space="preserve">De quelles manières, ces espaces, équipements, services agissent-ils comme support au regard de différentes expériences de vieillissement ? </w:t>
      </w:r>
    </w:p>
    <w:p w14:paraId="7F836647" w14:textId="77777777" w:rsidR="00CA10B1" w:rsidRPr="00586FC2" w:rsidRDefault="00CA10B1" w:rsidP="00EB33AD">
      <w:pPr>
        <w:spacing w:line="360" w:lineRule="auto"/>
        <w:jc w:val="both"/>
        <w:rPr>
          <w:rFonts w:ascii="Garamond" w:hAnsi="Garamond" w:cs="Calibri"/>
        </w:rPr>
      </w:pPr>
    </w:p>
    <w:p w14:paraId="2D074171" w14:textId="7A8428A5" w:rsidR="0083032D" w:rsidRPr="00586FC2" w:rsidRDefault="0083032D" w:rsidP="00EB33AD">
      <w:pPr>
        <w:spacing w:line="360" w:lineRule="auto"/>
        <w:jc w:val="both"/>
        <w:rPr>
          <w:rFonts w:ascii="Garamond" w:hAnsi="Garamond" w:cs="Calibri"/>
        </w:rPr>
      </w:pPr>
      <w:r w:rsidRPr="00586FC2">
        <w:rPr>
          <w:rFonts w:ascii="Garamond" w:hAnsi="Garamond" w:cs="Calibri"/>
        </w:rPr>
        <w:t xml:space="preserve">Dans un premier temps, nous avons identifié les supports (relationnels et spatiaux) auxquels les personnes avaient recours grâce à </w:t>
      </w:r>
      <w:r w:rsidR="00932C00">
        <w:rPr>
          <w:rFonts w:ascii="Garamond" w:hAnsi="Garamond" w:cs="Calibri"/>
        </w:rPr>
        <w:t>une</w:t>
      </w:r>
      <w:r w:rsidR="00CA10B1" w:rsidRPr="00586FC2">
        <w:rPr>
          <w:rFonts w:ascii="Garamond" w:hAnsi="Garamond" w:cs="Calibri"/>
        </w:rPr>
        <w:t xml:space="preserve"> grille d’analyse </w:t>
      </w:r>
      <w:r w:rsidRPr="00586FC2">
        <w:rPr>
          <w:rFonts w:ascii="Garamond" w:hAnsi="Garamond" w:cs="Calibri"/>
        </w:rPr>
        <w:t xml:space="preserve">qui répartit les équipements, services, personnes en quatre grandes catégories : </w:t>
      </w:r>
    </w:p>
    <w:p w14:paraId="680FC745" w14:textId="1AFEDCF6" w:rsidR="0083032D" w:rsidRPr="00932C00" w:rsidRDefault="0083032D" w:rsidP="00932C00">
      <w:pPr>
        <w:pStyle w:val="Paragraphedeliste"/>
        <w:numPr>
          <w:ilvl w:val="0"/>
          <w:numId w:val="7"/>
        </w:numPr>
        <w:spacing w:line="360" w:lineRule="auto"/>
        <w:jc w:val="both"/>
        <w:rPr>
          <w:rFonts w:ascii="Garamond" w:hAnsi="Garamond" w:cs="Calibri"/>
        </w:rPr>
      </w:pPr>
      <w:r w:rsidRPr="00932C00">
        <w:rPr>
          <w:rFonts w:ascii="Garamond" w:hAnsi="Garamond" w:cs="Calibri"/>
        </w:rPr>
        <w:lastRenderedPageBreak/>
        <w:t>Support individuel/intérieur : vue dégagée, pièce en plus, animal de compagni</w:t>
      </w:r>
      <w:r w:rsidR="00932C00">
        <w:rPr>
          <w:rFonts w:ascii="Garamond" w:hAnsi="Garamond" w:cs="Calibri"/>
        </w:rPr>
        <w:t>e</w:t>
      </w:r>
      <w:r w:rsidR="00932C00" w:rsidRPr="00932C00">
        <w:rPr>
          <w:rFonts w:ascii="Garamond" w:hAnsi="Garamond" w:cs="Calibri"/>
        </w:rPr>
        <w:t xml:space="preserve"> par exemple ;</w:t>
      </w:r>
    </w:p>
    <w:p w14:paraId="3FF66A4E" w14:textId="78A74271" w:rsidR="0083032D" w:rsidRPr="00932C00" w:rsidRDefault="0083032D" w:rsidP="00932C00">
      <w:pPr>
        <w:pStyle w:val="Paragraphedeliste"/>
        <w:numPr>
          <w:ilvl w:val="0"/>
          <w:numId w:val="7"/>
        </w:numPr>
        <w:spacing w:line="360" w:lineRule="auto"/>
        <w:jc w:val="both"/>
        <w:rPr>
          <w:rFonts w:ascii="Garamond" w:hAnsi="Garamond" w:cs="Calibri"/>
        </w:rPr>
      </w:pPr>
      <w:r w:rsidRPr="00932C00">
        <w:rPr>
          <w:rFonts w:ascii="Garamond" w:hAnsi="Garamond" w:cs="Calibri"/>
        </w:rPr>
        <w:t>Support individuel/extérieur, balcon, proximité familiale</w:t>
      </w:r>
      <w:r w:rsidR="00932C00">
        <w:rPr>
          <w:rFonts w:ascii="Garamond" w:hAnsi="Garamond" w:cs="Calibri"/>
        </w:rPr>
        <w:t xml:space="preserve"> par exemple ; </w:t>
      </w:r>
    </w:p>
    <w:p w14:paraId="27DA0F80" w14:textId="4FD65B20" w:rsidR="0083032D" w:rsidRPr="00932C00" w:rsidRDefault="0083032D" w:rsidP="00932C00">
      <w:pPr>
        <w:pStyle w:val="Paragraphedeliste"/>
        <w:numPr>
          <w:ilvl w:val="0"/>
          <w:numId w:val="7"/>
        </w:numPr>
        <w:spacing w:line="360" w:lineRule="auto"/>
        <w:jc w:val="both"/>
        <w:rPr>
          <w:rFonts w:ascii="Garamond" w:hAnsi="Garamond" w:cs="Calibri"/>
        </w:rPr>
      </w:pPr>
      <w:r w:rsidRPr="00932C00">
        <w:rPr>
          <w:rFonts w:ascii="Garamond" w:hAnsi="Garamond" w:cs="Calibri"/>
        </w:rPr>
        <w:t>Support collectif/intérieur : halls lumineux et spatiaux, conciergerie</w:t>
      </w:r>
      <w:r w:rsidR="00932C00">
        <w:rPr>
          <w:rFonts w:ascii="Garamond" w:hAnsi="Garamond" w:cs="Calibri"/>
        </w:rPr>
        <w:t xml:space="preserve"> par exemple ; </w:t>
      </w:r>
    </w:p>
    <w:p w14:paraId="5DCA1CA3" w14:textId="3E491AB4" w:rsidR="0083032D" w:rsidRPr="00932C00" w:rsidRDefault="0083032D" w:rsidP="00932C00">
      <w:pPr>
        <w:pStyle w:val="Paragraphedeliste"/>
        <w:numPr>
          <w:ilvl w:val="0"/>
          <w:numId w:val="7"/>
        </w:numPr>
        <w:spacing w:line="360" w:lineRule="auto"/>
        <w:jc w:val="both"/>
        <w:rPr>
          <w:rFonts w:ascii="Garamond" w:hAnsi="Garamond" w:cs="Calibri"/>
        </w:rPr>
      </w:pPr>
      <w:r w:rsidRPr="00932C00">
        <w:rPr>
          <w:rFonts w:ascii="Garamond" w:hAnsi="Garamond" w:cs="Calibri"/>
        </w:rPr>
        <w:t>Support collectif/extérieur : parc, services de proximité</w:t>
      </w:r>
      <w:r w:rsidR="00932C00">
        <w:rPr>
          <w:rFonts w:ascii="Garamond" w:hAnsi="Garamond" w:cs="Calibri"/>
        </w:rPr>
        <w:t xml:space="preserve"> par exemple.</w:t>
      </w:r>
    </w:p>
    <w:p w14:paraId="33D024E9" w14:textId="08E46B1B" w:rsidR="0083032D" w:rsidRPr="00AF5C92" w:rsidRDefault="00AF5C92" w:rsidP="00EB33AD">
      <w:pPr>
        <w:spacing w:line="360" w:lineRule="auto"/>
        <w:jc w:val="both"/>
        <w:rPr>
          <w:rFonts w:ascii="Garamond" w:hAnsi="Garamond" w:cs="Calibri"/>
          <w:color w:val="FF0000"/>
        </w:rPr>
      </w:pPr>
      <w:r w:rsidRPr="00AF5C92">
        <w:rPr>
          <w:rFonts w:ascii="Garamond" w:hAnsi="Garamond" w:cs="Calibri"/>
          <w:color w:val="FF0000"/>
        </w:rPr>
        <w:t>Figure 13</w:t>
      </w:r>
    </w:p>
    <w:p w14:paraId="29CDE130" w14:textId="77777777" w:rsidR="002B7BBD" w:rsidRDefault="002B7BBD" w:rsidP="00EB33AD">
      <w:pPr>
        <w:spacing w:line="360" w:lineRule="auto"/>
        <w:jc w:val="both"/>
        <w:rPr>
          <w:rFonts w:ascii="Garamond" w:hAnsi="Garamond" w:cs="Calibri"/>
        </w:rPr>
      </w:pPr>
    </w:p>
    <w:p w14:paraId="34231DB0" w14:textId="35BCDF43" w:rsidR="0083032D" w:rsidRPr="00586FC2" w:rsidRDefault="0083032D" w:rsidP="00EB33AD">
      <w:pPr>
        <w:spacing w:line="360" w:lineRule="auto"/>
        <w:jc w:val="both"/>
        <w:rPr>
          <w:rFonts w:ascii="Garamond" w:hAnsi="Garamond" w:cs="Calibri"/>
        </w:rPr>
      </w:pPr>
      <w:r w:rsidRPr="00586FC2">
        <w:rPr>
          <w:rFonts w:ascii="Garamond" w:hAnsi="Garamond" w:cs="Calibri"/>
        </w:rPr>
        <w:t xml:space="preserve">Dans un second temps, nous avons essayé de comprendre, en fonction de chaque parcours de vie, les rapports des personnes à ces supports. </w:t>
      </w:r>
      <w:r w:rsidR="00932C00">
        <w:rPr>
          <w:rFonts w:ascii="Garamond" w:hAnsi="Garamond" w:cs="Calibri"/>
        </w:rPr>
        <w:t xml:space="preserve">Dans le cadre de cette communication, nous choisissons de </w:t>
      </w:r>
      <w:r w:rsidRPr="00586FC2">
        <w:rPr>
          <w:rFonts w:ascii="Garamond" w:hAnsi="Garamond" w:cs="Calibri"/>
        </w:rPr>
        <w:t>centre</w:t>
      </w:r>
      <w:r w:rsidR="00932C00">
        <w:rPr>
          <w:rFonts w:ascii="Garamond" w:hAnsi="Garamond" w:cs="Calibri"/>
        </w:rPr>
        <w:t>r</w:t>
      </w:r>
      <w:r w:rsidRPr="00586FC2">
        <w:rPr>
          <w:rFonts w:ascii="Garamond" w:hAnsi="Garamond" w:cs="Calibri"/>
        </w:rPr>
        <w:t xml:space="preserve"> </w:t>
      </w:r>
      <w:r w:rsidR="00932C00">
        <w:rPr>
          <w:rFonts w:ascii="Garamond" w:hAnsi="Garamond" w:cs="Calibri"/>
        </w:rPr>
        <w:t xml:space="preserve">la restitution des résultats </w:t>
      </w:r>
      <w:r w:rsidRPr="00586FC2">
        <w:rPr>
          <w:rFonts w:ascii="Garamond" w:hAnsi="Garamond" w:cs="Calibri"/>
        </w:rPr>
        <w:t xml:space="preserve">sur </w:t>
      </w:r>
      <w:r w:rsidR="00932C00">
        <w:rPr>
          <w:rFonts w:ascii="Garamond" w:hAnsi="Garamond" w:cs="Calibri"/>
        </w:rPr>
        <w:t>l’expérience</w:t>
      </w:r>
      <w:r w:rsidR="00060044">
        <w:rPr>
          <w:rFonts w:ascii="Garamond" w:hAnsi="Garamond" w:cs="Calibri"/>
        </w:rPr>
        <w:t xml:space="preserve"> </w:t>
      </w:r>
      <w:r w:rsidR="00932C00">
        <w:rPr>
          <w:rFonts w:ascii="Garamond" w:hAnsi="Garamond" w:cs="Calibri"/>
        </w:rPr>
        <w:t>de</w:t>
      </w:r>
      <w:r w:rsidRPr="00586FC2">
        <w:rPr>
          <w:rFonts w:ascii="Garamond" w:hAnsi="Garamond" w:cs="Calibri"/>
        </w:rPr>
        <w:t xml:space="preserve"> l’extériorité</w:t>
      </w:r>
      <w:r w:rsidR="00932C00">
        <w:rPr>
          <w:rFonts w:ascii="Garamond" w:hAnsi="Garamond" w:cs="Calibri"/>
        </w:rPr>
        <w:t>.</w:t>
      </w:r>
    </w:p>
    <w:p w14:paraId="66731CAC" w14:textId="666EB3CD" w:rsidR="0083032D" w:rsidRPr="00586FC2" w:rsidRDefault="0083032D" w:rsidP="00EB33AD">
      <w:pPr>
        <w:spacing w:line="360" w:lineRule="auto"/>
        <w:jc w:val="both"/>
        <w:rPr>
          <w:rFonts w:ascii="Garamond" w:hAnsi="Garamond" w:cs="Calibri"/>
        </w:rPr>
      </w:pPr>
      <w:r w:rsidRPr="00586FC2">
        <w:rPr>
          <w:rFonts w:ascii="Garamond" w:hAnsi="Garamond" w:cs="Calibri"/>
        </w:rPr>
        <w:t>Nous proposons de rendre compte de trois manières dont ces supports ont accompagné et participé à une redéfinition des limites du chez soi</w:t>
      </w:r>
      <w:r w:rsidR="00060044">
        <w:rPr>
          <w:rFonts w:ascii="Garamond" w:hAnsi="Garamond" w:cs="Calibri"/>
        </w:rPr>
        <w:t xml:space="preserve"> pour les personnes âgées rencontrées</w:t>
      </w:r>
      <w:r w:rsidR="00932C00">
        <w:rPr>
          <w:rFonts w:ascii="Garamond" w:hAnsi="Garamond" w:cs="Calibri"/>
        </w:rPr>
        <w:t>, (1) u</w:t>
      </w:r>
      <w:r w:rsidRPr="00586FC2">
        <w:rPr>
          <w:rFonts w:ascii="Garamond" w:hAnsi="Garamond" w:cs="Calibri"/>
        </w:rPr>
        <w:t>ne extériorité familière</w:t>
      </w:r>
      <w:r w:rsidR="00932C00">
        <w:rPr>
          <w:rFonts w:ascii="Garamond" w:hAnsi="Garamond" w:cs="Calibri"/>
        </w:rPr>
        <w:t>, (2) l</w:t>
      </w:r>
      <w:r w:rsidRPr="00586FC2">
        <w:rPr>
          <w:rFonts w:ascii="Garamond" w:hAnsi="Garamond" w:cs="Calibri"/>
        </w:rPr>
        <w:t>’intimité à distance</w:t>
      </w:r>
      <w:r w:rsidR="00932C00">
        <w:rPr>
          <w:rFonts w:ascii="Garamond" w:hAnsi="Garamond" w:cs="Calibri"/>
        </w:rPr>
        <w:t xml:space="preserve">, (3) </w:t>
      </w:r>
      <w:r w:rsidRPr="00586FC2">
        <w:rPr>
          <w:rFonts w:ascii="Garamond" w:hAnsi="Garamond" w:cs="Calibri"/>
        </w:rPr>
        <w:t>« Maintenir ouverte au monde sa maison »</w:t>
      </w:r>
      <w:r w:rsidRPr="00586FC2">
        <w:rPr>
          <w:rStyle w:val="Appelnotedebasdep"/>
          <w:rFonts w:ascii="Garamond" w:hAnsi="Garamond" w:cs="Calibri"/>
        </w:rPr>
        <w:footnoteReference w:id="2"/>
      </w:r>
      <w:r w:rsidR="00932C00">
        <w:rPr>
          <w:rFonts w:ascii="Garamond" w:hAnsi="Garamond" w:cs="Calibri"/>
        </w:rPr>
        <w:t>.</w:t>
      </w:r>
    </w:p>
    <w:p w14:paraId="02CB48C3" w14:textId="77777777" w:rsidR="0073618D" w:rsidRDefault="0073618D" w:rsidP="00EB33AD">
      <w:pPr>
        <w:spacing w:line="360" w:lineRule="auto"/>
        <w:jc w:val="both"/>
        <w:rPr>
          <w:rFonts w:ascii="Garamond" w:hAnsi="Garamond" w:cs="Calibri"/>
        </w:rPr>
      </w:pPr>
    </w:p>
    <w:p w14:paraId="25109279" w14:textId="77777777" w:rsidR="00983804" w:rsidRPr="00586FC2" w:rsidRDefault="00983804" w:rsidP="00EB33AD">
      <w:pPr>
        <w:spacing w:line="360" w:lineRule="auto"/>
        <w:jc w:val="both"/>
        <w:rPr>
          <w:rFonts w:ascii="Garamond" w:hAnsi="Garamond" w:cs="Calibri"/>
        </w:rPr>
      </w:pPr>
    </w:p>
    <w:p w14:paraId="42D46563" w14:textId="77777777" w:rsidR="00983804" w:rsidRPr="00983804" w:rsidRDefault="00983804" w:rsidP="00983804">
      <w:pPr>
        <w:pStyle w:val="Paragraphedeliste"/>
        <w:numPr>
          <w:ilvl w:val="0"/>
          <w:numId w:val="8"/>
        </w:numPr>
        <w:spacing w:line="360" w:lineRule="auto"/>
        <w:jc w:val="both"/>
        <w:rPr>
          <w:rFonts w:ascii="Garamond" w:hAnsi="Garamond" w:cs="Calibri"/>
          <w:b/>
          <w:bCs/>
        </w:rPr>
      </w:pPr>
      <w:r w:rsidRPr="00983804">
        <w:rPr>
          <w:rFonts w:ascii="Garamond" w:hAnsi="Garamond" w:cs="Calibri"/>
          <w:b/>
          <w:bCs/>
        </w:rPr>
        <w:t>Une extériorité familière</w:t>
      </w:r>
    </w:p>
    <w:p w14:paraId="16CB261A" w14:textId="77777777" w:rsidR="00983804" w:rsidRDefault="00983804" w:rsidP="00983804">
      <w:pPr>
        <w:spacing w:line="360" w:lineRule="auto"/>
        <w:jc w:val="both"/>
        <w:rPr>
          <w:rFonts w:ascii="Garamond" w:hAnsi="Garamond" w:cs="Calibri"/>
        </w:rPr>
      </w:pPr>
    </w:p>
    <w:p w14:paraId="0590C0CE" w14:textId="10BA3D6E" w:rsidR="00983804" w:rsidRDefault="0073618D" w:rsidP="00983804">
      <w:pPr>
        <w:spacing w:line="360" w:lineRule="auto"/>
        <w:jc w:val="both"/>
        <w:rPr>
          <w:rFonts w:ascii="Garamond" w:hAnsi="Garamond" w:cs="Calibri"/>
        </w:rPr>
      </w:pPr>
      <w:r w:rsidRPr="00983804">
        <w:rPr>
          <w:rFonts w:ascii="Garamond" w:hAnsi="Garamond" w:cs="Calibri"/>
        </w:rPr>
        <w:t xml:space="preserve">Comme nous l’avons montré, </w:t>
      </w:r>
      <w:r w:rsidR="00932C00" w:rsidRPr="00983804">
        <w:rPr>
          <w:rFonts w:ascii="Garamond" w:hAnsi="Garamond" w:cs="Calibri"/>
        </w:rPr>
        <w:t>l’</w:t>
      </w:r>
      <w:r w:rsidRPr="00983804">
        <w:rPr>
          <w:rFonts w:ascii="Garamond" w:hAnsi="Garamond" w:cs="Calibri"/>
        </w:rPr>
        <w:t xml:space="preserve">urbanisation des quartiers </w:t>
      </w:r>
      <w:r w:rsidR="00932C00" w:rsidRPr="00983804">
        <w:rPr>
          <w:rFonts w:ascii="Garamond" w:hAnsi="Garamond" w:cs="Calibri"/>
        </w:rPr>
        <w:t>a entrainé l’</w:t>
      </w:r>
      <w:r w:rsidRPr="00983804">
        <w:rPr>
          <w:rFonts w:ascii="Garamond" w:hAnsi="Garamond" w:cs="Calibri"/>
        </w:rPr>
        <w:t>évolution de l’offre de services</w:t>
      </w:r>
      <w:r w:rsidR="00885483" w:rsidRPr="00983804">
        <w:rPr>
          <w:rFonts w:ascii="Garamond" w:hAnsi="Garamond" w:cs="Calibri"/>
        </w:rPr>
        <w:t xml:space="preserve"> </w:t>
      </w:r>
      <w:r w:rsidR="00983804">
        <w:rPr>
          <w:rFonts w:ascii="Garamond" w:hAnsi="Garamond" w:cs="Calibri"/>
        </w:rPr>
        <w:t xml:space="preserve">de proximité </w:t>
      </w:r>
      <w:r w:rsidR="00885483" w:rsidRPr="00983804">
        <w:rPr>
          <w:rFonts w:ascii="Garamond" w:hAnsi="Garamond" w:cs="Calibri"/>
        </w:rPr>
        <w:t>et</w:t>
      </w:r>
      <w:r w:rsidRPr="00983804">
        <w:rPr>
          <w:rFonts w:ascii="Garamond" w:hAnsi="Garamond" w:cs="Calibri"/>
        </w:rPr>
        <w:t xml:space="preserve"> de transports</w:t>
      </w:r>
      <w:r w:rsidR="00983804">
        <w:rPr>
          <w:rFonts w:ascii="Garamond" w:hAnsi="Garamond" w:cs="Calibri"/>
        </w:rPr>
        <w:t xml:space="preserve"> en commun</w:t>
      </w:r>
      <w:r w:rsidR="00885483" w:rsidRPr="00983804">
        <w:rPr>
          <w:rFonts w:ascii="Garamond" w:hAnsi="Garamond" w:cs="Calibri"/>
        </w:rPr>
        <w:t>. Or nous constatons que ces commodités ne sont pas ou plus toujours utilisées</w:t>
      </w:r>
      <w:r w:rsidR="00983804">
        <w:rPr>
          <w:rFonts w:ascii="Garamond" w:hAnsi="Garamond" w:cs="Calibri"/>
        </w:rPr>
        <w:t xml:space="preserve"> par les personnes âgées</w:t>
      </w:r>
      <w:r w:rsidR="00885483" w:rsidRPr="00983804">
        <w:rPr>
          <w:rFonts w:ascii="Garamond" w:hAnsi="Garamond" w:cs="Calibri"/>
        </w:rPr>
        <w:t xml:space="preserve">. En effet </w:t>
      </w:r>
      <w:r w:rsidR="00983804">
        <w:rPr>
          <w:rFonts w:ascii="Garamond" w:hAnsi="Garamond" w:cs="Calibri"/>
        </w:rPr>
        <w:t>ce</w:t>
      </w:r>
      <w:r w:rsidRPr="00983804">
        <w:rPr>
          <w:rFonts w:ascii="Garamond" w:hAnsi="Garamond" w:cs="Calibri"/>
        </w:rPr>
        <w:t xml:space="preserve"> support n’est pas toujours activé. </w:t>
      </w:r>
      <w:r w:rsidR="004953D7">
        <w:rPr>
          <w:rFonts w:ascii="Garamond" w:hAnsi="Garamond" w:cs="Calibri"/>
        </w:rPr>
        <w:t xml:space="preserve">Lorsque nous l’interrogeons sur le quartier, </w:t>
      </w:r>
      <w:r w:rsidR="00983804">
        <w:rPr>
          <w:rFonts w:ascii="Garamond" w:hAnsi="Garamond" w:cs="Calibri"/>
        </w:rPr>
        <w:t xml:space="preserve">Madame W, 77 ans, </w:t>
      </w:r>
      <w:r w:rsidR="004953D7">
        <w:rPr>
          <w:rFonts w:ascii="Garamond" w:hAnsi="Garamond" w:cs="Calibri"/>
        </w:rPr>
        <w:t xml:space="preserve">mentionne la proximité des services et des transports tout en nous confiant ne plus utiliser les transports pour aller </w:t>
      </w:r>
      <w:r w:rsidR="004953D7" w:rsidRPr="004953D7">
        <w:rPr>
          <w:rFonts w:ascii="Garamond" w:hAnsi="Garamond" w:cs="Calibri"/>
          <w:i/>
          <w:iCs/>
        </w:rPr>
        <w:t>en ville</w:t>
      </w:r>
      <w:r w:rsidR="004953D7">
        <w:rPr>
          <w:rFonts w:ascii="Garamond" w:hAnsi="Garamond" w:cs="Calibri"/>
        </w:rPr>
        <w:t xml:space="preserve">. Elle semble davantage </w:t>
      </w:r>
      <w:r w:rsidR="00983804">
        <w:rPr>
          <w:rFonts w:ascii="Garamond" w:hAnsi="Garamond" w:cs="Calibri"/>
        </w:rPr>
        <w:t>valorise</w:t>
      </w:r>
      <w:r w:rsidR="004953D7">
        <w:rPr>
          <w:rFonts w:ascii="Garamond" w:hAnsi="Garamond" w:cs="Calibri"/>
        </w:rPr>
        <w:t>r</w:t>
      </w:r>
      <w:r w:rsidR="00983804">
        <w:rPr>
          <w:rFonts w:ascii="Garamond" w:hAnsi="Garamond" w:cs="Calibri"/>
        </w:rPr>
        <w:t xml:space="preserve"> la possibilité </w:t>
      </w:r>
      <w:r w:rsidR="00885483" w:rsidRPr="00983804">
        <w:rPr>
          <w:rFonts w:ascii="Garamond" w:hAnsi="Garamond" w:cs="Calibri"/>
        </w:rPr>
        <w:t xml:space="preserve">de </w:t>
      </w:r>
      <w:r w:rsidR="004953D7">
        <w:rPr>
          <w:rFonts w:ascii="Garamond" w:hAnsi="Garamond" w:cs="Calibri"/>
        </w:rPr>
        <w:t>les</w:t>
      </w:r>
      <w:r w:rsidR="00885483" w:rsidRPr="00983804">
        <w:rPr>
          <w:rFonts w:ascii="Garamond" w:hAnsi="Garamond" w:cs="Calibri"/>
        </w:rPr>
        <w:t xml:space="preserve"> utiliser,</w:t>
      </w:r>
      <w:r w:rsidRPr="00983804">
        <w:rPr>
          <w:rFonts w:ascii="Garamond" w:hAnsi="Garamond" w:cs="Calibri"/>
        </w:rPr>
        <w:t xml:space="preserve"> le fait d’avoir le choix. </w:t>
      </w:r>
      <w:r w:rsidR="00D53716">
        <w:rPr>
          <w:rFonts w:ascii="Garamond" w:hAnsi="Garamond" w:cs="Calibri"/>
        </w:rPr>
        <w:t>Dans son discours, cette possibilité de choix agit déjà comme support.</w:t>
      </w:r>
    </w:p>
    <w:p w14:paraId="2BCBDD53" w14:textId="08B8F332" w:rsidR="00983804" w:rsidRPr="00DD3243" w:rsidRDefault="00983804" w:rsidP="00983804">
      <w:pPr>
        <w:pStyle w:val="GSverbatim"/>
        <w:spacing w:line="360" w:lineRule="auto"/>
        <w:jc w:val="both"/>
        <w:rPr>
          <w:rFonts w:ascii="Garamond" w:hAnsi="Garamond"/>
          <w:sz w:val="24"/>
          <w:szCs w:val="24"/>
          <w:shd w:val="clear" w:color="auto" w:fill="FFFF00"/>
        </w:rPr>
      </w:pPr>
      <w:r w:rsidRPr="00DD3243">
        <w:rPr>
          <w:rFonts w:ascii="Garamond" w:hAnsi="Garamond"/>
          <w:sz w:val="24"/>
          <w:szCs w:val="24"/>
        </w:rPr>
        <w:t xml:space="preserve">Moi, j’ai tout à côté : j’ai mes amies, je fais de la gym, j’ai le club en bas. Ça, c’est bien placé ici. On a l’avenue Camille Pujol qui est bien desservie. On a l’avenue Jean Rieux où je prends mon bus pour aller en ville. Moi j’y vais plus beaucoup en ville. Je m’y plais plus en ville. Autant avant, j’aimais la ville avec mon mari. </w:t>
      </w:r>
      <w:proofErr w:type="gramStart"/>
      <w:r w:rsidRPr="00DD3243">
        <w:rPr>
          <w:rFonts w:ascii="Garamond" w:hAnsi="Garamond"/>
          <w:sz w:val="24"/>
          <w:szCs w:val="24"/>
        </w:rPr>
        <w:t>J’aime pas</w:t>
      </w:r>
      <w:proofErr w:type="gramEnd"/>
      <w:r w:rsidRPr="00DD3243">
        <w:rPr>
          <w:rFonts w:ascii="Garamond" w:hAnsi="Garamond"/>
          <w:sz w:val="24"/>
          <w:szCs w:val="24"/>
        </w:rPr>
        <w:t xml:space="preserve"> trop maintenant. Et puis je ne sais pas, </w:t>
      </w:r>
      <w:proofErr w:type="gramStart"/>
      <w:r w:rsidRPr="00DD3243">
        <w:rPr>
          <w:rFonts w:ascii="Garamond" w:hAnsi="Garamond"/>
          <w:sz w:val="24"/>
          <w:szCs w:val="24"/>
        </w:rPr>
        <w:t>je me sens pas</w:t>
      </w:r>
      <w:proofErr w:type="gramEnd"/>
      <w:r w:rsidRPr="00DD3243">
        <w:rPr>
          <w:rFonts w:ascii="Garamond" w:hAnsi="Garamond"/>
          <w:sz w:val="24"/>
          <w:szCs w:val="24"/>
        </w:rPr>
        <w:t xml:space="preserve"> bien </w:t>
      </w:r>
      <w:r w:rsidR="004953D7">
        <w:rPr>
          <w:rFonts w:ascii="Garamond" w:hAnsi="Garamond"/>
          <w:sz w:val="24"/>
          <w:szCs w:val="24"/>
        </w:rPr>
        <w:t xml:space="preserve">en </w:t>
      </w:r>
      <w:r w:rsidRPr="00DD3243">
        <w:rPr>
          <w:rFonts w:ascii="Garamond" w:hAnsi="Garamond"/>
          <w:sz w:val="24"/>
          <w:szCs w:val="24"/>
        </w:rPr>
        <w:t>ville.</w:t>
      </w:r>
    </w:p>
    <w:p w14:paraId="46F67A6A" w14:textId="77777777" w:rsidR="00983804" w:rsidRPr="00DD3243" w:rsidRDefault="00983804" w:rsidP="00983804">
      <w:pPr>
        <w:pStyle w:val="GSverbvatimdescript"/>
        <w:spacing w:line="360" w:lineRule="auto"/>
        <w:jc w:val="both"/>
        <w:rPr>
          <w:rFonts w:ascii="Garamond" w:hAnsi="Garamond"/>
          <w:sz w:val="24"/>
          <w:szCs w:val="24"/>
        </w:rPr>
      </w:pPr>
      <w:r w:rsidRPr="00DD3243">
        <w:rPr>
          <w:rFonts w:ascii="Garamond" w:hAnsi="Garamond"/>
          <w:sz w:val="24"/>
          <w:szCs w:val="24"/>
        </w:rPr>
        <w:t>Belle Paule, Madame W., 77 ans, arrivée en 1984</w:t>
      </w:r>
    </w:p>
    <w:p w14:paraId="6CD23F6B" w14:textId="77777777" w:rsidR="00D53716" w:rsidRDefault="00D53716" w:rsidP="00983804">
      <w:pPr>
        <w:spacing w:line="360" w:lineRule="auto"/>
        <w:jc w:val="both"/>
        <w:rPr>
          <w:rFonts w:ascii="Garamond" w:hAnsi="Garamond"/>
        </w:rPr>
      </w:pPr>
    </w:p>
    <w:p w14:paraId="6B3C788C" w14:textId="0F202633" w:rsidR="00983804" w:rsidRPr="00983804" w:rsidRDefault="00983804" w:rsidP="00983804">
      <w:pPr>
        <w:spacing w:line="360" w:lineRule="auto"/>
        <w:jc w:val="both"/>
        <w:rPr>
          <w:rFonts w:ascii="Garamond" w:hAnsi="Garamond" w:cs="Calibri"/>
          <w:lang w:val="fr-FR"/>
        </w:rPr>
      </w:pPr>
      <w:r w:rsidRPr="00DD3243">
        <w:rPr>
          <w:rFonts w:ascii="Garamond" w:hAnsi="Garamond"/>
        </w:rPr>
        <w:t>L</w:t>
      </w:r>
      <w:r w:rsidR="00D53716">
        <w:rPr>
          <w:rFonts w:ascii="Garamond" w:hAnsi="Garamond"/>
        </w:rPr>
        <w:t>’</w:t>
      </w:r>
      <w:r w:rsidRPr="00DD3243">
        <w:rPr>
          <w:rFonts w:ascii="Garamond" w:hAnsi="Garamond"/>
        </w:rPr>
        <w:t xml:space="preserve">évocation de cette possibilité conduit </w:t>
      </w:r>
      <w:r w:rsidR="00D53716">
        <w:rPr>
          <w:rFonts w:ascii="Garamond" w:hAnsi="Garamond"/>
        </w:rPr>
        <w:t xml:space="preserve">aussi </w:t>
      </w:r>
      <w:r w:rsidRPr="00DD3243">
        <w:rPr>
          <w:rFonts w:ascii="Garamond" w:hAnsi="Garamond"/>
        </w:rPr>
        <w:t>Madame W. à se positionner sur sa mobilité effective.</w:t>
      </w:r>
      <w:r w:rsidR="00D53716">
        <w:rPr>
          <w:rFonts w:ascii="Garamond" w:hAnsi="Garamond"/>
        </w:rPr>
        <w:t xml:space="preserve"> On constate ainsi que même si sa sphère spatiale réelle s’est réduite au quartier, le fait de s’être </w:t>
      </w:r>
      <w:r w:rsidR="00D53716">
        <w:rPr>
          <w:rFonts w:ascii="Garamond" w:hAnsi="Garamond"/>
        </w:rPr>
        <w:lastRenderedPageBreak/>
        <w:t>rendue, dans le passé (du temps où son mari était encore en vie</w:t>
      </w:r>
      <w:r w:rsidR="004433DB">
        <w:rPr>
          <w:rFonts w:ascii="Garamond" w:hAnsi="Garamond"/>
        </w:rPr>
        <w:t>, ce qui est vraisemblablement associé à une période heureuse</w:t>
      </w:r>
      <w:r w:rsidR="00D53716">
        <w:rPr>
          <w:rFonts w:ascii="Garamond" w:hAnsi="Garamond"/>
        </w:rPr>
        <w:t xml:space="preserve">), au centre-ville et la possibilité de s’y rendre encore facilement augmentent symboliquement le périmètre de cette sphère spatiale. </w:t>
      </w:r>
    </w:p>
    <w:p w14:paraId="68F7B545" w14:textId="77777777" w:rsidR="00060044" w:rsidRDefault="00060044" w:rsidP="00060044">
      <w:pPr>
        <w:pStyle w:val="GSnormal"/>
        <w:spacing w:line="360" w:lineRule="auto"/>
        <w:rPr>
          <w:rFonts w:ascii="Garamond" w:hAnsi="Garamond"/>
          <w:sz w:val="24"/>
          <w:szCs w:val="24"/>
        </w:rPr>
      </w:pPr>
    </w:p>
    <w:p w14:paraId="3C3B2BD5" w14:textId="535D58B5" w:rsidR="00060044" w:rsidRPr="00DD3243" w:rsidRDefault="009604F6" w:rsidP="00060044">
      <w:pPr>
        <w:pStyle w:val="GSnormal"/>
        <w:spacing w:line="360" w:lineRule="auto"/>
        <w:rPr>
          <w:rFonts w:ascii="Garamond" w:hAnsi="Garamond"/>
          <w:sz w:val="24"/>
          <w:szCs w:val="24"/>
        </w:rPr>
      </w:pPr>
      <w:r>
        <w:rPr>
          <w:rFonts w:ascii="Garamond" w:hAnsi="Garamond"/>
          <w:sz w:val="24"/>
          <w:szCs w:val="24"/>
        </w:rPr>
        <w:t xml:space="preserve">Dans un autre exemple, Madame C., 82 ans, se rend quotidiennement au carrefour City, situé à 5 minutes à pied de son appartement. </w:t>
      </w:r>
      <w:r w:rsidR="00060044" w:rsidRPr="00DD3243">
        <w:rPr>
          <w:rFonts w:ascii="Garamond" w:hAnsi="Garamond"/>
          <w:sz w:val="24"/>
          <w:szCs w:val="24"/>
        </w:rPr>
        <w:t>Ses échanges avec le personnel employé contribuent au maintien de sa vie sociale :</w:t>
      </w:r>
    </w:p>
    <w:p w14:paraId="450D55D5" w14:textId="77777777" w:rsidR="00060044" w:rsidRPr="00DD3243" w:rsidRDefault="00060044" w:rsidP="00060044">
      <w:pPr>
        <w:pStyle w:val="GSverbatim"/>
        <w:spacing w:line="360" w:lineRule="auto"/>
        <w:jc w:val="both"/>
        <w:rPr>
          <w:rFonts w:ascii="Garamond" w:hAnsi="Garamond"/>
          <w:sz w:val="24"/>
          <w:szCs w:val="24"/>
        </w:rPr>
      </w:pPr>
      <w:r w:rsidRPr="00DD3243">
        <w:rPr>
          <w:rFonts w:ascii="Garamond" w:hAnsi="Garamond"/>
          <w:sz w:val="24"/>
          <w:szCs w:val="24"/>
        </w:rPr>
        <w:t xml:space="preserve">Tous les soirs, je vais au </w:t>
      </w:r>
      <w:proofErr w:type="spellStart"/>
      <w:r w:rsidRPr="00DD3243">
        <w:rPr>
          <w:rFonts w:ascii="Garamond" w:hAnsi="Garamond"/>
          <w:sz w:val="24"/>
          <w:szCs w:val="24"/>
        </w:rPr>
        <w:t>Market</w:t>
      </w:r>
      <w:proofErr w:type="spellEnd"/>
      <w:r w:rsidRPr="00DD3243">
        <w:rPr>
          <w:rFonts w:ascii="Garamond" w:hAnsi="Garamond"/>
          <w:sz w:val="24"/>
          <w:szCs w:val="24"/>
        </w:rPr>
        <w:t xml:space="preserve">, je m’achète une petite gourmandise, j’ai un petit mot avec celui qui surveille. Chez </w:t>
      </w:r>
      <w:proofErr w:type="spellStart"/>
      <w:r w:rsidRPr="00DD3243">
        <w:rPr>
          <w:rFonts w:ascii="Garamond" w:hAnsi="Garamond"/>
          <w:sz w:val="24"/>
          <w:szCs w:val="24"/>
        </w:rPr>
        <w:t>Market</w:t>
      </w:r>
      <w:proofErr w:type="spellEnd"/>
      <w:r w:rsidRPr="00DD3243">
        <w:rPr>
          <w:rFonts w:ascii="Garamond" w:hAnsi="Garamond"/>
          <w:sz w:val="24"/>
          <w:szCs w:val="24"/>
        </w:rPr>
        <w:t xml:space="preserve"> ils me connaissent bien… ils sont gentils aussi, Mona, elle nous a donné la Dépêche pendant des années pour mon mari.</w:t>
      </w:r>
    </w:p>
    <w:p w14:paraId="2BA2A2D9" w14:textId="77777777" w:rsidR="00060044" w:rsidRPr="00DD3243" w:rsidRDefault="00060044" w:rsidP="00060044">
      <w:pPr>
        <w:pStyle w:val="GSverbvatimdescript"/>
        <w:spacing w:line="360" w:lineRule="auto"/>
        <w:jc w:val="both"/>
        <w:rPr>
          <w:rFonts w:ascii="Garamond" w:hAnsi="Garamond"/>
          <w:sz w:val="24"/>
          <w:szCs w:val="24"/>
        </w:rPr>
      </w:pPr>
      <w:r w:rsidRPr="00DD3243">
        <w:rPr>
          <w:rFonts w:ascii="Garamond" w:hAnsi="Garamond"/>
          <w:sz w:val="24"/>
          <w:szCs w:val="24"/>
        </w:rPr>
        <w:t>Belle Paule, Madame C., 82 ans, arrivée en 1993</w:t>
      </w:r>
    </w:p>
    <w:p w14:paraId="60DBC3CE" w14:textId="77777777" w:rsidR="00983804" w:rsidRPr="00060044" w:rsidRDefault="00983804" w:rsidP="00983804">
      <w:pPr>
        <w:spacing w:line="360" w:lineRule="auto"/>
        <w:jc w:val="both"/>
        <w:rPr>
          <w:rFonts w:ascii="Garamond" w:hAnsi="Garamond" w:cs="Calibri"/>
          <w:lang w:val="fr-FR"/>
        </w:rPr>
      </w:pPr>
    </w:p>
    <w:p w14:paraId="5C8A9FF0" w14:textId="578C3307" w:rsidR="0073618D" w:rsidRPr="00586FC2" w:rsidRDefault="00C96ABE" w:rsidP="00EB33AD">
      <w:pPr>
        <w:spacing w:line="360" w:lineRule="auto"/>
        <w:jc w:val="both"/>
        <w:rPr>
          <w:rFonts w:ascii="Garamond" w:hAnsi="Garamond" w:cs="Calibri"/>
        </w:rPr>
      </w:pPr>
      <w:r>
        <w:rPr>
          <w:rFonts w:ascii="Garamond" w:hAnsi="Garamond" w:cs="Calibri"/>
        </w:rPr>
        <w:t>De</w:t>
      </w:r>
      <w:r w:rsidR="009604F6">
        <w:rPr>
          <w:rFonts w:ascii="Garamond" w:hAnsi="Garamond" w:cs="Calibri"/>
        </w:rPr>
        <w:t xml:space="preserve"> ce</w:t>
      </w:r>
      <w:r>
        <w:rPr>
          <w:rFonts w:ascii="Garamond" w:hAnsi="Garamond" w:cs="Calibri"/>
        </w:rPr>
        <w:t>t extrait nous comprenons deux choses. D’une part</w:t>
      </w:r>
      <w:r w:rsidR="009604F6">
        <w:rPr>
          <w:rFonts w:ascii="Garamond" w:hAnsi="Garamond" w:cs="Calibri"/>
        </w:rPr>
        <w:t xml:space="preserve"> </w:t>
      </w:r>
      <w:r>
        <w:rPr>
          <w:rFonts w:ascii="Garamond" w:hAnsi="Garamond" w:cs="Calibri"/>
        </w:rPr>
        <w:t xml:space="preserve">la quotidienneté et </w:t>
      </w:r>
      <w:r w:rsidR="009604F6">
        <w:rPr>
          <w:rFonts w:ascii="Garamond" w:hAnsi="Garamond" w:cs="Calibri"/>
        </w:rPr>
        <w:t xml:space="preserve">la répétition de l’action </w:t>
      </w:r>
      <w:r>
        <w:rPr>
          <w:rFonts w:ascii="Garamond" w:hAnsi="Garamond" w:cs="Calibri"/>
        </w:rPr>
        <w:t>créent</w:t>
      </w:r>
      <w:r w:rsidR="009604F6">
        <w:rPr>
          <w:rFonts w:ascii="Garamond" w:hAnsi="Garamond" w:cs="Calibri"/>
        </w:rPr>
        <w:t xml:space="preserve"> une familiarité avec le</w:t>
      </w:r>
      <w:r>
        <w:rPr>
          <w:rFonts w:ascii="Garamond" w:hAnsi="Garamond" w:cs="Calibri"/>
        </w:rPr>
        <w:t xml:space="preserve"> lieu</w:t>
      </w:r>
      <w:r w:rsidR="0002420D">
        <w:rPr>
          <w:rFonts w:ascii="Garamond" w:hAnsi="Garamond" w:cs="Calibri"/>
        </w:rPr>
        <w:t xml:space="preserve"> </w:t>
      </w:r>
      <w:r>
        <w:rPr>
          <w:rFonts w:ascii="Garamond" w:hAnsi="Garamond" w:cs="Calibri"/>
        </w:rPr>
        <w:t>qui</w:t>
      </w:r>
      <w:r w:rsidR="0002420D">
        <w:rPr>
          <w:rFonts w:ascii="Garamond" w:hAnsi="Garamond" w:cs="Calibri"/>
        </w:rPr>
        <w:t>,</w:t>
      </w:r>
      <w:r>
        <w:rPr>
          <w:rFonts w:ascii="Garamond" w:hAnsi="Garamond" w:cs="Calibri"/>
        </w:rPr>
        <w:t xml:space="preserve"> même s’il est extérieur au grand ensemble</w:t>
      </w:r>
      <w:r w:rsidR="0002420D">
        <w:rPr>
          <w:rFonts w:ascii="Garamond" w:hAnsi="Garamond" w:cs="Calibri"/>
        </w:rPr>
        <w:t>, est intégré aux</w:t>
      </w:r>
      <w:r>
        <w:rPr>
          <w:rFonts w:ascii="Garamond" w:hAnsi="Garamond" w:cs="Calibri"/>
        </w:rPr>
        <w:t xml:space="preserve"> habitudes journalières. D’autre part, la sortie de Madame C s’inscrit dans une temporalité plus large qui inclue son mari aujourd’hui décédé. Cet ancrage dans le temps long d’une habitude qu’elle perpétue renforce encore </w:t>
      </w:r>
      <w:r w:rsidR="009604F6">
        <w:rPr>
          <w:rFonts w:ascii="Garamond" w:hAnsi="Garamond" w:cs="Calibri"/>
        </w:rPr>
        <w:t xml:space="preserve">le </w:t>
      </w:r>
      <w:r>
        <w:rPr>
          <w:rFonts w:ascii="Garamond" w:hAnsi="Garamond" w:cs="Calibri"/>
        </w:rPr>
        <w:t xml:space="preserve">sentiment de familiarité et l’inclusion du commerce dans sa sphère d’intimité. </w:t>
      </w:r>
      <w:r w:rsidR="0002420D">
        <w:rPr>
          <w:rFonts w:ascii="Garamond" w:hAnsi="Garamond" w:cs="Calibri"/>
        </w:rPr>
        <w:t xml:space="preserve">La proximité du supermarché agit aussi comme </w:t>
      </w:r>
      <w:r w:rsidR="0073618D" w:rsidRPr="00586FC2">
        <w:rPr>
          <w:rFonts w:ascii="Garamond" w:hAnsi="Garamond" w:cs="Calibri"/>
        </w:rPr>
        <w:t xml:space="preserve">support de </w:t>
      </w:r>
      <w:r w:rsidR="0073618D" w:rsidRPr="0002420D">
        <w:rPr>
          <w:rFonts w:ascii="Garamond" w:hAnsi="Garamond" w:cs="Calibri"/>
          <w:i/>
          <w:iCs/>
        </w:rPr>
        <w:t>soi</w:t>
      </w:r>
      <w:r w:rsidR="0073618D" w:rsidRPr="00586FC2">
        <w:rPr>
          <w:rFonts w:ascii="Garamond" w:hAnsi="Garamond" w:cs="Calibri"/>
        </w:rPr>
        <w:t xml:space="preserve">, du corps, </w:t>
      </w:r>
      <w:r w:rsidR="0002420D">
        <w:rPr>
          <w:rFonts w:ascii="Garamond" w:hAnsi="Garamond" w:cs="Calibri"/>
        </w:rPr>
        <w:t xml:space="preserve">car </w:t>
      </w:r>
      <w:r w:rsidR="0073618D" w:rsidRPr="00586FC2">
        <w:rPr>
          <w:rFonts w:ascii="Garamond" w:hAnsi="Garamond" w:cs="Calibri"/>
        </w:rPr>
        <w:t>objet de promenade et de sociabilité</w:t>
      </w:r>
      <w:r w:rsidR="0002420D">
        <w:rPr>
          <w:rFonts w:ascii="Garamond" w:hAnsi="Garamond" w:cs="Calibri"/>
        </w:rPr>
        <w:t>.</w:t>
      </w:r>
      <w:r w:rsidR="0073618D" w:rsidRPr="00586FC2">
        <w:rPr>
          <w:rFonts w:ascii="Garamond" w:hAnsi="Garamond" w:cs="Calibri"/>
        </w:rPr>
        <w:t xml:space="preserve"> </w:t>
      </w:r>
    </w:p>
    <w:p w14:paraId="32E74B33" w14:textId="77777777" w:rsidR="0073618D" w:rsidRPr="00586FC2" w:rsidRDefault="0073618D" w:rsidP="00EB33AD">
      <w:pPr>
        <w:spacing w:line="360" w:lineRule="auto"/>
        <w:jc w:val="both"/>
        <w:rPr>
          <w:rFonts w:ascii="Garamond" w:hAnsi="Garamond" w:cs="Calibri"/>
        </w:rPr>
      </w:pPr>
    </w:p>
    <w:p w14:paraId="7C102545" w14:textId="17821222" w:rsidR="008B32BF" w:rsidRDefault="0002420D" w:rsidP="00EB33AD">
      <w:pPr>
        <w:spacing w:line="360" w:lineRule="auto"/>
        <w:jc w:val="both"/>
        <w:rPr>
          <w:rFonts w:ascii="Garamond" w:hAnsi="Garamond"/>
        </w:rPr>
      </w:pPr>
      <w:r>
        <w:rPr>
          <w:rFonts w:ascii="Garamond" w:hAnsi="Garamond" w:cs="Calibri"/>
        </w:rPr>
        <w:t xml:space="preserve">Enfin, dans d’autre cas, l’extériorité est familière car source de sécurité et de réconfort. C’est le cas </w:t>
      </w:r>
      <w:r w:rsidR="008B32BF">
        <w:rPr>
          <w:rFonts w:ascii="Garamond" w:hAnsi="Garamond" w:cs="Calibri"/>
        </w:rPr>
        <w:t xml:space="preserve">de M. G qui se rend, chaque jour depuis trois ans, </w:t>
      </w:r>
      <w:r w:rsidR="008B32BF" w:rsidRPr="00DD3243">
        <w:rPr>
          <w:rFonts w:ascii="Garamond" w:hAnsi="Garamond"/>
        </w:rPr>
        <w:t>auprès de sa femme, malade Alzheimer et résidente en maison spécialisée.</w:t>
      </w:r>
      <w:r w:rsidR="008B32BF">
        <w:rPr>
          <w:rFonts w:ascii="Garamond" w:hAnsi="Garamond"/>
        </w:rPr>
        <w:t xml:space="preserve"> Il rentre souvent fatigué et éprouvé de ses visites, et le restaurant sénior</w:t>
      </w:r>
      <w:r w:rsidR="008B32BF">
        <w:rPr>
          <w:rStyle w:val="Appelnotedebasdep"/>
          <w:rFonts w:ascii="Garamond" w:hAnsi="Garamond"/>
        </w:rPr>
        <w:footnoteReference w:id="3"/>
      </w:r>
      <w:r w:rsidR="008B32BF">
        <w:rPr>
          <w:rFonts w:ascii="Garamond" w:hAnsi="Garamond"/>
        </w:rPr>
        <w:t xml:space="preserve">, constitue </w:t>
      </w:r>
      <w:r w:rsidR="008B32BF" w:rsidRPr="00DD3243">
        <w:rPr>
          <w:rFonts w:ascii="Garamond" w:hAnsi="Garamond"/>
        </w:rPr>
        <w:t>donc un véritable support, matériel et affectif.</w:t>
      </w:r>
    </w:p>
    <w:p w14:paraId="65550137" w14:textId="77777777" w:rsidR="008B32BF" w:rsidRDefault="008B32BF" w:rsidP="00EB33AD">
      <w:pPr>
        <w:spacing w:line="360" w:lineRule="auto"/>
        <w:jc w:val="both"/>
        <w:rPr>
          <w:rFonts w:ascii="Garamond" w:hAnsi="Garamond" w:cs="Calibri"/>
        </w:rPr>
      </w:pPr>
    </w:p>
    <w:p w14:paraId="21099D87" w14:textId="77777777" w:rsidR="008B32BF" w:rsidRPr="00DD3243" w:rsidRDefault="008B32BF" w:rsidP="008B32BF">
      <w:pPr>
        <w:pStyle w:val="GSverbatim"/>
        <w:spacing w:line="360" w:lineRule="auto"/>
        <w:jc w:val="both"/>
        <w:rPr>
          <w:rFonts w:ascii="Garamond" w:hAnsi="Garamond"/>
          <w:sz w:val="24"/>
          <w:szCs w:val="24"/>
        </w:rPr>
      </w:pPr>
      <w:r w:rsidRPr="00DD3243">
        <w:rPr>
          <w:rFonts w:ascii="Garamond" w:hAnsi="Garamond"/>
          <w:sz w:val="24"/>
          <w:szCs w:val="24"/>
        </w:rPr>
        <w:t>Moi je me débrouille comme je peux, ici on a un restaurant du 3</w:t>
      </w:r>
      <w:r w:rsidRPr="00DD3243">
        <w:rPr>
          <w:rFonts w:ascii="Garamond" w:hAnsi="Garamond"/>
          <w:sz w:val="24"/>
          <w:szCs w:val="24"/>
          <w:vertAlign w:val="superscript"/>
        </w:rPr>
        <w:t>e</w:t>
      </w:r>
      <w:r w:rsidRPr="00DD3243">
        <w:rPr>
          <w:rFonts w:ascii="Garamond" w:hAnsi="Garamond"/>
          <w:sz w:val="24"/>
          <w:szCs w:val="24"/>
        </w:rPr>
        <w:t xml:space="preserve"> âge où ils servent les repas tous les midis. Alors j’y mange tous les midis, sauf les jours fériés, les samedis et les dimanches. Alors là le samedi et le dimanche, j’en suis réduit à faire les 4 repas mais je vais chez le traiteur de Carrefour parce que </w:t>
      </w:r>
      <w:proofErr w:type="gramStart"/>
      <w:r w:rsidRPr="00DD3243">
        <w:rPr>
          <w:rFonts w:ascii="Garamond" w:hAnsi="Garamond"/>
          <w:sz w:val="24"/>
          <w:szCs w:val="24"/>
        </w:rPr>
        <w:t>c’est pas</w:t>
      </w:r>
      <w:proofErr w:type="gramEnd"/>
      <w:r w:rsidRPr="00DD3243">
        <w:rPr>
          <w:rFonts w:ascii="Garamond" w:hAnsi="Garamond"/>
          <w:sz w:val="24"/>
          <w:szCs w:val="24"/>
        </w:rPr>
        <w:t xml:space="preserve"> drôle de préparer 4 repas.</w:t>
      </w:r>
    </w:p>
    <w:p w14:paraId="08ED18A4" w14:textId="77777777" w:rsidR="008B32BF" w:rsidRPr="00DD3243" w:rsidRDefault="008B32BF" w:rsidP="008B32BF">
      <w:pPr>
        <w:pStyle w:val="GSverbvatimdescript"/>
        <w:spacing w:line="360" w:lineRule="auto"/>
        <w:jc w:val="both"/>
        <w:rPr>
          <w:rFonts w:ascii="Garamond" w:hAnsi="Garamond"/>
          <w:sz w:val="24"/>
          <w:szCs w:val="24"/>
        </w:rPr>
      </w:pPr>
      <w:r w:rsidRPr="00DD3243">
        <w:rPr>
          <w:rFonts w:ascii="Garamond" w:hAnsi="Garamond"/>
          <w:sz w:val="24"/>
          <w:szCs w:val="24"/>
        </w:rPr>
        <w:lastRenderedPageBreak/>
        <w:t>Ancely, Monsieur G., 87 ans, arrivé en 1968</w:t>
      </w:r>
    </w:p>
    <w:p w14:paraId="0AD701D4" w14:textId="77777777" w:rsidR="008B32BF" w:rsidRDefault="008B32BF" w:rsidP="00272B91">
      <w:pPr>
        <w:pStyle w:val="GSnormal"/>
        <w:spacing w:line="360" w:lineRule="auto"/>
        <w:rPr>
          <w:rFonts w:ascii="Garamond" w:hAnsi="Garamond"/>
          <w:sz w:val="24"/>
          <w:szCs w:val="24"/>
        </w:rPr>
      </w:pPr>
    </w:p>
    <w:p w14:paraId="3F76D588" w14:textId="3181E49A" w:rsidR="00246AA7" w:rsidRPr="00F654D2" w:rsidRDefault="008B32BF" w:rsidP="00272B91">
      <w:pPr>
        <w:spacing w:line="360" w:lineRule="auto"/>
        <w:jc w:val="both"/>
        <w:rPr>
          <w:rFonts w:ascii="Garamond" w:hAnsi="Garamond"/>
        </w:rPr>
      </w:pPr>
      <w:r>
        <w:rPr>
          <w:rFonts w:ascii="Garamond" w:hAnsi="Garamond"/>
        </w:rPr>
        <w:t>Au restaurant qu’il fréquente quotidiennement, Monsieur G retrouve de vieux amis, des voisins qu’il connait depuis longtemps</w:t>
      </w:r>
      <w:r w:rsidR="00272B91">
        <w:rPr>
          <w:rFonts w:ascii="Garamond" w:hAnsi="Garamond"/>
        </w:rPr>
        <w:t xml:space="preserve"> (Monsieur G fait partie du groupe des primo-arrivants dans le grand ensemble. Il est très actif dans différentes associations)</w:t>
      </w:r>
      <w:r>
        <w:rPr>
          <w:rFonts w:ascii="Garamond" w:hAnsi="Garamond"/>
        </w:rPr>
        <w:t xml:space="preserve">. L’extension de la sphère intime se fait ici </w:t>
      </w:r>
      <w:r w:rsidR="00272B91">
        <w:rPr>
          <w:rFonts w:ascii="Garamond" w:hAnsi="Garamond"/>
        </w:rPr>
        <w:t xml:space="preserve">au </w:t>
      </w:r>
      <w:r>
        <w:rPr>
          <w:rFonts w:ascii="Garamond" w:hAnsi="Garamond"/>
        </w:rPr>
        <w:t xml:space="preserve">niveau plus symbolique de la famille, Monsieur G vivant seul depuis que sa femme a été placée en maison </w:t>
      </w:r>
      <w:r w:rsidRPr="00272B91">
        <w:rPr>
          <w:rFonts w:ascii="Garamond" w:hAnsi="Garamond"/>
        </w:rPr>
        <w:t xml:space="preserve">spécialisée. </w:t>
      </w:r>
      <w:r w:rsidR="00F654D2">
        <w:rPr>
          <w:rFonts w:ascii="Garamond" w:hAnsi="Garamond"/>
        </w:rPr>
        <w:t>Chaque midi, l</w:t>
      </w:r>
      <w:r w:rsidR="00272B91">
        <w:rPr>
          <w:rFonts w:ascii="Garamond" w:hAnsi="Garamond"/>
        </w:rPr>
        <w:t>e petit groupe</w:t>
      </w:r>
      <w:r w:rsidR="00246AA7">
        <w:rPr>
          <w:rFonts w:ascii="Garamond" w:hAnsi="Garamond"/>
        </w:rPr>
        <w:t xml:space="preserve"> – une vingtaine de personnes –</w:t>
      </w:r>
      <w:r w:rsidR="00272B91">
        <w:rPr>
          <w:rFonts w:ascii="Garamond" w:hAnsi="Garamond"/>
        </w:rPr>
        <w:t xml:space="preserve"> </w:t>
      </w:r>
      <w:r w:rsidR="00246AA7">
        <w:rPr>
          <w:rFonts w:ascii="Garamond" w:hAnsi="Garamond"/>
        </w:rPr>
        <w:t>se substitue à sa famille</w:t>
      </w:r>
      <w:r w:rsidR="00F654D2">
        <w:rPr>
          <w:rFonts w:ascii="Garamond" w:hAnsi="Garamond"/>
        </w:rPr>
        <w:t xml:space="preserve"> </w:t>
      </w:r>
      <w:r w:rsidR="00246AA7">
        <w:rPr>
          <w:rFonts w:ascii="Garamond" w:hAnsi="Garamond"/>
        </w:rPr>
        <w:t xml:space="preserve">en lui prodiguant écoute, bienveillance, amitié. L’espace du restaurant quant à lui </w:t>
      </w:r>
      <w:r w:rsidR="00F654D2">
        <w:rPr>
          <w:rFonts w:ascii="Garamond" w:hAnsi="Garamond"/>
        </w:rPr>
        <w:t xml:space="preserve">se transforme en </w:t>
      </w:r>
      <w:r w:rsidR="00272B91">
        <w:rPr>
          <w:rFonts w:ascii="Garamond" w:hAnsi="Garamond"/>
        </w:rPr>
        <w:t>sas</w:t>
      </w:r>
      <w:r w:rsidR="00246AA7">
        <w:rPr>
          <w:rFonts w:ascii="Garamond" w:hAnsi="Garamond"/>
        </w:rPr>
        <w:t xml:space="preserve"> de décompression,</w:t>
      </w:r>
      <w:r w:rsidR="00272B91">
        <w:rPr>
          <w:rFonts w:ascii="Garamond" w:hAnsi="Garamond"/>
        </w:rPr>
        <w:t xml:space="preserve"> </w:t>
      </w:r>
      <w:r w:rsidR="00246AA7">
        <w:rPr>
          <w:rFonts w:ascii="Garamond" w:hAnsi="Garamond"/>
        </w:rPr>
        <w:t xml:space="preserve">espace intermédiaire entre </w:t>
      </w:r>
      <w:r w:rsidR="00272B91">
        <w:rPr>
          <w:rFonts w:ascii="Garamond" w:hAnsi="Garamond"/>
        </w:rPr>
        <w:t xml:space="preserve">l’institution où se trouve son </w:t>
      </w:r>
      <w:r w:rsidR="00272B91" w:rsidRPr="00F654D2">
        <w:rPr>
          <w:rFonts w:ascii="Garamond" w:hAnsi="Garamond"/>
        </w:rPr>
        <w:t>épouse</w:t>
      </w:r>
      <w:r w:rsidR="00246AA7" w:rsidRPr="00F654D2">
        <w:rPr>
          <w:rFonts w:ascii="Garamond" w:hAnsi="Garamond"/>
        </w:rPr>
        <w:t xml:space="preserve"> et</w:t>
      </w:r>
      <w:r w:rsidR="00246AA7" w:rsidRPr="00F654D2">
        <w:rPr>
          <w:rFonts w:ascii="Garamond" w:hAnsi="Garamond"/>
        </w:rPr>
        <w:t xml:space="preserve"> son chez-lui</w:t>
      </w:r>
      <w:r w:rsidR="00272B91" w:rsidRPr="00F654D2">
        <w:rPr>
          <w:rFonts w:ascii="Garamond" w:hAnsi="Garamond"/>
        </w:rPr>
        <w:t xml:space="preserve">. </w:t>
      </w:r>
    </w:p>
    <w:p w14:paraId="2E830250" w14:textId="3F700F71" w:rsidR="0049709D" w:rsidRDefault="00246AA7" w:rsidP="00272B91">
      <w:pPr>
        <w:spacing w:line="360" w:lineRule="auto"/>
        <w:jc w:val="both"/>
        <w:rPr>
          <w:rFonts w:ascii="Garamond" w:hAnsi="Garamond" w:cs="Calibri"/>
        </w:rPr>
      </w:pPr>
      <w:r w:rsidRPr="00F654D2">
        <w:rPr>
          <w:rFonts w:ascii="Garamond" w:hAnsi="Garamond"/>
        </w:rPr>
        <w:t>Notons que le restaurant séniors d’Ancely est particulièrement apprécié par les habitant.es. Parmi nos interviewés,</w:t>
      </w:r>
      <w:r w:rsidR="008B32BF" w:rsidRPr="00F654D2">
        <w:rPr>
          <w:rFonts w:ascii="Garamond" w:hAnsi="Garamond"/>
        </w:rPr>
        <w:t xml:space="preserve"> </w:t>
      </w:r>
      <w:r w:rsidR="008B32BF" w:rsidRPr="00F654D2">
        <w:rPr>
          <w:rFonts w:ascii="Garamond" w:hAnsi="Garamond" w:cs="Calibri"/>
        </w:rPr>
        <w:t xml:space="preserve">2/3 </w:t>
      </w:r>
      <w:r w:rsidR="00272B91" w:rsidRPr="00F654D2">
        <w:rPr>
          <w:rFonts w:ascii="Garamond" w:hAnsi="Garamond" w:cs="Calibri"/>
        </w:rPr>
        <w:t xml:space="preserve">des personnes </w:t>
      </w:r>
      <w:r w:rsidR="008B32BF" w:rsidRPr="00F654D2">
        <w:rPr>
          <w:rFonts w:ascii="Garamond" w:hAnsi="Garamond" w:cs="Calibri"/>
        </w:rPr>
        <w:t>déclarent y manger au moins une fois par semaine et ¼ d’entre eux fréquentent le lieu quotidiennement</w:t>
      </w:r>
      <w:r w:rsidR="00272B91" w:rsidRPr="00F654D2">
        <w:rPr>
          <w:rFonts w:ascii="Garamond" w:hAnsi="Garamond" w:cs="Calibri"/>
        </w:rPr>
        <w:t xml:space="preserve">. </w:t>
      </w:r>
      <w:r w:rsidRPr="00F654D2">
        <w:rPr>
          <w:rFonts w:ascii="Garamond" w:hAnsi="Garamond" w:cs="Calibri"/>
        </w:rPr>
        <w:t xml:space="preserve">Pour elles, ce </w:t>
      </w:r>
      <w:r w:rsidR="0049709D" w:rsidRPr="00F654D2">
        <w:rPr>
          <w:rFonts w:ascii="Garamond" w:hAnsi="Garamond" w:cs="Calibri"/>
        </w:rPr>
        <w:t xml:space="preserve">service agit comme une aide matérielle, </w:t>
      </w:r>
      <w:r w:rsidRPr="00F654D2">
        <w:rPr>
          <w:rFonts w:ascii="Garamond" w:hAnsi="Garamond" w:cs="Calibri"/>
        </w:rPr>
        <w:t xml:space="preserve">comme </w:t>
      </w:r>
      <w:r w:rsidR="0049709D" w:rsidRPr="00F654D2">
        <w:rPr>
          <w:rFonts w:ascii="Garamond" w:hAnsi="Garamond" w:cs="Calibri"/>
        </w:rPr>
        <w:t>support affectif</w:t>
      </w:r>
      <w:r w:rsidR="00272B91" w:rsidRPr="00F654D2">
        <w:rPr>
          <w:rFonts w:ascii="Garamond" w:hAnsi="Garamond" w:cs="Calibri"/>
        </w:rPr>
        <w:t xml:space="preserve"> </w:t>
      </w:r>
      <w:r w:rsidR="0049709D" w:rsidRPr="00F654D2">
        <w:rPr>
          <w:rFonts w:ascii="Garamond" w:hAnsi="Garamond" w:cs="Calibri"/>
        </w:rPr>
        <w:t>et de sociabilité.</w:t>
      </w:r>
      <w:r w:rsidR="0049709D" w:rsidRPr="00586FC2">
        <w:rPr>
          <w:rFonts w:ascii="Garamond" w:hAnsi="Garamond" w:cs="Calibri"/>
        </w:rPr>
        <w:t xml:space="preserve"> </w:t>
      </w:r>
    </w:p>
    <w:p w14:paraId="20D289A3" w14:textId="75B8520A" w:rsidR="00F654D2" w:rsidRPr="00595144" w:rsidRDefault="00F654D2" w:rsidP="00272B91">
      <w:pPr>
        <w:spacing w:line="360" w:lineRule="auto"/>
        <w:jc w:val="both"/>
        <w:rPr>
          <w:rFonts w:ascii="Garamond" w:hAnsi="Garamond" w:cs="Calibri"/>
          <w:color w:val="FF0000"/>
        </w:rPr>
      </w:pPr>
      <w:r w:rsidRPr="00595144">
        <w:rPr>
          <w:rFonts w:ascii="Garamond" w:hAnsi="Garamond" w:cs="Calibri"/>
          <w:color w:val="FF0000"/>
        </w:rPr>
        <w:t>Figure 14</w:t>
      </w:r>
    </w:p>
    <w:p w14:paraId="036E0358" w14:textId="77777777" w:rsidR="0049709D" w:rsidRPr="00586FC2" w:rsidRDefault="0049709D" w:rsidP="00EB33AD">
      <w:pPr>
        <w:pStyle w:val="Paragraphedeliste"/>
        <w:spacing w:line="360" w:lineRule="auto"/>
        <w:ind w:left="0"/>
        <w:jc w:val="both"/>
        <w:rPr>
          <w:rFonts w:ascii="Garamond" w:hAnsi="Garamond" w:cs="Calibri"/>
        </w:rPr>
      </w:pPr>
    </w:p>
    <w:p w14:paraId="2AA1EAD5" w14:textId="04897332" w:rsidR="00D53716" w:rsidRPr="00D53716" w:rsidRDefault="00D53716" w:rsidP="00D53716">
      <w:pPr>
        <w:pStyle w:val="Paragraphedeliste"/>
        <w:numPr>
          <w:ilvl w:val="0"/>
          <w:numId w:val="8"/>
        </w:numPr>
        <w:spacing w:line="360" w:lineRule="auto"/>
        <w:jc w:val="both"/>
        <w:rPr>
          <w:rFonts w:ascii="Garamond" w:hAnsi="Garamond" w:cs="Calibri"/>
          <w:b/>
          <w:bCs/>
        </w:rPr>
      </w:pPr>
      <w:r w:rsidRPr="00D53716">
        <w:rPr>
          <w:rFonts w:ascii="Garamond" w:hAnsi="Garamond" w:cs="Calibri"/>
          <w:b/>
          <w:bCs/>
        </w:rPr>
        <w:t>L’intimité à distance</w:t>
      </w:r>
    </w:p>
    <w:p w14:paraId="13C4EB74" w14:textId="77777777" w:rsidR="00D53716" w:rsidRDefault="00D53716" w:rsidP="00D53716">
      <w:pPr>
        <w:spacing w:line="360" w:lineRule="auto"/>
        <w:jc w:val="both"/>
        <w:rPr>
          <w:rFonts w:ascii="Garamond" w:hAnsi="Garamond" w:cs="Calibri"/>
        </w:rPr>
      </w:pPr>
    </w:p>
    <w:p w14:paraId="55465E27" w14:textId="5022E792" w:rsidR="0073618D" w:rsidRDefault="001951B3" w:rsidP="00D53716">
      <w:pPr>
        <w:spacing w:line="360" w:lineRule="auto"/>
        <w:jc w:val="both"/>
        <w:rPr>
          <w:rFonts w:ascii="Garamond" w:hAnsi="Garamond" w:cs="Calibri"/>
        </w:rPr>
      </w:pPr>
      <w:r>
        <w:rPr>
          <w:rFonts w:ascii="Garamond" w:hAnsi="Garamond" w:cs="Calibri"/>
        </w:rPr>
        <w:t>Une autre di</w:t>
      </w:r>
      <w:r w:rsidR="0049709D" w:rsidRPr="00D53716">
        <w:rPr>
          <w:rFonts w:ascii="Garamond" w:hAnsi="Garamond" w:cs="Calibri"/>
        </w:rPr>
        <w:t xml:space="preserve">mension </w:t>
      </w:r>
      <w:r>
        <w:rPr>
          <w:rFonts w:ascii="Garamond" w:hAnsi="Garamond" w:cs="Calibri"/>
        </w:rPr>
        <w:t xml:space="preserve">que nous souhaiterions évoquée est celle de </w:t>
      </w:r>
      <w:r w:rsidRPr="001951B3">
        <w:rPr>
          <w:rFonts w:ascii="Garamond" w:hAnsi="Garamond" w:cs="Calibri"/>
          <w:i/>
          <w:iCs/>
        </w:rPr>
        <w:t>l’intimité à distance</w:t>
      </w:r>
      <w:r>
        <w:rPr>
          <w:rFonts w:ascii="Garamond" w:hAnsi="Garamond" w:cs="Calibri"/>
        </w:rPr>
        <w:t xml:space="preserve">. Celle-ci s’appuie </w:t>
      </w:r>
      <w:r w:rsidR="0049709D" w:rsidRPr="00D53716">
        <w:rPr>
          <w:rFonts w:ascii="Garamond" w:hAnsi="Garamond" w:cs="Calibri"/>
        </w:rPr>
        <w:t>sur une communauté sociale plus ou moins définie et propre à chacun, mais dans laquelle chacun connait tout le monde et évolue dans le même univers social et/ou professionnel. Cette société d’interconnaissance</w:t>
      </w:r>
      <w:r w:rsidR="005F3D42">
        <w:rPr>
          <w:rFonts w:ascii="Garamond" w:hAnsi="Garamond" w:cs="Calibri"/>
        </w:rPr>
        <w:t>, nommée « le village » par les habitants,</w:t>
      </w:r>
      <w:r w:rsidR="0049709D" w:rsidRPr="00D53716">
        <w:rPr>
          <w:rFonts w:ascii="Garamond" w:hAnsi="Garamond" w:cs="Calibri"/>
        </w:rPr>
        <w:t xml:space="preserve"> est parfois préexistante au grand ensemble lorsque les personnes sont nées dans le quartier ou qu’elles l’ont fréquenté en étant plus jeunes. Pour certains, elle est constituée des ménages de la même génération, arrivés dans le grand ensemble au même moment ou arrivés aussi plus tard à partir des années 2010. Nous avons rencontré des personnes âgées d’une soixantaine d’années qui venaient d’acheter un appartement pour se rapprocher des services et/ou pour ne pas rester seul dans une maison trop grande et difficile à entretenir. Nous avons constaté une entraide et une </w:t>
      </w:r>
      <w:proofErr w:type="spellStart"/>
      <w:r w:rsidR="0049709D" w:rsidRPr="00D53716">
        <w:rPr>
          <w:rFonts w:ascii="Garamond" w:hAnsi="Garamond" w:cs="Calibri"/>
        </w:rPr>
        <w:t>coveillance</w:t>
      </w:r>
      <w:proofErr w:type="spellEnd"/>
      <w:r w:rsidR="0049709D" w:rsidRPr="00D53716">
        <w:rPr>
          <w:rFonts w:ascii="Garamond" w:hAnsi="Garamond" w:cs="Calibri"/>
        </w:rPr>
        <w:t xml:space="preserve"> de la part des personnes de la même génération, liés par un palier, une cage d’ascenseur…</w:t>
      </w:r>
    </w:p>
    <w:p w14:paraId="266065AA" w14:textId="77777777" w:rsidR="005F3D42" w:rsidRDefault="005F3D42" w:rsidP="00D53716">
      <w:pPr>
        <w:spacing w:line="360" w:lineRule="auto"/>
        <w:jc w:val="both"/>
        <w:rPr>
          <w:rFonts w:ascii="Garamond" w:hAnsi="Garamond" w:cs="Calibri"/>
        </w:rPr>
      </w:pPr>
    </w:p>
    <w:p w14:paraId="4BCDFF5B" w14:textId="004FE2BC" w:rsidR="005F3D42" w:rsidRDefault="005F3D42" w:rsidP="00D53716">
      <w:pPr>
        <w:spacing w:line="360" w:lineRule="auto"/>
        <w:jc w:val="both"/>
        <w:rPr>
          <w:rFonts w:ascii="Garamond" w:hAnsi="Garamond" w:cs="Calibri"/>
        </w:rPr>
      </w:pPr>
      <w:r>
        <w:rPr>
          <w:rFonts w:ascii="Garamond" w:hAnsi="Garamond" w:cs="Calibri"/>
        </w:rPr>
        <w:t xml:space="preserve">C’est le cas de Madame S., 80 ans à qui trois voisines ont confié leurs clés. </w:t>
      </w:r>
    </w:p>
    <w:p w14:paraId="30105117" w14:textId="77777777" w:rsidR="005F3D42" w:rsidRDefault="005F3D42" w:rsidP="00D53716">
      <w:pPr>
        <w:spacing w:line="360" w:lineRule="auto"/>
        <w:jc w:val="both"/>
        <w:rPr>
          <w:rFonts w:ascii="Garamond" w:hAnsi="Garamond" w:cs="Calibri"/>
        </w:rPr>
      </w:pPr>
    </w:p>
    <w:p w14:paraId="62865B5B" w14:textId="77777777" w:rsidR="005F3D42" w:rsidRPr="00DD3243" w:rsidRDefault="005F3D42" w:rsidP="005F3D42">
      <w:pPr>
        <w:pStyle w:val="GSverbatim"/>
        <w:spacing w:line="360" w:lineRule="auto"/>
        <w:jc w:val="both"/>
        <w:rPr>
          <w:rFonts w:ascii="Garamond" w:hAnsi="Garamond"/>
          <w:sz w:val="24"/>
          <w:szCs w:val="24"/>
        </w:rPr>
      </w:pPr>
      <w:r w:rsidRPr="00DD3243">
        <w:rPr>
          <w:rFonts w:ascii="Garamond" w:hAnsi="Garamond"/>
          <w:sz w:val="24"/>
          <w:szCs w:val="24"/>
        </w:rPr>
        <w:t xml:space="preserve">Moi j’ai les clefs de trois personnes, des personnes de mon âge ou un peu moins ou un peu plus, qui vivent toujours ici, qui ont tout connu depuis le début. Donc j’ai les clés, comme tout à l’heure, on me dit, « Tu sais, </w:t>
      </w:r>
      <w:r w:rsidRPr="00DD3243">
        <w:rPr>
          <w:rFonts w:ascii="Garamond" w:hAnsi="Garamond"/>
          <w:sz w:val="24"/>
          <w:szCs w:val="24"/>
        </w:rPr>
        <w:lastRenderedPageBreak/>
        <w:t xml:space="preserve">on n’a pas su joindre Mme un tel, Claudine, il est deux heures ». Je dis, « Oui, ça </w:t>
      </w:r>
      <w:proofErr w:type="gramStart"/>
      <w:r w:rsidRPr="00DD3243">
        <w:rPr>
          <w:rFonts w:ascii="Garamond" w:hAnsi="Garamond"/>
          <w:sz w:val="24"/>
          <w:szCs w:val="24"/>
        </w:rPr>
        <w:t>c’est pas</w:t>
      </w:r>
      <w:proofErr w:type="gramEnd"/>
      <w:r w:rsidRPr="00DD3243">
        <w:rPr>
          <w:rFonts w:ascii="Garamond" w:hAnsi="Garamond"/>
          <w:sz w:val="24"/>
          <w:szCs w:val="24"/>
        </w:rPr>
        <w:t xml:space="preserve"> normal, il est deux heures, c’est pas normal ». Bon ben, je prends mes clés et je monte. J’arrive en haut, « Oh j’ai oublié de te dire que j’étais chez la podologue », elle me dit. Je dis, « Tu as ameuté tout le village ici ! »</w:t>
      </w:r>
    </w:p>
    <w:p w14:paraId="576BA55F" w14:textId="77777777" w:rsidR="005F3D42" w:rsidRPr="00DD3243" w:rsidRDefault="005F3D42" w:rsidP="005F3D42">
      <w:pPr>
        <w:pStyle w:val="GSverbvatimdescript"/>
        <w:spacing w:line="360" w:lineRule="auto"/>
        <w:jc w:val="both"/>
        <w:rPr>
          <w:rFonts w:ascii="Garamond" w:hAnsi="Garamond"/>
          <w:sz w:val="24"/>
          <w:szCs w:val="24"/>
          <w:lang w:val="fr-BE"/>
        </w:rPr>
      </w:pPr>
      <w:r w:rsidRPr="00DD3243">
        <w:rPr>
          <w:rFonts w:ascii="Garamond" w:hAnsi="Garamond"/>
          <w:sz w:val="24"/>
          <w:szCs w:val="24"/>
        </w:rPr>
        <w:t>Ganshoren Madame S., 80 ans, arrivée en 1990</w:t>
      </w:r>
    </w:p>
    <w:p w14:paraId="57B41C41" w14:textId="77777777" w:rsidR="005F3D42" w:rsidRPr="00DD3243" w:rsidRDefault="005F3D42" w:rsidP="005F3D42">
      <w:pPr>
        <w:pStyle w:val="GSnormal"/>
        <w:spacing w:line="360" w:lineRule="auto"/>
        <w:rPr>
          <w:rFonts w:ascii="Garamond" w:hAnsi="Garamond"/>
          <w:sz w:val="24"/>
          <w:szCs w:val="24"/>
          <w:lang w:val="fr-BE"/>
        </w:rPr>
      </w:pPr>
    </w:p>
    <w:p w14:paraId="33ACD549" w14:textId="77777777" w:rsidR="005F3D42" w:rsidRPr="00DD3243" w:rsidRDefault="005F3D42" w:rsidP="005F3D42">
      <w:pPr>
        <w:pStyle w:val="GSnormal"/>
        <w:spacing w:line="360" w:lineRule="auto"/>
        <w:rPr>
          <w:rFonts w:ascii="Garamond" w:eastAsia="Times New Roman" w:hAnsi="Garamond"/>
          <w:color w:val="000000"/>
          <w:sz w:val="24"/>
          <w:szCs w:val="24"/>
          <w:lang w:eastAsia="fr-FR"/>
        </w:rPr>
      </w:pPr>
      <w:r w:rsidRPr="00DD3243">
        <w:rPr>
          <w:rFonts w:ascii="Garamond" w:hAnsi="Garamond"/>
          <w:sz w:val="24"/>
          <w:szCs w:val="24"/>
          <w:lang w:val="fr-BE"/>
        </w:rPr>
        <w:t xml:space="preserve">En dehors de ce rôle, Madame S., nous explique que ses voisines et elle se réunissent régulièrement, pour prendre le thé et échanger les nouvelles. La communauté qu’elles forment palie le risque d’isolement social et </w:t>
      </w:r>
      <w:r w:rsidRPr="00DD3243">
        <w:rPr>
          <w:rFonts w:ascii="Garamond" w:eastAsia="Times New Roman" w:hAnsi="Garamond"/>
          <w:sz w:val="24"/>
          <w:szCs w:val="24"/>
          <w:lang w:eastAsia="fr-FR"/>
        </w:rPr>
        <w:t>agit ainsi comme support social, affectif et parfois aussi matériel lorsque des services sont échangés.</w:t>
      </w:r>
    </w:p>
    <w:p w14:paraId="0E47C883" w14:textId="77777777" w:rsidR="0049709D" w:rsidRPr="00586FC2" w:rsidRDefault="0049709D" w:rsidP="00EB33AD">
      <w:pPr>
        <w:spacing w:line="360" w:lineRule="auto"/>
        <w:jc w:val="both"/>
        <w:rPr>
          <w:rFonts w:ascii="Garamond" w:hAnsi="Garamond" w:cs="Calibri"/>
        </w:rPr>
      </w:pPr>
    </w:p>
    <w:p w14:paraId="66E5DB49" w14:textId="73A46B4C" w:rsidR="008D033E" w:rsidRDefault="0049709D" w:rsidP="00EB33AD">
      <w:pPr>
        <w:spacing w:line="360" w:lineRule="auto"/>
        <w:jc w:val="both"/>
        <w:rPr>
          <w:rFonts w:ascii="Garamond" w:hAnsi="Garamond" w:cs="Calibri"/>
        </w:rPr>
      </w:pPr>
      <w:r w:rsidRPr="00586FC2">
        <w:rPr>
          <w:rFonts w:ascii="Garamond" w:hAnsi="Garamond" w:cs="Calibri"/>
        </w:rPr>
        <w:t>On constate aussi un fort enchevêtrement des parcours résidentiels sur deux, voire trois générations au sein de même famille. Nombreux sont les enfants qui, après une première étape de vie, ont acheté un appartement pour se rapprocher de leurs parents vieillissants, voire, acheter pour eux un appartement à proximité du leur.</w:t>
      </w:r>
      <w:r w:rsidR="00BF62BC" w:rsidRPr="00586FC2">
        <w:rPr>
          <w:rFonts w:ascii="Garamond" w:hAnsi="Garamond" w:cs="Calibri"/>
        </w:rPr>
        <w:t xml:space="preserve"> </w:t>
      </w:r>
    </w:p>
    <w:p w14:paraId="6A66A586" w14:textId="10B87467" w:rsidR="008D033E" w:rsidRDefault="00163DB1" w:rsidP="008D033E">
      <w:pPr>
        <w:spacing w:line="360" w:lineRule="auto"/>
        <w:jc w:val="both"/>
        <w:rPr>
          <w:rFonts w:ascii="Garamond" w:hAnsi="Garamond"/>
        </w:rPr>
      </w:pPr>
      <w:r>
        <w:rPr>
          <w:rFonts w:ascii="Garamond" w:hAnsi="Garamond" w:cs="Calibri"/>
        </w:rPr>
        <w:t>La</w:t>
      </w:r>
      <w:r w:rsidR="008D033E" w:rsidRPr="00DD3243">
        <w:rPr>
          <w:rFonts w:ascii="Garamond" w:hAnsi="Garamond"/>
        </w:rPr>
        <w:t xml:space="preserve"> proximité des enfants agit comme sécurité affective, contre la sensation d’isolement et de solitude. Cette proximité, si elle débouche souvent sur des pratiques d’entraide (courses, soins, présence) n’est pas toujours activée par les personnes. Madame R., 79 ans, sait qu’elle peut compter sur son fils mais tient avant tout à son indépendance :</w:t>
      </w:r>
    </w:p>
    <w:p w14:paraId="617712AA" w14:textId="77777777" w:rsidR="008D033E" w:rsidRPr="00DD3243" w:rsidRDefault="008D033E" w:rsidP="008D033E">
      <w:pPr>
        <w:spacing w:line="360" w:lineRule="auto"/>
        <w:jc w:val="both"/>
        <w:rPr>
          <w:rFonts w:ascii="Garamond" w:hAnsi="Garamond"/>
          <w:lang w:val="fr-FR"/>
        </w:rPr>
      </w:pPr>
    </w:p>
    <w:p w14:paraId="7EE906F8" w14:textId="77777777" w:rsidR="008D033E" w:rsidRPr="00DD3243" w:rsidRDefault="008D033E" w:rsidP="008D033E">
      <w:pPr>
        <w:pStyle w:val="GSverbatim"/>
        <w:spacing w:line="360" w:lineRule="auto"/>
        <w:jc w:val="both"/>
        <w:rPr>
          <w:rFonts w:ascii="Garamond" w:hAnsi="Garamond"/>
          <w:sz w:val="24"/>
          <w:szCs w:val="24"/>
          <w:lang w:val="fr-BE"/>
        </w:rPr>
      </w:pPr>
      <w:r w:rsidRPr="00DD3243">
        <w:rPr>
          <w:rFonts w:ascii="Garamond" w:hAnsi="Garamond"/>
          <w:sz w:val="24"/>
          <w:szCs w:val="24"/>
          <w:lang w:val="fr-BE"/>
        </w:rPr>
        <w:t>Quand on a besoin l’un de l’autre, on est là mais pas toujours. Les jeunes ils ont besoin d’avoir leur vie et les vieux, ils sont tellement emmerdants… Alors chacun sa vie et ça marche. Depuis toujours déjà. On se téléphone, et quand il a des petits gâteaux, il me porte, je descends, il me donne un petit gâteau et moi quand il part en congés, je suis là pour soigner les bêtes. Et quand je suis malade il vient aussi pour m’aider.</w:t>
      </w:r>
    </w:p>
    <w:p w14:paraId="4CBD45DD" w14:textId="77777777" w:rsidR="008D033E" w:rsidRPr="00DD3243" w:rsidRDefault="008D033E" w:rsidP="008D033E">
      <w:pPr>
        <w:pStyle w:val="GSverbvatimdescript"/>
        <w:spacing w:line="360" w:lineRule="auto"/>
        <w:jc w:val="both"/>
        <w:rPr>
          <w:rFonts w:ascii="Garamond" w:hAnsi="Garamond"/>
          <w:sz w:val="24"/>
          <w:szCs w:val="24"/>
          <w:lang w:val="fr-BE"/>
        </w:rPr>
      </w:pPr>
      <w:r w:rsidRPr="00DD3243">
        <w:rPr>
          <w:rFonts w:ascii="Garamond" w:hAnsi="Garamond"/>
          <w:sz w:val="24"/>
          <w:szCs w:val="24"/>
          <w:lang w:val="fr-BE"/>
        </w:rPr>
        <w:t>Woluwe, Madame R., 79 ans, arrivée en 1995</w:t>
      </w:r>
    </w:p>
    <w:p w14:paraId="142E0D2C" w14:textId="77777777" w:rsidR="008D033E" w:rsidRPr="00DD3243" w:rsidRDefault="008D033E" w:rsidP="008D033E">
      <w:pPr>
        <w:pStyle w:val="GSnormal"/>
        <w:spacing w:line="360" w:lineRule="auto"/>
        <w:rPr>
          <w:rFonts w:ascii="Garamond" w:hAnsi="Garamond"/>
          <w:sz w:val="24"/>
          <w:szCs w:val="24"/>
        </w:rPr>
      </w:pPr>
    </w:p>
    <w:p w14:paraId="5D84FD87" w14:textId="2346D549" w:rsidR="00BF62BC" w:rsidRPr="008D033E" w:rsidRDefault="008D033E" w:rsidP="008D033E">
      <w:pPr>
        <w:pStyle w:val="GSnormal"/>
        <w:spacing w:line="360" w:lineRule="auto"/>
        <w:rPr>
          <w:rFonts w:ascii="Garamond" w:hAnsi="Garamond"/>
          <w:sz w:val="24"/>
          <w:szCs w:val="24"/>
        </w:rPr>
      </w:pPr>
      <w:r w:rsidRPr="00DD3243">
        <w:rPr>
          <w:rFonts w:ascii="Garamond" w:hAnsi="Garamond"/>
          <w:sz w:val="24"/>
          <w:szCs w:val="24"/>
        </w:rPr>
        <w:t>Comme raisons de ce choix les personnes âgées évoquent la volonté de ne pas être un fardeau pour leurs enfants, de rester maitresses de leur quotidien et de leur chez-elle.</w:t>
      </w:r>
    </w:p>
    <w:p w14:paraId="7E51C765" w14:textId="405A94A1" w:rsidR="00BF62BC" w:rsidRDefault="00BF62BC" w:rsidP="00EB33AD">
      <w:pPr>
        <w:spacing w:line="360" w:lineRule="auto"/>
        <w:jc w:val="both"/>
        <w:rPr>
          <w:rFonts w:ascii="Garamond" w:hAnsi="Garamond" w:cs="Calibri"/>
          <w:lang w:val="fr-FR"/>
        </w:rPr>
      </w:pPr>
      <w:r w:rsidRPr="00586FC2">
        <w:rPr>
          <w:rFonts w:ascii="Garamond" w:hAnsi="Garamond" w:cs="Calibri"/>
          <w:lang w:val="fr-FR"/>
        </w:rPr>
        <w:t xml:space="preserve">Cette proximité à distance amenée par le collectif contribue à soutenir l’autonomie, en tout cas le sentiment d’autonomie des personnes âgées. En effet, dans le grand ensemble collectif, l’extériorité sociale, </w:t>
      </w:r>
      <w:r w:rsidRPr="00586FC2">
        <w:rPr>
          <w:rFonts w:ascii="Garamond" w:hAnsi="Garamond" w:cs="Calibri"/>
          <w:i/>
          <w:iCs/>
          <w:lang w:val="fr-FR"/>
        </w:rPr>
        <w:t>l’autre</w:t>
      </w:r>
      <w:r w:rsidRPr="00586FC2">
        <w:rPr>
          <w:rFonts w:ascii="Garamond" w:hAnsi="Garamond" w:cs="Calibri"/>
          <w:lang w:val="fr-FR"/>
        </w:rPr>
        <w:t xml:space="preserve">, se trouve à la fois proche et séparé. Il habite l’appartement voisin ou l’étage en-dessous et il est donc relativement proche. Les personnes savent qu’elles peuvent compter sur </w:t>
      </w:r>
      <w:r w:rsidRPr="00586FC2">
        <w:rPr>
          <w:rFonts w:ascii="Garamond" w:hAnsi="Garamond" w:cs="Calibri"/>
          <w:i/>
          <w:iCs/>
          <w:lang w:val="fr-FR"/>
        </w:rPr>
        <w:t>lui</w:t>
      </w:r>
      <w:r w:rsidRPr="00586FC2">
        <w:rPr>
          <w:rFonts w:ascii="Garamond" w:hAnsi="Garamond" w:cs="Calibri"/>
          <w:lang w:val="fr-FR"/>
        </w:rPr>
        <w:t xml:space="preserve">. En même temps, ce voisin a son propre appartement, ses propres rythmes et sa propre individualité. Cette proximité à distance protège la personne d’une intrusion dans la sphère intime du chez soi. Elle lui donne la sensation de maitriser quand et où faire appel à autrui, de contrôler </w:t>
      </w:r>
      <w:r w:rsidRPr="00586FC2">
        <w:rPr>
          <w:rFonts w:ascii="Garamond" w:hAnsi="Garamond" w:cs="Calibri"/>
          <w:lang w:val="fr-FR"/>
        </w:rPr>
        <w:lastRenderedPageBreak/>
        <w:t xml:space="preserve">l’entrée de l’autre dans son territoire intime, d’avoir le choix de faire appel ou de ne pas faire appel. Ce qui n’est pas le cas avec des soignants ou des aides ménagères par exemple qui interviennent selon leurs propres disponibilités et modalités à l’intérieur du logement. Ce qui n’est pas le cas non plus en habitat pavillonnaire puisque l’autre est plus distant. Il y a plus de seuils à franchir pour aller chercher l’autre ou pour que l’autre puisse voir si je vais bien. Ces seuils sont matérialisés par le palier sur lequel on croise un voisin, l’ascenseur que l’on prend plusieurs fois par jour, le hall d’entrée où l’on s’attarde pour prendre son courrier, etc. </w:t>
      </w:r>
    </w:p>
    <w:p w14:paraId="61930862" w14:textId="621246F3" w:rsidR="00595144" w:rsidRPr="00595144" w:rsidRDefault="00595144" w:rsidP="00EB33AD">
      <w:pPr>
        <w:spacing w:line="360" w:lineRule="auto"/>
        <w:jc w:val="both"/>
        <w:rPr>
          <w:rFonts w:ascii="Garamond" w:hAnsi="Garamond" w:cs="Calibri"/>
          <w:color w:val="FF0000"/>
          <w:lang w:val="fr-FR"/>
        </w:rPr>
      </w:pPr>
      <w:r w:rsidRPr="00595144">
        <w:rPr>
          <w:rFonts w:ascii="Garamond" w:hAnsi="Garamond" w:cs="Calibri"/>
          <w:color w:val="FF0000"/>
          <w:lang w:val="fr-FR"/>
        </w:rPr>
        <w:t xml:space="preserve">Figure 15 </w:t>
      </w:r>
    </w:p>
    <w:p w14:paraId="1C2C70D3" w14:textId="77777777" w:rsidR="00BF62BC" w:rsidRPr="00586FC2" w:rsidRDefault="00BF62BC" w:rsidP="00EB33AD">
      <w:pPr>
        <w:spacing w:line="360" w:lineRule="auto"/>
        <w:jc w:val="both"/>
        <w:rPr>
          <w:rFonts w:ascii="Garamond" w:hAnsi="Garamond" w:cs="Calibri"/>
          <w:lang w:val="fr-FR"/>
        </w:rPr>
      </w:pPr>
    </w:p>
    <w:p w14:paraId="27F9D7ED" w14:textId="26F19103" w:rsidR="008D033E" w:rsidRPr="00613BAA" w:rsidRDefault="008D033E" w:rsidP="008D033E">
      <w:pPr>
        <w:pStyle w:val="GSnormal"/>
        <w:numPr>
          <w:ilvl w:val="0"/>
          <w:numId w:val="8"/>
        </w:numPr>
        <w:spacing w:line="360" w:lineRule="auto"/>
        <w:rPr>
          <w:rFonts w:ascii="Garamond" w:hAnsi="Garamond"/>
          <w:b/>
          <w:bCs/>
          <w:sz w:val="24"/>
          <w:szCs w:val="24"/>
          <w:lang w:val="fr-BE"/>
        </w:rPr>
      </w:pPr>
      <w:r w:rsidRPr="00613BAA">
        <w:rPr>
          <w:rFonts w:ascii="Garamond" w:hAnsi="Garamond"/>
          <w:b/>
          <w:bCs/>
          <w:sz w:val="24"/>
          <w:szCs w:val="24"/>
          <w:lang w:val="fr-BE"/>
        </w:rPr>
        <w:t>« Maintenir ouverte sa maison »</w:t>
      </w:r>
    </w:p>
    <w:p w14:paraId="36DD6B4D" w14:textId="77777777" w:rsidR="008D033E" w:rsidRPr="00DD3243" w:rsidRDefault="008D033E" w:rsidP="008D033E">
      <w:pPr>
        <w:spacing w:line="360" w:lineRule="auto"/>
        <w:jc w:val="both"/>
        <w:rPr>
          <w:rFonts w:ascii="Garamond" w:hAnsi="Garamond"/>
        </w:rPr>
      </w:pPr>
    </w:p>
    <w:p w14:paraId="676A3865" w14:textId="77777777" w:rsidR="008D033E" w:rsidRPr="00DD3243" w:rsidRDefault="008D033E" w:rsidP="008D033E">
      <w:pPr>
        <w:spacing w:line="360" w:lineRule="auto"/>
        <w:jc w:val="both"/>
        <w:rPr>
          <w:rFonts w:ascii="Garamond" w:hAnsi="Garamond"/>
        </w:rPr>
      </w:pPr>
      <w:r w:rsidRPr="00DD3243">
        <w:rPr>
          <w:rFonts w:ascii="Garamond" w:hAnsi="Garamond"/>
        </w:rPr>
        <w:t>Pour certaines personnes rencontrées, qu’elles sortent encore ou pas de leur appartement, les espaces intermédiaires du grand ensemble leur permettent de rester en contact avec le monde et la vie extérieure.</w:t>
      </w:r>
    </w:p>
    <w:p w14:paraId="71026935" w14:textId="77777777" w:rsidR="008D033E" w:rsidRDefault="008D033E" w:rsidP="008D033E">
      <w:pPr>
        <w:pStyle w:val="GSnormal"/>
        <w:spacing w:line="360" w:lineRule="auto"/>
        <w:rPr>
          <w:rFonts w:ascii="Garamond" w:hAnsi="Garamond"/>
          <w:sz w:val="24"/>
          <w:szCs w:val="24"/>
        </w:rPr>
      </w:pPr>
      <w:r w:rsidRPr="00DD3243">
        <w:rPr>
          <w:rFonts w:ascii="Garamond" w:hAnsi="Garamond"/>
          <w:sz w:val="24"/>
          <w:szCs w:val="24"/>
        </w:rPr>
        <w:t>À Bruxelles, les logements des ensembles Etrimo s’ouvrent tous sur une terrasse de la longueur de l’appartement. Les qualités d’orientation et de vue dégagée depuis ces terrasses ont été très citées par les personnes. Madame R., 79 ans, par exemple, est fière de nous expliquer l’avantage de sa terrasse, orientée à l’est par rapport à celle de ses voisins, et de nous montrer combien la vue est belle depuis le 10</w:t>
      </w:r>
      <w:r w:rsidRPr="00DD3243">
        <w:rPr>
          <w:rFonts w:ascii="Garamond" w:hAnsi="Garamond"/>
          <w:sz w:val="24"/>
          <w:szCs w:val="24"/>
          <w:vertAlign w:val="superscript"/>
        </w:rPr>
        <w:t>ème</w:t>
      </w:r>
      <w:r w:rsidRPr="00DD3243">
        <w:rPr>
          <w:rFonts w:ascii="Garamond" w:hAnsi="Garamond"/>
          <w:sz w:val="24"/>
          <w:szCs w:val="24"/>
        </w:rPr>
        <w:t xml:space="preserve"> étage où elle habite :</w:t>
      </w:r>
    </w:p>
    <w:p w14:paraId="19F9744D" w14:textId="77777777" w:rsidR="008D033E" w:rsidRPr="00DD3243" w:rsidRDefault="008D033E" w:rsidP="008D033E">
      <w:pPr>
        <w:pStyle w:val="GSnormal"/>
        <w:spacing w:line="360" w:lineRule="auto"/>
        <w:rPr>
          <w:rFonts w:ascii="Garamond" w:hAnsi="Garamond"/>
          <w:sz w:val="24"/>
          <w:szCs w:val="24"/>
        </w:rPr>
      </w:pPr>
    </w:p>
    <w:p w14:paraId="048B1363" w14:textId="77777777" w:rsidR="008D033E" w:rsidRPr="00DD3243" w:rsidRDefault="008D033E" w:rsidP="008D033E">
      <w:pPr>
        <w:pStyle w:val="GSverbatim"/>
        <w:spacing w:line="360" w:lineRule="auto"/>
        <w:jc w:val="both"/>
        <w:rPr>
          <w:rFonts w:ascii="Garamond" w:hAnsi="Garamond"/>
          <w:color w:val="000000"/>
          <w:sz w:val="24"/>
          <w:szCs w:val="24"/>
        </w:rPr>
      </w:pPr>
      <w:r w:rsidRPr="00DD3243">
        <w:rPr>
          <w:rFonts w:ascii="Garamond" w:hAnsi="Garamond"/>
          <w:sz w:val="24"/>
          <w:szCs w:val="24"/>
        </w:rPr>
        <w:t xml:space="preserve">Moi, j’ai le soleil le matin et c’est agréable parce que l’après-midi sur les terrasses, de l’autre côté, on ne sait pas profiter des terrasses. À 1h30 jusqu’à 5h, </w:t>
      </w:r>
      <w:proofErr w:type="gramStart"/>
      <w:r w:rsidRPr="00DD3243">
        <w:rPr>
          <w:rFonts w:ascii="Garamond" w:hAnsi="Garamond"/>
          <w:sz w:val="24"/>
          <w:szCs w:val="24"/>
        </w:rPr>
        <w:t>on sait même pas</w:t>
      </w:r>
      <w:proofErr w:type="gramEnd"/>
      <w:r w:rsidRPr="00DD3243">
        <w:rPr>
          <w:rFonts w:ascii="Garamond" w:hAnsi="Garamond"/>
          <w:sz w:val="24"/>
          <w:szCs w:val="24"/>
        </w:rPr>
        <w:t xml:space="preserve"> marcher sur le carrelage tellement c’est chaud de l’autre côté. Moi le matin, je me lève, je prépare mon petit café à 8h, là j’ai le soleil, je profite… Je vois les avions qui décollent. « Tiens, on voit la tour de contrôle qui clignote ! » Mais on la voit encore mieux le soir. Ah ! Le soir ! c’est magnifique, quand les avions décollent, on voit toutes les petites lumières des avions. Ça, je peux le dire, j’ai une belle vue.</w:t>
      </w:r>
    </w:p>
    <w:p w14:paraId="66737DA0" w14:textId="77777777" w:rsidR="008D033E" w:rsidRPr="00DD3243" w:rsidRDefault="008D033E" w:rsidP="008D033E">
      <w:pPr>
        <w:pStyle w:val="GSverbvatimdescript"/>
        <w:spacing w:line="360" w:lineRule="auto"/>
        <w:jc w:val="both"/>
        <w:rPr>
          <w:rFonts w:ascii="Garamond" w:hAnsi="Garamond"/>
          <w:sz w:val="24"/>
          <w:szCs w:val="24"/>
        </w:rPr>
      </w:pPr>
      <w:proofErr w:type="spellStart"/>
      <w:r w:rsidRPr="00DD3243">
        <w:rPr>
          <w:rFonts w:ascii="Garamond" w:hAnsi="Garamond"/>
          <w:sz w:val="24"/>
          <w:szCs w:val="24"/>
        </w:rPr>
        <w:t>Woluwé</w:t>
      </w:r>
      <w:proofErr w:type="spellEnd"/>
      <w:r w:rsidRPr="00DD3243">
        <w:rPr>
          <w:rFonts w:ascii="Garamond" w:hAnsi="Garamond"/>
          <w:sz w:val="24"/>
          <w:szCs w:val="24"/>
        </w:rPr>
        <w:t>, Madame R., 79 ans, arrivée en 1995</w:t>
      </w:r>
    </w:p>
    <w:p w14:paraId="77A759F5" w14:textId="77777777" w:rsidR="008D033E" w:rsidRPr="00DD3243" w:rsidRDefault="008D033E" w:rsidP="008D033E">
      <w:pPr>
        <w:pStyle w:val="texte"/>
        <w:spacing w:beforeAutospacing="0" w:afterAutospacing="0" w:line="360" w:lineRule="auto"/>
        <w:jc w:val="both"/>
        <w:rPr>
          <w:rFonts w:ascii="Garamond" w:hAnsi="Garamond"/>
          <w:color w:val="FF0000"/>
        </w:rPr>
      </w:pPr>
    </w:p>
    <w:p w14:paraId="6A330F5A" w14:textId="77777777" w:rsidR="008D033E" w:rsidRPr="00DD3243" w:rsidRDefault="008D033E" w:rsidP="008D033E">
      <w:pPr>
        <w:pStyle w:val="texte"/>
        <w:spacing w:beforeAutospacing="0" w:afterAutospacing="0" w:line="360" w:lineRule="auto"/>
        <w:jc w:val="both"/>
        <w:rPr>
          <w:rFonts w:ascii="Garamond" w:hAnsi="Garamond"/>
        </w:rPr>
      </w:pPr>
      <w:r w:rsidRPr="00DD3243">
        <w:rPr>
          <w:rFonts w:ascii="Garamond" w:hAnsi="Garamond"/>
        </w:rPr>
        <w:t>Madame V., 98 ans regarde et commente l’évolution du quartier depuis son balcon d’où elle a une vue sur tout Bruxelles. Depuis la pandémie, Madame V ne sort plus beaucoup de chez elle (une fois par semaine environ). Par contre elle jardine toujours sur son balcon qui est occupé, lorsque nous le visitons en hiver, de plans de semis et d’outils de jardinage. Pendant l’entretien, c’est depuis son balcon qu’elle nous parle de l’évolution de quartier depuis qu’elle s’y est installée en 1967.</w:t>
      </w:r>
    </w:p>
    <w:p w14:paraId="43E0D992" w14:textId="77777777" w:rsidR="008D033E" w:rsidRPr="00DD3243" w:rsidRDefault="008D033E" w:rsidP="008D033E">
      <w:pPr>
        <w:pStyle w:val="texte"/>
        <w:spacing w:beforeAutospacing="0" w:afterAutospacing="0" w:line="360" w:lineRule="auto"/>
        <w:jc w:val="both"/>
        <w:rPr>
          <w:rFonts w:ascii="Garamond" w:hAnsi="Garamond"/>
        </w:rPr>
      </w:pPr>
    </w:p>
    <w:p w14:paraId="2673D7BB" w14:textId="0D2107FB" w:rsidR="00163DB1" w:rsidRPr="00586FC2" w:rsidRDefault="008D033E" w:rsidP="00163DB1">
      <w:pPr>
        <w:spacing w:line="360" w:lineRule="auto"/>
        <w:jc w:val="both"/>
        <w:rPr>
          <w:rFonts w:ascii="Garamond" w:hAnsi="Garamond" w:cs="Calibri"/>
        </w:rPr>
      </w:pPr>
      <w:r w:rsidRPr="00DD3243">
        <w:rPr>
          <w:rFonts w:ascii="Garamond" w:hAnsi="Garamond"/>
        </w:rPr>
        <w:lastRenderedPageBreak/>
        <w:t xml:space="preserve">Dans ces deux cas, le balcon est une vitrine dans laquelle l’extérieur s’invite en douceur. Les changements de saison et de météo, l’évolution du quartier, </w:t>
      </w:r>
      <w:r w:rsidRPr="00DD3243">
        <w:rPr>
          <w:rFonts w:ascii="Garamond" w:hAnsi="Garamond"/>
          <w:i/>
          <w:iCs/>
        </w:rPr>
        <w:t>l’autre</w:t>
      </w:r>
      <w:r w:rsidRPr="00DD3243">
        <w:rPr>
          <w:rFonts w:ascii="Garamond" w:hAnsi="Garamond"/>
        </w:rPr>
        <w:t xml:space="preserve"> pris dans sa globalité s’affichent sans s’imposer et sont accueillis avec plaisir par les personnes. Au sens métaphorique, « Avoir une belle vue », ou « avoir une vue dégagée », c’est aussi, « avoir une vue dégagée sur sa vie », y voir clair, avec distance. </w:t>
      </w:r>
      <w:r w:rsidR="00163DB1">
        <w:rPr>
          <w:rFonts w:ascii="Garamond" w:hAnsi="Garamond"/>
        </w:rPr>
        <w:t xml:space="preserve">Les balcons </w:t>
      </w:r>
      <w:r w:rsidR="00163DB1" w:rsidRPr="00586FC2">
        <w:rPr>
          <w:rFonts w:ascii="Garamond" w:hAnsi="Garamond" w:cs="Calibri"/>
        </w:rPr>
        <w:t xml:space="preserve">agissent </w:t>
      </w:r>
      <w:r w:rsidR="00163DB1">
        <w:rPr>
          <w:rFonts w:ascii="Garamond" w:hAnsi="Garamond" w:cs="Calibri"/>
        </w:rPr>
        <w:t xml:space="preserve">donc </w:t>
      </w:r>
      <w:r w:rsidR="00163DB1" w:rsidRPr="00586FC2">
        <w:rPr>
          <w:rFonts w:ascii="Garamond" w:hAnsi="Garamond" w:cs="Calibri"/>
        </w:rPr>
        <w:t>comme support symbolique donnant l’impression d’un espace plus grand, plus ouvert</w:t>
      </w:r>
      <w:r w:rsidR="00163DB1">
        <w:rPr>
          <w:rFonts w:ascii="Garamond" w:hAnsi="Garamond" w:cs="Calibri"/>
        </w:rPr>
        <w:t xml:space="preserve"> et </w:t>
      </w:r>
      <w:r w:rsidR="00163DB1" w:rsidRPr="00586FC2">
        <w:rPr>
          <w:rFonts w:ascii="Garamond" w:hAnsi="Garamond" w:cs="Calibri"/>
        </w:rPr>
        <w:t xml:space="preserve">d’un horizon plus éloigné. </w:t>
      </w:r>
    </w:p>
    <w:p w14:paraId="4F30730B" w14:textId="3854A902" w:rsidR="008D033E" w:rsidRPr="00595144" w:rsidRDefault="00595144" w:rsidP="008D033E">
      <w:pPr>
        <w:pStyle w:val="GSnormal"/>
        <w:spacing w:line="360" w:lineRule="auto"/>
        <w:rPr>
          <w:rFonts w:ascii="Garamond" w:hAnsi="Garamond"/>
          <w:color w:val="FF0000"/>
          <w:sz w:val="24"/>
          <w:szCs w:val="24"/>
        </w:rPr>
      </w:pPr>
      <w:r w:rsidRPr="00595144">
        <w:rPr>
          <w:rFonts w:ascii="Garamond" w:hAnsi="Garamond"/>
          <w:color w:val="FF0000"/>
          <w:sz w:val="24"/>
          <w:szCs w:val="24"/>
        </w:rPr>
        <w:t xml:space="preserve">Figure 16 </w:t>
      </w:r>
      <w:r w:rsidR="002B7BBD">
        <w:rPr>
          <w:rFonts w:ascii="Garamond" w:hAnsi="Garamond"/>
          <w:color w:val="FF0000"/>
          <w:sz w:val="24"/>
          <w:szCs w:val="24"/>
        </w:rPr>
        <w:t>et 17</w:t>
      </w:r>
    </w:p>
    <w:p w14:paraId="75E50C25" w14:textId="77777777" w:rsidR="00595144" w:rsidRPr="00DD3243" w:rsidRDefault="00595144" w:rsidP="008D033E">
      <w:pPr>
        <w:pStyle w:val="GSnormal"/>
        <w:spacing w:line="360" w:lineRule="auto"/>
        <w:rPr>
          <w:rFonts w:ascii="Garamond" w:hAnsi="Garamond"/>
          <w:sz w:val="24"/>
          <w:szCs w:val="24"/>
        </w:rPr>
      </w:pPr>
    </w:p>
    <w:p w14:paraId="39BE8798" w14:textId="572277EF" w:rsidR="002B7BBD" w:rsidRDefault="008D033E" w:rsidP="008D033E">
      <w:pPr>
        <w:pStyle w:val="GSnormal"/>
        <w:spacing w:line="360" w:lineRule="auto"/>
        <w:rPr>
          <w:rFonts w:ascii="Garamond" w:hAnsi="Garamond"/>
          <w:sz w:val="24"/>
          <w:szCs w:val="24"/>
        </w:rPr>
      </w:pPr>
      <w:r w:rsidRPr="00DD3243">
        <w:rPr>
          <w:rFonts w:ascii="Garamond" w:hAnsi="Garamond"/>
          <w:sz w:val="24"/>
          <w:szCs w:val="24"/>
        </w:rPr>
        <w:t xml:space="preserve">Parmi les éléments </w:t>
      </w:r>
      <w:r>
        <w:rPr>
          <w:rFonts w:ascii="Garamond" w:hAnsi="Garamond"/>
          <w:sz w:val="24"/>
          <w:szCs w:val="24"/>
        </w:rPr>
        <w:t xml:space="preserve">les plus </w:t>
      </w:r>
      <w:r w:rsidRPr="00DD3243">
        <w:rPr>
          <w:rFonts w:ascii="Garamond" w:hAnsi="Garamond"/>
          <w:sz w:val="24"/>
          <w:szCs w:val="24"/>
        </w:rPr>
        <w:t xml:space="preserve">appréciés et exprimés par les habitants des cinq ensembles, la présence du parc, des arbres et de bancs bien disposés, le calme et la tranquillité véhiculés par les aménagements paysagers reviennent systématiquement. Ils sont un véritable prolongement de l’appartement, que ce soit, comme support symbolique en donnant la sensation d’un espace intérieur plus grand et plus ouvert, ou matériel comme </w:t>
      </w:r>
      <w:r w:rsidR="00595144">
        <w:rPr>
          <w:rFonts w:ascii="Garamond" w:hAnsi="Garamond"/>
          <w:sz w:val="24"/>
          <w:szCs w:val="24"/>
        </w:rPr>
        <w:t xml:space="preserve">terrain d’appropriation </w:t>
      </w:r>
      <w:r w:rsidR="00595144">
        <w:rPr>
          <w:rFonts w:ascii="Garamond" w:hAnsi="Garamond"/>
          <w:sz w:val="24"/>
          <w:szCs w:val="24"/>
        </w:rPr>
        <w:fldChar w:fldCharType="begin"/>
      </w:r>
      <w:r w:rsidR="00595144">
        <w:rPr>
          <w:rFonts w:ascii="Garamond" w:hAnsi="Garamond"/>
          <w:sz w:val="24"/>
          <w:szCs w:val="24"/>
        </w:rPr>
        <w:instrText xml:space="preserve"> ADDIN EN.CITE &lt;EndNote&gt;&lt;Cite&gt;&lt;Author&gt;Courbebaisse&lt;/Author&gt;&lt;Year&gt;2021&lt;/Year&gt;&lt;RecNum&gt;20&lt;/RecNum&gt;&lt;DisplayText&gt;(Courbebaisse, 2021)&lt;/DisplayText&gt;&lt;record&gt;&lt;rec-number&gt;20&lt;/rec-number&gt;&lt;foreign-keys&gt;&lt;key app="EN" db-id="2wx00x0p8t5t25e9df6pfrv4zzvpvpwsfv0f" timestamp="1693296611"&gt;20&lt;/key&gt;&lt;/foreign-keys&gt;&lt;ref-type name="Journal Article"&gt;17&lt;/ref-type&gt;&lt;contributors&gt;&lt;authors&gt;&lt;author&gt;Audrey Courbebaisse &lt;/author&gt;&lt;/authors&gt;&lt;/contributors&gt;&lt;titles&gt;&lt;title&gt;Appropriations habitantes dans les espaces intermédiaires des grands ensembles toulousains&lt;/title&gt;&lt;secondary-title&gt;Projets de paysage&lt;/secondary-title&gt;&lt;/titles&gt;&lt;periodical&gt;&lt;full-title&gt;Projets de paysage&lt;/full-title&gt;&lt;/periodical&gt;&lt;volume&gt;24&lt;/volume&gt;&lt;dates&gt;&lt;year&gt;2021&lt;/year&gt;&lt;pub-dates&gt;&lt;date&gt;20 septembre 2021&lt;/date&gt;&lt;/pub-dates&gt;&lt;/dates&gt;&lt;urls&gt;&lt;related-urls&gt;&lt;url&gt;http://journals.openedition.org/paysage/19680&lt;/url&gt;&lt;/related-urls&gt;&lt;/urls&gt;&lt;electronic-resource-num&gt;https://doi.org/10.4000/paysage.19680&lt;/electronic-resource-num&gt;&lt;/record&gt;&lt;/Cite&gt;&lt;/EndNote&gt;</w:instrText>
      </w:r>
      <w:r w:rsidR="00595144">
        <w:rPr>
          <w:rFonts w:ascii="Garamond" w:hAnsi="Garamond"/>
          <w:sz w:val="24"/>
          <w:szCs w:val="24"/>
        </w:rPr>
        <w:fldChar w:fldCharType="separate"/>
      </w:r>
      <w:r w:rsidR="00595144">
        <w:rPr>
          <w:rFonts w:ascii="Garamond" w:hAnsi="Garamond"/>
          <w:noProof/>
          <w:sz w:val="24"/>
          <w:szCs w:val="24"/>
        </w:rPr>
        <w:t>(Courbebaisse, 2021)</w:t>
      </w:r>
      <w:r w:rsidR="00595144">
        <w:rPr>
          <w:rFonts w:ascii="Garamond" w:hAnsi="Garamond"/>
          <w:sz w:val="24"/>
          <w:szCs w:val="24"/>
        </w:rPr>
        <w:fldChar w:fldCharType="end"/>
      </w:r>
      <w:r w:rsidR="00595144">
        <w:rPr>
          <w:rFonts w:ascii="Garamond" w:hAnsi="Garamond"/>
          <w:sz w:val="24"/>
          <w:szCs w:val="24"/>
        </w:rPr>
        <w:t xml:space="preserve"> ou </w:t>
      </w:r>
      <w:r w:rsidRPr="00DD3243">
        <w:rPr>
          <w:rFonts w:ascii="Garamond" w:hAnsi="Garamond"/>
          <w:sz w:val="24"/>
          <w:szCs w:val="24"/>
        </w:rPr>
        <w:t xml:space="preserve">circuit de promenade. </w:t>
      </w:r>
      <w:r w:rsidR="002B7BBD" w:rsidRPr="002B7BBD">
        <w:rPr>
          <w:rFonts w:ascii="Garamond" w:hAnsi="Garamond"/>
          <w:color w:val="FF0000"/>
          <w:sz w:val="24"/>
          <w:szCs w:val="24"/>
        </w:rPr>
        <w:t>Figure 18</w:t>
      </w:r>
    </w:p>
    <w:p w14:paraId="10BA3EAC" w14:textId="41036174" w:rsidR="008D033E" w:rsidRDefault="008D033E" w:rsidP="008D033E">
      <w:pPr>
        <w:pStyle w:val="GSnormal"/>
        <w:spacing w:line="360" w:lineRule="auto"/>
        <w:rPr>
          <w:rFonts w:ascii="Garamond" w:hAnsi="Garamond"/>
          <w:sz w:val="24"/>
          <w:szCs w:val="24"/>
        </w:rPr>
      </w:pPr>
      <w:r w:rsidRPr="00DD3243">
        <w:rPr>
          <w:rFonts w:ascii="Garamond" w:hAnsi="Garamond"/>
          <w:sz w:val="24"/>
          <w:szCs w:val="24"/>
        </w:rPr>
        <w:t>Madame F., 81 ans, nous parle de ce sentiment de prolongement de son logement intérieur sur l’extérieur. L’usage du pronom possessif montre qu’elle se considère comme chez elle dans le parc collectif du grand ensemble :</w:t>
      </w:r>
    </w:p>
    <w:p w14:paraId="2A266BAC" w14:textId="77777777" w:rsidR="008D033E" w:rsidRPr="00DD3243" w:rsidRDefault="008D033E" w:rsidP="008D033E">
      <w:pPr>
        <w:pStyle w:val="GSnormal"/>
        <w:spacing w:line="360" w:lineRule="auto"/>
        <w:rPr>
          <w:rFonts w:ascii="Garamond" w:hAnsi="Garamond"/>
          <w:sz w:val="24"/>
          <w:szCs w:val="24"/>
        </w:rPr>
      </w:pPr>
    </w:p>
    <w:p w14:paraId="5402FF82" w14:textId="77777777" w:rsidR="008D033E" w:rsidRPr="00DD3243" w:rsidRDefault="008D033E" w:rsidP="008D033E">
      <w:pPr>
        <w:pStyle w:val="GSverbatim"/>
        <w:spacing w:line="360" w:lineRule="auto"/>
        <w:jc w:val="both"/>
        <w:rPr>
          <w:rStyle w:val="apple-converted-space"/>
          <w:rFonts w:ascii="Garamond" w:hAnsi="Garamond"/>
          <w:i w:val="0"/>
          <w:iCs/>
          <w:color w:val="000000"/>
          <w:sz w:val="24"/>
          <w:szCs w:val="24"/>
        </w:rPr>
      </w:pPr>
      <w:r w:rsidRPr="00DD3243">
        <w:rPr>
          <w:rFonts w:ascii="Garamond" w:hAnsi="Garamond"/>
          <w:sz w:val="24"/>
          <w:szCs w:val="24"/>
        </w:rPr>
        <w:t xml:space="preserve">Moi je dis </w:t>
      </w:r>
      <w:proofErr w:type="gramStart"/>
      <w:r w:rsidRPr="00DD3243">
        <w:rPr>
          <w:rFonts w:ascii="Garamond" w:hAnsi="Garamond"/>
          <w:sz w:val="24"/>
          <w:szCs w:val="24"/>
        </w:rPr>
        <w:t>je suis pas</w:t>
      </w:r>
      <w:proofErr w:type="gramEnd"/>
      <w:r w:rsidRPr="00DD3243">
        <w:rPr>
          <w:rFonts w:ascii="Garamond" w:hAnsi="Garamond"/>
          <w:sz w:val="24"/>
          <w:szCs w:val="24"/>
        </w:rPr>
        <w:t xml:space="preserve"> dans la rue ici. Je suis dans mon parc. Enfin, je dis mon parc, je veux dire </w:t>
      </w:r>
      <w:proofErr w:type="gramStart"/>
      <w:r w:rsidRPr="00DD3243">
        <w:rPr>
          <w:rFonts w:ascii="Garamond" w:hAnsi="Garamond"/>
          <w:sz w:val="24"/>
          <w:szCs w:val="24"/>
        </w:rPr>
        <w:t>on est pas</w:t>
      </w:r>
      <w:proofErr w:type="gramEnd"/>
      <w:r w:rsidRPr="00DD3243">
        <w:rPr>
          <w:rFonts w:ascii="Garamond" w:hAnsi="Garamond"/>
          <w:sz w:val="24"/>
          <w:szCs w:val="24"/>
        </w:rPr>
        <w:t xml:space="preserve"> dehors. On est dehors sans être dans la rue. Les autres immeubles vous descendez vous êtes dans la rue. Ici, non.</w:t>
      </w:r>
      <w:r w:rsidRPr="00DD3243">
        <w:rPr>
          <w:rStyle w:val="apple-converted-space"/>
          <w:rFonts w:ascii="Garamond" w:hAnsi="Garamond"/>
          <w:iCs/>
          <w:color w:val="000000"/>
          <w:sz w:val="24"/>
          <w:szCs w:val="24"/>
        </w:rPr>
        <w:t> </w:t>
      </w:r>
    </w:p>
    <w:p w14:paraId="121112D1" w14:textId="77777777" w:rsidR="008D033E" w:rsidRPr="00DD3243" w:rsidRDefault="008D033E" w:rsidP="008D033E">
      <w:pPr>
        <w:pStyle w:val="GSverbvatimdescript"/>
        <w:spacing w:line="360" w:lineRule="auto"/>
        <w:jc w:val="both"/>
        <w:rPr>
          <w:rStyle w:val="apple-converted-space"/>
          <w:rFonts w:ascii="Garamond" w:hAnsi="Garamond"/>
          <w:color w:val="000000"/>
          <w:sz w:val="24"/>
          <w:szCs w:val="24"/>
        </w:rPr>
      </w:pPr>
      <w:r w:rsidRPr="00DD3243">
        <w:rPr>
          <w:rStyle w:val="apple-converted-space"/>
          <w:rFonts w:ascii="Garamond" w:hAnsi="Garamond"/>
          <w:color w:val="000000"/>
          <w:sz w:val="24"/>
          <w:szCs w:val="24"/>
        </w:rPr>
        <w:t>Ancely, Madame F., 81 ans, arrivée en 1969</w:t>
      </w:r>
    </w:p>
    <w:p w14:paraId="03B29C03" w14:textId="77777777" w:rsidR="00BF62BC" w:rsidRPr="00586FC2" w:rsidRDefault="00BF62BC" w:rsidP="00EB33AD">
      <w:pPr>
        <w:pStyle w:val="Paragraphedeliste"/>
        <w:spacing w:line="360" w:lineRule="auto"/>
        <w:ind w:left="0"/>
        <w:jc w:val="both"/>
        <w:rPr>
          <w:rFonts w:ascii="Garamond" w:hAnsi="Garamond" w:cs="Calibri"/>
        </w:rPr>
      </w:pPr>
    </w:p>
    <w:p w14:paraId="086C3394" w14:textId="77229E29" w:rsidR="00BF62BC" w:rsidRPr="00595144" w:rsidRDefault="00163DB1" w:rsidP="00EB33AD">
      <w:pPr>
        <w:spacing w:line="360" w:lineRule="auto"/>
        <w:jc w:val="both"/>
        <w:rPr>
          <w:rFonts w:ascii="Garamond" w:hAnsi="Garamond" w:cs="Calibri"/>
        </w:rPr>
      </w:pPr>
      <w:r>
        <w:rPr>
          <w:rFonts w:ascii="Garamond" w:hAnsi="Garamond" w:cs="Calibri"/>
        </w:rPr>
        <w:t xml:space="preserve">Ces extensions du chez soi participent à l’extension de la sphère privée matérialisée par l’appartement. Elles laissent la possibilité de sortir tout en restant à l’intérieur d’un périmètre connu, familier et jouent également </w:t>
      </w:r>
      <w:r w:rsidR="00595144">
        <w:rPr>
          <w:rFonts w:ascii="Garamond" w:hAnsi="Garamond" w:cs="Calibri"/>
        </w:rPr>
        <w:t xml:space="preserve">le rôle </w:t>
      </w:r>
      <w:r>
        <w:rPr>
          <w:rFonts w:ascii="Garamond" w:hAnsi="Garamond" w:cs="Calibri"/>
        </w:rPr>
        <w:t>de paliers successifs pour la régulation de la sphère sociale</w:t>
      </w:r>
      <w:r w:rsidR="00595144">
        <w:rPr>
          <w:rFonts w:ascii="Garamond" w:hAnsi="Garamond" w:cs="Calibri"/>
        </w:rPr>
        <w:t xml:space="preserve"> </w:t>
      </w:r>
      <w:r w:rsidR="00595144">
        <w:rPr>
          <w:rFonts w:ascii="Garamond" w:hAnsi="Garamond" w:cs="Calibri"/>
        </w:rPr>
        <w:fldChar w:fldCharType="begin"/>
      </w:r>
      <w:r w:rsidR="00595144">
        <w:rPr>
          <w:rFonts w:ascii="Garamond" w:hAnsi="Garamond" w:cs="Calibri"/>
        </w:rPr>
        <w:instrText xml:space="preserve"> ADDIN EN.CITE &lt;EndNote&gt;&lt;Cite&gt;&lt;Author&gt;Hall&lt;/Author&gt;&lt;Year&gt;2014&lt;/Year&gt;&lt;RecNum&gt;23&lt;/RecNum&gt;&lt;DisplayText&gt;(Hall et Petita, 2014)&lt;/DisplayText&gt;&lt;record&gt;&lt;rec-number&gt;23&lt;/rec-number&gt;&lt;foreign-keys&gt;&lt;key app="EN" db-id="2wx00x0p8t5t25e9df6pfrv4zzvpvpwsfv0f" timestamp="1693297431"&gt;23&lt;/key&gt;&lt;/foreign-keys&gt;&lt;ref-type name="Book"&gt;6&lt;/ref-type&gt;&lt;contributors&gt;&lt;authors&gt;&lt;author&gt;Hall, E.T.&lt;/author&gt;&lt;author&gt;Petita, A.&lt;/author&gt;&lt;/authors&gt;&lt;/contributors&gt;&lt;titles&gt;&lt;title&gt;La dimension cachée&lt;/title&gt;&lt;/titles&gt;&lt;dates&gt;&lt;year&gt;2014&lt;/year&gt;&lt;/dates&gt;&lt;publisher&gt;Éditions Points&lt;/publisher&gt;&lt;orig-pub&gt;1966&lt;/orig-pub&gt;&lt;isbn&gt;9782757841990&lt;/isbn&gt;&lt;urls&gt;&lt;related-urls&gt;&lt;url&gt;https://books.google.be/books?id=hT-CoAEACAAJ&lt;/url&gt;&lt;/related-urls&gt;&lt;/urls&gt;&lt;/record&gt;&lt;/Cite&gt;&lt;/EndNote&gt;</w:instrText>
      </w:r>
      <w:r w:rsidR="00595144">
        <w:rPr>
          <w:rFonts w:ascii="Garamond" w:hAnsi="Garamond" w:cs="Calibri"/>
        </w:rPr>
        <w:fldChar w:fldCharType="separate"/>
      </w:r>
      <w:r w:rsidR="00595144">
        <w:rPr>
          <w:rFonts w:ascii="Garamond" w:hAnsi="Garamond" w:cs="Calibri"/>
          <w:noProof/>
        </w:rPr>
        <w:t>(Hall et Petita, 2014)</w:t>
      </w:r>
      <w:r w:rsidR="00595144">
        <w:rPr>
          <w:rFonts w:ascii="Garamond" w:hAnsi="Garamond" w:cs="Calibri"/>
        </w:rPr>
        <w:fldChar w:fldCharType="end"/>
      </w:r>
      <w:r>
        <w:rPr>
          <w:rFonts w:ascii="Garamond" w:hAnsi="Garamond" w:cs="Calibri"/>
        </w:rPr>
        <w:t xml:space="preserve">. Les personnes rencontrées sont nombreuses à sortir de leur appartement pour promener leur chien ou retrouver une voisine sur un banc. Ces petites actions quotidiennes agissent comme support de sociabilité et permettent de </w:t>
      </w:r>
      <w:r w:rsidRPr="00163DB1">
        <w:rPr>
          <w:rFonts w:ascii="Garamond" w:hAnsi="Garamond" w:cs="Calibri"/>
          <w:i/>
          <w:iCs/>
        </w:rPr>
        <w:t>voir du monde</w:t>
      </w:r>
      <w:r>
        <w:rPr>
          <w:rFonts w:ascii="Garamond" w:hAnsi="Garamond" w:cs="Calibri"/>
        </w:rPr>
        <w:t xml:space="preserve"> </w:t>
      </w:r>
      <w:r w:rsidRPr="00163DB1">
        <w:rPr>
          <w:rFonts w:ascii="Garamond" w:hAnsi="Garamond" w:cs="Calibri"/>
          <w:i/>
          <w:iCs/>
        </w:rPr>
        <w:t xml:space="preserve">sans être obligé de recevoir quelqu’un chez soi. </w:t>
      </w:r>
    </w:p>
    <w:p w14:paraId="3397E9CA" w14:textId="77777777" w:rsidR="00A93E4E" w:rsidRDefault="00A93E4E" w:rsidP="00EB33AD">
      <w:pPr>
        <w:pStyle w:val="Paragraphedeliste"/>
        <w:spacing w:line="360" w:lineRule="auto"/>
        <w:ind w:left="0"/>
        <w:jc w:val="both"/>
        <w:rPr>
          <w:rFonts w:ascii="Garamond" w:hAnsi="Garamond" w:cs="Calibri"/>
        </w:rPr>
      </w:pPr>
    </w:p>
    <w:p w14:paraId="5A70F61E" w14:textId="3A8DFF6B" w:rsidR="002B7BBD" w:rsidRPr="002B7BBD" w:rsidRDefault="002B7BBD" w:rsidP="00EB33AD">
      <w:pPr>
        <w:pStyle w:val="Paragraphedeliste"/>
        <w:spacing w:line="360" w:lineRule="auto"/>
        <w:ind w:left="0"/>
        <w:jc w:val="both"/>
        <w:rPr>
          <w:rFonts w:ascii="Garamond" w:hAnsi="Garamond" w:cs="Calibri"/>
          <w:color w:val="FF0000"/>
        </w:rPr>
      </w:pPr>
      <w:r w:rsidRPr="002B7BBD">
        <w:rPr>
          <w:rFonts w:ascii="Garamond" w:hAnsi="Garamond" w:cs="Calibri"/>
          <w:color w:val="FF0000"/>
        </w:rPr>
        <w:t>Figure 19</w:t>
      </w:r>
    </w:p>
    <w:p w14:paraId="03A04726" w14:textId="77777777" w:rsidR="002B7BBD" w:rsidRPr="00586FC2" w:rsidRDefault="002B7BBD" w:rsidP="00EB33AD">
      <w:pPr>
        <w:pStyle w:val="Paragraphedeliste"/>
        <w:spacing w:line="360" w:lineRule="auto"/>
        <w:ind w:left="0"/>
        <w:jc w:val="both"/>
        <w:rPr>
          <w:rFonts w:ascii="Garamond" w:hAnsi="Garamond" w:cs="Calibri"/>
        </w:rPr>
      </w:pPr>
    </w:p>
    <w:p w14:paraId="613D827F" w14:textId="77777777" w:rsidR="002B7BBD" w:rsidRDefault="002B7BBD">
      <w:pPr>
        <w:rPr>
          <w:rFonts w:ascii="Garamond" w:hAnsi="Garamond" w:cs="Calibri"/>
          <w:b/>
          <w:bCs/>
        </w:rPr>
      </w:pPr>
      <w:r>
        <w:rPr>
          <w:rFonts w:ascii="Garamond" w:hAnsi="Garamond" w:cs="Calibri"/>
          <w:b/>
          <w:bCs/>
        </w:rPr>
        <w:br w:type="page"/>
      </w:r>
    </w:p>
    <w:p w14:paraId="60B2FDC5" w14:textId="7388C6BF" w:rsidR="00CD5CF1" w:rsidRPr="001B6E31" w:rsidRDefault="008D033E" w:rsidP="00EB33AD">
      <w:pPr>
        <w:spacing w:line="360" w:lineRule="auto"/>
        <w:jc w:val="both"/>
        <w:rPr>
          <w:rFonts w:ascii="Garamond" w:hAnsi="Garamond" w:cs="Calibri"/>
          <w:b/>
          <w:bCs/>
        </w:rPr>
      </w:pPr>
      <w:r w:rsidRPr="001B6E31">
        <w:rPr>
          <w:rFonts w:ascii="Garamond" w:hAnsi="Garamond" w:cs="Calibri"/>
          <w:b/>
          <w:bCs/>
        </w:rPr>
        <w:lastRenderedPageBreak/>
        <w:t>Conclusion</w:t>
      </w:r>
    </w:p>
    <w:p w14:paraId="4C529486" w14:textId="77777777" w:rsidR="008D033E" w:rsidRPr="00586FC2" w:rsidRDefault="008D033E" w:rsidP="00EB33AD">
      <w:pPr>
        <w:spacing w:line="360" w:lineRule="auto"/>
        <w:jc w:val="both"/>
        <w:rPr>
          <w:rFonts w:ascii="Garamond" w:hAnsi="Garamond" w:cs="Calibri"/>
        </w:rPr>
      </w:pPr>
    </w:p>
    <w:p w14:paraId="078EA7B2" w14:textId="1F7F828D" w:rsidR="00A93E4E" w:rsidRPr="00586FC2" w:rsidRDefault="00A93E4E" w:rsidP="00EB33AD">
      <w:pPr>
        <w:spacing w:line="360" w:lineRule="auto"/>
        <w:jc w:val="both"/>
        <w:rPr>
          <w:rFonts w:ascii="Garamond" w:hAnsi="Garamond" w:cs="Calibri"/>
          <w:lang w:val="fr-FR"/>
        </w:rPr>
      </w:pPr>
      <w:r w:rsidRPr="00586FC2">
        <w:rPr>
          <w:rFonts w:ascii="Garamond" w:hAnsi="Garamond" w:cs="Calibri"/>
          <w:lang w:val="fr-FR"/>
        </w:rPr>
        <w:t xml:space="preserve">Cette communication montre, entre les lignes, comment les limites entre les sphères intime et publique </w:t>
      </w:r>
      <w:r w:rsidRPr="00586FC2">
        <w:rPr>
          <w:rFonts w:ascii="Garamond" w:hAnsi="Garamond" w:cs="Calibri"/>
          <w:lang w:val="fr-FR"/>
        </w:rPr>
        <w:fldChar w:fldCharType="begin"/>
      </w:r>
      <w:r w:rsidR="00E9432D">
        <w:rPr>
          <w:rFonts w:ascii="Garamond" w:hAnsi="Garamond" w:cs="Calibri"/>
          <w:lang w:val="fr-FR"/>
        </w:rPr>
        <w:instrText xml:space="preserve"> ADDIN EN.CITE &lt;EndNote&gt;&lt;Cite&gt;&lt;Author&gt;Hall&lt;/Author&gt;&lt;Year&gt;2014&lt;/Year&gt;&lt;RecNum&gt;23&lt;/RecNum&gt;&lt;DisplayText&gt;(Hall et Petita, 2014)&lt;/DisplayText&gt;&lt;record&gt;&lt;rec-number&gt;23&lt;/rec-number&gt;&lt;foreign-keys&gt;&lt;key app="EN" db-id="2wx00x0p8t5t25e9df6pfrv4zzvpvpwsfv0f" timestamp="1693297431"&gt;23&lt;/key&gt;&lt;/foreign-keys&gt;&lt;ref-type name="Book"&gt;6&lt;/ref-type&gt;&lt;contributors&gt;&lt;authors&gt;&lt;author&gt;Hall, E.T.&lt;/author&gt;&lt;author&gt;Petita, A.&lt;/author&gt;&lt;/authors&gt;&lt;/contributors&gt;&lt;titles&gt;&lt;title&gt;La dimension cachée&lt;/title&gt;&lt;/titles&gt;&lt;dates&gt;&lt;year&gt;2014&lt;/year&gt;&lt;/dates&gt;&lt;publisher&gt;Éditions Points&lt;/publisher&gt;&lt;orig-pub&gt;1966&lt;/orig-pub&gt;&lt;isbn&gt;9782757841990&lt;/isbn&gt;&lt;urls&gt;&lt;related-urls&gt;&lt;url&gt;https://books.google.be/books?id=hT-CoAEACAAJ&lt;/url&gt;&lt;/related-urls&gt;&lt;/urls&gt;&lt;/record&gt;&lt;/Cite&gt;&lt;/EndNote&gt;</w:instrText>
      </w:r>
      <w:r w:rsidRPr="00586FC2">
        <w:rPr>
          <w:rFonts w:ascii="Garamond" w:hAnsi="Garamond" w:cs="Calibri"/>
          <w:lang w:val="fr-FR"/>
        </w:rPr>
        <w:fldChar w:fldCharType="separate"/>
      </w:r>
      <w:r w:rsidR="00E9432D">
        <w:rPr>
          <w:rFonts w:ascii="Garamond" w:hAnsi="Garamond" w:cs="Calibri"/>
          <w:noProof/>
          <w:lang w:val="fr-FR"/>
        </w:rPr>
        <w:t>(Hall et Petita, 2014)</w:t>
      </w:r>
      <w:r w:rsidRPr="00586FC2">
        <w:rPr>
          <w:rFonts w:ascii="Garamond" w:hAnsi="Garamond" w:cs="Calibri"/>
          <w:lang w:val="fr-FR"/>
        </w:rPr>
        <w:fldChar w:fldCharType="end"/>
      </w:r>
      <w:r w:rsidRPr="00586FC2">
        <w:rPr>
          <w:rFonts w:ascii="Garamond" w:hAnsi="Garamond" w:cs="Calibri"/>
          <w:lang w:val="fr-FR"/>
        </w:rPr>
        <w:t xml:space="preserve"> fluctuent au sein de chaque expérience de vieillissement. Or, et ce que nous avons essayé de démontrer, nous pensons que la multiplicité et la diversité des espaces intermédiaires, des seuils dans le grand ensemble et ses abords contribuent à rendre plus souple l’appropriation de ces limites par les personnes âgées et participent donc à soutenir leur quotidien. Trois types de rapports (Une extériorité familière, l’intimité à distance, maintenir ouvert au monde sa maison) ont été développés ici mais l’on pourrait en trouver d’autres.</w:t>
      </w:r>
    </w:p>
    <w:p w14:paraId="2C294E0C" w14:textId="77777777" w:rsidR="00A93E4E" w:rsidRPr="00586FC2" w:rsidRDefault="00A93E4E" w:rsidP="00EB33AD">
      <w:pPr>
        <w:spacing w:line="360" w:lineRule="auto"/>
        <w:jc w:val="both"/>
        <w:rPr>
          <w:rFonts w:ascii="Garamond" w:hAnsi="Garamond" w:cs="Calibri"/>
          <w:lang w:val="fr-FR"/>
        </w:rPr>
      </w:pPr>
    </w:p>
    <w:p w14:paraId="06C403F3" w14:textId="1833D465" w:rsidR="00A93E4E" w:rsidRPr="00586FC2" w:rsidRDefault="00A93E4E" w:rsidP="00EB33AD">
      <w:pPr>
        <w:spacing w:line="360" w:lineRule="auto"/>
        <w:jc w:val="both"/>
        <w:rPr>
          <w:rFonts w:ascii="Garamond" w:hAnsi="Garamond" w:cs="Calibri"/>
          <w:lang w:val="fr-FR"/>
        </w:rPr>
      </w:pPr>
      <w:r w:rsidRPr="00586FC2">
        <w:rPr>
          <w:rFonts w:ascii="Garamond" w:hAnsi="Garamond" w:cs="Calibri"/>
          <w:lang w:val="fr-FR"/>
        </w:rPr>
        <w:t xml:space="preserve">Nous pourrions également nous questionner sur des rapports différenciés à cette extériorité, en fonction des catégories habituelles (âge, genre, classe, race), ce que nous n’avons pas fait dans ce travail, cherchant plus à dégager ce qui dans l’identité même du grand ensemble, agissait comme supports, et à rester au plus près des expériences singulières de chacun </w:t>
      </w:r>
      <w:r w:rsidRPr="00586FC2">
        <w:rPr>
          <w:rFonts w:ascii="Garamond" w:hAnsi="Garamond" w:cs="Calibri"/>
          <w:lang w:val="fr-FR"/>
        </w:rPr>
        <w:fldChar w:fldCharType="begin"/>
      </w:r>
      <w:r w:rsidR="00E9432D">
        <w:rPr>
          <w:rFonts w:ascii="Garamond" w:hAnsi="Garamond" w:cs="Calibri"/>
          <w:lang w:val="fr-FR"/>
        </w:rPr>
        <w:instrText xml:space="preserve"> ADDIN EN.CITE &lt;EndNote&gt;&lt;Cite&gt;&lt;Author&gt;Désveaux&lt;/Author&gt;&lt;Year&gt;2015&lt;/Year&gt;&lt;RecNum&gt;32&lt;/RecNum&gt;&lt;DisplayText&gt;(Désveaux et de Fornel, 2015)&lt;/DisplayText&gt;&lt;record&gt;&lt;rec-number&gt;32&lt;/rec-number&gt;&lt;foreign-keys&gt;&lt;key app="EN" db-id="2wx00x0p8t5t25e9df6pfrv4zzvpvpwsfv0f" timestamp="1693553893"&gt;32&lt;/key&gt;&lt;/foreign-keys&gt;&lt;ref-type name="Book"&gt;6&lt;/ref-type&gt;&lt;contributors&gt;&lt;authors&gt;&lt;author&gt;Désveaux, E.&lt;/author&gt;&lt;author&gt;de Fornel, M.&lt;/author&gt;&lt;/authors&gt;&lt;/contributors&gt;&lt;titles&gt;&lt;title&gt;Faire des sciences sociales. Généraliser&lt;/title&gt;&lt;/titles&gt;&lt;dates&gt;&lt;year&gt;2015&lt;/year&gt;&lt;/dates&gt;&lt;publisher&gt;Éditions de l’École des hautes études en sciences sociales&lt;/publisher&gt;&lt;isbn&gt;9782713225901&lt;/isbn&gt;&lt;urls&gt;&lt;related-urls&gt;&lt;url&gt;https://books.google.be/books?id=mgMRCwAAQBAJ&lt;/url&gt;&lt;/related-urls&gt;&lt;/urls&gt;&lt;/record&gt;&lt;/Cite&gt;&lt;/EndNote&gt;</w:instrText>
      </w:r>
      <w:r w:rsidRPr="00586FC2">
        <w:rPr>
          <w:rFonts w:ascii="Garamond" w:hAnsi="Garamond" w:cs="Calibri"/>
          <w:lang w:val="fr-FR"/>
        </w:rPr>
        <w:fldChar w:fldCharType="separate"/>
      </w:r>
      <w:r w:rsidR="00E9432D">
        <w:rPr>
          <w:rFonts w:ascii="Garamond" w:hAnsi="Garamond" w:cs="Calibri"/>
          <w:noProof/>
          <w:lang w:val="fr-FR"/>
        </w:rPr>
        <w:t>(Désveaux et de Fornel, 2015)</w:t>
      </w:r>
      <w:r w:rsidRPr="00586FC2">
        <w:rPr>
          <w:rFonts w:ascii="Garamond" w:hAnsi="Garamond" w:cs="Calibri"/>
          <w:lang w:val="fr-FR"/>
        </w:rPr>
        <w:fldChar w:fldCharType="end"/>
      </w:r>
      <w:r w:rsidRPr="00586FC2">
        <w:rPr>
          <w:rFonts w:ascii="Garamond" w:hAnsi="Garamond" w:cs="Calibri"/>
          <w:lang w:val="fr-FR"/>
        </w:rPr>
        <w:t>. Nous retenons de cette particularité qu’elle permet, sous certaines conditions, de se sentir chez-soi à l’extérieur de son chez-soi (corps, appartement), de considérer ces espaces comme des prolongements familiers. Nous retenons aussi que toutes les personnes n’activent pas forcément ces supports mais que ce qui compte pour elles est d’avoir le choix de les activer si elles le souhaitent. La présence et le côtoiement de ces espaces au quotidien agit en faveur d’une sécurité ontologique en donnant la possibilité d’aller chercher l’</w:t>
      </w:r>
      <w:r w:rsidRPr="00586FC2">
        <w:rPr>
          <w:rFonts w:ascii="Garamond" w:hAnsi="Garamond" w:cs="Calibri"/>
          <w:i/>
          <w:iCs/>
          <w:lang w:val="fr-FR"/>
        </w:rPr>
        <w:t>autre</w:t>
      </w:r>
      <w:r w:rsidRPr="00586FC2">
        <w:rPr>
          <w:rFonts w:ascii="Garamond" w:hAnsi="Garamond" w:cs="Calibri"/>
          <w:lang w:val="fr-FR"/>
        </w:rPr>
        <w:t xml:space="preserve">, d’être l’initiateur de la rencontre dans une sphère familière sans mettre à nu ni exposer la sphère intime du corps et/ou du logement. </w:t>
      </w:r>
    </w:p>
    <w:p w14:paraId="22E886DC" w14:textId="77777777" w:rsidR="00A93E4E" w:rsidRPr="00586FC2" w:rsidRDefault="00A93E4E" w:rsidP="00EB33AD">
      <w:pPr>
        <w:spacing w:line="360" w:lineRule="auto"/>
        <w:jc w:val="both"/>
        <w:rPr>
          <w:rFonts w:ascii="Garamond" w:hAnsi="Garamond" w:cs="Calibri"/>
          <w:lang w:val="fr-FR"/>
        </w:rPr>
      </w:pPr>
    </w:p>
    <w:p w14:paraId="64ACA2B1" w14:textId="77777777" w:rsidR="00A93E4E" w:rsidRPr="00586FC2" w:rsidRDefault="00A93E4E" w:rsidP="00EB33AD">
      <w:pPr>
        <w:pStyle w:val="Paragraphedeliste"/>
        <w:spacing w:line="360" w:lineRule="auto"/>
        <w:ind w:left="0"/>
        <w:jc w:val="both"/>
        <w:rPr>
          <w:rFonts w:ascii="Garamond" w:hAnsi="Garamond" w:cs="Calibri"/>
        </w:rPr>
      </w:pPr>
    </w:p>
    <w:p w14:paraId="48AC4106" w14:textId="77777777" w:rsidR="0049709D" w:rsidRPr="00586FC2" w:rsidRDefault="0049709D" w:rsidP="00EB33AD">
      <w:pPr>
        <w:pStyle w:val="Paragraphedeliste"/>
        <w:spacing w:line="360" w:lineRule="auto"/>
        <w:ind w:left="0"/>
        <w:jc w:val="both"/>
        <w:rPr>
          <w:rFonts w:ascii="Garamond" w:hAnsi="Garamond" w:cs="Calibri"/>
        </w:rPr>
      </w:pPr>
    </w:p>
    <w:p w14:paraId="0D4FF1D1" w14:textId="17FA17E8" w:rsidR="00586FC2" w:rsidRPr="002B7BBD" w:rsidRDefault="002B7BBD" w:rsidP="00EB33AD">
      <w:pPr>
        <w:spacing w:line="360" w:lineRule="auto"/>
        <w:jc w:val="both"/>
        <w:rPr>
          <w:rFonts w:ascii="Garamond" w:hAnsi="Garamond" w:cs="Calibri"/>
          <w:b/>
          <w:bCs/>
        </w:rPr>
      </w:pPr>
      <w:r w:rsidRPr="002B7BBD">
        <w:rPr>
          <w:rFonts w:ascii="Garamond" w:hAnsi="Garamond" w:cs="Calibri"/>
          <w:b/>
          <w:bCs/>
        </w:rPr>
        <w:t>Références bibliographiques</w:t>
      </w:r>
    </w:p>
    <w:p w14:paraId="25C48126" w14:textId="77777777" w:rsidR="00595144" w:rsidRPr="002B7BBD" w:rsidRDefault="00586FC2" w:rsidP="00595144">
      <w:pPr>
        <w:pStyle w:val="EndNoteBibliography"/>
        <w:ind w:left="720" w:hanging="720"/>
        <w:rPr>
          <w:rFonts w:ascii="Garamond" w:hAnsi="Garamond"/>
          <w:noProof/>
        </w:rPr>
      </w:pPr>
      <w:r>
        <w:rPr>
          <w:rFonts w:ascii="Garamond" w:hAnsi="Garamond"/>
        </w:rPr>
        <w:fldChar w:fldCharType="begin"/>
      </w:r>
      <w:r w:rsidRPr="009622B4">
        <w:rPr>
          <w:rFonts w:ascii="Garamond" w:hAnsi="Garamond"/>
          <w:lang w:val="fr-BE"/>
        </w:rPr>
        <w:instrText xml:space="preserve"> ADDIN EN.REFLIST </w:instrText>
      </w:r>
      <w:r>
        <w:rPr>
          <w:rFonts w:ascii="Garamond" w:hAnsi="Garamond"/>
        </w:rPr>
        <w:fldChar w:fldCharType="separate"/>
      </w:r>
      <w:r w:rsidR="00595144" w:rsidRPr="002B7BBD">
        <w:rPr>
          <w:rFonts w:ascii="Garamond" w:hAnsi="Garamond"/>
          <w:noProof/>
        </w:rPr>
        <w:t xml:space="preserve">Caradec, Vincent. «Les « supports » de l’individu vieillissant. Retour de la notion de « déprise »», dans </w:t>
      </w:r>
      <w:r w:rsidR="00595144" w:rsidRPr="002B7BBD">
        <w:rPr>
          <w:rFonts w:ascii="Garamond" w:hAnsi="Garamond"/>
          <w:i/>
          <w:noProof/>
        </w:rPr>
        <w:t>Matériaux pour une sociologie de l’individu : Perspectives et débats,</w:t>
      </w:r>
      <w:r w:rsidR="00595144" w:rsidRPr="002B7BBD">
        <w:rPr>
          <w:rFonts w:ascii="Garamond" w:hAnsi="Garamond"/>
          <w:noProof/>
        </w:rPr>
        <w:t xml:space="preserve"> Villeneuve d’Ascq, Presses universitaires du Septentrion, 2005, p. 25-42.</w:t>
      </w:r>
    </w:p>
    <w:p w14:paraId="30CE4672" w14:textId="77777777" w:rsidR="00595144" w:rsidRPr="002B7BBD" w:rsidRDefault="00595144" w:rsidP="00595144">
      <w:pPr>
        <w:pStyle w:val="EndNoteBibliography"/>
        <w:ind w:left="720" w:hanging="720"/>
        <w:rPr>
          <w:rFonts w:ascii="Garamond" w:hAnsi="Garamond"/>
          <w:noProof/>
        </w:rPr>
      </w:pPr>
      <w:r w:rsidRPr="002B7BBD">
        <w:rPr>
          <w:rFonts w:ascii="Garamond" w:hAnsi="Garamond"/>
          <w:noProof/>
        </w:rPr>
        <w:t xml:space="preserve">Caradec, Vincent. «Transitions du vieillissement et épreuve du grand âge», dans </w:t>
      </w:r>
      <w:r w:rsidRPr="002B7BBD">
        <w:rPr>
          <w:rFonts w:ascii="Garamond" w:hAnsi="Garamond"/>
          <w:i/>
          <w:noProof/>
        </w:rPr>
        <w:t>Vieillesses et vieillissements. Regards sociologiques,</w:t>
      </w:r>
      <w:r w:rsidRPr="002B7BBD">
        <w:rPr>
          <w:rFonts w:ascii="Garamond" w:hAnsi="Garamond"/>
          <w:noProof/>
        </w:rPr>
        <w:t xml:space="preserve"> Rennes, Presses universitaires de Rennes, 2014, p. 273-288.</w:t>
      </w:r>
    </w:p>
    <w:p w14:paraId="498016F6" w14:textId="21F5F6C2" w:rsidR="00595144" w:rsidRPr="002B7BBD" w:rsidRDefault="00595144" w:rsidP="00595144">
      <w:pPr>
        <w:pStyle w:val="EndNoteBibliography"/>
        <w:ind w:left="720" w:hanging="720"/>
        <w:rPr>
          <w:rFonts w:ascii="Garamond" w:hAnsi="Garamond"/>
          <w:noProof/>
        </w:rPr>
      </w:pPr>
      <w:r w:rsidRPr="002B7BBD">
        <w:rPr>
          <w:rFonts w:ascii="Garamond" w:hAnsi="Garamond"/>
          <w:noProof/>
        </w:rPr>
        <w:t xml:space="preserve">Courbebaisse, A. </w:t>
      </w:r>
      <w:r w:rsidRPr="002B7BBD">
        <w:rPr>
          <w:rFonts w:ascii="Garamond" w:hAnsi="Garamond"/>
          <w:i/>
          <w:noProof/>
        </w:rPr>
        <w:t>Toulouse, le sens caché des grands ensembles</w:t>
      </w:r>
      <w:r w:rsidRPr="002B7BBD">
        <w:rPr>
          <w:rFonts w:ascii="Garamond" w:hAnsi="Garamond"/>
          <w:noProof/>
        </w:rPr>
        <w:t xml:space="preserve">, Presses universitaires du Midi, 2017. En ligne au &lt; </w:t>
      </w:r>
      <w:hyperlink r:id="rId7" w:history="1">
        <w:r w:rsidRPr="002B7BBD">
          <w:rPr>
            <w:rStyle w:val="Lienhypertexte"/>
            <w:rFonts w:ascii="Garamond" w:hAnsi="Garamond"/>
            <w:noProof/>
          </w:rPr>
          <w:t>https://books.google.be/books?id=pbMutAEACAAJ</w:t>
        </w:r>
      </w:hyperlink>
      <w:r w:rsidRPr="002B7BBD">
        <w:rPr>
          <w:rFonts w:ascii="Garamond" w:hAnsi="Garamond"/>
          <w:noProof/>
        </w:rPr>
        <w:t xml:space="preserve"> &gt;.</w:t>
      </w:r>
    </w:p>
    <w:p w14:paraId="128B8834" w14:textId="35BD9735" w:rsidR="00595144" w:rsidRPr="002B7BBD" w:rsidRDefault="00595144" w:rsidP="00595144">
      <w:pPr>
        <w:pStyle w:val="EndNoteBibliography"/>
        <w:ind w:left="720" w:hanging="720"/>
        <w:rPr>
          <w:rFonts w:ascii="Garamond" w:hAnsi="Garamond"/>
          <w:noProof/>
        </w:rPr>
      </w:pPr>
      <w:r w:rsidRPr="002B7BBD">
        <w:rPr>
          <w:rFonts w:ascii="Garamond" w:hAnsi="Garamond"/>
          <w:noProof/>
        </w:rPr>
        <w:t xml:space="preserve">Courbebaisse, Audrey. «Appropriations habitantes dans les espaces intermédiaires des grands ensembles toulousains», </w:t>
      </w:r>
      <w:r w:rsidRPr="002B7BBD">
        <w:rPr>
          <w:rFonts w:ascii="Garamond" w:hAnsi="Garamond"/>
          <w:i/>
          <w:noProof/>
        </w:rPr>
        <w:t>Projets de paysage,</w:t>
      </w:r>
      <w:r w:rsidRPr="002B7BBD">
        <w:rPr>
          <w:rFonts w:ascii="Garamond" w:hAnsi="Garamond"/>
          <w:noProof/>
        </w:rPr>
        <w:t xml:space="preserve"> vol. 24, 2021. En ligne au &lt; </w:t>
      </w:r>
      <w:hyperlink r:id="rId8" w:history="1">
        <w:r w:rsidRPr="002B7BBD">
          <w:rPr>
            <w:rStyle w:val="Lienhypertexte"/>
            <w:rFonts w:ascii="Garamond" w:hAnsi="Garamond"/>
            <w:noProof/>
          </w:rPr>
          <w:t>http://journals.openedition.org/paysage/19680</w:t>
        </w:r>
      </w:hyperlink>
      <w:r w:rsidRPr="002B7BBD">
        <w:rPr>
          <w:rFonts w:ascii="Garamond" w:hAnsi="Garamond"/>
          <w:noProof/>
        </w:rPr>
        <w:t xml:space="preserve"> &gt;.</w:t>
      </w:r>
    </w:p>
    <w:p w14:paraId="0BFC0829" w14:textId="56E44564" w:rsidR="00595144" w:rsidRPr="002B7BBD" w:rsidRDefault="00595144" w:rsidP="00595144">
      <w:pPr>
        <w:pStyle w:val="EndNoteBibliography"/>
        <w:ind w:left="720" w:hanging="720"/>
        <w:rPr>
          <w:rFonts w:ascii="Garamond" w:hAnsi="Garamond"/>
          <w:noProof/>
        </w:rPr>
      </w:pPr>
      <w:r w:rsidRPr="002B7BBD">
        <w:rPr>
          <w:rFonts w:ascii="Garamond" w:hAnsi="Garamond"/>
          <w:noProof/>
        </w:rPr>
        <w:t xml:space="preserve">Courbebaisse, Audrey. «Les grands ensembles, supports au vieillissement ? Études de cas à Toulouse et Bruxelles», </w:t>
      </w:r>
      <w:r w:rsidRPr="002B7BBD">
        <w:rPr>
          <w:rFonts w:ascii="Garamond" w:hAnsi="Garamond"/>
          <w:i/>
          <w:noProof/>
        </w:rPr>
        <w:t>Gérontologie et société,</w:t>
      </w:r>
      <w:r w:rsidRPr="002B7BBD">
        <w:rPr>
          <w:rFonts w:ascii="Garamond" w:hAnsi="Garamond"/>
          <w:noProof/>
        </w:rPr>
        <w:t xml:space="preserve"> vol. 45, n° 2, 2023, p. 19-44. En ligne au &lt; </w:t>
      </w:r>
      <w:hyperlink r:id="rId9" w:history="1">
        <w:r w:rsidRPr="002B7BBD">
          <w:rPr>
            <w:rStyle w:val="Lienhypertexte"/>
            <w:rFonts w:ascii="Garamond" w:hAnsi="Garamond"/>
            <w:noProof/>
          </w:rPr>
          <w:t>https://www.cairn.info/revue-gerontologie-et-societe-2023-2-page-19.htm</w:t>
        </w:r>
      </w:hyperlink>
    </w:p>
    <w:p w14:paraId="2E218174" w14:textId="4C67B663" w:rsidR="00595144" w:rsidRPr="002B7BBD" w:rsidRDefault="00595144" w:rsidP="00595144">
      <w:pPr>
        <w:pStyle w:val="EndNoteBibliography"/>
        <w:ind w:left="720" w:hanging="720"/>
        <w:rPr>
          <w:rFonts w:ascii="Garamond" w:hAnsi="Garamond"/>
          <w:noProof/>
        </w:rPr>
      </w:pPr>
      <w:hyperlink r:id="rId10" w:history="1">
        <w:r w:rsidRPr="002B7BBD">
          <w:rPr>
            <w:rStyle w:val="Lienhypertexte"/>
            <w:rFonts w:ascii="Garamond" w:hAnsi="Garamond"/>
            <w:noProof/>
          </w:rPr>
          <w:t>https://www.cairn.info/load_pdf.php?ID_ARTICLE=GS1_171_0019</w:t>
        </w:r>
      </w:hyperlink>
      <w:r w:rsidRPr="002B7BBD">
        <w:rPr>
          <w:rFonts w:ascii="Garamond" w:hAnsi="Garamond"/>
          <w:noProof/>
        </w:rPr>
        <w:t xml:space="preserve"> &gt;.</w:t>
      </w:r>
    </w:p>
    <w:p w14:paraId="35BB3B47" w14:textId="46DE2792" w:rsidR="00595144" w:rsidRPr="002B7BBD" w:rsidRDefault="00595144" w:rsidP="00595144">
      <w:pPr>
        <w:pStyle w:val="EndNoteBibliography"/>
        <w:ind w:left="720" w:hanging="720"/>
        <w:rPr>
          <w:rFonts w:ascii="Garamond" w:hAnsi="Garamond"/>
          <w:noProof/>
        </w:rPr>
      </w:pPr>
      <w:r w:rsidRPr="002B7BBD">
        <w:rPr>
          <w:rFonts w:ascii="Garamond" w:hAnsi="Garamond"/>
          <w:noProof/>
        </w:rPr>
        <w:t xml:space="preserve">Désveaux, E. et M. de Fornel. </w:t>
      </w:r>
      <w:r w:rsidRPr="002B7BBD">
        <w:rPr>
          <w:rFonts w:ascii="Garamond" w:hAnsi="Garamond"/>
          <w:i/>
          <w:noProof/>
        </w:rPr>
        <w:t>Faire des sciences sociales. Généraliser</w:t>
      </w:r>
      <w:r w:rsidRPr="002B7BBD">
        <w:rPr>
          <w:rFonts w:ascii="Garamond" w:hAnsi="Garamond"/>
          <w:noProof/>
        </w:rPr>
        <w:t xml:space="preserve">, Éditions de l’École des hautes études en sciences sociales, 2015. En ligne au &lt; </w:t>
      </w:r>
      <w:hyperlink r:id="rId11" w:history="1">
        <w:r w:rsidRPr="002B7BBD">
          <w:rPr>
            <w:rStyle w:val="Lienhypertexte"/>
            <w:rFonts w:ascii="Garamond" w:hAnsi="Garamond"/>
            <w:noProof/>
          </w:rPr>
          <w:t>https://books.google.be/books?id=mgMRCwAAQBAJ</w:t>
        </w:r>
      </w:hyperlink>
      <w:r w:rsidRPr="002B7BBD">
        <w:rPr>
          <w:rFonts w:ascii="Garamond" w:hAnsi="Garamond"/>
          <w:noProof/>
        </w:rPr>
        <w:t xml:space="preserve"> &gt;.</w:t>
      </w:r>
    </w:p>
    <w:p w14:paraId="5CE32A82" w14:textId="17324083" w:rsidR="00595144" w:rsidRPr="002B7BBD" w:rsidRDefault="00595144" w:rsidP="00595144">
      <w:pPr>
        <w:pStyle w:val="EndNoteBibliography"/>
        <w:ind w:left="720" w:hanging="720"/>
        <w:rPr>
          <w:rFonts w:ascii="Garamond" w:hAnsi="Garamond"/>
          <w:noProof/>
        </w:rPr>
      </w:pPr>
      <w:r w:rsidRPr="002B7BBD">
        <w:rPr>
          <w:rFonts w:ascii="Garamond" w:hAnsi="Garamond"/>
          <w:noProof/>
        </w:rPr>
        <w:t xml:space="preserve">Dufaux, F., A. Fourcaut et P. Chemetov. </w:t>
      </w:r>
      <w:r w:rsidRPr="002B7BBD">
        <w:rPr>
          <w:rFonts w:ascii="Garamond" w:hAnsi="Garamond"/>
          <w:i/>
          <w:noProof/>
        </w:rPr>
        <w:t>Le monde des grands ensembles</w:t>
      </w:r>
      <w:r w:rsidRPr="002B7BBD">
        <w:rPr>
          <w:rFonts w:ascii="Garamond" w:hAnsi="Garamond"/>
          <w:noProof/>
        </w:rPr>
        <w:t xml:space="preserve">, Créaphis, 2004. En ligne au &lt; </w:t>
      </w:r>
      <w:hyperlink r:id="rId12" w:history="1">
        <w:r w:rsidRPr="002B7BBD">
          <w:rPr>
            <w:rStyle w:val="Lienhypertexte"/>
            <w:rFonts w:ascii="Garamond" w:hAnsi="Garamond"/>
            <w:noProof/>
          </w:rPr>
          <w:t>https://books.google.be/books?id=ycTdwPXkhsQC</w:t>
        </w:r>
      </w:hyperlink>
      <w:r w:rsidRPr="002B7BBD">
        <w:rPr>
          <w:rFonts w:ascii="Garamond" w:hAnsi="Garamond"/>
          <w:noProof/>
        </w:rPr>
        <w:t xml:space="preserve"> &gt;.</w:t>
      </w:r>
    </w:p>
    <w:p w14:paraId="5828A83A" w14:textId="77777777" w:rsidR="00595144" w:rsidRPr="002B7BBD" w:rsidRDefault="00595144" w:rsidP="00595144">
      <w:pPr>
        <w:pStyle w:val="EndNoteBibliography"/>
        <w:ind w:left="720" w:hanging="720"/>
        <w:rPr>
          <w:rFonts w:ascii="Garamond" w:hAnsi="Garamond"/>
          <w:noProof/>
        </w:rPr>
      </w:pPr>
      <w:r w:rsidRPr="002B7BBD">
        <w:rPr>
          <w:rFonts w:ascii="Garamond" w:hAnsi="Garamond"/>
          <w:noProof/>
        </w:rPr>
        <w:t xml:space="preserve">Garzon, Perla Serfaty. «Temporalités intimes : le chez soi de la vieillesse», </w:t>
      </w:r>
      <w:r w:rsidRPr="002B7BBD">
        <w:rPr>
          <w:rFonts w:ascii="Garamond" w:hAnsi="Garamond"/>
          <w:i/>
          <w:noProof/>
        </w:rPr>
        <w:t>Enfances, Familles, Générations,</w:t>
      </w:r>
      <w:r w:rsidRPr="002B7BBD">
        <w:rPr>
          <w:rFonts w:ascii="Garamond" w:hAnsi="Garamond"/>
          <w:noProof/>
        </w:rPr>
        <w:t xml:space="preserve"> vol. 13, 2010, p. 36-58.</w:t>
      </w:r>
    </w:p>
    <w:p w14:paraId="382529CF" w14:textId="293C6DD1" w:rsidR="00595144" w:rsidRPr="002B7BBD" w:rsidRDefault="00595144" w:rsidP="00595144">
      <w:pPr>
        <w:pStyle w:val="EndNoteBibliography"/>
        <w:ind w:left="720" w:hanging="720"/>
        <w:rPr>
          <w:rFonts w:ascii="Garamond" w:hAnsi="Garamond"/>
          <w:noProof/>
        </w:rPr>
      </w:pPr>
      <w:r w:rsidRPr="002B7BBD">
        <w:rPr>
          <w:rFonts w:ascii="Garamond" w:hAnsi="Garamond"/>
          <w:noProof/>
        </w:rPr>
        <w:t xml:space="preserve">Hall, E.T. et A. Petita. </w:t>
      </w:r>
      <w:r w:rsidRPr="002B7BBD">
        <w:rPr>
          <w:rFonts w:ascii="Garamond" w:hAnsi="Garamond"/>
          <w:i/>
          <w:noProof/>
        </w:rPr>
        <w:t>La dimension cachée</w:t>
      </w:r>
      <w:r w:rsidRPr="002B7BBD">
        <w:rPr>
          <w:rFonts w:ascii="Garamond" w:hAnsi="Garamond"/>
          <w:noProof/>
        </w:rPr>
        <w:t xml:space="preserve">, Éditions Points, 2014. En ligne au &lt; </w:t>
      </w:r>
      <w:hyperlink r:id="rId13" w:history="1">
        <w:r w:rsidRPr="002B7BBD">
          <w:rPr>
            <w:rStyle w:val="Lienhypertexte"/>
            <w:rFonts w:ascii="Garamond" w:hAnsi="Garamond"/>
            <w:noProof/>
          </w:rPr>
          <w:t>https://books.google.be/books?id=hT-CoAEACAAJ</w:t>
        </w:r>
      </w:hyperlink>
      <w:r w:rsidRPr="002B7BBD">
        <w:rPr>
          <w:rFonts w:ascii="Garamond" w:hAnsi="Garamond"/>
          <w:noProof/>
        </w:rPr>
        <w:t xml:space="preserve"> &gt;.</w:t>
      </w:r>
    </w:p>
    <w:p w14:paraId="077B46F6" w14:textId="192F8939" w:rsidR="00595144" w:rsidRPr="002B7BBD" w:rsidRDefault="00595144" w:rsidP="00595144">
      <w:pPr>
        <w:pStyle w:val="EndNoteBibliography"/>
        <w:ind w:left="720" w:hanging="720"/>
        <w:rPr>
          <w:rFonts w:ascii="Garamond" w:hAnsi="Garamond"/>
          <w:noProof/>
        </w:rPr>
      </w:pPr>
      <w:r w:rsidRPr="002B7BBD">
        <w:rPr>
          <w:rFonts w:ascii="Garamond" w:hAnsi="Garamond"/>
          <w:noProof/>
        </w:rPr>
        <w:t xml:space="preserve">Martuccelli, D. </w:t>
      </w:r>
      <w:r w:rsidRPr="002B7BBD">
        <w:rPr>
          <w:rFonts w:ascii="Garamond" w:hAnsi="Garamond"/>
          <w:i/>
          <w:noProof/>
        </w:rPr>
        <w:t>Grammaires de l'individu</w:t>
      </w:r>
      <w:r w:rsidRPr="002B7BBD">
        <w:rPr>
          <w:rFonts w:ascii="Garamond" w:hAnsi="Garamond"/>
          <w:noProof/>
        </w:rPr>
        <w:t xml:space="preserve">, Paris, Gallimard, 2002. En ligne au &lt; </w:t>
      </w:r>
      <w:hyperlink r:id="rId14" w:history="1">
        <w:r w:rsidRPr="002B7BBD">
          <w:rPr>
            <w:rStyle w:val="Lienhypertexte"/>
            <w:rFonts w:ascii="Garamond" w:hAnsi="Garamond"/>
            <w:noProof/>
          </w:rPr>
          <w:t>https://books.google.be/books?id=MlPfPAAACAAJ</w:t>
        </w:r>
      </w:hyperlink>
      <w:r w:rsidRPr="002B7BBD">
        <w:rPr>
          <w:rFonts w:ascii="Garamond" w:hAnsi="Garamond"/>
          <w:noProof/>
        </w:rPr>
        <w:t xml:space="preserve"> &gt;.</w:t>
      </w:r>
    </w:p>
    <w:p w14:paraId="3ABCE499" w14:textId="77777777" w:rsidR="00595144" w:rsidRPr="002B7BBD" w:rsidRDefault="00595144" w:rsidP="00595144">
      <w:pPr>
        <w:pStyle w:val="EndNoteBibliography"/>
        <w:ind w:left="720" w:hanging="720"/>
        <w:rPr>
          <w:rFonts w:ascii="Garamond" w:hAnsi="Garamond"/>
          <w:noProof/>
        </w:rPr>
      </w:pPr>
      <w:r w:rsidRPr="002B7BBD">
        <w:rPr>
          <w:rFonts w:ascii="Garamond" w:hAnsi="Garamond"/>
          <w:noProof/>
        </w:rPr>
        <w:t xml:space="preserve">Morval, Jean. «L’appropriation et la désappropriation de l’espace chez la personne âgée», dans Presses universitaires de France (dir.), </w:t>
      </w:r>
      <w:r w:rsidRPr="002B7BBD">
        <w:rPr>
          <w:rFonts w:ascii="Garamond" w:hAnsi="Garamond"/>
          <w:i/>
          <w:noProof/>
        </w:rPr>
        <w:t>Penser l’espace pour lire la vieillesse,</w:t>
      </w:r>
      <w:r w:rsidRPr="002B7BBD">
        <w:rPr>
          <w:rFonts w:ascii="Garamond" w:hAnsi="Garamond"/>
          <w:noProof/>
        </w:rPr>
        <w:t xml:space="preserve"> Paris, 2006, p. 51-69.</w:t>
      </w:r>
    </w:p>
    <w:p w14:paraId="4860BE21" w14:textId="77D021E1" w:rsidR="00595144" w:rsidRPr="002B7BBD" w:rsidRDefault="00595144" w:rsidP="00595144">
      <w:pPr>
        <w:pStyle w:val="EndNoteBibliography"/>
        <w:ind w:left="720" w:hanging="720"/>
        <w:rPr>
          <w:rFonts w:ascii="Garamond" w:hAnsi="Garamond"/>
          <w:noProof/>
        </w:rPr>
      </w:pPr>
      <w:r w:rsidRPr="002B7BBD">
        <w:rPr>
          <w:rFonts w:ascii="Garamond" w:hAnsi="Garamond"/>
          <w:noProof/>
        </w:rPr>
        <w:t xml:space="preserve">Olivier Masson, Damien Vanneste. Habitat et vieillissement. Inventaire des formes de logements qui supportent l’interdépendance., édité par a.s.b.l. Qualidom UCLouvain, Fondation Roi Baudoin, 2016. En ligne au &lt; </w:t>
      </w:r>
      <w:hyperlink r:id="rId15" w:history="1">
        <w:r w:rsidRPr="002B7BBD">
          <w:rPr>
            <w:rStyle w:val="Lienhypertexte"/>
            <w:rFonts w:ascii="Garamond" w:hAnsi="Garamond"/>
            <w:noProof/>
          </w:rPr>
          <w:t>http://halage</w:t>
        </w:r>
      </w:hyperlink>
      <w:r w:rsidRPr="002B7BBD">
        <w:rPr>
          <w:rFonts w:ascii="Garamond" w:hAnsi="Garamond"/>
          <w:noProof/>
        </w:rPr>
        <w:t>.</w:t>
      </w:r>
    </w:p>
    <w:p w14:paraId="155716D5" w14:textId="77777777" w:rsidR="00595144" w:rsidRPr="002B7BBD" w:rsidRDefault="00595144" w:rsidP="00595144">
      <w:pPr>
        <w:pStyle w:val="EndNoteBibliography"/>
        <w:ind w:left="720" w:hanging="720"/>
        <w:rPr>
          <w:rFonts w:ascii="Garamond" w:hAnsi="Garamond"/>
          <w:noProof/>
        </w:rPr>
      </w:pPr>
      <w:r w:rsidRPr="002B7BBD">
        <w:rPr>
          <w:rFonts w:ascii="Garamond" w:hAnsi="Garamond"/>
          <w:noProof/>
        </w:rPr>
        <w:t>info/wp-content/uploads/2019/01/habitat-et-vieillissement.pdf &gt;.</w:t>
      </w:r>
    </w:p>
    <w:p w14:paraId="6A25EE80" w14:textId="426AC6BD" w:rsidR="00512F48" w:rsidRPr="00586FC2" w:rsidRDefault="00586FC2" w:rsidP="00EB33AD">
      <w:pPr>
        <w:spacing w:line="360" w:lineRule="auto"/>
        <w:jc w:val="both"/>
        <w:rPr>
          <w:rFonts w:ascii="Garamond" w:hAnsi="Garamond" w:cs="Calibri"/>
        </w:rPr>
      </w:pPr>
      <w:r>
        <w:rPr>
          <w:rFonts w:ascii="Garamond" w:hAnsi="Garamond" w:cs="Calibri"/>
        </w:rPr>
        <w:fldChar w:fldCharType="end"/>
      </w:r>
    </w:p>
    <w:sectPr w:rsidR="00512F48" w:rsidRPr="00586FC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884B0" w14:textId="77777777" w:rsidR="00931EB7" w:rsidRDefault="00931EB7" w:rsidP="000109C7">
      <w:r>
        <w:separator/>
      </w:r>
    </w:p>
  </w:endnote>
  <w:endnote w:type="continuationSeparator" w:id="0">
    <w:p w14:paraId="33AD2DC3" w14:textId="77777777" w:rsidR="00931EB7" w:rsidRDefault="00931EB7" w:rsidP="00010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N">
    <w:altName w:val="Calibri"/>
    <w:panose1 w:val="020B0604020202020204"/>
    <w:charset w:val="00"/>
    <w:family w:val="modern"/>
    <w:notTrueType/>
    <w:pitch w:val="variable"/>
    <w:sig w:usb0="00000003" w:usb1="00000000" w:usb2="00000000" w:usb3="00000000" w:csb0="00000001" w:csb1="00000000"/>
  </w:font>
  <w:font w:name="DIN Black">
    <w:altName w:val="Calibri"/>
    <w:panose1 w:val="020B0604020202020204"/>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7FA11" w14:textId="77777777" w:rsidR="00931EB7" w:rsidRDefault="00931EB7" w:rsidP="000109C7">
      <w:r>
        <w:separator/>
      </w:r>
    </w:p>
  </w:footnote>
  <w:footnote w:type="continuationSeparator" w:id="0">
    <w:p w14:paraId="22137B75" w14:textId="77777777" w:rsidR="00931EB7" w:rsidRDefault="00931EB7" w:rsidP="000109C7">
      <w:r>
        <w:continuationSeparator/>
      </w:r>
    </w:p>
  </w:footnote>
  <w:footnote w:id="1">
    <w:p w14:paraId="5976FB6B" w14:textId="77777777" w:rsidR="00FB0F56" w:rsidRPr="008B32BF" w:rsidRDefault="00FB0F56" w:rsidP="008B32BF">
      <w:pPr>
        <w:pStyle w:val="Notedebasdepage"/>
        <w:rPr>
          <w:rFonts w:ascii="Garamond" w:hAnsi="Garamond"/>
        </w:rPr>
      </w:pPr>
      <w:r w:rsidRPr="008B32BF">
        <w:rPr>
          <w:rStyle w:val="Appelnotedebasdep"/>
          <w:rFonts w:ascii="Garamond" w:hAnsi="Garamond"/>
        </w:rPr>
        <w:footnoteRef/>
      </w:r>
      <w:r w:rsidRPr="008B32BF">
        <w:rPr>
          <w:rFonts w:ascii="Garamond" w:hAnsi="Garamond"/>
        </w:rPr>
        <w:t xml:space="preserve"> Terrains réalisés dans le cadre de deux programmes de recherches différents, de 2016 à 2019 à l’ENSA Toulouse et de 2020 à 2023 à l’</w:t>
      </w:r>
      <w:proofErr w:type="spellStart"/>
      <w:r w:rsidRPr="008B32BF">
        <w:rPr>
          <w:rFonts w:ascii="Garamond" w:hAnsi="Garamond"/>
        </w:rPr>
        <w:t>UCLouvain</w:t>
      </w:r>
      <w:proofErr w:type="spellEnd"/>
    </w:p>
  </w:footnote>
  <w:footnote w:id="2">
    <w:p w14:paraId="283616A4" w14:textId="78A71118" w:rsidR="0083032D" w:rsidRPr="008B32BF" w:rsidRDefault="0083032D" w:rsidP="008B32BF">
      <w:pPr>
        <w:pStyle w:val="Notedebasdepage"/>
        <w:rPr>
          <w:rFonts w:ascii="Garamond" w:hAnsi="Garamond"/>
        </w:rPr>
      </w:pPr>
      <w:r w:rsidRPr="008B32BF">
        <w:rPr>
          <w:rStyle w:val="Appelnotedebasdep"/>
          <w:rFonts w:ascii="Garamond" w:hAnsi="Garamond"/>
        </w:rPr>
        <w:footnoteRef/>
      </w:r>
      <w:r w:rsidRPr="008B32BF">
        <w:rPr>
          <w:rFonts w:ascii="Garamond" w:hAnsi="Garamond"/>
        </w:rPr>
        <w:t xml:space="preserve"> </w:t>
      </w:r>
      <w:r w:rsidRPr="008B32BF">
        <w:rPr>
          <w:rFonts w:ascii="Garamond" w:hAnsi="Garamond"/>
        </w:rPr>
        <w:fldChar w:fldCharType="begin"/>
      </w:r>
      <w:r w:rsidR="00E9432D" w:rsidRPr="008B32BF">
        <w:rPr>
          <w:rFonts w:ascii="Garamond" w:hAnsi="Garamond"/>
        </w:rPr>
        <w:instrText xml:space="preserve"> ADDIN EN.CITE &lt;EndNote&gt;&lt;Cite&gt;&lt;Author&gt;Garzon&lt;/Author&gt;&lt;Year&gt;2010&lt;/Year&gt;&lt;RecNum&gt;9&lt;/RecNum&gt;&lt;DisplayText&gt;Perla Serfaty Garzon. «Temporalités intimes : le chez soi de la vieillesse», &lt;style face="italic"&gt;Enfances, Familles, Générations,&lt;/style&gt; vol. 13, 2010, p. 36-58.&lt;/DisplayText&gt;&lt;record&gt;&lt;rec-number&gt;9&lt;/rec-number&gt;&lt;foreign-keys&gt;&lt;key app="EN" db-id="2wx00x0p8t5t25e9df6pfrv4zzvpvpwsfv0f" timestamp="1685001186"&gt;9&lt;/key&gt;&lt;/foreign-keys&gt;&lt;ref-type name="Journal Article"&gt;17&lt;/ref-type&gt;&lt;contributors&gt;&lt;authors&gt;&lt;author&gt;Perla Serfaty Garzon&lt;/author&gt;&lt;/authors&gt;&lt;/contributors&gt;&lt;titles&gt;&lt;title&gt;Temporalités intimes : le chez soi de la vieillesse&lt;/title&gt;&lt;secondary-title&gt;Enfances, Familles, Générations&lt;/secondary-title&gt;&lt;/titles&gt;&lt;periodical&gt;&lt;full-title&gt;Enfances, Familles, Générations&lt;/full-title&gt;&lt;/periodical&gt;&lt;pages&gt;36-58&lt;/pages&gt;&lt;volume&gt;13&lt;/volume&gt;&lt;dates&gt;&lt;year&gt;2010&lt;/year&gt;&lt;/dates&gt;&lt;urls&gt;&lt;/urls&gt;&lt;/record&gt;&lt;/Cite&gt;&lt;/EndNote&gt;</w:instrText>
      </w:r>
      <w:r w:rsidRPr="008B32BF">
        <w:rPr>
          <w:rFonts w:ascii="Garamond" w:hAnsi="Garamond"/>
        </w:rPr>
        <w:fldChar w:fldCharType="separate"/>
      </w:r>
      <w:r w:rsidR="00E9432D" w:rsidRPr="008B32BF">
        <w:rPr>
          <w:rFonts w:ascii="Garamond" w:hAnsi="Garamond"/>
          <w:noProof/>
        </w:rPr>
        <w:t xml:space="preserve">Perla Serfaty Garzon. «Temporalités intimes : le chez soi de la vieillesse», </w:t>
      </w:r>
      <w:r w:rsidR="00E9432D" w:rsidRPr="008B32BF">
        <w:rPr>
          <w:rFonts w:ascii="Garamond" w:hAnsi="Garamond"/>
          <w:i/>
          <w:noProof/>
        </w:rPr>
        <w:t>Enfances, Familles, Générations,</w:t>
      </w:r>
      <w:r w:rsidR="00E9432D" w:rsidRPr="008B32BF">
        <w:rPr>
          <w:rFonts w:ascii="Garamond" w:hAnsi="Garamond"/>
          <w:noProof/>
        </w:rPr>
        <w:t xml:space="preserve"> vol. 13, 2010, p. 36-58.</w:t>
      </w:r>
      <w:r w:rsidRPr="008B32BF">
        <w:rPr>
          <w:rFonts w:ascii="Garamond" w:hAnsi="Garamond"/>
        </w:rPr>
        <w:fldChar w:fldCharType="end"/>
      </w:r>
    </w:p>
  </w:footnote>
  <w:footnote w:id="3">
    <w:p w14:paraId="11032C21" w14:textId="49985195" w:rsidR="008B32BF" w:rsidRPr="008B32BF" w:rsidRDefault="008B32BF" w:rsidP="008B32BF">
      <w:pPr>
        <w:jc w:val="both"/>
        <w:rPr>
          <w:rFonts w:ascii="Garamond" w:hAnsi="Garamond" w:cs="Calibri"/>
          <w:sz w:val="20"/>
          <w:szCs w:val="20"/>
        </w:rPr>
      </w:pPr>
      <w:r w:rsidRPr="008B32BF">
        <w:rPr>
          <w:rStyle w:val="Appelnotedebasdep"/>
          <w:rFonts w:ascii="Garamond" w:hAnsi="Garamond"/>
          <w:sz w:val="20"/>
          <w:szCs w:val="20"/>
        </w:rPr>
        <w:footnoteRef/>
      </w:r>
      <w:r w:rsidRPr="008B32BF">
        <w:rPr>
          <w:rFonts w:ascii="Garamond" w:hAnsi="Garamond"/>
          <w:sz w:val="20"/>
          <w:szCs w:val="20"/>
        </w:rPr>
        <w:t xml:space="preserve"> </w:t>
      </w:r>
      <w:r w:rsidRPr="008B32BF">
        <w:rPr>
          <w:rFonts w:ascii="Garamond" w:hAnsi="Garamond" w:cs="Calibri"/>
          <w:sz w:val="20"/>
          <w:szCs w:val="20"/>
        </w:rPr>
        <w:t>A Ancely, c’est l’association REVA, Rester Vivre à Ancely, qui a pour but de « </w:t>
      </w:r>
      <w:r w:rsidRPr="008B32BF">
        <w:rPr>
          <w:rFonts w:ascii="Garamond" w:hAnsi="Garamond" w:cs="Calibri"/>
          <w:i/>
          <w:iCs/>
          <w:sz w:val="20"/>
          <w:szCs w:val="20"/>
        </w:rPr>
        <w:t>permettre aux gens de rester vivre à̀ domicile, le plus longtemps possible et dans les meilleures conditions</w:t>
      </w:r>
      <w:r w:rsidRPr="008B32BF">
        <w:rPr>
          <w:rFonts w:ascii="Garamond" w:hAnsi="Garamond" w:cs="Calibri"/>
          <w:sz w:val="20"/>
          <w:szCs w:val="20"/>
        </w:rPr>
        <w:t> » qui</w:t>
      </w:r>
      <w:r>
        <w:rPr>
          <w:rFonts w:ascii="Garamond" w:hAnsi="Garamond" w:cs="Calibri"/>
          <w:sz w:val="20"/>
          <w:szCs w:val="20"/>
        </w:rPr>
        <w:t xml:space="preserve"> </w:t>
      </w:r>
      <w:r w:rsidRPr="008B32BF">
        <w:rPr>
          <w:rFonts w:ascii="Garamond" w:hAnsi="Garamond" w:cs="Calibri"/>
          <w:sz w:val="20"/>
          <w:szCs w:val="20"/>
        </w:rPr>
        <w:t>est l’initiatrice</w:t>
      </w:r>
      <w:r>
        <w:rPr>
          <w:rFonts w:ascii="Garamond" w:hAnsi="Garamond" w:cs="Calibri"/>
          <w:sz w:val="20"/>
          <w:szCs w:val="20"/>
        </w:rPr>
        <w:t xml:space="preserve"> du restaurant sénior.</w:t>
      </w:r>
    </w:p>
    <w:p w14:paraId="41C0A895" w14:textId="3BE9FC19" w:rsidR="008B32BF" w:rsidRPr="008B32BF" w:rsidRDefault="008B32BF" w:rsidP="008B32BF">
      <w:pPr>
        <w:jc w:val="both"/>
        <w:rPr>
          <w:rFonts w:ascii="Garamond" w:hAnsi="Garamond" w:cs="Calibri"/>
          <w:sz w:val="20"/>
          <w:szCs w:val="20"/>
        </w:rPr>
      </w:pPr>
      <w:r w:rsidRPr="008B32BF">
        <w:rPr>
          <w:rFonts w:ascii="Garamond" w:hAnsi="Garamond" w:cs="Calibri"/>
          <w:sz w:val="20"/>
          <w:szCs w:val="20"/>
        </w:rPr>
        <w:t xml:space="preserve">REVA compte aujourd’hui près d’une centaine d’adhérents. Parmi ses initiatives, on compte la création d’un point information séniors, des après-midis autour d’un goûter et d’un film, d’un service d’aide à la personne, et </w:t>
      </w:r>
      <w:r>
        <w:rPr>
          <w:rFonts w:ascii="Garamond" w:hAnsi="Garamond" w:cs="Calibri"/>
          <w:sz w:val="20"/>
          <w:szCs w:val="20"/>
        </w:rPr>
        <w:t>du</w:t>
      </w:r>
      <w:r w:rsidRPr="008B32BF">
        <w:rPr>
          <w:rFonts w:ascii="Garamond" w:hAnsi="Garamond" w:cs="Calibri"/>
          <w:sz w:val="20"/>
          <w:szCs w:val="20"/>
        </w:rPr>
        <w:t xml:space="preserve"> restaurant sénior. Équipé et géré par la ville de Toulouse, ce dernier accueille chaque jour une vingtaine d’habitants d’Ancely et du quartier.</w:t>
      </w:r>
    </w:p>
    <w:p w14:paraId="73FE6569" w14:textId="1710379F" w:rsidR="008B32BF" w:rsidRPr="008B32BF" w:rsidRDefault="008B32BF" w:rsidP="008B32BF">
      <w:pPr>
        <w:pStyle w:val="Notedebasdepage"/>
        <w:rPr>
          <w:rFonts w:ascii="Garamond" w:hAnsi="Garamond"/>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67E1A"/>
    <w:multiLevelType w:val="hybridMultilevel"/>
    <w:tmpl w:val="1682C3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97B2A98"/>
    <w:multiLevelType w:val="hybridMultilevel"/>
    <w:tmpl w:val="96B2C8AE"/>
    <w:lvl w:ilvl="0" w:tplc="46C68E54">
      <w:start w:val="2"/>
      <w:numFmt w:val="bullet"/>
      <w:lvlText w:val="-"/>
      <w:lvlJc w:val="left"/>
      <w:pPr>
        <w:ind w:left="720" w:hanging="360"/>
      </w:pPr>
      <w:rPr>
        <w:rFonts w:ascii="Garamond" w:eastAsiaTheme="minorHAnsi" w:hAnsi="Garamond"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B62B48"/>
    <w:multiLevelType w:val="hybridMultilevel"/>
    <w:tmpl w:val="961A0D2E"/>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51E87E19"/>
    <w:multiLevelType w:val="hybridMultilevel"/>
    <w:tmpl w:val="94CE43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1461669"/>
    <w:multiLevelType w:val="hybridMultilevel"/>
    <w:tmpl w:val="C074DC32"/>
    <w:lvl w:ilvl="0" w:tplc="8FE6F6BA">
      <w:start w:val="1"/>
      <w:numFmt w:val="bullet"/>
      <w:lvlText w:val="-"/>
      <w:lvlJc w:val="left"/>
      <w:pPr>
        <w:ind w:left="720" w:hanging="360"/>
      </w:pPr>
      <w:rPr>
        <w:rFonts w:ascii="Garamond" w:eastAsiaTheme="minorHAnsi" w:hAnsi="Garamond"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8EB5667"/>
    <w:multiLevelType w:val="hybridMultilevel"/>
    <w:tmpl w:val="FB720AAE"/>
    <w:lvl w:ilvl="0" w:tplc="040C000F">
      <w:start w:val="1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91C20BE"/>
    <w:multiLevelType w:val="hybridMultilevel"/>
    <w:tmpl w:val="D4E62F90"/>
    <w:lvl w:ilvl="0" w:tplc="01E04544">
      <w:start w:val="2"/>
      <w:numFmt w:val="bullet"/>
      <w:lvlText w:val="-"/>
      <w:lvlJc w:val="left"/>
      <w:pPr>
        <w:ind w:left="720" w:hanging="360"/>
      </w:pPr>
      <w:rPr>
        <w:rFonts w:ascii="Garamond" w:eastAsiaTheme="minorHAnsi" w:hAnsi="Garamond"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2565F7"/>
    <w:multiLevelType w:val="hybridMultilevel"/>
    <w:tmpl w:val="DA0A2E5C"/>
    <w:lvl w:ilvl="0" w:tplc="01E88908">
      <w:start w:val="1"/>
      <w:numFmt w:val="decimal"/>
      <w:lvlText w:val="%1."/>
      <w:lvlJc w:val="left"/>
      <w:pPr>
        <w:ind w:left="720" w:hanging="360"/>
      </w:pPr>
      <w:rPr>
        <w:rFonts w:ascii="Calibr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1FB7BF9"/>
    <w:multiLevelType w:val="hybridMultilevel"/>
    <w:tmpl w:val="31CCB3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86622694">
    <w:abstractNumId w:val="8"/>
  </w:num>
  <w:num w:numId="2" w16cid:durableId="631792565">
    <w:abstractNumId w:val="7"/>
  </w:num>
  <w:num w:numId="3" w16cid:durableId="965040357">
    <w:abstractNumId w:val="6"/>
  </w:num>
  <w:num w:numId="4" w16cid:durableId="644823666">
    <w:abstractNumId w:val="1"/>
  </w:num>
  <w:num w:numId="5" w16cid:durableId="325132489">
    <w:abstractNumId w:val="5"/>
  </w:num>
  <w:num w:numId="6" w16cid:durableId="762342485">
    <w:abstractNumId w:val="3"/>
  </w:num>
  <w:num w:numId="7" w16cid:durableId="533274977">
    <w:abstractNumId w:val="4"/>
  </w:num>
  <w:num w:numId="8" w16cid:durableId="532351943">
    <w:abstractNumId w:val="0"/>
  </w:num>
  <w:num w:numId="9" w16cid:durableId="8975941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RAUP&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x00x0p8t5t25e9df6pfrv4zzvpvpwsfv0f&quot;&gt;Bibliographie Audrey Courbebaisse&lt;record-ids&gt;&lt;item&gt;9&lt;/item&gt;&lt;item&gt;20&lt;/item&gt;&lt;item&gt;23&lt;/item&gt;&lt;item&gt;24&lt;/item&gt;&lt;item&gt;25&lt;/item&gt;&lt;item&gt;26&lt;/item&gt;&lt;item&gt;27&lt;/item&gt;&lt;item&gt;28&lt;/item&gt;&lt;item&gt;29&lt;/item&gt;&lt;item&gt;30&lt;/item&gt;&lt;item&gt;32&lt;/item&gt;&lt;item&gt;36&lt;/item&gt;&lt;/record-ids&gt;&lt;/item&gt;&lt;/Libraries&gt;"/>
  </w:docVars>
  <w:rsids>
    <w:rsidRoot w:val="000109C7"/>
    <w:rsid w:val="000109C7"/>
    <w:rsid w:val="0002420D"/>
    <w:rsid w:val="00060044"/>
    <w:rsid w:val="00077C6F"/>
    <w:rsid w:val="000F45E2"/>
    <w:rsid w:val="001000A0"/>
    <w:rsid w:val="001579D5"/>
    <w:rsid w:val="00160C1F"/>
    <w:rsid w:val="00161FEA"/>
    <w:rsid w:val="00163DB1"/>
    <w:rsid w:val="001951B3"/>
    <w:rsid w:val="001B6E31"/>
    <w:rsid w:val="001C2C1A"/>
    <w:rsid w:val="001D3D4B"/>
    <w:rsid w:val="001D599F"/>
    <w:rsid w:val="001E6CFB"/>
    <w:rsid w:val="00201F4F"/>
    <w:rsid w:val="00210232"/>
    <w:rsid w:val="00225585"/>
    <w:rsid w:val="00246AA7"/>
    <w:rsid w:val="00247FE4"/>
    <w:rsid w:val="00272B91"/>
    <w:rsid w:val="00281747"/>
    <w:rsid w:val="0028299F"/>
    <w:rsid w:val="00284E9C"/>
    <w:rsid w:val="002975D7"/>
    <w:rsid w:val="002B7BBD"/>
    <w:rsid w:val="002D09BC"/>
    <w:rsid w:val="002E0707"/>
    <w:rsid w:val="002E1468"/>
    <w:rsid w:val="00301850"/>
    <w:rsid w:val="003156E9"/>
    <w:rsid w:val="00340B35"/>
    <w:rsid w:val="00344392"/>
    <w:rsid w:val="00350722"/>
    <w:rsid w:val="00362FB8"/>
    <w:rsid w:val="00373903"/>
    <w:rsid w:val="003F5C06"/>
    <w:rsid w:val="00437389"/>
    <w:rsid w:val="004433DB"/>
    <w:rsid w:val="00461CC2"/>
    <w:rsid w:val="00465F8E"/>
    <w:rsid w:val="00466A7E"/>
    <w:rsid w:val="004953D7"/>
    <w:rsid w:val="0049709D"/>
    <w:rsid w:val="004F4D6E"/>
    <w:rsid w:val="00512F48"/>
    <w:rsid w:val="00523DC5"/>
    <w:rsid w:val="00530EED"/>
    <w:rsid w:val="005341A6"/>
    <w:rsid w:val="00547E24"/>
    <w:rsid w:val="00577F29"/>
    <w:rsid w:val="00586FC2"/>
    <w:rsid w:val="00592797"/>
    <w:rsid w:val="00595144"/>
    <w:rsid w:val="005B3E6F"/>
    <w:rsid w:val="005F3D42"/>
    <w:rsid w:val="005F598E"/>
    <w:rsid w:val="00605F05"/>
    <w:rsid w:val="00610DA7"/>
    <w:rsid w:val="00613BAA"/>
    <w:rsid w:val="00617D4B"/>
    <w:rsid w:val="00647991"/>
    <w:rsid w:val="00647E8E"/>
    <w:rsid w:val="0067659C"/>
    <w:rsid w:val="006A69AC"/>
    <w:rsid w:val="006B1375"/>
    <w:rsid w:val="006F7699"/>
    <w:rsid w:val="00723244"/>
    <w:rsid w:val="00730073"/>
    <w:rsid w:val="0073618D"/>
    <w:rsid w:val="00791D7A"/>
    <w:rsid w:val="007B5FF8"/>
    <w:rsid w:val="007C3B4B"/>
    <w:rsid w:val="007C4B9A"/>
    <w:rsid w:val="00824CCA"/>
    <w:rsid w:val="00827364"/>
    <w:rsid w:val="0083032D"/>
    <w:rsid w:val="00830568"/>
    <w:rsid w:val="008364AE"/>
    <w:rsid w:val="00866A31"/>
    <w:rsid w:val="00885483"/>
    <w:rsid w:val="008A44B3"/>
    <w:rsid w:val="008B32BF"/>
    <w:rsid w:val="008D033E"/>
    <w:rsid w:val="00923AE1"/>
    <w:rsid w:val="00931EB7"/>
    <w:rsid w:val="00932C00"/>
    <w:rsid w:val="00942034"/>
    <w:rsid w:val="00950546"/>
    <w:rsid w:val="009505FD"/>
    <w:rsid w:val="009604F6"/>
    <w:rsid w:val="009622B4"/>
    <w:rsid w:val="00975E58"/>
    <w:rsid w:val="00983804"/>
    <w:rsid w:val="00994B23"/>
    <w:rsid w:val="009A7C67"/>
    <w:rsid w:val="009D55F3"/>
    <w:rsid w:val="00A35FF4"/>
    <w:rsid w:val="00A93E4E"/>
    <w:rsid w:val="00AE136C"/>
    <w:rsid w:val="00AF5C92"/>
    <w:rsid w:val="00AF70E3"/>
    <w:rsid w:val="00B542C8"/>
    <w:rsid w:val="00B57885"/>
    <w:rsid w:val="00B90EFE"/>
    <w:rsid w:val="00B92A10"/>
    <w:rsid w:val="00B96240"/>
    <w:rsid w:val="00BC11BF"/>
    <w:rsid w:val="00BD5E62"/>
    <w:rsid w:val="00BF62BC"/>
    <w:rsid w:val="00C26018"/>
    <w:rsid w:val="00C356DE"/>
    <w:rsid w:val="00C42F23"/>
    <w:rsid w:val="00C47A5B"/>
    <w:rsid w:val="00C6036B"/>
    <w:rsid w:val="00C6371D"/>
    <w:rsid w:val="00C9667E"/>
    <w:rsid w:val="00C96ABE"/>
    <w:rsid w:val="00CA10B1"/>
    <w:rsid w:val="00CA59B2"/>
    <w:rsid w:val="00CD5CF1"/>
    <w:rsid w:val="00CD6447"/>
    <w:rsid w:val="00D00A58"/>
    <w:rsid w:val="00D114EF"/>
    <w:rsid w:val="00D17EB9"/>
    <w:rsid w:val="00D23AB8"/>
    <w:rsid w:val="00D45E9A"/>
    <w:rsid w:val="00D53716"/>
    <w:rsid w:val="00D82057"/>
    <w:rsid w:val="00DB11E1"/>
    <w:rsid w:val="00DC72BA"/>
    <w:rsid w:val="00DD7691"/>
    <w:rsid w:val="00DE74F6"/>
    <w:rsid w:val="00E23812"/>
    <w:rsid w:val="00E6179B"/>
    <w:rsid w:val="00E62317"/>
    <w:rsid w:val="00E77ED1"/>
    <w:rsid w:val="00E85630"/>
    <w:rsid w:val="00E9432D"/>
    <w:rsid w:val="00EB33AD"/>
    <w:rsid w:val="00F07428"/>
    <w:rsid w:val="00F148EF"/>
    <w:rsid w:val="00F14AA3"/>
    <w:rsid w:val="00F53350"/>
    <w:rsid w:val="00F654D2"/>
    <w:rsid w:val="00F7792C"/>
    <w:rsid w:val="00F81CB1"/>
    <w:rsid w:val="00F82F55"/>
    <w:rsid w:val="00FB0F56"/>
    <w:rsid w:val="00FD2871"/>
    <w:rsid w:val="00FE0A3D"/>
    <w:rsid w:val="00FF143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F7F4C"/>
  <w15:chartTrackingRefBased/>
  <w15:docId w15:val="{C48257DB-C238-6649-A25F-A5484EC1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GSnormal">
    <w:name w:val="GS normal"/>
    <w:basedOn w:val="Normal"/>
    <w:link w:val="GSnormalCar"/>
    <w:qFormat/>
    <w:rsid w:val="000109C7"/>
    <w:pPr>
      <w:spacing w:line="240" w:lineRule="exact"/>
      <w:jc w:val="both"/>
    </w:pPr>
    <w:rPr>
      <w:rFonts w:ascii="DIN" w:hAnsi="DIN" w:cs="Arial"/>
      <w:kern w:val="0"/>
      <w:sz w:val="19"/>
      <w:szCs w:val="19"/>
      <w:lang w:val="fr-FR"/>
      <w14:ligatures w14:val="none"/>
    </w:rPr>
  </w:style>
  <w:style w:type="character" w:customStyle="1" w:styleId="GSnormalCar">
    <w:name w:val="GS normal Car"/>
    <w:basedOn w:val="Policepardfaut"/>
    <w:link w:val="GSnormal"/>
    <w:rsid w:val="000109C7"/>
    <w:rPr>
      <w:rFonts w:ascii="DIN" w:hAnsi="DIN" w:cs="Arial"/>
      <w:kern w:val="0"/>
      <w:sz w:val="19"/>
      <w:szCs w:val="19"/>
      <w:lang w:val="fr-FR"/>
      <w14:ligatures w14:val="none"/>
    </w:rPr>
  </w:style>
  <w:style w:type="character" w:styleId="Appelnotedebasdep">
    <w:name w:val="footnote reference"/>
    <w:basedOn w:val="Policepardfaut"/>
    <w:uiPriority w:val="99"/>
    <w:unhideWhenUsed/>
    <w:rsid w:val="000109C7"/>
    <w:rPr>
      <w:vertAlign w:val="superscript"/>
    </w:rPr>
  </w:style>
  <w:style w:type="paragraph" w:styleId="Notedebasdepage">
    <w:name w:val="footnote text"/>
    <w:basedOn w:val="Normal"/>
    <w:link w:val="NotedebasdepageCar"/>
    <w:uiPriority w:val="99"/>
    <w:semiHidden/>
    <w:unhideWhenUsed/>
    <w:rsid w:val="000109C7"/>
    <w:rPr>
      <w:sz w:val="20"/>
      <w:szCs w:val="20"/>
    </w:rPr>
  </w:style>
  <w:style w:type="character" w:customStyle="1" w:styleId="NotedebasdepageCar">
    <w:name w:val="Note de bas de page Car"/>
    <w:basedOn w:val="Policepardfaut"/>
    <w:link w:val="Notedebasdepage"/>
    <w:uiPriority w:val="99"/>
    <w:semiHidden/>
    <w:rsid w:val="000109C7"/>
    <w:rPr>
      <w:sz w:val="20"/>
      <w:szCs w:val="20"/>
    </w:rPr>
  </w:style>
  <w:style w:type="paragraph" w:styleId="Paragraphedeliste">
    <w:name w:val="List Paragraph"/>
    <w:basedOn w:val="Normal"/>
    <w:uiPriority w:val="34"/>
    <w:qFormat/>
    <w:rsid w:val="002E0707"/>
    <w:pPr>
      <w:ind w:left="720"/>
      <w:contextualSpacing/>
    </w:pPr>
  </w:style>
  <w:style w:type="paragraph" w:customStyle="1" w:styleId="GSTitre1">
    <w:name w:val="GS Titre 1"/>
    <w:basedOn w:val="Normal"/>
    <w:qFormat/>
    <w:rsid w:val="00BF62BC"/>
    <w:pPr>
      <w:tabs>
        <w:tab w:val="left" w:pos="284"/>
      </w:tabs>
      <w:spacing w:before="284" w:after="170" w:line="280" w:lineRule="exact"/>
    </w:pPr>
    <w:rPr>
      <w:rFonts w:ascii="DIN Black" w:eastAsia="Times New Roman" w:hAnsi="DIN Black" w:cs="Arial"/>
      <w:color w:val="283583"/>
      <w:kern w:val="0"/>
      <w:sz w:val="26"/>
      <w:szCs w:val="26"/>
      <w:lang w:val="fr-FR"/>
      <w14:ligatures w14:val="none"/>
    </w:rPr>
  </w:style>
  <w:style w:type="paragraph" w:customStyle="1" w:styleId="EndNoteBibliographyTitle">
    <w:name w:val="EndNote Bibliography Title"/>
    <w:basedOn w:val="Normal"/>
    <w:link w:val="EndNoteBibliographyTitleCar"/>
    <w:rsid w:val="00586FC2"/>
    <w:pPr>
      <w:jc w:val="center"/>
    </w:pPr>
    <w:rPr>
      <w:rFonts w:ascii="Calibri" w:hAnsi="Calibri" w:cs="Calibri"/>
      <w:lang w:val="en-US"/>
    </w:rPr>
  </w:style>
  <w:style w:type="character" w:customStyle="1" w:styleId="EndNoteBibliographyTitleCar">
    <w:name w:val="EndNote Bibliography Title Car"/>
    <w:basedOn w:val="GSnormalCar"/>
    <w:link w:val="EndNoteBibliographyTitle"/>
    <w:rsid w:val="00586FC2"/>
    <w:rPr>
      <w:rFonts w:ascii="Calibri" w:hAnsi="Calibri" w:cs="Calibri"/>
      <w:kern w:val="0"/>
      <w:sz w:val="19"/>
      <w:szCs w:val="19"/>
      <w:lang w:val="en-US"/>
      <w14:ligatures w14:val="none"/>
    </w:rPr>
  </w:style>
  <w:style w:type="paragraph" w:customStyle="1" w:styleId="EndNoteBibliography">
    <w:name w:val="EndNote Bibliography"/>
    <w:basedOn w:val="Normal"/>
    <w:link w:val="EndNoteBibliographyCar"/>
    <w:rsid w:val="00586FC2"/>
    <w:rPr>
      <w:rFonts w:ascii="Calibri" w:hAnsi="Calibri" w:cs="Calibri"/>
      <w:lang w:val="en-US"/>
    </w:rPr>
  </w:style>
  <w:style w:type="character" w:customStyle="1" w:styleId="EndNoteBibliographyCar">
    <w:name w:val="EndNote Bibliography Car"/>
    <w:basedOn w:val="GSnormalCar"/>
    <w:link w:val="EndNoteBibliography"/>
    <w:rsid w:val="00586FC2"/>
    <w:rPr>
      <w:rFonts w:ascii="Calibri" w:hAnsi="Calibri" w:cs="Calibri"/>
      <w:kern w:val="0"/>
      <w:sz w:val="19"/>
      <w:szCs w:val="19"/>
      <w:lang w:val="en-US"/>
      <w14:ligatures w14:val="none"/>
    </w:rPr>
  </w:style>
  <w:style w:type="character" w:styleId="Lienhypertexte">
    <w:name w:val="Hyperlink"/>
    <w:basedOn w:val="Policepardfaut"/>
    <w:uiPriority w:val="99"/>
    <w:unhideWhenUsed/>
    <w:rsid w:val="00586FC2"/>
    <w:rPr>
      <w:color w:val="0563C1" w:themeColor="hyperlink"/>
      <w:u w:val="single"/>
    </w:rPr>
  </w:style>
  <w:style w:type="character" w:styleId="Mentionnonrsolue">
    <w:name w:val="Unresolved Mention"/>
    <w:basedOn w:val="Policepardfaut"/>
    <w:uiPriority w:val="99"/>
    <w:semiHidden/>
    <w:unhideWhenUsed/>
    <w:rsid w:val="00586FC2"/>
    <w:rPr>
      <w:color w:val="605E5C"/>
      <w:shd w:val="clear" w:color="auto" w:fill="E1DFDD"/>
    </w:rPr>
  </w:style>
  <w:style w:type="paragraph" w:customStyle="1" w:styleId="GSverbatim">
    <w:name w:val="GS verbatim"/>
    <w:basedOn w:val="Normal"/>
    <w:link w:val="GSverbatimCar"/>
    <w:qFormat/>
    <w:rsid w:val="00983804"/>
    <w:pPr>
      <w:ind w:left="567"/>
      <w:jc w:val="right"/>
    </w:pPr>
    <w:rPr>
      <w:rFonts w:ascii="DIN" w:hAnsi="DIN" w:cs="Arial"/>
      <w:i/>
      <w:kern w:val="0"/>
      <w:sz w:val="18"/>
      <w:szCs w:val="18"/>
      <w:lang w:val="fr-FR"/>
      <w14:ligatures w14:val="none"/>
    </w:rPr>
  </w:style>
  <w:style w:type="character" w:customStyle="1" w:styleId="GSverbatimCar">
    <w:name w:val="GS verbatim Car"/>
    <w:basedOn w:val="Policepardfaut"/>
    <w:link w:val="GSverbatim"/>
    <w:rsid w:val="00983804"/>
    <w:rPr>
      <w:rFonts w:ascii="DIN" w:hAnsi="DIN" w:cs="Arial"/>
      <w:i/>
      <w:kern w:val="0"/>
      <w:sz w:val="18"/>
      <w:szCs w:val="18"/>
      <w:lang w:val="fr-FR"/>
      <w14:ligatures w14:val="none"/>
    </w:rPr>
  </w:style>
  <w:style w:type="paragraph" w:customStyle="1" w:styleId="GSverbvatimdescript">
    <w:name w:val="GS verbvatim descript"/>
    <w:basedOn w:val="GSverbatim"/>
    <w:link w:val="GSverbvatimdescriptCar"/>
    <w:qFormat/>
    <w:rsid w:val="00983804"/>
    <w:rPr>
      <w:i w:val="0"/>
      <w:iCs/>
    </w:rPr>
  </w:style>
  <w:style w:type="character" w:customStyle="1" w:styleId="GSverbvatimdescriptCar">
    <w:name w:val="GS verbvatim descript Car"/>
    <w:basedOn w:val="GSverbatimCar"/>
    <w:link w:val="GSverbvatimdescript"/>
    <w:rsid w:val="00983804"/>
    <w:rPr>
      <w:rFonts w:ascii="DIN" w:hAnsi="DIN" w:cs="Arial"/>
      <w:i w:val="0"/>
      <w:iCs/>
      <w:kern w:val="0"/>
      <w:sz w:val="18"/>
      <w:szCs w:val="18"/>
      <w:lang w:val="fr-FR"/>
      <w14:ligatures w14:val="none"/>
    </w:rPr>
  </w:style>
  <w:style w:type="character" w:customStyle="1" w:styleId="apple-converted-space">
    <w:name w:val="apple-converted-space"/>
    <w:basedOn w:val="Policepardfaut"/>
    <w:qFormat/>
    <w:rsid w:val="008D033E"/>
  </w:style>
  <w:style w:type="paragraph" w:customStyle="1" w:styleId="texte">
    <w:name w:val="texte"/>
    <w:basedOn w:val="Normal"/>
    <w:qFormat/>
    <w:rsid w:val="008D033E"/>
    <w:pPr>
      <w:spacing w:beforeAutospacing="1" w:afterAutospacing="1"/>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s.openedition.org/paysage/19680" TargetMode="External"/><Relationship Id="rId13" Type="http://schemas.openxmlformats.org/officeDocument/2006/relationships/hyperlink" Target="https://books.google.be/books?id=hT-CoAEACAAJ" TargetMode="External"/><Relationship Id="rId3" Type="http://schemas.openxmlformats.org/officeDocument/2006/relationships/settings" Target="settings.xml"/><Relationship Id="rId7" Type="http://schemas.openxmlformats.org/officeDocument/2006/relationships/hyperlink" Target="https://books.google.be/books?id=pbMutAEACAAJ" TargetMode="External"/><Relationship Id="rId12" Type="http://schemas.openxmlformats.org/officeDocument/2006/relationships/hyperlink" Target="https://books.google.be/books?id=ycTdwPXkhsQ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ooks.google.be/books?id=mgMRCwAAQBAJ" TargetMode="External"/><Relationship Id="rId5" Type="http://schemas.openxmlformats.org/officeDocument/2006/relationships/footnotes" Target="footnotes.xml"/><Relationship Id="rId15" Type="http://schemas.openxmlformats.org/officeDocument/2006/relationships/hyperlink" Target="http://halage" TargetMode="External"/><Relationship Id="rId10" Type="http://schemas.openxmlformats.org/officeDocument/2006/relationships/hyperlink" Target="https://www.cairn.info/load_pdf.php?ID_ARTICLE=GS1_171_0019" TargetMode="External"/><Relationship Id="rId4" Type="http://schemas.openxmlformats.org/officeDocument/2006/relationships/webSettings" Target="webSettings.xml"/><Relationship Id="rId9" Type="http://schemas.openxmlformats.org/officeDocument/2006/relationships/hyperlink" Target="https://www.cairn.info/revue-gerontologie-et-societe-2023-2-page-19.htm" TargetMode="External"/><Relationship Id="rId14" Type="http://schemas.openxmlformats.org/officeDocument/2006/relationships/hyperlink" Target="https://books.google.be/books?id=MlPfPAAACAAJ"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11</Pages>
  <Words>5387</Words>
  <Characters>28880</Characters>
  <Application>Microsoft Office Word</Application>
  <DocSecurity>0</DocSecurity>
  <Lines>465</Lines>
  <Paragraphs>127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Courbebaisse</dc:creator>
  <cp:keywords/>
  <dc:description/>
  <cp:lastModifiedBy>Audrey Courbebaisse</cp:lastModifiedBy>
  <cp:revision>6</cp:revision>
  <dcterms:created xsi:type="dcterms:W3CDTF">2023-11-28T10:02:00Z</dcterms:created>
  <dcterms:modified xsi:type="dcterms:W3CDTF">2023-11-29T09:04:00Z</dcterms:modified>
</cp:coreProperties>
</file>