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9C432" w14:textId="77777777" w:rsidR="00CC46B5" w:rsidRDefault="00CC46B5" w:rsidP="00075CDE">
      <w:pPr>
        <w:spacing w:after="120" w:line="276" w:lineRule="auto"/>
        <w:contextualSpacing/>
        <w:rPr>
          <w:rFonts w:asciiTheme="minorHAnsi" w:hAnsiTheme="minorHAnsi" w:cstheme="minorHAnsi"/>
          <w:b/>
          <w:sz w:val="22"/>
          <w:szCs w:val="22"/>
          <w:lang w:val="en-GB"/>
        </w:rPr>
      </w:pPr>
      <w:r>
        <w:rPr>
          <w:rFonts w:asciiTheme="minorHAnsi" w:hAnsiTheme="minorHAnsi" w:cstheme="minorHAnsi"/>
          <w:b/>
          <w:sz w:val="22"/>
          <w:szCs w:val="22"/>
          <w:lang w:val="en-GB"/>
        </w:rPr>
        <w:t>Paper Title</w:t>
      </w:r>
    </w:p>
    <w:p w14:paraId="37887A52" w14:textId="77777777" w:rsidR="00CC46B5" w:rsidRDefault="00CC46B5" w:rsidP="00075CDE">
      <w:pPr>
        <w:spacing w:after="120" w:line="276" w:lineRule="auto"/>
        <w:contextualSpacing/>
        <w:rPr>
          <w:rFonts w:asciiTheme="minorHAnsi" w:hAnsiTheme="minorHAnsi" w:cstheme="minorHAnsi"/>
          <w:sz w:val="22"/>
          <w:szCs w:val="22"/>
        </w:rPr>
      </w:pPr>
      <w:r>
        <w:rPr>
          <w:rFonts w:asciiTheme="minorHAnsi" w:hAnsiTheme="minorHAnsi" w:cstheme="minorHAnsi"/>
          <w:sz w:val="22"/>
          <w:szCs w:val="22"/>
        </w:rPr>
        <w:t>Blockchain Technology for IP Management &amp; Governance: Exploring its Potential to Restore Trust and Resilience in the Plant and Biomedical Sectors</w:t>
      </w:r>
    </w:p>
    <w:p w14:paraId="103C9877" w14:textId="77777777" w:rsidR="00CC46B5" w:rsidRDefault="00CC46B5" w:rsidP="00075CDE">
      <w:pPr>
        <w:spacing w:after="120" w:line="276" w:lineRule="auto"/>
        <w:contextualSpacing/>
        <w:rPr>
          <w:rFonts w:asciiTheme="minorHAnsi" w:hAnsiTheme="minorHAnsi" w:cstheme="minorHAnsi"/>
          <w:b/>
          <w:sz w:val="22"/>
          <w:szCs w:val="22"/>
        </w:rPr>
      </w:pPr>
    </w:p>
    <w:p w14:paraId="1BAC8DFE" w14:textId="09C9728F" w:rsidR="00B43DF7" w:rsidRDefault="006074DA" w:rsidP="00075CDE">
      <w:pPr>
        <w:spacing w:after="120" w:line="276" w:lineRule="auto"/>
        <w:contextualSpacing/>
        <w:rPr>
          <w:rFonts w:asciiTheme="minorHAnsi" w:hAnsiTheme="minorHAnsi" w:cstheme="minorHAnsi"/>
          <w:sz w:val="22"/>
          <w:szCs w:val="22"/>
        </w:rPr>
      </w:pPr>
      <w:r>
        <w:rPr>
          <w:rFonts w:asciiTheme="minorHAnsi" w:hAnsiTheme="minorHAnsi" w:cstheme="minorHAnsi"/>
          <w:b/>
          <w:sz w:val="22"/>
          <w:szCs w:val="22"/>
        </w:rPr>
        <w:t>Authors &amp; Affiliation</w:t>
      </w:r>
    </w:p>
    <w:p w14:paraId="12B8B846" w14:textId="77777777" w:rsidR="00CC46B5" w:rsidRDefault="006074DA" w:rsidP="00075CDE">
      <w:pPr>
        <w:pStyle w:val="Paragraphedeliste"/>
        <w:numPr>
          <w:ilvl w:val="0"/>
          <w:numId w:val="1"/>
        </w:numPr>
        <w:spacing w:after="120" w:line="276" w:lineRule="auto"/>
        <w:rPr>
          <w:rFonts w:asciiTheme="minorHAnsi" w:hAnsiTheme="minorHAnsi" w:cstheme="minorHAnsi"/>
          <w:sz w:val="22"/>
          <w:szCs w:val="22"/>
          <w:lang w:val="en-GB"/>
        </w:rPr>
      </w:pPr>
      <w:r>
        <w:rPr>
          <w:rFonts w:asciiTheme="minorHAnsi" w:hAnsiTheme="minorHAnsi" w:cstheme="minorHAnsi"/>
          <w:sz w:val="22"/>
          <w:szCs w:val="22"/>
        </w:rPr>
        <w:t xml:space="preserve">Christine Frison, Postdoctoral research fellow, FWO – University of Antwerp </w:t>
      </w:r>
      <w:r>
        <w:rPr>
          <w:rFonts w:asciiTheme="minorHAnsi" w:hAnsiTheme="minorHAnsi" w:cstheme="minorHAnsi"/>
          <w:sz w:val="22"/>
          <w:szCs w:val="22"/>
          <w:lang w:val="en-GB"/>
        </w:rPr>
        <w:t xml:space="preserve">&amp; FNRS – </w:t>
      </w:r>
      <w:proofErr w:type="spellStart"/>
      <w:r>
        <w:rPr>
          <w:rFonts w:asciiTheme="minorHAnsi" w:hAnsiTheme="minorHAnsi" w:cstheme="minorHAnsi"/>
          <w:sz w:val="22"/>
          <w:szCs w:val="22"/>
          <w:lang w:val="en-GB"/>
        </w:rPr>
        <w:t>Université</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catholique</w:t>
      </w:r>
      <w:proofErr w:type="spellEnd"/>
      <w:r>
        <w:rPr>
          <w:rFonts w:asciiTheme="minorHAnsi" w:hAnsiTheme="minorHAnsi" w:cstheme="minorHAnsi"/>
          <w:sz w:val="22"/>
          <w:szCs w:val="22"/>
          <w:lang w:val="en-GB"/>
        </w:rPr>
        <w:t xml:space="preserve"> de Louvain, Belgium</w:t>
      </w:r>
      <w:r w:rsidR="00CC46B5" w:rsidRPr="00CC46B5">
        <w:rPr>
          <w:rFonts w:asciiTheme="minorHAnsi" w:hAnsiTheme="minorHAnsi" w:cstheme="minorHAnsi"/>
          <w:sz w:val="22"/>
          <w:szCs w:val="22"/>
          <w:lang w:val="en-GB"/>
        </w:rPr>
        <w:t xml:space="preserve"> </w:t>
      </w:r>
    </w:p>
    <w:p w14:paraId="5A9B3B54" w14:textId="25303D2B" w:rsidR="00B43DF7" w:rsidRPr="00CC46B5" w:rsidRDefault="00CC46B5" w:rsidP="00075CDE">
      <w:pPr>
        <w:pStyle w:val="Paragraphedeliste"/>
        <w:numPr>
          <w:ilvl w:val="0"/>
          <w:numId w:val="1"/>
        </w:numPr>
        <w:spacing w:after="120" w:line="276" w:lineRule="auto"/>
        <w:rPr>
          <w:rFonts w:asciiTheme="minorHAnsi" w:hAnsiTheme="minorHAnsi" w:cstheme="minorHAnsi"/>
          <w:sz w:val="22"/>
          <w:szCs w:val="22"/>
          <w:lang w:val="en-GB"/>
        </w:rPr>
      </w:pPr>
      <w:r>
        <w:rPr>
          <w:rFonts w:asciiTheme="minorHAnsi" w:hAnsiTheme="minorHAnsi" w:cstheme="minorHAnsi"/>
          <w:sz w:val="22"/>
          <w:szCs w:val="22"/>
          <w:lang w:val="en-GB"/>
        </w:rPr>
        <w:t>Esther van Zimmeren, Research Professor – University of Antwerp, Belgium</w:t>
      </w:r>
    </w:p>
    <w:p w14:paraId="103FF9BC" w14:textId="46AA49BA" w:rsidR="00B43DF7" w:rsidRDefault="006074DA" w:rsidP="00075CDE">
      <w:pPr>
        <w:pStyle w:val="Paragraphedeliste"/>
        <w:numPr>
          <w:ilvl w:val="0"/>
          <w:numId w:val="1"/>
        </w:numPr>
        <w:spacing w:after="120" w:line="276"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Thomas Gils, Associate - DLA Piper </w:t>
      </w:r>
      <w:r w:rsidR="00CC46B5">
        <w:rPr>
          <w:rFonts w:asciiTheme="minorHAnsi" w:hAnsiTheme="minorHAnsi" w:cstheme="minorHAnsi"/>
          <w:sz w:val="22"/>
          <w:szCs w:val="22"/>
          <w:lang w:val="en-GB"/>
        </w:rPr>
        <w:t>–</w:t>
      </w:r>
      <w:r>
        <w:rPr>
          <w:rFonts w:asciiTheme="minorHAnsi" w:hAnsiTheme="minorHAnsi" w:cstheme="minorHAnsi"/>
          <w:sz w:val="22"/>
          <w:szCs w:val="22"/>
          <w:lang w:val="en-GB"/>
        </w:rPr>
        <w:t xml:space="preserve"> Brussels</w:t>
      </w:r>
      <w:r w:rsidR="00CC46B5">
        <w:rPr>
          <w:rFonts w:asciiTheme="minorHAnsi" w:hAnsiTheme="minorHAnsi" w:cstheme="minorHAnsi"/>
          <w:sz w:val="22"/>
          <w:szCs w:val="22"/>
          <w:lang w:val="en-GB"/>
        </w:rPr>
        <w:t>,</w:t>
      </w:r>
      <w:r>
        <w:rPr>
          <w:rFonts w:asciiTheme="minorHAnsi" w:hAnsiTheme="minorHAnsi" w:cstheme="minorHAnsi"/>
          <w:sz w:val="22"/>
          <w:szCs w:val="22"/>
          <w:lang w:val="en-GB"/>
        </w:rPr>
        <w:t xml:space="preserve"> Belgium</w:t>
      </w:r>
      <w:bookmarkStart w:id="0" w:name="_GoBack"/>
      <w:bookmarkEnd w:id="0"/>
    </w:p>
    <w:p w14:paraId="4C97B3D6" w14:textId="77777777" w:rsidR="00B43DF7" w:rsidRDefault="00B43DF7" w:rsidP="00075CDE">
      <w:pPr>
        <w:spacing w:after="120" w:line="276" w:lineRule="auto"/>
        <w:contextualSpacing/>
        <w:jc w:val="center"/>
        <w:rPr>
          <w:rFonts w:asciiTheme="minorHAnsi" w:hAnsiTheme="minorHAnsi" w:cstheme="minorHAnsi"/>
          <w:sz w:val="22"/>
          <w:szCs w:val="22"/>
          <w:lang w:val="en-GB"/>
        </w:rPr>
      </w:pPr>
    </w:p>
    <w:p w14:paraId="53C448D3" w14:textId="6A762CCF" w:rsidR="00B43DF7" w:rsidRDefault="00CC46B5" w:rsidP="00075CDE">
      <w:pPr>
        <w:spacing w:after="120" w:line="276" w:lineRule="auto"/>
        <w:contextualSpacing/>
        <w:jc w:val="both"/>
        <w:rPr>
          <w:rFonts w:asciiTheme="minorHAnsi" w:hAnsiTheme="minorHAnsi" w:cstheme="minorHAnsi"/>
          <w:b/>
          <w:sz w:val="22"/>
          <w:szCs w:val="22"/>
        </w:rPr>
      </w:pPr>
      <w:r>
        <w:rPr>
          <w:rFonts w:asciiTheme="minorHAnsi" w:hAnsiTheme="minorHAnsi" w:cstheme="minorHAnsi"/>
          <w:b/>
          <w:sz w:val="22"/>
          <w:szCs w:val="22"/>
        </w:rPr>
        <w:t>Abstract</w:t>
      </w:r>
      <w:r w:rsidR="00EE22EC">
        <w:rPr>
          <w:rFonts w:asciiTheme="minorHAnsi" w:hAnsiTheme="minorHAnsi" w:cstheme="minorHAnsi"/>
          <w:b/>
          <w:sz w:val="22"/>
          <w:szCs w:val="22"/>
        </w:rPr>
        <w:t xml:space="preserve"> </w:t>
      </w:r>
    </w:p>
    <w:p w14:paraId="3FE9228F" w14:textId="5630EB4D" w:rsidR="00243348" w:rsidRDefault="009351C8" w:rsidP="00075CDE">
      <w:pPr>
        <w:spacing w:after="120" w:line="276" w:lineRule="auto"/>
        <w:contextualSpacing/>
        <w:jc w:val="both"/>
        <w:rPr>
          <w:rFonts w:asciiTheme="minorHAnsi" w:eastAsiaTheme="minorHAnsi" w:hAnsiTheme="minorHAnsi" w:cstheme="minorHAnsi"/>
          <w:sz w:val="22"/>
          <w:szCs w:val="22"/>
        </w:rPr>
      </w:pPr>
      <w:r>
        <w:rPr>
          <w:rFonts w:asciiTheme="minorHAnsi" w:hAnsiTheme="minorHAnsi" w:cstheme="minorHAnsi"/>
          <w:sz w:val="22"/>
          <w:szCs w:val="22"/>
        </w:rPr>
        <w:t>Following the popularization of</w:t>
      </w:r>
      <w:r w:rsidR="00DE55D5">
        <w:rPr>
          <w:rFonts w:asciiTheme="minorHAnsi" w:hAnsiTheme="minorHAnsi" w:cstheme="minorHAnsi"/>
          <w:sz w:val="22"/>
          <w:szCs w:val="22"/>
        </w:rPr>
        <w:t xml:space="preserve"> cryptocurrencies</w:t>
      </w:r>
      <w:r>
        <w:rPr>
          <w:rFonts w:asciiTheme="minorHAnsi" w:hAnsiTheme="minorHAnsi" w:cstheme="minorHAnsi"/>
          <w:sz w:val="22"/>
          <w:szCs w:val="22"/>
        </w:rPr>
        <w:t>, b</w:t>
      </w:r>
      <w:r w:rsidR="006074DA">
        <w:rPr>
          <w:rFonts w:asciiTheme="minorHAnsi" w:hAnsiTheme="minorHAnsi" w:cstheme="minorHAnsi"/>
          <w:sz w:val="22"/>
          <w:szCs w:val="22"/>
        </w:rPr>
        <w:t xml:space="preserve">lockchain technology </w:t>
      </w:r>
      <w:r w:rsidR="00DE55D5">
        <w:rPr>
          <w:rFonts w:asciiTheme="minorHAnsi" w:hAnsiTheme="minorHAnsi" w:cstheme="minorHAnsi"/>
          <w:sz w:val="22"/>
          <w:szCs w:val="22"/>
        </w:rPr>
        <w:t>has</w:t>
      </w:r>
      <w:r>
        <w:rPr>
          <w:rFonts w:asciiTheme="minorHAnsi" w:hAnsiTheme="minorHAnsi" w:cstheme="minorHAnsi"/>
          <w:sz w:val="22"/>
          <w:szCs w:val="22"/>
        </w:rPr>
        <w:t xml:space="preserve"> </w:t>
      </w:r>
      <w:r w:rsidR="006074DA">
        <w:rPr>
          <w:rFonts w:asciiTheme="minorHAnsi" w:hAnsiTheme="minorHAnsi" w:cstheme="minorHAnsi"/>
          <w:sz w:val="22"/>
          <w:szCs w:val="22"/>
        </w:rPr>
        <w:t>attracted a lot of attention in the innovation and technology field. One possible applications is to record and track transactions within in a network</w:t>
      </w:r>
      <w:r>
        <w:rPr>
          <w:rFonts w:asciiTheme="minorHAnsi" w:hAnsiTheme="minorHAnsi" w:cstheme="minorHAnsi"/>
          <w:sz w:val="22"/>
          <w:szCs w:val="22"/>
        </w:rPr>
        <w:t>,</w:t>
      </w:r>
      <w:r w:rsidRPr="009351C8">
        <w:rPr>
          <w:rFonts w:asciiTheme="minorHAnsi" w:hAnsiTheme="minorHAnsi" w:cstheme="minorHAnsi"/>
          <w:sz w:val="22"/>
          <w:szCs w:val="22"/>
        </w:rPr>
        <w:t xml:space="preserve"> </w:t>
      </w:r>
      <w:r>
        <w:rPr>
          <w:rFonts w:asciiTheme="minorHAnsi" w:hAnsiTheme="minorHAnsi" w:cstheme="minorHAnsi"/>
          <w:sz w:val="22"/>
          <w:szCs w:val="22"/>
        </w:rPr>
        <w:t>resulting in the creation of a trustworthy and transparent record of transactions</w:t>
      </w:r>
      <w:r w:rsidR="007F7B82">
        <w:rPr>
          <w:rFonts w:asciiTheme="minorHAnsi" w:hAnsiTheme="minorHAnsi" w:cstheme="minorHAnsi"/>
          <w:sz w:val="22"/>
          <w:szCs w:val="22"/>
        </w:rPr>
        <w:t xml:space="preserve">, </w:t>
      </w:r>
      <w:r w:rsidR="00DE55D5">
        <w:rPr>
          <w:rFonts w:asciiTheme="minorHAnsi" w:hAnsiTheme="minorHAnsi" w:cstheme="minorHAnsi"/>
          <w:sz w:val="22"/>
          <w:szCs w:val="22"/>
        </w:rPr>
        <w:t xml:space="preserve">which </w:t>
      </w:r>
      <w:r w:rsidR="007F7B82">
        <w:rPr>
          <w:rFonts w:asciiTheme="minorHAnsi" w:hAnsiTheme="minorHAnsi" w:cstheme="minorHAnsi"/>
          <w:sz w:val="22"/>
          <w:szCs w:val="22"/>
        </w:rPr>
        <w:t>ensur</w:t>
      </w:r>
      <w:r w:rsidR="00DE55D5">
        <w:rPr>
          <w:rFonts w:asciiTheme="minorHAnsi" w:hAnsiTheme="minorHAnsi" w:cstheme="minorHAnsi"/>
          <w:sz w:val="22"/>
          <w:szCs w:val="22"/>
        </w:rPr>
        <w:t>es</w:t>
      </w:r>
      <w:r w:rsidR="007F7B82">
        <w:rPr>
          <w:rFonts w:asciiTheme="minorHAnsi" w:hAnsiTheme="minorHAnsi" w:cstheme="minorHAnsi"/>
          <w:sz w:val="22"/>
          <w:szCs w:val="22"/>
        </w:rPr>
        <w:t xml:space="preserve"> </w:t>
      </w:r>
      <w:r w:rsidR="006074DA">
        <w:rPr>
          <w:rFonts w:asciiTheme="minorHAnsi" w:hAnsiTheme="minorHAnsi" w:cstheme="minorHAnsi"/>
          <w:sz w:val="22"/>
          <w:szCs w:val="22"/>
        </w:rPr>
        <w:t xml:space="preserve">the integrity of the ledger by crowdsourcing oversight, while </w:t>
      </w:r>
      <w:r>
        <w:rPr>
          <w:rFonts w:asciiTheme="minorHAnsi" w:hAnsiTheme="minorHAnsi" w:cstheme="minorHAnsi"/>
          <w:sz w:val="22"/>
          <w:szCs w:val="22"/>
        </w:rPr>
        <w:t xml:space="preserve">totally or partially </w:t>
      </w:r>
      <w:r w:rsidR="006074DA">
        <w:rPr>
          <w:rFonts w:asciiTheme="minorHAnsi" w:hAnsiTheme="minorHAnsi" w:cstheme="minorHAnsi"/>
          <w:sz w:val="22"/>
          <w:szCs w:val="22"/>
        </w:rPr>
        <w:t>removing the need for a central authority. Some authors regard blockchain as the panacea solv</w:t>
      </w:r>
      <w:r w:rsidR="007F7B82">
        <w:rPr>
          <w:rFonts w:asciiTheme="minorHAnsi" w:hAnsiTheme="minorHAnsi" w:cstheme="minorHAnsi"/>
          <w:sz w:val="22"/>
          <w:szCs w:val="22"/>
        </w:rPr>
        <w:t>ing</w:t>
      </w:r>
      <w:r w:rsidR="006074DA">
        <w:rPr>
          <w:rFonts w:asciiTheme="minorHAnsi" w:hAnsiTheme="minorHAnsi" w:cstheme="minorHAnsi"/>
          <w:sz w:val="22"/>
          <w:szCs w:val="22"/>
        </w:rPr>
        <w:t xml:space="preserve"> </w:t>
      </w:r>
      <w:r w:rsidR="007F7B82">
        <w:rPr>
          <w:rFonts w:asciiTheme="minorHAnsi" w:hAnsiTheme="minorHAnsi" w:cstheme="minorHAnsi"/>
          <w:sz w:val="22"/>
          <w:szCs w:val="22"/>
        </w:rPr>
        <w:t xml:space="preserve">many </w:t>
      </w:r>
      <w:r w:rsidR="006074DA">
        <w:rPr>
          <w:rFonts w:asciiTheme="minorHAnsi" w:hAnsiTheme="minorHAnsi" w:cstheme="minorHAnsi"/>
          <w:sz w:val="22"/>
          <w:szCs w:val="22"/>
        </w:rPr>
        <w:t>societal challenges</w:t>
      </w:r>
      <w:r>
        <w:rPr>
          <w:rStyle w:val="Appelnotedebasdep"/>
          <w:rFonts w:asciiTheme="minorHAnsi" w:hAnsiTheme="minorHAnsi" w:cstheme="minorHAnsi"/>
          <w:sz w:val="22"/>
          <w:szCs w:val="22"/>
        </w:rPr>
        <w:footnoteReference w:id="1"/>
      </w:r>
      <w:r w:rsidR="006074DA">
        <w:rPr>
          <w:rFonts w:asciiTheme="minorHAnsi" w:hAnsiTheme="minorHAnsi" w:cstheme="minorHAnsi"/>
          <w:sz w:val="22"/>
          <w:szCs w:val="22"/>
        </w:rPr>
        <w:t xml:space="preserve">. Some expect </w:t>
      </w:r>
      <w:r w:rsidR="007F7B82">
        <w:rPr>
          <w:rFonts w:asciiTheme="minorHAnsi" w:hAnsiTheme="minorHAnsi" w:cstheme="minorHAnsi"/>
          <w:sz w:val="22"/>
          <w:szCs w:val="22"/>
        </w:rPr>
        <w:t>it to</w:t>
      </w:r>
      <w:r w:rsidR="006074DA">
        <w:rPr>
          <w:rFonts w:asciiTheme="minorHAnsi" w:hAnsiTheme="minorHAnsi" w:cstheme="minorHAnsi"/>
          <w:sz w:val="22"/>
          <w:szCs w:val="22"/>
        </w:rPr>
        <w:t xml:space="preserve"> shape </w:t>
      </w:r>
      <w:r w:rsidR="007F7B82">
        <w:rPr>
          <w:rFonts w:asciiTheme="minorHAnsi" w:hAnsiTheme="minorHAnsi" w:cstheme="minorHAnsi"/>
          <w:sz w:val="22"/>
          <w:szCs w:val="22"/>
        </w:rPr>
        <w:t xml:space="preserve">significantly </w:t>
      </w:r>
      <w:r w:rsidR="006074DA">
        <w:rPr>
          <w:rFonts w:asciiTheme="minorHAnsi" w:hAnsiTheme="minorHAnsi" w:cstheme="minorHAnsi"/>
          <w:sz w:val="22"/>
          <w:szCs w:val="22"/>
        </w:rPr>
        <w:t>the rate and direction of innovation</w:t>
      </w:r>
      <w:r>
        <w:rPr>
          <w:rFonts w:asciiTheme="minorHAnsi" w:hAnsiTheme="minorHAnsi" w:cstheme="minorHAnsi"/>
          <w:sz w:val="22"/>
          <w:szCs w:val="22"/>
        </w:rPr>
        <w:t>.</w:t>
      </w:r>
      <w:r>
        <w:rPr>
          <w:rStyle w:val="Appelnotedebasdep"/>
          <w:rFonts w:asciiTheme="minorHAnsi" w:hAnsiTheme="minorHAnsi" w:cstheme="minorHAnsi"/>
          <w:sz w:val="22"/>
          <w:szCs w:val="22"/>
        </w:rPr>
        <w:footnoteReference w:id="2"/>
      </w:r>
      <w:r w:rsidR="006074DA">
        <w:rPr>
          <w:rFonts w:asciiTheme="minorHAnsi" w:hAnsiTheme="minorHAnsi" w:cstheme="minorHAnsi"/>
          <w:sz w:val="22"/>
          <w:szCs w:val="22"/>
        </w:rPr>
        <w:t xml:space="preserve"> Others</w:t>
      </w:r>
      <w:r w:rsidR="007F7B82">
        <w:rPr>
          <w:rFonts w:asciiTheme="minorHAnsi" w:hAnsiTheme="minorHAnsi" w:cstheme="minorHAnsi"/>
          <w:sz w:val="22"/>
          <w:szCs w:val="22"/>
        </w:rPr>
        <w:t xml:space="preserve"> -</w:t>
      </w:r>
      <w:r w:rsidR="006074DA">
        <w:rPr>
          <w:rFonts w:asciiTheme="minorHAnsi" w:hAnsiTheme="minorHAnsi" w:cstheme="minorHAnsi"/>
          <w:sz w:val="22"/>
          <w:szCs w:val="22"/>
        </w:rPr>
        <w:t xml:space="preserve"> more skeptical </w:t>
      </w:r>
      <w:r w:rsidR="007F7B82">
        <w:rPr>
          <w:rFonts w:asciiTheme="minorHAnsi" w:hAnsiTheme="minorHAnsi" w:cstheme="minorHAnsi"/>
          <w:sz w:val="22"/>
          <w:szCs w:val="22"/>
        </w:rPr>
        <w:t xml:space="preserve">- </w:t>
      </w:r>
      <w:r w:rsidR="006074DA">
        <w:rPr>
          <w:rFonts w:asciiTheme="minorHAnsi" w:hAnsiTheme="minorHAnsi" w:cstheme="minorHAnsi"/>
          <w:sz w:val="22"/>
          <w:szCs w:val="22"/>
        </w:rPr>
        <w:t xml:space="preserve">perceive </w:t>
      </w:r>
      <w:r w:rsidR="007F7B82">
        <w:rPr>
          <w:rFonts w:asciiTheme="minorHAnsi" w:hAnsiTheme="minorHAnsi" w:cstheme="minorHAnsi"/>
          <w:sz w:val="22"/>
          <w:szCs w:val="22"/>
        </w:rPr>
        <w:t>it</w:t>
      </w:r>
      <w:r w:rsidR="006074DA">
        <w:rPr>
          <w:rFonts w:asciiTheme="minorHAnsi" w:hAnsiTheme="minorHAnsi" w:cstheme="minorHAnsi"/>
          <w:sz w:val="22"/>
          <w:szCs w:val="22"/>
        </w:rPr>
        <w:t xml:space="preserve"> as a means to dominate a globalized world with a handful of stakeholders excluding the majority from benefiting from technological innovation and overall development and welfare</w:t>
      </w:r>
      <w:r>
        <w:rPr>
          <w:rFonts w:asciiTheme="minorHAnsi" w:hAnsiTheme="minorHAnsi" w:cstheme="minorHAnsi"/>
          <w:sz w:val="22"/>
          <w:szCs w:val="22"/>
        </w:rPr>
        <w:t>.</w:t>
      </w:r>
      <w:r>
        <w:rPr>
          <w:rStyle w:val="Appelnotedebasdep"/>
          <w:rFonts w:asciiTheme="minorHAnsi" w:hAnsiTheme="minorHAnsi" w:cstheme="minorHAnsi"/>
          <w:sz w:val="22"/>
          <w:szCs w:val="22"/>
        </w:rPr>
        <w:footnoteReference w:id="3"/>
      </w:r>
      <w:r w:rsidR="006074DA">
        <w:rPr>
          <w:rFonts w:asciiTheme="minorHAnsi" w:hAnsiTheme="minorHAnsi" w:cstheme="minorHAnsi"/>
          <w:sz w:val="22"/>
          <w:szCs w:val="22"/>
        </w:rPr>
        <w:t xml:space="preserve"> Within this diverse landscape, many industries beyond fintech explor</w:t>
      </w:r>
      <w:r w:rsidR="007F7B82">
        <w:rPr>
          <w:rFonts w:asciiTheme="minorHAnsi" w:hAnsiTheme="minorHAnsi" w:cstheme="minorHAnsi"/>
          <w:sz w:val="22"/>
          <w:szCs w:val="22"/>
        </w:rPr>
        <w:t>e</w:t>
      </w:r>
      <w:r w:rsidR="006074DA">
        <w:rPr>
          <w:rFonts w:asciiTheme="minorHAnsi" w:hAnsiTheme="minorHAnsi" w:cstheme="minorHAnsi"/>
          <w:sz w:val="22"/>
          <w:szCs w:val="22"/>
        </w:rPr>
        <w:t xml:space="preserve"> the opportunities provided by blockchain technology. </w:t>
      </w:r>
      <w:r w:rsidR="007F7B82">
        <w:rPr>
          <w:rFonts w:asciiTheme="minorHAnsi" w:hAnsiTheme="minorHAnsi" w:cstheme="minorHAnsi"/>
          <w:sz w:val="22"/>
          <w:szCs w:val="22"/>
        </w:rPr>
        <w:t>Likewise,</w:t>
      </w:r>
      <w:r w:rsidR="006074DA">
        <w:rPr>
          <w:rFonts w:asciiTheme="minorHAnsi" w:hAnsiTheme="minorHAnsi" w:cstheme="minorHAnsi"/>
          <w:sz w:val="22"/>
          <w:szCs w:val="22"/>
        </w:rPr>
        <w:t xml:space="preserve"> in IP protection, management and enforcement, blockchain </w:t>
      </w:r>
      <w:r w:rsidR="007F7B82">
        <w:rPr>
          <w:rFonts w:asciiTheme="minorHAnsi" w:hAnsiTheme="minorHAnsi" w:cstheme="minorHAnsi"/>
          <w:sz w:val="22"/>
          <w:szCs w:val="22"/>
        </w:rPr>
        <w:t>constitutes</w:t>
      </w:r>
      <w:r w:rsidR="006074DA">
        <w:rPr>
          <w:rFonts w:asciiTheme="minorHAnsi" w:hAnsiTheme="minorHAnsi" w:cstheme="minorHAnsi"/>
          <w:sz w:val="22"/>
          <w:szCs w:val="22"/>
        </w:rPr>
        <w:t xml:space="preserve"> a potential tool to </w:t>
      </w:r>
      <w:r w:rsidR="00243348">
        <w:rPr>
          <w:rFonts w:asciiTheme="minorHAnsi" w:hAnsiTheme="minorHAnsi" w:cstheme="minorHAnsi"/>
          <w:sz w:val="22"/>
          <w:szCs w:val="22"/>
        </w:rPr>
        <w:t xml:space="preserve">strengthen the cost-effectiveness </w:t>
      </w:r>
      <w:r w:rsidR="00515975">
        <w:rPr>
          <w:rFonts w:asciiTheme="minorHAnsi" w:hAnsiTheme="minorHAnsi" w:cstheme="minorHAnsi"/>
          <w:sz w:val="22"/>
          <w:szCs w:val="22"/>
        </w:rPr>
        <w:t>and</w:t>
      </w:r>
      <w:r w:rsidR="00243348">
        <w:rPr>
          <w:rFonts w:asciiTheme="minorHAnsi" w:hAnsiTheme="minorHAnsi" w:cstheme="minorHAnsi"/>
          <w:sz w:val="22"/>
          <w:szCs w:val="22"/>
        </w:rPr>
        <w:t xml:space="preserve"> </w:t>
      </w:r>
      <w:r w:rsidR="006074DA">
        <w:rPr>
          <w:rFonts w:asciiTheme="minorHAnsi" w:hAnsiTheme="minorHAnsi" w:cstheme="minorHAnsi"/>
          <w:sz w:val="22"/>
          <w:szCs w:val="22"/>
        </w:rPr>
        <w:t xml:space="preserve">overcome </w:t>
      </w:r>
      <w:r w:rsidR="007F7B82">
        <w:rPr>
          <w:rFonts w:asciiTheme="minorHAnsi" w:hAnsiTheme="minorHAnsi" w:cstheme="minorHAnsi"/>
          <w:sz w:val="22"/>
          <w:szCs w:val="22"/>
        </w:rPr>
        <w:t>important</w:t>
      </w:r>
      <w:r w:rsidR="00243348">
        <w:rPr>
          <w:rFonts w:asciiTheme="minorHAnsi" w:hAnsiTheme="minorHAnsi" w:cstheme="minorHAnsi"/>
          <w:sz w:val="22"/>
          <w:szCs w:val="22"/>
        </w:rPr>
        <w:t xml:space="preserve"> challenges:</w:t>
      </w:r>
      <w:r w:rsidR="007F7B82">
        <w:rPr>
          <w:rFonts w:asciiTheme="minorHAnsi" w:hAnsiTheme="minorHAnsi" w:cstheme="minorHAnsi"/>
          <w:sz w:val="22"/>
          <w:szCs w:val="22"/>
        </w:rPr>
        <w:t xml:space="preserve"> improve IP protection and registration processes, </w:t>
      </w:r>
      <w:r w:rsidR="00243348">
        <w:rPr>
          <w:rFonts w:asciiTheme="minorHAnsi" w:hAnsiTheme="minorHAnsi" w:cstheme="minorHAnsi"/>
          <w:sz w:val="22"/>
          <w:szCs w:val="22"/>
        </w:rPr>
        <w:t xml:space="preserve">facilitate the provision of evidence in IP litigation, or </w:t>
      </w:r>
      <w:r w:rsidR="007F7B82">
        <w:rPr>
          <w:rFonts w:asciiTheme="minorHAnsi" w:hAnsiTheme="minorHAnsi" w:cstheme="minorHAnsi"/>
          <w:sz w:val="22"/>
          <w:szCs w:val="22"/>
        </w:rPr>
        <w:t>streamline the agreement and enforcement of IP licenses through “smart contracts”</w:t>
      </w:r>
      <w:r w:rsidR="006074DA">
        <w:rPr>
          <w:rFonts w:asciiTheme="minorHAnsi" w:hAnsiTheme="minorHAnsi" w:cstheme="minorHAnsi"/>
          <w:sz w:val="22"/>
          <w:szCs w:val="22"/>
        </w:rPr>
        <w:t>.</w:t>
      </w:r>
      <w:r>
        <w:rPr>
          <w:rStyle w:val="Appelnotedebasdep"/>
          <w:rFonts w:asciiTheme="minorHAnsi" w:hAnsiTheme="minorHAnsi" w:cstheme="minorHAnsi"/>
          <w:sz w:val="22"/>
          <w:szCs w:val="22"/>
        </w:rPr>
        <w:footnoteReference w:id="4"/>
      </w:r>
      <w:r w:rsidR="006074DA">
        <w:rPr>
          <w:rFonts w:asciiTheme="minorHAnsi" w:hAnsiTheme="minorHAnsi" w:cstheme="minorHAnsi"/>
          <w:sz w:val="22"/>
          <w:szCs w:val="22"/>
        </w:rPr>
        <w:t xml:space="preserve"> Smart contracts (self-executing software programs that auto</w:t>
      </w:r>
      <w:r w:rsidR="00243348">
        <w:rPr>
          <w:rFonts w:asciiTheme="minorHAnsi" w:hAnsiTheme="minorHAnsi" w:cstheme="minorHAnsi"/>
          <w:sz w:val="22"/>
          <w:szCs w:val="22"/>
        </w:rPr>
        <w:t>matically perform some function</w:t>
      </w:r>
      <w:r w:rsidR="00243348">
        <w:rPr>
          <w:rStyle w:val="Appelnotedebasdep"/>
          <w:rFonts w:asciiTheme="minorHAnsi" w:hAnsiTheme="minorHAnsi" w:cstheme="minorHAnsi"/>
          <w:sz w:val="22"/>
          <w:szCs w:val="22"/>
        </w:rPr>
        <w:footnoteReference w:id="5"/>
      </w:r>
      <w:r w:rsidR="006074DA">
        <w:rPr>
          <w:rFonts w:asciiTheme="minorHAnsi" w:hAnsiTheme="minorHAnsi" w:cstheme="minorHAnsi"/>
          <w:sz w:val="22"/>
          <w:szCs w:val="22"/>
        </w:rPr>
        <w:t xml:space="preserve">) could establish and enforce IP licenses and </w:t>
      </w:r>
      <w:r w:rsidR="00243348">
        <w:rPr>
          <w:rFonts w:asciiTheme="minorHAnsi" w:hAnsiTheme="minorHAnsi" w:cstheme="minorHAnsi"/>
          <w:sz w:val="22"/>
          <w:szCs w:val="22"/>
        </w:rPr>
        <w:t>transmit</w:t>
      </w:r>
      <w:r w:rsidR="006074DA">
        <w:rPr>
          <w:rFonts w:asciiTheme="minorHAnsi" w:hAnsiTheme="minorHAnsi" w:cstheme="minorHAnsi"/>
          <w:sz w:val="22"/>
          <w:szCs w:val="22"/>
        </w:rPr>
        <w:t xml:space="preserve"> payments of licensing fees and royalties to IP owners</w:t>
      </w:r>
      <w:r w:rsidR="00243348">
        <w:rPr>
          <w:rFonts w:asciiTheme="minorHAnsi" w:hAnsiTheme="minorHAnsi" w:cstheme="minorHAnsi"/>
          <w:sz w:val="22"/>
          <w:szCs w:val="22"/>
        </w:rPr>
        <w:t xml:space="preserve">, thereby </w:t>
      </w:r>
      <w:r w:rsidR="006074DA">
        <w:rPr>
          <w:rFonts w:asciiTheme="minorHAnsi" w:hAnsiTheme="minorHAnsi" w:cstheme="minorHAnsi"/>
          <w:sz w:val="22"/>
          <w:szCs w:val="22"/>
        </w:rPr>
        <w:t>improv</w:t>
      </w:r>
      <w:r w:rsidR="00243348">
        <w:rPr>
          <w:rFonts w:asciiTheme="minorHAnsi" w:hAnsiTheme="minorHAnsi" w:cstheme="minorHAnsi"/>
          <w:sz w:val="22"/>
          <w:szCs w:val="22"/>
        </w:rPr>
        <w:t>ing</w:t>
      </w:r>
      <w:r w:rsidR="006074DA">
        <w:rPr>
          <w:rFonts w:asciiTheme="minorHAnsi" w:hAnsiTheme="minorHAnsi" w:cstheme="minorHAnsi"/>
          <w:sz w:val="22"/>
          <w:szCs w:val="22"/>
        </w:rPr>
        <w:t xml:space="preserve"> the cost-effectiveness and reliability of IP management mechanisms</w:t>
      </w:r>
      <w:r w:rsidR="00243348">
        <w:rPr>
          <w:rFonts w:asciiTheme="minorHAnsi" w:hAnsiTheme="minorHAnsi" w:cstheme="minorHAnsi"/>
          <w:sz w:val="22"/>
          <w:szCs w:val="22"/>
        </w:rPr>
        <w:t>.</w:t>
      </w:r>
      <w:r w:rsidR="006074DA">
        <w:rPr>
          <w:rFonts w:asciiTheme="minorHAnsi" w:hAnsiTheme="minorHAnsi" w:cstheme="minorHAnsi"/>
          <w:sz w:val="22"/>
          <w:szCs w:val="22"/>
        </w:rPr>
        <w:t xml:space="preserve"> </w:t>
      </w:r>
      <w:r w:rsidR="00243348">
        <w:rPr>
          <w:rFonts w:asciiTheme="minorHAnsi" w:hAnsiTheme="minorHAnsi" w:cstheme="minorHAnsi"/>
          <w:sz w:val="22"/>
          <w:szCs w:val="22"/>
        </w:rPr>
        <w:t>This</w:t>
      </w:r>
      <w:r w:rsidR="006074DA">
        <w:rPr>
          <w:rFonts w:asciiTheme="minorHAnsi" w:hAnsiTheme="minorHAnsi" w:cstheme="minorHAnsi"/>
          <w:sz w:val="22"/>
          <w:szCs w:val="22"/>
        </w:rPr>
        <w:t xml:space="preserve"> might especially be useful in the context of more complex, collaborate licensing mechanisms </w:t>
      </w:r>
      <w:r w:rsidR="00243348">
        <w:rPr>
          <w:rFonts w:asciiTheme="minorHAnsi" w:hAnsiTheme="minorHAnsi" w:cstheme="minorHAnsi"/>
          <w:sz w:val="22"/>
          <w:szCs w:val="22"/>
        </w:rPr>
        <w:t>such as</w:t>
      </w:r>
      <w:r w:rsidR="006074DA">
        <w:rPr>
          <w:rFonts w:asciiTheme="minorHAnsi" w:hAnsiTheme="minorHAnsi" w:cstheme="minorHAnsi"/>
          <w:sz w:val="22"/>
          <w:szCs w:val="22"/>
        </w:rPr>
        <w:t xml:space="preserve"> the “Multilateral System of access and benefit-sharing” (MLS) of the International Treaty on Plant Genetic resources for Food and A</w:t>
      </w:r>
      <w:r w:rsidR="00243348">
        <w:rPr>
          <w:rFonts w:asciiTheme="minorHAnsi" w:hAnsiTheme="minorHAnsi" w:cstheme="minorHAnsi"/>
          <w:sz w:val="22"/>
          <w:szCs w:val="22"/>
        </w:rPr>
        <w:t>griculture (ITPGRFA)</w:t>
      </w:r>
      <w:r w:rsidR="006074DA">
        <w:rPr>
          <w:rFonts w:asciiTheme="minorHAnsi" w:hAnsiTheme="minorHAnsi" w:cstheme="minorHAnsi"/>
          <w:sz w:val="22"/>
          <w:szCs w:val="22"/>
        </w:rPr>
        <w:t xml:space="preserve"> and patent pools</w:t>
      </w:r>
      <w:r w:rsidR="00243348">
        <w:rPr>
          <w:rFonts w:asciiTheme="minorHAnsi" w:hAnsiTheme="minorHAnsi" w:cstheme="minorHAnsi"/>
          <w:sz w:val="22"/>
          <w:szCs w:val="22"/>
        </w:rPr>
        <w:t>. P</w:t>
      </w:r>
      <w:r w:rsidR="006074DA">
        <w:rPr>
          <w:rFonts w:asciiTheme="minorHAnsi" w:hAnsiTheme="minorHAnsi" w:cstheme="minorHAnsi"/>
          <w:sz w:val="22"/>
          <w:szCs w:val="22"/>
        </w:rPr>
        <w:t>rior research has shown that i</w:t>
      </w:r>
      <w:r w:rsidR="006074DA">
        <w:rPr>
          <w:rFonts w:asciiTheme="minorHAnsi" w:eastAsiaTheme="minorHAnsi" w:hAnsiTheme="minorHAnsi" w:cstheme="minorHAnsi"/>
          <w:sz w:val="22"/>
          <w:szCs w:val="22"/>
        </w:rPr>
        <w:t>n the plant and biome</w:t>
      </w:r>
      <w:r w:rsidR="00243348">
        <w:rPr>
          <w:rFonts w:asciiTheme="minorHAnsi" w:eastAsiaTheme="minorHAnsi" w:hAnsiTheme="minorHAnsi" w:cstheme="minorHAnsi"/>
          <w:sz w:val="22"/>
          <w:szCs w:val="22"/>
        </w:rPr>
        <w:t>dical sector, stakeholders encounter</w:t>
      </w:r>
      <w:r w:rsidR="006074DA">
        <w:rPr>
          <w:rFonts w:asciiTheme="minorHAnsi" w:eastAsiaTheme="minorHAnsi" w:hAnsiTheme="minorHAnsi" w:cstheme="minorHAnsi"/>
          <w:sz w:val="22"/>
          <w:szCs w:val="22"/>
        </w:rPr>
        <w:t xml:space="preserve"> difficulties in sustaining trust while experimenting with different IP coordination mechani</w:t>
      </w:r>
      <w:r w:rsidR="00243348">
        <w:rPr>
          <w:rFonts w:asciiTheme="minorHAnsi" w:eastAsiaTheme="minorHAnsi" w:hAnsiTheme="minorHAnsi" w:cstheme="minorHAnsi"/>
          <w:sz w:val="22"/>
          <w:szCs w:val="22"/>
        </w:rPr>
        <w:t>sms</w:t>
      </w:r>
      <w:r w:rsidR="006074DA">
        <w:rPr>
          <w:rFonts w:asciiTheme="minorHAnsi" w:eastAsiaTheme="minorHAnsi" w:hAnsiTheme="minorHAnsi" w:cstheme="minorHAnsi"/>
          <w:sz w:val="22"/>
          <w:szCs w:val="22"/>
        </w:rPr>
        <w:t>.</w:t>
      </w:r>
      <w:r w:rsidR="00243348">
        <w:rPr>
          <w:rStyle w:val="Appelnotedebasdep"/>
          <w:rFonts w:asciiTheme="minorHAnsi" w:eastAsiaTheme="minorHAnsi" w:hAnsiTheme="minorHAnsi" w:cstheme="minorHAnsi"/>
          <w:sz w:val="22"/>
          <w:szCs w:val="22"/>
        </w:rPr>
        <w:footnoteReference w:id="6"/>
      </w:r>
      <w:r w:rsidR="00243348">
        <w:rPr>
          <w:rFonts w:asciiTheme="minorHAnsi" w:eastAsiaTheme="minorHAnsi" w:hAnsiTheme="minorHAnsi" w:cstheme="minorHAnsi"/>
          <w:sz w:val="22"/>
          <w:szCs w:val="22"/>
        </w:rPr>
        <w:t xml:space="preserve"> </w:t>
      </w:r>
    </w:p>
    <w:p w14:paraId="4980C46B" w14:textId="77777777" w:rsidR="00075CDE" w:rsidRDefault="00075CDE" w:rsidP="00075CDE">
      <w:pPr>
        <w:spacing w:after="120" w:line="276" w:lineRule="auto"/>
        <w:contextualSpacing/>
        <w:jc w:val="both"/>
        <w:rPr>
          <w:rFonts w:asciiTheme="minorHAnsi" w:hAnsiTheme="minorHAnsi" w:cstheme="minorHAnsi"/>
          <w:sz w:val="22"/>
          <w:szCs w:val="22"/>
        </w:rPr>
      </w:pPr>
    </w:p>
    <w:p w14:paraId="30066788" w14:textId="52DB7E15" w:rsidR="00B43DF7" w:rsidRDefault="00F61AE6" w:rsidP="00075CDE">
      <w:pPr>
        <w:spacing w:after="120" w:line="276" w:lineRule="auto"/>
        <w:contextualSpacing/>
        <w:jc w:val="both"/>
        <w:rPr>
          <w:rFonts w:asciiTheme="minorHAnsi" w:eastAsia="Times New Roman" w:hAnsiTheme="minorHAnsi" w:cstheme="minorHAnsi"/>
          <w:color w:val="222222"/>
          <w:sz w:val="22"/>
          <w:szCs w:val="22"/>
          <w:lang w:val="en-GB" w:eastAsia="fr-BE"/>
        </w:rPr>
      </w:pPr>
      <w:r>
        <w:rPr>
          <w:rFonts w:asciiTheme="minorHAnsi" w:hAnsiTheme="minorHAnsi" w:cstheme="minorHAnsi"/>
          <w:sz w:val="22"/>
          <w:szCs w:val="22"/>
        </w:rPr>
        <w:t>W</w:t>
      </w:r>
      <w:r w:rsidR="006074DA">
        <w:rPr>
          <w:rFonts w:asciiTheme="minorHAnsi" w:hAnsiTheme="minorHAnsi" w:cstheme="minorHAnsi"/>
          <w:sz w:val="22"/>
          <w:szCs w:val="22"/>
        </w:rPr>
        <w:t xml:space="preserve">e recognize that many potential hurdles exist to </w:t>
      </w:r>
      <w:r w:rsidR="001B3EFF">
        <w:rPr>
          <w:rFonts w:asciiTheme="minorHAnsi" w:hAnsiTheme="minorHAnsi" w:cstheme="minorHAnsi"/>
          <w:sz w:val="22"/>
          <w:szCs w:val="22"/>
        </w:rPr>
        <w:t>large-scale</w:t>
      </w:r>
      <w:r w:rsidR="006074DA">
        <w:rPr>
          <w:rFonts w:asciiTheme="minorHAnsi" w:hAnsiTheme="minorHAnsi" w:cstheme="minorHAnsi"/>
          <w:sz w:val="22"/>
          <w:szCs w:val="22"/>
        </w:rPr>
        <w:t xml:space="preserve"> legal applications of blockchain technology</w:t>
      </w:r>
      <w:r>
        <w:rPr>
          <w:rFonts w:asciiTheme="minorHAnsi" w:hAnsiTheme="minorHAnsi" w:cstheme="minorHAnsi"/>
          <w:sz w:val="22"/>
          <w:szCs w:val="22"/>
        </w:rPr>
        <w:t xml:space="preserve"> </w:t>
      </w:r>
      <w:r w:rsidR="001B3EFF">
        <w:rPr>
          <w:rFonts w:asciiTheme="minorHAnsi" w:hAnsiTheme="minorHAnsi" w:cstheme="minorHAnsi"/>
          <w:sz w:val="22"/>
          <w:szCs w:val="22"/>
        </w:rPr>
        <w:t>(</w:t>
      </w:r>
      <w:r w:rsidR="009A25F9">
        <w:rPr>
          <w:rFonts w:asciiTheme="minorHAnsi" w:hAnsiTheme="minorHAnsi" w:cstheme="minorHAnsi"/>
          <w:sz w:val="22"/>
          <w:szCs w:val="22"/>
        </w:rPr>
        <w:t xml:space="preserve">e.g. </w:t>
      </w:r>
      <w:r w:rsidR="006074DA">
        <w:rPr>
          <w:rFonts w:asciiTheme="minorHAnsi" w:hAnsiTheme="minorHAnsi" w:cstheme="minorHAnsi"/>
          <w:sz w:val="22"/>
          <w:szCs w:val="22"/>
        </w:rPr>
        <w:t>data security and privacy issues</w:t>
      </w:r>
      <w:r>
        <w:rPr>
          <w:rFonts w:asciiTheme="minorHAnsi" w:hAnsiTheme="minorHAnsi" w:cstheme="minorHAnsi"/>
          <w:sz w:val="22"/>
          <w:szCs w:val="22"/>
        </w:rPr>
        <w:t xml:space="preserve">, environmental cost of heavy data management infrastructure as well as determining </w:t>
      </w:r>
      <w:r w:rsidR="006074DA">
        <w:rPr>
          <w:rFonts w:asciiTheme="minorHAnsi" w:hAnsiTheme="minorHAnsi" w:cstheme="minorHAnsi"/>
          <w:sz w:val="22"/>
          <w:szCs w:val="22"/>
        </w:rPr>
        <w:t>the applicable law</w:t>
      </w:r>
      <w:r>
        <w:rPr>
          <w:rFonts w:asciiTheme="minorHAnsi" w:hAnsiTheme="minorHAnsi" w:cstheme="minorHAnsi"/>
          <w:sz w:val="22"/>
          <w:szCs w:val="22"/>
        </w:rPr>
        <w:t>). However,</w:t>
      </w:r>
      <w:r w:rsidR="006074DA">
        <w:rPr>
          <w:rFonts w:asciiTheme="minorHAnsi" w:hAnsiTheme="minorHAnsi" w:cstheme="minorHAnsi"/>
          <w:sz w:val="22"/>
          <w:szCs w:val="22"/>
        </w:rPr>
        <w:t xml:space="preserve"> we believe it is worthwhile exploring whether and how blockchain technology could serve to facilitate the implementation of complex licensing mechanisms such as the MLs of the ITPGRFA and patent pools in the biomedical </w:t>
      </w:r>
      <w:r w:rsidR="006074DA">
        <w:rPr>
          <w:rFonts w:asciiTheme="minorHAnsi" w:hAnsiTheme="minorHAnsi" w:cstheme="minorHAnsi"/>
          <w:sz w:val="22"/>
          <w:szCs w:val="22"/>
        </w:rPr>
        <w:lastRenderedPageBreak/>
        <w:t xml:space="preserve">sector. These IP licensing models have encountered various challenges in their application, including problems related to trust and resilience of the mechanisms. </w:t>
      </w:r>
      <w:r w:rsidR="001B3EFF">
        <w:rPr>
          <w:rFonts w:asciiTheme="minorHAnsi" w:hAnsiTheme="minorHAnsi" w:cstheme="minorHAnsi"/>
          <w:sz w:val="22"/>
          <w:szCs w:val="22"/>
          <w:lang w:val="en-GB"/>
        </w:rPr>
        <w:t>To what extent could blockchain technology overcome some of the challenges of IP management and governance? Through a literature review (on blockchain technology, on trust and technology as well as resilience) and two case studies in the plant and biomedical sectors (based on publicly available information, earlier research of authors and interviews with stakeholders), we</w:t>
      </w:r>
      <w:r w:rsidR="001B3EFF">
        <w:rPr>
          <w:rFonts w:asciiTheme="minorHAnsi" w:hAnsiTheme="minorHAnsi" w:cstheme="minorHAnsi"/>
          <w:sz w:val="22"/>
          <w:szCs w:val="22"/>
        </w:rPr>
        <w:t xml:space="preserve"> investigate the potential to strengthen the trustworthiness and the resilience of these mechanisms by employing blockchain technology. </w:t>
      </w:r>
      <w:r w:rsidR="009A25F9">
        <w:rPr>
          <w:rFonts w:asciiTheme="minorHAnsi" w:hAnsiTheme="minorHAnsi" w:cstheme="minorHAnsi"/>
          <w:sz w:val="22"/>
          <w:szCs w:val="22"/>
        </w:rPr>
        <w:t>First, t</w:t>
      </w:r>
      <w:r w:rsidR="006074DA">
        <w:rPr>
          <w:rFonts w:asciiTheme="minorHAnsi" w:hAnsiTheme="minorHAnsi" w:cstheme="minorHAnsi"/>
          <w:sz w:val="22"/>
          <w:szCs w:val="22"/>
        </w:rPr>
        <w:t xml:space="preserve">he paper </w:t>
      </w:r>
      <w:r w:rsidR="009A25F9">
        <w:rPr>
          <w:rFonts w:asciiTheme="minorHAnsi" w:hAnsiTheme="minorHAnsi" w:cstheme="minorHAnsi"/>
          <w:sz w:val="22"/>
          <w:szCs w:val="22"/>
        </w:rPr>
        <w:t>sketches advantages, disadvantages,</w:t>
      </w:r>
      <w:r w:rsidR="006074DA">
        <w:rPr>
          <w:rFonts w:asciiTheme="minorHAnsi" w:hAnsiTheme="minorHAnsi" w:cstheme="minorHAnsi"/>
          <w:sz w:val="22"/>
          <w:szCs w:val="22"/>
        </w:rPr>
        <w:t xml:space="preserve"> and some examples of the application of blockchain technology in the management of IP rights. </w:t>
      </w:r>
      <w:r w:rsidR="009A25F9">
        <w:rPr>
          <w:rFonts w:asciiTheme="minorHAnsi" w:hAnsiTheme="minorHAnsi" w:cstheme="minorHAnsi"/>
          <w:sz w:val="22"/>
          <w:szCs w:val="22"/>
        </w:rPr>
        <w:t>Second,</w:t>
      </w:r>
      <w:r w:rsidR="006074DA">
        <w:rPr>
          <w:rFonts w:asciiTheme="minorHAnsi" w:hAnsiTheme="minorHAnsi" w:cstheme="minorHAnsi"/>
          <w:sz w:val="22"/>
          <w:szCs w:val="22"/>
        </w:rPr>
        <w:t xml:space="preserve"> </w:t>
      </w:r>
      <w:r w:rsidR="00515975">
        <w:rPr>
          <w:rFonts w:asciiTheme="minorHAnsi" w:hAnsiTheme="minorHAnsi" w:cstheme="minorHAnsi"/>
          <w:sz w:val="22"/>
          <w:szCs w:val="22"/>
        </w:rPr>
        <w:t>the</w:t>
      </w:r>
      <w:r w:rsidR="006074DA">
        <w:rPr>
          <w:rFonts w:asciiTheme="minorHAnsi" w:hAnsiTheme="minorHAnsi" w:cstheme="minorHAnsi"/>
          <w:sz w:val="22"/>
          <w:szCs w:val="22"/>
        </w:rPr>
        <w:t xml:space="preserve"> case studies </w:t>
      </w:r>
      <w:r w:rsidR="009A25F9">
        <w:rPr>
          <w:rFonts w:asciiTheme="minorHAnsi" w:hAnsiTheme="minorHAnsi" w:cstheme="minorHAnsi"/>
          <w:sz w:val="22"/>
          <w:szCs w:val="22"/>
        </w:rPr>
        <w:t>analyze</w:t>
      </w:r>
      <w:r w:rsidR="006074DA">
        <w:rPr>
          <w:rFonts w:asciiTheme="minorHAnsi" w:hAnsiTheme="minorHAnsi" w:cstheme="minorHAnsi"/>
          <w:sz w:val="22"/>
          <w:szCs w:val="22"/>
        </w:rPr>
        <w:t xml:space="preserve"> how blockchain technology could be implemented within the </w:t>
      </w:r>
      <w:r w:rsidR="009A25F9">
        <w:rPr>
          <w:rFonts w:asciiTheme="minorHAnsi" w:eastAsiaTheme="minorHAnsi" w:hAnsiTheme="minorHAnsi" w:cstheme="minorHAnsi"/>
          <w:sz w:val="22"/>
          <w:szCs w:val="22"/>
        </w:rPr>
        <w:t>plant and biomedical fields</w:t>
      </w:r>
      <w:r w:rsidR="009A25F9">
        <w:rPr>
          <w:rFonts w:asciiTheme="minorHAnsi" w:hAnsiTheme="minorHAnsi" w:cstheme="minorHAnsi"/>
          <w:sz w:val="22"/>
          <w:szCs w:val="22"/>
        </w:rPr>
        <w:t>, including</w:t>
      </w:r>
      <w:r w:rsidR="006074DA">
        <w:rPr>
          <w:rFonts w:asciiTheme="minorHAnsi" w:hAnsiTheme="minorHAnsi" w:cstheme="minorHAnsi"/>
          <w:sz w:val="22"/>
          <w:szCs w:val="22"/>
        </w:rPr>
        <w:t xml:space="preserve"> the insights from the interviews with stakeholders. Finally, the paper offers some preliminary conclusions on the feasibility of implementing blockchain technology within the context of these particular cases and some provisional recommendations that could potentially be extended to other fields and sectors.</w:t>
      </w:r>
    </w:p>
    <w:p w14:paraId="00BE91CB" w14:textId="77777777" w:rsidR="00B43DF7" w:rsidRDefault="00B43DF7" w:rsidP="00075CDE">
      <w:pPr>
        <w:spacing w:after="120" w:line="276" w:lineRule="auto"/>
        <w:contextualSpacing/>
        <w:jc w:val="both"/>
        <w:rPr>
          <w:rFonts w:asciiTheme="minorHAnsi" w:hAnsiTheme="minorHAnsi" w:cstheme="minorHAnsi"/>
          <w:sz w:val="22"/>
          <w:szCs w:val="22"/>
          <w:lang w:val="en-GB"/>
        </w:rPr>
      </w:pPr>
    </w:p>
    <w:p w14:paraId="29EBD3DE" w14:textId="77777777" w:rsidR="00B43DF7" w:rsidRDefault="00B43DF7" w:rsidP="00075CDE">
      <w:pPr>
        <w:spacing w:after="120" w:line="276" w:lineRule="auto"/>
        <w:contextualSpacing/>
        <w:jc w:val="both"/>
        <w:rPr>
          <w:rFonts w:asciiTheme="minorHAnsi" w:hAnsiTheme="minorHAnsi" w:cstheme="minorHAnsi"/>
          <w:sz w:val="22"/>
          <w:szCs w:val="22"/>
          <w:lang w:val="en-GB"/>
        </w:rPr>
      </w:pPr>
    </w:p>
    <w:p w14:paraId="572BAB30" w14:textId="77777777" w:rsidR="00B43DF7" w:rsidRDefault="006074DA" w:rsidP="00075CDE">
      <w:pPr>
        <w:spacing w:after="120" w:line="276" w:lineRule="auto"/>
        <w:contextualSpacing/>
        <w:jc w:val="both"/>
        <w:rPr>
          <w:rFonts w:asciiTheme="minorHAnsi" w:hAnsiTheme="minorHAnsi" w:cstheme="minorHAnsi"/>
          <w:b/>
          <w:sz w:val="22"/>
          <w:szCs w:val="22"/>
          <w:lang w:val="en-GB"/>
        </w:rPr>
      </w:pPr>
      <w:r>
        <w:rPr>
          <w:rFonts w:asciiTheme="minorHAnsi" w:hAnsiTheme="minorHAnsi" w:cstheme="minorHAnsi"/>
          <w:b/>
          <w:sz w:val="22"/>
          <w:szCs w:val="22"/>
          <w:lang w:val="en-GB"/>
        </w:rPr>
        <w:t>Bibliography</w:t>
      </w:r>
    </w:p>
    <w:p w14:paraId="415336FA" w14:textId="77777777" w:rsidR="00B43DF7" w:rsidRDefault="006074DA" w:rsidP="00075CDE">
      <w:pPr>
        <w:pStyle w:val="Notedebasdepage"/>
        <w:spacing w:after="120" w:line="276" w:lineRule="auto"/>
        <w:contextualSpacing/>
        <w:jc w:val="both"/>
        <w:rPr>
          <w:rFonts w:asciiTheme="minorHAnsi" w:hAnsiTheme="minorHAnsi" w:cstheme="minorHAnsi"/>
          <w:sz w:val="22"/>
          <w:szCs w:val="22"/>
        </w:rPr>
      </w:pPr>
      <w:proofErr w:type="spellStart"/>
      <w:r>
        <w:rPr>
          <w:rFonts w:asciiTheme="minorHAnsi" w:hAnsiTheme="minorHAnsi" w:cstheme="minorHAnsi"/>
          <w:sz w:val="22"/>
          <w:szCs w:val="22"/>
        </w:rPr>
        <w:t>Catalini</w:t>
      </w:r>
      <w:proofErr w:type="spellEnd"/>
      <w:r>
        <w:rPr>
          <w:rFonts w:asciiTheme="minorHAnsi" w:hAnsiTheme="minorHAnsi" w:cstheme="minorHAnsi"/>
          <w:sz w:val="22"/>
          <w:szCs w:val="22"/>
        </w:rPr>
        <w:t xml:space="preserve">, C. &amp; </w:t>
      </w:r>
      <w:proofErr w:type="spellStart"/>
      <w:r>
        <w:rPr>
          <w:rFonts w:asciiTheme="minorHAnsi" w:hAnsiTheme="minorHAnsi" w:cstheme="minorHAnsi"/>
          <w:sz w:val="22"/>
          <w:szCs w:val="22"/>
        </w:rPr>
        <w:t>Gans</w:t>
      </w:r>
      <w:proofErr w:type="spellEnd"/>
      <w:r>
        <w:rPr>
          <w:rFonts w:asciiTheme="minorHAnsi" w:hAnsiTheme="minorHAnsi" w:cstheme="minorHAnsi"/>
          <w:sz w:val="22"/>
          <w:szCs w:val="22"/>
        </w:rPr>
        <w:t xml:space="preserve">, J.S. (2017), </w:t>
      </w:r>
      <w:r>
        <w:rPr>
          <w:rFonts w:asciiTheme="minorHAnsi" w:hAnsiTheme="minorHAnsi" w:cstheme="minorHAnsi"/>
          <w:i/>
          <w:sz w:val="22"/>
          <w:szCs w:val="22"/>
        </w:rPr>
        <w:t>Some Simple Economics of the Blockchain</w:t>
      </w:r>
      <w:r>
        <w:rPr>
          <w:rFonts w:asciiTheme="minorHAnsi" w:hAnsiTheme="minorHAnsi" w:cstheme="minorHAnsi"/>
          <w:sz w:val="22"/>
          <w:szCs w:val="22"/>
        </w:rPr>
        <w:t xml:space="preserve">, </w:t>
      </w:r>
      <w:proofErr w:type="spellStart"/>
      <w:r>
        <w:rPr>
          <w:rFonts w:asciiTheme="minorHAnsi" w:hAnsiTheme="minorHAnsi" w:cstheme="minorHAnsi"/>
          <w:sz w:val="22"/>
          <w:szCs w:val="22"/>
          <w:shd w:val="clear" w:color="auto" w:fill="FFFFFF"/>
        </w:rPr>
        <w:t>Catalini</w:t>
      </w:r>
      <w:proofErr w:type="spellEnd"/>
      <w:r>
        <w:rPr>
          <w:rFonts w:asciiTheme="minorHAnsi" w:hAnsiTheme="minorHAnsi" w:cstheme="minorHAnsi"/>
          <w:sz w:val="22"/>
          <w:szCs w:val="22"/>
          <w:shd w:val="clear" w:color="auto" w:fill="FFFFFF"/>
        </w:rPr>
        <w:t xml:space="preserve">, Christian and </w:t>
      </w:r>
      <w:proofErr w:type="spellStart"/>
      <w:r>
        <w:rPr>
          <w:rFonts w:asciiTheme="minorHAnsi" w:hAnsiTheme="minorHAnsi" w:cstheme="minorHAnsi"/>
          <w:sz w:val="22"/>
          <w:szCs w:val="22"/>
          <w:shd w:val="clear" w:color="auto" w:fill="FFFFFF"/>
        </w:rPr>
        <w:t>Gans</w:t>
      </w:r>
      <w:proofErr w:type="spellEnd"/>
      <w:r>
        <w:rPr>
          <w:rFonts w:asciiTheme="minorHAnsi" w:hAnsiTheme="minorHAnsi" w:cstheme="minorHAnsi"/>
          <w:sz w:val="22"/>
          <w:szCs w:val="22"/>
          <w:shd w:val="clear" w:color="auto" w:fill="FFFFFF"/>
        </w:rPr>
        <w:t xml:space="preserve">, Joshua S., Some Simple Economics of the Blockchain (September 21, 2017). </w:t>
      </w:r>
      <w:proofErr w:type="spellStart"/>
      <w:r>
        <w:rPr>
          <w:rFonts w:asciiTheme="minorHAnsi" w:hAnsiTheme="minorHAnsi" w:cstheme="minorHAnsi"/>
          <w:sz w:val="22"/>
          <w:szCs w:val="22"/>
          <w:shd w:val="clear" w:color="auto" w:fill="FFFFFF"/>
        </w:rPr>
        <w:t>Rotman</w:t>
      </w:r>
      <w:proofErr w:type="spellEnd"/>
      <w:r>
        <w:rPr>
          <w:rFonts w:asciiTheme="minorHAnsi" w:hAnsiTheme="minorHAnsi" w:cstheme="minorHAnsi"/>
          <w:sz w:val="22"/>
          <w:szCs w:val="22"/>
          <w:shd w:val="clear" w:color="auto" w:fill="FFFFFF"/>
        </w:rPr>
        <w:t xml:space="preserve"> School of Management Working Paper No. 2874598; MIT Sloan Research Paper No. 5191-16 </w:t>
      </w:r>
      <w:r>
        <w:rPr>
          <w:rFonts w:asciiTheme="minorHAnsi" w:hAnsiTheme="minorHAnsi" w:cstheme="minorHAnsi"/>
          <w:sz w:val="22"/>
          <w:szCs w:val="22"/>
        </w:rPr>
        <w:t xml:space="preserve">available at: </w:t>
      </w:r>
      <w:hyperlink r:id="rId8" w:history="1">
        <w:r>
          <w:rPr>
            <w:rStyle w:val="Lienhypertexte"/>
            <w:rFonts w:asciiTheme="minorHAnsi" w:hAnsiTheme="minorHAnsi" w:cstheme="minorHAnsi"/>
            <w:sz w:val="22"/>
            <w:szCs w:val="22"/>
            <w:shd w:val="clear" w:color="auto" w:fill="FFFFFF"/>
          </w:rPr>
          <w:t>https://ssrn.com/abstract=2874598</w:t>
        </w:r>
      </w:hyperlink>
      <w:r>
        <w:rPr>
          <w:rFonts w:asciiTheme="minorHAnsi" w:hAnsiTheme="minorHAnsi" w:cstheme="minorHAnsi"/>
          <w:sz w:val="22"/>
          <w:szCs w:val="22"/>
        </w:rPr>
        <w:t xml:space="preserve"> (last retrieved: 29/03/2018)</w:t>
      </w:r>
    </w:p>
    <w:p w14:paraId="3070F195" w14:textId="77777777" w:rsidR="00B43DF7" w:rsidRDefault="006074DA" w:rsidP="00075CDE">
      <w:pPr>
        <w:pStyle w:val="Notedebasdepage"/>
        <w:spacing w:after="120" w:line="276" w:lineRule="auto"/>
        <w:contextualSpacing/>
        <w:jc w:val="both"/>
        <w:rPr>
          <w:rFonts w:asciiTheme="minorHAnsi" w:hAnsiTheme="minorHAnsi" w:cstheme="minorHAnsi"/>
          <w:sz w:val="22"/>
          <w:szCs w:val="22"/>
          <w:lang w:val="en-GB"/>
        </w:rPr>
      </w:pPr>
      <w:r>
        <w:rPr>
          <w:rFonts w:asciiTheme="minorHAnsi" w:hAnsiTheme="minorHAnsi" w:cstheme="minorHAnsi"/>
          <w:sz w:val="22"/>
          <w:szCs w:val="22"/>
        </w:rPr>
        <w:t xml:space="preserve">ETC Group (2017), “2017: The Year of Bits, Bots and Blockchains”, 28 December 2017, available at: </w:t>
      </w:r>
      <w:hyperlink r:id="rId9" w:history="1">
        <w:r>
          <w:rPr>
            <w:rStyle w:val="Lienhypertexte"/>
            <w:rFonts w:asciiTheme="minorHAnsi" w:hAnsiTheme="minorHAnsi" w:cstheme="minorHAnsi"/>
            <w:sz w:val="22"/>
            <w:szCs w:val="22"/>
          </w:rPr>
          <w:t>http://www.etcgroup.org/content/2017-year-bits-bots-and-blockchains</w:t>
        </w:r>
      </w:hyperlink>
      <w:r>
        <w:rPr>
          <w:rFonts w:asciiTheme="minorHAnsi" w:hAnsiTheme="minorHAnsi" w:cstheme="minorHAnsi"/>
          <w:sz w:val="22"/>
          <w:szCs w:val="22"/>
        </w:rPr>
        <w:t xml:space="preserve"> (last retrieved: 29/03/2018)</w:t>
      </w:r>
    </w:p>
    <w:p w14:paraId="77F0B605" w14:textId="77777777" w:rsidR="00B43DF7" w:rsidRDefault="006074DA" w:rsidP="00075CDE">
      <w:pPr>
        <w:spacing w:after="120" w:line="276" w:lineRule="auto"/>
        <w:contextualSpacing/>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Frison, C. (2016), </w:t>
      </w:r>
      <w:r>
        <w:rPr>
          <w:rFonts w:asciiTheme="minorHAnsi" w:hAnsiTheme="minorHAnsi" w:cstheme="minorHAnsi"/>
          <w:i/>
          <w:sz w:val="22"/>
          <w:szCs w:val="22"/>
          <w:lang w:val="en-GB"/>
        </w:rPr>
        <w:t>Towards Redesigning the Global Seed Commons</w:t>
      </w:r>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UCLouvan</w:t>
      </w:r>
      <w:proofErr w:type="spellEnd"/>
      <w:r>
        <w:rPr>
          <w:rFonts w:asciiTheme="minorHAnsi" w:hAnsiTheme="minorHAnsi" w:cstheme="minorHAnsi"/>
          <w:sz w:val="22"/>
          <w:szCs w:val="22"/>
          <w:lang w:val="en-GB"/>
        </w:rPr>
        <w:t xml:space="preserve"> &amp; KU Leuven</w:t>
      </w:r>
    </w:p>
    <w:p w14:paraId="6883D64D" w14:textId="77777777" w:rsidR="00B43DF7" w:rsidRDefault="006074DA" w:rsidP="00075CDE">
      <w:pPr>
        <w:autoSpaceDE w:val="0"/>
        <w:autoSpaceDN w:val="0"/>
        <w:adjustRightInd w:val="0"/>
        <w:spacing w:after="120" w:line="276" w:lineRule="auto"/>
        <w:contextualSpacing/>
        <w:jc w:val="both"/>
        <w:rPr>
          <w:rFonts w:asciiTheme="minorHAnsi" w:hAnsiTheme="minorHAnsi" w:cstheme="minorHAnsi"/>
          <w:sz w:val="22"/>
          <w:szCs w:val="22"/>
          <w:lang w:val="en-GB"/>
        </w:rPr>
      </w:pPr>
      <w:r>
        <w:rPr>
          <w:rFonts w:asciiTheme="minorHAnsi" w:eastAsiaTheme="minorHAnsi" w:hAnsiTheme="minorHAnsi" w:cstheme="minorHAnsi"/>
          <w:sz w:val="22"/>
          <w:szCs w:val="22"/>
        </w:rPr>
        <w:t xml:space="preserve">Frison, C. et al. (2011), </w:t>
      </w:r>
      <w:r>
        <w:rPr>
          <w:rFonts w:asciiTheme="minorHAnsi" w:eastAsiaTheme="minorHAnsi" w:hAnsiTheme="minorHAnsi" w:cstheme="minorHAnsi"/>
          <w:i/>
          <w:iCs/>
          <w:sz w:val="22"/>
          <w:szCs w:val="22"/>
        </w:rPr>
        <w:t xml:space="preserve">Plant Genetic Resources </w:t>
      </w:r>
      <w:proofErr w:type="gramStart"/>
      <w:r>
        <w:rPr>
          <w:rFonts w:asciiTheme="minorHAnsi" w:eastAsiaTheme="minorHAnsi" w:hAnsiTheme="minorHAnsi" w:cstheme="minorHAnsi"/>
          <w:i/>
          <w:iCs/>
          <w:sz w:val="22"/>
          <w:szCs w:val="22"/>
        </w:rPr>
        <w:t>And</w:t>
      </w:r>
      <w:proofErr w:type="gramEnd"/>
      <w:r>
        <w:rPr>
          <w:rFonts w:asciiTheme="minorHAnsi" w:eastAsiaTheme="minorHAnsi" w:hAnsiTheme="minorHAnsi" w:cstheme="minorHAnsi"/>
          <w:i/>
          <w:iCs/>
          <w:sz w:val="22"/>
          <w:szCs w:val="22"/>
        </w:rPr>
        <w:t xml:space="preserve"> Food Security: Stakeholder Perspectives On The International Treaty On Plant Genetic Resources For Food And Agriculture</w:t>
      </w:r>
      <w:r>
        <w:rPr>
          <w:rFonts w:asciiTheme="minorHAnsi" w:eastAsiaTheme="minorHAnsi" w:hAnsiTheme="minorHAnsi" w:cstheme="minorHAnsi"/>
          <w:sz w:val="22"/>
          <w:szCs w:val="22"/>
        </w:rPr>
        <w:t>, Washington: Taylor &amp; Francis Ltd.</w:t>
      </w:r>
    </w:p>
    <w:p w14:paraId="24C124D0" w14:textId="77777777" w:rsidR="00B43DF7" w:rsidRDefault="006074DA" w:rsidP="00075CDE">
      <w:pPr>
        <w:pStyle w:val="Notedebasdepage"/>
        <w:spacing w:after="120" w:line="276" w:lineRule="auto"/>
        <w:contextualSpacing/>
        <w:jc w:val="both"/>
        <w:rPr>
          <w:rFonts w:asciiTheme="minorHAnsi" w:hAnsiTheme="minorHAnsi" w:cstheme="minorHAnsi"/>
          <w:sz w:val="22"/>
          <w:szCs w:val="22"/>
          <w:lang w:val="en-GB"/>
        </w:rPr>
      </w:pPr>
      <w:proofErr w:type="spellStart"/>
      <w:r>
        <w:rPr>
          <w:rFonts w:asciiTheme="minorHAnsi" w:hAnsiTheme="minorHAnsi" w:cstheme="minorHAnsi"/>
          <w:sz w:val="22"/>
          <w:szCs w:val="22"/>
          <w:lang w:val="en-GB"/>
        </w:rPr>
        <w:t>Gabison</w:t>
      </w:r>
      <w:proofErr w:type="spellEnd"/>
      <w:r>
        <w:rPr>
          <w:rFonts w:asciiTheme="minorHAnsi" w:hAnsiTheme="minorHAnsi" w:cstheme="minorHAnsi"/>
          <w:sz w:val="22"/>
          <w:szCs w:val="22"/>
          <w:lang w:val="en-GB"/>
        </w:rPr>
        <w:t xml:space="preserve">, G. (2016), “Policy Considerations for the Blockchain Technology Public and Private Applications”, </w:t>
      </w:r>
      <w:r>
        <w:rPr>
          <w:rFonts w:asciiTheme="minorHAnsi" w:hAnsiTheme="minorHAnsi" w:cstheme="minorHAnsi"/>
          <w:i/>
          <w:sz w:val="22"/>
          <w:szCs w:val="22"/>
          <w:lang w:val="en-GB"/>
        </w:rPr>
        <w:t>Science and Technology Law Review</w:t>
      </w:r>
      <w:r>
        <w:rPr>
          <w:rFonts w:asciiTheme="minorHAnsi" w:hAnsiTheme="minorHAnsi" w:cstheme="minorHAnsi"/>
          <w:sz w:val="22"/>
          <w:szCs w:val="22"/>
          <w:lang w:val="en-GB"/>
        </w:rPr>
        <w:t xml:space="preserve"> 19:327-350</w:t>
      </w:r>
    </w:p>
    <w:p w14:paraId="20ADF510" w14:textId="2ACDC573" w:rsidR="00F61AE6" w:rsidRPr="00CC46B5" w:rsidRDefault="00B12291" w:rsidP="00075CDE">
      <w:pPr>
        <w:pStyle w:val="Notedebasdepage"/>
        <w:spacing w:after="120" w:line="276" w:lineRule="auto"/>
        <w:contextualSpacing/>
        <w:jc w:val="both"/>
        <w:rPr>
          <w:rFonts w:asciiTheme="minorHAnsi" w:hAnsiTheme="minorHAnsi" w:cstheme="minorHAnsi"/>
          <w:sz w:val="28"/>
          <w:szCs w:val="22"/>
          <w:lang w:val="en-GB"/>
        </w:rPr>
      </w:pPr>
      <w:r w:rsidRPr="00B12291">
        <w:rPr>
          <w:rFonts w:asciiTheme="minorHAnsi" w:eastAsiaTheme="minorHAnsi" w:hAnsiTheme="minorHAnsi" w:cstheme="minorHAnsi"/>
          <w:sz w:val="22"/>
          <w:szCs w:val="18"/>
          <w:lang w:val="en-GB"/>
        </w:rPr>
        <w:t>Girard, F. and C. Frison (2018),</w:t>
      </w:r>
      <w:r w:rsidRPr="00CC46B5">
        <w:rPr>
          <w:rFonts w:asciiTheme="minorHAnsi" w:eastAsiaTheme="minorHAnsi" w:hAnsiTheme="minorHAnsi" w:cstheme="minorHAnsi"/>
          <w:sz w:val="22"/>
          <w:szCs w:val="18"/>
          <w:lang w:val="en-GB"/>
        </w:rPr>
        <w:t xml:space="preserve"> </w:t>
      </w:r>
      <w:r w:rsidRPr="00CC46B5">
        <w:rPr>
          <w:rFonts w:asciiTheme="minorHAnsi" w:eastAsiaTheme="minorHAnsi" w:hAnsiTheme="minorHAnsi" w:cstheme="minorHAnsi"/>
          <w:i/>
          <w:sz w:val="22"/>
          <w:szCs w:val="18"/>
          <w:u w:val="single"/>
          <w:lang w:val="en-GB"/>
        </w:rPr>
        <w:t>The Commons, Plant Breeding and Agricultural Research: Challenges for Food Security and Agrobiodiversity</w:t>
      </w:r>
      <w:r w:rsidRPr="00CC46B5">
        <w:rPr>
          <w:rFonts w:asciiTheme="minorHAnsi" w:eastAsiaTheme="minorHAnsi" w:hAnsiTheme="minorHAnsi" w:cstheme="minorHAnsi"/>
          <w:sz w:val="22"/>
          <w:szCs w:val="18"/>
          <w:lang w:val="en-GB"/>
        </w:rPr>
        <w:t>,</w:t>
      </w:r>
      <w:r>
        <w:rPr>
          <w:rFonts w:asciiTheme="minorHAnsi" w:eastAsiaTheme="minorHAnsi" w:hAnsiTheme="minorHAnsi" w:cstheme="minorHAnsi"/>
          <w:sz w:val="22"/>
          <w:szCs w:val="18"/>
          <w:lang w:val="en-GB"/>
        </w:rPr>
        <w:t xml:space="preserve"> Oxon:</w:t>
      </w:r>
      <w:r w:rsidRPr="00CC46B5">
        <w:rPr>
          <w:rFonts w:asciiTheme="minorHAnsi" w:eastAsiaTheme="minorHAnsi" w:hAnsiTheme="minorHAnsi" w:cstheme="minorHAnsi"/>
          <w:sz w:val="22"/>
          <w:szCs w:val="18"/>
          <w:lang w:val="en-GB"/>
        </w:rPr>
        <w:t xml:space="preserve"> Routledge.</w:t>
      </w:r>
    </w:p>
    <w:p w14:paraId="4C9F34D0" w14:textId="49BF0281" w:rsidR="00B43DF7" w:rsidRDefault="006074DA" w:rsidP="00075CDE">
      <w:pPr>
        <w:pStyle w:val="Notedebasdepage"/>
        <w:spacing w:after="120" w:line="276" w:lineRule="auto"/>
        <w:contextualSpacing/>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Hileman, G. &amp; </w:t>
      </w:r>
      <w:proofErr w:type="spellStart"/>
      <w:r>
        <w:rPr>
          <w:rFonts w:asciiTheme="minorHAnsi" w:hAnsiTheme="minorHAnsi" w:cstheme="minorHAnsi"/>
          <w:sz w:val="22"/>
          <w:szCs w:val="22"/>
          <w:lang w:val="en-GB"/>
        </w:rPr>
        <w:t>Rauchs</w:t>
      </w:r>
      <w:proofErr w:type="spellEnd"/>
      <w:r>
        <w:rPr>
          <w:rFonts w:asciiTheme="minorHAnsi" w:hAnsiTheme="minorHAnsi" w:cstheme="minorHAnsi"/>
          <w:sz w:val="22"/>
          <w:szCs w:val="22"/>
          <w:lang w:val="en-GB"/>
        </w:rPr>
        <w:t xml:space="preserve">, M. (2017), </w:t>
      </w:r>
      <w:r>
        <w:rPr>
          <w:rFonts w:asciiTheme="minorHAnsi" w:hAnsiTheme="minorHAnsi" w:cstheme="minorHAnsi"/>
          <w:i/>
          <w:sz w:val="22"/>
          <w:szCs w:val="22"/>
          <w:lang w:val="en-GB"/>
        </w:rPr>
        <w:t>Global Blockchain Benchmarking Study</w:t>
      </w:r>
      <w:r>
        <w:rPr>
          <w:rFonts w:asciiTheme="minorHAnsi" w:hAnsiTheme="minorHAnsi" w:cstheme="minorHAnsi"/>
          <w:sz w:val="22"/>
          <w:szCs w:val="22"/>
          <w:lang w:val="en-GB"/>
        </w:rPr>
        <w:t>, Cambridge, Cambridge Centre for Alternative Finance</w:t>
      </w:r>
    </w:p>
    <w:p w14:paraId="12B9ECC7" w14:textId="3FCFF271" w:rsidR="00B43DF7" w:rsidRDefault="006074DA" w:rsidP="00075CDE">
      <w:pPr>
        <w:pStyle w:val="Notedebasdepage"/>
        <w:spacing w:after="120" w:line="276" w:lineRule="auto"/>
        <w:contextualSpacing/>
        <w:jc w:val="both"/>
        <w:rPr>
          <w:rFonts w:asciiTheme="minorHAnsi" w:hAnsiTheme="minorHAnsi" w:cstheme="minorHAnsi"/>
          <w:sz w:val="22"/>
          <w:szCs w:val="22"/>
        </w:rPr>
      </w:pPr>
      <w:proofErr w:type="spellStart"/>
      <w:r>
        <w:rPr>
          <w:rFonts w:asciiTheme="minorHAnsi" w:hAnsiTheme="minorHAnsi" w:cstheme="minorHAnsi"/>
          <w:sz w:val="22"/>
          <w:szCs w:val="22"/>
          <w:lang w:val="nl-BE"/>
        </w:rPr>
        <w:t>Lluis</w:t>
      </w:r>
      <w:proofErr w:type="spellEnd"/>
      <w:r>
        <w:rPr>
          <w:rFonts w:asciiTheme="minorHAnsi" w:hAnsiTheme="minorHAnsi" w:cstheme="minorHAnsi"/>
          <w:sz w:val="22"/>
          <w:szCs w:val="22"/>
          <w:lang w:val="nl-BE"/>
        </w:rPr>
        <w:t xml:space="preserve"> de la Rosa, J. et al. </w:t>
      </w:r>
      <w:r>
        <w:rPr>
          <w:rFonts w:asciiTheme="minorHAnsi" w:hAnsiTheme="minorHAnsi" w:cstheme="minorHAnsi"/>
          <w:sz w:val="22"/>
          <w:szCs w:val="22"/>
        </w:rPr>
        <w:t xml:space="preserve">(2017), </w:t>
      </w:r>
      <w:r>
        <w:rPr>
          <w:rFonts w:asciiTheme="minorHAnsi" w:hAnsiTheme="minorHAnsi" w:cstheme="minorHAnsi"/>
          <w:i/>
          <w:sz w:val="22"/>
          <w:szCs w:val="22"/>
        </w:rPr>
        <w:t>On Intellectual Property in Online Open Innovation for SMEs by means of Blockchain and Smart Contracts</w:t>
      </w:r>
      <w:r>
        <w:rPr>
          <w:rFonts w:asciiTheme="minorHAnsi" w:hAnsiTheme="minorHAnsi" w:cstheme="minorHAnsi"/>
          <w:sz w:val="22"/>
          <w:szCs w:val="22"/>
        </w:rPr>
        <w:t xml:space="preserve">, available at </w:t>
      </w:r>
    </w:p>
    <w:p w14:paraId="01BD4046" w14:textId="77777777" w:rsidR="00B43DF7" w:rsidRDefault="006074DA" w:rsidP="00075CDE">
      <w:pPr>
        <w:pStyle w:val="Notedebasdepage"/>
        <w:spacing w:after="120" w:line="276" w:lineRule="auto"/>
        <w:contextualSpacing/>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Savelyev, A. (2017), </w:t>
      </w:r>
      <w:r>
        <w:rPr>
          <w:rFonts w:asciiTheme="minorHAnsi" w:hAnsiTheme="minorHAnsi" w:cstheme="minorHAnsi"/>
          <w:i/>
          <w:sz w:val="22"/>
          <w:szCs w:val="22"/>
          <w:lang w:val="en-GB"/>
        </w:rPr>
        <w:t xml:space="preserve">Copyright in the </w:t>
      </w:r>
      <w:proofErr w:type="spellStart"/>
      <w:r>
        <w:rPr>
          <w:rFonts w:asciiTheme="minorHAnsi" w:hAnsiTheme="minorHAnsi" w:cstheme="minorHAnsi"/>
          <w:i/>
          <w:sz w:val="22"/>
          <w:szCs w:val="22"/>
          <w:lang w:val="en-GB"/>
        </w:rPr>
        <w:t>Blockchian</w:t>
      </w:r>
      <w:proofErr w:type="spellEnd"/>
      <w:r>
        <w:rPr>
          <w:rFonts w:asciiTheme="minorHAnsi" w:hAnsiTheme="minorHAnsi" w:cstheme="minorHAnsi"/>
          <w:i/>
          <w:sz w:val="22"/>
          <w:szCs w:val="22"/>
          <w:lang w:val="en-GB"/>
        </w:rPr>
        <w:t xml:space="preserve"> Era: Promises and Challenges</w:t>
      </w:r>
      <w:r>
        <w:rPr>
          <w:rFonts w:asciiTheme="minorHAnsi" w:hAnsiTheme="minorHAnsi" w:cstheme="minorHAnsi"/>
          <w:sz w:val="22"/>
          <w:szCs w:val="22"/>
          <w:lang w:val="en-GB"/>
        </w:rPr>
        <w:t xml:space="preserve">, Basic </w:t>
      </w:r>
      <w:proofErr w:type="spellStart"/>
      <w:r>
        <w:rPr>
          <w:rFonts w:asciiTheme="minorHAnsi" w:hAnsiTheme="minorHAnsi" w:cstheme="minorHAnsi"/>
          <w:sz w:val="22"/>
          <w:szCs w:val="22"/>
          <w:lang w:val="en-GB"/>
        </w:rPr>
        <w:t>Reseach</w:t>
      </w:r>
      <w:proofErr w:type="spellEnd"/>
      <w:r>
        <w:rPr>
          <w:rFonts w:asciiTheme="minorHAnsi" w:hAnsiTheme="minorHAnsi" w:cstheme="minorHAnsi"/>
          <w:sz w:val="22"/>
          <w:szCs w:val="22"/>
          <w:lang w:val="en-GB"/>
        </w:rPr>
        <w:t xml:space="preserve"> Program, Working Papers</w:t>
      </w:r>
    </w:p>
    <w:p w14:paraId="545776D3" w14:textId="77777777" w:rsidR="00B43DF7" w:rsidRDefault="006074DA" w:rsidP="00075CDE">
      <w:pPr>
        <w:pStyle w:val="Notedebasdepage"/>
        <w:spacing w:after="120" w:line="276" w:lineRule="auto"/>
        <w:contextualSpacing/>
        <w:jc w:val="both"/>
        <w:rPr>
          <w:rFonts w:asciiTheme="minorHAnsi" w:hAnsiTheme="minorHAnsi" w:cstheme="minorHAnsi"/>
          <w:sz w:val="22"/>
          <w:szCs w:val="22"/>
          <w:lang w:val="en-GB"/>
        </w:rPr>
      </w:pPr>
      <w:r>
        <w:rPr>
          <w:rFonts w:asciiTheme="minorHAnsi" w:hAnsiTheme="minorHAnsi" w:cstheme="minorHAnsi"/>
          <w:sz w:val="22"/>
          <w:szCs w:val="22"/>
        </w:rPr>
        <w:fldChar w:fldCharType="begin"/>
      </w:r>
      <w:r>
        <w:rPr>
          <w:rFonts w:asciiTheme="minorHAnsi" w:hAnsiTheme="minorHAnsi" w:cstheme="minorHAnsi"/>
          <w:sz w:val="22"/>
          <w:szCs w:val="22"/>
          <w:lang w:val="en-GB"/>
        </w:rPr>
        <w:instrText xml:space="preserve"> ADDIN EN.CITE &lt;EndNote&gt;&lt;Cite&gt;&lt;Author&gt;Six&lt;/Author&gt;&lt;Year&gt;2015&lt;/Year&gt;&lt;RecNum&gt;1508&lt;/RecNum&gt;&lt;DisplayText&gt;&lt;style face="smallcaps"&gt;B. Six&lt;/style&gt;&lt;style face="italic"&gt; et al.&lt;/style&gt;, 2015,&amp;quot;Trust and Social Capital in the Design and Evolution of Institutions for Collective Action&amp;quot;, &lt;style face="italic"&gt;International Journal of the Commons&lt;/style&gt;,  Vol. 9, (1)&lt;/DisplayText&gt;&lt;record&gt;&lt;rec-number&gt;1508&lt;/rec-number&gt;&lt;foreign-keys&gt;&lt;key app="EN" db-id="2rvarz9dmppps5eresrvaf2lszv029w2adz2" timestamp="1449078308"&gt;1508&lt;/key&gt;&lt;/foreign-keys&gt;&lt;ref-type name="Journal Article"&gt;17&lt;/ref-type&gt;&lt;contributors&gt;&lt;authors&gt;&lt;author&gt;Six, Benjamin&lt;/author&gt;&lt;author&gt;Van Zimmeren, Esther&lt;/author&gt;&lt;author&gt;Popa, Florin&lt;/author&gt;&lt;author&gt;Frison, Christine&lt;/author&gt;&lt;/authors&gt;&lt;/contributors&gt;&lt;titles&gt;&lt;title&gt;Trust and social capital in the design and evolution of institutions for collective action&lt;/title&gt;&lt;secondary-title&gt;International Journal of the Commons&lt;/secondary-title&gt;&lt;/titles&gt;&lt;periodical&gt;&lt;full-title&gt;International Journal of the Commons&lt;/full-title&gt;&lt;/periodical&gt;&lt;pages&gt;151-176&lt;/pages&gt;&lt;volume&gt;9&lt;/volume&gt;&lt;number&gt;1&lt;/number&gt;&lt;dates&gt;&lt;year&gt;2015&lt;/year&gt;&lt;/dates&gt;&lt;isbn&gt;1875-0281&lt;/isbn&gt;&lt;urls&gt;&lt;/urls&gt;&lt;/record&gt;&lt;/Cite&gt;&lt;/EndNote&gt;</w:instrText>
      </w:r>
      <w:r>
        <w:rPr>
          <w:rFonts w:asciiTheme="minorHAnsi" w:hAnsiTheme="minorHAnsi" w:cstheme="minorHAnsi"/>
          <w:sz w:val="22"/>
          <w:szCs w:val="22"/>
        </w:rPr>
        <w:fldChar w:fldCharType="separate"/>
      </w:r>
      <w:r>
        <w:rPr>
          <w:rFonts w:asciiTheme="minorHAnsi" w:hAnsiTheme="minorHAnsi" w:cstheme="minorHAnsi"/>
          <w:sz w:val="22"/>
          <w:szCs w:val="22"/>
          <w:lang w:val="en-GB"/>
        </w:rPr>
        <w:t xml:space="preserve">Six, B. </w:t>
      </w:r>
      <w:r>
        <w:rPr>
          <w:rFonts w:asciiTheme="minorHAnsi" w:hAnsiTheme="minorHAnsi" w:cstheme="minorHAnsi"/>
          <w:i/>
          <w:sz w:val="22"/>
          <w:szCs w:val="22"/>
          <w:lang w:val="en-GB"/>
        </w:rPr>
        <w:t>et al</w:t>
      </w:r>
      <w:r>
        <w:rPr>
          <w:rFonts w:asciiTheme="minorHAnsi" w:hAnsiTheme="minorHAnsi" w:cstheme="minorHAnsi"/>
          <w:sz w:val="22"/>
          <w:szCs w:val="22"/>
          <w:lang w:val="en-GB"/>
        </w:rPr>
        <w:t>. (2015), "Trust &amp; Social Capital in the Design &amp; Evolution of Institutions for Collective Action", I</w:t>
      </w:r>
      <w:r>
        <w:rPr>
          <w:rFonts w:asciiTheme="minorHAnsi" w:hAnsiTheme="minorHAnsi" w:cstheme="minorHAnsi"/>
          <w:i/>
          <w:sz w:val="22"/>
          <w:szCs w:val="22"/>
          <w:lang w:val="en-GB"/>
        </w:rPr>
        <w:t>nternational Journal of the Commons</w:t>
      </w:r>
      <w:r>
        <w:rPr>
          <w:rFonts w:asciiTheme="minorHAnsi" w:hAnsiTheme="minorHAnsi" w:cstheme="minorHAnsi"/>
          <w:sz w:val="22"/>
          <w:szCs w:val="22"/>
          <w:lang w:val="en-GB"/>
        </w:rPr>
        <w:t xml:space="preserve"> 9(1)</w:t>
      </w:r>
      <w:r>
        <w:rPr>
          <w:rFonts w:asciiTheme="minorHAnsi" w:hAnsiTheme="minorHAnsi" w:cstheme="minorHAnsi"/>
          <w:sz w:val="22"/>
          <w:szCs w:val="22"/>
        </w:rPr>
        <w:fldChar w:fldCharType="end"/>
      </w:r>
    </w:p>
    <w:p w14:paraId="3A765BBD" w14:textId="77777777" w:rsidR="00B43DF7" w:rsidRDefault="006074DA" w:rsidP="00075CDE">
      <w:pPr>
        <w:pStyle w:val="Notedebasdepage"/>
        <w:spacing w:after="120" w:line="276" w:lineRule="auto"/>
        <w:contextualSpacing/>
        <w:jc w:val="both"/>
        <w:rPr>
          <w:rFonts w:asciiTheme="minorHAnsi" w:hAnsiTheme="minorHAnsi" w:cstheme="minorHAnsi"/>
          <w:sz w:val="22"/>
          <w:szCs w:val="22"/>
          <w:lang w:val="en-GB"/>
        </w:rPr>
      </w:pPr>
      <w:r>
        <w:rPr>
          <w:rFonts w:asciiTheme="minorHAnsi" w:hAnsiTheme="minorHAnsi" w:cstheme="minorHAnsi"/>
          <w:sz w:val="22"/>
          <w:szCs w:val="22"/>
          <w:lang w:val="en-GB"/>
        </w:rPr>
        <w:t>Tapscott, D. &amp; Tapscott</w:t>
      </w:r>
      <w:r>
        <w:rPr>
          <w:rFonts w:asciiTheme="minorHAnsi" w:hAnsiTheme="minorHAnsi" w:cstheme="minorHAnsi"/>
          <w:i/>
          <w:sz w:val="22"/>
          <w:szCs w:val="22"/>
          <w:lang w:val="en-GB"/>
        </w:rPr>
        <w:t xml:space="preserve">, </w:t>
      </w:r>
      <w:r>
        <w:rPr>
          <w:rFonts w:asciiTheme="minorHAnsi" w:hAnsiTheme="minorHAnsi" w:cstheme="minorHAnsi"/>
          <w:sz w:val="22"/>
          <w:szCs w:val="22"/>
          <w:lang w:val="en-GB"/>
        </w:rPr>
        <w:t xml:space="preserve">A. (2016), </w:t>
      </w:r>
      <w:r>
        <w:rPr>
          <w:rFonts w:asciiTheme="minorHAnsi" w:hAnsiTheme="minorHAnsi" w:cstheme="minorHAnsi"/>
          <w:i/>
          <w:sz w:val="22"/>
          <w:szCs w:val="22"/>
          <w:lang w:val="en-GB"/>
        </w:rPr>
        <w:t>Blockchain revolution: how the technology underlying bitcoin is changing money, business and the world</w:t>
      </w:r>
      <w:r>
        <w:rPr>
          <w:rFonts w:asciiTheme="minorHAnsi" w:hAnsiTheme="minorHAnsi" w:cstheme="minorHAnsi"/>
          <w:sz w:val="22"/>
          <w:szCs w:val="22"/>
          <w:lang w:val="en-GB"/>
        </w:rPr>
        <w:t xml:space="preserve">, Portfolio Penguin, 2016, 348p. </w:t>
      </w:r>
    </w:p>
    <w:p w14:paraId="69AA3F65" w14:textId="77777777" w:rsidR="00B43DF7" w:rsidRDefault="006074DA" w:rsidP="00075CDE">
      <w:pPr>
        <w:autoSpaceDE w:val="0"/>
        <w:autoSpaceDN w:val="0"/>
        <w:adjustRightInd w:val="0"/>
        <w:spacing w:after="120" w:line="276" w:lineRule="auto"/>
        <w:contextualSpacing/>
        <w:jc w:val="both"/>
        <w:rPr>
          <w:rFonts w:asciiTheme="minorHAnsi" w:eastAsiaTheme="minorHAnsi" w:hAnsiTheme="minorHAnsi" w:cstheme="minorHAnsi"/>
          <w:sz w:val="22"/>
          <w:szCs w:val="22"/>
          <w:lang w:val="nl-BE"/>
        </w:rPr>
      </w:pPr>
      <w:proofErr w:type="gramStart"/>
      <w:r>
        <w:rPr>
          <w:rFonts w:asciiTheme="minorHAnsi" w:eastAsiaTheme="minorHAnsi" w:hAnsiTheme="minorHAnsi" w:cstheme="minorHAnsi"/>
          <w:sz w:val="22"/>
          <w:szCs w:val="22"/>
          <w:lang w:val="nl-BE"/>
        </w:rPr>
        <w:t>van</w:t>
      </w:r>
      <w:proofErr w:type="gramEnd"/>
      <w:r>
        <w:rPr>
          <w:rFonts w:asciiTheme="minorHAnsi" w:eastAsiaTheme="minorHAnsi" w:hAnsiTheme="minorHAnsi" w:cstheme="minorHAnsi"/>
          <w:sz w:val="22"/>
          <w:szCs w:val="22"/>
          <w:lang w:val="nl-BE"/>
        </w:rPr>
        <w:t xml:space="preserve"> Zimmeren, E. et al. 2011a. </w:t>
      </w:r>
      <w:r>
        <w:rPr>
          <w:rFonts w:asciiTheme="minorHAnsi" w:eastAsiaTheme="minorHAnsi" w:hAnsiTheme="minorHAnsi" w:cstheme="minorHAnsi"/>
          <w:sz w:val="22"/>
          <w:szCs w:val="22"/>
        </w:rPr>
        <w:t xml:space="preserve">Patent Pools and Clearinghouses in the Life Sciences. </w:t>
      </w:r>
      <w:r>
        <w:rPr>
          <w:rFonts w:asciiTheme="minorHAnsi" w:eastAsiaTheme="minorHAnsi" w:hAnsiTheme="minorHAnsi" w:cstheme="minorHAnsi"/>
          <w:i/>
          <w:iCs/>
          <w:sz w:val="22"/>
          <w:szCs w:val="22"/>
          <w:lang w:val="nl-BE"/>
        </w:rPr>
        <w:t xml:space="preserve">Trends in </w:t>
      </w:r>
      <w:proofErr w:type="spellStart"/>
      <w:r>
        <w:rPr>
          <w:rFonts w:asciiTheme="minorHAnsi" w:eastAsiaTheme="minorHAnsi" w:hAnsiTheme="minorHAnsi" w:cstheme="minorHAnsi"/>
          <w:i/>
          <w:iCs/>
          <w:sz w:val="22"/>
          <w:szCs w:val="22"/>
          <w:lang w:val="nl-BE"/>
        </w:rPr>
        <w:t>Biotechnology</w:t>
      </w:r>
      <w:proofErr w:type="spellEnd"/>
      <w:r>
        <w:rPr>
          <w:rFonts w:asciiTheme="minorHAnsi" w:eastAsiaTheme="minorHAnsi" w:hAnsiTheme="minorHAnsi" w:cstheme="minorHAnsi"/>
          <w:i/>
          <w:iCs/>
          <w:sz w:val="22"/>
          <w:szCs w:val="22"/>
          <w:lang w:val="nl-BE"/>
        </w:rPr>
        <w:t xml:space="preserve"> </w:t>
      </w:r>
      <w:r>
        <w:rPr>
          <w:rFonts w:asciiTheme="minorHAnsi" w:eastAsiaTheme="minorHAnsi" w:hAnsiTheme="minorHAnsi" w:cstheme="minorHAnsi"/>
          <w:sz w:val="22"/>
          <w:szCs w:val="22"/>
          <w:lang w:val="nl-BE"/>
        </w:rPr>
        <w:t>29(11):569–576.</w:t>
      </w:r>
    </w:p>
    <w:p w14:paraId="434EE872" w14:textId="77777777" w:rsidR="00B43DF7" w:rsidRDefault="006074DA" w:rsidP="00075CDE">
      <w:pPr>
        <w:autoSpaceDE w:val="0"/>
        <w:autoSpaceDN w:val="0"/>
        <w:adjustRightInd w:val="0"/>
        <w:spacing w:after="120" w:line="276" w:lineRule="auto"/>
        <w:contextualSpacing/>
        <w:jc w:val="both"/>
        <w:rPr>
          <w:rFonts w:asciiTheme="minorHAnsi" w:eastAsiaTheme="minorHAnsi" w:hAnsiTheme="minorHAnsi" w:cstheme="minorHAnsi"/>
          <w:sz w:val="22"/>
          <w:szCs w:val="22"/>
        </w:rPr>
      </w:pPr>
      <w:proofErr w:type="gramStart"/>
      <w:r>
        <w:rPr>
          <w:rFonts w:asciiTheme="minorHAnsi" w:eastAsiaTheme="minorHAnsi" w:hAnsiTheme="minorHAnsi" w:cstheme="minorHAnsi"/>
          <w:sz w:val="22"/>
          <w:szCs w:val="22"/>
          <w:lang w:val="nl-BE"/>
        </w:rPr>
        <w:lastRenderedPageBreak/>
        <w:t>van</w:t>
      </w:r>
      <w:proofErr w:type="gramEnd"/>
      <w:r>
        <w:rPr>
          <w:rFonts w:asciiTheme="minorHAnsi" w:eastAsiaTheme="minorHAnsi" w:hAnsiTheme="minorHAnsi" w:cstheme="minorHAnsi"/>
          <w:sz w:val="22"/>
          <w:szCs w:val="22"/>
          <w:lang w:val="nl-BE"/>
        </w:rPr>
        <w:t xml:space="preserve"> Zimmeren, E., S. </w:t>
      </w:r>
      <w:proofErr w:type="spellStart"/>
      <w:r>
        <w:rPr>
          <w:rFonts w:asciiTheme="minorHAnsi" w:eastAsiaTheme="minorHAnsi" w:hAnsiTheme="minorHAnsi" w:cstheme="minorHAnsi"/>
          <w:sz w:val="22"/>
          <w:szCs w:val="22"/>
          <w:lang w:val="nl-BE"/>
        </w:rPr>
        <w:t>Vanneste</w:t>
      </w:r>
      <w:proofErr w:type="spellEnd"/>
      <w:r>
        <w:rPr>
          <w:rFonts w:asciiTheme="minorHAnsi" w:eastAsiaTheme="minorHAnsi" w:hAnsiTheme="minorHAnsi" w:cstheme="minorHAnsi"/>
          <w:sz w:val="22"/>
          <w:szCs w:val="22"/>
          <w:lang w:val="nl-BE"/>
        </w:rPr>
        <w:t xml:space="preserve">, </w:t>
      </w:r>
      <w:proofErr w:type="spellStart"/>
      <w:r>
        <w:rPr>
          <w:rFonts w:asciiTheme="minorHAnsi" w:eastAsiaTheme="minorHAnsi" w:hAnsiTheme="minorHAnsi" w:cstheme="minorHAnsi"/>
          <w:sz w:val="22"/>
          <w:szCs w:val="22"/>
          <w:lang w:val="nl-BE"/>
        </w:rPr>
        <w:t>and</w:t>
      </w:r>
      <w:proofErr w:type="spellEnd"/>
      <w:r>
        <w:rPr>
          <w:rFonts w:asciiTheme="minorHAnsi" w:eastAsiaTheme="minorHAnsi" w:hAnsiTheme="minorHAnsi" w:cstheme="minorHAnsi"/>
          <w:sz w:val="22"/>
          <w:szCs w:val="22"/>
          <w:lang w:val="nl-BE"/>
        </w:rPr>
        <w:t xml:space="preserve"> G. Van Overwalle. </w:t>
      </w:r>
      <w:r>
        <w:rPr>
          <w:rFonts w:asciiTheme="minorHAnsi" w:eastAsiaTheme="minorHAnsi" w:hAnsiTheme="minorHAnsi" w:cstheme="minorHAnsi"/>
          <w:sz w:val="22"/>
          <w:szCs w:val="22"/>
        </w:rPr>
        <w:t xml:space="preserve">2011b. </w:t>
      </w:r>
      <w:r>
        <w:rPr>
          <w:rFonts w:asciiTheme="minorHAnsi" w:eastAsiaTheme="minorHAnsi" w:hAnsiTheme="minorHAnsi" w:cstheme="minorHAnsi"/>
          <w:i/>
          <w:iCs/>
          <w:sz w:val="22"/>
          <w:szCs w:val="22"/>
        </w:rPr>
        <w:t xml:space="preserve">Patent Licensing in Medical Biotechnology in Europe: A Role for Collaborative Licensing Strategies? </w:t>
      </w:r>
      <w:r>
        <w:rPr>
          <w:rFonts w:asciiTheme="minorHAnsi" w:eastAsiaTheme="minorHAnsi" w:hAnsiTheme="minorHAnsi" w:cstheme="minorHAnsi"/>
          <w:sz w:val="22"/>
          <w:szCs w:val="22"/>
        </w:rPr>
        <w:t xml:space="preserve">Leuven: </w:t>
      </w:r>
      <w:proofErr w:type="spellStart"/>
      <w:r>
        <w:rPr>
          <w:rFonts w:asciiTheme="minorHAnsi" w:eastAsiaTheme="minorHAnsi" w:hAnsiTheme="minorHAnsi" w:cstheme="minorHAnsi"/>
          <w:sz w:val="22"/>
          <w:szCs w:val="22"/>
        </w:rPr>
        <w:t>Acco</w:t>
      </w:r>
      <w:proofErr w:type="spellEnd"/>
      <w:r>
        <w:rPr>
          <w:rFonts w:asciiTheme="minorHAnsi" w:eastAsiaTheme="minorHAnsi" w:hAnsiTheme="minorHAnsi" w:cstheme="minorHAnsi"/>
          <w:sz w:val="22"/>
          <w:szCs w:val="22"/>
        </w:rPr>
        <w:t>.</w:t>
      </w:r>
    </w:p>
    <w:p w14:paraId="453846B0" w14:textId="77777777" w:rsidR="00B43DF7" w:rsidRDefault="006074DA" w:rsidP="00075CDE">
      <w:pPr>
        <w:autoSpaceDE w:val="0"/>
        <w:autoSpaceDN w:val="0"/>
        <w:adjustRightInd w:val="0"/>
        <w:spacing w:after="120" w:line="276" w:lineRule="auto"/>
        <w:contextualSpacing/>
        <w:jc w:val="both"/>
        <w:rPr>
          <w:rFonts w:asciiTheme="minorHAnsi" w:hAnsiTheme="minorHAnsi" w:cstheme="minorHAnsi"/>
          <w:sz w:val="22"/>
          <w:szCs w:val="22"/>
          <w:lang w:val="en-GB"/>
        </w:rPr>
      </w:pPr>
      <w:proofErr w:type="spellStart"/>
      <w:r>
        <w:rPr>
          <w:rFonts w:asciiTheme="minorHAnsi" w:eastAsiaTheme="minorHAnsi" w:hAnsiTheme="minorHAnsi" w:cstheme="minorHAnsi"/>
          <w:sz w:val="22"/>
          <w:szCs w:val="22"/>
        </w:rPr>
        <w:t>Zeilinger</w:t>
      </w:r>
      <w:proofErr w:type="spellEnd"/>
      <w:r>
        <w:rPr>
          <w:rFonts w:asciiTheme="minorHAnsi" w:eastAsiaTheme="minorHAnsi" w:hAnsiTheme="minorHAnsi" w:cstheme="minorHAnsi"/>
          <w:sz w:val="22"/>
          <w:szCs w:val="22"/>
        </w:rPr>
        <w:t>, M. (2018),” digital Art as ‘</w:t>
      </w:r>
      <w:proofErr w:type="spellStart"/>
      <w:r>
        <w:rPr>
          <w:rFonts w:asciiTheme="minorHAnsi" w:eastAsiaTheme="minorHAnsi" w:hAnsiTheme="minorHAnsi" w:cstheme="minorHAnsi"/>
          <w:sz w:val="22"/>
          <w:szCs w:val="22"/>
        </w:rPr>
        <w:t>Monetised</w:t>
      </w:r>
      <w:proofErr w:type="spellEnd"/>
      <w:r>
        <w:rPr>
          <w:rFonts w:asciiTheme="minorHAnsi" w:eastAsiaTheme="minorHAnsi" w:hAnsiTheme="minorHAnsi" w:cstheme="minorHAnsi"/>
          <w:sz w:val="22"/>
          <w:szCs w:val="22"/>
        </w:rPr>
        <w:t xml:space="preserve"> Graphics’: Enforcing Intellectual Property on the Blockchain”, </w:t>
      </w:r>
      <w:r>
        <w:rPr>
          <w:rFonts w:asciiTheme="minorHAnsi" w:eastAsiaTheme="minorHAnsi" w:hAnsiTheme="minorHAnsi" w:cstheme="minorHAnsi"/>
          <w:i/>
          <w:sz w:val="22"/>
          <w:szCs w:val="22"/>
        </w:rPr>
        <w:t>Philos. Technol.</w:t>
      </w:r>
      <w:r>
        <w:rPr>
          <w:rFonts w:asciiTheme="minorHAnsi" w:eastAsiaTheme="minorHAnsi" w:hAnsiTheme="minorHAnsi" w:cstheme="minorHAnsi"/>
          <w:sz w:val="22"/>
          <w:szCs w:val="22"/>
        </w:rPr>
        <w:t xml:space="preserve"> 31:15-41</w:t>
      </w:r>
    </w:p>
    <w:sectPr w:rsidR="00B43D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62E1A" w14:textId="77777777" w:rsidR="001E55D0" w:rsidRDefault="001E55D0">
      <w:r>
        <w:separator/>
      </w:r>
    </w:p>
  </w:endnote>
  <w:endnote w:type="continuationSeparator" w:id="0">
    <w:p w14:paraId="3022E81C" w14:textId="77777777" w:rsidR="001E55D0" w:rsidRDefault="001E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6DBF8" w14:textId="77777777" w:rsidR="001E55D0" w:rsidRDefault="001E55D0">
      <w:r>
        <w:separator/>
      </w:r>
    </w:p>
  </w:footnote>
  <w:footnote w:type="continuationSeparator" w:id="0">
    <w:p w14:paraId="017844DF" w14:textId="77777777" w:rsidR="001E55D0" w:rsidRDefault="001E55D0">
      <w:r>
        <w:continuationSeparator/>
      </w:r>
    </w:p>
  </w:footnote>
  <w:footnote w:id="1">
    <w:p w14:paraId="11628275" w14:textId="2C90451E" w:rsidR="009351C8" w:rsidRPr="00956BB4" w:rsidRDefault="009351C8">
      <w:pPr>
        <w:pStyle w:val="Notedebasdepage"/>
        <w:rPr>
          <w:lang w:val="en-GB"/>
        </w:rPr>
      </w:pPr>
      <w:r>
        <w:rPr>
          <w:rStyle w:val="Appelnotedebasdep"/>
        </w:rPr>
        <w:footnoteRef/>
      </w:r>
      <w:r>
        <w:t xml:space="preserve"> </w:t>
      </w:r>
      <w:r>
        <w:rPr>
          <w:rFonts w:asciiTheme="minorHAnsi" w:hAnsiTheme="minorHAnsi" w:cstheme="minorHAnsi"/>
          <w:sz w:val="22"/>
          <w:szCs w:val="22"/>
        </w:rPr>
        <w:t xml:space="preserve">Tapscott &amp; Tapscott, 2016; </w:t>
      </w:r>
      <w:proofErr w:type="spellStart"/>
      <w:r>
        <w:rPr>
          <w:rFonts w:asciiTheme="minorHAnsi" w:hAnsiTheme="minorHAnsi" w:cstheme="minorHAnsi"/>
          <w:sz w:val="22"/>
          <w:szCs w:val="22"/>
        </w:rPr>
        <w:t>Gabison</w:t>
      </w:r>
      <w:proofErr w:type="spellEnd"/>
      <w:r>
        <w:rPr>
          <w:rFonts w:asciiTheme="minorHAnsi" w:hAnsiTheme="minorHAnsi" w:cstheme="minorHAnsi"/>
          <w:sz w:val="22"/>
          <w:szCs w:val="22"/>
        </w:rPr>
        <w:t>, 2016</w:t>
      </w:r>
    </w:p>
  </w:footnote>
  <w:footnote w:id="2">
    <w:p w14:paraId="261FEEBF" w14:textId="78F58BA5" w:rsidR="009351C8" w:rsidRPr="00956BB4" w:rsidRDefault="009351C8">
      <w:pPr>
        <w:pStyle w:val="Notedebasdepage"/>
        <w:rPr>
          <w:lang w:val="en-GB"/>
        </w:rPr>
      </w:pPr>
      <w:r>
        <w:rPr>
          <w:rStyle w:val="Appelnotedebasdep"/>
        </w:rPr>
        <w:footnoteRef/>
      </w:r>
      <w:r>
        <w:t xml:space="preserve"> </w:t>
      </w:r>
      <w:proofErr w:type="spellStart"/>
      <w:r>
        <w:rPr>
          <w:rFonts w:asciiTheme="minorHAnsi" w:hAnsiTheme="minorHAnsi" w:cstheme="minorHAnsi"/>
          <w:sz w:val="22"/>
          <w:szCs w:val="22"/>
        </w:rPr>
        <w:t>Catalini</w:t>
      </w:r>
      <w:proofErr w:type="spellEnd"/>
      <w:r>
        <w:rPr>
          <w:rFonts w:asciiTheme="minorHAnsi" w:hAnsiTheme="minorHAnsi" w:cstheme="minorHAnsi"/>
          <w:sz w:val="22"/>
          <w:szCs w:val="22"/>
        </w:rPr>
        <w:t xml:space="preserve"> &amp; </w:t>
      </w:r>
      <w:proofErr w:type="spellStart"/>
      <w:r>
        <w:rPr>
          <w:rFonts w:asciiTheme="minorHAnsi" w:hAnsiTheme="minorHAnsi" w:cstheme="minorHAnsi"/>
          <w:sz w:val="22"/>
          <w:szCs w:val="22"/>
        </w:rPr>
        <w:t>Gans</w:t>
      </w:r>
      <w:proofErr w:type="spellEnd"/>
      <w:r>
        <w:rPr>
          <w:rFonts w:asciiTheme="minorHAnsi" w:hAnsiTheme="minorHAnsi" w:cstheme="minorHAnsi"/>
          <w:sz w:val="22"/>
          <w:szCs w:val="22"/>
        </w:rPr>
        <w:t>, 2017</w:t>
      </w:r>
    </w:p>
  </w:footnote>
  <w:footnote w:id="3">
    <w:p w14:paraId="7D7E9C0B" w14:textId="48435E65" w:rsidR="009351C8" w:rsidRPr="00956BB4" w:rsidRDefault="009351C8">
      <w:pPr>
        <w:pStyle w:val="Notedebasdepage"/>
        <w:rPr>
          <w:lang w:val="en-GB"/>
        </w:rPr>
      </w:pPr>
      <w:r>
        <w:rPr>
          <w:rStyle w:val="Appelnotedebasdep"/>
        </w:rPr>
        <w:footnoteRef/>
      </w:r>
      <w:r>
        <w:t xml:space="preserve"> </w:t>
      </w:r>
      <w:r>
        <w:rPr>
          <w:rFonts w:asciiTheme="minorHAnsi" w:hAnsiTheme="minorHAnsi" w:cstheme="minorHAnsi"/>
          <w:sz w:val="22"/>
          <w:szCs w:val="22"/>
        </w:rPr>
        <w:t>ETC Group, 2017</w:t>
      </w:r>
    </w:p>
  </w:footnote>
  <w:footnote w:id="4">
    <w:p w14:paraId="01F540C8" w14:textId="301598E5" w:rsidR="009351C8" w:rsidRPr="00956BB4" w:rsidRDefault="009351C8">
      <w:pPr>
        <w:pStyle w:val="Notedebasdepage"/>
        <w:rPr>
          <w:lang w:val="en-GB"/>
        </w:rPr>
      </w:pPr>
      <w:r>
        <w:rPr>
          <w:rStyle w:val="Appelnotedebasdep"/>
        </w:rPr>
        <w:footnoteRef/>
      </w:r>
      <w:r>
        <w:t xml:space="preserve"> </w:t>
      </w:r>
      <w:r>
        <w:rPr>
          <w:rFonts w:asciiTheme="minorHAnsi" w:hAnsiTheme="minorHAnsi" w:cstheme="minorHAnsi"/>
          <w:sz w:val="22"/>
          <w:szCs w:val="22"/>
        </w:rPr>
        <w:t xml:space="preserve">Savelyev, 2017; </w:t>
      </w:r>
      <w:proofErr w:type="spellStart"/>
      <w:r>
        <w:rPr>
          <w:rFonts w:asciiTheme="minorHAnsi" w:hAnsiTheme="minorHAnsi" w:cstheme="minorHAnsi"/>
          <w:sz w:val="22"/>
          <w:szCs w:val="22"/>
        </w:rPr>
        <w:t>Lluis</w:t>
      </w:r>
      <w:proofErr w:type="spellEnd"/>
      <w:r>
        <w:rPr>
          <w:rFonts w:asciiTheme="minorHAnsi" w:hAnsiTheme="minorHAnsi" w:cstheme="minorHAnsi"/>
          <w:sz w:val="22"/>
          <w:szCs w:val="22"/>
        </w:rPr>
        <w:t xml:space="preserve"> de la Rosa et al. 2017; for a more negative perspective, see e.g. </w:t>
      </w:r>
      <w:proofErr w:type="spellStart"/>
      <w:r>
        <w:rPr>
          <w:rFonts w:asciiTheme="minorHAnsi" w:hAnsiTheme="minorHAnsi" w:cstheme="minorHAnsi"/>
          <w:sz w:val="22"/>
          <w:szCs w:val="22"/>
        </w:rPr>
        <w:t>Zeilinger</w:t>
      </w:r>
      <w:proofErr w:type="spellEnd"/>
      <w:r>
        <w:rPr>
          <w:rFonts w:asciiTheme="minorHAnsi" w:hAnsiTheme="minorHAnsi" w:cstheme="minorHAnsi"/>
          <w:sz w:val="22"/>
          <w:szCs w:val="22"/>
        </w:rPr>
        <w:t>, 2018</w:t>
      </w:r>
    </w:p>
  </w:footnote>
  <w:footnote w:id="5">
    <w:p w14:paraId="32A4307E" w14:textId="14AB5C89" w:rsidR="00243348" w:rsidRPr="00956BB4" w:rsidRDefault="00243348">
      <w:pPr>
        <w:pStyle w:val="Notedebasdepage"/>
        <w:rPr>
          <w:lang w:val="en-GB"/>
        </w:rPr>
      </w:pPr>
      <w:r>
        <w:rPr>
          <w:rStyle w:val="Appelnotedebasdep"/>
        </w:rPr>
        <w:footnoteRef/>
      </w:r>
      <w:r>
        <w:t xml:space="preserve"> </w:t>
      </w:r>
      <w:r>
        <w:rPr>
          <w:rFonts w:asciiTheme="minorHAnsi" w:hAnsiTheme="minorHAnsi" w:cstheme="minorHAnsi"/>
          <w:sz w:val="22"/>
          <w:szCs w:val="22"/>
        </w:rPr>
        <w:t xml:space="preserve">Hileman &amp; </w:t>
      </w:r>
      <w:proofErr w:type="spellStart"/>
      <w:r>
        <w:rPr>
          <w:rFonts w:asciiTheme="minorHAnsi" w:hAnsiTheme="minorHAnsi" w:cstheme="minorHAnsi"/>
          <w:sz w:val="22"/>
          <w:szCs w:val="22"/>
        </w:rPr>
        <w:t>Rauchs</w:t>
      </w:r>
      <w:proofErr w:type="spellEnd"/>
      <w:r>
        <w:rPr>
          <w:rFonts w:asciiTheme="minorHAnsi" w:hAnsiTheme="minorHAnsi" w:cstheme="minorHAnsi"/>
          <w:sz w:val="22"/>
          <w:szCs w:val="22"/>
        </w:rPr>
        <w:t>, 2017</w:t>
      </w:r>
    </w:p>
  </w:footnote>
  <w:footnote w:id="6">
    <w:p w14:paraId="4C69485D" w14:textId="0B8B81C8" w:rsidR="00243348" w:rsidRPr="00243348" w:rsidRDefault="00243348">
      <w:pPr>
        <w:pStyle w:val="Notedebasdepage"/>
        <w:rPr>
          <w:lang w:val="fr-BE"/>
        </w:rPr>
      </w:pPr>
      <w:r>
        <w:rPr>
          <w:rStyle w:val="Appelnotedebasdep"/>
        </w:rPr>
        <w:footnoteRef/>
      </w:r>
      <w:r w:rsidRPr="00243348">
        <w:rPr>
          <w:lang w:val="fr-BE"/>
        </w:rPr>
        <w:t xml:space="preserve"> </w:t>
      </w:r>
      <w:r w:rsidRPr="00243348">
        <w:rPr>
          <w:rFonts w:asciiTheme="minorHAnsi" w:eastAsiaTheme="minorHAnsi" w:hAnsiTheme="minorHAnsi" w:cstheme="minorHAnsi"/>
          <w:sz w:val="22"/>
          <w:szCs w:val="22"/>
          <w:lang w:val="fr-BE"/>
        </w:rPr>
        <w:t>Six et al., 2015; Frison, 2016; Frison et al., 2011; van Zimmeren, et al., 2011a, 2011b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036603"/>
    <w:multiLevelType w:val="hybridMultilevel"/>
    <w:tmpl w:val="76CA9E5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DF7"/>
    <w:rsid w:val="00075CDE"/>
    <w:rsid w:val="001B3EFF"/>
    <w:rsid w:val="001E55D0"/>
    <w:rsid w:val="00243348"/>
    <w:rsid w:val="00456724"/>
    <w:rsid w:val="00515975"/>
    <w:rsid w:val="006074DA"/>
    <w:rsid w:val="0066349C"/>
    <w:rsid w:val="007F7B82"/>
    <w:rsid w:val="009351C8"/>
    <w:rsid w:val="00956BB4"/>
    <w:rsid w:val="009872CD"/>
    <w:rsid w:val="009A25F9"/>
    <w:rsid w:val="00B12291"/>
    <w:rsid w:val="00B43DF7"/>
    <w:rsid w:val="00CC46B5"/>
    <w:rsid w:val="00DE55D5"/>
    <w:rsid w:val="00E52C67"/>
    <w:rsid w:val="00EE22EC"/>
    <w:rsid w:val="00F61A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1DDB5"/>
  <w15:docId w15:val="{2443FC94-070F-4796-B8CC-C6CF1E014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Cambria" w:eastAsia="Cambria" w:hAnsi="Cambria"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Pr>
      <w:color w:val="0000FF"/>
      <w:u w:val="single"/>
    </w:rPr>
  </w:style>
  <w:style w:type="paragraph" w:styleId="Notedebasdepage">
    <w:name w:val="footnote text"/>
    <w:basedOn w:val="Normal"/>
    <w:link w:val="NotedebasdepageCar"/>
    <w:uiPriority w:val="99"/>
    <w:unhideWhenUsed/>
    <w:rPr>
      <w:sz w:val="20"/>
      <w:szCs w:val="20"/>
    </w:rPr>
  </w:style>
  <w:style w:type="character" w:customStyle="1" w:styleId="NotedebasdepageCar">
    <w:name w:val="Note de bas de page Car"/>
    <w:basedOn w:val="Policepardfaut"/>
    <w:link w:val="Notedebasdepage"/>
    <w:uiPriority w:val="99"/>
    <w:rPr>
      <w:rFonts w:ascii="Cambria" w:eastAsia="Cambria" w:hAnsi="Cambria" w:cs="Times New Roman"/>
      <w:sz w:val="20"/>
      <w:szCs w:val="20"/>
      <w:lang w:val="en-US"/>
    </w:rPr>
  </w:style>
  <w:style w:type="character" w:styleId="Appelnotedebasdep">
    <w:name w:val="footnote reference"/>
    <w:uiPriority w:val="99"/>
    <w:semiHidden/>
    <w:unhideWhenUsed/>
    <w:rPr>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Cambria" w:eastAsia="Cambria" w:hAnsi="Cambria" w:cs="Times New Roman"/>
      <w:sz w:val="20"/>
      <w:szCs w:val="20"/>
      <w:lang w:val="en-US"/>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mbria" w:eastAsia="Cambria" w:hAnsi="Cambria" w:cs="Times New Roman"/>
      <w:b/>
      <w:bCs/>
      <w:sz w:val="20"/>
      <w:szCs w:val="20"/>
      <w:lang w:val="en-US"/>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Cambr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rn.com/abstract=287459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tcgroup.org/content/2017-year-bits-bots-and-blockchain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03359-4E76-4F3D-AFED-B3DE8287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1213</Words>
  <Characters>6676</Characters>
  <Application>Microsoft Office Word</Application>
  <DocSecurity>0</DocSecurity>
  <Lines>55</Lines>
  <Paragraphs>15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Frison</dc:creator>
  <cp:lastModifiedBy>Caroline Van Schendel</cp:lastModifiedBy>
  <cp:revision>2</cp:revision>
  <dcterms:created xsi:type="dcterms:W3CDTF">2020-01-20T10:52:00Z</dcterms:created>
  <dcterms:modified xsi:type="dcterms:W3CDTF">2020-01-20T10:52:00Z</dcterms:modified>
</cp:coreProperties>
</file>