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F2BED0" w14:textId="77777777" w:rsidR="00A57AF0" w:rsidRDefault="00A57AF0" w:rsidP="00A57AF0">
      <w:pPr>
        <w:pStyle w:val="NoSpacing"/>
        <w:spacing w:line="360" w:lineRule="auto"/>
        <w:jc w:val="center"/>
        <w:rPr>
          <w:b/>
          <w:sz w:val="32"/>
          <w:szCs w:val="32"/>
        </w:rPr>
      </w:pPr>
      <w:r>
        <w:rPr>
          <w:b/>
          <w:sz w:val="32"/>
          <w:szCs w:val="32"/>
        </w:rPr>
        <w:t xml:space="preserve">An </w:t>
      </w:r>
      <w:r w:rsidRPr="00C26C87">
        <w:rPr>
          <w:b/>
          <w:sz w:val="32"/>
          <w:szCs w:val="32"/>
        </w:rPr>
        <w:t>Insulating A</w:t>
      </w:r>
      <w:r>
        <w:rPr>
          <w:b/>
          <w:sz w:val="32"/>
          <w:szCs w:val="32"/>
        </w:rPr>
        <w:t>l</w:t>
      </w:r>
      <w:r>
        <w:rPr>
          <w:b/>
          <w:sz w:val="32"/>
          <w:szCs w:val="32"/>
          <w:vertAlign w:val="subscript"/>
        </w:rPr>
        <w:t>2</w:t>
      </w:r>
      <w:r>
        <w:rPr>
          <w:b/>
          <w:sz w:val="32"/>
          <w:szCs w:val="32"/>
        </w:rPr>
        <w:t>O</w:t>
      </w:r>
      <w:r>
        <w:rPr>
          <w:b/>
          <w:sz w:val="32"/>
          <w:szCs w:val="32"/>
          <w:vertAlign w:val="subscript"/>
        </w:rPr>
        <w:t>3</w:t>
      </w:r>
      <w:r w:rsidRPr="00C26C87">
        <w:rPr>
          <w:b/>
          <w:sz w:val="32"/>
          <w:szCs w:val="32"/>
        </w:rPr>
        <w:t xml:space="preserve"> Overlayer </w:t>
      </w:r>
      <w:r>
        <w:rPr>
          <w:b/>
          <w:sz w:val="32"/>
          <w:szCs w:val="32"/>
        </w:rPr>
        <w:t>Prevents</w:t>
      </w:r>
      <w:r w:rsidRPr="00C26C87">
        <w:rPr>
          <w:b/>
          <w:sz w:val="32"/>
          <w:szCs w:val="32"/>
        </w:rPr>
        <w:t xml:space="preserve"> Lateral </w:t>
      </w:r>
    </w:p>
    <w:p w14:paraId="0C8F19CB" w14:textId="77777777" w:rsidR="00A57AF0" w:rsidRPr="00C26C87" w:rsidRDefault="00A57AF0" w:rsidP="00A57AF0">
      <w:pPr>
        <w:pStyle w:val="NoSpacing"/>
        <w:spacing w:line="360" w:lineRule="auto"/>
        <w:jc w:val="center"/>
        <w:rPr>
          <w:b/>
          <w:sz w:val="32"/>
          <w:szCs w:val="32"/>
        </w:rPr>
      </w:pPr>
      <w:r w:rsidRPr="00C26C87">
        <w:rPr>
          <w:b/>
          <w:sz w:val="32"/>
          <w:szCs w:val="32"/>
        </w:rPr>
        <w:t>Hole</w:t>
      </w:r>
      <w:r>
        <w:rPr>
          <w:b/>
          <w:sz w:val="32"/>
          <w:szCs w:val="32"/>
        </w:rPr>
        <w:t xml:space="preserve"> </w:t>
      </w:r>
      <w:r w:rsidRPr="00C26C87">
        <w:rPr>
          <w:b/>
          <w:sz w:val="32"/>
          <w:szCs w:val="32"/>
        </w:rPr>
        <w:t xml:space="preserve">Hopping </w:t>
      </w:r>
      <w:r>
        <w:rPr>
          <w:b/>
          <w:sz w:val="32"/>
          <w:szCs w:val="32"/>
        </w:rPr>
        <w:t>Across</w:t>
      </w:r>
      <w:r w:rsidRPr="00C26C87">
        <w:rPr>
          <w:b/>
          <w:sz w:val="32"/>
          <w:szCs w:val="32"/>
        </w:rPr>
        <w:t xml:space="preserve"> Dye-Sensitized TiO</w:t>
      </w:r>
      <w:r w:rsidRPr="00C26C87">
        <w:rPr>
          <w:b/>
          <w:sz w:val="32"/>
          <w:szCs w:val="32"/>
          <w:vertAlign w:val="subscript"/>
        </w:rPr>
        <w:t>2</w:t>
      </w:r>
      <w:r w:rsidRPr="00C26C87">
        <w:rPr>
          <w:b/>
          <w:sz w:val="32"/>
          <w:szCs w:val="32"/>
        </w:rPr>
        <w:t xml:space="preserve"> </w:t>
      </w:r>
      <w:r>
        <w:rPr>
          <w:b/>
          <w:sz w:val="32"/>
          <w:szCs w:val="32"/>
        </w:rPr>
        <w:t>Surfaces</w:t>
      </w:r>
    </w:p>
    <w:p w14:paraId="2E167DF7" w14:textId="2FEB3BEE" w:rsidR="0051645A" w:rsidRDefault="0051645A" w:rsidP="00416D83">
      <w:pPr>
        <w:pStyle w:val="NoSpacing"/>
        <w:spacing w:line="360" w:lineRule="auto"/>
        <w:jc w:val="both"/>
      </w:pPr>
    </w:p>
    <w:p w14:paraId="210281DF" w14:textId="2211F652" w:rsidR="0051645A" w:rsidRDefault="0051645A" w:rsidP="00C26C87">
      <w:pPr>
        <w:pStyle w:val="NoSpacing"/>
        <w:spacing w:line="360" w:lineRule="auto"/>
        <w:jc w:val="center"/>
      </w:pPr>
      <w:r>
        <w:t>Matthew D. Brady, Ludovic Troian-Gautier, Tyler C. Motley,</w:t>
      </w:r>
      <w:r w:rsidR="00FF790B">
        <w:t xml:space="preserve"> </w:t>
      </w:r>
      <w:r>
        <w:t>and Gerald J. Meyer</w:t>
      </w:r>
      <w:r w:rsidR="00C26C87">
        <w:t>*</w:t>
      </w:r>
    </w:p>
    <w:p w14:paraId="399917EE" w14:textId="72E7EE0D" w:rsidR="00C26C87" w:rsidRPr="00731EE7" w:rsidRDefault="00C26C87" w:rsidP="00C26C87">
      <w:pPr>
        <w:spacing w:line="360" w:lineRule="auto"/>
        <w:jc w:val="center"/>
        <w:rPr>
          <w:rFonts w:ascii="Times New Roman" w:hAnsi="Times New Roman" w:cs="Times New Roman"/>
        </w:rPr>
      </w:pPr>
      <w:r w:rsidRPr="00731EE7">
        <w:rPr>
          <w:rFonts w:ascii="Times New Roman" w:hAnsi="Times New Roman" w:cs="Times New Roman"/>
        </w:rPr>
        <w:t>Department of Chemistry, University of North Carolina at Chapel Hill, Murray Hall 2202B, Chapel Hill, North Carolina 27599­3290</w:t>
      </w:r>
      <w:r w:rsidR="000E481D">
        <w:rPr>
          <w:rFonts w:ascii="Times New Roman" w:hAnsi="Times New Roman" w:cs="Times New Roman"/>
        </w:rPr>
        <w:t>, United States</w:t>
      </w:r>
    </w:p>
    <w:p w14:paraId="470F7579" w14:textId="77777777" w:rsidR="00D7727B" w:rsidRDefault="00D7727B" w:rsidP="00D7727B">
      <w:pPr>
        <w:pStyle w:val="NoSpacing"/>
        <w:spacing w:line="480" w:lineRule="auto"/>
        <w:contextualSpacing/>
        <w:jc w:val="center"/>
      </w:pPr>
      <w:r>
        <w:t xml:space="preserve">*Corresponding Author. Email: </w:t>
      </w:r>
      <w:hyperlink r:id="rId7" w:history="1">
        <w:r w:rsidRPr="00B92AE6">
          <w:rPr>
            <w:rStyle w:val="Hyperlink"/>
          </w:rPr>
          <w:t>gjmeyer@email.unc.edu</w:t>
        </w:r>
      </w:hyperlink>
    </w:p>
    <w:p w14:paraId="3321FAA3" w14:textId="0C70467D" w:rsidR="00C26C87" w:rsidRPr="00193336" w:rsidRDefault="00193336" w:rsidP="004520D4">
      <w:pPr>
        <w:pStyle w:val="NoSpacing"/>
        <w:spacing w:line="360" w:lineRule="auto"/>
        <w:jc w:val="both"/>
      </w:pPr>
      <w:r>
        <w:t>Keywords: dye-sensitized, ruthenium polypyridyl, anisotropy, hole hopping, lateral self-exchange</w:t>
      </w:r>
    </w:p>
    <w:p w14:paraId="222ED8DC" w14:textId="68A286E7" w:rsidR="005265AA" w:rsidRDefault="001352D8" w:rsidP="00416D83">
      <w:pPr>
        <w:pStyle w:val="NoSpacing"/>
        <w:spacing w:line="360" w:lineRule="auto"/>
        <w:jc w:val="both"/>
        <w:rPr>
          <w:b/>
        </w:rPr>
      </w:pPr>
      <w:r>
        <w:rPr>
          <w:b/>
        </w:rPr>
        <w:t>ABSTRACT.</w:t>
      </w:r>
    </w:p>
    <w:p w14:paraId="7E57DA67" w14:textId="78484334" w:rsidR="00A57AF0" w:rsidRDefault="00A57AF0" w:rsidP="00A57AF0">
      <w:pPr>
        <w:pStyle w:val="NoSpacing"/>
        <w:spacing w:line="360" w:lineRule="auto"/>
        <w:jc w:val="both"/>
        <w:rPr>
          <w:b/>
        </w:rPr>
      </w:pPr>
      <w:r>
        <w:rPr>
          <w:b/>
        </w:rPr>
        <w:tab/>
      </w:r>
      <w:r>
        <w:t>Th</w:t>
      </w:r>
      <w:r w:rsidR="00221BF8">
        <w:t>re</w:t>
      </w:r>
      <w:r>
        <w:t>e chromophores of the general form [Ru(bpy’)</w:t>
      </w:r>
      <w:r>
        <w:rPr>
          <w:vertAlign w:val="subscript"/>
        </w:rPr>
        <w:t>2</w:t>
      </w:r>
      <w:r>
        <w:t>(4,4’-(PO</w:t>
      </w:r>
      <w:r w:rsidRPr="00B77937">
        <w:rPr>
          <w:vertAlign w:val="subscript"/>
        </w:rPr>
        <w:t>3</w:t>
      </w:r>
      <w:r>
        <w:t>H</w:t>
      </w:r>
      <w:r w:rsidRPr="00B77937">
        <w:rPr>
          <w:vertAlign w:val="subscript"/>
        </w:rPr>
        <w:t>2</w:t>
      </w:r>
      <w:r>
        <w:t>)</w:t>
      </w:r>
      <w:r w:rsidRPr="00B77937">
        <w:rPr>
          <w:vertAlign w:val="subscript"/>
        </w:rPr>
        <w:t>2</w:t>
      </w:r>
      <w:r>
        <w:t>-2,2’-bipyridine)]</w:t>
      </w:r>
      <w:r w:rsidRPr="00B77937">
        <w:rPr>
          <w:vertAlign w:val="superscript"/>
        </w:rPr>
        <w:t>2+</w:t>
      </w:r>
      <w:r>
        <w:t>, where bpy’ is 4,4’-(C(CH</w:t>
      </w:r>
      <w:r w:rsidRPr="00B77937">
        <w:rPr>
          <w:vertAlign w:val="subscript"/>
        </w:rPr>
        <w:t>3</w:t>
      </w:r>
      <w:r>
        <w:t>)</w:t>
      </w:r>
      <w:r w:rsidR="003C40F5" w:rsidRPr="00221BF8">
        <w:rPr>
          <w:vertAlign w:val="subscript"/>
        </w:rPr>
        <w:t>3</w:t>
      </w:r>
      <w:r>
        <w:t>)</w:t>
      </w:r>
      <w:r w:rsidRPr="00B77937">
        <w:rPr>
          <w:vertAlign w:val="subscript"/>
        </w:rPr>
        <w:t>2</w:t>
      </w:r>
      <w:r>
        <w:t>-2,2’-bipyridine (</w:t>
      </w:r>
      <w:r w:rsidRPr="00FB6CBB">
        <w:rPr>
          <w:b/>
        </w:rPr>
        <w:t>Ru(dtb)</w:t>
      </w:r>
      <w:r w:rsidRPr="00FB6CBB">
        <w:rPr>
          <w:b/>
          <w:vertAlign w:val="subscript"/>
        </w:rPr>
        <w:t>2</w:t>
      </w:r>
      <w:r w:rsidRPr="00FB6CBB">
        <w:rPr>
          <w:b/>
        </w:rPr>
        <w:t>P</w:t>
      </w:r>
      <w:r>
        <w:t>); 4,4’-(CH</w:t>
      </w:r>
      <w:r w:rsidRPr="00B77937">
        <w:rPr>
          <w:vertAlign w:val="subscript"/>
        </w:rPr>
        <w:t>3</w:t>
      </w:r>
      <w:r>
        <w:t>O)</w:t>
      </w:r>
      <w:r w:rsidRPr="00B77937">
        <w:rPr>
          <w:vertAlign w:val="subscript"/>
        </w:rPr>
        <w:t>2</w:t>
      </w:r>
      <w:r>
        <w:t>-2,2’-bipyridine (</w:t>
      </w:r>
      <w:r w:rsidRPr="00FB6CBB">
        <w:rPr>
          <w:b/>
        </w:rPr>
        <w:t>Ru(</w:t>
      </w:r>
      <w:r>
        <w:rPr>
          <w:b/>
        </w:rPr>
        <w:t>OMe</w:t>
      </w:r>
      <w:r w:rsidRPr="00FB6CBB">
        <w:rPr>
          <w:b/>
        </w:rPr>
        <w:t>)</w:t>
      </w:r>
      <w:r w:rsidRPr="00FB6CBB">
        <w:rPr>
          <w:b/>
          <w:vertAlign w:val="subscript"/>
        </w:rPr>
        <w:t>2</w:t>
      </w:r>
      <w:r w:rsidRPr="00FB6CBB">
        <w:rPr>
          <w:b/>
        </w:rPr>
        <w:t>P</w:t>
      </w:r>
      <w:r>
        <w:t>); and 2,2’-bipyridine (</w:t>
      </w:r>
      <w:r w:rsidRPr="00FB6CBB">
        <w:rPr>
          <w:b/>
        </w:rPr>
        <w:t>RuP</w:t>
      </w:r>
      <w:r>
        <w:t>), were anchored to mesoporous thin films of TiO</w:t>
      </w:r>
      <w:r w:rsidRPr="00FB6CBB">
        <w:rPr>
          <w:vertAlign w:val="subscript"/>
        </w:rPr>
        <w:t>2</w:t>
      </w:r>
      <w:r>
        <w:t xml:space="preserve"> nanocrystallites </w:t>
      </w:r>
      <w:r w:rsidR="00C448F0">
        <w:t xml:space="preserve">at </w:t>
      </w:r>
      <w:r>
        <w:t>saturation surface coverages to investigate lateral self-exchange Ru</w:t>
      </w:r>
      <w:r w:rsidRPr="00FB6CBB">
        <w:rPr>
          <w:b/>
          <w:vertAlign w:val="superscript"/>
        </w:rPr>
        <w:t xml:space="preserve">III/II </w:t>
      </w:r>
      <w:r w:rsidRPr="00FB6CBB">
        <w:t>intermolecular</w:t>
      </w:r>
      <w:r>
        <w:rPr>
          <w:b/>
          <w:vertAlign w:val="superscript"/>
        </w:rPr>
        <w:t xml:space="preserve"> </w:t>
      </w:r>
      <w:r>
        <w:t>hole hopping in 0.1 M LiClO</w:t>
      </w:r>
      <w:r w:rsidRPr="00FB6CBB">
        <w:rPr>
          <w:vertAlign w:val="subscript"/>
        </w:rPr>
        <w:t>4</w:t>
      </w:r>
      <w:r>
        <w:t>/CH</w:t>
      </w:r>
      <w:r w:rsidRPr="00FB6CBB">
        <w:rPr>
          <w:vertAlign w:val="subscript"/>
        </w:rPr>
        <w:t>3</w:t>
      </w:r>
      <w:r>
        <w:t>CN electrolytes</w:t>
      </w:r>
      <w:r w:rsidR="005A073A">
        <w:t xml:space="preserve">. </w:t>
      </w:r>
      <w:r>
        <w:t>Hole hopping was initiated by a potential step 500 mV positive of the E</w:t>
      </w:r>
      <w:r w:rsidRPr="00FB6CBB">
        <w:rPr>
          <w:vertAlign w:val="subscript"/>
        </w:rPr>
        <w:t>1/2</w:t>
      </w:r>
      <w:r>
        <w:t xml:space="preserve"> </w:t>
      </w:r>
      <w:r w:rsidR="00BE5384">
        <w:t>(</w:t>
      </w:r>
      <w:r>
        <w:t>Ru</w:t>
      </w:r>
      <w:r w:rsidR="0094333B" w:rsidRPr="0094333B">
        <w:rPr>
          <w:vertAlign w:val="superscript"/>
        </w:rPr>
        <w:t>III/II</w:t>
      </w:r>
      <w:r w:rsidR="00BE5384" w:rsidRPr="00BE5384">
        <w:t>)</w:t>
      </w:r>
      <w:r>
        <w:t xml:space="preserve"> potential </w:t>
      </w:r>
      <w:r w:rsidR="0094333B">
        <w:t>or</w:t>
      </w:r>
      <w:r>
        <w:t xml:space="preserve"> by pulsed laser (532 nm, 8 ns fwhm) excitation and were monitored by visible absorption </w:t>
      </w:r>
      <w:r w:rsidR="0094333B">
        <w:t>chronoabsorptometry</w:t>
      </w:r>
      <w:r>
        <w:t xml:space="preserve"> and time</w:t>
      </w:r>
      <w:r w:rsidR="003C40F5">
        <w:t>-</w:t>
      </w:r>
      <w:r>
        <w:t>resolved absorption anisotropy measurements, respectively</w:t>
      </w:r>
      <w:r w:rsidR="005A073A">
        <w:t xml:space="preserve">. </w:t>
      </w:r>
      <w:r>
        <w:t xml:space="preserve">The hole hopping rate constants </w:t>
      </w:r>
      <w:r>
        <w:rPr>
          <w:i/>
        </w:rPr>
        <w:t>k</w:t>
      </w:r>
      <w:r>
        <w:rPr>
          <w:vertAlign w:val="subscript"/>
        </w:rPr>
        <w:t>et</w:t>
      </w:r>
      <w:r>
        <w:t xml:space="preserve"> extracted from the potential step data revealed self-exchange rate constants that followed the trend: TiO</w:t>
      </w:r>
      <w:r w:rsidRPr="00153FCD">
        <w:rPr>
          <w:vertAlign w:val="subscript"/>
        </w:rPr>
        <w:t>2</w:t>
      </w:r>
      <w:r>
        <w:t>|Ru(OMe)</w:t>
      </w:r>
      <w:r>
        <w:rPr>
          <w:vertAlign w:val="subscript"/>
        </w:rPr>
        <w:t>2</w:t>
      </w:r>
      <w:r>
        <w:t>P (</w:t>
      </w:r>
      <w:r>
        <w:rPr>
          <w:i/>
        </w:rPr>
        <w:t>k</w:t>
      </w:r>
      <w:r>
        <w:rPr>
          <w:vertAlign w:val="subscript"/>
        </w:rPr>
        <w:t>et</w:t>
      </w:r>
      <w:r>
        <w:t xml:space="preserve"> =1.4 x 10</w:t>
      </w:r>
      <w:r>
        <w:rPr>
          <w:vertAlign w:val="superscript"/>
        </w:rPr>
        <w:t>6</w:t>
      </w:r>
      <w:r>
        <w:t> s</w:t>
      </w:r>
      <w:r>
        <w:rPr>
          <w:vertAlign w:val="superscript"/>
        </w:rPr>
        <w:t>-1</w:t>
      </w:r>
      <w:r>
        <w:t>) &gt; TiO</w:t>
      </w:r>
      <w:r w:rsidRPr="00153FCD">
        <w:rPr>
          <w:vertAlign w:val="subscript"/>
        </w:rPr>
        <w:t>2</w:t>
      </w:r>
      <w:r>
        <w:t>|RuP (7.1 x 10</w:t>
      </w:r>
      <w:r>
        <w:rPr>
          <w:vertAlign w:val="superscript"/>
        </w:rPr>
        <w:t>5</w:t>
      </w:r>
      <w:r>
        <w:t> s</w:t>
      </w:r>
      <w:r>
        <w:rPr>
          <w:vertAlign w:val="superscript"/>
        </w:rPr>
        <w:t>-1</w:t>
      </w:r>
      <w:r>
        <w:t>) &gt; TiO</w:t>
      </w:r>
      <w:r w:rsidRPr="00153FCD">
        <w:rPr>
          <w:vertAlign w:val="subscript"/>
        </w:rPr>
        <w:t>2</w:t>
      </w:r>
      <w:r>
        <w:t>|Ru(dtb)</w:t>
      </w:r>
      <w:r>
        <w:rPr>
          <w:vertAlign w:val="subscript"/>
        </w:rPr>
        <w:t>2</w:t>
      </w:r>
      <w:r>
        <w:t>P (6.5 x 10</w:t>
      </w:r>
      <w:r>
        <w:rPr>
          <w:vertAlign w:val="superscript"/>
        </w:rPr>
        <w:t>4</w:t>
      </w:r>
      <w:r>
        <w:t xml:space="preserve"> s</w:t>
      </w:r>
      <w:r>
        <w:rPr>
          <w:vertAlign w:val="superscript"/>
        </w:rPr>
        <w:t>-1</w:t>
      </w:r>
      <w:r>
        <w:t>)</w:t>
      </w:r>
      <w:r w:rsidR="000B05D7">
        <w:t xml:space="preserve">. </w:t>
      </w:r>
      <w:r>
        <w:t>Analysis of the anisotropy data with Monte Carlo simulations provided hole hopping rate constants for TiO</w:t>
      </w:r>
      <w:r w:rsidRPr="00153FCD">
        <w:rPr>
          <w:vertAlign w:val="subscript"/>
        </w:rPr>
        <w:t>2</w:t>
      </w:r>
      <w:r>
        <w:t>|RuP and TiO</w:t>
      </w:r>
      <w:r w:rsidRPr="00153FCD">
        <w:rPr>
          <w:vertAlign w:val="subscript"/>
        </w:rPr>
        <w:t>2</w:t>
      </w:r>
      <w:r>
        <w:t>|Ru(dtb)</w:t>
      </w:r>
      <w:r>
        <w:rPr>
          <w:vertAlign w:val="subscript"/>
        </w:rPr>
        <w:t>2</w:t>
      </w:r>
      <w:r>
        <w:t>P that were within experimental error the same as that measured with the potential step</w:t>
      </w:r>
      <w:r w:rsidR="005A073A">
        <w:t xml:space="preserve">. </w:t>
      </w:r>
      <w:r>
        <w:t>The hole hopping rate constants were</w:t>
      </w:r>
      <w:r w:rsidR="0094333B">
        <w:t xml:space="preserve"> found to </w:t>
      </w:r>
      <w:r w:rsidR="005E29CC" w:rsidRPr="005E29CC">
        <w:rPr>
          <w:highlight w:val="yellow"/>
        </w:rPr>
        <w:t>trend</w:t>
      </w:r>
      <w:r>
        <w:t xml:space="preserve"> with the</w:t>
      </w:r>
      <w:r w:rsidR="0094333B">
        <w:t xml:space="preserve"> TiO</w:t>
      </w:r>
      <w:r w:rsidR="0094333B">
        <w:rPr>
          <w:vertAlign w:val="subscript"/>
        </w:rPr>
        <w:t>2</w:t>
      </w:r>
      <w:r w:rsidR="0094333B">
        <w:t>(e</w:t>
      </w:r>
      <w:r w:rsidR="0094333B" w:rsidRPr="0094333B">
        <w:rPr>
          <w:vertAlign w:val="superscript"/>
        </w:rPr>
        <w:t>−</w:t>
      </w:r>
      <w:r w:rsidR="0094333B">
        <w:t>)|Ru</w:t>
      </w:r>
      <w:r w:rsidR="0094333B">
        <w:rPr>
          <w:vertAlign w:val="superscript"/>
        </w:rPr>
        <w:t>III</w:t>
      </w:r>
      <w:r w:rsidR="0094333B">
        <w:t xml:space="preserve"> </w:t>
      </w:r>
      <w:r w:rsidR="0094333B">
        <w:sym w:font="Wingdings" w:char="F0E0"/>
      </w:r>
      <w:r w:rsidR="0094333B">
        <w:t xml:space="preserve"> TiO</w:t>
      </w:r>
      <w:r w:rsidR="0094333B">
        <w:rPr>
          <w:vertAlign w:val="subscript"/>
        </w:rPr>
        <w:t>2</w:t>
      </w:r>
      <w:r w:rsidR="0094333B">
        <w:t>|Ru</w:t>
      </w:r>
      <w:r w:rsidR="0094333B">
        <w:rPr>
          <w:vertAlign w:val="superscript"/>
        </w:rPr>
        <w:t>II</w:t>
      </w:r>
      <w:r w:rsidR="0094333B">
        <w:t xml:space="preserve"> </w:t>
      </w:r>
      <w:r>
        <w:t>charge recombination rate constants</w:t>
      </w:r>
      <w:r w:rsidR="005A073A">
        <w:t xml:space="preserve">. </w:t>
      </w:r>
      <w:r>
        <w:t>The atomic layer deposition of an ~ 10 Å layer of Al</w:t>
      </w:r>
      <w:r w:rsidRPr="00054E1C">
        <w:rPr>
          <w:vertAlign w:val="subscript"/>
        </w:rPr>
        <w:t>2</w:t>
      </w:r>
      <w:r>
        <w:t>O</w:t>
      </w:r>
      <w:r w:rsidRPr="00054E1C">
        <w:rPr>
          <w:vertAlign w:val="subscript"/>
        </w:rPr>
        <w:t xml:space="preserve">3 </w:t>
      </w:r>
      <w:r>
        <w:t>on top of the dye-sensitized films was found to prevent hole hopping by both initiation methods even though the chromophore surface coverage exceeded the percolation threshold and excited</w:t>
      </w:r>
      <w:r w:rsidR="00E8076B">
        <w:t>-</w:t>
      </w:r>
      <w:r>
        <w:t>state injection was efficient</w:t>
      </w:r>
      <w:r w:rsidR="005A073A">
        <w:t xml:space="preserve">. </w:t>
      </w:r>
      <w:r>
        <w:t xml:space="preserve">The dramatic </w:t>
      </w:r>
      <w:r w:rsidR="003C40F5">
        <w:t xml:space="preserve">hole hopping </w:t>
      </w:r>
      <w:r>
        <w:t>turn-off was attributed to a larger outer-sphere reorganization energy for self-exchange due to the restricted access of electrolyte to the redox active chromophores</w:t>
      </w:r>
      <w:r w:rsidR="005A073A">
        <w:t xml:space="preserve">. </w:t>
      </w:r>
      <w:r>
        <w:t>The implications of these findings for solar energy conversion applications are discussed</w:t>
      </w:r>
      <w:r w:rsidR="005A073A">
        <w:t xml:space="preserve">. </w:t>
      </w:r>
    </w:p>
    <w:p w14:paraId="55221980" w14:textId="0902138C" w:rsidR="009B1E5E" w:rsidRPr="00A57AF0" w:rsidRDefault="00E77C21" w:rsidP="00A57AF0">
      <w:pPr>
        <w:pStyle w:val="NoSpacing"/>
        <w:spacing w:line="360" w:lineRule="auto"/>
        <w:rPr>
          <w:b/>
        </w:rPr>
      </w:pPr>
      <w:r>
        <w:br w:type="page"/>
      </w:r>
      <w:r w:rsidR="001352D8" w:rsidRPr="00A57AF0">
        <w:rPr>
          <w:b/>
        </w:rPr>
        <w:lastRenderedPageBreak/>
        <w:t>INTRODUCTION.</w:t>
      </w:r>
    </w:p>
    <w:p w14:paraId="2C36A20B" w14:textId="2ED43574" w:rsidR="001E6412" w:rsidRPr="00267409" w:rsidRDefault="001E6412">
      <w:pPr>
        <w:pStyle w:val="NoSpacing"/>
        <w:spacing w:line="360" w:lineRule="auto"/>
        <w:ind w:firstLine="720"/>
        <w:jc w:val="both"/>
      </w:pPr>
      <w:r>
        <w:t xml:space="preserve">Storage of solar energy </w:t>
      </w:r>
      <w:r w:rsidR="003F3913">
        <w:t xml:space="preserve">in chemical bonds through the photocatalytic </w:t>
      </w:r>
      <w:r w:rsidR="00E77C21">
        <w:t>conversion of inexpensive and abundant feedstocks to</w:t>
      </w:r>
      <w:r w:rsidR="003F3913">
        <w:t xml:space="preserve"> what have been termed ‘solar </w:t>
      </w:r>
      <w:r>
        <w:t>fuels</w:t>
      </w:r>
      <w:r w:rsidR="003F3913">
        <w:t>’</w:t>
      </w:r>
      <w:r>
        <w:t xml:space="preserve"> </w:t>
      </w:r>
      <w:r w:rsidR="003F3913">
        <w:t>represents</w:t>
      </w:r>
      <w:r>
        <w:t xml:space="preserve"> a promising strategy.</w:t>
      </w:r>
      <w:r w:rsidR="006C7EED">
        <w:fldChar w:fldCharType="begin" w:fldLock="1"/>
      </w:r>
      <w:r w:rsidR="00956454">
        <w:instrText>ADDIN CSL_CITATION {"citationItems":[{"id":"ITEM-1","itemData":{"DOI":"10.1016/j.jphotochem.2017.09.013","ISSN":"10106030","abstract":"The generation of renewable electricity is becoming increasingly cost-effective and efficient so that a different set of challenges have arisen that need to be overcome. The most pressing of these is the development of viable, ‘green’ ways to store this energy as carbon–carbon bonds. Natural photosynthesis provides a ready blue print for the conversion of solar energy into carbohydrate, i.e., a fuel composed of carbon–carbon bonds. Natural photosynthesis is too complicated and its components too fragile ever to be copied in an artificial context. Natural photosynthesis, however, does provide many templates that can be mimicked in any future bio-inspired version of artificial photosynthesis, such as the oxygen evolving complex and the enzyme RuBisCO. Many options will need to be explored to find the best ways to achieve artificial photosynthesis and to achieve it will require a large-scale, coordinated international effort. There is simply no time left to continue in the way we are now. Climate change needs to be stopped as soon as possible and the clock is ticking for us to make clean, renewable solar fuels. We must all now work together!","author":[{"dropping-particle":"","family":"Cogdell","given":"Richard J.","non-dropping-particle":"","parse-names":false,"suffix":""},{"dropping-particle":"","family":"Gardiner","given":"Alastair T.","non-dropping-particle":"","parse-names":false,"suffix":""},{"dropping-particle":"","family":"Yukihira","given":"Nao","non-dropping-particle":"","parse-names":false,"suffix":""},{"dropping-particle":"","family":"Hashimoto","given":"Hideki","non-dropping-particle":"","parse-names":false,"suffix":""}],"container-title":"Journal of Photochemistry and Photobiology A: Chemistry","id":"ITEM-1","issued":{"date-parts":[["2018"]]},"page":"645-653","publisher":"Elsevier B.V.","title":"Solar fuels and inspiration from photosynthesis","type":"article-journal","volume":"353"},"uris":["http://www.mendeley.com/documents/?uuid=9f20f0e7-0b4a-4b4f-a346-61ca774a517f"]},{"id":"ITEM-2","itemData":{"DOI":"10.1016/j.jphotochemrev.2015.08.002","ISSN":"13895567","abstract":"Widespread implementation of renewable energy technologies, while preventing significant increases in greenhouse gas emissions, appears to be the only viable solution to meeting the world's energy demands for a sustainable energy future. The final energy mix will include conservation and energy efficiency, wind, geothermal, biomass, and others, but none more ubiquitous or abundant than the sun. Over several decades of development, the cost of photovoltaic cells has decreased significantly with lifetimes that exceed 25 years and there is promise for widespread implementation in the future. However, the solar input is intermittent and, to be practical at a truly large scale, will require an equally large capability for energy storage. One approach involves artificial photosynthesis and the use of the sun to drive solar fuel reactions for water splitting into hydrogen and oxygen or to reduce CO2 to reduced carbon fuels. An early breakthrough in this area came from an initial report by Honda and Fujishima on photoelectrochemical water splitting at TiO2 with UV excitation. Significant progress has been made since in exploiting semiconductor devices in water splitting with impressive gains in spectral coverage and solar efficiencies. An alternate, hybrid approach, which integrates molecular light absorption and catalysis with the band gap properties of oxide semiconductors, the dye-sensitized photoelectrosynthesis cell (DSPEC), has been pioneered by the University of North Carolina Energy Frontier Research Center (UNC EFRC) on Solar Fuels. By utilizing chromophore-catalyst assemblies, core/shell oxide structures, and surface stabilization, the EFRC recently demonstrated a viable DSPEC for solar water splitting.","author":[{"dropping-particle":"","family":"House","given":"Ralph L.","non-dropping-particle":"","parse-names":false,"suffix":""},{"dropping-particle":"","family":"Iha","given":"Neyde Yukie Murakami","non-dropping-particle":"","parse-names":false,"suffix":""},{"dropping-particle":"","family":"Coppo","given":"Rodolfo L.","non-dropping-particle":"","parse-names":false,"suffix":""},{"dropping-particle":"","family":"Alibabaei","given":"Leila","non-dropping-particle":"","parse-names":false,"suffix":""},{"dropping-particle":"","family":"Sherman","given":"Benjamin D.","non-dropping-particle":"","parse-names":false,"suffix":""},{"dropping-particle":"","family":"Kang","given":"Peng","non-dropping-particle":"","parse-names":false,"suffix":""},{"dropping-particle":"","family":"Brennaman","given":"M. Kyle","non-dropping-particle":"","parse-names":false,"suffix":""},{"dropping-particle":"","family":"Hoertz","given":"Paul G.","non-dropping-particle":"","parse-names":false,"suffix":""},{"dropping-particle":"","family":"Meyer","given":"Thomas J.","non-dropping-particle":"","parse-names":false,"suffix":""}],"container-title":"Journal of Photochemistry and Photobiology C: Photochemistry Reviews","id":"ITEM-2","issued":{"date-parts":[["2015"]]},"page":"32-45","publisher":"Elsevier Ireland Ltd","title":"Artificial photosynthesis: Where are we now? Where can we go?","type":"article-journal","volume":"25"},"uris":["http://www.mendeley.com/documents/?uuid=89c66dd3-906d-474a-bc75-08424eadb71b"]},{"id":"ITEM-3","itemData":{"DOI":"10.1016/j.rser.2015.01.019","ISSN":"13640321","abstract":"Synthesis of solar fuels including methanol from carbon dioxide (CO2) and water using solar energy or electricity derived from sunlight, which is popularly known as artificial photosynthesis (AP), has been considered to be one of the top-most research priorities all over the world, as on today, as this process can indeed deal with (i) the CO2 related global warming problem, (ii) synthesis of renewable energy resources, and (iii) storing of energy in the form of liquid fuels with considerably high energy density. By using electricity derived from sunlight, the CO2 can be reduced into methanol and other value added chemicals using water as a source of protons and electrons in a device called, artificial leaf. The development of an efficient AP or artificial leaves is possible by the careful analysis and understanding of the complete information available on (i) CO2 reduction process, (ii) water oxidation or splitting reaction, and (iii) the electricity generation from sunlight. The current state-of-the-art on CO2 reduction has been thoroughly reviewed in a recent article \"Conversion of carbon dioxide into methanol - a potential liquid fuel: fundamental challenges and opportunities\", (Renewable and Sustainable Energy Reviews, 31, 2014, 221-257), whereas, the same on (i) water oxidation (or splitting) process, and (ii) the electricity generation from sunlight is yet to be reviewed together from the perspective of creating an efficient and economically viable artificial leaves. This article is an attempt to this effect while citing all the up to date relevant references.","author":[{"dropping-particle":"","family":"Ibram","given":"Ganesh","non-dropping-particle":"","parse-names":false,"suffix":""}],"container-title":"Renewable and Sustainable Energy Reviews","id":"ITEM-3","issued":{"date-parts":[["2015"]]},"page":"904-932","publisher":"Elsevier","title":"Solar fuels vis-à-vis electricity generation from sunlight: The current state-of-the-art (a review)","type":"article-journal","volume":"44"},"uris":["http://www.mendeley.com/documents/?uuid=fca26d8e-ed89-4af0-a2fd-46b010a0be10"]},{"id":"ITEM-4","itemData":{"DOI":"10.1021/cr100246c","ISSN":"0009-2665","abstract":"Solar Energy Supply and Storage for the Legacy and Nonlegacy Worlds","author":[{"dropping-particle":"","family":"Cook","given":"Timothy R.","non-dropping-particle":"","parse-names":false,"suffix":""},{"dropping-particle":"","family":"Dogutan","given":"Dilek K.","non-dropping-particle":"","parse-names":false,"suffix":""},{"dropping-particle":"","family":"Reece","given":"Steven Y.","non-dropping-particle":"","parse-names":false,"suffix":""},{"dropping-particle":"","family":"Surendranath","given":"Yogesh","non-dropping-particle":"","parse-names":false,"suffix":""},{"dropping-particle":"","family":"Teets","given":"Thomas S.","non-dropping-particle":"","parse-names":false,"suffix":""},{"dropping-particle":"","family":"Nocera","given":"Daniel G.","non-dropping-particle":"","parse-names":false,"suffix":""}],"container-title":"Chemical Reviews","id":"ITEM-4","issue":"11","issued":{"date-parts":[["2010"]]},"page":"6474-6502","title":"Solar Energy Supply and Storage for the Legacy and Nonlegacy Worlds","type":"article-journal","volume":"110"},"uris":["http://www.mendeley.com/documents/?uuid=3cd115e0-335a-4c96-be49-ea75541fe9b5"]},{"id":"ITEM-5","itemData":{"DOI":"10.1039/c0dt00454e","ISSN":"1477-9226","author":[{"dropping-particle":"","family":"McDaniel","given":"Neal D.","non-dropping-particle":"","parse-names":false,"suffix":""},{"dropping-particle":"","family":"Bernhard","given":"Stefan","non-dropping-particle":"","parse-names":false,"suffix":""}],"container-title":"Dalton Transactions","id":"ITEM-5","issue":"42","issued":{"date-parts":[["2010"]]},"page":"10021","title":"Solar fuels: thermodynamics, candidates, tactics, and figures of merit","type":"article-journal","volume":"39"},"uris":["http://www.mendeley.com/documents/?uuid=4585efd9-512e-495b-939b-49d9204edf62"]},{"id":"ITEM-6","itemData":{"DOI":"pnas.0603395103","author":[{"dropping-particle":"","family":"Lewis","given":"Nathan S.","non-dropping-particle":"","parse-names":false,"suffix":""},{"dropping-particle":"","family":"Nocera","given":"Daniel G.","non-dropping-particle":"","parse-names":false,"suffix":""}],"container-title":"PNAS","id":"ITEM-6","issue":"43","issued":{"date-parts":[["2006"]]},"page":"15729–15735","title":"Powering the planet: Chemical challenges in solar energy utilization","type":"article-journal","volume":"103"},"uris":["http://www.mendeley.com/documents/?uuid=3ba9de1b-cbd8-42a8-895d-38d9388805da"]},{"id":"ITEM-7","itemData":{"DOI":"10.1021/ic901328v","ISBN":"0020-1669","ISSN":"00201669","PMID":"19775081","abstract":"Personalized energy (PE) is a transformative idea that provides a new modality for the planet's energy future. By providing solar energy to the individual, an energy supply becomes secure and available to people of both legacy and nonlegacy worlds and minimally contributes to an increase in the anthropogenic level of carbon dioxide. Because PE will be possible only if solar energy is available 24 h a day, 7 days a week, the key enabler for solar PE is an inexpensive storage mechanism. HY (Y = halide or OH(-)) splitting is a fuel-forming reaction of sufficient energy density for large-scale solar storage, but the reaction relies on chemical transformations that are not understood at the most basic science level. Critical among these are multielectron transfers that are proton-coupled and involve the activation of bonds in energy-poor substrates. The chemistry of these three italicized areas is developed, and from this platform, discovery paths leading to new hydrohalic acid- and water-splitting catalysts are delineated. The latter water-splitting catalyst captures many of the functional elements of photosynthesis. In doing so, a highly manufacturable and inexpensive method for solar PE storage has been discovered.","author":[{"dropping-particle":"","family":"Nocera","given":"Daniel G.","non-dropping-particle":"","parse-names":false,"suffix":""}],"container-title":"Inorganic Chemistry","id":"ITEM-7","issue":"21","issued":{"date-parts":[["2009"]]},"page":"10001-10017","title":"Chemistry of personalized solar energy","type":"article-journal","volume":"48"},"uris":["http://www.mendeley.com/documents/?uuid=a6f680ad-62cf-4b1a-b4e9-fb520ae3110d"]},{"id":"ITEM-8","itemData":{"DOI":"10.1039/c4cy00974f","ISSN":"20444761","abstract":"This perspective article describes the barrier, progress and future direction of research on the photocatalytic and photoelectrochemical solar fuel generation.To address the challenge in sustainable global development, considerable effort has been made to produce fuels from renewable resources with photocatalysts and photoelectrochemical cells (PECs) by harvesting solar energy. The solar energy conversion efficiency of photocatalysts and PECs is strongly dependent on the light absorption, charge separation, charge migration, charge recombination processes and (electro)catalytic activity in photoactive semiconductors. This perspective article describes the barrier, progress and future direction of research on the correlation of the chemical constituent, size, dimensionality, architecture, crystal structure, microstructure and electronic band structure of photocatalysts (or photoelectrodes) with five vital processes including light absorption, charge separation, migration and recombination as well as surface redox reactions. This article deals with both single materials and composites such as co-catalysts on photoelectrodes/photocatalysts, dye-sensitized or plasmon-enhanced photocatalysts, semiconductor–semiconductor heterostructures, semiconductor–carbon hybrids as wells as Z-scheme and tandem cells. This article also highlights the application of representative photocatalysts and PECs in solar water splitting.","author":[{"dropping-particle":"","family":"Li","given":"Jiangtian","non-dropping-particle":"","parse-names":false,"suffix":""},{"dropping-particle":"","family":"Wu","given":"Nianqiang","non-dropping-particle":"","parse-names":false,"suffix":""}],"container-title":"Catalysis Science and Technology","id":"ITEM-8","issue":"3","issued":{"date-parts":[["2015"]]},"page":"1360-1384","publisher":"Royal Society of Chemistry","title":"Semiconductor-based photocatalysts and photoelectrochemical cells for solar fuel generation: A review","type":"article-journal","volume":"5"},"uris":["http://www.mendeley.com/documents/?uuid=ee2b35cb-bc67-4880-83a9-f3da247d13e5"]},{"id":"ITEM-9","itemData":{"DOI":"10.1021/cr1002326","ISSN":"0009-2665","abstract":"A review on the efforts to develop an efficient semiconductor-based photoelectrochem. water splitting device in which the only inputs are sunlight and water.  The fundamental principles of photoinduced electron-transfer mechanisms at a semiconductor/liq. junction, and optimization of such processes, are summarized.  A wide range of both p- and n-type semiconductor photoelectrode materials that have been studied for photoelectrochem. water splitting cells are then described.  In addn., heterogeneous electrocatalysts used to facilitate the oxidn. and redn. reactions in electrochem. and in photoelectrochem. water splitting systems are reviewed.  Finally, efforts to combine photoanode, photocathode, and photovoltaic-assisted coupled configurations in both single and dual band gap photoelectrolysis cells are examd. in terms of their solar-to-hydrogen efficiency, stability, and expected viability.  Strategies to optimize solar-to-chem. energy-conversion efficiencies by optimization of light harvesting structured semiconductors, photoinduced electron transfer and transport, and surface catalysis are also described. [on SciFinder(R)]","author":[{"dropping-particle":"","family":"Walter","given":"Michael G.","non-dropping-particle":"","parse-names":false,"suffix":""},{"dropping-particle":"","family":"Warren","given":"Emily L.","non-dropping-particle":"","parse-names":false,"suffix":""},{"dropping-particle":"","family":"McKone","given":"James R.","non-dropping-particle":"","parse-names":false,"suffix":""},{"dropping-particle":"","family":"Boettcher","given":"Shannon W.","non-dropping-particle":"","parse-names":false,"suffix":""},{"dropping-particle":"","family":"Mi","given":"Qixi","non-dropping-particle":"","parse-names":false,"suffix":""},{"dropping-particle":"","family":"Santori","given":"Elizabeth A.","non-dropping-particle":"","parse-names":false,"suffix":""},{"dropping-particle":"","family":"Lewis","given":"Nathan S.","non-dropping-particle":"","parse-names":false,"suffix":""}],"container-title":"Chemical Reviews","id":"ITEM-9","issue":"11","issued":{"date-parts":[["2010"]]},"page":"6446-6473","title":"Solar Water Splitting Cells","type":"article-journal","volume":"110"},"uris":["http://www.mendeley.com/documents/?uuid=989fe4ab-fb09-4b0a-baec-a09bf2125292"]},{"id":"ITEM-10","itemData":{"DOI":"10.1021/ic050904r","ISSN":"00201669","abstract":"The goal of artificial photosynthesis is to use the energy of the sun to make high-energy chemicals for energy production. One approach, described here, is to use light absorption and excited-state electron transfer to create oxidative and reductive equivalents for driving relevant fuel-forming half-reactions such as the oxidation of water to O2 and its reduction to H2. In this \"integrated modular assembly\" approach, separate components for light absorption, energy transfer, and long-range electron transfer by use of free-energy gradients are integrated with oxidative and reductive catalysts into single molecular assemblies or on separate electrodes in photelectrochemical cells. Derivatized porphyrins and metalloporphyrins and metal polypyridyl complexes have been most commonly used in these assemblies, with the latter the focus of the current account. The underlying physical principles--light absorption, energy transfer, radiative and nonradiative excited-state decay, electron transfer, proton-coupled electron transfer, and catalysis--are outlined with an eye toward their roles in molecular assemblies for energy conversion. Synthetic approaches based on sequential covalent bond formation, derivatization of preformed polymers, and stepwise polypeptide synthesis have been used to prepare molecular assemblies. A higher level hierarchial \"assembly of assemblies\" strategy is required for a working device, and progress has been made for metal polypyridyl complex assemblies based on sol-gels, electropolymerized thin films, and chemical adsorption to thin films of metal oxide nanoparticles.","author":[{"dropping-particle":"","family":"Meyer","given":"Thomas J.","non-dropping-particle":"","parse-names":false,"suffix":""}],"container-title":"Accounts of Chemical Research","id":"ITEM-10","issue":"5","issued":{"date-parts":[["1989"]]},"page":"163-170","title":"Chemical approaches to artificial photosynthesis","type":"article-journal","volume":"22"},"uris":["http://www.mendeley.com/documents/?uuid=072c41fc-f8c5-4b21-937d-45132f4fc953"]}],"mendeley":{"formattedCitation":"&lt;sup&gt;1–10&lt;/sup&gt;","plainTextFormattedCitation":"1–10","previouslyFormattedCitation":"&lt;sup&gt;1–10&lt;/sup&gt;"},"properties":{"noteIndex":0},"schema":"https://github.com/citation-style-language/schema/raw/master/csl-citation.json"}</w:instrText>
      </w:r>
      <w:r w:rsidR="006C7EED">
        <w:fldChar w:fldCharType="separate"/>
      </w:r>
      <w:r w:rsidR="006C7EED" w:rsidRPr="006C7EED">
        <w:rPr>
          <w:noProof/>
          <w:vertAlign w:val="superscript"/>
        </w:rPr>
        <w:t>1–10</w:t>
      </w:r>
      <w:r w:rsidR="006C7EED">
        <w:fldChar w:fldCharType="end"/>
      </w:r>
      <w:r w:rsidR="00E77C21">
        <w:t xml:space="preserve"> </w:t>
      </w:r>
      <w:r w:rsidR="003F3913">
        <w:t xml:space="preserve">One approach to solar fuel production is the </w:t>
      </w:r>
      <w:r w:rsidR="00EA5A91">
        <w:t>dye-sensiti</w:t>
      </w:r>
      <w:r w:rsidR="003F3913">
        <w:t>zed photoelectrosynthesis cell that utilizes</w:t>
      </w:r>
      <w:r w:rsidR="00EA5A91">
        <w:t xml:space="preserve"> </w:t>
      </w:r>
      <w:r w:rsidR="003F3913">
        <w:t>wide band gap semiconducting</w:t>
      </w:r>
      <w:r w:rsidR="00C5440E">
        <w:t xml:space="preserve"> metal</w:t>
      </w:r>
      <w:r w:rsidR="003F3913">
        <w:t xml:space="preserve"> </w:t>
      </w:r>
      <w:r w:rsidR="00E77C21">
        <w:t>oxide nanocrystallites</w:t>
      </w:r>
      <w:r w:rsidR="003F3913">
        <w:t xml:space="preserve"> interconnected in a mesoporous thin film with surface anchored dyes and </w:t>
      </w:r>
      <w:r w:rsidR="007C4AB4">
        <w:t>catalysts.</w:t>
      </w:r>
      <w:r w:rsidR="0002610A">
        <w:fldChar w:fldCharType="begin" w:fldLock="1"/>
      </w:r>
      <w:r w:rsidR="006C7EED">
        <w:instrText>ADDIN CSL_CITATION {"citationItems":[{"id":"ITEM-1","itemData":{"DOI":"10.1021/jacs.6b06466","ISBN":"0002-7863","ISSN":"15205126","abstract":"The dye-sensitized photoelectrosynthesis cell (DSPEC) integrates high bandgap, nanoparticle oxide semiconductors with the light-absorbing and catalytic properties of designed chromophore–catalyst assemblies. The goals are photoelectrochemical water splitting into hydrogen and oxygen and reduction of CO2 by water to give oxygen and carbon-based fuels. Solar-driven water oxidation occurs at a photoanode and water or CO2 reduction at a cathode or photocathode initiated by molecular-level light absorption. Light absorption is followed by electron or hole injection, catalyst activation, and catalytic water oxidation or water/CO2 reduction. The DSPEC is of recent origin but significant progress has been made. It has the potential to play an important role in our energy future.","author":[{"dropping-particle":"","family":"Brennaman","given":"M. Kyle","non-dropping-particle":"","parse-names":false,"suffix":""},{"dropping-particle":"","family":"Dillon","given":"Robert J.","non-dropping-particle":"","parse-names":false,"suffix":""},{"dropping-particle":"","family":"Alibabaei","given":"Leila","non-dropping-particle":"","parse-names":false,"suffix":""},{"dropping-particle":"","family":"Gish","given":"Melissa K.","non-dropping-particle":"","parse-names":false,"suffix":""},{"dropping-particle":"","family":"Dares","given":"Christopher J.","non-dropping-particle":"","parse-names":false,"suffix":""},{"dropping-particle":"","family":"Ashford","given":"Dennis L.","non-dropping-particle":"","parse-names":false,"suffix":""},{"dropping-particle":"","family":"House","given":"Ralph L.","non-dropping-particle":"","parse-names":false,"suffix":""},{"dropping-particle":"","family":"Meyer","given":"Gerald J.","non-dropping-particle":"","parse-names":false,"suffix":""},{"dropping-particle":"","family":"Papanikolas","given":"John M.","non-dropping-particle":"","parse-names":false,"suffix":""},{"dropping-particle":"","family":"Meyer","given":"Thomas J.","non-dropping-particle":"","parse-names":false,"suffix":""}],"container-title":"Journal of the American Chemical Society","id":"ITEM-1","issue":"40","issued":{"date-parts":[["2016"]]},"page":"13085-13102","title":"Finding the Way to Solar Fuels with Dye-Sensitized Photoelectrosynthesis Cells","type":"article-journal","volume":"138"},"uris":["http://www.mendeley.com/documents/?uuid=b57a4146-d571-4273-a9be-83d96f9e322e"]},{"id":"ITEM-2","itemData":{"DOI":"10.1039/c4ee03565h","ISSN":"17545706","abstract":" Dye-sensitized photoelectrochemical cells based on molecular components represent promising approaches to generate hydrogen via solar-driven water splitting. Conceptually new research on dye-sensitized photoelectrochemical cells (DS-PECs), through which solar-driven water splitting to generate solar fuel in the form of hydrogen is realized, has attracted growing interest in the past few years. DS-PECs are based on the configurations of dye-sensitized solar cells (DSCs), but with an aim to drive the two half reactions of water splitting at physically separated two compartments (electrodes) rather than to generate electrical power. Herein, we review some of the recent advances in the design and construction of functional DS-PECs for visible light-driven water splitting together with some comments on the performance of these devices. Future challenges towards the development of more efficient dye-sensitized photoelectrochemical devices are addressed in the end.","author":[{"dropping-particle":"","family":"Yu","given":"Ze","non-dropping-particle":"","parse-names":false,"suffix":""},{"dropping-particle":"","family":"Li","given":"Fei","non-dropping-particle":"","parse-names":false,"suffix":""},{"dropping-particle":"","family":"Sun","given":"Licheng","non-dropping-particle":"","parse-names":false,"suffix":""}],"container-title":"Energy and Environmental Science","id":"ITEM-2","issue":"3","issued":{"date-parts":[["2015"]]},"page":"760-775","title":"Recent advances in dye-sensitized photoelectrochemical cells for solar hydrogen production based on molecular components","type":"article-journal","volume":"8"},"uris":["http://www.mendeley.com/documents/?uuid=71e1e6bf-5435-43ec-9ff9-14e0277d8e97"]},{"id":"ITEM-3","itemData":{"DOI":"10.1016/j.nantod.2017.04.009","ISSN":"1878044X","abstract":"Research in artificial photosynthesis is driven by the goal of creating low-cost, integrated systems for the direct conversion of solar energy to high energy density fuels. Water-splitting dye-sensitized solar cells can in principle leverage the successful architecture, spectral tunability, and high quantum efficiency of regenerative photovoltaic dye cells toward this goal. In this article, we review the current development of both dye-sensitized photoanodes and photocathodes for water splitting. A detailed discussion of the individual components of photoanodes and photocathodes – semiconductors, sensitizers, and catalysts – is presented. We review experiments on the electron transfer kinetics that control the efficiency of water splitting, and highlight recent research on electrode architectures that can improve both the efficiency and stability of water-splitting dye cells.","author":[{"dropping-particle":"","family":"Xu","given":"Pengtao","non-dropping-particle":"","parse-names":false,"suffix":""},{"dropping-particle":"","family":"McCool","given":"Nicholas S.","non-dropping-particle":"","parse-names":false,"suffix":""},{"dropping-particle":"","family":"Mallouk","given":"Thomas E.","non-dropping-particle":"","parse-names":false,"suffix":""}],"container-title":"Nano Today","id":"ITEM-3","issued":{"date-parts":[["2017"]]},"page":"42-58","publisher":"Elsevier Ltd","title":"Water splitting dye-sensitized solar cells","type":"article-journal","volume":"14"},"uris":["http://www.mendeley.com/documents/?uuid=02a04713-e1ab-4a37-be00-6fae8dee35a9"]},{"id":"ITEM-4","itemData":{"DOI":"10.1016/S0140-6736(06)68542-5","ISBN":"0140-6736","ISSN":"01406736","PMID":"16631882","author":[{"dropping-particle":"","family":"Gratzel","given":"Michael","non-dropping-particle":"","parse-names":false,"suffix":""}],"container-title":"Nature","id":"ITEM-4","issued":{"date-parts":[["2001"]]},"page":"338-344","title":"Photoelectrochemical cells","type":"article-journal","volume":"414"},"uris":["http://www.mendeley.com/documents/?uuid=ed5ce675-ec1b-4175-ba16-e2283e2d98c2"]}],"mendeley":{"formattedCitation":"&lt;sup&gt;11–14&lt;/sup&gt;","plainTextFormattedCitation":"11–14","previouslyFormattedCitation":"&lt;sup&gt;11–14&lt;/sup&gt;"},"properties":{"noteIndex":0},"schema":"https://github.com/citation-style-language/schema/raw/master/csl-citation.json"}</w:instrText>
      </w:r>
      <w:r w:rsidR="0002610A">
        <w:fldChar w:fldCharType="separate"/>
      </w:r>
      <w:r w:rsidR="006C7EED" w:rsidRPr="006C7EED">
        <w:rPr>
          <w:noProof/>
          <w:vertAlign w:val="superscript"/>
        </w:rPr>
        <w:t>11–14</w:t>
      </w:r>
      <w:r w:rsidR="0002610A">
        <w:fldChar w:fldCharType="end"/>
      </w:r>
      <w:r w:rsidR="006F54E0">
        <w:t xml:space="preserve"> </w:t>
      </w:r>
      <w:r w:rsidR="003F3913">
        <w:t xml:space="preserve">In this approach, the excited state of the </w:t>
      </w:r>
      <w:r w:rsidR="00C448F0">
        <w:t xml:space="preserve">chromophore </w:t>
      </w:r>
      <w:r w:rsidR="00E77C21">
        <w:t>injects charge into</w:t>
      </w:r>
      <w:r w:rsidR="003F3913">
        <w:t xml:space="preserve"> the semiconductor and then subsequently transfers </w:t>
      </w:r>
      <w:r w:rsidR="00E77C21">
        <w:t>a redox equivalent</w:t>
      </w:r>
      <w:r w:rsidR="003F3913">
        <w:t xml:space="preserve"> to the catalyst</w:t>
      </w:r>
      <w:r w:rsidR="00E77C21">
        <w:t xml:space="preserve"> that ultimately drives the multi-electron transfer reactions necessary for solar fuel production.</w:t>
      </w:r>
      <w:r w:rsidR="006E70EB">
        <w:fldChar w:fldCharType="begin" w:fldLock="1"/>
      </w:r>
      <w:r w:rsidR="006C7EED">
        <w:instrText xml:space="preserve">ADDIN CSL_CITATION {"citationItems":[{"id":"ITEM-1","itemData":{"DOI":"10.1021/acs.jpcc.8b04837","ISSN":"19327455","abstract":"© 2018 American Chemical Society. Interfacial dynamics following photoexcitation of the water oxidation assembly [((PO3H2)2bpy)2RuII(bpy-bimpy)RuII(tpy)(OH2)]4+, -[RuaII-RubII-OH2]4+, on nanocrystalline TiO2 electrodes, starting from either -[RuaII-RubII-OH2]4+ or -[RuaII-RubIII-OH2]5+, have been investigated. Transient absorption measurements for TiO2-[RuaII-RubII-OH2]4+ in 0.1 M HPF6 or neat trifluoroethanol reveal that electron injection occurs with high efficiency but that hole transfer to the catalyst, which occurs on the electrochemical time scale, is inhibited by local environmental effects. Back electron transfer occurs to the oxidized chromophore on the microsecond time scale. Photoexcitation of the once-oxidized assembly, TiO2-[RuaII-RubIII-OH2]5+, in a variety of media, generates -[RuaIII-RubIII-OH2]6+. The injected electron randomly migrates through the surface oxide structure reducing an unreacted -[RuaII-RubIII-OH2]5+ assembly to -[RuaII-RubII-OH2]4+. In a parallel reaction, -[RuaIII-RubIII-OH2]6+ formed by electron injection undergoes proton loss giving -[RuaII-RubIV=O]4+ with possible conversion to -[RuaII-RubII-OH2]4+ by an electrolyte-mediated reaction. In the following slow step, re-equilibration on the surface occurs either by reaction with added FeIII/II or by cross-surface electron transfer between spatially separated -[RuaII-RubIV=O]4+ and -[RuaII-RubII-OH2]4+ assemblies to give -[RuaII-RubIII-OH2]5+ with a half-time of t1/2 </w:instrText>
      </w:r>
      <w:r w:rsidR="006C7EED">
        <w:rPr>
          <w:rFonts w:ascii="Cambria Math" w:hAnsi="Cambria Math" w:cs="Cambria Math"/>
        </w:rPr>
        <w:instrText>∼</w:instrText>
      </w:r>
      <w:r w:rsidR="006C7EED">
        <w:instrText xml:space="preserve"> 68 μs. These results and analyses show that the transient surface behavior of the assembly and cross-surface reactions play important roles in producing and storing redox equivalents on the surface that are used for water oxidation.","author":[{"dropping-particle":"","family":"Brennaman","given":"M. Kyle","non-dropping-particle":"","parse-names":false,"suffix":""},{"dropping-particle":"","family":"Gish","given":"Melissa K.","non-dropping-particle":"","parse-names":false,"suffix":""},{"dropping-particle":"","family":"Alibabaei","given":"Leila","non-dropping-particle":"","parse-names":false,"suffix":""},{"dropping-particle":"","family":"Norris","given":"Michael R.","non-dropping-particle":"","parse-names":false,"suffix":""},{"dropping-particle":"","family":"Binstead","given":"Robert A.","non-dropping-particle":"","parse-names":false,"suffix":""},{"dropping-particle":"","family":"Nayak","given":"Animesh","non-dropping-particle":"","parse-names":false,"suffix":""},{"dropping-particle":"","family":"Lapides","given":"Alexander M.","non-dropping-particle":"","parse-names":false,"suffix":""},{"dropping-particle":"","family":"Song","given":"Wenjing","non-dropping-particle":"","parse-names":false,"suffix":""},{"dropping-particle":"","family":"Brown","given":"Robert J.","non-dropping-particle":"","parse-names":false,"suffix":""},{"dropping-particle":"","family":"Concepcion","given":"Javier J.","non-dropping-particle":"","parse-names":false,"suffix":""},{"dropping-particle":"","family":"Templeton","given":"Joseph L.","non-dropping-particle":"","parse-names":false,"suffix":""},{"dropping-particle":"","family":"Papanikolas","given":"John M.","non-dropping-particle":"","parse-names":false,"suffix":""},{"dropping-particle":"","family":"Meyer","given":"Thomas J.","non-dropping-particle":"","parse-names":false,"suffix":""}],"container-title":"Journal of Physical Chemistry C","genre":"research-article","id":"ITEM-1","issue":"24","issued":{"date-parts":[["2018"]]},"page":"13017-13026","publisher":"American Chemical Society","title":"Pathways Following Electron Injection: Medium Effects and Cross-Surface Electron Transfer in a Ruthenium-Based, Chromophore-Catalyst Assembly on TiO 2","type":"article-journal","volume":"122"},"uris":["http://www.mendeley.com/documents/?uuid=bd32beec-8a93-4ac6-bda4-6cda2ef0d2bb"]}],"mendeley":{"formattedCitation":"&lt;sup&gt;15&lt;/sup&gt;","plainTextFormattedCitation":"15","previouslyFormattedCitation":"&lt;sup&gt;15&lt;/sup&gt;"},"properties":{"noteIndex":0},"schema":"https://github.com/citation-style-language/schema/raw/master/csl-citation.json"}</w:instrText>
      </w:r>
      <w:r w:rsidR="006E70EB">
        <w:fldChar w:fldCharType="separate"/>
      </w:r>
      <w:r w:rsidR="006C7EED" w:rsidRPr="006C7EED">
        <w:rPr>
          <w:noProof/>
          <w:vertAlign w:val="superscript"/>
        </w:rPr>
        <w:t>15</w:t>
      </w:r>
      <w:r w:rsidR="006E70EB">
        <w:fldChar w:fldCharType="end"/>
      </w:r>
      <w:r w:rsidR="00E77C21">
        <w:t xml:space="preserve"> Dye-sensitized photoelectrosynthesis cells for splitting </w:t>
      </w:r>
      <w:r w:rsidR="007607DC">
        <w:t>water</w:t>
      </w:r>
      <w:r w:rsidR="00A628C4">
        <w:fldChar w:fldCharType="begin" w:fldLock="1"/>
      </w:r>
      <w:r w:rsidR="00A628C4">
        <w:instrText xml:space="preserve">ADDIN CSL_CITATION {"citationItems":[{"id":"ITEM-1","itemData":{"DOI":"10.1073/pnas.1506111112","ISBN":"1089-5647","ISSN":"0027-8424","PMID":"25918426","abstract":"A hybrid strategy for solar water splitting is exploited here based on a dye-sensitized photoelectrosynthesis cell (DSPEC) with a mesoporous SnO2/TiO2 core/shell nanostructured electrode derivatized with a surface-bound Ru(II) polypyridyl-based chromophore–catalyst assembly. The assembly, [(4,4’-(PO3H2)2bpy)2Ru(4-Mebpy-4’-bimpy)Ru(tpy)(OH2)]4+ ([RuaII-RubII-OH2]4+, combines both a light absorber and a water oxidation catalyst in a single molecule. It was attached to the TiO2 shell by phosphonate-surface oxide binding. The oxide-bound assembly was further stabilized on the surface by atomic layer deposition (ALD) of either Al2O3 or TiO2 overlayers. Illumination of the resulting fluorine-doped tin oxide (FTO)|SnO2/TiO2|-[RuaII-RubII-OH2]4+(Al2O3 or TiO2) photoanodes in photoelectrochemical cells with a Pt cathode and a small applied bias resulted in visible-light water splitting as shown by direct measurements of both evolved H2 and O2. The performance of the resulting DSPECs varies with shell thickness and the nature and extent of the oxide overlayer. Use of the SnO2/TiO2 core/shell compared with nanoITO/TiO2 with the same assembly results in photocurrent enhancements of </w:instrText>
      </w:r>
      <w:r w:rsidR="00A628C4">
        <w:rPr>
          <w:rFonts w:ascii="Cambria Math" w:hAnsi="Cambria Math" w:cs="Cambria Math"/>
        </w:rPr>
        <w:instrText>∼</w:instrText>
      </w:r>
      <w:r w:rsidR="00A628C4">
        <w:instrText xml:space="preserve">5. Systematic variations in shell thickness and ALD overlayer lead to photocurrent densities as high as 1.97 mA/cm2 with 445-nm, </w:instrText>
      </w:r>
      <w:r w:rsidR="00A628C4">
        <w:rPr>
          <w:rFonts w:ascii="Cambria Math" w:hAnsi="Cambria Math" w:cs="Cambria Math"/>
        </w:rPr>
        <w:instrText>∼</w:instrText>
      </w:r>
      <w:r w:rsidR="00A628C4">
        <w:instrText>90-mW/cm2 illumination in a phosphate buffer at pH 7.","author":[{"dropping-particle":"","family":"Alibabaei","given":"Leila","non-dropping-particle":"","parse-names":false,"suffix":""},{"dropping-particle":"","family":"Sherman","given":"Benjamin D.","non-dropping-particle":"","parse-names":false,"suffix":""},{"dropping-particle":"","family":"Norris","given":"Michael R.","non-dropping-particle":"","parse-names":false,"suffix":""},{"dropping-particle":"","family":"Brennaman","given":"M. Kyle","non-dropping-particle":"","parse-names":false,"suffix":""},{"dropping-particle":"","family":"Meyer","given":"Thomas J.","non-dropping-particle":"","parse-names":false,"suffix":""}],"container-title":"Proceedings of the National Academy of Sciences","id":"ITEM-1","issue":"19","issued":{"date-parts":[["2015"]]},"page":"5899-5902","title":"Visible photoelectrochemical water splitting into H &lt;sub&gt;2&lt;/sub&gt; and O &lt;sub&gt;2&lt;/sub&gt; in a dye-sensitized photoelectrosynthesis cell","type":"article-journal","volume":"112"},"uris":["http://www.mendeley.com/documents/?uuid=67f5fc40-7225-415e-8e72-0434f9c00c25"]},{"id":"ITEM-2","itemData":{"DOI":"10.1021/jacs.5b04856","ISSN":"15205126","abstract":"Light driven water splitting was achieved by a tandem dye-sensitized photoelectrochemical cell with two photo-active electrodes. The photoanode is constituted by an organic dye L0 as photosensitizer and a molecular complex Ru1 as water oxidation catalyst on meso-porous TiO2, while the photocathode is constructed with an organic dye P1 as photo-absorber and a molecular complex Co1 as hydrogen generation catalyst on nanostructured NiO. By combining the photocathode and the pho-toanode, this tandem DS-PEC cell can split water by visible light under neutral pH conditions without applying any bias.","author":[{"dropping-particle":"","family":"Li","given":"Fusheng","non-dropping-particle":"","parse-names":false,"suffix":""},{"dropping-particle":"","family":"Fan","given":"Ke","non-dropping-particle":"","parse-names":false,"suffix":""},{"dropping-particle":"","family":"Xu","given":"Bo","non-dropping-particle":"","parse-names":false,"suffix":""},{"dropping-particle":"","family":"Gabrielsson","given":"Erik","non-dropping-particle":"","parse-names":false,"suffix":""},{"dropping-particle":"","family":"Daniel","given":"Quentin","non-dropping-particle":"","parse-names":false,"suffix":""},{"dropping-particle":"","family":"Li","given":"Lin","non-dropping-particle":"","parse-names":false,"suffix":""},{"dropping-particle":"","family":"Sun","given":"Licheng","non-dropping-particle":"","parse-names":false,"suffix":""}],"container-title":"Journal of the American Chemical Society","id":"ITEM-2","issue":"28","issued":{"date-parts":[["2015"]]},"page":"9153-9159","title":"Organic Dye-Sensitized Tandem Photoelectrochemical Cell for Light Driven Total Water Splitting","type":"article-journal","volume":"137"},"uris":["http://www.mendeley.com/documents/?uuid=23d70214-a016-41ee-a7ab-dae2c0a7ca92"]},{"id":"ITEM-3","itemData":{"DOI":"10.1021/jacs.6b10699","ISSN":"15205126","abstract":"Tandem junction photoelectrochemical water-splitting devices, whereby two light absorbing electrodes targeting separate portions of the solar spectrum generate the voltage required to convert water to oxygen and hydrogen, enable much higher possible efficiencies than single absorber systems. We report here on the development of a tandem system consisting of a dye-sensitized photoelectrochemical cell (DSPEC) wired in series with a dye-sensitized solar cell (DSC). The DSPEC photoanode incorporates a tris(bipyridine)ruthenium(II)-type chromophore and molecular ruthenium based water oxidation catalyst. The DSPEC was tested with two more-red absorbing DSC variations, one utilizing N719 dye with an I3–/I– redox mediator solution and the other D35 dye with a tris(bipyridine)cobalt ([Co(bpy)3]3+/2+) based mediator. The tandem configuration consisting of the DSPEC and D35/[Co(bpy)3]3+/2+ based DSC gave the best overall performance and demonstrated the production of H2 from H2O with the only energy input from simul...","author":[{"dropping-particle":"","family":"Sherman","given":"Benjamin D.","non-dropping-particle":"","parse-names":false,"suffix":""},{"dropping-particle":"V.","family":"Sheridan","given":"Matthew","non-dropping-particle":"","parse-names":false,"suffix":""},{"dropping-particle":"","family":"Wee","given":"Kyung Ryang","non-dropping-particle":"","parse-names":false,"suffix":""},{"dropping-particle":"","family":"Marquard","given":"Seth L.","non-dropping-particle":"","parse-names":false,"suffix":""},{"dropping-particle":"","family":"Wang","given":"Degao","non-dropping-particle":"","parse-names":false,"suffix":""},{"dropping-particle":"","family":"Alibabaei","given":"Leila","non-dropping-particle":"","parse-names":false,"suffix":""},{"dropping-particle":"","family":"Ashford","given":"Dennis L.","non-dropping-particle":"","parse-names":false,"suffix":""},{"dropping-particle":"","family":"Meyer","given":"Thomas J.","non-dropping-particle":"","parse-names":false,"suffix":""}],"container-title":"Journal of the American Chemical Society","id":"ITEM-3","issue":"51","issued":{"date-parts":[["2016"]]},"page":"16745-16753","title":"A Dye-Sensitized Photoelectrochemical Tandem Cell for Light Driven Hydrogen Production from Water","type":"article-journal","volume":"138"},"uris":["http://www.mendeley.com/documents/?uuid=442561d7-8b30-4ba5-8dfa-e6f1dc10c050"]}],"mendeley":{"formattedCitation":"&lt;sup&gt;16–18&lt;/sup&gt;","plainTextFormattedCitation":"16–18","previouslyFormattedCitation":"&lt;sup&gt;16–18&lt;/sup&gt;"},"properties":{"noteIndex":0},"schema":"https://github.com/citation-style-language/schema/raw/master/csl-citation.json"}</w:instrText>
      </w:r>
      <w:r w:rsidR="00A628C4">
        <w:fldChar w:fldCharType="separate"/>
      </w:r>
      <w:r w:rsidR="00A628C4" w:rsidRPr="00A628C4">
        <w:rPr>
          <w:noProof/>
          <w:vertAlign w:val="superscript"/>
        </w:rPr>
        <w:t>16–18</w:t>
      </w:r>
      <w:r w:rsidR="00A628C4">
        <w:fldChar w:fldCharType="end"/>
      </w:r>
      <w:r w:rsidR="007607DC">
        <w:t xml:space="preserve"> </w:t>
      </w:r>
      <w:r w:rsidR="00FE6EC8">
        <w:t>or</w:t>
      </w:r>
      <w:r w:rsidR="007607DC">
        <w:t xml:space="preserve"> hydrohalic acid</w:t>
      </w:r>
      <w:r w:rsidR="00E77C21">
        <w:t>s</w:t>
      </w:r>
      <w:r w:rsidR="00A628C4">
        <w:fldChar w:fldCharType="begin" w:fldLock="1"/>
      </w:r>
      <w:r w:rsidR="00F836FC">
        <w:instrText>ADDIN CSL_CITATION {"citationItems":[{"id":"ITEM-1","itemData":{"DOI":"10.1021/jacs.7b09367","ISSN":"15205126","abstract":"Hydrobromic acid (HBr) has significant potential as an inexpensive feedstock for hydrogen gas (H2) solar fuel production through HBr splitting. Mesoporous thin films of anatase TiO2 or SnO2/TiO2 core–shell nanoparticles were sensitized to visible light with a new RuII polypyridyl complex that served as a photocatalyst for bromide oxidation. These thin films were tested as photoelectrodes in dye-sensitized photoelectrosynthesis cells. In 1 N HBr (aq), the photocatalyst undergoes excited-state electron injection and light-driven Br– oxidation. The injected electrons induce proton reduction at a Pt electrode. Under 100 mW cm−2 white-light illumination, sustained photocurrents of 1.5 mA cm–2 were measured under an applied bias. Faradaic efficiencies of 71 ± 5% for Br– oxidation and 94 ± 2% for H2 production were measured. A 12 μmol h–1 sustained rate of H2 production was maintained during illumination. The results demonstrate a molecular approach to HBr splitting with a visible light absorbing complex capable...","author":[{"dropping-particle":"","family":"Brady","given":"Matthew D.","non-dropping-particle":"","parse-names":false,"suffix":""},{"dropping-particle":"","family":"Sampaio","given":"Renato N.","non-dropping-particle":"","parse-names":false,"suffix":""},{"dropping-particle":"","family":"Wang","given":"Degao","non-dropping-particle":"","parse-names":false,"suffix":""},{"dropping-particle":"","family":"Meyer","given":"Thomas J.","non-dropping-particle":"","parse-names":false,"suffix":""},{"dropping-particle":"","family":"Meyer","given":"Gerald J.","non-dropping-particle":"","parse-names":false,"suffix":""}],"container-title":"Journal of the American Chemical Society","id":"ITEM-1","issue":"44","issued":{"date-parts":[["2017"]]},"page":"15612-15615","title":"Dye-Sensitized Hydrobromic Acid Splitting for Hydrogen Solar Fuel Production","type":"article-journal","volume":"139"},"uris":["http://www.mendeley.com/documents/?uuid=888d91de-9dd0-4c32-8b09-86666953e515"]},{"id":"ITEM-2","itemData":{"DOI":"10.1021/acsami.8b09134","ISSN":"19448252","abstract":"Dye-sensitized bromide oxidation was investigated using a series of four ruthenium polypyridyl photocatalysts anchored to SnO2/TiO2 core/shell mesoporous thin films through 2,2'-bipyridine-4,4'-diphosphonic acid anchoring groups. The ground- and excited-state reduction potentials were tuned over 500 mV by the introduction of electron. withdrawing groups in the 4 and 4' positions of the ancillary bipyridine ligands. Upon light excitation of the surface-bound photocatalysts, excited-state electron injection yielded an oxidized photocatalyst that was regenerated through bromide oxidation. High injection quantum yields (Phi(inj)) and regeneration quantum yields (Phi(reg)) were essential to obtain efficient bromide oxidation yet required a photocatalyst that is both a potent photoreductant and a strong oxidant after excited-state injection. The four photocatalysts utilized in this manuscript ranged from unity Phi(inj) (1.0) and minimal Phi(reg) (0.037) to minimal Phi(inj) (0.09) and unity Phi(reg) (1.0). The photocatalyst that displayed the highest overall dye-sensitized photoelectrosynthesis cell performances exhibited near unity Phi(reg) (0.99), while a significant Phi(inj) was still preserved (0.59). Thus, these results highlighted the delicate interplay between the ground- and excited-state reduction potentials of photocatalysts for dye-sensitized hydrobromic acid splitting.","author":[{"dropping-particle":"","family":"Brady","given":"Matthew D.","non-dropping-particle":"","parse-names":false,"suffix":""},{"dropping-particle":"","family":"Troian-Gautier","given":"Ludovic","non-dropping-particle":"","parse-names":false,"suffix":""},{"dropping-particle":"","family":"Sampaio","given":"Renato N.","non-dropping-particle":"","parse-names":false,"suffix":""},{"dropping-particle":"","family":"Motley","given":"Tyler C.","non-dropping-particle":"","parse-names":false,"suffix":""},{"dropping-particle":"","family":"Meyer","given":"Gerald J.","non-dropping-particle":"","parse-names":false,"suffix":""}],"container-title":"ACS Applied Materials and Interfaces","genre":"research-article","id":"ITEM-2","issue":"37","issued":{"date-parts":[["2018"]]},"page":"31312-31323","publisher":"American Chemical Society","title":"Optimization of Photocatalyst Excited- and Ground-State Reduction Potentials for Dye-Sensitized HBr Splitting","type":"article-journal","volume":"10"},"uris":["http://www.mendeley.com/documents/?uuid=563b8438-fe5f-455e-aa5b-232d75509392"]},{"id":"ITEM-3","itemData":{"DOI":"10.1021/acs.jpcc.7b05928","ISSN":"1932-7447","author":[{"dropping-particle":"","family":"Berardi","given":"Serena","non-dropping-particle":"","parse-names":false,"suffix":""},{"dropping-particle":"","family":"Cristino","given":"Vito","non-dropping-particle":"","parse-names":false,"suffix":""},{"dropping-particle":"","family":"Canton","given":"Martina","non-dropping-particle":"","parse-names":false,"suffix":""},{"dropping-particle":"","family":"Boaretto","given":"Rita","non-dropping-particle":"","parse-names":false,"suffix":""},{"dropping-particle":"","family":"Argazzi","given":"Roberto","non-dropping-particle":"","parse-names":false,"suffix":""},{"dropping-particle":"","family":"Benazzi","given":"Elisabetta","non-dropping-particle":"","parse-names":false,"suffix":""},{"dropping-particle":"","family":"Ganzer","given":"Lucia","non-dropping-particle":"","parse-names":false,"suffix":""},{"dropping-particle":"","family":"Borrego Varillas","given":"Rocío","non-dropping-particle":"","parse-names":false,"suffix":""},{"dropping-particle":"","family":"Cerullo","given":"Giulio","non-dropping-particle":"","parse-names":false,"suffix":""},{"dropping-particle":"","family":"Syrgiannis","given":"Zois","non-dropping-particle":"","parse-names":false,"suffix":""},{"dropping-particle":"","family":"Rigodanza","given":"Francesco","non-dropping-particle":"","parse-names":false,"suffix":""},{"dropping-particle":"","family":"Prato","given":"Maurizio","non-dropping-particle":"","parse-names":false,"suffix":""},{"dropping-particle":"","family":"Bignozzi","given":"Carlo Alberto","non-dropping-particle":"","parse-names":false,"suffix":""},{"dropping-particle":"","family":"Caramori","given":"Stefano","non-dropping-particle":"","parse-names":false,"suffix":""}],"container-title":"The Journal of Physical Chemistry C","id":"ITEM-3","issue":"33","issued":{"date-parts":[["2017"]]},"page":"17737-17745","title":"Perylene Diimide Aggregates on Sb-Doped SnO 2 : Charge Transfer Dynamics Relevant to Solar Fuel Generation","type":"article-journal","volume":"121"},"uris":["http://www.mendeley.com/documents/?uuid=5e9eb64d-3b74-46b7-bd1d-d489fbabb4a6"]}],"mendeley":{"formattedCitation":"&lt;sup&gt;19–21&lt;/sup&gt;","plainTextFormattedCitation":"19–21","previouslyFormattedCitation":"&lt;sup&gt;19–21&lt;/sup&gt;"},"properties":{"noteIndex":0},"schema":"https://github.com/citation-style-language/schema/raw/master/csl-citation.json"}</w:instrText>
      </w:r>
      <w:r w:rsidR="00A628C4">
        <w:fldChar w:fldCharType="separate"/>
      </w:r>
      <w:r w:rsidR="00A628C4" w:rsidRPr="00A628C4">
        <w:rPr>
          <w:noProof/>
          <w:vertAlign w:val="superscript"/>
        </w:rPr>
        <w:t>19–21</w:t>
      </w:r>
      <w:r w:rsidR="00A628C4">
        <w:fldChar w:fldCharType="end"/>
      </w:r>
      <w:r w:rsidR="007607DC">
        <w:t xml:space="preserve"> </w:t>
      </w:r>
      <w:r w:rsidR="00E77C21">
        <w:t>have been reported as well as for</w:t>
      </w:r>
      <w:r w:rsidR="007607DC">
        <w:t xml:space="preserve"> CO</w:t>
      </w:r>
      <w:r w:rsidR="007607DC">
        <w:rPr>
          <w:vertAlign w:val="subscript"/>
        </w:rPr>
        <w:t>2</w:t>
      </w:r>
      <w:r w:rsidR="007607DC">
        <w:t xml:space="preserve"> reduction.</w:t>
      </w:r>
      <w:r w:rsidR="006E70EB">
        <w:fldChar w:fldCharType="begin" w:fldLock="1"/>
      </w:r>
      <w:r w:rsidR="00A628C4">
        <w:instrText>ADDIN CSL_CITATION {"citationItems":[{"id":"ITEM-1","itemData":{"DOI":"10.1039/c8sc03316a","ISSN":"2041-6520","abstract":"We describe here the preparation and characterization of a photocathode assembly for CO2 reduction to CO in 0.1 M LiClO4 acetonitrile. The assembly was formed on 1.0 µm thick mesoporous...We describe here the preparation and characterization of a photocathode assembly for CO2 reduction to CO in 0.1 M LiClO4 acetonitrile. The assembly was formed on 1.0 µm thick mesoporous films of NiO using a layer-by-layer procedure based on Zr(IV)-phosphonate bridging units. The structure of the Zr(IV) bridged assembly, abbreviated as NiO|-DA-RuCP22+-Re(I), where DA is the dianiline-based electron donor (N,N,N’,N’-((CH2)3PO3H2)4-4,4’-dianiline), RuCP2+ is the light absorber [Ru((4,4’-(PO3H2CH2)2-2,2’-bipyridine)(2,2’-bipyridine)2]2+, and Re(I) is the CO2 reduction catalyst, ReI((4,4’-PO3H2CH2)2-2,2’-bipyridine)(CO)3Cl. Visible light excitation of the assembly in CO2 saturated solution resulted in CO2 reduction to CO. A steady-state photocurrent density of 65 µA/cm2 was achieved under one sun illumination and an IPCE value of 1.9% was obtained with 450 nm illumination. The importance of the DA aniline donor in the assembly as an initial site for reduction of the RuCP2+ excited state was demonstrated by an 8 times higher photocurrent generated with DA present in the surface film compared to a control without DA. Nanosecond transient absorption measurements showed that the expected reduced one-electron intermediate, RuCP+, was formed on a sub-nanosecond time scale with back electron transfer to the electrode on the microsecond timescale which competes with forward electron transfer to the Re(I) catalyst at t1/2 = 2.6 µs (kET = 2.7 × 105 s–1).","author":[{"dropping-particle":"","family":"Wang","given":"Degao","non-dropping-particle":"","parse-names":false,"suffix":""},{"dropping-particle":"","family":"Wang","given":"Ying","non-dropping-particle":"","parse-names":false,"suffix":""},{"dropping-particle":"","family":"Brady","given":"Matthew","non-dropping-particle":"","parse-names":false,"suffix":""},{"dropping-particle":"","family":"Sheridan","given":"Matthew","non-dropping-particle":"","parse-names":false,"suffix":""},{"dropping-particle":"","family":"Sherman","given":"Benjamin D","non-dropping-particle":"","parse-names":false,"suffix":""},{"dropping-particle":"","family":"Farnum","given":"Byron","non-dropping-particle":"","parse-names":false,"suffix":""},{"dropping-particle":"","family":"Liu","given":"Yanming","non-dropping-particle":"","parse-names":false,"suffix":""},{"dropping-particle":"","family":"Marquard","given":"Seth","non-dropping-particle":"","parse-names":false,"suffix":""},{"dropping-particle":"","family":"Meyer","given":"Gerald John","non-dropping-particle":"","parse-names":false,"suffix":""},{"dropping-particle":"","family":"Dares","given":"Christopher","non-dropping-particle":"","parse-names":false,"suffix":""},{"dropping-particle":"","family":"Meyer","given":"Thomas J","non-dropping-particle":"","parse-names":false,"suffix":""}],"container-title":"Chemical Science","id":"ITEM-1","issue":"4","issued":{"date-parts":[["2019"]]},"page":"4436-4444","publisher":"Royal Society of Chemistry","title":"A Donor-Chromophore-Catalyst Assembly for Solar CO2 Reduction","type":"article-journal"},"uris":["http://www.mendeley.com/documents/?uuid=0a193843-f69c-41bb-9f12-036b67986517"]}],"mendeley":{"formattedCitation":"&lt;sup&gt;22&lt;/sup&gt;","plainTextFormattedCitation":"22","previouslyFormattedCitation":"&lt;sup&gt;22&lt;/sup&gt;"},"properties":{"noteIndex":0},"schema":"https://github.com/citation-style-language/schema/raw/master/csl-citation.json"}</w:instrText>
      </w:r>
      <w:r w:rsidR="006E70EB">
        <w:fldChar w:fldCharType="separate"/>
      </w:r>
      <w:r w:rsidR="00A628C4" w:rsidRPr="00A628C4">
        <w:rPr>
          <w:noProof/>
          <w:vertAlign w:val="superscript"/>
        </w:rPr>
        <w:t>22</w:t>
      </w:r>
      <w:r w:rsidR="006E70EB">
        <w:fldChar w:fldCharType="end"/>
      </w:r>
      <w:r w:rsidR="00E77C21">
        <w:t xml:space="preserve"> In some </w:t>
      </w:r>
      <w:r w:rsidR="00FE6EC8">
        <w:t>of these reports</w:t>
      </w:r>
      <w:r w:rsidR="00E77C21">
        <w:t xml:space="preserve">, the chromophore and catalyst were covalently linked </w:t>
      </w:r>
      <w:r w:rsidR="00FE6EC8">
        <w:t>providing</w:t>
      </w:r>
      <w:r w:rsidR="00E77C21">
        <w:t xml:space="preserve"> </w:t>
      </w:r>
      <w:r w:rsidR="00FE6EC8">
        <w:t xml:space="preserve">an </w:t>
      </w:r>
      <w:r w:rsidR="00E77C21">
        <w:t xml:space="preserve">intramolecular transfer </w:t>
      </w:r>
      <w:r w:rsidR="00FE6EC8">
        <w:t xml:space="preserve">pathway for </w:t>
      </w:r>
      <w:r w:rsidR="00E77C21">
        <w:t>the redox equivalents.</w:t>
      </w:r>
      <w:r w:rsidR="00146D28">
        <w:fldChar w:fldCharType="begin" w:fldLock="1"/>
      </w:r>
      <w:r w:rsidR="00A628C4">
        <w:instrText xml:space="preserve">ADDIN CSL_CITATION {"citationItems":[{"id":"ITEM-1","itemData":{"DOI":"10.1021/acs.jpcc.8b04837","ISSN":"19327455","abstract":"© 2018 American Chemical Society. Interfacial dynamics following photoexcitation of the water oxidation assembly [((PO3H2)2bpy)2RuII(bpy-bimpy)RuII(tpy)(OH2)]4+, -[RuaII-RubII-OH2]4+, on nanocrystalline TiO2 electrodes, starting from either -[RuaII-RubII-OH2]4+ or -[RuaII-RubIII-OH2]5+, have been investigated. Transient absorption measurements for TiO2-[RuaII-RubII-OH2]4+ in 0.1 M HPF6 or neat trifluoroethanol reveal that electron injection occurs with high efficiency but that hole transfer to the catalyst, which occurs on the electrochemical time scale, is inhibited by local environmental effects. Back electron transfer occurs to the oxidized chromophore on the microsecond time scale. Photoexcitation of the once-oxidized assembly, TiO2-[RuaII-RubIII-OH2]5+, in a variety of media, generates -[RuaIII-RubIII-OH2]6+. The injected electron randomly migrates through the surface oxide structure reducing an unreacted -[RuaII-RubIII-OH2]5+ assembly to -[RuaII-RubII-OH2]4+. In a parallel reaction, -[RuaIII-RubIII-OH2]6+ formed by electron injection undergoes proton loss giving -[RuaII-RubIV=O]4+ with possible conversion to -[RuaII-RubII-OH2]4+ by an electrolyte-mediated reaction. In the following slow step, re-equilibration on the surface occurs either by reaction with added FeIII/II or by cross-surface electron transfer between spatially separated -[RuaII-RubIV=O]4+ and -[RuaII-RubII-OH2]4+ assemblies to give -[RuaII-RubIII-OH2]5+ with a half-time of t1/2 </w:instrText>
      </w:r>
      <w:r w:rsidR="00A628C4">
        <w:rPr>
          <w:rFonts w:ascii="Cambria Math" w:hAnsi="Cambria Math" w:cs="Cambria Math"/>
        </w:rPr>
        <w:instrText>∼</w:instrText>
      </w:r>
      <w:r w:rsidR="00A628C4">
        <w:instrText xml:space="preserve"> 68 μs. These results and analyses show that the transient surface behavior of the assembly and cross-surface reactions play important roles in producing and storing redox equivalents on the surface that are used for water oxidation.","author":[{"dropping-particle":"","family":"Brennaman","given":"M. Kyle","non-dropping-particle":"","parse-names":false,"suffix":""},{"dropping-particle":"","family":"Gish","given":"Melissa K.","non-dropping-particle":"","parse-names":false,"suffix":""},{"dropping-particle":"","family":"Alibabaei","given":"Leila","non-dropping-particle":"","parse-names":false,"suffix":""},{"dropping-particle":"","family":"Norris","given":"Michael R.","non-dropping-particle":"","parse-names":false,"suffix":""},{"dropping-particle":"","family":"Binstead","given":"Robert A.","non-dropping-particle":"","parse-names":false,"suffix":""},{"dropping-particle":"","family":"Nayak","given":"Animesh","non-dropping-particle":"","parse-names":false,"suffix":""},{"dropping-particle":"","family":"Lapides","given":"Alexander M.","non-dropping-particle":"","parse-names":false,"suffix":""},{"dropping-particle":"","family":"Song","given":"Wenjing","non-dropping-particle":"","parse-names":false,"suffix":""},{"dropping-particle":"","family":"Brown","given":"Robert J.","non-dropping-particle":"","parse-names":false,"suffix":""},{"dropping-particle":"","family":"Concepcion","given":"Javier J.","non-dropping-particle":"","parse-names":false,"suffix":""},{"dropping-particle":"","family":"Templeton","given":"Joseph L.","non-dropping-particle":"","parse-names":false,"suffix":""},{"dropping-particle":"","family":"Papanikolas","given":"John M.","non-dropping-particle":"","parse-names":false,"suffix":""},{"dropping-particle":"","family":"Meyer","given":"Thomas J.","non-dropping-particle":"","parse-names":false,"suffix":""}],"container-title":"Journal of Physical Chemistry C","genre":"research-article","id":"ITEM-1","issue":"24","issued":{"date-parts":[["2018"]]},"page":"13017-13026","publisher":"American Chemical Society","title":"Pathways Following Electron Injection: Medium Effects and Cross-Surface Electron Transfer in a Ruthenium-Based, Chromophore-Catalyst Assembly on TiO 2","type":"article-journal","volume":"122"},"uris":["http://www.mendeley.com/documents/?uuid=bd32beec-8a93-4ac6-bda4-6cda2ef0d2bb"]},{"id":"ITEM-2","itemData":{"DOI":"10.1021/acs.inorgchem.7b02758","ISSN":"1520510X","abstract":"Described herein is a photochemical approach to the generation of a high-valent metal-oxo species that utilizes a chromophore or “sensitizer”, a semiconducting electron acceptor, and a redox buffer that poises a catalyst’s initial protonation and oxidation state. The photoexcited sensitizer injects an electron into the semiconductor and then oxidizes the catalyst whose reactivity occurs in kinetic competition with back electron transfer. Core–shell SnO2/TiO2 semiconductor nanocrystallites inhibited charge recombination relative to TiO2 acceptors. With low sensitizer-catalyst surface coverages, a novel trapping process is exploited that enables catalysis reactivity to be quantified on time scales ranging from nanoseconds to minutes. A proof-of-principle example provides the demonstration of a light-initiated, (1e–, 2H+)-transfer reaction, with an inverse isotope effect of kH/kD = 0.63, to generate a Ru(IV) oxo species.","author":[{"dropping-particle":"","family":"Hu","given":"Ke","non-dropping-particle":"","parse-names":false,"suffix":""},{"dropping-particle":"","family":"Sampaio","given":"Renato N.","non-dropping-particle":"","parse-names":false,"suffix":""},{"dropping-particle":"","family":"Marquard","given":"Seth L.","non-dropping-particle":"","parse-names":false,"suffix":""},{"dropping-particle":"","family":"Brennaman","given":"M. Kyle","non-dropping-particle":"","parse-names":false,"suffix":""},{"dropping-particle":"","family":"Tamaki","given":"Yusuke","non-dropping-particle":"","parse-names":false,"suffix":""},{"dropping-particle":"","family":"Meyer","given":"Thomas J.","non-dropping-particle":"","parse-names":false,"suffix":""},{"dropping-particle":"","family":"Meyer","given":"Gerald J.","non-dropping-particle":"","parse-names":false,"suffix":""}],"container-title":"Inorganic Chemistry","id":"ITEM-2","issue":"1","issued":{"date-parts":[["2018"]]},"page":"486-494","title":"A High-Valent Metal-Oxo Species Produced by Photoinduced One-Electron, Two-Proton Transfer Reactivity","type":"article-journal","volume":"57"},"uris":["http://www.mendeley.com/documents/?uuid=3778abb0-fbf9-45a4-b613-34ab51512f19"]}],"mendeley":{"formattedCitation":"&lt;sup&gt;15,23&lt;/sup&gt;","plainTextFormattedCitation":"15,23","previouslyFormattedCitation":"&lt;sup&gt;15,23&lt;/sup&gt;"},"properties":{"noteIndex":0},"schema":"https://github.com/citation-style-language/schema/raw/master/csl-citation.json"}</w:instrText>
      </w:r>
      <w:r w:rsidR="00146D28">
        <w:fldChar w:fldCharType="separate"/>
      </w:r>
      <w:r w:rsidR="00A628C4" w:rsidRPr="00A628C4">
        <w:rPr>
          <w:noProof/>
          <w:vertAlign w:val="superscript"/>
        </w:rPr>
        <w:t>15,23</w:t>
      </w:r>
      <w:r w:rsidR="00146D28">
        <w:fldChar w:fldCharType="end"/>
      </w:r>
      <w:r w:rsidR="00E77C21">
        <w:t xml:space="preserve"> In other</w:t>
      </w:r>
      <w:r w:rsidR="00FE6EC8">
        <w:t>s</w:t>
      </w:r>
      <w:r w:rsidR="00E77C21">
        <w:t>, the chromop</w:t>
      </w:r>
      <w:r w:rsidR="00FE6EC8">
        <w:t>h</w:t>
      </w:r>
      <w:r w:rsidR="00E77C21">
        <w:t>ore and catalyst were co-anchored to the same surface and the redox equivalents were hence transfer</w:t>
      </w:r>
      <w:r w:rsidR="0094333B">
        <w:t>red</w:t>
      </w:r>
      <w:r w:rsidR="00E77C21">
        <w:t xml:space="preserve"> intermolecularly.</w:t>
      </w:r>
      <w:r w:rsidR="00D017D1">
        <w:fldChar w:fldCharType="begin" w:fldLock="1"/>
      </w:r>
      <w:r w:rsidR="00D017D1">
        <w:instrText>ADDIN CSL_CITATION {"citationItems":[{"id":"ITEM-1","itemData":{"DOI":"10.1002/cssc.201701693","ISSN":"1864564X","abstract":"Development of water-splitting dye-sensitized photoelectrochemical cells (WS-DSPECs) has gained interest due to their ability to generate renewable fuels using solar energy. In this study, photoanodes were assembled composed of a SnO2 film sensitized with a combination of a high potential CF3-substituted porphyrin dye with a THP-protected hydroxamic acid surface-anchoring group, and a Cp*-iridium water-oxidation catalyst containing a silatrane anchoring group. The dye-to-catalyst ratios were varied from 2:1 to 32:1 to optimize photocatalytic water oxidation. Photoelectrochemical measurements not only showed more stable and reproducible photocurrents for lower dye-to-catalyst ratios, but photostability was also improved. O2 production was confirmed in real-time over a 20-hour period using a Clark electrode. Photoanodes prepared from 2:1 and 8:1 dye-to-catalyst sensitization solutions provided the most active electrodes for photocatalytic water oxidation, performing approximately 30-35 turnovers in 20 hours.","author":[{"dropping-particle":"","family":"Materna","given":"Kelly L.","non-dropping-particle":"","parse-names":false,"suffix":""},{"dropping-particle":"","family":"Jiang","given":"Jianbing","non-dropping-particle":"","parse-names":false,"suffix":""},{"dropping-particle":"","family":"Regan","given":"Kevin P.","non-dropping-particle":"","parse-names":false,"suffix":""},{"dropping-particle":"","family":"Schmuttenmaer","given":"Charles A.","non-dropping-particle":"","parse-names":false,"suffix":""},{"dropping-particle":"","family":"Crabtree","given":"Robert H.","non-dropping-particle":"","parse-names":false,"suffix":""},{"dropping-particle":"","family":"Brudvig","given":"Gary W.","non-dropping-particle":"","parse-names":false,"suffix":""}],"container-title":"ChemSusChem","id":"ITEM-1","issue":"22","issued":{"date-parts":[["2017"]]},"page":"4526-4534","title":"Optimization of Photoanodes for Photocatalytic Water Oxidation by Combining a Heterogenized Iridium Water-Oxidation Catalyst with a High-Potential Porphyrin Photosensitizer","type":"article-journal","volume":"10"},"uris":["http://www.mendeley.com/documents/?uuid=56acf939-917a-4c63-a77b-0505b6f2d1b1"]},{"id":"ITEM-2","itemData":{"DOI":"10.1021/jacs.7b10809","ISSN":"15205126","abstract":"Water oxidation is a critical step in artificial photosynthesis and provides the protons and electrons used in reduction reactions to make solar fuels. Significant advances have been made in the area of molecular water oxidation catalysts with a notable breakthrough in the development of Ru(II) complexes that use a planar \" bda \" ligand (bda is 2,2′-bipyridine-6,6′-dicarboxylate). These Ru(II)(bda) complexes show lower overpotentials for driving water oxidation making them ideal for light-driven applications with a suitable chromophore. Nevertheless, synthesis of heterogeneous Ru(II)(bda) complexes remains challenging. We discuss here a new \" bottom-up \" synthetic method for immobilizing these catalysts at the surface of a photoanode for use in a dye-sensitized photoelectrosynthesis cell (DSPEC). The procedure provides a basis for rapidly screening the role of ligand variations at the catalyst in order to understand the impact on device performance. The best results of a water-oxidation DSPEC photoanode based on this procedure reached 1.4 mA/cm 2 at pH 7 in 0.1 M [PO 4 H 2 ] -/[PO 4 H] 2-solution with minimal loss in catalytic behavior over 30 min, and produced an incident photon to current efficiency (IPCE) of 24.8% at 440 nm. ■ INTRODUCTION In a dye-sensitized photoelectrosynthesis cell (DSPEC) for water splitting, water is converted into O 2 at the anode while the cathode is used to produce H 2 from water, or convert CO 2 into reduced hydrocarbon products. 1−4 Traditionally, these devices are constructed where water oxidation occurs at a photoanode comprised of a semiconductor with an adsorbed chromophore (light absorber) and water oxidation catalyst (WOC), while water or CO 2 reduction occurs at a dark cathode. 5−8 Important advances have been made in the development of molecular WOCs, the current limiting component in DSPECs. Among the complexes developed to improve water oxidation rates and lower overpotentials are a family of Ru(II) catalysts coordinated to the planar bda ligand (bda is 2,2′-bipyridine-6,6′-dicarboxylate). 9−11 These com-plexes exhibit the lowest overpotentials for water oxidation and highest turnover frequencies</w:instrText>
      </w:r>
      <w:r w:rsidR="00D017D1">
        <w:rPr>
          <w:rFonts w:hint="eastAsia"/>
        </w:rPr>
        <w:instrText></w:instrText>
      </w:r>
      <w:r w:rsidR="00D017D1">
        <w:instrText>even matching the oxygen evolution rates in the oxygen-evolving complex (OEC) of Photosystem II</w:instrText>
      </w:r>
      <w:r w:rsidR="00D017D1">
        <w:rPr>
          <w:rFonts w:hint="eastAsia"/>
        </w:rPr>
        <w:instrText></w:instrText>
      </w:r>
      <w:r w:rsidR="00D017D1">
        <w:instrText>making them ideal for use in DSPEC photoanodes. 12 Currently, developing synthetic strategies for translating their impressive properties in homogeneous solution into working assemblies for heterogeneous water oxidation withou…","author":[{"dropping-particle":"","family":"Wang","given":"Degao","non-dropping-particle":"","parse-names":false,"suffix":""},{"dropping-particle":"","family":"Marquard","given":"Seth L.","non-dropping-particle":"","parse-names":false,"suffix":""},{"dropping-particle":"","family":"Troian-Gautier","given":"Ludovic","non-dropping-particle":"","parse-names":false,"suffix":""},{"dropping-particle":"V.","family":"Sheridan","given":"Matthew","non-dropping-particle":"","parse-names":false,"suffix":""},{"dropping-particle":"","family":"Sherman","given":"Benjamin D.","non-dropping-particle":"","parse-names":false,"suffix":""},{"dropping-particle":"","family":"Wang","given":"Ying","non-dropping-particle":"","parse-names":false,"suffix":""},{"dropping-particle":"","family":"Eberhart","given":"Michael S.","non-dropping-particle":"","parse-names":false,"suffix":""},{"dropping-particle":"","family":"Farnum","given":"Byron H.","non-dropping-particle":"","parse-names":false,"suffix":""},{"dropping-particle":"","family":"Dares","given":"Christopher J.","non-dropping-particle":"","parse-names":false,"suffix":""},{"dropping-particle":"","family":"Meyer","given":"Thomas J.","non-dropping-particle":"","parse-names":false,"suffix":""}],"container-title":"Journal of the American Chemical Society","id":"ITEM-2","issue":"2","issued":{"date-parts":[["2018"]]},"page":"719-726","title":"Interfacial Deposition of Ru(II) Bipyridine-Dicarboxylate Complexes by Ligand Substitution for Applications in Water Oxidation Catalysis","type":"article-journal","volume":"140"},"uris":["http://www.mendeley.com/documents/?uuid=6b4ba2b3-a3f3-4682-81e9-2fe8017d0f19"]},{"id":"ITEM-3","itemData":{"DOI":"10.1038/NCHEM.2892","ISSN":"17554349","abstract":"Photosynthesis uses sunlight to oxidize or reduce reaction centres multiple times and prepare them for multiple-electron-transfer reactions. Now, it has been shown that a molecular proxy for a multiple-electron-transfer electrocatalyst can be oxidized twice by dye molecules when both are anchored to a mesoporous TiO2 thin film and excited with low-intensity visible light.","author":[{"dropping-particle":"","family":"Chen","given":"Hsiang Yun","non-dropping-particle":"","parse-names":false,"suffix":""},{"dropping-particle":"","family":"Ardo","given":"Shane","non-dropping-particle":"","parse-names":false,"suffix":""}],"container-title":"Nature Chemistry","id":"ITEM-3","issue":"1","issued":{"date-parts":[["2018"]]},"page":"17-23","publisher":"Nature Publishing Group","title":"Direct observation of sequential oxidations of a titania-bound molecular proxy catalyst generated through illumination of molecular sensitizers","type":"article-journal","volume":"10"},"uris":["http://www.mendeley.com/documents/?uuid=3f656c87-3185-45b5-a14b-7ae4d0c10769"]}],"mendeley":{"formattedCitation":"&lt;sup&gt;24–26&lt;/sup&gt;","plainTextFormattedCitation":"24–26","previouslyFormattedCitation":"&lt;sup&gt;24–26&lt;/sup&gt;"},"properties":{"noteIndex":0},"schema":"https://github.com/citation-style-language/schema/raw/master/csl-citation.json"}</w:instrText>
      </w:r>
      <w:r w:rsidR="00D017D1">
        <w:fldChar w:fldCharType="separate"/>
      </w:r>
      <w:r w:rsidR="00D017D1" w:rsidRPr="00D017D1">
        <w:rPr>
          <w:noProof/>
          <w:vertAlign w:val="superscript"/>
        </w:rPr>
        <w:t>24–26</w:t>
      </w:r>
      <w:r w:rsidR="00D017D1">
        <w:fldChar w:fldCharType="end"/>
      </w:r>
      <w:r w:rsidR="00E77C21">
        <w:t xml:space="preserve"> While the co-anchored assembly of chromophores and catalysts is often more straightforward, it was recently shown that the same intermolecular pathways that activate the catalyst can also provide a pathway for the unwanted charge recombination reactions.</w:t>
      </w:r>
      <w:r w:rsidR="0002610A" w:rsidRPr="008D087C">
        <w:rPr>
          <w:highlight w:val="yellow"/>
        </w:rPr>
        <w:fldChar w:fldCharType="begin" w:fldLock="1"/>
      </w:r>
      <w:r w:rsidR="00B436A2">
        <w:rPr>
          <w:highlight w:val="yellow"/>
        </w:rPr>
        <w:instrText>ADDIN CSL_CITATION {"citationItems":[{"id":"ITEM-1","itemData":{"DOI":"10.1021/jacs.6b04956","ISBN":"0002-7863, 1520-5126","ISSN":"15205126","PMID":"27610830","abstract":"Charge recombination between oxidized dyes attached to mesoporous TiO2 and electrons in the TiO2 was studied in inert electrolytes using transient absorption spectroscopy. Simultaneously, hole transport within the dye monolayers was monitored by transient absorption anisotropy. The rate of recombination decreased when hole transport was inhibited selectively, either by decreasing the dye surface coverage or by changing the electrolyte environment. From Monte Carlo simulations of electron and hole diffusion in a particle, modeled as a cubic structure, we identify the conditions under which hole lifetime depends on the hole diffusion coefficient for the case of normal (disorder free) diffusion. From simulations of transient absorption and transient absorption anisotropy, we find that the rate and the dispersive character of hole transport in the dye monolayer observed spectroscopically can be explained by incomplete coverage and disorder in the monolayer. We show that dispersive transport in the dye monolay...","author":[{"dropping-particle":"","family":"Moia","given":"Davide","non-dropping-particle":"","parse-names":false,"suffix":""},{"dropping-particle":"","family":"Szumska","given":"Anna","non-dropping-particle":"","parse-names":false,"suffix":""},{"dropping-particle":"","family":"Vaissier","given":"Valérie","non-dropping-particle":"","parse-names":false,"suffix":""},{"dropping-particle":"","family":"Planells","given":"Miquel","non-dropping-particle":"","parse-names":false,"suffix":""},{"dropping-particle":"","family":"Robertson","given":"Neil","non-dropping-particle":"","parse-names":false,"suffix":""},{"dropping-particle":"","family":"O'Regan","given":"Brian C.","non-dropping-particle":"","parse-names":false,"suffix":""},{"dropping-particle":"","family":"Nelson","given":"Jenny","non-dropping-particle":"","parse-names":false,"suffix":""},{"dropping-particle":"","family":"Barnes","given":"Piers R.F.","non-dropping-particle":"","parse-names":false,"suffix":""}],"container-title":"Journal of the American Chemical Society","id":"ITEM-1","issue":"40","issued":{"date-parts":[["2016"]]},"page":"13197-13206","title":"Interdye Hole Transport Accelerates Recombination in Dye Sensitized Mesoporous Films","type":"article-journal","volume":"138"},"uris":["http://www.mendeley.com/documents/?uuid=14098e6f-ce66-4488-ad48-ffad55c89239"]}],"mendeley":{"formattedCitation":"&lt;sup&gt;27&lt;/sup&gt;","plainTextFormattedCitation":"27","previouslyFormattedCitation":"&lt;sup&gt;27&lt;/sup&gt;"},"properties":{"noteIndex":0},"schema":"https://github.com/citation-style-language/schema/raw/master/csl-citation.json"}</w:instrText>
      </w:r>
      <w:r w:rsidR="0002610A" w:rsidRPr="008D087C">
        <w:rPr>
          <w:highlight w:val="yellow"/>
        </w:rPr>
        <w:fldChar w:fldCharType="separate"/>
      </w:r>
      <w:r w:rsidR="008D087C" w:rsidRPr="008D087C">
        <w:rPr>
          <w:noProof/>
          <w:highlight w:val="yellow"/>
          <w:vertAlign w:val="superscript"/>
        </w:rPr>
        <w:t>27</w:t>
      </w:r>
      <w:r w:rsidR="0002610A" w:rsidRPr="008D087C">
        <w:rPr>
          <w:highlight w:val="yellow"/>
        </w:rPr>
        <w:fldChar w:fldCharType="end"/>
      </w:r>
      <w:r w:rsidR="00E77C21">
        <w:t xml:space="preserve"> In this </w:t>
      </w:r>
      <w:r w:rsidR="00C5440E">
        <w:t>report</w:t>
      </w:r>
      <w:r w:rsidR="00E77C21">
        <w:t xml:space="preserve">, </w:t>
      </w:r>
      <w:r w:rsidR="00FE6EC8">
        <w:t>insulating oxide overlayers are shown to be a useful tool for controlling lateral intermolecular electron transfer which is often called hole</w:t>
      </w:r>
      <w:r w:rsidR="0094333B">
        <w:t xml:space="preserve"> </w:t>
      </w:r>
      <w:r w:rsidR="00FE6EC8">
        <w:t>hopping</w:t>
      </w:r>
      <w:r w:rsidR="000B05D7">
        <w:t xml:space="preserve">. </w:t>
      </w:r>
      <w:r w:rsidR="00E77C21">
        <w:t xml:space="preserve"> </w:t>
      </w:r>
    </w:p>
    <w:p w14:paraId="58BC7AA2" w14:textId="0D2B06A3" w:rsidR="0063600F" w:rsidRDefault="00FE6EC8" w:rsidP="000906D0">
      <w:pPr>
        <w:pStyle w:val="NoSpacing"/>
        <w:spacing w:line="360" w:lineRule="auto"/>
        <w:ind w:firstLine="720"/>
        <w:jc w:val="both"/>
      </w:pPr>
      <w:r>
        <w:t>After excited</w:t>
      </w:r>
      <w:r w:rsidR="00047139">
        <w:t>-</w:t>
      </w:r>
      <w:r>
        <w:t>state injection into anatase TiO</w:t>
      </w:r>
      <w:r w:rsidRPr="00FE6EC8">
        <w:rPr>
          <w:vertAlign w:val="subscript"/>
        </w:rPr>
        <w:t>2</w:t>
      </w:r>
      <w:r>
        <w:t>, it was often thought that the oxidizing equivalent remained fixed at the injection site.</w:t>
      </w:r>
      <w:r w:rsidR="0002610A">
        <w:fldChar w:fldCharType="begin" w:fldLock="1"/>
      </w:r>
      <w:r w:rsidR="00B436A2">
        <w:instrText>ADDIN CSL_CITATION {"citationItems":[{"id":"ITEM-1","itemData":{"DOI":"10.1016/j.solener.2011.01.018","ISSN":"0038092X","abstract":"The aim of this brief review is to give a short and simple overview of the dye-sensitized solar cell technology from the working principles to the first commercial applications. It emphasizes the role of the sensitizer and the strategies to improve the performances of the dye as well as some recent development aiming to answer specific issues. © 2011 Elsevier Ltd.","author":[{"dropping-particle":"","family":"Nazeeruddin","given":"Md K.","non-dropping-particle":"","parse-names":false,"suffix":""},{"dropping-particle":"","family":"Baranoff","given":"Etienne","non-dropping-particle":"","parse-names":false,"suffix":""},{"dropping-particle":"","family":"Grätzel","given":"Michael","non-dropping-particle":"","parse-names":false,"suffix":""}],"container-title":"Solar Energy","id":"ITEM-1","issue":"6","issued":{"date-parts":[["2011"]]},"page":"1172-1178","title":"Dye-sensitized solar cells: A brief overview","type":"article-journal","volume":"85"},"uris":["http://www.mendeley.com/documents/?uuid=d945bf1c-6ffb-4729-a44b-4fcad708b9d1"]}],"mendeley":{"formattedCitation":"&lt;sup&gt;28&lt;/sup&gt;","plainTextFormattedCitation":"28","previouslyFormattedCitation":"&lt;sup&gt;28&lt;/sup&gt;"},"properties":{"noteIndex":0},"schema":"https://github.com/citation-style-language/schema/raw/master/csl-citation.json"}</w:instrText>
      </w:r>
      <w:r w:rsidR="0002610A">
        <w:fldChar w:fldCharType="separate"/>
      </w:r>
      <w:r w:rsidR="008D087C" w:rsidRPr="008D087C">
        <w:rPr>
          <w:noProof/>
          <w:vertAlign w:val="superscript"/>
        </w:rPr>
        <w:t>28</w:t>
      </w:r>
      <w:r w:rsidR="0002610A">
        <w:fldChar w:fldCharType="end"/>
      </w:r>
      <w:r>
        <w:t xml:space="preserve"> Time-resolved absorption anisotropy measurements later sho</w:t>
      </w:r>
      <w:r w:rsidR="00A073AF">
        <w:t>wed that this was not the case.</w:t>
      </w:r>
      <w:r w:rsidR="00D017D1">
        <w:fldChar w:fldCharType="begin" w:fldLock="1"/>
      </w:r>
      <w:r w:rsidR="00B436A2">
        <w:instrText>ADDIN CSL_CITATION {"citationItems":[{"id":"ITEM-1","itemData":{"DOI":"10.1021/ja1035946","ISBN":"0002-7863","ISSN":"00027863","PMID":"20565127","abstract":"Photoselection of Ru(II)-polypyridyl sensitizers with polarized pulsed-light excitation, when anchored to TiO(2) nanocrystallites interconnected in a mesoporous thin film, results in an anisotropic distribution of excited sensitizers. Under conditions where excited-state sensitizers efficiently inject electrons into TiO(2), the resulting oxidized sensitizers exhibit an initial anisotropy in their absorption difference spectra. Over the course of the charge-separated lifetime for many sensitizers, the transient absorption anisotropy signal decays to nearly zero indicative of lateral self-exchange hole-transfer reactions at the interface. When a cobalt metalloporphyrin catalyst was coanchored to the sensitized nanocrystalline TiO(2) film, excited-state injection was followed by lateral hole transfer to oxidize the surface-bound catalyst.","author":[{"dropping-particle":"","family":"Ardo","given":"Shane","non-dropping-particle":"","parse-names":false,"suffix":""},{"dropping-particle":"","family":"Meyer","given":"Gerald J.","non-dropping-particle":"","parse-names":false,"suffix":""}],"container-title":"Journal of the American Chemical Society","id":"ITEM-1","issue":"27","issued":{"date-parts":[["2010"]]},"page":"9283-9285","title":"Direct observation of photodriven intermolecular hole transfer across TiO2 nanocrystallites: Lateral self-exchange reactions and catalyst oxidation","type":"article-journal","volume":"132"},"uris":["http://www.mendeley.com/documents/?uuid=72c58a79-7ccc-47b7-b7b1-5c2fe80b20ad"]},{"id":"ITEM-2","itemData":{"DOI":"10.1021/ja200652r","ISBN":"0002-7863","ISSN":"00027863","PMID":"21861499","abstract":"Transient anisotropy measurements are reported as a new spectroscopic tool for mechanistic characterization of photoinduced charge-transfer and energy-transfer self-exchange reactions at molecule-semiconductor interfaces. An anisotropic molecular subpopulation was generated by photoselection of randomly oriented Ru(II)-polypyridyl compounds, anchored to mesoscopic nanocrystalline TiO(2) or ZrO(2) thin films, with linearly polarized light. Subsequent characterization of the photoinduced dichromism change by visible absorption and photoluminescence spectroscopies on the nano- to millisecond time scale enabled the direct comparison of competitive processes: excited-state decay vs self-exchange energy transfer, or interfacial charge recombination vs self-exchange hole transfer. Self-exchange energy transfer was found to be many orders-of-magnitude faster than hole transfer at the sensitized TiO(2) interfaces; for [Ru(dtb)(2)(dcb)](PF(6))(2), where dtb is 4,4'-(C(CH(3))(3))(2)-2,2'-bipyridine and dcb is 4,4'-(COOH)(2)-2,2'-bipyridine, anchored to TiO(2), the energy-transfer correlation time was θ(ent) = 3.3 μs while the average hole-transfer correlation time was &lt;θ(h+)&gt; = 110 ms, under identical experimental conditions. Monte Carlo simulations successfully modeled the anisotropy decays associated with lateral energy transfer. These mesoscopic, nanocrystalline TiO(2) thin films developed for regenerative solar cells thus function as active \"antennae\", harvesting sunlight and transferring energy across their surface. For the dicationic sensitizer, [Ru(dtb)(2)(dcb)](PF(6))(2), anisotropy changes indicative of self-exchange hole transfer were observed only when ions were present in the acetonitrile solution. In contrast, evidence for lateral hole transfer was observed in neat acetonitrile for a neutral sensitizer, cis-Ru(dnb)(dcb)(NCS)(2), where dnb is 4,4'-(CH(3)(CH(2))(8))(2)-2,2'-bipyridine, anchored to TiO(2). The results indicate that mechanistic models of interfacial charge recombination between electrons in TiO(2) and oxidized sensitizers must take into account diffusion of the injected electron and the oxidized sensitizer. The phenomena presented herein represent two means of concentrating potential energy derived from visible light that could be used to funnel energy to molecular catalysts for multiple-charge-transfer reactions, such as the generation of solar fuels.","author":[{"dropping-particle":"","family":"Ardo","given":"Shane","non-dropping-particle":"","parse-names":false,"suffix":""},{"dropping-particle":"","family":"Meyer","given":"Gerald J.","non-dropping-particle":"","parse-names":false,"suffix":""}],"container-title":"Journal of the American Chemical Society","id":"ITEM-2","issue":"39","issued":{"date-parts":[["2011"]]},"page":"15384-15396","title":"Characterization of photoinduced self-exchange reactions at molecule-semiconductor interfaces by transient polarization spectroscopy: Lateral intermolecular energy and hole transfer across sensitized TiO2thin films","type":"article-journal","volume":"133"},"uris":["http://www.mendeley.com/documents/?uuid=c2ba3498-dfc9-4707-b321-0e12a69f2b3b"]},{"id":"ITEM-3","itemData":{"DOI":"10.1021/jacs.6b04956","ISBN":"0002-7863, 1520-5126","ISSN":"15205126","PMID":"27610830","abstract":"Charge recombination between oxidized dyes attached to mesoporous TiO2 and electrons in the TiO2 was studied in inert electrolytes using transient absorption spectroscopy. Simultaneously, hole transport within the dye monolayers was monitored by transient absorption anisotropy. The rate of recombination decreased when hole transport was inhibited selectively, either by decreasing the dye surface coverage or by changing the electrolyte environment. From Monte Carlo simulations of electron and hole diffusion in a particle, modeled as a cubic structure, we identify the conditions under which hole lifetime depends on the hole diffusion coefficient for the case of normal (disorder free) diffusion. From simulations of transient absorption and transient absorption anisotropy, we find that the rate and the dispersive character of hole transport in the dye monolayer observed spectroscopically can be explained by incomplete coverage and disorder in the monolayer. We show that dispersive transport in the dye monolay...","author":[{"dropping-particle":"","family":"Moia","given":"Davide","non-dropping-particle":"","parse-names":false,"suffix":""},{"dropping-particle":"","family":"Szumska","given":"Anna","non-dropping-particle":"","parse-names":false,"suffix":""},{"dropping-particle":"","family":"Vaissier","given":"Valérie","non-dropping-particle":"","parse-names":false,"suffix":""},{"dropping-particle":"","family":"Planells","given":"Miquel","non-dropping-particle":"","parse-names":false,"suffix":""},{"dropping-particle":"","family":"Robertson","given":"Neil","non-dropping-particle":"","parse-names":false,"suffix":""},{"dropping-particle":"","family":"O'Regan","given":"Brian C.","non-dropping-particle":"","parse-names":false,"suffix":""},{"dropping-particle":"","family":"Nelson","given":"Jenny","non-dropping-particle":"","parse-names":false,"suffix":""},{"dropping-particle":"","family":"Barnes","given":"Piers R.F.","non-dropping-particle":"","parse-names":false,"suffix":""}],"container-title":"Journal of the American Chemical Society","id":"ITEM-3","issue":"40","issued":{"date-parts":[["2016"]]},"page":"13197-13206","title":"Interdye Hole Transport Accelerates Recombination in Dye Sensitized Mesoporous Films","type":"article-journal","volume":"138"},"uris":["http://www.mendeley.com/documents/?uuid=14098e6f-ce66-4488-ad48-ffad55c89239"]}],"mendeley":{"formattedCitation":"&lt;sup&gt;27,29,30&lt;/sup&gt;","plainTextFormattedCitation":"27,29,30","previouslyFormattedCitation":"&lt;sup&gt;27,29,30&lt;/sup&gt;"},"properties":{"noteIndex":0},"schema":"https://github.com/citation-style-language/schema/raw/master/csl-citation.json"}</w:instrText>
      </w:r>
      <w:r w:rsidR="00D017D1">
        <w:fldChar w:fldCharType="separate"/>
      </w:r>
      <w:r w:rsidR="008D087C" w:rsidRPr="008D087C">
        <w:rPr>
          <w:noProof/>
          <w:vertAlign w:val="superscript"/>
        </w:rPr>
        <w:t>27,29,30</w:t>
      </w:r>
      <w:r w:rsidR="00D017D1">
        <w:fldChar w:fldCharType="end"/>
      </w:r>
      <w:r>
        <w:t xml:space="preserve"> </w:t>
      </w:r>
      <w:r w:rsidR="00E6382E" w:rsidRPr="00E93385">
        <w:rPr>
          <w:highlight w:val="yellow"/>
        </w:rPr>
        <w:t>An anisotropic subpopulation of oxidizing equivalents, or holes, can be generated by photoselection of the randomly oriented chromophores</w:t>
      </w:r>
      <w:r w:rsidR="00E6382E" w:rsidRPr="00E93385">
        <w:rPr>
          <w:highlight w:val="yellow"/>
        </w:rPr>
        <w:t xml:space="preserve"> on nanocrystallites</w:t>
      </w:r>
      <w:r w:rsidR="00E6382E" w:rsidRPr="00E93385">
        <w:rPr>
          <w:highlight w:val="yellow"/>
        </w:rPr>
        <w:t xml:space="preserve"> with linearly polarized light. </w:t>
      </w:r>
      <w:r w:rsidR="00A976FA" w:rsidRPr="00E93385">
        <w:rPr>
          <w:highlight w:val="yellow"/>
        </w:rPr>
        <w:t>In the absence of chromophore or nanoparticle diffusion, as is the case with sintered nanoparticles and surface-bound chromophores,</w:t>
      </w:r>
      <w:r w:rsidR="00BF3D85" w:rsidRPr="00E93385">
        <w:rPr>
          <w:highlight w:val="yellow"/>
        </w:rPr>
        <w:t xml:space="preserve"> the anisotropic distribution should </w:t>
      </w:r>
      <w:r w:rsidR="00A8334E" w:rsidRPr="00E93385">
        <w:rPr>
          <w:highlight w:val="yellow"/>
        </w:rPr>
        <w:t>experience little change. However, when chromophores undergo hole hopping</w:t>
      </w:r>
      <w:r w:rsidR="00E93385" w:rsidRPr="00E93385">
        <w:rPr>
          <w:highlight w:val="yellow"/>
        </w:rPr>
        <w:t xml:space="preserve"> across the surface of the nanocrystallites</w:t>
      </w:r>
      <w:r w:rsidR="00A8334E" w:rsidRPr="00E93385">
        <w:rPr>
          <w:highlight w:val="yellow"/>
        </w:rPr>
        <w:t>, p</w:t>
      </w:r>
      <w:r w:rsidR="00BF3D85" w:rsidRPr="00E93385">
        <w:rPr>
          <w:highlight w:val="yellow"/>
        </w:rPr>
        <w:t xml:space="preserve">olarization-dependent </w:t>
      </w:r>
      <w:r w:rsidR="00A8334E" w:rsidRPr="00E93385">
        <w:rPr>
          <w:highlight w:val="yellow"/>
        </w:rPr>
        <w:t xml:space="preserve">absorbance changes </w:t>
      </w:r>
      <w:r w:rsidR="00E93385" w:rsidRPr="00E93385">
        <w:rPr>
          <w:highlight w:val="yellow"/>
        </w:rPr>
        <w:t>can reveal anisotropy decays, which provides information on the self-exchange dynamics.</w:t>
      </w:r>
      <w:r w:rsidR="00E93385">
        <w:t xml:space="preserve"> </w:t>
      </w:r>
      <w:r w:rsidR="00621BDB">
        <w:t xml:space="preserve">These studies revealed that the </w:t>
      </w:r>
      <w:r w:rsidR="00A073AF">
        <w:t xml:space="preserve">oxidizing equivalent </w:t>
      </w:r>
      <w:r w:rsidR="004E08F3">
        <w:t>can be</w:t>
      </w:r>
      <w:r w:rsidR="00A073AF">
        <w:t xml:space="preserve"> transported laterally by hole hopping, </w:t>
      </w:r>
      <w:r w:rsidR="00A073AF" w:rsidRPr="00221BF8">
        <w:rPr>
          <w:b/>
        </w:rPr>
        <w:t>Scheme 1</w:t>
      </w:r>
      <w:r w:rsidR="007F1722">
        <w:t xml:space="preserve"> </w:t>
      </w:r>
      <w:r w:rsidR="00047139">
        <w:t>(t</w:t>
      </w:r>
      <w:r w:rsidR="007F1722">
        <w:t>op panel</w:t>
      </w:r>
      <w:r w:rsidR="00047139">
        <w:t>)</w:t>
      </w:r>
      <w:r w:rsidR="00A073AF">
        <w:t xml:space="preserve">. </w:t>
      </w:r>
    </w:p>
    <w:p w14:paraId="1FBD010A" w14:textId="77777777" w:rsidR="0063600F" w:rsidRDefault="0063600F" w:rsidP="000906D0">
      <w:pPr>
        <w:pStyle w:val="NoSpacing"/>
        <w:spacing w:line="360" w:lineRule="auto"/>
        <w:ind w:firstLine="720"/>
        <w:jc w:val="both"/>
      </w:pPr>
    </w:p>
    <w:p w14:paraId="0B90AEBF" w14:textId="6970997B" w:rsidR="00972285" w:rsidRDefault="00760292" w:rsidP="000906D0">
      <w:pPr>
        <w:pStyle w:val="NoSpacing"/>
        <w:spacing w:line="360" w:lineRule="auto"/>
        <w:ind w:firstLine="720"/>
        <w:jc w:val="both"/>
      </w:pPr>
      <w:r>
        <w:lastRenderedPageBreak/>
        <w:t>Related hole</w:t>
      </w:r>
      <w:r w:rsidR="00047139">
        <w:t xml:space="preserve"> </w:t>
      </w:r>
      <w:r>
        <w:t xml:space="preserve">hopping processes </w:t>
      </w:r>
      <w:r w:rsidR="004E08F3">
        <w:t>have been</w:t>
      </w:r>
      <w:r>
        <w:t xml:space="preserve"> initiated with an applied potential in a standard electrochemical </w:t>
      </w:r>
      <w:r w:rsidR="007F1722">
        <w:t>cell,</w:t>
      </w:r>
      <w:r w:rsidR="00956454">
        <w:fldChar w:fldCharType="begin" w:fldLock="1"/>
      </w:r>
      <w:r w:rsidR="00D017D1">
        <w:instrText>ADDIN CSL_CITATION {"citationItems":[{"id":"ITEM-1","itemData":{"DOI":"10.1021/jp972890j","ISBN":"1520-6106","ISSN":"1520-6106","PMID":"11324617","abstract":"A monolayer of a phosphonated triarylamine adsorbed on nanocrystalline TiO2, ZrO2, or Al2O3 film deposited on conducting glass displays reversible electrochemical and electrochromic behavior although the redox potential of the electroactive molecules (0.80 V vs NHE) lies in the forbidden band of the semiconducting or insulating oxides. The mechanism of charge transport was found to involve hole injection from the conducting support followed by lateral electron hopping within the monolayer. The apparent diffusion coefficient ranged from 2.8 x 10(-12) m(2) s(-1) in the neat 1-ethyl-2-methylimidazolium (EtMeIm(+)Tf(2)N(-)) to 1.1 x 10(-11) m(2) s(-1) in acetonitrile + 2 M EtMeIm(+)Tf(2)N(-). A percolation threshold for electronic conductivity was found at a surface coverage corresponding to 50% of a full monolayer.","author":[{"dropping-particle":"","family":"Bonhôte","given":"Pierre","non-dropping-particle":"","parse-names":false,"suffix":""},{"dropping-particle":"","family":"Gogniat","given":"Eric","non-dropping-particle":"","parse-names":false,"suffix":""},{"dropping-particle":"","family":"Tingry","given":"Sophie","non-dropping-particle":"","parse-names":false,"suffix":""},{"dropping-particle":"","family":"Barbé","given":"Christophe","non-dropping-particle":"","parse-names":false,"suffix":""},{"dropping-particle":"","family":"Vlachopoulos","given":"Nicolas","non-dropping-particle":"","parse-names":false,"suffix":""},{"dropping-particle":"","family":"Lenzmann","given":"Frank","non-dropping-particle":"","parse-names":false,"suffix":""},{"dropping-particle":"","family":"Comte","given":"Pascal","non-dropping-particle":"","parse-names":false,"suffix":""},{"dropping-particle":"","family":"Grätzel","given":"Michael","non-dropping-particle":"","parse-names":false,"suffix":""}],"container-title":"The Journal of Physical Chemistry B","id":"ITEM-1","issue":"9","issued":{"date-parts":[["1998"]]},"page":"1498-1507","title":"Efficient Lateral Electron Transport inside a Monolayer of Aromatic Amines Anchored on Nanocrystalline Metal Oxide Films","type":"article-journal","volume":"102"},"uris":["http://www.mendeley.com/documents/?uuid=38780ea8-b072-433f-b54f-0ca45b3d1674"]}],"mendeley":{"formattedCitation":"&lt;sup&gt;31&lt;/sup&gt;","plainTextFormattedCitation":"31","previouslyFormattedCitation":"&lt;sup&gt;31&lt;/sup&gt;"},"properties":{"noteIndex":0},"schema":"https://github.com/citation-style-language/schema/raw/master/csl-citation.json"}</w:instrText>
      </w:r>
      <w:r w:rsidR="00956454">
        <w:fldChar w:fldCharType="separate"/>
      </w:r>
      <w:r w:rsidR="00D017D1" w:rsidRPr="00D017D1">
        <w:rPr>
          <w:noProof/>
          <w:vertAlign w:val="superscript"/>
        </w:rPr>
        <w:t>31</w:t>
      </w:r>
      <w:r w:rsidR="00956454">
        <w:fldChar w:fldCharType="end"/>
      </w:r>
      <w:r w:rsidR="007F1722">
        <w:t xml:space="preserve"> </w:t>
      </w:r>
      <w:r w:rsidR="007F1722" w:rsidRPr="00221BF8">
        <w:rPr>
          <w:b/>
        </w:rPr>
        <w:t>Scheme 1</w:t>
      </w:r>
      <w:r w:rsidR="007F1722">
        <w:t xml:space="preserve"> </w:t>
      </w:r>
      <w:r w:rsidR="00047139">
        <w:t>(</w:t>
      </w:r>
      <w:r w:rsidR="007F1722">
        <w:t>lower panel</w:t>
      </w:r>
      <w:r w:rsidR="00047139">
        <w:t>)</w:t>
      </w:r>
      <w:r w:rsidR="00F54AB3">
        <w:t xml:space="preserve">. </w:t>
      </w:r>
      <w:r>
        <w:t>Remarkably, all the chromophores within the mesoporous thin film can be reversibl</w:t>
      </w:r>
      <w:r w:rsidR="00047139">
        <w:t>y</w:t>
      </w:r>
      <w:r>
        <w:t xml:space="preserve"> </w:t>
      </w:r>
      <w:r w:rsidR="00A930BB">
        <w:t>oxidized provided</w:t>
      </w:r>
      <w:r>
        <w:t xml:space="preserve"> that the surface coverage exceeds a percolation threshold of about 60% the saturation value.</w:t>
      </w:r>
      <w:r w:rsidR="005A7D9C">
        <w:fldChar w:fldCharType="begin" w:fldLock="1"/>
      </w:r>
      <w:r w:rsidR="00D017D1">
        <w:instrText>ADDIN CSL_CITATION {"citationItems":[{"id":"ITEM-1","itemData":{"DOI":"10.1021/jp972890j","ISBN":"1520-6106","ISSN":"1520-6106","PMID":"11324617","abstract":"A monolayer of a phosphonated triarylamine adsorbed on nanocrystalline TiO2, ZrO2, or Al2O3 film deposited on conducting glass displays reversible electrochemical and electrochromic behavior although the redox potential of the electroactive molecules (0.80 V vs NHE) lies in the forbidden band of the semiconducting or insulating oxides. The mechanism of charge transport was found to involve hole injection from the conducting support followed by lateral electron hopping within the monolayer. The apparent diffusion coefficient ranged from 2.8 x 10(-12) m(2) s(-1) in the neat 1-ethyl-2-methylimidazolium (EtMeIm(+)Tf(2)N(-)) to 1.1 x 10(-11) m(2) s(-1) in acetonitrile + 2 M EtMeIm(+)Tf(2)N(-). A percolation threshold for electronic conductivity was found at a surface coverage corresponding to 50% of a full monolayer.","author":[{"dropping-particle":"","family":"Bonhôte","given":"Pierre","non-dropping-particle":"","parse-names":false,"suffix":""},{"dropping-particle":"","family":"Gogniat","given":"Eric","non-dropping-particle":"","parse-names":false,"suffix":""},{"dropping-particle":"","family":"Tingry","given":"Sophie","non-dropping-particle":"","parse-names":false,"suffix":""},{"dropping-particle":"","family":"Barbé","given":"Christophe","non-dropping-particle":"","parse-names":false,"suffix":""},{"dropping-particle":"","family":"Vlachopoulos","given":"Nicolas","non-dropping-particle":"","parse-names":false,"suffix":""},{"dropping-particle":"","family":"Lenzmann","given":"Frank","non-dropping-particle":"","parse-names":false,"suffix":""},{"dropping-particle":"","family":"Comte","given":"Pascal","non-dropping-particle":"","parse-names":false,"suffix":""},{"dropping-particle":"","family":"Grätzel","given":"Michael","non-dropping-particle":"","parse-names":false,"suffix":""}],"container-title":"The Journal of Physical Chemistry B","id":"ITEM-1","issue":"9","issued":{"date-parts":[["1998"]]},"page":"1498-1507","title":"Efficient Lateral Electron Transport inside a Monolayer of Aromatic Amines Anchored on Nanocrystalline Metal Oxide Films","type":"article-journal","volume":"102"},"uris":["http://www.mendeley.com/documents/?uuid=38780ea8-b072-433f-b54f-0ca45b3d1674"]},{"id":"ITEM-2","itemData":{"DOI":"10.1021/jp9825258","ISBN":"1089-5647","ISSN":"1089-5647","abstract":"The results of a kinetic study are reported for cross-surface electron transfer in the reversible oxidation of {[}Os-II(bpy)(2)(4,4'-(CO2H)(2)bpy)](PF6)(2) to Os-III surface adsorbed to nanocrystalline TiO2 films on optically transparent ITO (tin-doped indium oxide) electrodes. The kinetics are sensitive to the extent of surface loading. From monolayers adsorbed from CH3CN, a percolation threshold of similar to 60% was measured. Adsorption isotherms for {[}Os-II(bpy)(2)(4,4'-(CO2H)(2)bpy)](PF6)(2) in EtOH and CH3CN show that surface coverage from EtOH is similar to 60% of that from CH3CN at similar adsorbate concentrations. Apparent charge-transfer diffusion coefficients in 0.1 M {[}N(n-C4H9)(4)](PF6) in CH3CN measured by chronoabsorptometry are D-app = 1.4 x 10(-9) cm(2)/s (Gamma = 1.1 x 10(-10) mol/cm(2), CH3CN) and 1.4 x 10(-11) cm(2)/s (Gamma = 7 x 10(-11) mol/cm(2), EtOH). Electron-transfer mediation of the oxidative component of the Os-III/II surface couple occurs in the presence of added Ru(bpy)(3)(2+) by stepping the potential past the Ru(bpy)(3)(3+/2+) wave. Mediation of both oxidative and reductive components occurs with added Os(bpy)(3)(2+). The apparent diffusion coefficient for oxidation of the Os-III/II surface couple in the presence of RU(bpy)(3)(2+) increases Linearly with the concentration of added mediator.","author":[{"dropping-particle":"","family":"Trammell","given":"Scott A.","non-dropping-particle":"","parse-names":false,"suffix":""},{"dropping-particle":"","family":"Meyer","given":"Thomas J.","non-dropping-particle":"","parse-names":false,"suffix":""}],"container-title":"Journal of Physical Chemistry B","id":"ITEM-2","issue":"1","issued":{"date-parts":[["1999"]]},"page":"104-107","title":"Diffusional mediation of surface electron transfer on TiO&lt;sub&gt;2&lt;/sub&gt;","type":"article-journal","volume":"103"},"uris":["http://www.mendeley.com/documents/?uuid=ddca00e2-1239-4462-8453-a009c479a7d6"]},{"id":"ITEM-3","itemData":{"DOI":"10.1021/acs.langmuir.5b02129","ISSN":"15205827","abstract":"Intermolecular self-exchange energy and electron-transfer reactions occur without a loss of free energy. This behavior can be exploited for energy-transport applications when molecules that undergo self-exchange transfer reactions are immobilized on a solid support. This Article focuses upon lateral self-exchange reactions and the relevant interfacial chemistry that occurs on the mesoporous nanocrystalline (anatase) TiO2 thin films that are commonly used in dye-sensitized solar cells. It has been known for some time that all of the dye molecules (termed sensitizers) within such thin films can be reversibly oxidized and reduced by lateral self-exchange electron transfer provided that the sensitizer surface coverage exceeds a percolation threshold. Under conditions where excited-state electron injection into TiO2 is unfavored, lateral intermolecular energy-transfer reactions are also known to occur. The self-exchange rate constants have been quantified by electrochemical, absorption, and/or time-resolved anisotropy techniques and understood within the framework of Marcus theory. Such analysis reveals that the reorganization energy and the electronic coupling are sensitive to the identity of the molecular compound. Time-resolved anisotropy measurements have shown that lateral charge and energy-transfer reactions across the TiO2 surface occur in kinetic competition with charge recombination and excited-state relaxation, respectively. The extent to which lateral self-exchange reactions might be exploited for solar energy conversion applications is discussed, as are critical fundamental issues that remain unresolved.","author":[{"dropping-particle":"","family":"Hu","given":"Ke","non-dropping-particle":"","parse-names":false,"suffix":""},{"dropping-particle":"","family":"Meyer","given":"Gerald J.","non-dropping-particle":"","parse-names":false,"suffix":""}],"container-title":"Langmuir","id":"ITEM-3","issue":"41","issued":{"date-parts":[["2015"]]},"page":"11164-11178","title":"Lateral Intermolecular Self-Exchange Reactions for Hole and Energy Transport on Mesoporous Metal Oxide Thin Films","type":"article-journal","volume":"31"},"uris":["http://www.mendeley.com/documents/?uuid=f406c883-05bf-48ed-847d-22244abc8bb7"]}],"mendeley":{"formattedCitation":"&lt;sup&gt;31–33&lt;/sup&gt;","plainTextFormattedCitation":"31–33","previouslyFormattedCitation":"&lt;sup&gt;31–33&lt;/sup&gt;"},"properties":{"noteIndex":0},"schema":"https://github.com/citation-style-language/schema/raw/master/csl-citation.json"}</w:instrText>
      </w:r>
      <w:r w:rsidR="005A7D9C">
        <w:fldChar w:fldCharType="separate"/>
      </w:r>
      <w:r w:rsidR="00D017D1" w:rsidRPr="00D017D1">
        <w:rPr>
          <w:noProof/>
          <w:vertAlign w:val="superscript"/>
        </w:rPr>
        <w:t>31–33</w:t>
      </w:r>
      <w:r w:rsidR="005A7D9C">
        <w:fldChar w:fldCharType="end"/>
      </w:r>
      <w:r>
        <w:t xml:space="preserve"> </w:t>
      </w:r>
      <w:r w:rsidR="00A073AF">
        <w:t>An advantage of hole</w:t>
      </w:r>
      <w:r w:rsidR="00047139">
        <w:t xml:space="preserve"> </w:t>
      </w:r>
      <w:r w:rsidR="00A073AF">
        <w:t xml:space="preserve">hopping is that it provides a means for transporting </w:t>
      </w:r>
      <w:r w:rsidR="004E08F3">
        <w:t>ch</w:t>
      </w:r>
      <w:r w:rsidR="002604A6">
        <w:t>arg</w:t>
      </w:r>
      <w:r w:rsidR="004E08F3">
        <w:t>e</w:t>
      </w:r>
      <w:r w:rsidR="00A073AF">
        <w:t xml:space="preserve"> without a loss in free energy. Hole hopping has been exploited to transfer redox equivalents directly to the counter electrode in dye-sensitized solar cells that do not contain a redox mediator</w:t>
      </w:r>
      <w:r w:rsidR="001749E2">
        <w:fldChar w:fldCharType="begin" w:fldLock="1"/>
      </w:r>
      <w:r w:rsidR="00D017D1">
        <w:instrText>ADDIN CSL_CITATION {"citationItems":[{"id":"ITEM-1","itemData":{"DOI":"10.1002/adma.201501919","ISSN":"15214095","abstract":"Dye-sensitized TiO2 can be used as the active layer of solar-cell\\ndevices without an additional hole-transporting material. In this\\narchitecture, holes are transported through the dye monolayer.","author":[{"dropping-particle":"","family":"Moia","given":"Davide","non-dropping-particle":"","parse-names":false,"suffix":""},{"dropping-particle":"","family":"Leijtens","given":"Tomas","non-dropping-particle":"","parse-names":false,"suffix":""},{"dropping-particle":"","family":"Noel","given":"Nakita","non-dropping-particle":"","parse-names":false,"suffix":""},{"dropping-particle":"","family":"Snaith","given":"Henry J.","non-dropping-particle":"","parse-names":false,"suffix":""},{"dropping-particle":"","family":"Nelson","given":"Jenny","non-dropping-particle":"","parse-names":false,"suffix":""},{"dropping-particle":"","family":"Barnes","given":"Piers R.F.","non-dropping-particle":"","parse-names":false,"suffix":""}],"container-title":"Advanced Materials","id":"ITEM-1","issue":"39","issued":{"date-parts":[["2015"]]},"page":"5889-5894","title":"Dye Monolayers Used as the Hole Transporting Medium in Dye-Sensitized Solar Cells","type":"article-journal","volume":"27"},"uris":["http://www.mendeley.com/documents/?uuid=fa637c88-e0ae-40bd-b01c-985059167434"]}],"mendeley":{"formattedCitation":"&lt;sup&gt;34&lt;/sup&gt;","plainTextFormattedCitation":"34","previouslyFormattedCitation":"&lt;sup&gt;34&lt;/sup&gt;"},"properties":{"noteIndex":0},"schema":"https://github.com/citation-style-language/schema/raw/master/csl-citation.json"}</w:instrText>
      </w:r>
      <w:r w:rsidR="001749E2">
        <w:fldChar w:fldCharType="separate"/>
      </w:r>
      <w:r w:rsidR="00D017D1" w:rsidRPr="00D017D1">
        <w:rPr>
          <w:noProof/>
          <w:vertAlign w:val="superscript"/>
        </w:rPr>
        <w:t>34</w:t>
      </w:r>
      <w:r w:rsidR="001749E2">
        <w:fldChar w:fldCharType="end"/>
      </w:r>
      <w:r w:rsidR="00A073AF">
        <w:t xml:space="preserve"> and for activation of water oxidation catalysts.</w:t>
      </w:r>
      <w:r w:rsidR="001749E2">
        <w:fldChar w:fldCharType="begin" w:fldLock="1"/>
      </w:r>
      <w:r w:rsidR="00B436A2">
        <w:instrText>ADDIN CSL_CITATION {"citationItems":[{"id":"ITEM-1","itemData":{"DOI":"10.1021/ja1035946","ISBN":"0002-7863","ISSN":"00027863","PMID":"20565127","abstract":"Photoselection of Ru(II)-polypyridyl sensitizers with polarized pulsed-light excitation, when anchored to TiO(2) nanocrystallites interconnected in a mesoporous thin film, results in an anisotropic distribution of excited sensitizers. Under conditions where excited-state sensitizers efficiently inject electrons into TiO(2), the resulting oxidized sensitizers exhibit an initial anisotropy in their absorption difference spectra. Over the course of the charge-separated lifetime for many sensitizers, the transient absorption anisotropy signal decays to nearly zero indicative of lateral self-exchange hole-transfer reactions at the interface. When a cobalt metalloporphyrin catalyst was coanchored to the sensitized nanocrystalline TiO(2) film, excited-state injection was followed by lateral hole transfer to oxidize the surface-bound catalyst.","author":[{"dropping-particle":"","family":"Ardo","given":"Shane","non-dropping-particle":"","parse-names":false,"suffix":""},{"dropping-particle":"","family":"Meyer","given":"Gerald J.","non-dropping-particle":"","parse-names":false,"suffix":""}],"container-title":"Journal of the American Chemical Society","id":"ITEM-1","issue":"27","issued":{"date-parts":[["2010"]]},"page":"9283-9285","title":"Direct observation of photodriven intermolecular hole transfer across TiO2 nanocrystallites: Lateral self-exchange reactions and catalyst oxidation","type":"article-journal","volume":"132"},"uris":["http://www.mendeley.com/documents/?uuid=72c58a79-7ccc-47b7-b7b1-5c2fe80b20ad"]}],"mendeley":{"formattedCitation":"&lt;sup&gt;29&lt;/sup&gt;","plainTextFormattedCitation":"29","previouslyFormattedCitation":"&lt;sup&gt;29&lt;/sup&gt;"},"properties":{"noteIndex":0},"schema":"https://github.com/citation-style-language/schema/raw/master/csl-citation.json"}</w:instrText>
      </w:r>
      <w:r w:rsidR="001749E2">
        <w:fldChar w:fldCharType="separate"/>
      </w:r>
      <w:r w:rsidR="008D087C" w:rsidRPr="008D087C">
        <w:rPr>
          <w:noProof/>
          <w:vertAlign w:val="superscript"/>
        </w:rPr>
        <w:t>29</w:t>
      </w:r>
      <w:r w:rsidR="001749E2">
        <w:fldChar w:fldCharType="end"/>
      </w:r>
      <w:r w:rsidR="00A073AF">
        <w:t xml:space="preserve"> </w:t>
      </w:r>
      <w:r w:rsidR="00B145EF">
        <w:t xml:space="preserve">Hole hopping </w:t>
      </w:r>
      <w:r w:rsidR="00A073AF">
        <w:t>has also been found to be deleterious in some cases. Chromophores that participated in fast hole hopping recombined with injected electrons more rapidly, presumably because hole hopping enhanced encounters between the oxidized chromophore and the injected electron.</w:t>
      </w:r>
      <w:r w:rsidR="00D23E49">
        <w:fldChar w:fldCharType="begin" w:fldLock="1"/>
      </w:r>
      <w:r w:rsidR="00B436A2">
        <w:instrText xml:space="preserve">ADDIN CSL_CITATION {"citationItems":[{"id":"ITEM-1","itemData":{"DOI":"10.1021/jacs.6b04956","ISBN":"0002-7863, 1520-5126","ISSN":"15205126","PMID":"27610830","abstract":"Charge recombination between oxidized dyes attached to mesoporous TiO2 and electrons in the TiO2 was studied in inert electrolytes using transient absorption spectroscopy. Simultaneously, hole transport within the dye monolayers was monitored by transient absorption anisotropy. The rate of recombination decreased when hole transport was inhibited selectively, either by decreasing the dye surface coverage or by changing the electrolyte environment. From Monte Carlo simulations of electron and hole diffusion in a particle, modeled as a cubic structure, we identify the conditions under which hole lifetime depends on the hole diffusion coefficient for the case of normal (disorder free) diffusion. From simulations of transient absorption and transient absorption anisotropy, we find that the rate and the dispersive character of hole transport in the dye monolayer observed spectroscopically can be explained by incomplete coverage and disorder in the monolayer. We show that dispersive transport in the dye monolay...","author":[{"dropping-particle":"","family":"Moia","given":"Davide","non-dropping-particle":"","parse-names":false,"suffix":""},{"dropping-particle":"","family":"Szumska","given":"Anna","non-dropping-particle":"","parse-names":false,"suffix":""},{"dropping-particle":"","family":"Vaissier","given":"Valérie","non-dropping-particle":"","parse-names":false,"suffix":""},{"dropping-particle":"","family":"Planells","given":"Miquel","non-dropping-particle":"","parse-names":false,"suffix":""},{"dropping-particle":"","family":"Robertson","given":"Neil","non-dropping-particle":"","parse-names":false,"suffix":""},{"dropping-particle":"","family":"O'Regan","given":"Brian C.","non-dropping-particle":"","parse-names":false,"suffix":""},{"dropping-particle":"","family":"Nelson","given":"Jenny","non-dropping-particle":"","parse-names":false,"suffix":""},{"dropping-particle":"","family":"Barnes","given":"Piers R.F.","non-dropping-particle":"","parse-names":false,"suffix":""}],"container-title":"Journal of the American Chemical Society","id":"ITEM-1","issue":"40","issued":{"date-parts":[["2016"]]},"page":"13197-13206","title":"Interdye Hole Transport Accelerates Recombination in Dye Sensitized Mesoporous Films","type":"article-journal","volume":"138"},"uris":["http://www.mendeley.com/documents/?uuid=14098e6f-ce66-4488-ad48-ffad55c89239"]},{"id":"ITEM-2","itemData":{"DOI":"10.1021/acsenergylett.7b00759","ISSN":"23808195","abstract":"Three ruthenium(II) sensitizers, [Ru(L)2(dcb)]2+, were anchored to mesoporous TiO2 thin films where the ligand L = 4,4′-(CH3)2-bpy (dmb), 4,4′-(C(CH3)3)2-bpy (dtb), and 4,4′-(CF3)2-bpy (bpyCF3) controls the thermodynamics and electronic coupling for self-exchange intermolecular RuIII/II “hole hopping”. Apparent electron difussion coefficients, Dapp, were reported to increase in the order bpyCF3 </w:instrText>
      </w:r>
      <w:r w:rsidR="00B436A2">
        <w:rPr>
          <w:rFonts w:ascii="Cambria Math" w:hAnsi="Cambria Math" w:cs="Cambria Math"/>
        </w:rPr>
        <w:instrText>≪</w:instrText>
      </w:r>
      <w:r w:rsidR="00B436A2">
        <w:instrText xml:space="preserve"> dtb &lt; dmb. Nanosecond transient absorption measurements made over an 80° temperature range were conducted to abstract average charge recombination rate constants, kcr, under conditions of sub-percolation and saturated sensitizer surface coverages. For sensitizers [Ru(dmb)2(dcb)]2+ and [Ru(dtb)2(dcb)]2+, the kcr values at saturation coverages were significantly larger than those at low coverages, by a degree that followed the trend in Dapp. The inability of [Ru(bpyCF3)2(dcb)]2+ to introduce hole transport was afirmed by recombination kinetic data that were insensitive to the sensitizer surface converage. An Arrhen...","author":[{"dropping-particle":"","family":"Sampaio","given":"Renato N.","non-dropping-particle":"","parse-names":false,"suffix":""},{"dropping-particle":"","family":"Dimarco","given":"Brian N.","non-dropping-particle":"","parse-names":false,"suffix":""},{"dropping-particle":"","family":"Meyer","given":"Gerald J.","non-dropping-particle":"","parse-names":false,"suffix":""}],"container-title":"ACS Energy Letters","id":"ITEM-2","issue":"10","issued":{"date-parts":[["2017"]]},"page":"2402-2407","title":"Activation Energies for Electron Transfer from TiO2to Oxidized Dyes: A Surface Coverage Dependence Correlated with Lateral Hole Hopping","type":"article-journal","volume":"2"},"uris":["http://www.mendeley.com/documents/?uuid=2e5f360a-fb82-4390-ac62-82d1483a2df3"]},{"id":"ITEM-3","itemData":{"DOI":"10.1021/acsami.7b01542","ISSN":"19448252","author":[{"dropping-particle":"","family":"Sampaio","given":"Renato N.","non-dropping-particle":"","parse-names":false,"suffix":""},{"dropping-particle":"V.","family":"Müller","given":"Andressa","non-dropping-particle":"","parse-names":false,"suffix":""},{"dropping-particle":"","family":"Polo","given":"André S.","non-dropping-particle":"","parse-names":false,"suffix":""},{"dropping-particle":"","family":"Meyer","given":"Gerald J.","non-dropping-particle":"","parse-names":false,"suffix":""}],"container-title":"ACS Applied Materials and Interfaces","id":"ITEM-3","issue":"39","issued":{"date-parts":[["2017"]]},"page":"33446-33454","title":"Correlation between charge recombination and lateral hole- hopping kinetics in a series of cis-Ru(phen′)(dcb)(NCS)Ph2Dye- Sensitized Solar Cells","type":"article-journal","volume":"9"},"uris":["http://www.mendeley.com/documents/?uuid=06d15de2-c67c-46cf-9fb2-5c9a6a31e80d"]},{"id":"ITEM-4","itemData":{"DOI":"10.1021/jacs.7b13243","ISSN":"15205126","abstract":"In this paper, we divide the communities in Central China into four groups, namely ecological high-poverty communities, non-ecological high-poverty communities, sustainable communities and non-ecological low-poverty communities. We use 2000 and 2006 data for 498 counties to conduct analysis and comparison between sustainable and unsustainable communities in order to define determinants of the development pathways to sustainable communities. The comparison of the variable means between the groups of ecological high-poverty communities and non- ecological high-poverty communities in 2006 indicates that there is no significant difference in the dimensions related to economy, society and environment, with the exception of average output value per industrial enterprise. The non-ecological low-poverty communities are more likely to have a higher proportion of secondary industry, higher total industrial output value, higher average output value per industrial enterprise and higher intensity of infrastructure construction, compared to the sustainable communities. The factors that determine whether the communities will choose the pathway to sustainable communities are found to be landscape, social conditions of secondary industry and agriculture and economic development level. Hence, the policies that aim at promoting sustainability for the unsustainable communities will have to focus on different strategies and actions for non-ecological high-poverty and non-ecological low-poverty communities.","author":[{"dropping-particle":"","family":"Troian-Gautier","given":"Ludovic","non-dropping-particle":"","parse-names":false,"suffix":""},{"dropping-particle":"","family":"DiMarco","given":"Brian N.","non-dropping-particle":"","parse-names":false,"suffix":""},{"dropping-particle":"","family":"Sampaio","given":"Renato N.","non-dropping-particle":"","parse-names":false,"suffix":""},{"dropping-particle":"","family":"Marquard","given":"Seth L.","non-dropping-particle":"","parse-names":false,"suffix":""},{"dropping-particle":"","family":"Meyer","given":"Gerald J.","non-dropping-particle":"","parse-names":false,"suffix":""}],"container-title":"Journal of the American Chemical Society","id":"ITEM-4","issue":"8","issued":{"date-parts":[["2018"]]},"page":"3019-3029","title":"Evidence that S‡ Controls Interfacial Electron Transfer Dynamics from Anatase TiO2 to Molecular Acceptors","type":"article-journal","volume":"140"},"uris":["http://www.mendeley.com/documents/?uuid=6fbbc208-e253-4d20-a16b-9ca40bdb0a14"]}],"mendeley":{"formattedCitation":"&lt;sup&gt;27,35–37&lt;/sup&gt;","plainTextFormattedCitation":"27,35–37","previouslyFormattedCitation":"&lt;sup&gt;27,35–37&lt;/sup&gt;"},"properties":{"noteIndex":0},"schema":"https://github.com/citation-style-language/schema/raw/master/csl-citation.json"}</w:instrText>
      </w:r>
      <w:r w:rsidR="00D23E49">
        <w:fldChar w:fldCharType="separate"/>
      </w:r>
      <w:r w:rsidR="008D087C" w:rsidRPr="008D087C">
        <w:rPr>
          <w:noProof/>
          <w:vertAlign w:val="superscript"/>
        </w:rPr>
        <w:t>27,35–37</w:t>
      </w:r>
      <w:r w:rsidR="00D23E49">
        <w:fldChar w:fldCharType="end"/>
      </w:r>
      <w:r w:rsidR="00A073AF">
        <w:t xml:space="preserve"> </w:t>
      </w:r>
      <w:r w:rsidR="00220418">
        <w:t xml:space="preserve">In addition, the activation of a water oxidation catalyst to the Ru(IV)=O state only occurred when the chromophore surface coverage was below the percolation threshold for hole hopping. At higher surface coverages, the high valent metal oxo Ru(IV)=O was not produced due to charge recombination </w:t>
      </w:r>
      <w:r>
        <w:t xml:space="preserve">mediated by lateral </w:t>
      </w:r>
      <w:r w:rsidR="00220418">
        <w:t>hole hopping reactivity.</w:t>
      </w:r>
      <w:r w:rsidR="001749E2">
        <w:fldChar w:fldCharType="begin" w:fldLock="1"/>
      </w:r>
      <w:r w:rsidR="00A628C4">
        <w:instrText>ADDIN CSL_CITATION {"citationItems":[{"id":"ITEM-1","itemData":{"DOI":"10.1021/acs.inorgchem.7b02758","ISSN":"1520510X","abstract":"Described herein is a photochemical approach to the generation of a high-valent metal-oxo species that utilizes a chromophore or “sensitizer”, a semiconducting electron acceptor, and a redox buffer that poises a catalyst’s initial protonation and oxidation state. The photoexcited sensitizer injects an electron into the semiconductor and then oxidizes the catalyst whose reactivity occurs in kinetic competition with back electron transfer. Core–shell SnO2/TiO2 semiconductor nanocrystallites inhibited charge recombination relative to TiO2 acceptors. With low sensitizer-catalyst surface coverages, a novel trapping process is exploited that enables catalysis reactivity to be quantified on time scales ranging from nanoseconds to minutes. A proof-of-principle example provides the demonstration of a light-initiated, (1e–, 2H+)-transfer reaction, with an inverse isotope effect of kH/kD = 0.63, to generate a Ru(IV) oxo species.","author":[{"dropping-particle":"","family":"Hu","given":"Ke","non-dropping-particle":"","parse-names":false,"suffix":""},{"dropping-particle":"","family":"Sampaio","given":"Renato N.","non-dropping-particle":"","parse-names":false,"suffix":""},{"dropping-particle":"","family":"Marquard","given":"Seth L.","non-dropping-particle":"","parse-names":false,"suffix":""},{"dropping-particle":"","family":"Brennaman","given":"M. Kyle","non-dropping-particle":"","parse-names":false,"suffix":""},{"dropping-particle":"","family":"Tamaki","given":"Yusuke","non-dropping-particle":"","parse-names":false,"suffix":""},{"dropping-particle":"","family":"Meyer","given":"Thomas J.","non-dropping-particle":"","parse-names":false,"suffix":""},{"dropping-particle":"","family":"Meyer","given":"Gerald J.","non-dropping-particle":"","parse-names":false,"suffix":""}],"container-title":"Inorganic Chemistry","id":"ITEM-1","issue":"1","issued":{"date-parts":[["2018"]]},"page":"486-494","title":"A High-Valent Metal-Oxo Species Produced by Photoinduced One-Electron, Two-Proton Transfer Reactivity","type":"article-journal","volume":"57"},"uris":["http://www.mendeley.com/documents/?uuid=3778abb0-fbf9-45a4-b613-34ab51512f19"]}],"mendeley":{"formattedCitation":"&lt;sup&gt;23&lt;/sup&gt;","plainTextFormattedCitation":"23","previouslyFormattedCitation":"&lt;sup&gt;23&lt;/sup&gt;"},"properties":{"noteIndex":0},"schema":"https://github.com/citation-style-language/schema/raw/master/csl-citation.json"}</w:instrText>
      </w:r>
      <w:r w:rsidR="001749E2">
        <w:fldChar w:fldCharType="separate"/>
      </w:r>
      <w:r w:rsidR="00A628C4" w:rsidRPr="00A628C4">
        <w:rPr>
          <w:noProof/>
          <w:vertAlign w:val="superscript"/>
        </w:rPr>
        <w:t>23</w:t>
      </w:r>
      <w:r w:rsidR="001749E2">
        <w:fldChar w:fldCharType="end"/>
      </w:r>
      <w:r w:rsidR="00220418">
        <w:t xml:space="preserve"> Hence</w:t>
      </w:r>
      <w:r w:rsidR="00B67061">
        <w:t>,</w:t>
      </w:r>
      <w:r w:rsidR="00220418">
        <w:t xml:space="preserve"> there is good reason to identify the factors that control hole hopping, particularly at anatase TiO</w:t>
      </w:r>
      <w:r w:rsidR="00220418" w:rsidRPr="00220418">
        <w:rPr>
          <w:vertAlign w:val="subscript"/>
        </w:rPr>
        <w:t>2</w:t>
      </w:r>
      <w:r w:rsidR="00220418">
        <w:t xml:space="preserve"> interfaces</w:t>
      </w:r>
      <w:r w:rsidR="00F54AB3">
        <w:t xml:space="preserve">. </w:t>
      </w:r>
    </w:p>
    <w:p w14:paraId="6C15F401" w14:textId="0C196917" w:rsidR="00C1121B" w:rsidRDefault="00C1121B" w:rsidP="00EA78B0">
      <w:pPr>
        <w:pStyle w:val="NoSpacing"/>
        <w:spacing w:line="360" w:lineRule="auto"/>
        <w:jc w:val="both"/>
        <w:rPr>
          <w:b/>
        </w:rPr>
      </w:pPr>
    </w:p>
    <w:p w14:paraId="609DB504" w14:textId="77777777" w:rsidR="00EA78B0" w:rsidRDefault="00EA78B0" w:rsidP="000906D0">
      <w:pPr>
        <w:pStyle w:val="NoSpacing"/>
        <w:spacing w:line="360" w:lineRule="auto"/>
        <w:jc w:val="center"/>
        <w:rPr>
          <w:b/>
        </w:rPr>
      </w:pPr>
      <w:r>
        <w:rPr>
          <w:b/>
          <w:noProof/>
        </w:rPr>
        <w:drawing>
          <wp:inline distT="0" distB="0" distL="0" distR="0" wp14:anchorId="1D363DF6" wp14:editId="44F3C23C">
            <wp:extent cx="5486400" cy="3008376"/>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3008376"/>
                    </a:xfrm>
                    <a:prstGeom prst="rect">
                      <a:avLst/>
                    </a:prstGeom>
                    <a:noFill/>
                  </pic:spPr>
                </pic:pic>
              </a:graphicData>
            </a:graphic>
          </wp:inline>
        </w:drawing>
      </w:r>
    </w:p>
    <w:p w14:paraId="7CFEA41F" w14:textId="08A7455A" w:rsidR="001E6412" w:rsidRPr="007F1722" w:rsidRDefault="007F1722" w:rsidP="007F1722">
      <w:pPr>
        <w:pStyle w:val="NoSpacing"/>
        <w:spacing w:line="280" w:lineRule="atLeast"/>
        <w:jc w:val="both"/>
        <w:rPr>
          <w:sz w:val="22"/>
        </w:rPr>
      </w:pPr>
      <w:r w:rsidRPr="007F1722">
        <w:rPr>
          <w:b/>
          <w:sz w:val="22"/>
        </w:rPr>
        <w:t>Scheme 1</w:t>
      </w:r>
      <w:r w:rsidR="00F54AB3">
        <w:rPr>
          <w:b/>
          <w:sz w:val="22"/>
        </w:rPr>
        <w:t xml:space="preserve">. </w:t>
      </w:r>
      <w:r w:rsidRPr="007F1722">
        <w:rPr>
          <w:sz w:val="22"/>
        </w:rPr>
        <w:t>The top panel shows lateral hole hopping between an oxidized (green) and ground state chromophore (orange) after excited state injection into TiO</w:t>
      </w:r>
      <w:r w:rsidRPr="007F1722">
        <w:rPr>
          <w:sz w:val="22"/>
          <w:vertAlign w:val="subscript"/>
        </w:rPr>
        <w:t>2</w:t>
      </w:r>
      <w:r w:rsidR="00F54AB3">
        <w:rPr>
          <w:sz w:val="22"/>
        </w:rPr>
        <w:t xml:space="preserve">. </w:t>
      </w:r>
      <w:r w:rsidRPr="007F1722">
        <w:rPr>
          <w:sz w:val="22"/>
        </w:rPr>
        <w:t>The lower panel shows that a potential applied to the fluorine doped tin oxide (FTO) substrate of a saturation surface coverage mesoporous thin film in a standard electrochemical cell can result in complete oxidation of all the chromophores within the film by lateral hole hopping</w:t>
      </w:r>
      <w:r w:rsidR="005A073A">
        <w:rPr>
          <w:sz w:val="22"/>
        </w:rPr>
        <w:t xml:space="preserve">. </w:t>
      </w:r>
    </w:p>
    <w:p w14:paraId="282E182F" w14:textId="1F639A1F" w:rsidR="00EA78B0" w:rsidRPr="00486E4F" w:rsidRDefault="00EA78B0" w:rsidP="00416D83">
      <w:pPr>
        <w:pStyle w:val="NoSpacing"/>
        <w:spacing w:line="360" w:lineRule="auto"/>
        <w:jc w:val="both"/>
      </w:pPr>
      <w:r>
        <w:lastRenderedPageBreak/>
        <w:tab/>
      </w:r>
    </w:p>
    <w:p w14:paraId="6592F6D0" w14:textId="11E1446E" w:rsidR="00ED18A6" w:rsidRDefault="00ED18A6" w:rsidP="00ED18A6">
      <w:pPr>
        <w:pStyle w:val="NoSpacing"/>
        <w:spacing w:line="360" w:lineRule="auto"/>
        <w:ind w:firstLine="720"/>
        <w:jc w:val="both"/>
      </w:pPr>
      <w:r>
        <w:t xml:space="preserve">Recently, atomic layer deposition (ALD) </w:t>
      </w:r>
      <w:r w:rsidR="00220418">
        <w:t xml:space="preserve">of insulating oxide </w:t>
      </w:r>
      <w:r>
        <w:t xml:space="preserve">overlayers </w:t>
      </w:r>
      <w:r w:rsidR="00220418">
        <w:t xml:space="preserve">has </w:t>
      </w:r>
      <w:r w:rsidR="00760292">
        <w:t>emerged as a powerful technique</w:t>
      </w:r>
      <w:r w:rsidR="00220418">
        <w:t xml:space="preserve"> to</w:t>
      </w:r>
      <w:r>
        <w:t xml:space="preserve"> inhibit desorption </w:t>
      </w:r>
      <w:r w:rsidR="00220418">
        <w:t xml:space="preserve">of molecular chromophores and catalysts </w:t>
      </w:r>
      <w:r>
        <w:t>from metal oxide surfaces.</w:t>
      </w:r>
      <w:r w:rsidR="00241C3A">
        <w:fldChar w:fldCharType="begin" w:fldLock="1"/>
      </w:r>
      <w:r w:rsidR="00D23E49">
        <w:instrText>ADDIN CSL_CITATION {"citationItems":[{"id":"ITEM-1","itemData":{"DOI":"10.1021/cm303172w","ISBN":"0897-4756","ISSN":"08974756","abstract":"The stabilization of metal-oxide-bound chromophores and catalysts is important for the lifetime and ultimately the commercial viability of dye-sensitized solar cells (DSSCs) and photoelectrosynthesis cells (DSPECs).(1) This is particularly true in water oxidation DSPECs, where the surface-bound chromphores are known to be unstable under aqueous conditions particularly at elevated pHs.","author":[{"dropping-particle":"","family":"Hanson","given":"Kenneth","non-dropping-particle":"","parse-names":false,"suffix":""},{"dropping-particle":"","family":"Losego","given":"Mark D.","non-dropping-particle":"","parse-names":false,"suffix":""},{"dropping-particle":"","family":"Kalanyan","given":"Bercì","non-dropping-particle":"","parse-names":false,"suffix":""},{"dropping-particle":"","family":"Ashford","given":"Dennis L.","non-dropping-particle":"","parse-names":false,"suffix":""},{"dropping-particle":"","family":"Parsons","given":"Gregory N.","non-dropping-particle":"","parse-names":false,"suffix":""},{"dropping-particle":"","family":"Meyer","given":"Thomas J.","non-dropping-particle":"","parse-names":false,"suffix":""}],"container-title":"Chemistry of Materials","id":"ITEM-1","issue":"1","issued":{"date-parts":[["2013"]]},"page":"3-5","title":"Stabilization of [Ru(bpy)2(4,4′-(PO3H 2)bpy)]2+ on mesoporous TiO2 with atomic layer deposition of Al2O3","type":"article-journal","volume":"25"},"uris":["http://www.mendeley.com/documents/?uuid=4a85fbe7-62bb-4cd0-901d-33b33a650ba1"]},{"id":"ITEM-2","itemData":{"DOI":"10.1039/c4cp01130a","ISBN":"10.1039/C4CP01130A","ISSN":"14639076","PMID":"24676056","abstract":"&lt;p&gt;Dye sensitized solar cells (DSSCs) are coated with subnanometer oxide coatings to prevent device degradation in ambient humidity and high temperatures.&lt;/p&gt;","author":[{"dropping-particle":"","family":"Kim","given":"Do Han","non-dropping-particle":"","parse-names":false,"suffix":""},{"dropping-particle":"","family":"Losego","given":"Mark D.","non-dropping-particle":"","parse-names":false,"suffix":""},{"dropping-particle":"","family":"Hanson","given":"Kenneth","non-dropping-particle":"","parse-names":false,"suffix":""},{"dropping-particle":"","family":"Alibabaei","given":"Leila","non-dropping-particle":"","parse-names":false,"suffix":""},{"dropping-particle":"","family":"Lee","given":"Kyoungmi","non-dropping-particle":"","parse-names":false,"suffix":""},{"dropping-particle":"","family":"Meyer","given":"Thomas J.","non-dropping-particle":"","parse-names":false,"suffix":""},{"dropping-particle":"","family":"Parsons","given":"Gregory N.","non-dropping-particle":"","parse-names":false,"suffix":""}],"container-title":"Physical Chemistry Chemical Physics","id":"ITEM-2","issue":"18","issued":{"date-parts":[["2014"]]},"page":"8615-8622","title":"Stabilizing chromophore binding on TiO2 for long-term stability of dye-sensitized solar cells using multicomponent atomic layer deposition","type":"article-journal","volume":"16"},"uris":["http://www.mendeley.com/documents/?uuid=f787683d-b391-4270-aa68-a2893fabe80b"]},{"id":"ITEM-3","itemData":{"DOI":"10.1021/am507405b","ISBN":"1944-8244","ISSN":"19448252","PMID":"25695408","abstract":"Dye aggregation and concomitant reduction of dye excited-state lifetimes and electron-injection yields constitute a significant mechanism for diminution of light-to-electrical energy conversion efficiencies in many dye-sensitized solar cells (DSCs). For TiO2-based DSCs prepared with an archetypal donor-acceptor organic dye, (E)-2-cyano-3-(5'-(5''-(p-(diphenylamino)phenyl)-thiophen-2''-yl)thiophen-2'-yl)acrylic acid (OrgD), we find, in part via ultrafast spectroscopy measurements, that postdye-adsorption atomic layer deposition (ALD) of ultrathin layers of either TiO2 or Al2O3 effectively reverses residual aggregation. Notably, the ALD treatment is significantly more effective than the widely used aggregation-inhibiting coadsorbent, chenodeoxycholic acid. Primarily because of reversal of OrgD aggregation, and resulting improved injection yields, ALD post-treatment engenders a 30+% increase in overall energy conversion efficiency. A secondary contributor to increased currents and efficiencies is an ALD-induced attenuation of the rate of interception of injected electrons, resulting in slightly more efficient charge collection.","author":[{"dropping-particle":"","family":"Son","given":"Ho Jin","non-dropping-particle":"","parse-names":false,"suffix":""},{"dropping-particle":"","family":"Kim","given":"Chul Hoon","non-dropping-particle":"","parse-names":false,"suffix":""},{"dropping-particle":"","family":"Kim","given":"Dong Wook","non-dropping-particle":"","parse-names":false,"suffix":""},{"dropping-particle":"","family":"Jeong","given":"Nak Cheon","non-dropping-particle":"","parse-names":false,"suffix":""},{"dropping-particle":"","family":"Prasittichai","given":"Chaiya","non-dropping-particle":"","parse-names":false,"suffix":""},{"dropping-particle":"","family":"Luo","given":"Langli","non-dropping-particle":"","parse-names":false,"suffix":""},{"dropping-particle":"","family":"Wu","given":"Jinsong","non-dropping-particle":"","parse-names":false,"suffix":""},{"dropping-particle":"","family":"Farha","given":"Omar K.","non-dropping-particle":"","parse-names":false,"suffix":""},{"dropping-particle":"","family":"Wasielewski","given":"Michael R.","non-dropping-particle":"","parse-names":false,"suffix":""},{"dropping-particle":"","family":"Hupp","given":"Joseph T.","non-dropping-particle":"","parse-names":false,"suffix":""}],"container-title":"ACS Applied Materials and Interfaces","id":"ITEM-3","issue":"9","issued":{"date-parts":[["2015"]]},"page":"5150-5159","title":"Post-assembly atomic layer deposition of ultrathin metal-oxide coatings enhances the performance of an organic dye-sensitized solar cell by suppressing dye aggregation","type":"article-journal","volume":"7"},"uris":["http://www.mendeley.com/documents/?uuid=472ba6d5-9152-4fee-a005-adaa2f80c5e7"]},{"id":"ITEM-4","itemData":{"DOI":"10.1039/c5sc01752a","ISBN":"2041-6520","ISSN":"20416539","abstract":"&lt;p&gt; A Ru( &lt;sc&gt;ii&lt;/sc&gt; )-polypyridyl chromophore-catalyst assembly for light-assisted water oxidation is constructed using atomic layer deposition with no covalent bonds between molecules required for bilayer formation. &lt;/p&gt;","author":[{"dropping-particle":"","family":"Lapides","given":"A. M.","non-dropping-particle":"","parse-names":false,"suffix":""},{"dropping-particle":"","family":"Sherman","given":"B. D.","non-dropping-particle":"","parse-names":false,"suffix":""},{"dropping-particle":"","family":"Brennaman","given":"M. K.","non-dropping-particle":"","parse-names":false,"suffix":""},{"dropping-particle":"","family":"Dares","given":"C. J.","non-dropping-particle":"","parse-names":false,"suffix":""},{"dropping-particle":"","family":"Skinner","given":"K. R.","non-dropping-particle":"","parse-names":false,"suffix":""},{"dropping-particle":"","family":"Templeton","given":"J. L.","non-dropping-particle":"","parse-names":false,"suffix":""},{"dropping-particle":"","family":"Meyer","given":"T. J.","non-dropping-particle":"","parse-names":false,"suffix":""}],"container-title":"Chemical Science","id":"ITEM-4","issue":"11","issued":{"date-parts":[["2015"]]},"page":"6398-6406","publisher":"Royal Society of Chemistry","title":"Synthesis, characterization, and water oxidation by a molecular chromophore-catalyst assembly prepared by atomic layer deposition. The \"mummy\" strategy","type":"article-journal","volume":"6"},"uris":["http://www.mendeley.com/documents/?uuid=417e7411-fa41-47a4-a997-7842d2de9c3b"]},{"id":"ITEM-5","itemData":{"DOI":"10.1021/jacs.7b07216","ISBN":"0002-7863","ISSN":"15205126","PMID":"28810743","abstract":"In a dye sensitized photoelectrosynthesis cell (DSPEC), the relative orientation of the catalyst and chromophore plays an important role in determining the device efficiency. Here we introduce a new, robust atomic layer deposition (ALD) procedure for the preparation of molecular chromophore–catalyst assemblies on wide bandgap semiconductors. In this procedure, solution deposited, phosphonate derivatized metal complexes on metal oxide surfaces are treated with reactive metal reagents in the gas phase by ALD to form an outer metal ion bridging group, which can bind a second phosphonate containing species from solution to establish a R1-PO2-O-M-O-PO2-R2 type surface assembly. With the ALD procedure, assemblies bridged by Al(III), Sn(IV), Ti(IV), or Zr(IV) metal oxide units have been prepared. To evaluate the performance of this new type of surface assembly, intra-assembly electron transfer was investigated by transient absorption spectroscopy, and light-driven water splitting experiments under steady-state i...","author":[{"dropping-particle":"","family":"Wang","given":"Degao","non-dropping-particle":"","parse-names":false,"suffix":""},{"dropping-particle":"V.","family":"Sheridan","given":"Matthew","non-dropping-particle":"","parse-names":false,"suffix":""},{"dropping-particle":"","family":"Shan","given":"Bing","non-dropping-particle":"","parse-names":false,"suffix":""},{"dropping-particle":"","family":"Farnum","given":"Byron H.","non-dropping-particle":"","parse-names":false,"suffix":""},{"dropping-particle":"","family":"Marquard","given":"Seth L.","non-dropping-particle":"","parse-names":false,"suffix":""},{"dropping-particle":"","family":"Sherman","given":"Benjamin D.","non-dropping-particle":"","parse-names":false,"suffix":""},{"dropping-particle":"","family":"Eberhart","given":"Michael S.","non-dropping-particle":"","parse-names":false,"suffix":""},{"dropping-particle":"","family":"Nayak","given":"Animesh","non-dropping-particle":"","parse-names":false,"suffix":""},{"dropping-particle":"","family":"Dares","given":"Christopher J.","non-dropping-particle":"","parse-names":false,"suffix":""},{"dropping-particle":"","family":"Das","given":"Atanu K.","non-dropping-particle":"","parse-names":false,"suffix":""},{"dropping-particle":"","family":"Bullock","given":"R. Morris","non-dropping-particle":"","parse-names":false,"suffix":""},{"dropping-particle":"","family":"Meyer","given":"Thomas J.","non-dropping-particle":"","parse-names":false,"suffix":""}],"container-title":"Journal of the American Chemical Society","id":"ITEM-5","issue":"41","issued":{"date-parts":[["2017"]]},"page":"14518-14525","title":"Layer-by-Layer Molecular Assemblies for Dye-Sensitized Photoelectrosynthesis Cells Prepared by Atomic Layer Deposition","type":"article-journal","volume":"139"},"uris":["http://www.mendeley.com/documents/?uuid=583c6ccd-9ae0-4067-ac78-24741640844c"]},{"id":"ITEM-6","itemData":{"DOI":"10.1021/jacs.7b08317","ISSN":"15205126","abstract":"Organic chromophores can be synthesized by established methods and offer an opportunity to expand overall solar spectrum utilization for dye-sensitized photo-electrosynthesis cells. However, there are complications in the use of organic chromophores arising from the instability of their oxidized forms, the inability of their oxidized forms to activate a water oxidation catalyst, or the absence of a sufficiently reducing excited state for electron injection into appropriate semiconductors. Three new triarylamine donor− acceptor organic dyes have been investigated here for visible-light-driven water oxidation. They offer highly oxidizing potentials (&gt;1 V vs NHE in aqueous solution) that are sufficient to drive a water oxidation catalyst and excited-state potentials (</w:instrText>
      </w:r>
      <w:r w:rsidR="00D23E49">
        <w:rPr>
          <w:rFonts w:ascii="Cambria Math" w:hAnsi="Cambria Math" w:cs="Cambria Math"/>
        </w:rPr>
        <w:instrText>∼</w:instrText>
      </w:r>
      <w:r w:rsidR="00D23E49">
        <w:instrText>−1.2 V vs NHE) sufficient to inject into TiO 2. The oxidized form of one of the chromophores is sufficiently stable to exhibit reversible electrochemistry in aqueous solution. The chromophores also have favorable photophysics. Visible-light-driven oxygen production by an organic chromophore for up to 1 h of operation has been demonstrated with reasonable faradaic efficiencies for measured O 2 production. The properties of organic chromophores necessary for successfully driving water oxidation in a light-driven system are explored along with strategies for improving device performance.","author":[{"dropping-particle":"","family":"Eberhart","given":"Michael S.","non-dropping-particle":"","parse-names":false,"suffix":""},{"dropping-particle":"","family":"Wang","given":"Degao","non-dropping-particle":"","parse-names":false,"suffix":""},{"dropping-particle":"","family":"Sampaio","given":"Renato N.","non-dropping-particle":"","parse-names":false,"suffix":""},{"dropping-particle":"","family":"Marquard","given":"Seth L.","non-dropping-particle":"","parse-names":false,"suffix":""},{"dropping-particle":"","family":"Shan","given":"Bing","non-dropping-particle":"","parse-names":false,"suffix":""},{"dropping-particle":"","family":"Brennaman","given":"M. Kyle","non-dropping-particle":"","parse-names":false,"suffix":""},{"dropping-particle":"","family":"Meyer","given":"Gerald J.","non-dropping-particle":"","parse-names":false,"suffix":""},{"dropping-particle":"","family":"Dares","given":"Christopher","non-dropping-particle":"","parse-names":false,"suffix":""},{"dropping-particle":"","family":"Meyer","given":"Thomas J.","non-dropping-particle":"","parse-names":false,"suffix":""}],"container-title":"Journal of the American Chemical Society","id":"ITEM-6","issue":"45","issued":{"date-parts":[["2017"]]},"page":"16248-16255","title":"Water Photo-oxidation Initiated by Surface-Bound Organic Chromophores","type":"article-journal","volume":"139"},"uris":["http://www.mendeley.com/documents/?uuid=c39dc5b2-919b-492c-96b9-12bf74009dd8"]},{"id":"ITEM-7","itemData":{"DOI":"10.1021/acs.jpcc.6b11672","ISBN":"1932-7447","ISSN":"19327455","abstract":"Improving stability and slowing charge recom-bination are some of the greatest challenges in the develop-ment of dye-sensitized photoelectrochemical cells (DSPECs) for solar fuels production. We have investigated the effect of encasing dye molecules in varying thicknesses of Al 2 O 3 deposited by atomic layer deposition (ALD) before catalyst loading on both the stability and the charge transfer dynamics in organic dye-sensitized TiO 2 photoanodes containing iridium-based molecular water-oxidation catalysts. In the TiO 2 |dye|Al 2 O 3 |catalyst electrodes, a sufficiently thick ALD layer protects the perylene-3,4-dicarboximide (PMI) chromo-phores from degradation over several weeks of exposure to light. The insulating capacity of the layer allows a higher photocurrent in the presence of ALD while initial charge injection is slowed by only 1.6 times, as observed by femtosecond transient absorption spectroscopy. Rapid picosecond-scale catalyst oxidation is observed in the presence of a dinuclear catalyst, IrIr, but is slowed to tens of picoseconds for a mononuclear catalyst, IrSil, that incorporates a long linker. Photoelectrochemical experiments demonstrate higher photocurrents with IrSil compared to IrIr, which show that recombination is slower for IrSil, while higher photocurrents with IrIr upon addition of ALD layers confirm that ALD successfully slows charge recombination. These findings demonstrate that, beyond stability improvements, ALD can contribute to tuning charge transfer dynamics in photoanodes for solar fuels production and may be particularly useful for slowing charge recombination and accounting for varying charge transfer rates based on the molecular structures of incorporated catalysts. ■ INTRODUCTION Within the search for energy technologies that limit carbon emissions and store energy for future use, methods to produce hydrogen and other small-molecule fuels from sunlight, water, and carbon dioxide have become an increasingly prominent research focus, but their efficient generation remains elusive. 1−6 One approach to production of solar fuels uses chromophore-and catalyst-functionalized photoelectrodes as part of dye-sensitized photoelectrochemical cells (DSPECs). 7−9 DSPECs transform sunlight directly into chemical energy by providing protons and electrons from water oxidation at a photoanode to a photocathode for reductive fuel-forming reactions. Photo-driven water oxidation is particularly challenging because four oxidative equivale…","author":[{"dropping-particle":"","family":"Kamire","given":"Rebecca J.","non-dropping-particle":"","parse-names":false,"suffix":""},{"dropping-particle":"","family":"Materna","given":"Kelly L.","non-dropping-particle":"","parse-names":false,"suffix":""},{"dropping-particle":"","family":"Hoffeditz","given":"William L.","non-dropping-particle":"","parse-names":false,"suffix":""},{"dropping-particle":"","family":"Phelan","given":"Brian T.","non-dropping-particle":"","parse-names":false,"suffix":""},{"dropping-particle":"","family":"Thomsen","given":"Julianne M.","non-dropping-particle":"","parse-names":false,"suffix":""},{"dropping-particle":"","family":"Farha","given":"Omar K.","non-dropping-particle":"","parse-names":false,"suffix":""},{"dropping-particle":"","family":"Hupp","given":"Joseph T.","non-dropping-particle":"","parse-names":false,"suffix":""},{"dropping-particle":"","family":"Brudvig","given":"Gary W.","non-dropping-particle":"","parse-names":false,"suffix":""},{"dropping-particle":"","family":"Wasielewski","given":"Michael R.","non-dropping-particle":"","parse-names":false,"suffix":""}],"container-title":"Journal of Physical Chemistry C","id":"ITEM-7","issue":"7","issued":{"date-parts":[["2017"]]},"page":"3752-3764","title":"Photodriven Oxidation of Surface-Bound Iridium-Based Molecular Water-Oxidation Catalysts on Perylene-3,4-dicarboximide-Sensitized TiO2Electrodes Protected by an Al2O3Layer","type":"article-journal","volume":"121"},"uris":["http://www.mendeley.com/documents/?uuid=3a9a743e-194b-4881-8285-6b18175107ae"]}],"mendeley":{"formattedCitation":"&lt;sup&gt;38–44&lt;/sup&gt;","plainTextFormattedCitation":"38–44","previouslyFormattedCitation":"&lt;sup&gt;38–44&lt;/sup&gt;"},"properties":{"noteIndex":0},"schema":"https://github.com/citation-style-language/schema/raw/master/csl-citation.json"}</w:instrText>
      </w:r>
      <w:r w:rsidR="00241C3A">
        <w:fldChar w:fldCharType="separate"/>
      </w:r>
      <w:r w:rsidR="00D23E49" w:rsidRPr="00D23E49">
        <w:rPr>
          <w:noProof/>
          <w:vertAlign w:val="superscript"/>
        </w:rPr>
        <w:t>38–44</w:t>
      </w:r>
      <w:r w:rsidR="00241C3A">
        <w:fldChar w:fldCharType="end"/>
      </w:r>
      <w:r w:rsidR="00595E2D">
        <w:t xml:space="preserve"> </w:t>
      </w:r>
      <w:r w:rsidR="00220418">
        <w:t xml:space="preserve">The enhanced stabilization is particularly noteworthy under neutral and alkaline aqueous conditions. Interestingly, the chromophores buried under the oxide </w:t>
      </w:r>
      <w:r>
        <w:t xml:space="preserve">overlayers </w:t>
      </w:r>
      <w:r w:rsidR="00220418">
        <w:t>are known to inject electrons into the TiO</w:t>
      </w:r>
      <w:r w:rsidR="00220418" w:rsidRPr="00220418">
        <w:rPr>
          <w:vertAlign w:val="subscript"/>
        </w:rPr>
        <w:t>2</w:t>
      </w:r>
      <w:r w:rsidR="00220418">
        <w:t xml:space="preserve"> when illuminated with light.</w:t>
      </w:r>
      <w:r w:rsidR="00BE4C3A">
        <w:fldChar w:fldCharType="begin" w:fldLock="1"/>
      </w:r>
      <w:r w:rsidR="00D23E49">
        <w:instrText>ADDIN CSL_CITATION {"citationItems":[{"id":"ITEM-1","itemData":{"DOI":"10.1039/c4cp01130a","ISBN":"10.1039/C4CP01130A","ISSN":"14639076","PMID":"24676056","abstract":"&lt;p&gt;Dye sensitized solar cells (DSSCs) are coated with subnanometer oxide coatings to prevent device degradation in ambient humidity and high temperatures.&lt;/p&gt;","author":[{"dropping-particle":"","family":"Kim","given":"Do Han","non-dropping-particle":"","parse-names":false,"suffix":""},{"dropping-particle":"","family":"Losego","given":"Mark D.","non-dropping-particle":"","parse-names":false,"suffix":""},{"dropping-particle":"","family":"Hanson","given":"Kenneth","non-dropping-particle":"","parse-names":false,"suffix":""},{"dropping-particle":"","family":"Alibabaei","given":"Leila","non-dropping-particle":"","parse-names":false,"suffix":""},{"dropping-particle":"","family":"Lee","given":"Kyoungmi","non-dropping-particle":"","parse-names":false,"suffix":""},{"dropping-particle":"","family":"Meyer","given":"Thomas J.","non-dropping-particle":"","parse-names":false,"suffix":""},{"dropping-particle":"","family":"Parsons","given":"Gregory N.","non-dropping-particle":"","parse-names":false,"suffix":""}],"container-title":"Physical Chemistry Chemical Physics","id":"ITEM-1","issue":"18","issued":{"date-parts":[["2014"]]},"page":"8615-8622","title":"Stabilizing chromophore binding on TiO2 for long-term stability of dye-sensitized solar cells using multicomponent atomic layer deposition","type":"article-journal","volume":"16"},"uris":["http://www.mendeley.com/documents/?uuid=f787683d-b391-4270-aa68-a2893fabe80b"]},{"id":"ITEM-2","itemData":{"DOI":"10.1021/acs.jpcc.6b11672","ISBN":"1932-7447","ISSN":"19327455","abstract":"Improving stability and slowing charge recom-bination are some of the greatest challenges in the develop-ment of dye-sensitized photoelectrochemical cells (DSPECs) for solar fuels production. We have investigated the effect of encasing dye molecules in varying thicknesses of Al 2 O 3 deposited by atomic layer deposition (ALD) before catalyst loading on both the stability and the charge transfer dynamics in organic dye-sensitized TiO 2 photoanodes containing iridium-based molecular water-oxidation catalysts. In the TiO 2 |dye|Al 2 O 3 |catalyst electrodes, a sufficiently thick ALD layer protects the perylene-3,4-dicarboximide (PMI) chromo-phores from degradation over several weeks of exposure to light. The insulating capacity of the layer allows a higher photocurrent in the presence of ALD while initial charge injection is slowed by only 1.6 times, as observed by femtosecond transient absorption spectroscopy. Rapid picosecond-scale catalyst oxidation is observed in the presence of a dinuclear catalyst, IrIr, but is slowed to tens of picoseconds for a mononuclear catalyst, IrSil, that incorporates a long linker. Photoelectrochemical experiments demonstrate higher photocurrents with IrSil compared to IrIr, which show that recombination is slower for IrSil, while higher photocurrents with IrIr upon addition of ALD layers confirm that ALD successfully slows charge recombination. These findings demonstrate that, beyond stability improvements, ALD can contribute to tuning charge transfer dynamics in photoanodes for solar fuels production and may be particularly useful for slowing charge recombination and accounting for varying charge transfer rates based on the molecular structures of incorporated catalysts. ■ INTRODUCTION Within the search for energy technologies that limit carbon emissions and store energy for future use, methods to produce hydrogen and other small-molecule fuels from sunlight, water, and carbon dioxide have become an increasingly prominent research focus, but their efficient generation remains elusive. 1−6 One approach to production of solar fuels uses chromophore-and catalyst-functionalized photoelectrodes as part of dye-sensitized photoelectrochemical cells (DSPECs). 7−9 DSPECs transform sunlight directly into chemical energy by providing protons and electrons from water oxidation at a photoanode to a photocathode for reductive fuel-forming reactions. Photo-driven water oxidation is particularly challenging because four oxidative equivale…","author":[{"dropping-particle":"","family":"Kamire","given":"Rebecca J.","non-dropping-particle":"","parse-names":false,"suffix":""},{"dropping-particle":"","family":"Materna","given":"Kelly L.","non-dropping-particle":"","parse-names":false,"suffix":""},{"dropping-particle":"","family":"Hoffeditz","given":"William L.","non-dropping-particle":"","parse-names":false,"suffix":""},{"dropping-particle":"","family":"Phelan","given":"Brian T.","non-dropping-particle":"","parse-names":false,"suffix":""},{"dropping-particle":"","family":"Thomsen","given":"Julianne M.","non-dropping-particle":"","parse-names":false,"suffix":""},{"dropping-particle":"","family":"Farha","given":"Omar K.","non-dropping-particle":"","parse-names":false,"suffix":""},{"dropping-particle":"","family":"Hupp","given":"Joseph T.","non-dropping-particle":"","parse-names":false,"suffix":""},{"dropping-particle":"","family":"Brudvig","given":"Gary W.","non-dropping-particle":"","parse-names":false,"suffix":""},{"dropping-particle":"","family":"Wasielewski","given":"Michael R.","non-dropping-particle":"","parse-names":false,"suffix":""}],"container-title":"Journal of Physical Chemistry C","id":"ITEM-2","issue":"7","issued":{"date-parts":[["2017"]]},"page":"3752-3764","title":"Photodriven Oxidation of Surface-Bound Iridium-Based Molecular Water-Oxidation Catalysts on Perylene-3,4-dicarboximide-Sensitized TiO2Electrodes Protected by an Al2O3Layer","type":"article-journal","volume":"121"},"uris":["http://www.mendeley.com/documents/?uuid=3a9a743e-194b-4881-8285-6b18175107ae"]}],"mendeley":{"formattedCitation":"&lt;sup&gt;39,44&lt;/sup&gt;","plainTextFormattedCitation":"39,44","previouslyFormattedCitation":"&lt;sup&gt;39,44&lt;/sup&gt;"},"properties":{"noteIndex":0},"schema":"https://github.com/citation-style-language/schema/raw/master/csl-citation.json"}</w:instrText>
      </w:r>
      <w:r w:rsidR="00BE4C3A">
        <w:fldChar w:fldCharType="separate"/>
      </w:r>
      <w:r w:rsidR="00D23E49" w:rsidRPr="00D23E49">
        <w:rPr>
          <w:noProof/>
          <w:vertAlign w:val="superscript"/>
        </w:rPr>
        <w:t>39,44</w:t>
      </w:r>
      <w:r w:rsidR="00BE4C3A">
        <w:fldChar w:fldCharType="end"/>
      </w:r>
      <w:r w:rsidR="00220418">
        <w:t xml:space="preserve"> </w:t>
      </w:r>
      <w:r w:rsidR="008E728B" w:rsidRPr="00726411">
        <w:rPr>
          <w:highlight w:val="yellow"/>
        </w:rPr>
        <w:t>Previous results had demonstrated</w:t>
      </w:r>
      <w:r w:rsidR="00726411" w:rsidRPr="00726411">
        <w:rPr>
          <w:highlight w:val="yellow"/>
        </w:rPr>
        <w:t xml:space="preserve"> a decrease in the electrochemical diffusion rate with increasing insulating ALD </w:t>
      </w:r>
      <w:r w:rsidR="00726411">
        <w:rPr>
          <w:highlight w:val="yellow"/>
        </w:rPr>
        <w:t>overlayers</w:t>
      </w:r>
      <w:r w:rsidR="00726411" w:rsidRPr="00726411">
        <w:rPr>
          <w:highlight w:val="yellow"/>
        </w:rPr>
        <w:t>.</w:t>
      </w:r>
      <w:r w:rsidR="00726411" w:rsidRPr="00726411">
        <w:rPr>
          <w:highlight w:val="yellow"/>
        </w:rPr>
        <w:fldChar w:fldCharType="begin" w:fldLock="1"/>
      </w:r>
      <w:r w:rsidR="008D087C">
        <w:rPr>
          <w:highlight w:val="yellow"/>
        </w:rPr>
        <w:instrText>ADDIN CSL_CITATION {"citationItems":[{"id":"ITEM-1","itemData":{"DOI":"10.1021/cm303172w","ISBN":"0897-4756","ISSN":"08974756","abstract":"The stabilization of metal-oxide-bound chromophores and catalysts is important for the lifetime and ultimately the commercial viability of dye-sensitized solar cells (DSSCs) and photoelectrosynthesis cells (DSPECs).(1) This is particularly true in water oxidation DSPECs, where the surface-bound chromphores are known to be unstable under aqueous conditions particularly at elevated pHs.","author":[{"dropping-particle":"","family":"Hanson","given":"Kenneth","non-dropping-particle":"","parse-names":false,"suffix":""},{"dropping-particle":"","family":"Losego","given":"Mark D.","non-dropping-particle":"","parse-names":false,"suffix":""},{"dropping-particle":"","family":"Kalanyan","given":"Bercì","non-dropping-particle":"","parse-names":false,"suffix":""},{"dropping-particle":"","family":"Ashford","given":"Dennis L.","non-dropping-particle":"","parse-names":false,"suffix":""},{"dropping-particle":"","family":"Parsons","given":"Gregory N.","non-dropping-particle":"","parse-names":false,"suffix":""},{"dropping-particle":"","family":"Meyer","given":"Thomas J.","non-dropping-particle":"","parse-names":false,"suffix":""}],"container-title":"Chemistry of Materials","id":"ITEM-1","issue":"1","issued":{"date-parts":[["2013"]]},"page":"3-5","title":"Stabilization of [Ru(bpy)2(4,4′-(PO3H 2)bpy)]2+ on mesoporous TiO2 with atomic layer deposition of Al2O3","type":"article-journal","volume":"25"},"uris":["http://www.mendeley.com/documents/?uuid=4a85fbe7-62bb-4cd0-901d-33b33a650ba1"]}],"mendeley":{"formattedCitation":"&lt;sup&gt;38&lt;/sup&gt;","plainTextFormattedCitation":"38","previouslyFormattedCitation":"&lt;sup&gt;38&lt;/sup&gt;"},"properties":{"noteIndex":0},"schema":"https://github.com/citation-style-language/schema/raw/master/csl-citation.json"}</w:instrText>
      </w:r>
      <w:r w:rsidR="00726411" w:rsidRPr="00726411">
        <w:rPr>
          <w:highlight w:val="yellow"/>
        </w:rPr>
        <w:fldChar w:fldCharType="separate"/>
      </w:r>
      <w:r w:rsidR="00726411" w:rsidRPr="00726411">
        <w:rPr>
          <w:noProof/>
          <w:highlight w:val="yellow"/>
          <w:vertAlign w:val="superscript"/>
        </w:rPr>
        <w:t>38</w:t>
      </w:r>
      <w:r w:rsidR="00726411" w:rsidRPr="00726411">
        <w:rPr>
          <w:highlight w:val="yellow"/>
        </w:rPr>
        <w:fldChar w:fldCharType="end"/>
      </w:r>
      <w:r w:rsidR="008E728B" w:rsidRPr="00726411">
        <w:rPr>
          <w:highlight w:val="yellow"/>
        </w:rPr>
        <w:t xml:space="preserve"> </w:t>
      </w:r>
      <w:r w:rsidR="00643D57" w:rsidRPr="00726411">
        <w:rPr>
          <w:highlight w:val="yellow"/>
        </w:rPr>
        <w:t xml:space="preserve">However, </w:t>
      </w:r>
      <w:r w:rsidR="008E728B" w:rsidRPr="00726411">
        <w:rPr>
          <w:highlight w:val="yellow"/>
        </w:rPr>
        <w:t>a direct comparison between the effect of overlayers on</w:t>
      </w:r>
      <w:r w:rsidR="00643D57" w:rsidRPr="00726411">
        <w:rPr>
          <w:highlight w:val="yellow"/>
        </w:rPr>
        <w:t xml:space="preserve"> photo- and electrochemically</w:t>
      </w:r>
      <w:r w:rsidR="00760292" w:rsidRPr="00726411">
        <w:rPr>
          <w:highlight w:val="yellow"/>
        </w:rPr>
        <w:t>-</w:t>
      </w:r>
      <w:r w:rsidR="00643D57" w:rsidRPr="00726411">
        <w:rPr>
          <w:highlight w:val="yellow"/>
        </w:rPr>
        <w:t>induced hole hopping</w:t>
      </w:r>
      <w:r w:rsidR="008E728B" w:rsidRPr="00726411">
        <w:rPr>
          <w:highlight w:val="yellow"/>
        </w:rPr>
        <w:t xml:space="preserve"> </w:t>
      </w:r>
      <w:r w:rsidR="00726411">
        <w:rPr>
          <w:highlight w:val="yellow"/>
        </w:rPr>
        <w:t>had not been explored previously</w:t>
      </w:r>
      <w:r w:rsidR="00643D57" w:rsidRPr="00726411">
        <w:rPr>
          <w:highlight w:val="yellow"/>
        </w:rPr>
        <w:t>.</w:t>
      </w:r>
    </w:p>
    <w:p w14:paraId="0BE22400" w14:textId="0BD6F966" w:rsidR="00831805" w:rsidRDefault="00B153CF" w:rsidP="00831805">
      <w:pPr>
        <w:pStyle w:val="NoSpacing"/>
        <w:spacing w:line="360" w:lineRule="auto"/>
        <w:ind w:firstLine="720"/>
        <w:jc w:val="both"/>
      </w:pPr>
      <w:r>
        <w:t>Herein, a series of three Ru</w:t>
      </w:r>
      <w:r>
        <w:rPr>
          <w:vertAlign w:val="superscript"/>
        </w:rPr>
        <w:t>II</w:t>
      </w:r>
      <w:r>
        <w:t xml:space="preserve"> polypyridyl chromophores</w:t>
      </w:r>
      <w:r w:rsidR="00122AE9">
        <w:t xml:space="preserve"> </w:t>
      </w:r>
      <w:r w:rsidR="00CB3056">
        <w:t>surface-immobilized on mesoporous TiO</w:t>
      </w:r>
      <w:r w:rsidR="00CB3056">
        <w:rPr>
          <w:vertAlign w:val="subscript"/>
        </w:rPr>
        <w:t>2</w:t>
      </w:r>
      <w:r w:rsidR="00CB3056">
        <w:t xml:space="preserve"> </w:t>
      </w:r>
      <w:r w:rsidR="001B3528">
        <w:t>nanocrystallite</w:t>
      </w:r>
      <w:r w:rsidR="00CB3056">
        <w:t xml:space="preserve"> thin films</w:t>
      </w:r>
      <w:r>
        <w:t xml:space="preserve"> were investigated</w:t>
      </w:r>
      <w:r w:rsidR="00CB3056">
        <w:t xml:space="preserve"> with and without Al</w:t>
      </w:r>
      <w:r w:rsidR="00CB3056">
        <w:rPr>
          <w:vertAlign w:val="subscript"/>
        </w:rPr>
        <w:t>2</w:t>
      </w:r>
      <w:r w:rsidR="00CB3056">
        <w:t>O</w:t>
      </w:r>
      <w:r w:rsidR="00CB3056">
        <w:rPr>
          <w:vertAlign w:val="subscript"/>
        </w:rPr>
        <w:t>3</w:t>
      </w:r>
      <w:r w:rsidR="00CB3056">
        <w:t xml:space="preserve"> overlayers</w:t>
      </w:r>
      <w:r w:rsidR="00760292">
        <w:t xml:space="preserve">, </w:t>
      </w:r>
      <w:r w:rsidR="00CB3056" w:rsidRPr="000906D0">
        <w:rPr>
          <w:b/>
        </w:rPr>
        <w:t>Scheme 2</w:t>
      </w:r>
      <w:r w:rsidR="00F54AB3">
        <w:t xml:space="preserve">. </w:t>
      </w:r>
      <w:r w:rsidR="00831805">
        <w:t>These chromophores were chosen for their high molar absorption coefficient absorption bands in the visible region, high excited-state injection yields, tunable formal reduction potentials competent for mediated water oxidation, high stability in adjacent redox states, and known self-exchange behavior.</w:t>
      </w:r>
      <w:r w:rsidR="005F5C5F">
        <w:fldChar w:fldCharType="begin" w:fldLock="1"/>
      </w:r>
      <w:r w:rsidR="000921AE">
        <w:instrText>ADDIN CSL_CITATION {"citationItems":[{"id":"ITEM-1","itemData":{"DOI":"10.1021/acs.jpcc.6b04438","ISSN":"19327455","abstract":"© 2016 American Chemical Society. Self-exchange intermolecular Ru III/II electron transfer, a process commonly referred to as \"hole-hopping\", is of great interest as it provides a means of charge transport across the surface of nanocrystalline (anatase) TiO 2 mesoporous thin films without the loss of free energy. This process was characterized by cyclic voltammetry and chronoabsorptometry for three homologous Ru diimine compounds of the general form [Ru(LL) 2 (dcbH 2 )](PF 6 ) 2 , where LL is 2,2′-bipyridine (bpy), 4,4′-dimethyl-2,2′-bipyridine (dmb), or 4,4′-di-tert-butyl-2,2′-bipyridine (dtb) and dcbH 2 is 2,2′-bipyridyl-4,4′-dicarboxylic acid. Apparent electron diffusion coefficients, D, abstracted from this data increased with dtb &lt; bpy &lt; dmb. Both techniques were consistent with this trend, despite differences in the magnitude of D between the two methods. Temperature dependent measurements revealed an activation barrier for electron self-exchange of 250 ± 50 meV that was within this error the same for all three diimine compounds, suggesting the total reorganization energy, λ, was also the same. Application of Marcus theory, with the assumption that the 900 ± 100 meV total reorganization energy for self-exchange electron transfer was independent of the Ru compound, revealed that the electronic coupling matrix element, H AB , followed the trend dtb (0.02 meV) &lt; bpy (0.07 meV) &lt; dmb (0.10 meV). The results indicate that insulating side groups placed on redox active molecules can be utilized to tune the electronic coupling and hence self-exchange rate constants without significantly altering the reorganization energy for electron transfer on TiO 2 surfaces.","author":[{"dropping-particle":"","family":"DiMarco","given":"Brian N.","non-dropping-particle":"","parse-names":false,"suffix":""},{"dropping-particle":"","family":"Motley","given":"Tyler C.","non-dropping-particle":"","parse-names":false,"suffix":""},{"dropping-particle":"","family":"Balok","given":"Ryan S.","non-dropping-particle":"","parse-names":false,"suffix":""},{"dropping-particle":"","family":"Li","given":"Guocan","non-dropping-particle":"","parse-names":false,"suffix":""},{"dropping-particle":"","family":"Siegler","given":"Maxime A.","non-dropping-particle":"","parse-names":false,"suffix":""},{"dropping-particle":"","family":"O'Donnell","given":"Ryan M.","non-dropping-particle":"","parse-names":false,"suffix":""},{"dropping-particle":"","family":"Hu","given":"Ke","non-dropping-particle":"","parse-names":false,"suffix":""},{"dropping-particle":"","family":"Meyer","given":"Gerald J.","non-dropping-particle":"","parse-names":false,"suffix":""}],"container-title":"Journal of Physical Chemistry C","id":"ITEM-1","issue":"26","issued":{"date-parts":[["2016"]]},"page":"14226-14235","title":"A Distance Dependence to Lateral Self-Exchange across Nanocrystalline TiO2. A Comparative Study of Three Homologous RuIII/II Polypyridyl Compounds","type":"article-journal","volume":"120"},"uris":["http://www.mendeley.com/documents/?uuid=3b9bc1d5-0a71-4ac5-ab06-01f75db4849b"]},{"id":"ITEM-2","itemData":{"DOI":"10.1021/acs.jpcc.8b05281","ISSN":"19327455","author":[{"dropping-particle":"","family":"Motley","given":"Tyler C.","non-dropping-particle":"","parse-names":false,"suffix":""},{"dropping-particle":"","family":"Brady","given":"Matthew D.","non-dropping-particle":"","parse-names":false,"suffix":""},{"dropping-particle":"","family":"Meyer","given":"Gerald J.","non-dropping-particle":"","parse-names":false,"suffix":""}],"container-title":"Journal of Physical Chemistry C","id":"ITEM-2","issue":"34","issued":{"date-parts":[["2018"]]},"page":"19385-19394","title":"Influence of 4 and 4′ substituents on RuIII/II bipyridyl self-exchange electron transfer across nanocrystalline TiO2 Surfaces","type":"article-journal","volume":"122"},"uris":["http://www.mendeley.com/documents/?uuid=695427e8-9304-4149-afed-7ece9d707228"]}],"mendeley":{"formattedCitation":"&lt;sup&gt;45,46&lt;/sup&gt;","plainTextFormattedCitation":"45,46","previouslyFormattedCitation":"&lt;sup&gt;45,46&lt;/sup&gt;"},"properties":{"noteIndex":0},"schema":"https://github.com/citation-style-language/schema/raw/master/csl-citation.json"}</w:instrText>
      </w:r>
      <w:r w:rsidR="005F5C5F">
        <w:fldChar w:fldCharType="separate"/>
      </w:r>
      <w:r w:rsidR="005F5C5F" w:rsidRPr="005F5C5F">
        <w:rPr>
          <w:noProof/>
          <w:vertAlign w:val="superscript"/>
        </w:rPr>
        <w:t>45,46</w:t>
      </w:r>
      <w:r w:rsidR="005F5C5F">
        <w:fldChar w:fldCharType="end"/>
      </w:r>
      <w:r w:rsidR="00831805">
        <w:t xml:space="preserve"> Systematic studies of hole hopping were conducted with chronoabsorptometry and transient anisotropy measurements. It was revealed that the insulating overlayers inhibited potential- and light-induced hole hopping, but still allowed for excited-state electron injection. </w:t>
      </w:r>
    </w:p>
    <w:p w14:paraId="744F2F6A" w14:textId="18DC18F8" w:rsidR="00B153CF" w:rsidRPr="00B153CF" w:rsidRDefault="00B153CF" w:rsidP="00ED18A6">
      <w:pPr>
        <w:pStyle w:val="NoSpacing"/>
        <w:spacing w:line="360" w:lineRule="auto"/>
        <w:ind w:firstLine="720"/>
        <w:jc w:val="both"/>
      </w:pPr>
    </w:p>
    <w:p w14:paraId="5D4B3770" w14:textId="77777777" w:rsidR="009F6493" w:rsidRDefault="009F6493" w:rsidP="00F655C2">
      <w:pPr>
        <w:pStyle w:val="NoSpacing"/>
        <w:spacing w:line="360" w:lineRule="auto"/>
        <w:jc w:val="both"/>
        <w:rPr>
          <w:b/>
          <w:sz w:val="22"/>
        </w:rPr>
      </w:pPr>
    </w:p>
    <w:p w14:paraId="50CE41CF" w14:textId="3D828945" w:rsidR="009F6493" w:rsidRDefault="009F6493" w:rsidP="00F655C2">
      <w:pPr>
        <w:pStyle w:val="NoSpacing"/>
        <w:spacing w:line="360" w:lineRule="auto"/>
        <w:jc w:val="both"/>
        <w:rPr>
          <w:b/>
          <w:sz w:val="22"/>
        </w:rPr>
      </w:pPr>
      <w:r w:rsidRPr="008077CA">
        <w:rPr>
          <w:noProof/>
        </w:rPr>
        <w:drawing>
          <wp:inline distT="0" distB="0" distL="0" distR="0" wp14:anchorId="53D8F588" wp14:editId="4550379A">
            <wp:extent cx="1828800" cy="19659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0" cy="1965960"/>
                    </a:xfrm>
                    <a:prstGeom prst="rect">
                      <a:avLst/>
                    </a:prstGeom>
                    <a:noFill/>
                    <a:ln>
                      <a:noFill/>
                    </a:ln>
                  </pic:spPr>
                </pic:pic>
              </a:graphicData>
            </a:graphic>
          </wp:inline>
        </w:drawing>
      </w:r>
    </w:p>
    <w:p w14:paraId="30AAA0A0" w14:textId="66C13727" w:rsidR="00DC6F92" w:rsidRPr="009F6493" w:rsidRDefault="00DC6F92" w:rsidP="00DC6F92">
      <w:pPr>
        <w:pStyle w:val="NoSpacing"/>
        <w:jc w:val="both"/>
        <w:rPr>
          <w:sz w:val="22"/>
        </w:rPr>
      </w:pPr>
      <w:r w:rsidRPr="009F6493">
        <w:rPr>
          <w:b/>
          <w:sz w:val="22"/>
        </w:rPr>
        <w:t>Scheme 2</w:t>
      </w:r>
      <w:r w:rsidR="005A073A">
        <w:rPr>
          <w:b/>
          <w:sz w:val="22"/>
        </w:rPr>
        <w:t xml:space="preserve">. </w:t>
      </w:r>
      <w:r w:rsidRPr="009F6493">
        <w:rPr>
          <w:sz w:val="22"/>
        </w:rPr>
        <w:t>The three Ru</w:t>
      </w:r>
      <w:r w:rsidR="00831805" w:rsidRPr="00831805">
        <w:rPr>
          <w:sz w:val="22"/>
          <w:vertAlign w:val="superscript"/>
        </w:rPr>
        <w:t>II</w:t>
      </w:r>
      <w:r w:rsidRPr="009F6493">
        <w:rPr>
          <w:sz w:val="22"/>
        </w:rPr>
        <w:t xml:space="preserve"> chromophore structures that differed only in the substituents in the 4 and 4’ positions</w:t>
      </w:r>
      <w:r w:rsidR="005A073A">
        <w:rPr>
          <w:sz w:val="22"/>
        </w:rPr>
        <w:t xml:space="preserve">. </w:t>
      </w:r>
      <w:r w:rsidRPr="009F6493">
        <w:rPr>
          <w:sz w:val="22"/>
        </w:rPr>
        <w:t>When R = H, the chromophore was abbreviated RuP, R= OCH</w:t>
      </w:r>
      <w:r w:rsidRPr="009F6493">
        <w:rPr>
          <w:sz w:val="22"/>
          <w:vertAlign w:val="subscript"/>
        </w:rPr>
        <w:t>3</w:t>
      </w:r>
      <w:r w:rsidRPr="009F6493">
        <w:rPr>
          <w:sz w:val="22"/>
        </w:rPr>
        <w:t xml:space="preserve"> was likewise Ru(OMe)</w:t>
      </w:r>
      <w:r w:rsidRPr="009F6493">
        <w:rPr>
          <w:sz w:val="22"/>
          <w:vertAlign w:val="subscript"/>
        </w:rPr>
        <w:t>2</w:t>
      </w:r>
      <w:r w:rsidR="00047139" w:rsidRPr="00221BF8">
        <w:rPr>
          <w:sz w:val="22"/>
        </w:rPr>
        <w:t>P</w:t>
      </w:r>
      <w:r w:rsidRPr="009F6493">
        <w:rPr>
          <w:sz w:val="22"/>
        </w:rPr>
        <w:t>, and R= C(CH</w:t>
      </w:r>
      <w:r w:rsidRPr="009F6493">
        <w:rPr>
          <w:sz w:val="22"/>
          <w:vertAlign w:val="subscript"/>
        </w:rPr>
        <w:t>3</w:t>
      </w:r>
      <w:r w:rsidRPr="009F6493">
        <w:rPr>
          <w:sz w:val="22"/>
        </w:rPr>
        <w:t>)</w:t>
      </w:r>
      <w:r w:rsidRPr="009F6493">
        <w:rPr>
          <w:sz w:val="22"/>
          <w:vertAlign w:val="subscript"/>
        </w:rPr>
        <w:t>3</w:t>
      </w:r>
      <w:r w:rsidRPr="009F6493">
        <w:rPr>
          <w:sz w:val="22"/>
        </w:rPr>
        <w:t xml:space="preserve"> was Ru(dtb)</w:t>
      </w:r>
      <w:r w:rsidRPr="009F6493">
        <w:rPr>
          <w:sz w:val="22"/>
          <w:vertAlign w:val="subscript"/>
        </w:rPr>
        <w:t>2</w:t>
      </w:r>
      <w:r w:rsidR="00047139" w:rsidRPr="00861195">
        <w:rPr>
          <w:sz w:val="22"/>
        </w:rPr>
        <w:t>P</w:t>
      </w:r>
      <w:r w:rsidR="005A073A">
        <w:rPr>
          <w:sz w:val="22"/>
        </w:rPr>
        <w:t xml:space="preserve">. </w:t>
      </w:r>
      <w:r w:rsidRPr="009F6493">
        <w:rPr>
          <w:sz w:val="22"/>
        </w:rPr>
        <w:t>Note that when these chromophores were anchored to TiO</w:t>
      </w:r>
      <w:r w:rsidRPr="009F6493">
        <w:rPr>
          <w:sz w:val="22"/>
          <w:vertAlign w:val="subscript"/>
        </w:rPr>
        <w:t>2</w:t>
      </w:r>
      <w:r w:rsidRPr="009F6493">
        <w:rPr>
          <w:sz w:val="22"/>
        </w:rPr>
        <w:t xml:space="preserve"> this was abbreviated with a |, i.e. TiO</w:t>
      </w:r>
      <w:r w:rsidRPr="009F6493">
        <w:rPr>
          <w:sz w:val="22"/>
          <w:vertAlign w:val="subscript"/>
        </w:rPr>
        <w:t>2</w:t>
      </w:r>
      <w:r w:rsidRPr="009F6493">
        <w:rPr>
          <w:sz w:val="22"/>
        </w:rPr>
        <w:t>|RuP, and the abbreviation when an oxide overlayer was present was TiO</w:t>
      </w:r>
      <w:r w:rsidRPr="009F6493">
        <w:rPr>
          <w:sz w:val="22"/>
          <w:vertAlign w:val="subscript"/>
        </w:rPr>
        <w:t>2</w:t>
      </w:r>
      <w:r w:rsidRPr="009F6493">
        <w:rPr>
          <w:sz w:val="22"/>
        </w:rPr>
        <w:t>|RuP|Al</w:t>
      </w:r>
      <w:r w:rsidRPr="009F6493">
        <w:rPr>
          <w:sz w:val="22"/>
          <w:vertAlign w:val="subscript"/>
        </w:rPr>
        <w:t>2</w:t>
      </w:r>
      <w:r w:rsidRPr="009F6493">
        <w:rPr>
          <w:sz w:val="22"/>
        </w:rPr>
        <w:t>O</w:t>
      </w:r>
      <w:r w:rsidRPr="009F6493">
        <w:rPr>
          <w:sz w:val="22"/>
          <w:vertAlign w:val="subscript"/>
        </w:rPr>
        <w:t>3</w:t>
      </w:r>
      <w:r w:rsidRPr="009F6493">
        <w:rPr>
          <w:sz w:val="22"/>
        </w:rPr>
        <w:t>.</w:t>
      </w:r>
    </w:p>
    <w:p w14:paraId="1075DA75" w14:textId="77777777" w:rsidR="00A32956" w:rsidRDefault="00A32956" w:rsidP="00416D83">
      <w:pPr>
        <w:pStyle w:val="NoSpacing"/>
        <w:spacing w:line="360" w:lineRule="auto"/>
        <w:jc w:val="both"/>
      </w:pPr>
    </w:p>
    <w:p w14:paraId="0E6353AA" w14:textId="77777777" w:rsidR="00E03469" w:rsidRDefault="00E03469" w:rsidP="00416D83">
      <w:pPr>
        <w:pStyle w:val="NoSpacing"/>
        <w:spacing w:line="360" w:lineRule="auto"/>
        <w:jc w:val="both"/>
      </w:pPr>
    </w:p>
    <w:p w14:paraId="785D52ED" w14:textId="5289E5BE" w:rsidR="0051645A" w:rsidRDefault="001352D8" w:rsidP="00416D83">
      <w:pPr>
        <w:pStyle w:val="NoSpacing"/>
        <w:spacing w:line="360" w:lineRule="auto"/>
        <w:jc w:val="both"/>
      </w:pPr>
      <w:r>
        <w:rPr>
          <w:b/>
        </w:rPr>
        <w:t>EXPERIMENTAL.</w:t>
      </w:r>
    </w:p>
    <w:p w14:paraId="1E156DBA" w14:textId="659887B1" w:rsidR="00831805" w:rsidRDefault="00F46EBB" w:rsidP="00416D83">
      <w:pPr>
        <w:pStyle w:val="NoSpacing"/>
        <w:spacing w:line="360" w:lineRule="auto"/>
        <w:jc w:val="both"/>
      </w:pPr>
      <w:r w:rsidRPr="001352D8">
        <w:rPr>
          <w:b/>
        </w:rPr>
        <w:t>Materials.</w:t>
      </w:r>
      <w:r>
        <w:t xml:space="preserve"> </w:t>
      </w:r>
      <w:r w:rsidR="005265AA">
        <w:t>The following solvents and reagents were obtained from the indicated commercial supplier</w:t>
      </w:r>
      <w:r w:rsidR="00047139">
        <w:t>s</w:t>
      </w:r>
      <w:r w:rsidR="005265AA">
        <w:t xml:space="preserve"> and used without further purification: acetonitrile (CH</w:t>
      </w:r>
      <w:r w:rsidR="005265AA">
        <w:rPr>
          <w:vertAlign w:val="subscript"/>
        </w:rPr>
        <w:t>3</w:t>
      </w:r>
      <w:r w:rsidR="005265AA">
        <w:t>CN, Burdick and Jackson, Spectrophotometric grade); lithium perchlorate (LiClO</w:t>
      </w:r>
      <w:r w:rsidR="005265AA">
        <w:rPr>
          <w:vertAlign w:val="subscript"/>
        </w:rPr>
        <w:t>4</w:t>
      </w:r>
      <w:r w:rsidR="005265AA">
        <w:t>, Sigma-Aldrich, 99.99%); methanol (CH</w:t>
      </w:r>
      <w:r w:rsidR="005265AA">
        <w:rPr>
          <w:vertAlign w:val="subscript"/>
        </w:rPr>
        <w:t>3</w:t>
      </w:r>
      <w:r w:rsidR="005265AA">
        <w:t>OH, Fisher, Optima</w:t>
      </w:r>
      <w:r w:rsidR="005265AA">
        <w:rPr>
          <w:vertAlign w:val="superscript"/>
        </w:rPr>
        <w:t>TM</w:t>
      </w:r>
      <w:r w:rsidR="00915A31">
        <w:t xml:space="preserve">); </w:t>
      </w:r>
      <w:r w:rsidR="005265AA">
        <w:t xml:space="preserve"> perchloric acid (HClO</w:t>
      </w:r>
      <w:r w:rsidR="005265AA">
        <w:rPr>
          <w:vertAlign w:val="subscript"/>
        </w:rPr>
        <w:t>4</w:t>
      </w:r>
      <w:r w:rsidR="005265AA">
        <w:t>, Alfa Aesar, 70%); titanium(IV) isopropoxide (</w:t>
      </w:r>
      <w:r w:rsidR="00267652">
        <w:t>Ti(</w:t>
      </w:r>
      <w:r w:rsidR="00267652" w:rsidRPr="00267652">
        <w:rPr>
          <w:i/>
        </w:rPr>
        <w:t>i</w:t>
      </w:r>
      <w:r w:rsidR="00267652" w:rsidRPr="00267652">
        <w:t>-OPr</w:t>
      </w:r>
      <w:r w:rsidR="00267652">
        <w:t>)</w:t>
      </w:r>
      <w:r w:rsidR="00267652">
        <w:rPr>
          <w:vertAlign w:val="subscript"/>
        </w:rPr>
        <w:t>4</w:t>
      </w:r>
      <w:r w:rsidR="00267652">
        <w:t xml:space="preserve">, </w:t>
      </w:r>
      <w:r w:rsidR="005265AA" w:rsidRPr="00267652">
        <w:t>Aldrich</w:t>
      </w:r>
      <w:r w:rsidR="005265AA">
        <w:t>, ≥ 97.0%);</w:t>
      </w:r>
      <w:r w:rsidR="00ED255C">
        <w:t xml:space="preserve"> trimethylaluminum (TMA, 97%, Sigma-Aldrich)</w:t>
      </w:r>
      <w:r w:rsidR="001049C3">
        <w:t>;</w:t>
      </w:r>
      <w:r w:rsidR="00ED255C">
        <w:t xml:space="preserve"> </w:t>
      </w:r>
      <w:r w:rsidR="005265AA">
        <w:t xml:space="preserve"> fluorine-doped tin(IV) oxide</w:t>
      </w:r>
      <w:r w:rsidR="00915A31">
        <w:t>-coated glass</w:t>
      </w:r>
      <w:r w:rsidR="005265AA">
        <w:t xml:space="preserve"> (FTO, Hartford Gla</w:t>
      </w:r>
      <w:r w:rsidR="00D23E49">
        <w:t>ss</w:t>
      </w:r>
      <w:r w:rsidR="005265AA">
        <w:t xml:space="preserve"> Co., Inc., 2.3 mm thick 15 Ω/sq);</w:t>
      </w:r>
      <w:r w:rsidR="00ED255C">
        <w:t xml:space="preserve"> nitrogen (N</w:t>
      </w:r>
      <w:r w:rsidR="00ED255C">
        <w:rPr>
          <w:vertAlign w:val="subscript"/>
        </w:rPr>
        <w:t>2</w:t>
      </w:r>
      <w:r w:rsidR="00ED255C">
        <w:t xml:space="preserve">, Airgas, Ultra High Purity); </w:t>
      </w:r>
      <w:r w:rsidR="005265AA">
        <w:t>oxygen (O</w:t>
      </w:r>
      <w:r w:rsidR="005265AA">
        <w:rPr>
          <w:vertAlign w:val="subscript"/>
        </w:rPr>
        <w:t>2</w:t>
      </w:r>
      <w:r w:rsidR="005265AA">
        <w:t>, Airgas, ≥ 99.998%);</w:t>
      </w:r>
      <w:r w:rsidR="00915A31">
        <w:t xml:space="preserve"> and</w:t>
      </w:r>
      <w:r w:rsidR="005265AA">
        <w:t xml:space="preserve"> </w:t>
      </w:r>
      <w:r w:rsidR="00915A31">
        <w:t>argon (Ar, Airgas, ≥ 99.999%).</w:t>
      </w:r>
      <w:r w:rsidR="00267652">
        <w:t xml:space="preserve"> All other reagents and solvents were ACS grade and used without additional purification.</w:t>
      </w:r>
      <w:r w:rsidR="00915A31">
        <w:t xml:space="preserve"> The </w:t>
      </w:r>
      <w:r w:rsidR="00AA3FD9">
        <w:t>chromophores</w:t>
      </w:r>
      <w:r w:rsidR="00915A31">
        <w:t xml:space="preserve"> utilized were available from previous studies:</w:t>
      </w:r>
      <w:r w:rsidR="00BE4C3A">
        <w:fldChar w:fldCharType="begin" w:fldLock="1"/>
      </w:r>
      <w:r w:rsidR="005F5C5F">
        <w:instrText>ADDIN CSL_CITATION {"citationItems":[{"id":"ITEM-1","itemData":{"DOI":"10.1021/acs.jpcc.8b05281","ISSN":"19327455","author":[{"dropping-particle":"","family":"Motley","given":"Tyler C.","non-dropping-particle":"","parse-names":false,"suffix":""},{"dropping-particle":"","family":"Brady","given":"Matthew D.","non-dropping-particle":"","parse-names":false,"suffix":""},{"dropping-particle":"","family":"Meyer","given":"Gerald J.","non-dropping-particle":"","parse-names":false,"suffix":""}],"container-title":"Journal of Physical Chemistry C","id":"ITEM-1","issue":"34","issued":{"date-parts":[["2018"]]},"page":"19385-19394","title":"Influence of 4 and 4′ substituents on RuIII/II bipyridyl self-exchange electron transfer across nanocrystalline TiO2 Surfaces","type":"article-journal","volume":"122"},"uris":["http://www.mendeley.com/documents/?uuid=695427e8-9304-4149-afed-7ece9d707228"]}],"mendeley":{"formattedCitation":"&lt;sup&gt;46&lt;/sup&gt;","plainTextFormattedCitation":"46","previouslyFormattedCitation":"&lt;sup&gt;46&lt;/sup&gt;"},"properties":{"noteIndex":0},"schema":"https://github.com/citation-style-language/schema/raw/master/csl-citation.json"}</w:instrText>
      </w:r>
      <w:r w:rsidR="00BE4C3A">
        <w:fldChar w:fldCharType="separate"/>
      </w:r>
      <w:r w:rsidR="005F5C5F" w:rsidRPr="005F5C5F">
        <w:rPr>
          <w:noProof/>
          <w:vertAlign w:val="superscript"/>
        </w:rPr>
        <w:t>46</w:t>
      </w:r>
      <w:r w:rsidR="00BE4C3A">
        <w:fldChar w:fldCharType="end"/>
      </w:r>
      <w:r w:rsidR="00915A31">
        <w:t xml:space="preserve"> </w:t>
      </w:r>
      <w:r w:rsidR="00831805">
        <w:t>[Ru(bpy’)</w:t>
      </w:r>
      <w:r w:rsidR="00831805">
        <w:rPr>
          <w:vertAlign w:val="subscript"/>
        </w:rPr>
        <w:t>2</w:t>
      </w:r>
      <w:r w:rsidR="00831805">
        <w:t>(4,4’-(PO</w:t>
      </w:r>
      <w:r w:rsidR="00831805" w:rsidRPr="00B77937">
        <w:rPr>
          <w:vertAlign w:val="subscript"/>
        </w:rPr>
        <w:t>3</w:t>
      </w:r>
      <w:r w:rsidR="00831805">
        <w:t>H</w:t>
      </w:r>
      <w:r w:rsidR="00831805" w:rsidRPr="00B77937">
        <w:rPr>
          <w:vertAlign w:val="subscript"/>
        </w:rPr>
        <w:t>2</w:t>
      </w:r>
      <w:r w:rsidR="00831805">
        <w:t>)</w:t>
      </w:r>
      <w:r w:rsidR="00831805" w:rsidRPr="00B77937">
        <w:rPr>
          <w:vertAlign w:val="subscript"/>
        </w:rPr>
        <w:t>2</w:t>
      </w:r>
      <w:r w:rsidR="00831805">
        <w:t>-2,2’-bipyridine)]</w:t>
      </w:r>
      <w:r w:rsidR="00831805" w:rsidRPr="00B77937">
        <w:rPr>
          <w:vertAlign w:val="superscript"/>
        </w:rPr>
        <w:t>2+</w:t>
      </w:r>
      <w:r w:rsidR="00831805">
        <w:t>, where bpy’ is 4,4’-(C(CH</w:t>
      </w:r>
      <w:r w:rsidR="00831805" w:rsidRPr="00B77937">
        <w:rPr>
          <w:vertAlign w:val="subscript"/>
        </w:rPr>
        <w:t>3</w:t>
      </w:r>
      <w:r w:rsidR="00831805">
        <w:t>)</w:t>
      </w:r>
      <w:r w:rsidR="00831805" w:rsidRPr="00221BF8">
        <w:rPr>
          <w:vertAlign w:val="subscript"/>
        </w:rPr>
        <w:t>3</w:t>
      </w:r>
      <w:r w:rsidR="00831805">
        <w:t>)</w:t>
      </w:r>
      <w:r w:rsidR="00831805" w:rsidRPr="00B77937">
        <w:rPr>
          <w:vertAlign w:val="subscript"/>
        </w:rPr>
        <w:t>2</w:t>
      </w:r>
      <w:r w:rsidR="00831805">
        <w:t>-2,2’-bipyridine (</w:t>
      </w:r>
      <w:r w:rsidR="00831805" w:rsidRPr="00FB6CBB">
        <w:rPr>
          <w:b/>
        </w:rPr>
        <w:t>Ru(dtb)</w:t>
      </w:r>
      <w:r w:rsidR="00831805" w:rsidRPr="00FB6CBB">
        <w:rPr>
          <w:b/>
          <w:vertAlign w:val="subscript"/>
        </w:rPr>
        <w:t>2</w:t>
      </w:r>
      <w:r w:rsidR="00831805" w:rsidRPr="00FB6CBB">
        <w:rPr>
          <w:b/>
        </w:rPr>
        <w:t>P</w:t>
      </w:r>
      <w:r w:rsidR="00831805">
        <w:t>); 4,4’-(CH</w:t>
      </w:r>
      <w:r w:rsidR="00831805" w:rsidRPr="00B77937">
        <w:rPr>
          <w:vertAlign w:val="subscript"/>
        </w:rPr>
        <w:t>3</w:t>
      </w:r>
      <w:r w:rsidR="00831805">
        <w:t>O)</w:t>
      </w:r>
      <w:r w:rsidR="00831805" w:rsidRPr="00B77937">
        <w:rPr>
          <w:vertAlign w:val="subscript"/>
        </w:rPr>
        <w:t>2</w:t>
      </w:r>
      <w:r w:rsidR="00831805">
        <w:t>-2,2’-bipyridine (</w:t>
      </w:r>
      <w:r w:rsidR="00831805" w:rsidRPr="00FB6CBB">
        <w:rPr>
          <w:b/>
        </w:rPr>
        <w:t>Ru(</w:t>
      </w:r>
      <w:r w:rsidR="00831805">
        <w:rPr>
          <w:b/>
        </w:rPr>
        <w:t>OMe</w:t>
      </w:r>
      <w:r w:rsidR="00831805" w:rsidRPr="00FB6CBB">
        <w:rPr>
          <w:b/>
        </w:rPr>
        <w:t>)</w:t>
      </w:r>
      <w:r w:rsidR="00831805" w:rsidRPr="00FB6CBB">
        <w:rPr>
          <w:b/>
          <w:vertAlign w:val="subscript"/>
        </w:rPr>
        <w:t>2</w:t>
      </w:r>
      <w:r w:rsidR="00831805" w:rsidRPr="00FB6CBB">
        <w:rPr>
          <w:b/>
        </w:rPr>
        <w:t>P</w:t>
      </w:r>
      <w:r w:rsidR="00831805">
        <w:t>); and 2,2’-bipyridine (</w:t>
      </w:r>
      <w:r w:rsidR="00831805" w:rsidRPr="00FB6CBB">
        <w:rPr>
          <w:b/>
        </w:rPr>
        <w:t>RuP</w:t>
      </w:r>
      <w:r w:rsidR="00831805">
        <w:t>).</w:t>
      </w:r>
    </w:p>
    <w:p w14:paraId="2B5261E8" w14:textId="3629A70D" w:rsidR="00F46EBB" w:rsidRDefault="00267652" w:rsidP="00416D83">
      <w:pPr>
        <w:pStyle w:val="NoSpacing"/>
        <w:spacing w:line="360" w:lineRule="auto"/>
        <w:jc w:val="both"/>
      </w:pPr>
      <w:r>
        <w:rPr>
          <w:i/>
        </w:rPr>
        <w:t>Sensitized Metal Oxide Thin Film</w:t>
      </w:r>
      <w:r>
        <w:t xml:space="preserve">. Transparent </w:t>
      </w:r>
      <w:r w:rsidR="003E2059">
        <w:t>TiO</w:t>
      </w:r>
      <w:r w:rsidR="003E2059" w:rsidRPr="003E2059">
        <w:rPr>
          <w:vertAlign w:val="subscript"/>
        </w:rPr>
        <w:t>2</w:t>
      </w:r>
      <w:r>
        <w:t xml:space="preserve"> nanocrystallites (anatase, ~</w:t>
      </w:r>
      <w:r w:rsidR="00B04E19">
        <w:t>20</w:t>
      </w:r>
      <w:r>
        <w:t xml:space="preserve"> nm in diameter) were prepared by hydrolysis of Ti(</w:t>
      </w:r>
      <w:r>
        <w:rPr>
          <w:i/>
        </w:rPr>
        <w:t>i</w:t>
      </w:r>
      <w:r>
        <w:t>-OPr)</w:t>
      </w:r>
      <w:r>
        <w:rPr>
          <w:vertAlign w:val="subscript"/>
        </w:rPr>
        <w:t>4</w:t>
      </w:r>
      <w:r>
        <w:t xml:space="preserve"> using a previously described sol-gel technique.</w:t>
      </w:r>
      <w:r w:rsidR="00D23E49">
        <w:fldChar w:fldCharType="begin" w:fldLock="1"/>
      </w:r>
      <w:r w:rsidR="005F5C5F">
        <w:instrText>ADDIN CSL_CITATION {"citationItems":[{"id":"ITEM-1","itemData":{"DOI":"10.1021/ic960419j","ISBN":"0020-1669","ISSN":"0020-1669","abstract":"Coordination compounds of the general type Ru(dmb)(2)(LL)(PF6)(2), where dmb is 4,4'-(CH3)(2)-2,2'-bipyridine and LL is 4-(CH3)-4'-(COOH)-2,2'-bipyridine, or 4-(CH3)-4'-((CH2)(3)COOH)-2,2'-bipyridine, or 4-(CH3)-4'-((CH2)(3)-COCH2COOC2H5)-2,2'-bipyridine were prepared for the attachment to semiconductor metal oxide surfaces. The optical and redox properties of these compounds in dichloromethane solution are reported. Binding to porous nanostructured TiO2 films was analyzed with the Langmuir adsorption isotherm model. Photoelectrochemical measurements of the modified TiO2 electrodes in regenerative solar cells are reported. The results indicate that intimate electronic coupling between the surface link and the chromophoric ligand is not a strict requirement in the design of sensitizers for photovoltaic applications. Interfacial kinetics for recombination of the electron in the solid with the oxidized form of the sensitizer were quantitated by excited state absorption spectroscopy.","author":[{"dropping-particle":"","family":"Heimer","given":"Todd A","non-dropping-particle":"","parse-names":false,"suffix":""},{"dropping-particle":"","family":"D'Arcangelis","given":"Samuel T","non-dropping-particle":"","parse-names":false,"suffix":""},{"dropping-particle":"","family":"Farzad","given":"Fereshteh","non-dropping-particle":"","parse-names":false,"suffix":""},{"dropping-particle":"","family":"Stipkala","given":"Jeremy M","non-dropping-particle":"","parse-names":false,"suffix":""},{"dropping-particle":"","family":"Meyer","given":"Gerald J","non-dropping-particle":"","parse-names":false,"suffix":""}],"container-title":"Inorganic Chemistry","id":"ITEM-1","issue":"18","issued":{"date-parts":[["1996"]]},"page":"5319-5324","title":"An acetylacetonate-based semiconductor-sensitizer linkage","type":"article-journal","volume":"35"},"uris":["http://www.mendeley.com/documents/?uuid=444c8909-39ea-4952-a186-7b423e64e35d"]},{"id":"ITEM-2","itemData":{"DOI":"10.1063/1.5054604","ISSN":"00219606","author":[{"dropping-particle":"","family":"Troian-Gautier","given":"Ludovic","non-dropping-particle":"","parse-names":false,"suffix":""},{"dropping-particle":"","family":"Sampaio","given":"Renato N.","non-dropping-particle":"","parse-names":false,"suffix":""},{"dropping-particle":"","family":"Piechota","given":"Eric J.","non-dropping-particle":"","parse-names":false,"suffix":""},{"dropping-particle":"","family":"Brady","given":"Matthew D.","non-dropping-particle":"","parse-names":false,"suffix":""},{"dropping-particle":"","family":"Meyer","given":"Gerald J.","non-dropping-particle":"","parse-names":false,"suffix":""}],"container-title":"Journal of Chemical Physics","id":"ITEM-2","issue":"4","issued":{"date-parts":[["2019"]]},"title":"Barriers for interfacial back-electron transfer: A comparison between TiO 2 and SnO 2 /TiO 2 core/shell structures","type":"article-journal","volume":"150"},"uris":["http://www.mendeley.com/documents/?uuid=1dbe0fdc-c804-4514-b62d-808b14008d36"]}],"mendeley":{"formattedCitation":"&lt;sup&gt;47,48&lt;/sup&gt;","plainTextFormattedCitation":"47,48","previouslyFormattedCitation":"&lt;sup&gt;47,48&lt;/sup&gt;"},"properties":{"noteIndex":0},"schema":"https://github.com/citation-style-language/schema/raw/master/csl-citation.json"}</w:instrText>
      </w:r>
      <w:r w:rsidR="00D23E49">
        <w:fldChar w:fldCharType="separate"/>
      </w:r>
      <w:r w:rsidR="005F5C5F" w:rsidRPr="005F5C5F">
        <w:rPr>
          <w:noProof/>
          <w:vertAlign w:val="superscript"/>
        </w:rPr>
        <w:t>47,48</w:t>
      </w:r>
      <w:r w:rsidR="00D23E49">
        <w:fldChar w:fldCharType="end"/>
      </w:r>
      <w:r>
        <w:t xml:space="preserve"> Mesoporous thin films </w:t>
      </w:r>
      <w:r w:rsidR="005D3B02">
        <w:t>were prepared by doctor blading on a methanol-cleaned FTO glass substrate using Scotch tape (~50 μm thick) as a spacer to ensure uniform thickness. The doctor-bladed films were covered and allowed to dry at room temperature for 30 min, then sintered under an O</w:t>
      </w:r>
      <w:r w:rsidR="005D3B02">
        <w:rPr>
          <w:vertAlign w:val="subscript"/>
        </w:rPr>
        <w:t>2</w:t>
      </w:r>
      <w:r w:rsidR="005D3B02">
        <w:t xml:space="preserve"> atmosphere (~1 atm) for 30 min at 450 </w:t>
      </w:r>
      <w:r w:rsidR="005D3B02">
        <w:rPr>
          <w:vertAlign w:val="superscript"/>
        </w:rPr>
        <w:t>○</w:t>
      </w:r>
      <w:r w:rsidR="005D3B02">
        <w:t xml:space="preserve">C, resulting in ~3 μm thick films. These films were stored in a ~70 </w:t>
      </w:r>
      <w:r w:rsidR="005D3B02">
        <w:rPr>
          <w:vertAlign w:val="superscript"/>
        </w:rPr>
        <w:t>○</w:t>
      </w:r>
      <w:r w:rsidR="005D3B02">
        <w:t>C oven until used.</w:t>
      </w:r>
    </w:p>
    <w:p w14:paraId="3A337DA8" w14:textId="2EB3B456" w:rsidR="0055353E" w:rsidRDefault="00D850B8" w:rsidP="00416D83">
      <w:pPr>
        <w:pStyle w:val="NoSpacing"/>
        <w:spacing w:line="360" w:lineRule="auto"/>
        <w:jc w:val="both"/>
      </w:pPr>
      <w:r>
        <w:tab/>
        <w:t xml:space="preserve">The thin films were placed into </w:t>
      </w:r>
      <w:r w:rsidR="00831805">
        <w:t xml:space="preserve">~ 1 mM aqueous chromophore solutions with </w:t>
      </w:r>
      <w:r>
        <w:t>0.1 M HClO</w:t>
      </w:r>
      <w:r>
        <w:rPr>
          <w:vertAlign w:val="subscript"/>
        </w:rPr>
        <w:t>4</w:t>
      </w:r>
      <w:r>
        <w:t xml:space="preserve"> (aq) </w:t>
      </w:r>
      <w:r w:rsidR="0055353E">
        <w:t xml:space="preserve">to allow for surface functionalization. Films </w:t>
      </w:r>
      <w:r w:rsidR="00831805">
        <w:t>reacted</w:t>
      </w:r>
      <w:r w:rsidR="0055353E">
        <w:t xml:space="preserve"> for at least 48 h to ensure that uniform, saturation surface coverages were achieved. Prior to use, films were rinsed with neat CH</w:t>
      </w:r>
      <w:r w:rsidR="0055353E">
        <w:rPr>
          <w:vertAlign w:val="subscript"/>
        </w:rPr>
        <w:t>3</w:t>
      </w:r>
      <w:r w:rsidR="0055353E">
        <w:t>CN, then soaked in 0.1 M LiClO</w:t>
      </w:r>
      <w:r w:rsidR="0055353E">
        <w:rPr>
          <w:vertAlign w:val="subscript"/>
        </w:rPr>
        <w:t>4</w:t>
      </w:r>
      <w:r w:rsidR="0055353E">
        <w:t xml:space="preserve"> CH</w:t>
      </w:r>
      <w:r w:rsidR="0055353E">
        <w:rPr>
          <w:vertAlign w:val="subscript"/>
        </w:rPr>
        <w:t>3</w:t>
      </w:r>
      <w:r w:rsidR="0055353E">
        <w:t>CN solution for at least 1 h to remove any weakly adsorbed molecules from the surface.</w:t>
      </w:r>
    </w:p>
    <w:p w14:paraId="254D0EDC" w14:textId="2D37277C" w:rsidR="00954C7D" w:rsidRPr="00831805" w:rsidRDefault="00954C7D" w:rsidP="00416D83">
      <w:pPr>
        <w:pStyle w:val="NoSpacing"/>
        <w:spacing w:line="360" w:lineRule="auto"/>
        <w:jc w:val="both"/>
      </w:pPr>
      <w:r>
        <w:rPr>
          <w:i/>
        </w:rPr>
        <w:t>Atomic Layer Deposition</w:t>
      </w:r>
      <w:r>
        <w:t xml:space="preserve">. </w:t>
      </w:r>
      <w:r w:rsidR="003610E8">
        <w:t>Atomic layer deposition (ALD) was performed in a commercial reactor (Savannah S200, Cambridge Nanotech). Aluminum oxide (Al</w:t>
      </w:r>
      <w:r w:rsidR="003610E8">
        <w:rPr>
          <w:vertAlign w:val="subscript"/>
        </w:rPr>
        <w:t>2</w:t>
      </w:r>
      <w:r w:rsidR="003610E8">
        <w:t>O</w:t>
      </w:r>
      <w:r w:rsidR="003610E8">
        <w:rPr>
          <w:vertAlign w:val="subscript"/>
        </w:rPr>
        <w:t>3</w:t>
      </w:r>
      <w:r w:rsidR="003610E8">
        <w:t xml:space="preserve">) was deposited using </w:t>
      </w:r>
      <w:r w:rsidR="001049C3">
        <w:t xml:space="preserve">TMA. </w:t>
      </w:r>
      <w:r w:rsidR="003610E8">
        <w:t>The reactor temperature was</w:t>
      </w:r>
      <w:r w:rsidR="009819FE">
        <w:t xml:space="preserve"> held at</w:t>
      </w:r>
      <w:r w:rsidR="003610E8">
        <w:t xml:space="preserve"> 130 </w:t>
      </w:r>
      <w:r w:rsidR="003610E8" w:rsidRPr="003610E8">
        <w:rPr>
          <w:vertAlign w:val="superscript"/>
        </w:rPr>
        <w:t>○</w:t>
      </w:r>
      <w:r w:rsidR="003610E8">
        <w:t>C</w:t>
      </w:r>
      <w:r w:rsidR="009819FE">
        <w:t xml:space="preserve"> while t</w:t>
      </w:r>
      <w:r w:rsidR="003610E8">
        <w:t xml:space="preserve">he TMA reservoir was kept at room temperature. The TMA was pulsed into the reactor for 0.02 s and then held for 30 s before opening the pump valve and purging for 35 s. ALD coating conditions were 130 </w:t>
      </w:r>
      <w:r w:rsidR="003610E8" w:rsidRPr="003610E8">
        <w:rPr>
          <w:vertAlign w:val="superscript"/>
        </w:rPr>
        <w:t>○</w:t>
      </w:r>
      <w:r w:rsidR="003610E8">
        <w:t>C and 20 sccm N</w:t>
      </w:r>
      <w:r w:rsidR="003610E8">
        <w:rPr>
          <w:vertAlign w:val="subscript"/>
        </w:rPr>
        <w:t>2</w:t>
      </w:r>
      <w:r w:rsidR="003610E8">
        <w:t xml:space="preserve"> carrier gas flow </w:t>
      </w:r>
      <w:r w:rsidR="003610E8">
        <w:lastRenderedPageBreak/>
        <w:t>rate with a sequence of 0.02 s TMA dose, 30 s hold, 35 s N</w:t>
      </w:r>
      <w:r w:rsidR="003610E8">
        <w:rPr>
          <w:vertAlign w:val="subscript"/>
        </w:rPr>
        <w:t>2</w:t>
      </w:r>
      <w:r w:rsidR="003610E8">
        <w:t xml:space="preserve"> purge, 0.02 s H</w:t>
      </w:r>
      <w:r w:rsidR="003610E8">
        <w:rPr>
          <w:vertAlign w:val="subscript"/>
        </w:rPr>
        <w:t>2</w:t>
      </w:r>
      <w:r w:rsidR="003610E8">
        <w:t>O dose, 30 s hold, 35 s N</w:t>
      </w:r>
      <w:r w:rsidR="003610E8">
        <w:rPr>
          <w:vertAlign w:val="subscript"/>
        </w:rPr>
        <w:t>2</w:t>
      </w:r>
      <w:r w:rsidR="003610E8">
        <w:t xml:space="preserve"> purge</w:t>
      </w:r>
      <w:r w:rsidR="00BE4C3A">
        <w:t xml:space="preserve"> for 10 cycles</w:t>
      </w:r>
      <w:r w:rsidR="00831805">
        <w:t>, with ~ 1.1 Å Al</w:t>
      </w:r>
      <w:r w:rsidR="00831805">
        <w:rPr>
          <w:vertAlign w:val="subscript"/>
        </w:rPr>
        <w:t>2</w:t>
      </w:r>
      <w:r w:rsidR="00831805">
        <w:t>O</w:t>
      </w:r>
      <w:r w:rsidR="00831805">
        <w:rPr>
          <w:vertAlign w:val="subscript"/>
        </w:rPr>
        <w:t>3</w:t>
      </w:r>
      <w:r w:rsidR="00831805">
        <w:t xml:space="preserve"> deposited per cycle.</w:t>
      </w:r>
      <w:r w:rsidR="00831805">
        <w:fldChar w:fldCharType="begin" w:fldLock="1"/>
      </w:r>
      <w:r w:rsidR="005F5C5F">
        <w:instrText xml:space="preserve">ADDIN CSL_CITATION {"citationItems":[{"id":"ITEM-1","itemData":{"DOI":"10.1021/am100940g","ISSN":"19448244","abstract":"Improving nanoscale thin film deposition techniques such as atomic layer deposition (ALD) to permit operation at ambient pressure is important for high-throughput roll-to-roll processing of emerging flexible substrates, including polymer sheets and textiles. We present and investigate a novel reactor design for inorganic materials growth by ALD at atmospheric pressure. The reactor uses a custom \"pressure boost\" approach for delivery of low vapor pressure ALD precursors that controls precursor dose independent of reactor pressure. Analysis of continuum gas flow in the reactor shows key relations among reactor pressure, inert gas flow rate, and species diffusion that define conditions needed to efficiently remove product and adsorbed reactive species from the substrate surface during the inert gas purge cycle. Experimental results, including in situ quartz crystal microbalance (QCM) characterization and film thickness measurements for deposition of ZnO and Al(2)O(3) are presented and analyzed as a function of pressure and gas flow rates at 100 °C. At atmospheric pressure and high gas flow, ZnO deposition can proceed at the same mass uptake and growth rate as observed during more typical low pressure ALD. However, under the same high pressure and flow conditions the mass uptake and growth rate for Al(2)O(3) is a factor of </w:instrText>
      </w:r>
      <w:r w:rsidR="005F5C5F">
        <w:rPr>
          <w:rFonts w:ascii="Cambria Math" w:hAnsi="Cambria Math" w:cs="Cambria Math"/>
        </w:rPr>
        <w:instrText>∼</w:instrText>
      </w:r>
      <w:r w:rsidR="005F5C5F">
        <w:instrText>1.5-2 larger than at low pressure. Under these conditions, Al(2)O(3) growth at atmospheric pressure in a \"flow-through\" geometry on complex high surface area textile materials is sufficiently uniform to yield functional uniform coatings.","author":[{"dropping-particle":"","family":"Jur","given":"Jesse S.","non-dropping-particle":"","parse-names":false,"suffix":""},{"dropping-particle":"","family":"Parsons","given":"Gregory N.","non-dropping-particle":"","parse-names":false,"suffix":""}],"container-title":"ACS Applied Materials and Interfaces","id":"ITEM-1","issue":"2","issued":{"date-parts":[["2011"]]},"page":"299-308","title":"Atomic layer deposition of Al 2O 3 and ZnO at atmospheric pressure in a flow tube reactor","type":"article-journal","volume":"3"},"uris":["http://www.mendeley.com/documents/?uuid=41f41a18-f1ff-4ed7-87ef-ba302301e34d"]}],"mendeley":{"formattedCitation":"&lt;sup&gt;49&lt;/sup&gt;","plainTextFormattedCitation":"49","previouslyFormattedCitation":"&lt;sup&gt;49&lt;/sup&gt;"},"properties":{"noteIndex":0},"schema":"https://github.com/citation-style-language/schema/raw/master/csl-citation.json"}</w:instrText>
      </w:r>
      <w:r w:rsidR="00831805">
        <w:fldChar w:fldCharType="separate"/>
      </w:r>
      <w:r w:rsidR="005F5C5F" w:rsidRPr="005F5C5F">
        <w:rPr>
          <w:noProof/>
          <w:vertAlign w:val="superscript"/>
        </w:rPr>
        <w:t>49</w:t>
      </w:r>
      <w:r w:rsidR="00831805">
        <w:fldChar w:fldCharType="end"/>
      </w:r>
    </w:p>
    <w:p w14:paraId="33808ED6" w14:textId="77777777" w:rsidR="00E53E5E" w:rsidRDefault="00F46EBB" w:rsidP="00416D83">
      <w:pPr>
        <w:pStyle w:val="NoSpacing"/>
        <w:spacing w:line="360" w:lineRule="auto"/>
        <w:jc w:val="both"/>
      </w:pPr>
      <w:r w:rsidRPr="0055353E">
        <w:rPr>
          <w:b/>
        </w:rPr>
        <w:t>Spectroscopy.</w:t>
      </w:r>
      <w:r w:rsidR="0055353E">
        <w:t xml:space="preserve"> </w:t>
      </w:r>
    </w:p>
    <w:p w14:paraId="3510CB4C" w14:textId="102FA620" w:rsidR="00F46EBB" w:rsidRDefault="00E53E5E" w:rsidP="00416D83">
      <w:pPr>
        <w:pStyle w:val="NoSpacing"/>
        <w:spacing w:line="360" w:lineRule="auto"/>
        <w:jc w:val="both"/>
      </w:pPr>
      <w:r>
        <w:rPr>
          <w:i/>
        </w:rPr>
        <w:t xml:space="preserve">UV-Visible </w:t>
      </w:r>
      <w:r w:rsidRPr="00E53E5E">
        <w:rPr>
          <w:i/>
        </w:rPr>
        <w:t>Absorption</w:t>
      </w:r>
      <w:r>
        <w:t xml:space="preserve">. </w:t>
      </w:r>
      <w:r w:rsidR="0055353E" w:rsidRPr="00E53E5E">
        <w:t>All</w:t>
      </w:r>
      <w:r w:rsidR="0055353E">
        <w:t xml:space="preserve"> steady-state UV-visible spectra were obtained on an Agilent Cary 60 spectrophotometer at room temperature in 1.0 cm path length glass cuvettes with the functionalized thin films placed along the diagonal at a 45</w:t>
      </w:r>
      <w:r w:rsidR="0055353E" w:rsidRPr="0055353E">
        <w:rPr>
          <w:vertAlign w:val="superscript"/>
        </w:rPr>
        <w:t>○</w:t>
      </w:r>
      <w:r w:rsidR="0055353E">
        <w:t xml:space="preserve"> angle to the incident probe light. </w:t>
      </w:r>
    </w:p>
    <w:p w14:paraId="5F9D88D0" w14:textId="39E30C2C" w:rsidR="006557BC" w:rsidRDefault="00D51155" w:rsidP="00416D83">
      <w:pPr>
        <w:pStyle w:val="NoSpacing"/>
        <w:spacing w:line="360" w:lineRule="auto"/>
        <w:jc w:val="both"/>
      </w:pPr>
      <w:r>
        <w:rPr>
          <w:i/>
        </w:rPr>
        <w:t xml:space="preserve">Nanosecond Transient </w:t>
      </w:r>
      <w:r w:rsidR="00A732FF">
        <w:rPr>
          <w:i/>
        </w:rPr>
        <w:t>Anisotropy</w:t>
      </w:r>
      <w:r>
        <w:t>.</w:t>
      </w:r>
      <w:r w:rsidR="00643BCF">
        <w:t xml:space="preserve"> Nanosecond transient </w:t>
      </w:r>
      <w:r w:rsidR="00A732FF">
        <w:t>anisotropy</w:t>
      </w:r>
      <w:r w:rsidR="00643BCF">
        <w:t xml:space="preserve"> measurements were obtained with an apparatus similar to that which has been previously described.</w:t>
      </w:r>
      <w:r w:rsidR="00B43FA1">
        <w:fldChar w:fldCharType="begin" w:fldLock="1"/>
      </w:r>
      <w:r w:rsidR="005F5C5F">
        <w:instrText>ADDIN CSL_CITATION {"citationItems":[{"id":"ITEM-1","itemData":{"author":[{"dropping-particle":"","family":"Argazzi","given":"Robert","non-dropping-particle":"","parse-names":false,"suffix":""},{"dropping-particle":"","family":"Bignozzi","given":"Carlo A.","non-dropping-particle":"","parse-names":false,"suffix":""},{"dropping-particle":"","family":"Heimer","given":"Todd A.","non-dropping-particle":"","parse-names":false,"suffix":""},{"dropping-particle":"","family":"Castellano","given":"Felix N.","non-dropping-particle":"","parse-names":false,"suffix":""},{"dropping-particle":"","family":"Meyer","given":"Gerald J.","non-dropping-particle":"","parse-names":false,"suffix":""}],"container-title":"Inorganic Chemistry","id":"ITEM-1","issue":"25","issued":{"date-parts":[["1994"]]},"page":"5741–5749","title":"Enhanced spectral sensitivity from ruthenium (II) polypyridyl based photovoltaic devices","type":"article-journal","volume":"33"},"uris":["http://www.mendeley.com/documents/?uuid=149c52ad-cf15-48a3-948b-43c721992eb5"]}],"mendeley":{"formattedCitation":"&lt;sup&gt;50&lt;/sup&gt;","plainTextFormattedCitation":"50","previouslyFormattedCitation":"&lt;sup&gt;50&lt;/sup&gt;"},"properties":{"noteIndex":0},"schema":"https://github.com/citation-style-language/schema/raw/master/csl-citation.json"}</w:instrText>
      </w:r>
      <w:r w:rsidR="00B43FA1">
        <w:fldChar w:fldCharType="separate"/>
      </w:r>
      <w:r w:rsidR="005F5C5F" w:rsidRPr="005F5C5F">
        <w:rPr>
          <w:noProof/>
          <w:vertAlign w:val="superscript"/>
        </w:rPr>
        <w:t>50</w:t>
      </w:r>
      <w:r w:rsidR="00B43FA1">
        <w:fldChar w:fldCharType="end"/>
      </w:r>
      <w:r w:rsidR="00643BCF">
        <w:t xml:space="preserve"> Briefly, samples were pumped with a Q-switched, pulsed Nd;YAG laser [Quantel USA (BigSky) Brilliant B; 5-6 ns full width at half-maximum, 1 Hz, ~10 mm in diameter] directed 45</w:t>
      </w:r>
      <w:r w:rsidR="00643BCF" w:rsidRPr="00643BCF">
        <w:rPr>
          <w:vertAlign w:val="superscript"/>
        </w:rPr>
        <w:t>○</w:t>
      </w:r>
      <w:r w:rsidR="00643BCF">
        <w:t xml:space="preserve"> to the film surface and tuned to 532 nm light with the appropriate nonlinear optics.</w:t>
      </w:r>
      <w:r w:rsidR="006557BC">
        <w:t xml:space="preserve"> A 150 W xenon arc lamp (Applied Photophysics) served as the probe and was aligned orthogonal to the laser pump excitation light. The probe was directed through a ¼ m monochromator (Spectral Energy Corp., GM 252) before arriving at the sample. For detection on sub-100 μs time scales, the lamp was pulsed with 100 V. </w:t>
      </w:r>
      <w:r w:rsidR="001076E4">
        <w:t xml:space="preserve">Detection was achieved in a T format with a monochromator (Spex 1702/04) optically coupled to a R928 photomultiplier tube (Hamamatsu). Transient data were acquired on a computer-interfaced digital oscilloscope (LeCroy 9450, Dual 350 MHz). The instrument response was ~10 ns. Typically, </w:t>
      </w:r>
      <w:r w:rsidR="008728BA">
        <w:t xml:space="preserve">60 </w:t>
      </w:r>
      <w:r w:rsidR="001076E4">
        <w:t xml:space="preserve">laser pulses were averaged at each observation wavelength and </w:t>
      </w:r>
      <w:r w:rsidR="008728BA">
        <w:t>five to ten</w:t>
      </w:r>
      <w:r w:rsidR="001076E4">
        <w:t xml:space="preserve"> identical measurements were taken and averaged to help increase the signal-to-noise ratio of the anisotropy data.</w:t>
      </w:r>
    </w:p>
    <w:p w14:paraId="13CCAE37" w14:textId="59AF831D" w:rsidR="00052BA6" w:rsidRDefault="007076AE" w:rsidP="00220FDF">
      <w:pPr>
        <w:pStyle w:val="NoSpacing"/>
        <w:spacing w:line="360" w:lineRule="auto"/>
        <w:jc w:val="both"/>
      </w:pPr>
      <w:r>
        <w:tab/>
        <w:t>All measurements utilized a</w:t>
      </w:r>
      <w:r w:rsidR="00831805">
        <w:t xml:space="preserve"> </w:t>
      </w:r>
      <w:r>
        <w:t>Glan-Taylor polarizer (Thorlabs</w:t>
      </w:r>
      <w:r w:rsidR="005069CD">
        <w:t xml:space="preserve">, </w:t>
      </w:r>
      <w:r w:rsidR="005069CD" w:rsidRPr="004444FF">
        <w:rPr>
          <w:highlight w:val="yellow"/>
        </w:rPr>
        <w:t>GL 10-A</w:t>
      </w:r>
      <w:r>
        <w:t>)</w:t>
      </w:r>
      <w:r w:rsidR="00831805">
        <w:t xml:space="preserve"> for the excitation light</w:t>
      </w:r>
      <w:r>
        <w:t xml:space="preserve"> before the sample (P</w:t>
      </w:r>
      <w:r>
        <w:rPr>
          <w:vertAlign w:val="subscript"/>
        </w:rPr>
        <w:t>ex</w:t>
      </w:r>
      <w:r>
        <w:t xml:space="preserve">) and a </w:t>
      </w:r>
      <w:r w:rsidR="00831805">
        <w:t>second</w:t>
      </w:r>
      <w:r>
        <w:t xml:space="preserve"> </w:t>
      </w:r>
      <w:r w:rsidR="00ED0B48">
        <w:t xml:space="preserve">Glan-Taylor </w:t>
      </w:r>
      <w:r>
        <w:t>polarizer (P</w:t>
      </w:r>
      <w:r>
        <w:rPr>
          <w:vertAlign w:val="subscript"/>
        </w:rPr>
        <w:t>det</w:t>
      </w:r>
      <w:r>
        <w:t xml:space="preserve">) </w:t>
      </w:r>
      <w:r w:rsidR="00831805">
        <w:t>for the probe beam</w:t>
      </w:r>
      <w:r>
        <w:t xml:space="preserve">. For </w:t>
      </w:r>
      <w:r w:rsidR="0038731F">
        <w:t xml:space="preserve">anisotropy measurements, </w:t>
      </w:r>
      <w:r w:rsidR="00052BA6">
        <w:t>P</w:t>
      </w:r>
      <w:r w:rsidR="00052BA6">
        <w:rPr>
          <w:vertAlign w:val="subscript"/>
        </w:rPr>
        <w:t>ex</w:t>
      </w:r>
      <w:r w:rsidR="00052BA6">
        <w:t xml:space="preserve"> was set to vertical, the same polarization of the laser, and P</w:t>
      </w:r>
      <w:r w:rsidR="00052BA6">
        <w:rPr>
          <w:vertAlign w:val="subscript"/>
        </w:rPr>
        <w:t>det</w:t>
      </w:r>
      <w:r w:rsidR="00052BA6">
        <w:t xml:space="preserve"> was set to either vertical (V) or horizontal (H). Magic angle and anisotropy values were calculated via </w:t>
      </w:r>
      <w:r w:rsidR="00EE38F8" w:rsidRPr="00547B53">
        <w:rPr>
          <w:b/>
        </w:rPr>
        <w:t>Equation</w:t>
      </w:r>
      <w:r w:rsidR="00A930BB">
        <w:rPr>
          <w:b/>
        </w:rPr>
        <w:t>s</w:t>
      </w:r>
      <w:r w:rsidR="00EE38F8" w:rsidRPr="00547B53">
        <w:rPr>
          <w:b/>
        </w:rPr>
        <w:t xml:space="preserve"> </w:t>
      </w:r>
      <w:r w:rsidR="00A930BB">
        <w:rPr>
          <w:b/>
        </w:rPr>
        <w:t>1</w:t>
      </w:r>
      <w:r w:rsidR="00052BA6">
        <w:t xml:space="preserve"> and</w:t>
      </w:r>
      <w:r w:rsidR="00EE38F8">
        <w:t xml:space="preserve"> </w:t>
      </w:r>
      <w:r w:rsidR="00A930BB">
        <w:rPr>
          <w:b/>
        </w:rPr>
        <w:t>2</w:t>
      </w:r>
      <w:r w:rsidR="00052BA6">
        <w:t>,</w:t>
      </w:r>
      <w:r w:rsidR="002A4898">
        <w:fldChar w:fldCharType="begin" w:fldLock="1"/>
      </w:r>
      <w:r w:rsidR="00B436A2">
        <w:instrText>ADDIN CSL_CITATION {"citationItems":[{"id":"ITEM-1","itemData":{"DOI":"10.1021/ja200652r","ISBN":"0002-7863","ISSN":"00027863","PMID":"21861499","abstract":"Transient anisotropy measurements are reported as a new spectroscopic tool for mechanistic characterization of photoinduced charge-transfer and energy-transfer self-exchange reactions at molecule-semiconductor interfaces. An anisotropic molecular subpopulation was generated by photoselection of randomly oriented Ru(II)-polypyridyl compounds, anchored to mesoscopic nanocrystalline TiO(2) or ZrO(2) thin films, with linearly polarized light. Subsequent characterization of the photoinduced dichromism change by visible absorption and photoluminescence spectroscopies on the nano- to millisecond time scale enabled the direct comparison of competitive processes: excited-state decay vs self-exchange energy transfer, or interfacial charge recombination vs self-exchange hole transfer. Self-exchange energy transfer was found to be many orders-of-magnitude faster than hole transfer at the sensitized TiO(2) interfaces; for [Ru(dtb)(2)(dcb)](PF(6))(2), where dtb is 4,4'-(C(CH(3))(3))(2)-2,2'-bipyridine and dcb is 4,4'-(COOH)(2)-2,2'-bipyridine, anchored to TiO(2), the energy-transfer correlation time was θ(ent) = 3.3 μs while the average hole-transfer correlation time was &lt;θ(h+)&gt; = 110 ms, under identical experimental conditions. Monte Carlo simulations successfully modeled the anisotropy decays associated with lateral energy transfer. These mesoscopic, nanocrystalline TiO(2) thin films developed for regenerative solar cells thus function as active \"antennae\", harvesting sunlight and transferring energy across their surface. For the dicationic sensitizer, [Ru(dtb)(2)(dcb)](PF(6))(2), anisotropy changes indicative of self-exchange hole transfer were observed only when ions were present in the acetonitrile solution. In contrast, evidence for lateral hole transfer was observed in neat acetonitrile for a neutral sensitizer, cis-Ru(dnb)(dcb)(NCS)(2), where dnb is 4,4'-(CH(3)(CH(2))(8))(2)-2,2'-bipyridine, anchored to TiO(2). The results indicate that mechanistic models of interfacial charge recombination between electrons in TiO(2) and oxidized sensitizers must take into account diffusion of the injected electron and the oxidized sensitizer. The phenomena presented herein represent two means of concentrating potential energy derived from visible light that could be used to funnel energy to molecular catalysts for multiple-charge-transfer reactions, such as the generation of solar fuels.","author":[{"dropping-particle":"","family":"Ardo","given":"Shane","non-dropping-particle":"","parse-names":false,"suffix":""},{"dropping-particle":"","family":"Meyer","given":"Gerald J.","non-dropping-particle":"","parse-names":false,"suffix":""}],"container-title":"Journal of the American Chemical Society","id":"ITEM-1","issue":"39","issued":{"date-parts":[["2011"]]},"page":"15384-15396","title":"Characterization of photoinduced self-exchange reactions at molecule-semiconductor interfaces by transient polarization spectroscopy: Lateral intermolecular energy and hole transfer across sensitized TiO2thin films","type":"article-journal","volume":"133"},"uris":["http://www.mendeley.com/documents/?uuid=588ef2ab-a2ac-4750-9dc3-e8df242c2765"]}],"mendeley":{"formattedCitation":"&lt;sup&gt;30&lt;/sup&gt;","plainTextFormattedCitation":"30","previouslyFormattedCitation":"&lt;sup&gt;30&lt;/sup&gt;"},"properties":{"noteIndex":0},"schema":"https://github.com/citation-style-language/schema/raw/master/csl-citation.json"}</w:instrText>
      </w:r>
      <w:r w:rsidR="002A4898">
        <w:fldChar w:fldCharType="separate"/>
      </w:r>
      <w:r w:rsidR="008D087C" w:rsidRPr="008D087C">
        <w:rPr>
          <w:noProof/>
          <w:vertAlign w:val="superscript"/>
        </w:rPr>
        <w:t>30</w:t>
      </w:r>
      <w:r w:rsidR="002A4898">
        <w:fldChar w:fldCharType="end"/>
      </w:r>
      <w:r w:rsidR="00052BA6">
        <w:t xml:space="preserve"> respectively</w:t>
      </w:r>
    </w:p>
    <w:p w14:paraId="4833BA0C" w14:textId="196CC865" w:rsidR="00052BA6" w:rsidRDefault="007A0DAF" w:rsidP="00102F42">
      <w:pPr>
        <w:pStyle w:val="NoSpacing"/>
        <w:spacing w:line="360" w:lineRule="auto"/>
        <w:jc w:val="center"/>
      </w:pPr>
      <m:oMath>
        <m:sSub>
          <m:sSubPr>
            <m:ctrlPr>
              <w:rPr>
                <w:rFonts w:ascii="Cambria Math" w:hAnsi="Cambria Math"/>
                <w:i/>
              </w:rPr>
            </m:ctrlPr>
          </m:sSubPr>
          <m:e>
            <m:r>
              <m:rPr>
                <m:sty m:val="p"/>
              </m:rPr>
              <w:rPr>
                <w:rFonts w:ascii="Cambria Math" w:hAnsi="Cambria Math"/>
              </w:rPr>
              <m:t>ΔAbs</m:t>
            </m:r>
          </m:e>
          <m:sub>
            <m:r>
              <w:rPr>
                <w:rFonts w:ascii="Cambria Math" w:hAnsi="Cambria Math"/>
              </w:rPr>
              <m:t>magic angle</m:t>
            </m:r>
          </m:sub>
        </m:sSub>
        <m:r>
          <w:rPr>
            <w:rFonts w:ascii="Cambria Math" w:hAnsi="Cambria Math"/>
          </w:rPr>
          <m:t>=</m:t>
        </m:r>
        <m:f>
          <m:fPr>
            <m:ctrlPr>
              <w:rPr>
                <w:rFonts w:ascii="Cambria Math" w:hAnsi="Cambria Math"/>
                <w:i/>
              </w:rPr>
            </m:ctrlPr>
          </m:fPr>
          <m:num>
            <m:r>
              <w:rPr>
                <w:rFonts w:ascii="Cambria Math" w:hAnsi="Cambria Math"/>
              </w:rPr>
              <m:t>(</m:t>
            </m:r>
            <m:r>
              <w:rPr>
                <w:rFonts w:ascii="Cambria Math" w:hAnsi="Cambria Math"/>
                <w:highlight w:val="yellow"/>
              </w:rPr>
              <m:t>VV+2VH</m:t>
            </m:r>
            <m:r>
              <w:rPr>
                <w:rFonts w:ascii="Cambria Math" w:hAnsi="Cambria Math"/>
              </w:rPr>
              <m:t>)</m:t>
            </m:r>
          </m:num>
          <m:den>
            <m:r>
              <w:rPr>
                <w:rFonts w:ascii="Cambria Math" w:hAnsi="Cambria Math"/>
              </w:rPr>
              <m:t>3</m:t>
            </m:r>
          </m:den>
        </m:f>
      </m:oMath>
      <w:r w:rsidR="00052BA6">
        <w:rPr>
          <w:rFonts w:eastAsiaTheme="minorEastAsia"/>
        </w:rPr>
        <w:t xml:space="preserve">        </w:t>
      </w:r>
      <w:r w:rsidR="00A930BB">
        <w:rPr>
          <w:rFonts w:eastAsiaTheme="minorEastAsia"/>
        </w:rPr>
        <w:tab/>
      </w:r>
      <w:r w:rsidR="00052BA6">
        <w:rPr>
          <w:rFonts w:eastAsiaTheme="minorEastAsia"/>
        </w:rPr>
        <w:t>(</w:t>
      </w:r>
      <w:r w:rsidR="00A930BB">
        <w:rPr>
          <w:rFonts w:eastAsiaTheme="minorEastAsia"/>
        </w:rPr>
        <w:t>1</w:t>
      </w:r>
      <w:r w:rsidR="00052BA6">
        <w:rPr>
          <w:rFonts w:eastAsiaTheme="minorEastAsia"/>
        </w:rPr>
        <w:t>)</w:t>
      </w:r>
    </w:p>
    <w:p w14:paraId="4383C7FE" w14:textId="6934A2D7" w:rsidR="00052BA6" w:rsidRDefault="00052BA6" w:rsidP="00102F42">
      <w:pPr>
        <w:pStyle w:val="NoSpacing"/>
        <w:spacing w:line="360" w:lineRule="auto"/>
        <w:jc w:val="center"/>
        <w:rPr>
          <w:rFonts w:eastAsiaTheme="minorEastAsia"/>
        </w:rPr>
      </w:pPr>
      <m:oMath>
        <m:r>
          <w:rPr>
            <w:rFonts w:ascii="Cambria Math" w:hAnsi="Cambria Math"/>
          </w:rPr>
          <m:t>r=</m:t>
        </m:r>
        <m:f>
          <m:fPr>
            <m:ctrlPr>
              <w:rPr>
                <w:rFonts w:ascii="Cambria Math" w:hAnsi="Cambria Math"/>
                <w:i/>
              </w:rPr>
            </m:ctrlPr>
          </m:fPr>
          <m:num>
            <m:r>
              <w:rPr>
                <w:rFonts w:ascii="Cambria Math" w:hAnsi="Cambria Math"/>
              </w:rPr>
              <m:t>(</m:t>
            </m:r>
            <m:r>
              <w:rPr>
                <w:rFonts w:ascii="Cambria Math" w:hAnsi="Cambria Math"/>
                <w:highlight w:val="yellow"/>
              </w:rPr>
              <m:t>VV-VH</m:t>
            </m:r>
            <m:r>
              <w:rPr>
                <w:rFonts w:ascii="Cambria Math" w:hAnsi="Cambria Math"/>
              </w:rPr>
              <m:t>)</m:t>
            </m:r>
          </m:num>
          <m:den>
            <m:r>
              <w:rPr>
                <w:rFonts w:ascii="Cambria Math" w:hAnsi="Cambria Math"/>
              </w:rPr>
              <m:t>3</m:t>
            </m:r>
            <m:sSub>
              <m:sSubPr>
                <m:ctrlPr>
                  <w:rPr>
                    <w:rFonts w:ascii="Cambria Math" w:hAnsi="Cambria Math"/>
                    <w:i/>
                  </w:rPr>
                </m:ctrlPr>
              </m:sSubPr>
              <m:e>
                <m:r>
                  <m:rPr>
                    <m:sty m:val="p"/>
                  </m:rPr>
                  <w:rPr>
                    <w:rFonts w:ascii="Cambria Math" w:hAnsi="Cambria Math"/>
                  </w:rPr>
                  <m:t>ΔAbs</m:t>
                </m:r>
              </m:e>
              <m:sub>
                <m:r>
                  <w:rPr>
                    <w:rFonts w:ascii="Cambria Math" w:hAnsi="Cambria Math"/>
                  </w:rPr>
                  <m:t>magic angle</m:t>
                </m:r>
              </m:sub>
            </m:sSub>
          </m:den>
        </m:f>
        <m:r>
          <m:rPr>
            <m:sty m:val="p"/>
          </m:rPr>
          <w:rPr>
            <w:rFonts w:ascii="Cambria Math" w:eastAsiaTheme="minorEastAsia" w:hAnsi="Cambria Math"/>
          </w:rPr>
          <m:t xml:space="preserve"> </m:t>
        </m:r>
      </m:oMath>
      <w:r>
        <w:rPr>
          <w:rFonts w:eastAsiaTheme="minorEastAsia"/>
        </w:rPr>
        <w:t xml:space="preserve">    </w:t>
      </w:r>
      <w:r w:rsidR="00A930BB">
        <w:rPr>
          <w:rFonts w:eastAsiaTheme="minorEastAsia"/>
        </w:rPr>
        <w:tab/>
      </w:r>
      <w:r w:rsidR="00A930BB">
        <w:rPr>
          <w:rFonts w:eastAsiaTheme="minorEastAsia"/>
        </w:rPr>
        <w:tab/>
      </w:r>
      <w:r>
        <w:rPr>
          <w:rFonts w:eastAsiaTheme="minorEastAsia"/>
        </w:rPr>
        <w:t xml:space="preserve"> (</w:t>
      </w:r>
      <w:r w:rsidR="00A930BB">
        <w:rPr>
          <w:rFonts w:eastAsiaTheme="minorEastAsia"/>
        </w:rPr>
        <w:t>2</w:t>
      </w:r>
      <w:r>
        <w:rPr>
          <w:rFonts w:eastAsiaTheme="minorEastAsia"/>
        </w:rPr>
        <w:t>)</w:t>
      </w:r>
    </w:p>
    <w:p w14:paraId="2F6CD32E" w14:textId="7CEE4F38" w:rsidR="00052BA6" w:rsidRDefault="00052BA6" w:rsidP="00416D83">
      <w:pPr>
        <w:pStyle w:val="NoSpacing"/>
        <w:spacing w:line="360" w:lineRule="auto"/>
        <w:jc w:val="both"/>
      </w:pPr>
    </w:p>
    <w:p w14:paraId="5D620A6F" w14:textId="41ADF6CB" w:rsidR="00052BA6" w:rsidRPr="00BF2FFA" w:rsidRDefault="00B8145C" w:rsidP="00416D83">
      <w:pPr>
        <w:pStyle w:val="NoSpacing"/>
        <w:spacing w:line="360" w:lineRule="auto"/>
        <w:jc w:val="both"/>
      </w:pPr>
      <w:r w:rsidRPr="00121ECE">
        <w:rPr>
          <w:highlight w:val="yellow"/>
        </w:rPr>
        <w:t xml:space="preserve">where </w:t>
      </w:r>
      <w:r w:rsidR="005E29CC" w:rsidRPr="00121ECE">
        <w:rPr>
          <w:i/>
          <w:highlight w:val="yellow"/>
        </w:rPr>
        <w:t>VY</w:t>
      </w:r>
      <w:r w:rsidRPr="00121ECE">
        <w:rPr>
          <w:highlight w:val="yellow"/>
        </w:rPr>
        <w:t xml:space="preserve"> is the </w:t>
      </w:r>
      <w:r w:rsidR="005E29CC" w:rsidRPr="00121ECE">
        <w:rPr>
          <w:highlight w:val="yellow"/>
        </w:rPr>
        <w:t>change in absorbance</w:t>
      </w:r>
      <w:r w:rsidRPr="00121ECE">
        <w:rPr>
          <w:highlight w:val="yellow"/>
        </w:rPr>
        <w:t xml:space="preserve"> </w:t>
      </w:r>
      <w:r w:rsidR="005E29CC" w:rsidRPr="00121ECE">
        <w:rPr>
          <w:highlight w:val="yellow"/>
        </w:rPr>
        <w:t xml:space="preserve">observed </w:t>
      </w:r>
      <w:r w:rsidRPr="00121ECE">
        <w:rPr>
          <w:highlight w:val="yellow"/>
        </w:rPr>
        <w:t xml:space="preserve">with excitation polarization V and detection polarization Y = V or H, and </w:t>
      </w:r>
      <w:r w:rsidRPr="00121ECE">
        <w:rPr>
          <w:i/>
          <w:highlight w:val="yellow"/>
        </w:rPr>
        <w:t>r</w:t>
      </w:r>
      <w:r w:rsidRPr="00121ECE">
        <w:rPr>
          <w:highlight w:val="yellow"/>
        </w:rPr>
        <w:t xml:space="preserve"> is </w:t>
      </w:r>
      <w:r w:rsidR="00BF2FFA" w:rsidRPr="00121ECE">
        <w:rPr>
          <w:highlight w:val="yellow"/>
        </w:rPr>
        <w:t>the anisotropy value.</w:t>
      </w:r>
      <w:r w:rsidR="00BF2FFA">
        <w:t xml:space="preserve"> </w:t>
      </w:r>
    </w:p>
    <w:p w14:paraId="1432665E" w14:textId="135A361D" w:rsidR="00F46EBB" w:rsidRPr="004B29A1" w:rsidRDefault="00E53E5E" w:rsidP="00416D83">
      <w:pPr>
        <w:pStyle w:val="NoSpacing"/>
        <w:spacing w:line="360" w:lineRule="auto"/>
        <w:jc w:val="both"/>
      </w:pPr>
      <w:r w:rsidRPr="00E53E5E">
        <w:rPr>
          <w:b/>
        </w:rPr>
        <w:lastRenderedPageBreak/>
        <w:t>Chronoabsorptometry.</w:t>
      </w:r>
      <w:r w:rsidR="004A2ABA">
        <w:t xml:space="preserve"> </w:t>
      </w:r>
      <w:r w:rsidR="00B9500F">
        <w:t xml:space="preserve">Chronoabsorptometry was performed using a BASi Epsilon potentiostat </w:t>
      </w:r>
      <w:r w:rsidR="00BE7CF3">
        <w:t>coupled to an Agilent Cary 60 spectrophotometer. A standard three-electrode setup was used with the functionalized thin films as the working electrode, a Pt mesh counter electrode, and a</w:t>
      </w:r>
      <w:r w:rsidR="00047139">
        <w:t>n</w:t>
      </w:r>
      <w:r w:rsidR="00BE7CF3">
        <w:t xml:space="preserve"> Ag/AgCl pseudoreference electrode. </w:t>
      </w:r>
      <w:r w:rsidR="00831805">
        <w:t>A</w:t>
      </w:r>
      <w:r w:rsidR="00BE7CF3">
        <w:t xml:space="preserve"> nonaqueous Ag/AgCl pseudoreference electrode (Pine Research Instrumentation, Inc.</w:t>
      </w:r>
      <w:r w:rsidR="00BD2AE4">
        <w:t xml:space="preserve">, </w:t>
      </w:r>
      <w:r w:rsidR="00BD2AE4" w:rsidRPr="00164BB9">
        <w:rPr>
          <w:highlight w:val="yellow"/>
        </w:rPr>
        <w:t>AKREF0033</w:t>
      </w:r>
      <w:r w:rsidR="00BE7CF3">
        <w:t>) was filled with 0.1 M LiClO</w:t>
      </w:r>
      <w:r w:rsidR="00BE7CF3">
        <w:rPr>
          <w:vertAlign w:val="subscript"/>
        </w:rPr>
        <w:t>4</w:t>
      </w:r>
      <w:r w:rsidR="00761548">
        <w:t>/</w:t>
      </w:r>
      <w:r w:rsidR="00BE7CF3">
        <w:t>CH</w:t>
      </w:r>
      <w:r w:rsidR="00BE7CF3">
        <w:rPr>
          <w:vertAlign w:val="subscript"/>
        </w:rPr>
        <w:t>3</w:t>
      </w:r>
      <w:r w:rsidR="00BE7CF3">
        <w:t xml:space="preserve">CN solution, and the applied potential was referenced to the </w:t>
      </w:r>
      <w:r w:rsidR="00BE7CF3">
        <w:rPr>
          <w:i/>
        </w:rPr>
        <w:t>E</w:t>
      </w:r>
      <w:r w:rsidR="00BE7CF3">
        <w:rPr>
          <w:vertAlign w:val="subscript"/>
        </w:rPr>
        <w:t>1/2</w:t>
      </w:r>
      <w:r w:rsidR="00BE7CF3">
        <w:t xml:space="preserve"> (Ru</w:t>
      </w:r>
      <w:r w:rsidR="00BE7CF3">
        <w:rPr>
          <w:vertAlign w:val="superscript"/>
        </w:rPr>
        <w:t>III/II</w:t>
      </w:r>
      <w:r w:rsidR="00BE7CF3">
        <w:t xml:space="preserve">) of the surface-bound </w:t>
      </w:r>
      <w:r w:rsidR="00AA3FD9">
        <w:t>chromophore</w:t>
      </w:r>
      <w:r w:rsidR="005A6778">
        <w:t xml:space="preserve">. </w:t>
      </w:r>
      <w:r w:rsidR="004B29A1">
        <w:t xml:space="preserve">To </w:t>
      </w:r>
      <w:r w:rsidR="00831805">
        <w:t>quantify</w:t>
      </w:r>
      <w:r w:rsidR="004B29A1">
        <w:t xml:space="preserve"> D</w:t>
      </w:r>
      <w:r w:rsidR="004B29A1">
        <w:rPr>
          <w:vertAlign w:val="subscript"/>
        </w:rPr>
        <w:t>CA</w:t>
      </w:r>
      <w:r w:rsidR="004B29A1">
        <w:t xml:space="preserve">, the absorbance at the </w:t>
      </w:r>
      <w:r w:rsidR="00294385">
        <w:t>metal-to-ligand charge transfer (</w:t>
      </w:r>
      <w:r w:rsidR="004B29A1">
        <w:t>MLCT</w:t>
      </w:r>
      <w:r w:rsidR="00294385">
        <w:t>)</w:t>
      </w:r>
      <w:r w:rsidR="004B29A1">
        <w:t xml:space="preserve"> maximum was monitored while a potential of </w:t>
      </w:r>
      <w:r w:rsidR="004B29A1">
        <w:rPr>
          <w:i/>
        </w:rPr>
        <w:t>E</w:t>
      </w:r>
      <w:r w:rsidR="004B29A1">
        <w:rPr>
          <w:vertAlign w:val="subscript"/>
        </w:rPr>
        <w:t>1/2</w:t>
      </w:r>
      <w:r w:rsidR="004B29A1">
        <w:t xml:space="preserve"> (Ru</w:t>
      </w:r>
      <w:r w:rsidR="004B29A1">
        <w:rPr>
          <w:vertAlign w:val="superscript"/>
        </w:rPr>
        <w:t>III/II</w:t>
      </w:r>
      <w:r w:rsidR="004B29A1">
        <w:t>) + 500 mV was applied, with data point</w:t>
      </w:r>
      <w:r w:rsidR="00220FDF">
        <w:t>s</w:t>
      </w:r>
      <w:r w:rsidR="004B29A1">
        <w:t xml:space="preserve"> collected every </w:t>
      </w:r>
      <w:r w:rsidR="00831805">
        <w:t>12.5 m</w:t>
      </w:r>
      <w:r w:rsidR="004B29A1">
        <w:t>s</w:t>
      </w:r>
      <w:r w:rsidR="00831805">
        <w:t>.</w:t>
      </w:r>
      <w:r w:rsidR="004B29A1">
        <w:t xml:space="preserve"> </w:t>
      </w:r>
      <w:r w:rsidR="00E470C6">
        <w:t xml:space="preserve">All chronoabsorptometry studies were </w:t>
      </w:r>
      <w:r w:rsidR="00954C7D">
        <w:t>performed</w:t>
      </w:r>
      <w:r w:rsidR="00E470C6">
        <w:t xml:space="preserve"> in 0.1 M LiClO</w:t>
      </w:r>
      <w:r w:rsidR="00E470C6">
        <w:rPr>
          <w:vertAlign w:val="subscript"/>
        </w:rPr>
        <w:t>4</w:t>
      </w:r>
      <w:r w:rsidR="00761548">
        <w:t>/</w:t>
      </w:r>
      <w:r w:rsidR="00E470C6">
        <w:t>CH</w:t>
      </w:r>
      <w:r w:rsidR="00E470C6">
        <w:rPr>
          <w:vertAlign w:val="subscript"/>
        </w:rPr>
        <w:t>3</w:t>
      </w:r>
      <w:r w:rsidR="00E470C6">
        <w:t xml:space="preserve">CN solution. </w:t>
      </w:r>
    </w:p>
    <w:p w14:paraId="7B9745D3" w14:textId="56E0735D" w:rsidR="00F46EBB" w:rsidRPr="00080034" w:rsidRDefault="00F46EBB" w:rsidP="00416D83">
      <w:pPr>
        <w:pStyle w:val="NoSpacing"/>
        <w:spacing w:line="360" w:lineRule="auto"/>
        <w:jc w:val="both"/>
        <w:rPr>
          <w:b/>
        </w:rPr>
      </w:pPr>
      <w:r w:rsidRPr="00080034">
        <w:rPr>
          <w:b/>
        </w:rPr>
        <w:t>Computation.</w:t>
      </w:r>
    </w:p>
    <w:p w14:paraId="7BB6AD65" w14:textId="69EC00AA" w:rsidR="00F46EBB" w:rsidRPr="00CB7862" w:rsidRDefault="00080034" w:rsidP="00416D83">
      <w:pPr>
        <w:pStyle w:val="NoSpacing"/>
        <w:spacing w:line="360" w:lineRule="auto"/>
        <w:jc w:val="both"/>
      </w:pPr>
      <w:r>
        <w:rPr>
          <w:i/>
        </w:rPr>
        <w:t>Data Analysis</w:t>
      </w:r>
      <w:r w:rsidR="00CB7862">
        <w:t>. Data fitting was performed in OriginPro</w:t>
      </w:r>
      <w:r w:rsidR="008A7021">
        <w:t xml:space="preserve"> 2017, with least-squares error minimization achieved using the Levenberg-Marquardt method. The errors reported for fitting parameters are the standard errors.</w:t>
      </w:r>
    </w:p>
    <w:p w14:paraId="74381AF1" w14:textId="1880FDDF" w:rsidR="00C54A02" w:rsidRPr="00A421C5" w:rsidRDefault="00080034" w:rsidP="00C54A02">
      <w:pPr>
        <w:pStyle w:val="NoSpacing"/>
        <w:spacing w:line="360" w:lineRule="auto"/>
        <w:jc w:val="both"/>
        <w:rPr>
          <w:highlight w:val="yellow"/>
        </w:rPr>
      </w:pPr>
      <w:r w:rsidRPr="00A421C5">
        <w:rPr>
          <w:i/>
          <w:highlight w:val="yellow"/>
        </w:rPr>
        <w:t>Simulations of Anisotropy Data.</w:t>
      </w:r>
      <w:r w:rsidR="008A7021" w:rsidRPr="00A421C5">
        <w:rPr>
          <w:highlight w:val="yellow"/>
        </w:rPr>
        <w:t xml:space="preserve"> </w:t>
      </w:r>
      <w:r w:rsidR="00664A01" w:rsidRPr="00A421C5">
        <w:rPr>
          <w:highlight w:val="yellow"/>
        </w:rPr>
        <w:t>Monte Carlo simulations were employed to simulate the random walk anisotropy decay observed after vertically-polarized light excitation. The simulation utilized a 20 nm spherical nanocrystallite with chromophores spaced at approximately the intermolecular distance, δ, extracted from surface coverage (Γ</w:t>
      </w:r>
      <w:r w:rsidR="00664A01" w:rsidRPr="00A421C5">
        <w:rPr>
          <w:highlight w:val="yellow"/>
          <w:vertAlign w:val="subscript"/>
        </w:rPr>
        <w:t>0</w:t>
      </w:r>
      <w:r w:rsidR="00664A01" w:rsidRPr="00A421C5">
        <w:rPr>
          <w:highlight w:val="yellow"/>
        </w:rPr>
        <w:t xml:space="preserve">) measurements, </w:t>
      </w:r>
      <w:r w:rsidR="00664A01" w:rsidRPr="00A421C5">
        <w:rPr>
          <w:i/>
          <w:iCs/>
          <w:highlight w:val="yellow"/>
        </w:rPr>
        <w:t>vide infra</w:t>
      </w:r>
      <w:r w:rsidR="00664A01" w:rsidRPr="00A421C5">
        <w:rPr>
          <w:highlight w:val="yellow"/>
        </w:rPr>
        <w:t>. The simulated chromophores were distributed across the surface of the sphere through an iterative Coulomb’s law force minimization</w:t>
      </w:r>
      <w:r w:rsidR="00763627" w:rsidRPr="00A421C5">
        <w:rPr>
          <w:highlight w:val="yellow"/>
        </w:rPr>
        <w:t>, which produced nearly evenly distributed chromophores.</w:t>
      </w:r>
      <w:r w:rsidR="00361F8A" w:rsidRPr="00A421C5">
        <w:rPr>
          <w:highlight w:val="yellow"/>
        </w:rPr>
        <w:t xml:space="preserve"> To simulate the low laser power utilized experimentally,</w:t>
      </w:r>
      <w:r w:rsidR="00642F24">
        <w:rPr>
          <w:highlight w:val="yellow"/>
        </w:rPr>
        <w:fldChar w:fldCharType="begin" w:fldLock="1"/>
      </w:r>
      <w:r w:rsidR="00642F24">
        <w:rPr>
          <w:highlight w:val="yellow"/>
        </w:rPr>
        <w:instrText>ADDIN CSL_CITATION {"citationItems":[{"id":"ITEM-1","itemData":{"DOI":"10.1021/acsami.7b01542","ISSN":"19448252","author":[{"dropping-particle":"","family":"Sampaio","given":"Renato N.","non-dropping-particle":"","parse-names":false,"suffix":""},{"dropping-particle":"V.","family":"Müller","given":"Andressa","non-dropping-particle":"","parse-names":false,"suffix":""},{"dropping-particle":"","family":"Polo","given":"André S.","non-dropping-particle":"","parse-names":false,"suffix":""},{"dropping-particle":"","family":"Meyer","given":"Gerald J.","non-dropping-particle":"","parse-names":false,"suffix":""}],"container-title":"ACS Applied Materials and Interfaces","id":"ITEM-1","issue":"39","issued":{"date-parts":[["2017"]]},"page":"33446-33454","title":"Correlation between charge recombination and lateral hole- hopping kinetics in a series of cis-Ru(phen′)(dcb)(NCS)Ph2Dye- Sensitized Solar Cells","type":"article-journal","volume":"9"},"uris":["http://www.mendeley.com/documents/?uuid=06d15de2-c67c-46cf-9fb2-5c9a6a31e80d"]}],"mendeley":{"formattedCitation":"&lt;sup&gt;36&lt;/sup&gt;","plainTextFormattedCitation":"36"},"properties":{"noteIndex":0},"schema":"https://github.com/citation-style-language/schema/raw/master/csl-citation.json"}</w:instrText>
      </w:r>
      <w:r w:rsidR="00642F24">
        <w:rPr>
          <w:highlight w:val="yellow"/>
        </w:rPr>
        <w:fldChar w:fldCharType="separate"/>
      </w:r>
      <w:r w:rsidR="00642F24" w:rsidRPr="00642F24">
        <w:rPr>
          <w:noProof/>
          <w:highlight w:val="yellow"/>
          <w:vertAlign w:val="superscript"/>
        </w:rPr>
        <w:t>36</w:t>
      </w:r>
      <w:r w:rsidR="00642F24">
        <w:rPr>
          <w:highlight w:val="yellow"/>
        </w:rPr>
        <w:fldChar w:fldCharType="end"/>
      </w:r>
      <w:r w:rsidR="00361F8A" w:rsidRPr="00A421C5">
        <w:rPr>
          <w:highlight w:val="yellow"/>
        </w:rPr>
        <w:t xml:space="preserve"> one hole was generated per nanocrystallite for each simulation. </w:t>
      </w:r>
      <w:r w:rsidR="00BE57E3" w:rsidRPr="00A421C5">
        <w:rPr>
          <w:highlight w:val="yellow"/>
        </w:rPr>
        <w:t>The probability of a</w:t>
      </w:r>
      <w:r w:rsidR="00BE57E3" w:rsidRPr="00A421C5">
        <w:rPr>
          <w:highlight w:val="yellow"/>
        </w:rPr>
        <w:t>n initial</w:t>
      </w:r>
      <w:r w:rsidR="00BE57E3" w:rsidRPr="00A421C5">
        <w:rPr>
          <w:highlight w:val="yellow"/>
        </w:rPr>
        <w:t xml:space="preserve"> hole being generated at a specific location was proportional to cos</w:t>
      </w:r>
      <w:r w:rsidR="00BE57E3" w:rsidRPr="00A421C5">
        <w:rPr>
          <w:highlight w:val="yellow"/>
          <w:vertAlign w:val="superscript"/>
        </w:rPr>
        <w:t>2</w:t>
      </w:r>
      <w:r w:rsidR="00BE57E3" w:rsidRPr="00A421C5">
        <w:rPr>
          <w:highlight w:val="yellow"/>
        </w:rPr>
        <w:t>φ, where φ is the inclination angle of the vertical plane, i.e. vertically polarized light has φ = 0.</w:t>
      </w:r>
      <w:r w:rsidR="00BE57E3" w:rsidRPr="00A421C5">
        <w:rPr>
          <w:highlight w:val="yellow"/>
        </w:rPr>
        <w:t xml:space="preserve"> For each initialization</w:t>
      </w:r>
      <w:r w:rsidR="007A0DAF" w:rsidRPr="00A421C5">
        <w:rPr>
          <w:highlight w:val="yellow"/>
        </w:rPr>
        <w:t>, the excited-state chromophore generated after vertically-polarized excitation was assumed to quantitatively inject an electron. After formation of the oxidized chromophore</w:t>
      </w:r>
      <w:r w:rsidR="00450FAB" w:rsidRPr="00A421C5">
        <w:rPr>
          <w:highlight w:val="yellow"/>
        </w:rPr>
        <w:t>, or hole</w:t>
      </w:r>
      <w:r w:rsidR="007A0DAF" w:rsidRPr="00A421C5">
        <w:rPr>
          <w:highlight w:val="yellow"/>
        </w:rPr>
        <w:t>, a random walk simulation was performed. For each chromophore, 10,000 random walks consisting of 1000 iterations were averaged to determine the simulated anisotropy decay as a function of iteration step.</w:t>
      </w:r>
      <w:r w:rsidR="00BE57E3" w:rsidRPr="00A421C5">
        <w:rPr>
          <w:highlight w:val="yellow"/>
        </w:rPr>
        <w:t xml:space="preserve"> </w:t>
      </w:r>
      <w:r w:rsidR="00BE57E3" w:rsidRPr="00A421C5">
        <w:rPr>
          <w:highlight w:val="yellow"/>
        </w:rPr>
        <w:t>Self-exchange electron transfer was modeled with an exponential distance dependence for the probability of transfer with β</w:t>
      </w:r>
      <w:r w:rsidR="00BE57E3" w:rsidRPr="00A421C5">
        <w:rPr>
          <w:highlight w:val="yellow"/>
          <w:vertAlign w:val="subscript"/>
        </w:rPr>
        <w:t>transfer</w:t>
      </w:r>
      <w:r w:rsidR="00BE57E3" w:rsidRPr="00A421C5">
        <w:rPr>
          <w:highlight w:val="yellow"/>
        </w:rPr>
        <w:t xml:space="preserve"> = 1.2 Å</w:t>
      </w:r>
      <w:r w:rsidR="00BE57E3" w:rsidRPr="00A421C5">
        <w:rPr>
          <w:highlight w:val="yellow"/>
          <w:vertAlign w:val="superscript"/>
        </w:rPr>
        <w:t>-1</w:t>
      </w:r>
      <w:r w:rsidR="00BE57E3" w:rsidRPr="00A421C5">
        <w:rPr>
          <w:highlight w:val="yellow"/>
        </w:rPr>
        <w:t>, as was previously determined.</w:t>
      </w:r>
      <w:r w:rsidR="00BE57E3" w:rsidRPr="00A421C5">
        <w:rPr>
          <w:highlight w:val="yellow"/>
        </w:rPr>
        <w:fldChar w:fldCharType="begin" w:fldLock="1"/>
      </w:r>
      <w:r w:rsidR="00BE57E3" w:rsidRPr="00A421C5">
        <w:rPr>
          <w:highlight w:val="yellow"/>
        </w:rPr>
        <w:instrText>ADDIN CSL_CITATION {"citationItems":[{"id":"ITEM-1","itemData":{"DOI":"10.1021/acs.jpcc.8b05281","ISSN":"19327455","author":[{"dropping-particle":"","family":"Motley","given":"Tyler C.","non-dropping-particle":"","parse-names":false,"suffix":""},{"dropping-particle":"","family":"Brady","given":"Matthew D.","non-dropping-particle":"","parse-names":false,"suffix":""},{"dropping-particle":"","family":"Meyer","given":"Gerald J.","non-dropping-particle":"","parse-names":false,"suffix":""}],"container-title":"Journal of Physical Chemistry C","id":"ITEM-1","issue":"34","issued":{"date-parts":[["2018"]]},"page":"19385-19394","title":"Influence of 4 and 4′ substituents on RuIII/II bipyridyl self-exchange electron transfer across nanocrystalline TiO2 Surfaces","type":"article-journal","volume":"122"},"uris":["http://www.mendeley.com/documents/?uuid=695427e8-9304-4149-afed-7ece9d707228"]}],"mendeley":{"formattedCitation":"&lt;sup&gt;46&lt;/sup&gt;","plainTextFormattedCitation":"46","previouslyFormattedCitation":"&lt;sup&gt;46&lt;/sup&gt;"},"properties":{"noteIndex":0},"schema":"https://github.com/citation-style-language/schema/raw/master/csl-citation.json"}</w:instrText>
      </w:r>
      <w:r w:rsidR="00BE57E3" w:rsidRPr="00A421C5">
        <w:rPr>
          <w:highlight w:val="yellow"/>
        </w:rPr>
        <w:fldChar w:fldCharType="separate"/>
      </w:r>
      <w:r w:rsidR="00BE57E3" w:rsidRPr="00A421C5">
        <w:rPr>
          <w:noProof/>
          <w:highlight w:val="yellow"/>
          <w:vertAlign w:val="superscript"/>
        </w:rPr>
        <w:t>46</w:t>
      </w:r>
      <w:r w:rsidR="00BE57E3" w:rsidRPr="00A421C5">
        <w:rPr>
          <w:highlight w:val="yellow"/>
        </w:rPr>
        <w:fldChar w:fldCharType="end"/>
      </w:r>
      <w:r w:rsidR="00617070" w:rsidRPr="00A421C5">
        <w:rPr>
          <w:highlight w:val="yellow"/>
        </w:rPr>
        <w:t xml:space="preserve"> </w:t>
      </w:r>
      <w:r w:rsidR="00C54A02" w:rsidRPr="00A421C5">
        <w:rPr>
          <w:highlight w:val="yellow"/>
        </w:rPr>
        <w:t>The anisotropy</w:t>
      </w:r>
      <w:r w:rsidR="00C54A02" w:rsidRPr="00A421C5">
        <w:rPr>
          <w:highlight w:val="yellow"/>
        </w:rPr>
        <w:t xml:space="preserve">, </w:t>
      </w:r>
      <w:r w:rsidR="00C54A02" w:rsidRPr="00A421C5">
        <w:rPr>
          <w:i/>
          <w:iCs/>
          <w:highlight w:val="yellow"/>
        </w:rPr>
        <w:t>r</w:t>
      </w:r>
      <w:r w:rsidR="00C54A02" w:rsidRPr="00A421C5">
        <w:rPr>
          <w:highlight w:val="yellow"/>
        </w:rPr>
        <w:t>,</w:t>
      </w:r>
      <w:r w:rsidR="00C54A02" w:rsidRPr="00A421C5">
        <w:rPr>
          <w:highlight w:val="yellow"/>
        </w:rPr>
        <w:t xml:space="preserve"> at any time during the random walk was calculated via </w:t>
      </w:r>
      <w:r w:rsidR="00C54A02" w:rsidRPr="00A421C5">
        <w:rPr>
          <w:b/>
          <w:highlight w:val="yellow"/>
        </w:rPr>
        <w:t xml:space="preserve">Equation </w:t>
      </w:r>
      <w:r w:rsidR="00A421C5">
        <w:rPr>
          <w:b/>
          <w:highlight w:val="yellow"/>
        </w:rPr>
        <w:t>3</w:t>
      </w:r>
      <w:r w:rsidR="00C54A02" w:rsidRPr="00A421C5">
        <w:rPr>
          <w:highlight w:val="yellow"/>
        </w:rPr>
        <w:t>, where &lt;cos</w:t>
      </w:r>
      <w:r w:rsidR="00C54A02" w:rsidRPr="00A421C5">
        <w:rPr>
          <w:highlight w:val="yellow"/>
          <w:vertAlign w:val="superscript"/>
        </w:rPr>
        <w:t>2</w:t>
      </w:r>
      <w:r w:rsidR="00C54A02" w:rsidRPr="00A421C5">
        <w:rPr>
          <w:highlight w:val="yellow"/>
        </w:rPr>
        <w:t>φ&gt; was the average of the square of the cosine of the inclination angle</w:t>
      </w:r>
      <w:r w:rsidR="00C54A02" w:rsidRPr="00A421C5">
        <w:rPr>
          <w:highlight w:val="yellow"/>
        </w:rPr>
        <w:t xml:space="preserve"> of the position of the hole</w:t>
      </w:r>
      <w:r w:rsidR="00C54A02" w:rsidRPr="00A421C5">
        <w:rPr>
          <w:highlight w:val="yellow"/>
        </w:rPr>
        <w:t>.</w:t>
      </w:r>
    </w:p>
    <w:p w14:paraId="276E8F28" w14:textId="77777777" w:rsidR="00C54A02" w:rsidRPr="00A421C5" w:rsidRDefault="00C54A02" w:rsidP="00C54A02">
      <w:pPr>
        <w:pStyle w:val="NoSpacing"/>
        <w:spacing w:line="360" w:lineRule="auto"/>
        <w:jc w:val="both"/>
        <w:rPr>
          <w:highlight w:val="yellow"/>
        </w:rPr>
      </w:pPr>
    </w:p>
    <w:p w14:paraId="5776B1E5" w14:textId="54109607" w:rsidR="00C54A02" w:rsidRPr="00A421C5" w:rsidRDefault="00C54A02" w:rsidP="00C54A02">
      <w:pPr>
        <w:pStyle w:val="NoSpacing"/>
        <w:spacing w:line="360" w:lineRule="auto"/>
        <w:jc w:val="both"/>
        <w:rPr>
          <w:highlight w:val="yellow"/>
        </w:rPr>
      </w:pPr>
      <m:oMathPara>
        <m:oMath>
          <m:r>
            <w:rPr>
              <w:rFonts w:ascii="Cambria Math" w:eastAsiaTheme="minorEastAsia" w:hAnsi="Cambria Math"/>
              <w:highlight w:val="yellow"/>
            </w:rPr>
            <m:t>r=</m:t>
          </m:r>
          <m:f>
            <m:fPr>
              <m:ctrlPr>
                <w:rPr>
                  <w:rFonts w:ascii="Cambria Math" w:eastAsiaTheme="minorEastAsia" w:hAnsi="Cambria Math"/>
                  <w:i/>
                  <w:highlight w:val="yellow"/>
                </w:rPr>
              </m:ctrlPr>
            </m:fPr>
            <m:num>
              <m:r>
                <w:rPr>
                  <w:rFonts w:ascii="Cambria Math" w:eastAsiaTheme="minorEastAsia" w:hAnsi="Cambria Math"/>
                  <w:highlight w:val="yellow"/>
                </w:rPr>
                <m:t>3&lt;</m:t>
              </m:r>
              <m:sSup>
                <m:sSupPr>
                  <m:ctrlPr>
                    <w:rPr>
                      <w:rFonts w:ascii="Cambria Math" w:eastAsiaTheme="minorEastAsia" w:hAnsi="Cambria Math"/>
                      <w:highlight w:val="yellow"/>
                    </w:rPr>
                  </m:ctrlPr>
                </m:sSupPr>
                <m:e>
                  <m:r>
                    <m:rPr>
                      <m:sty m:val="p"/>
                    </m:rPr>
                    <w:rPr>
                      <w:rFonts w:ascii="Cambria Math" w:eastAsiaTheme="minorEastAsia" w:hAnsi="Cambria Math"/>
                      <w:highlight w:val="yellow"/>
                    </w:rPr>
                    <m:t>cos</m:t>
                  </m:r>
                </m:e>
                <m:sup>
                  <m:r>
                    <w:rPr>
                      <w:rFonts w:ascii="Cambria Math" w:eastAsiaTheme="minorEastAsia" w:hAnsi="Cambria Math"/>
                      <w:highlight w:val="yellow"/>
                    </w:rPr>
                    <m:t>2</m:t>
                  </m:r>
                </m:sup>
              </m:sSup>
              <m:r>
                <m:rPr>
                  <m:sty m:val="p"/>
                </m:rPr>
                <w:rPr>
                  <w:rFonts w:ascii="Cambria Math" w:eastAsiaTheme="minorEastAsia" w:hAnsi="Cambria Math"/>
                  <w:highlight w:val="yellow"/>
                </w:rPr>
                <m:t>φ</m:t>
              </m:r>
              <m:r>
                <w:rPr>
                  <w:rFonts w:ascii="Cambria Math" w:eastAsiaTheme="minorEastAsia" w:hAnsi="Cambria Math"/>
                  <w:highlight w:val="yellow"/>
                </w:rPr>
                <m:t>&gt;-1</m:t>
              </m:r>
            </m:num>
            <m:den>
              <m:r>
                <w:rPr>
                  <w:rFonts w:ascii="Cambria Math" w:eastAsiaTheme="minorEastAsia" w:hAnsi="Cambria Math"/>
                  <w:highlight w:val="yellow"/>
                </w:rPr>
                <m:t>2</m:t>
              </m:r>
            </m:den>
          </m:f>
          <m:r>
            <m:rPr>
              <m:sty m:val="p"/>
            </m:rPr>
            <w:rPr>
              <w:rFonts w:ascii="Cambria Math" w:hAnsi="Cambria Math"/>
              <w:highlight w:val="yellow"/>
            </w:rPr>
            <m:t xml:space="preserve">                (</m:t>
          </m:r>
          <m:r>
            <m:rPr>
              <m:sty m:val="p"/>
            </m:rPr>
            <w:rPr>
              <w:rFonts w:ascii="Cambria Math" w:hAnsi="Cambria Math"/>
              <w:highlight w:val="yellow"/>
            </w:rPr>
            <m:t>3</m:t>
          </m:r>
          <m:r>
            <m:rPr>
              <m:sty m:val="p"/>
            </m:rPr>
            <w:rPr>
              <w:rFonts w:ascii="Cambria Math" w:eastAsiaTheme="minorEastAsia" w:hAnsi="Cambria Math"/>
              <w:highlight w:val="yellow"/>
            </w:rPr>
            <m:t>)</m:t>
          </m:r>
        </m:oMath>
      </m:oMathPara>
    </w:p>
    <w:p w14:paraId="041F9A0B" w14:textId="3A78CB49" w:rsidR="00664A01" w:rsidRPr="00A421C5" w:rsidRDefault="00664A01" w:rsidP="00416D83">
      <w:pPr>
        <w:pStyle w:val="NoSpacing"/>
        <w:spacing w:line="360" w:lineRule="auto"/>
        <w:jc w:val="both"/>
        <w:rPr>
          <w:highlight w:val="yellow"/>
        </w:rPr>
      </w:pPr>
    </w:p>
    <w:p w14:paraId="769263E4" w14:textId="60E2347A" w:rsidR="00A95156" w:rsidRDefault="00A95156" w:rsidP="00A95156">
      <w:pPr>
        <w:pStyle w:val="NoSpacing"/>
        <w:spacing w:line="360" w:lineRule="auto"/>
        <w:jc w:val="both"/>
      </w:pPr>
      <w:r w:rsidRPr="00A421C5">
        <w:rPr>
          <w:highlight w:val="yellow"/>
        </w:rPr>
        <w:t xml:space="preserve">With the time per iteration step as the only adjustable parameter, the experimentally determined anisotropy decays were modeled directly with the simulated anisotropy decays. </w:t>
      </w:r>
      <w:r w:rsidRPr="00A421C5">
        <w:rPr>
          <w:highlight w:val="yellow"/>
        </w:rPr>
        <w:t xml:space="preserve">The best fit with respect to time per iteration was then utilized to determine the resulting self-exchange rate constant, </w:t>
      </w:r>
      <w:r w:rsidRPr="00A421C5">
        <w:rPr>
          <w:i/>
          <w:highlight w:val="yellow"/>
        </w:rPr>
        <w:t>k</w:t>
      </w:r>
      <w:r w:rsidRPr="00A421C5">
        <w:rPr>
          <w:highlight w:val="yellow"/>
          <w:vertAlign w:val="subscript"/>
        </w:rPr>
        <w:t>MC</w:t>
      </w:r>
      <w:r w:rsidRPr="00A421C5">
        <w:rPr>
          <w:highlight w:val="yellow"/>
        </w:rPr>
        <w:t>, for each chromophore.</w:t>
      </w:r>
      <w:r w:rsidR="00333B05" w:rsidRPr="00A421C5">
        <w:rPr>
          <w:highlight w:val="yellow"/>
        </w:rPr>
        <w:t xml:space="preserve"> The </w:t>
      </w:r>
      <w:r w:rsidRPr="00A421C5">
        <w:rPr>
          <w:highlight w:val="yellow"/>
        </w:rPr>
        <w:t>Monte Carlo simulations were performed with Wolfram Mathematica 11.0.1.0 on a PC running an Intel Core i7-4720HQ CPU at 2.60 GHz.</w:t>
      </w:r>
    </w:p>
    <w:p w14:paraId="5FFFC3DE" w14:textId="720A025F" w:rsidR="00664A01" w:rsidRDefault="00664A01" w:rsidP="00416D83">
      <w:pPr>
        <w:pStyle w:val="NoSpacing"/>
        <w:spacing w:line="360" w:lineRule="auto"/>
        <w:jc w:val="both"/>
      </w:pPr>
    </w:p>
    <w:p w14:paraId="18CE30E4" w14:textId="32A9E8A1" w:rsidR="0051645A" w:rsidRDefault="001352D8" w:rsidP="00416D83">
      <w:pPr>
        <w:pStyle w:val="NoSpacing"/>
        <w:spacing w:line="360" w:lineRule="auto"/>
        <w:jc w:val="both"/>
      </w:pPr>
      <w:r>
        <w:rPr>
          <w:b/>
        </w:rPr>
        <w:t>RESULTS.</w:t>
      </w:r>
    </w:p>
    <w:p w14:paraId="6781764A" w14:textId="5D313DC2" w:rsidR="00047139" w:rsidRDefault="000841E6" w:rsidP="00047139">
      <w:pPr>
        <w:pStyle w:val="NoSpacing"/>
        <w:spacing w:line="360" w:lineRule="auto"/>
        <w:jc w:val="both"/>
      </w:pPr>
      <w:r>
        <w:t>The three chromophores were synthesized through</w:t>
      </w:r>
      <w:r w:rsidR="00311A44">
        <w:t xml:space="preserve"> a</w:t>
      </w:r>
      <w:r>
        <w:t xml:space="preserve"> standard</w:t>
      </w:r>
      <w:r w:rsidR="00311A44">
        <w:t xml:space="preserve"> microwave</w:t>
      </w:r>
      <w:r>
        <w:t xml:space="preserve"> procedure</w:t>
      </w:r>
      <w:r w:rsidR="00E352E7">
        <w:t xml:space="preserve"> consistent with previous publication.</w:t>
      </w:r>
      <w:r w:rsidR="00E96A19">
        <w:fldChar w:fldCharType="begin" w:fldLock="1"/>
      </w:r>
      <w:r w:rsidR="005F5C5F">
        <w:instrText>ADDIN CSL_CITATION {"citationItems":[{"id":"ITEM-1","itemData":{"DOI":"10.1021/ic501682k","ISSN":"1520510X","PMID":"25532589","abstract":"In the design of light-harvesting chromophores for use in dye-sensitized photoelectrosynthesis cells (DSPECs), surface binding to metal oxides in aqueous solutions is often inhibited by synthetic difficulties. We report here a systematic synthesis approach for preparing a family of Ru(II) polypyridyl complexes of the type [Ru(4,4'-R2-bpy)2(4,4'-(PO3H2)2-bpy)](2+) (4,4'(PO3H2)2-bpy = [2,2'-bipyridine]-4,4'-diylbis(phosphonic acid); 4,4'-R2-bpy = 4,4'-R2-2,2'-bipyridine; and R = OCH3, CH3, H, or Br). In this series, the nature of the 4,4'-R2-bpy ligand is modified through the incorporation of electron-donating (R = OCH3 or CH3) or electron-withdrawing (R = Br) functionalities to tune redox potentials and excited-state energies. Electrochemical measurements show that the ground-state potentials, E(o')(Ru(3+/2+)), vary from 1.08 to 1.45 V (vs NHE) when the complexes are immobilized on TiO2 electrodes in aqueous HClO4 (0.1 M) as a result of increased Ru dπ-π* back-bonding caused by the lowering of the π* orbitals on the 4,4'-R2-bpy ligand. The same ligand variations cause a negligible shift in the metal-to-ligand charge-transfer absorption energies. Emission energies decrease from λmax = 644 to 708 nm across the series. Excited-state redox potentials are derived from single-mode Franck-Condon analyses of room-temperature emission spectra and are discussed in the context of DSPEC applications.","author":[{"dropping-particle":"","family":"Ashford","given":"Dennis L","non-dropping-particle":"","parse-names":false,"suffix":""},{"dropping-particle":"","family":"Brennaman","given":"M Kyle","non-dropping-particle":"","parse-names":false,"suffix":""},{"dropping-particle":"","family":"Brown","given":"Robert J","non-dropping-particle":"","parse-names":false,"suffix":""},{"dropping-particle":"","family":"Keinan","given":"Shahar","non-dropping-particle":"","parse-names":false,"suffix":""},{"dropping-particle":"","family":"Concepcion","given":"Javier J","non-dropping-particle":"","parse-names":false,"suffix":""},{"dropping-particle":"","family":"Papanikolas","given":"John M","non-dropping-particle":"","parse-names":false,"suffix":""},{"dropping-particle":"","family":"Templeton","given":"Joseph L","non-dropping-particle":"","parse-names":false,"suffix":""},{"dropping-particle":"","family":"Meyer","given":"Thomas J","non-dropping-particle":"","parse-names":false,"suffix":""}],"container-title":"Inorganic Chemistry","id":"ITEM-1","issue":"2","issued":{"date-parts":[["2015"]]},"page":"460-469","title":"Varying the electronic structure of surface-bound ruthenium(II) polypyridyl complexes","type":"article-journal","volume":"54"},"uris":["http://www.mendeley.com/documents/?uuid=43b20b87-e00a-4da1-b9bb-a62ecbc93a3f"]}],"mendeley":{"formattedCitation":"&lt;sup&gt;51&lt;/sup&gt;","plainTextFormattedCitation":"51","previouslyFormattedCitation":"&lt;sup&gt;51&lt;/sup&gt;"},"properties":{"noteIndex":0},"schema":"https://github.com/citation-style-language/schema/raw/master/csl-citation.json"}</w:instrText>
      </w:r>
      <w:r w:rsidR="00E96A19">
        <w:fldChar w:fldCharType="separate"/>
      </w:r>
      <w:r w:rsidR="005F5C5F" w:rsidRPr="005F5C5F">
        <w:rPr>
          <w:noProof/>
          <w:vertAlign w:val="superscript"/>
        </w:rPr>
        <w:t>51</w:t>
      </w:r>
      <w:r w:rsidR="00E96A19">
        <w:fldChar w:fldCharType="end"/>
      </w:r>
      <w:r>
        <w:t xml:space="preserve"> </w:t>
      </w:r>
      <w:r w:rsidR="00243020">
        <w:t>Upon surface binding</w:t>
      </w:r>
      <w:r w:rsidR="00C27EF2">
        <w:t xml:space="preserve"> to TiO</w:t>
      </w:r>
      <w:r w:rsidR="00C27EF2">
        <w:rPr>
          <w:vertAlign w:val="subscript"/>
        </w:rPr>
        <w:t>2</w:t>
      </w:r>
      <w:r w:rsidR="00243020">
        <w:t xml:space="preserve">, </w:t>
      </w:r>
      <w:r w:rsidR="00731380">
        <w:t>the chromophores retained their characteristic</w:t>
      </w:r>
      <w:r w:rsidR="00C27EF2">
        <w:t xml:space="preserve"> metal-to-ligand charge transfer</w:t>
      </w:r>
      <w:r w:rsidR="00731380">
        <w:t xml:space="preserve"> </w:t>
      </w:r>
      <w:r w:rsidR="00C27EF2">
        <w:t>(</w:t>
      </w:r>
      <w:r w:rsidR="00731380">
        <w:t>MLCT</w:t>
      </w:r>
      <w:r w:rsidR="00C27EF2">
        <w:t>)</w:t>
      </w:r>
      <w:r w:rsidR="00731380">
        <w:t xml:space="preserve"> absorption features centered around 460 nm</w:t>
      </w:r>
      <w:r w:rsidR="001F08CF">
        <w:t xml:space="preserve"> (</w:t>
      </w:r>
      <w:r w:rsidR="001F08CF" w:rsidRPr="00EE38F8">
        <w:rPr>
          <w:b/>
        </w:rPr>
        <w:t>Figure 1</w:t>
      </w:r>
      <w:r w:rsidR="001F08CF">
        <w:t>)</w:t>
      </w:r>
      <w:r w:rsidR="00731380">
        <w:t>.</w:t>
      </w:r>
      <w:r w:rsidR="00DE6FE0">
        <w:t xml:space="preserve"> </w:t>
      </w:r>
      <w:r w:rsidR="00671466">
        <w:t xml:space="preserve">After </w:t>
      </w:r>
      <w:r w:rsidR="00ED74A0">
        <w:t>10</w:t>
      </w:r>
      <w:r w:rsidR="00DE6FE0">
        <w:t xml:space="preserve"> </w:t>
      </w:r>
      <w:r w:rsidR="00ED74A0">
        <w:t>cycles of</w:t>
      </w:r>
      <w:r w:rsidR="00DE6FE0">
        <w:t xml:space="preserve"> </w:t>
      </w:r>
      <w:r w:rsidR="00ED74A0">
        <w:t>Al</w:t>
      </w:r>
      <w:r w:rsidR="00ED74A0">
        <w:rPr>
          <w:vertAlign w:val="subscript"/>
        </w:rPr>
        <w:t>2</w:t>
      </w:r>
      <w:r w:rsidR="00ED74A0">
        <w:t>O</w:t>
      </w:r>
      <w:r w:rsidR="00ED74A0">
        <w:rPr>
          <w:vertAlign w:val="subscript"/>
        </w:rPr>
        <w:t>3</w:t>
      </w:r>
      <w:r w:rsidR="00A3401F">
        <w:rPr>
          <w:vertAlign w:val="subscript"/>
        </w:rPr>
        <w:t xml:space="preserve"> </w:t>
      </w:r>
      <w:r w:rsidR="00A3401F">
        <w:t>were deposited by atomic layer deposition (ALD)</w:t>
      </w:r>
      <w:r w:rsidR="00ED74A0">
        <w:t xml:space="preserve">, the absorption features were largely preserved, with </w:t>
      </w:r>
      <w:r w:rsidR="00DE6FE0">
        <w:t xml:space="preserve">some </w:t>
      </w:r>
      <w:r w:rsidR="00ED74A0">
        <w:t xml:space="preserve">broadening of the </w:t>
      </w:r>
      <w:r w:rsidR="00047139">
        <w:t>absorption band displayed beyond 500 nm as has been previously observed.</w:t>
      </w:r>
      <w:r w:rsidR="00047139">
        <w:fldChar w:fldCharType="begin" w:fldLock="1"/>
      </w:r>
      <w:r w:rsidR="00D23E49">
        <w:instrText>ADDIN CSL_CITATION {"citationItems":[{"id":"ITEM-1","itemData":{"DOI":"10.1039/c4cp01130a","ISBN":"10.1039/C4CP01130A","ISSN":"14639076","PMID":"24676056","abstract":"&lt;p&gt;Dye sensitized solar cells (DSSCs) are coated with subnanometer oxide coatings to prevent device degradation in ambient humidity and high temperatures.&lt;/p&gt;","author":[{"dropping-particle":"","family":"Kim","given":"Do Han","non-dropping-particle":"","parse-names":false,"suffix":""},{"dropping-particle":"","family":"Losego","given":"Mark D.","non-dropping-particle":"","parse-names":false,"suffix":""},{"dropping-particle":"","family":"Hanson","given":"Kenneth","non-dropping-particle":"","parse-names":false,"suffix":""},{"dropping-particle":"","family":"Alibabaei","given":"Leila","non-dropping-particle":"","parse-names":false,"suffix":""},{"dropping-particle":"","family":"Lee","given":"Kyoungmi","non-dropping-particle":"","parse-names":false,"suffix":""},{"dropping-particle":"","family":"Meyer","given":"Thomas J.","non-dropping-particle":"","parse-names":false,"suffix":""},{"dropping-particle":"","family":"Parsons","given":"Gregory N.","non-dropping-particle":"","parse-names":false,"suffix":""}],"container-title":"Physical Chemistry Chemical Physics","id":"ITEM-1","issue":"18","issued":{"date-parts":[["2014"]]},"page":"8615-8622","title":"Stabilizing chromophore binding on TiO2 for long-term stability of dye-sensitized solar cells using multicomponent atomic layer deposition","type":"article-journal","volume":"16"},"uris":["http://www.mendeley.com/documents/?uuid=f787683d-b391-4270-aa68-a2893fabe80b"]},{"id":"ITEM-2","itemData":{"DOI":"10.1039/c5sc01752a","ISBN":"2041-6520","ISSN":"20416539","abstract":"&lt;p&gt; A Ru( &lt;sc&gt;ii&lt;/sc&gt; )-polypyridyl chromophore-catalyst assembly for light-assisted water oxidation is constructed using atomic layer deposition with no covalent bonds between molecules required for bilayer formation. &lt;/p&gt;","author":[{"dropping-particle":"","family":"Lapides","given":"A. M.","non-dropping-particle":"","parse-names":false,"suffix":""},{"dropping-particle":"","family":"Sherman","given":"B. D.","non-dropping-particle":"","parse-names":false,"suffix":""},{"dropping-particle":"","family":"Brennaman","given":"M. K.","non-dropping-particle":"","parse-names":false,"suffix":""},{"dropping-particle":"","family":"Dares","given":"C. J.","non-dropping-particle":"","parse-names":false,"suffix":""},{"dropping-particle":"","family":"Skinner","given":"K. R.","non-dropping-particle":"","parse-names":false,"suffix":""},{"dropping-particle":"","family":"Templeton","given":"J. L.","non-dropping-particle":"","parse-names":false,"suffix":""},{"dropping-particle":"","family":"Meyer","given":"T. J.","non-dropping-particle":"","parse-names":false,"suffix":""}],"container-title":"Chemical Science","id":"ITEM-2","issue":"11","issued":{"date-parts":[["2015"]]},"page":"6398-6406","publisher":"Royal Society of Chemistry","title":"Synthesis, characterization, and water oxidation by a molecular chromophore-catalyst assembly prepared by atomic layer deposition. The \"mummy\" strategy","type":"article-journal","volume":"6"},"uris":["http://www.mendeley.com/documents/?uuid=417e7411-fa41-47a4-a997-7842d2de9c3b"]}],"mendeley":{"formattedCitation":"&lt;sup&gt;39,41&lt;/sup&gt;","plainTextFormattedCitation":"39,41","previouslyFormattedCitation":"&lt;sup&gt;39,41&lt;/sup&gt;"},"properties":{"noteIndex":0},"schema":"https://github.com/citation-style-language/schema/raw/master/csl-citation.json"}</w:instrText>
      </w:r>
      <w:r w:rsidR="00047139">
        <w:fldChar w:fldCharType="separate"/>
      </w:r>
      <w:r w:rsidR="00D23E49" w:rsidRPr="00D23E49">
        <w:rPr>
          <w:noProof/>
          <w:vertAlign w:val="superscript"/>
        </w:rPr>
        <w:t>39,41</w:t>
      </w:r>
      <w:r w:rsidR="00047139">
        <w:fldChar w:fldCharType="end"/>
      </w:r>
      <w:r w:rsidR="00047139">
        <w:t xml:space="preserve"> Herein, the oxide interfaces are abbreviated with a |, for example RuP anchored to TiO</w:t>
      </w:r>
      <w:r w:rsidR="00047139" w:rsidRPr="00A3401F">
        <w:rPr>
          <w:vertAlign w:val="subscript"/>
        </w:rPr>
        <w:t>2</w:t>
      </w:r>
      <w:r w:rsidR="00047139">
        <w:t xml:space="preserve"> is abbreviated TiO</w:t>
      </w:r>
      <w:r w:rsidR="00047139">
        <w:rPr>
          <w:vertAlign w:val="subscript"/>
        </w:rPr>
        <w:t>2</w:t>
      </w:r>
      <w:r w:rsidR="00047139">
        <w:t>|RuP and if an Al</w:t>
      </w:r>
      <w:r w:rsidR="00047139" w:rsidRPr="00A3401F">
        <w:rPr>
          <w:vertAlign w:val="subscript"/>
        </w:rPr>
        <w:t>2</w:t>
      </w:r>
      <w:r w:rsidR="00047139">
        <w:t>O</w:t>
      </w:r>
      <w:r w:rsidR="00047139" w:rsidRPr="00A3401F">
        <w:rPr>
          <w:vertAlign w:val="subscript"/>
        </w:rPr>
        <w:t>3</w:t>
      </w:r>
      <w:r w:rsidR="00047139">
        <w:t xml:space="preserve"> overlayer is present, TiO</w:t>
      </w:r>
      <w:r w:rsidR="00047139">
        <w:rPr>
          <w:vertAlign w:val="subscript"/>
        </w:rPr>
        <w:t>2</w:t>
      </w:r>
      <w:r w:rsidR="00047139">
        <w:t>|RuP|Al</w:t>
      </w:r>
      <w:r w:rsidR="00047139">
        <w:rPr>
          <w:vertAlign w:val="subscript"/>
        </w:rPr>
        <w:t>2</w:t>
      </w:r>
      <w:r w:rsidR="00047139">
        <w:t>O</w:t>
      </w:r>
      <w:r w:rsidR="00047139">
        <w:rPr>
          <w:vertAlign w:val="subscript"/>
        </w:rPr>
        <w:t>3</w:t>
      </w:r>
      <w:r w:rsidR="00047139">
        <w:t>.</w:t>
      </w:r>
    </w:p>
    <w:p w14:paraId="1790F44C" w14:textId="5F8CC028" w:rsidR="008077CA" w:rsidRPr="00DE6FE0" w:rsidRDefault="008077CA" w:rsidP="00102F42">
      <w:pPr>
        <w:pStyle w:val="NoSpacing"/>
        <w:spacing w:line="360" w:lineRule="auto"/>
        <w:ind w:firstLine="720"/>
        <w:jc w:val="both"/>
      </w:pPr>
    </w:p>
    <w:p w14:paraId="183960A4" w14:textId="648024E7" w:rsidR="008077CA" w:rsidRDefault="008077CA" w:rsidP="00416D83">
      <w:pPr>
        <w:pStyle w:val="NoSpacing"/>
        <w:spacing w:line="360" w:lineRule="auto"/>
        <w:jc w:val="both"/>
      </w:pPr>
      <w:r>
        <w:rPr>
          <w:noProof/>
        </w:rPr>
        <w:drawing>
          <wp:inline distT="0" distB="0" distL="0" distR="0" wp14:anchorId="010D35E4" wp14:editId="64DACBA0">
            <wp:extent cx="5943600" cy="1600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96" t="8467" r="3321" b="2343"/>
                    <a:stretch/>
                  </pic:blipFill>
                  <pic:spPr bwMode="auto">
                    <a:xfrm>
                      <a:off x="0" y="0"/>
                      <a:ext cx="5943600" cy="1600200"/>
                    </a:xfrm>
                    <a:prstGeom prst="rect">
                      <a:avLst/>
                    </a:prstGeom>
                    <a:noFill/>
                    <a:ln>
                      <a:noFill/>
                    </a:ln>
                    <a:extLst>
                      <a:ext uri="{53640926-AAD7-44D8-BBD7-CCE9431645EC}">
                        <a14:shadowObscured xmlns:a14="http://schemas.microsoft.com/office/drawing/2010/main"/>
                      </a:ext>
                    </a:extLst>
                  </pic:spPr>
                </pic:pic>
              </a:graphicData>
            </a:graphic>
          </wp:inline>
        </w:drawing>
      </w:r>
    </w:p>
    <w:p w14:paraId="4DB1B61C" w14:textId="6177AE80" w:rsidR="00E03469" w:rsidRPr="002C73EC" w:rsidRDefault="00E03469" w:rsidP="00DC6F92">
      <w:pPr>
        <w:pStyle w:val="NoSpacing"/>
        <w:jc w:val="both"/>
      </w:pPr>
      <w:r w:rsidRPr="008077CA">
        <w:rPr>
          <w:b/>
        </w:rPr>
        <w:t>Figure 1.</w:t>
      </w:r>
      <w:r>
        <w:t xml:space="preserve"> </w:t>
      </w:r>
      <w:r w:rsidR="00A557E6">
        <w:t>The visible absorption</w:t>
      </w:r>
      <w:r>
        <w:t xml:space="preserve"> spectra of </w:t>
      </w:r>
      <w:r w:rsidR="00A557E6">
        <w:t>the indicated mesoporous dye</w:t>
      </w:r>
      <w:r w:rsidR="00761548">
        <w:t>-</w:t>
      </w:r>
      <w:r w:rsidR="00A557E6">
        <w:t xml:space="preserve">sensitized </w:t>
      </w:r>
      <w:r w:rsidR="00BD1049">
        <w:t>TiO</w:t>
      </w:r>
      <w:r w:rsidR="00BD1049">
        <w:rPr>
          <w:vertAlign w:val="subscript"/>
        </w:rPr>
        <w:t>2</w:t>
      </w:r>
      <w:r w:rsidR="00BD1049">
        <w:t xml:space="preserve"> thin films </w:t>
      </w:r>
      <w:r w:rsidR="00A557E6">
        <w:t xml:space="preserve">in </w:t>
      </w:r>
      <w:r w:rsidR="00761548">
        <w:t xml:space="preserve">0.1 </w:t>
      </w:r>
      <w:r w:rsidR="00A557E6">
        <w:t>M LiClO</w:t>
      </w:r>
      <w:r w:rsidR="00A557E6">
        <w:rPr>
          <w:vertAlign w:val="subscript"/>
        </w:rPr>
        <w:t>4</w:t>
      </w:r>
      <w:r w:rsidR="00761548">
        <w:t>/</w:t>
      </w:r>
      <w:r w:rsidR="00A557E6">
        <w:t>CH</w:t>
      </w:r>
      <w:r w:rsidR="00A557E6">
        <w:rPr>
          <w:vertAlign w:val="subscript"/>
        </w:rPr>
        <w:t>3</w:t>
      </w:r>
      <w:r w:rsidR="00A557E6">
        <w:t>CN</w:t>
      </w:r>
      <w:r w:rsidR="002C73EC">
        <w:t xml:space="preserve"> </w:t>
      </w:r>
      <w:r w:rsidR="002C73EC" w:rsidRPr="002C73EC">
        <w:rPr>
          <w:highlight w:val="yellow"/>
        </w:rPr>
        <w:t xml:space="preserve">for </w:t>
      </w:r>
      <w:r w:rsidR="002C73EC" w:rsidRPr="002C73EC">
        <w:rPr>
          <w:b/>
          <w:bCs/>
          <w:highlight w:val="yellow"/>
        </w:rPr>
        <w:t xml:space="preserve">(a) </w:t>
      </w:r>
      <w:r w:rsidR="002C73EC" w:rsidRPr="002C73EC">
        <w:rPr>
          <w:highlight w:val="yellow"/>
        </w:rPr>
        <w:t xml:space="preserve">RuP, </w:t>
      </w:r>
      <w:r w:rsidR="002C73EC" w:rsidRPr="002C73EC">
        <w:rPr>
          <w:b/>
          <w:bCs/>
          <w:highlight w:val="yellow"/>
        </w:rPr>
        <w:t>(b)</w:t>
      </w:r>
      <w:r w:rsidR="002C73EC" w:rsidRPr="002C73EC">
        <w:rPr>
          <w:highlight w:val="yellow"/>
        </w:rPr>
        <w:t xml:space="preserve"> Ru(OMe)</w:t>
      </w:r>
      <w:r w:rsidR="002C73EC" w:rsidRPr="002C73EC">
        <w:rPr>
          <w:highlight w:val="yellow"/>
          <w:vertAlign w:val="subscript"/>
        </w:rPr>
        <w:t>2</w:t>
      </w:r>
      <w:r w:rsidR="002C73EC" w:rsidRPr="002C73EC">
        <w:rPr>
          <w:highlight w:val="yellow"/>
        </w:rPr>
        <w:t xml:space="preserve">P, and </w:t>
      </w:r>
      <w:r w:rsidR="002C73EC" w:rsidRPr="002C73EC">
        <w:rPr>
          <w:b/>
          <w:bCs/>
          <w:highlight w:val="yellow"/>
        </w:rPr>
        <w:t>(c)</w:t>
      </w:r>
      <w:r w:rsidR="002C73EC" w:rsidRPr="002C73EC">
        <w:rPr>
          <w:highlight w:val="yellow"/>
        </w:rPr>
        <w:t xml:space="preserve"> Ru(dtb)</w:t>
      </w:r>
      <w:r w:rsidR="002C73EC" w:rsidRPr="002C73EC">
        <w:rPr>
          <w:highlight w:val="yellow"/>
          <w:vertAlign w:val="subscript"/>
        </w:rPr>
        <w:t>2</w:t>
      </w:r>
      <w:r w:rsidR="002C73EC" w:rsidRPr="002C73EC">
        <w:rPr>
          <w:highlight w:val="yellow"/>
        </w:rPr>
        <w:t>P with</w:t>
      </w:r>
      <w:r w:rsidR="00DD0455">
        <w:rPr>
          <w:highlight w:val="yellow"/>
        </w:rPr>
        <w:t>out</w:t>
      </w:r>
      <w:r w:rsidR="002C73EC" w:rsidRPr="002C73EC">
        <w:rPr>
          <w:highlight w:val="yellow"/>
        </w:rPr>
        <w:t xml:space="preserve"> (blue) and with (red) </w:t>
      </w:r>
      <w:r w:rsidR="00DD0455">
        <w:rPr>
          <w:highlight w:val="yellow"/>
        </w:rPr>
        <w:t>an</w:t>
      </w:r>
      <w:r w:rsidR="002C73EC" w:rsidRPr="002C73EC">
        <w:rPr>
          <w:highlight w:val="yellow"/>
        </w:rPr>
        <w:t xml:space="preserve"> Al</w:t>
      </w:r>
      <w:r w:rsidR="002C73EC" w:rsidRPr="002C73EC">
        <w:rPr>
          <w:highlight w:val="yellow"/>
          <w:vertAlign w:val="subscript"/>
        </w:rPr>
        <w:t>2</w:t>
      </w:r>
      <w:r w:rsidR="002C73EC" w:rsidRPr="002C73EC">
        <w:rPr>
          <w:highlight w:val="yellow"/>
        </w:rPr>
        <w:t>O</w:t>
      </w:r>
      <w:r w:rsidR="002C73EC" w:rsidRPr="002C73EC">
        <w:rPr>
          <w:highlight w:val="yellow"/>
          <w:vertAlign w:val="subscript"/>
        </w:rPr>
        <w:t>3</w:t>
      </w:r>
      <w:r w:rsidR="002C73EC" w:rsidRPr="002C73EC">
        <w:rPr>
          <w:highlight w:val="yellow"/>
        </w:rPr>
        <w:t xml:space="preserve"> overlayer.</w:t>
      </w:r>
    </w:p>
    <w:p w14:paraId="18865253" w14:textId="7410F7AA" w:rsidR="00781C9A" w:rsidRDefault="00781C9A" w:rsidP="00416D83">
      <w:pPr>
        <w:pStyle w:val="NoSpacing"/>
        <w:spacing w:line="360" w:lineRule="auto"/>
        <w:jc w:val="both"/>
      </w:pPr>
    </w:p>
    <w:p w14:paraId="41348E93" w14:textId="1024070E" w:rsidR="006605C9" w:rsidRDefault="00962542" w:rsidP="00102F42">
      <w:pPr>
        <w:pStyle w:val="NoSpacing"/>
        <w:spacing w:line="360" w:lineRule="auto"/>
        <w:ind w:firstLine="720"/>
        <w:jc w:val="both"/>
      </w:pPr>
      <w:r>
        <w:t xml:space="preserve">The </w:t>
      </w:r>
      <w:r w:rsidRPr="00121ECE">
        <w:rPr>
          <w:highlight w:val="yellow"/>
        </w:rPr>
        <w:t>surface coverage</w:t>
      </w:r>
      <w:r>
        <w:t>, Γ</w:t>
      </w:r>
      <w:r>
        <w:rPr>
          <w:vertAlign w:val="subscript"/>
        </w:rPr>
        <w:t>0</w:t>
      </w:r>
      <w:r>
        <w:t xml:space="preserve">, was calculated from </w:t>
      </w:r>
      <w:r w:rsidRPr="00190549">
        <w:rPr>
          <w:b/>
          <w:highlight w:val="yellow"/>
        </w:rPr>
        <w:t xml:space="preserve">Equation </w:t>
      </w:r>
      <w:r w:rsidR="00190549" w:rsidRPr="00190549">
        <w:rPr>
          <w:b/>
          <w:highlight w:val="yellow"/>
        </w:rPr>
        <w:t>4</w:t>
      </w:r>
      <w:r>
        <w:t xml:space="preserve">, where </w:t>
      </w:r>
      <w:r>
        <w:rPr>
          <w:i/>
        </w:rPr>
        <w:t>A</w:t>
      </w:r>
      <w:r>
        <w:rPr>
          <w:vertAlign w:val="subscript"/>
        </w:rPr>
        <w:t>MLCT</w:t>
      </w:r>
      <w:r>
        <w:t xml:space="preserve"> is the absorbance maximum </w:t>
      </w:r>
      <w:r w:rsidR="00302B55">
        <w:t>measured at the corresponding</w:t>
      </w:r>
      <w:r>
        <w:t xml:space="preserve"> wavelength, λ</w:t>
      </w:r>
      <w:r>
        <w:rPr>
          <w:vertAlign w:val="subscript"/>
        </w:rPr>
        <w:t>MLCT</w:t>
      </w:r>
      <w:r w:rsidR="00AE4F53">
        <w:t xml:space="preserve">, and </w:t>
      </w:r>
      <w:r w:rsidR="00AE4F53" w:rsidRPr="00127272">
        <w:rPr>
          <w:i/>
        </w:rPr>
        <w:t>ε</w:t>
      </w:r>
      <w:r w:rsidR="00AE4F53" w:rsidRPr="000906D0">
        <w:rPr>
          <w:vertAlign w:val="subscript"/>
        </w:rPr>
        <w:t>MLCT</w:t>
      </w:r>
      <w:r w:rsidR="00AE4F53">
        <w:t xml:space="preserve"> is the molar </w:t>
      </w:r>
      <w:r w:rsidR="009006C2">
        <w:t xml:space="preserve">absorptivity </w:t>
      </w:r>
      <w:r w:rsidR="009006C2">
        <w:lastRenderedPageBreak/>
        <w:t>coefficient</w:t>
      </w:r>
      <w:r w:rsidR="00AE4F53">
        <w:t xml:space="preserve"> (M</w:t>
      </w:r>
      <w:r w:rsidR="00AE4F53">
        <w:rPr>
          <w:vertAlign w:val="superscript"/>
        </w:rPr>
        <w:t>-1</w:t>
      </w:r>
      <w:r w:rsidR="00AE4F53">
        <w:t xml:space="preserve"> cm</w:t>
      </w:r>
      <w:r w:rsidR="00AE4F53">
        <w:rPr>
          <w:vertAlign w:val="superscript"/>
        </w:rPr>
        <w:t>-1</w:t>
      </w:r>
      <w:r w:rsidR="008C14C3">
        <w:t>), which was assumed to retain its value after surface binding.</w:t>
      </w:r>
      <w:r>
        <w:t xml:space="preserve"> </w:t>
      </w:r>
      <w:r w:rsidR="008C14C3">
        <w:t>T</w:t>
      </w:r>
      <w:r w:rsidR="004C28EF">
        <w:t xml:space="preserve">he results are summarized in </w:t>
      </w:r>
      <w:r w:rsidR="004C28EF" w:rsidRPr="00221BF8">
        <w:rPr>
          <w:b/>
        </w:rPr>
        <w:t>Table 1</w:t>
      </w:r>
      <w:r w:rsidR="004C28EF">
        <w:t>.</w:t>
      </w:r>
    </w:p>
    <w:p w14:paraId="137B2BA2" w14:textId="20787E66" w:rsidR="006605C9" w:rsidRPr="00886E6F" w:rsidRDefault="007A0DAF" w:rsidP="00416D83">
      <w:pPr>
        <w:pStyle w:val="NoSpacing"/>
        <w:spacing w:line="360" w:lineRule="auto"/>
        <w:jc w:val="both"/>
      </w:pPr>
      <m:oMathPara>
        <m:oMath>
          <m:sSub>
            <m:sSubPr>
              <m:ctrlPr>
                <w:rPr>
                  <w:rFonts w:ascii="Cambria Math" w:hAnsi="Cambria Math"/>
                  <w:i/>
                </w:rPr>
              </m:ctrlPr>
            </m:sSubPr>
            <m:e>
              <m:r>
                <w:rPr>
                  <w:rFonts w:ascii="Cambria Math" w:hAnsi="Cambria Math"/>
                </w:rPr>
                <m:t>A</m:t>
              </m:r>
            </m:e>
            <m:sub>
              <m:r>
                <m:rPr>
                  <m:sty m:val="p"/>
                </m:rPr>
                <w:rPr>
                  <w:rFonts w:ascii="Cambria Math" w:hAnsi="Cambria Math"/>
                </w:rPr>
                <m:t>MLCT</m:t>
              </m:r>
            </m:sub>
          </m:sSub>
          <m:r>
            <w:rPr>
              <w:rFonts w:ascii="Cambria Math" w:hAnsi="Cambria Math"/>
            </w:rPr>
            <m:t>=1000×</m:t>
          </m:r>
          <m:sSub>
            <m:sSubPr>
              <m:ctrlPr>
                <w:rPr>
                  <w:rFonts w:ascii="Cambria Math" w:hAnsi="Cambria Math"/>
                </w:rPr>
              </m:ctrlPr>
            </m:sSubPr>
            <m:e>
              <m:r>
                <m:rPr>
                  <m:sty m:val="p"/>
                </m:rPr>
                <w:rPr>
                  <w:rFonts w:ascii="Cambria Math" w:hAnsi="Cambria Math"/>
                </w:rPr>
                <m:t>Γ</m:t>
              </m:r>
            </m:e>
            <m:sub>
              <m:r>
                <m:rPr>
                  <m:sty m:val="p"/>
                </m:rP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ε</m:t>
              </m:r>
            </m:e>
            <m:sub>
              <m:r>
                <m:rPr>
                  <m:sty m:val="p"/>
                </m:rPr>
                <w:rPr>
                  <w:rFonts w:ascii="Cambria Math" w:hAnsi="Cambria Math"/>
                </w:rPr>
                <m:t>MLCT</m:t>
              </m:r>
            </m:sub>
          </m:sSub>
          <m:r>
            <w:rPr>
              <w:rFonts w:ascii="Cambria Math" w:eastAsiaTheme="minorEastAsia" w:hAnsi="Cambria Math"/>
            </w:rPr>
            <m:t xml:space="preserve">                     </m:t>
          </m:r>
          <m:r>
            <m:rPr>
              <m:sty m:val="p"/>
            </m:rPr>
            <w:rPr>
              <w:rFonts w:ascii="Cambria Math" w:eastAsiaTheme="minorEastAsia" w:hAnsi="Cambria Math"/>
              <w:highlight w:val="yellow"/>
            </w:rPr>
            <m:t>(</m:t>
          </m:r>
          <m:r>
            <m:rPr>
              <m:sty m:val="p"/>
            </m:rPr>
            <w:rPr>
              <w:rFonts w:ascii="Cambria Math" w:eastAsiaTheme="minorEastAsia" w:hAnsi="Cambria Math"/>
              <w:highlight w:val="yellow"/>
            </w:rPr>
            <m:t>4</m:t>
          </m:r>
          <m:r>
            <m:rPr>
              <m:sty m:val="p"/>
            </m:rPr>
            <w:rPr>
              <w:rFonts w:ascii="Cambria Math" w:eastAsiaTheme="minorEastAsia" w:hAnsi="Cambria Math"/>
              <w:highlight w:val="yellow"/>
            </w:rPr>
            <m:t>)</m:t>
          </m:r>
        </m:oMath>
      </m:oMathPara>
    </w:p>
    <w:p w14:paraId="2C30E0AA" w14:textId="77777777" w:rsidR="00785F43" w:rsidRDefault="00785F43" w:rsidP="00416D83">
      <w:pPr>
        <w:pStyle w:val="NoSpacing"/>
        <w:spacing w:line="360" w:lineRule="auto"/>
        <w:jc w:val="both"/>
      </w:pPr>
    </w:p>
    <w:p w14:paraId="385EA385" w14:textId="1628B579" w:rsidR="009B0CA6" w:rsidRDefault="009B0CA6" w:rsidP="00416D83">
      <w:pPr>
        <w:pStyle w:val="NoSpacing"/>
        <w:spacing w:line="360" w:lineRule="auto"/>
        <w:ind w:firstLine="720"/>
        <w:jc w:val="both"/>
      </w:pPr>
      <w:r>
        <w:t xml:space="preserve">To investigate self-exchange </w:t>
      </w:r>
      <w:r w:rsidR="009006C2">
        <w:t>hole hopping</w:t>
      </w:r>
      <w:r>
        <w:t xml:space="preserve"> rates, c</w:t>
      </w:r>
      <w:r w:rsidR="00781C9A">
        <w:t xml:space="preserve">hronoabsorptometry experiments were conducted </w:t>
      </w:r>
      <w:r>
        <w:t>utilizing</w:t>
      </w:r>
      <w:r w:rsidR="00781C9A">
        <w:t xml:space="preserve"> </w:t>
      </w:r>
      <w:r w:rsidR="00625050">
        <w:t xml:space="preserve">a </w:t>
      </w:r>
      <w:r w:rsidR="00781C9A">
        <w:t>100 mM LiClO</w:t>
      </w:r>
      <w:r w:rsidR="00781C9A">
        <w:rPr>
          <w:vertAlign w:val="subscript"/>
        </w:rPr>
        <w:t>4</w:t>
      </w:r>
      <w:r w:rsidR="009006C2">
        <w:t>/</w:t>
      </w:r>
      <w:r w:rsidR="00781C9A">
        <w:t>CH</w:t>
      </w:r>
      <w:r w:rsidR="00781C9A">
        <w:rPr>
          <w:vertAlign w:val="subscript"/>
        </w:rPr>
        <w:t>3</w:t>
      </w:r>
      <w:r w:rsidR="00781C9A">
        <w:t>CN</w:t>
      </w:r>
      <w:r>
        <w:t xml:space="preserve"> electrolyte</w:t>
      </w:r>
      <w:r w:rsidR="00781C9A">
        <w:t xml:space="preserve"> solution. </w:t>
      </w:r>
      <w:r>
        <w:t>In these experiments, an</w:t>
      </w:r>
      <w:r w:rsidR="00781C9A">
        <w:t xml:space="preserve"> applied potential </w:t>
      </w:r>
      <w:r>
        <w:t xml:space="preserve">step </w:t>
      </w:r>
      <w:r w:rsidR="00781C9A">
        <w:t xml:space="preserve">500 mV </w:t>
      </w:r>
      <w:r>
        <w:t xml:space="preserve">more </w:t>
      </w:r>
      <w:r w:rsidR="00781C9A">
        <w:t xml:space="preserve">positive </w:t>
      </w:r>
      <w:r>
        <w:t xml:space="preserve">than the </w:t>
      </w:r>
      <w:r w:rsidR="00781C9A">
        <w:t xml:space="preserve">chromophore </w:t>
      </w:r>
      <w:r w:rsidR="00781C9A">
        <w:rPr>
          <w:i/>
        </w:rPr>
        <w:t>E</w:t>
      </w:r>
      <w:r w:rsidR="00781C9A">
        <w:rPr>
          <w:vertAlign w:val="subscript"/>
        </w:rPr>
        <w:t>1/2</w:t>
      </w:r>
      <w:r w:rsidR="00781C9A">
        <w:t xml:space="preserve"> (Ru</w:t>
      </w:r>
      <w:r w:rsidR="00781C9A">
        <w:rPr>
          <w:vertAlign w:val="superscript"/>
        </w:rPr>
        <w:t>III/II</w:t>
      </w:r>
      <w:r w:rsidR="00781C9A">
        <w:t>) potential</w:t>
      </w:r>
      <w:r>
        <w:t xml:space="preserve"> was applied while the spectral changes were monitored as a function of time. </w:t>
      </w:r>
      <w:r w:rsidR="004D21D6">
        <w:t>K</w:t>
      </w:r>
      <w:r w:rsidR="006254CF">
        <w:t>inetics were monitored</w:t>
      </w:r>
      <w:r w:rsidR="001A0388">
        <w:t xml:space="preserve"> at the λ</w:t>
      </w:r>
      <w:r w:rsidR="001A0388">
        <w:rPr>
          <w:vertAlign w:val="subscript"/>
        </w:rPr>
        <w:t>MLCT</w:t>
      </w:r>
      <w:r w:rsidR="001A0388">
        <w:t xml:space="preserve"> and were plotted as the normalized absorbance change, </w:t>
      </w:r>
      <w:r w:rsidR="00CD1CF3">
        <w:t>∆</w:t>
      </w:r>
      <w:r w:rsidR="001A0388">
        <w:t xml:space="preserve">A, versus the square root of time, </w:t>
      </w:r>
      <w:r w:rsidR="001A0388" w:rsidRPr="001A0388">
        <w:rPr>
          <w:i/>
        </w:rPr>
        <w:t>t</w:t>
      </w:r>
      <w:r w:rsidR="00CD1CF3" w:rsidRPr="00102F42">
        <w:rPr>
          <w:i/>
          <w:vertAlign w:val="superscript"/>
        </w:rPr>
        <w:t>1/2</w:t>
      </w:r>
      <w:r w:rsidR="00CC1DC4">
        <w:t>.</w:t>
      </w:r>
      <w:r w:rsidR="001A0388">
        <w:t xml:space="preserve"> </w:t>
      </w:r>
      <w:r w:rsidR="00CC1DC4">
        <w:t xml:space="preserve">Typical data is shown in </w:t>
      </w:r>
      <w:r w:rsidR="00CC1DC4" w:rsidRPr="00CC1DC4">
        <w:rPr>
          <w:b/>
        </w:rPr>
        <w:t>Figure 2</w:t>
      </w:r>
      <w:r w:rsidR="001A0388">
        <w:t>.</w:t>
      </w:r>
      <w:r w:rsidR="00EE4CE7">
        <w:t xml:space="preserve"> </w:t>
      </w:r>
      <w:r w:rsidR="006C5858">
        <w:t>Absorbance decreases were observed</w:t>
      </w:r>
      <w:r w:rsidR="00EE4CE7">
        <w:t>, consistent with oxidation of the surface-bound chromophores.</w:t>
      </w:r>
      <w:r w:rsidR="001A0388">
        <w:t xml:space="preserve"> These data were fit to the Anson equation (</w:t>
      </w:r>
      <w:r w:rsidR="001A0388" w:rsidRPr="00190549">
        <w:rPr>
          <w:b/>
          <w:highlight w:val="yellow"/>
        </w:rPr>
        <w:t xml:space="preserve">Equation </w:t>
      </w:r>
      <w:r w:rsidR="00190549" w:rsidRPr="00190549">
        <w:rPr>
          <w:b/>
          <w:highlight w:val="yellow"/>
        </w:rPr>
        <w:t>5</w:t>
      </w:r>
      <w:r w:rsidR="001A0388">
        <w:t xml:space="preserve">), where </w:t>
      </w:r>
      <w:r w:rsidR="001A0388">
        <w:rPr>
          <w:i/>
        </w:rPr>
        <w:t>D</w:t>
      </w:r>
      <w:r w:rsidR="001A0388">
        <w:rPr>
          <w:vertAlign w:val="subscript"/>
        </w:rPr>
        <w:t>CA</w:t>
      </w:r>
      <w:r w:rsidR="001A0388">
        <w:t xml:space="preserve"> is the apparent diffusion coefficient</w:t>
      </w:r>
      <w:r w:rsidR="00121ECE">
        <w:t xml:space="preserve"> </w:t>
      </w:r>
      <w:r w:rsidR="00121ECE" w:rsidRPr="00121ECE">
        <w:rPr>
          <w:highlight w:val="yellow"/>
        </w:rPr>
        <w:t xml:space="preserve">and </w:t>
      </w:r>
      <w:r w:rsidR="00121ECE" w:rsidRPr="00121ECE">
        <w:rPr>
          <w:i/>
          <w:iCs/>
          <w:highlight w:val="yellow"/>
        </w:rPr>
        <w:t>d</w:t>
      </w:r>
      <w:r w:rsidR="00121ECE" w:rsidRPr="00121ECE">
        <w:rPr>
          <w:highlight w:val="yellow"/>
        </w:rPr>
        <w:t xml:space="preserve"> is the film thickness</w:t>
      </w:r>
      <w:r w:rsidR="001A0388">
        <w:t xml:space="preserve">. </w:t>
      </w:r>
      <w:r w:rsidR="00351F26">
        <w:t xml:space="preserve">The Anson equation was previously derived </w:t>
      </w:r>
      <w:r w:rsidR="00EE4CE7">
        <w:t xml:space="preserve">using semi-infinite diffusion boundary conditions for molecules </w:t>
      </w:r>
      <w:r w:rsidR="004D21D6">
        <w:t xml:space="preserve">undergoing diffusion at </w:t>
      </w:r>
      <w:r w:rsidR="00EE4CE7">
        <w:t>electrode surface</w:t>
      </w:r>
      <w:r w:rsidR="004D21D6">
        <w:t>s</w:t>
      </w:r>
      <w:r w:rsidR="00EE4CE7">
        <w:t>.</w:t>
      </w:r>
      <w:r w:rsidR="00610C6E">
        <w:fldChar w:fldCharType="begin" w:fldLock="1"/>
      </w:r>
      <w:r w:rsidR="005F5C5F">
        <w:instrText>ADDIN CSL_CITATION {"citationItems":[{"id":"ITEM-1","itemData":{"DOI":"10.1021/acs.jpcc.6b04438","ISSN":"19327455","abstract":"© 2016 American Chemical Society. Self-exchange intermolecular Ru III/II electron transfer, a process commonly referred to as \"hole-hopping\", is of great interest as it provides a means of charge transport across the surface of nanocrystalline (anatase) TiO 2 mesoporous thin films without the loss of free energy. This process was characterized by cyclic voltammetry and chronoabsorptometry for three homologous Ru diimine compounds of the general form [Ru(LL) 2 (dcbH 2 )](PF 6 ) 2 , where LL is 2,2′-bipyridine (bpy), 4,4′-dimethyl-2,2′-bipyridine (dmb), or 4,4′-di-tert-butyl-2,2′-bipyridine (dtb) and dcbH 2 is 2,2′-bipyridyl-4,4′-dicarboxylic acid. Apparent electron diffusion coefficients, D, abstracted from this data increased with dtb &lt; bpy &lt; dmb. Both techniques were consistent with this trend, despite differences in the magnitude of D between the two methods. Temperature dependent measurements revealed an activation barrier for electron self-exchange of 250 ± 50 meV that was within this error the same for all three diimine compounds, suggesting the total reorganization energy, λ, was also the same. Application of Marcus theory, with the assumption that the 900 ± 100 meV total reorganization energy for self-exchange electron transfer was independent of the Ru compound, revealed that the electronic coupling matrix element, H AB , followed the trend dtb (0.02 meV) &lt; bpy (0.07 meV) &lt; dmb (0.10 meV). The results indicate that insulating side groups placed on redox active molecules can be utilized to tune the electronic coupling and hence self-exchange rate constants without significantly altering the reorganization energy for electron transfer on TiO 2 surfaces.","author":[{"dropping-particle":"","family":"DiMarco","given":"Brian N.","non-dropping-particle":"","parse-names":false,"suffix":""},{"dropping-particle":"","family":"Motley","given":"Tyler C.","non-dropping-particle":"","parse-names":false,"suffix":""},{"dropping-particle":"","family":"Balok","given":"Ryan S.","non-dropping-particle":"","parse-names":false,"suffix":""},{"dropping-particle":"","family":"Li","given":"Guocan","non-dropping-particle":"","parse-names":false,"suffix":""},{"dropping-particle":"","family":"Siegler","given":"Maxime A.","non-dropping-particle":"","parse-names":false,"suffix":""},{"dropping-particle":"","family":"O'Donnell","given":"Ryan M.","non-dropping-particle":"","parse-names":false,"suffix":""},{"dropping-particle":"","family":"Hu","given":"Ke","non-dropping-particle":"","parse-names":false,"suffix":""},{"dropping-particle":"","family":"Meyer","given":"Gerald J.","non-dropping-particle":"","parse-names":false,"suffix":""}],"container-title":"Journal of Physical Chemistry C","id":"ITEM-1","issue":"26","issued":{"date-parts":[["2016"]]},"page":"14226-14235","title":"A Distance Dependence to Lateral Self-Exchange across Nanocrystalline TiO2. A Comparative Study of Three Homologous RuIII/II Polypyridyl Compounds","type":"article-journal","volume":"120"},"uris":["http://www.mendeley.com/documents/?uuid=3b9bc1d5-0a71-4ac5-ab06-01f75db4849b"]},{"id":"ITEM-2","itemData":{"DOI":"10.1021/jp972890j","ISBN":"1520-6106","ISSN":"1520-6106","PMID":"11324617","abstract":"A monolayer of a phosphonated triarylamine adsorbed on nanocrystalline TiO2, ZrO2, or Al2O3 film deposited on conducting glass displays reversible electrochemical and electrochromic behavior although the redox potential of the electroactive molecules (0.80 V vs NHE) lies in the forbidden band of the semiconducting or insulating oxides. The mechanism of charge transport was found to involve hole injection from the conducting support followed by lateral electron hopping within the monolayer. The apparent diffusion coefficient ranged from 2.8 x 10(-12) m(2) s(-1) in the neat 1-ethyl-2-methylimidazolium (EtMeIm(+)Tf(2)N(-)) to 1.1 x 10(-11) m(2) s(-1) in acetonitrile + 2 M EtMeIm(+)Tf(2)N(-). A percolation threshold for electronic conductivity was found at a surface coverage corresponding to 50% of a full monolayer.","author":[{"dropping-particle":"","family":"Bonhôte","given":"Pierre","non-dropping-particle":"","parse-names":false,"suffix":""},{"dropping-particle":"","family":"Gogniat","given":"Eric","non-dropping-particle":"","parse-names":false,"suffix":""},{"dropping-particle":"","family":"Tingry","given":"Sophie","non-dropping-particle":"","parse-names":false,"suffix":""},{"dropping-particle":"","family":"Barbé","given":"Christophe","non-dropping-particle":"","parse-names":false,"suffix":""},{"dropping-particle":"","family":"Vlachopoulos","given":"Nicolas","non-dropping-particle":"","parse-names":false,"suffix":""},{"dropping-particle":"","family":"Lenzmann","given":"Frank","non-dropping-particle":"","parse-names":false,"suffix":""},{"dropping-particle":"","family":"Comte","given":"Pascal","non-dropping-particle":"","parse-names":false,"suffix":""},{"dropping-particle":"","family":"Grätzel","given":"Michael","non-dropping-particle":"","parse-names":false,"suffix":""}],"container-title":"The Journal of Physical Chemistry B","id":"ITEM-2","issue":"9","issued":{"date-parts":[["1998"]]},"page":"1498-1507","title":"Efficient Lateral Electron Transport inside a Monolayer of Aromatic Amines Anchored on Nanocrystalline Metal Oxide Films","type":"article-journal","volume":"102"},"uris":["http://www.mendeley.com/documents/?uuid=38780ea8-b072-433f-b54f-0ca45b3d1674"]},{"id":"ITEM-3","itemData":{"DOI":"10.1021/jp9825258","ISBN":"1089-5647","ISSN":"1089-5647","abstract":"The results of a kinetic study are reported for cross-surface electron transfer in the reversible oxidation of {[}Os-II(bpy)(2)(4,4'-(CO2H)(2)bpy)](PF6)(2) to Os-III surface adsorbed to nanocrystalline TiO2 films on optically transparent ITO (tin-doped indium oxide) electrodes. The kinetics are sensitive to the extent of surface loading. From monolayers adsorbed from CH3CN, a percolation threshold of similar to 60% was measured. Adsorption isotherms for {[}Os-II(bpy)(2)(4,4'-(CO2H)(2)bpy)](PF6)(2) in EtOH and CH3CN show that surface coverage from EtOH is similar to 60% of that from CH3CN at similar adsorbate concentrations. Apparent charge-transfer diffusion coefficients in 0.1 M {[}N(n-C4H9)(4)](PF6) in CH3CN measured by chronoabsorptometry are D-app = 1.4 x 10(-9) cm(2)/s (Gamma = 1.1 x 10(-10) mol/cm(2), CH3CN) and 1.4 x 10(-11) cm(2)/s (Gamma = 7 x 10(-11) mol/cm(2), EtOH). Electron-transfer mediation of the oxidative component of the Os-III/II surface couple occurs in the presence of added Ru(bpy)(3)(2+) by stepping the potential past the Ru(bpy)(3)(3+/2+) wave. Mediation of both oxidative and reductive components occurs with added Os(bpy)(3)(2+). The apparent diffusion coefficient for oxidation of the Os-III/II surface couple in the presence of RU(bpy)(3)(2+) increases Linearly with the concentration of added mediator.","author":[{"dropping-particle":"","family":"Trammell","given":"Scott A.","non-dropping-particle":"","parse-names":false,"suffix":""},{"dropping-particle":"","family":"Meyer","given":"Thomas J.","non-dropping-particle":"","parse-names":false,"suffix":""}],"container-title":"Journal of Physical Chemistry B","id":"ITEM-3","issue":"1","issued":{"date-parts":[["1999"]]},"page":"104-107","title":"Diffusional mediation of surface electron transfer on TiO&lt;sub&gt;2&lt;/sub&gt;","type":"article-journal","volume":"103"},"uris":["http://www.mendeley.com/documents/?uuid=ddca00e2-1239-4462-8453-a009c479a7d6"]}],"mendeley":{"formattedCitation":"&lt;sup&gt;31,32,45&lt;/sup&gt;","plainTextFormattedCitation":"31,32,45","previouslyFormattedCitation":"&lt;sup&gt;31,32,45&lt;/sup&gt;"},"properties":{"noteIndex":0},"schema":"https://github.com/citation-style-language/schema/raw/master/csl-citation.json"}</w:instrText>
      </w:r>
      <w:r w:rsidR="00610C6E">
        <w:fldChar w:fldCharType="separate"/>
      </w:r>
      <w:r w:rsidR="005F5C5F" w:rsidRPr="005F5C5F">
        <w:rPr>
          <w:noProof/>
          <w:vertAlign w:val="superscript"/>
        </w:rPr>
        <w:t>31,32,45</w:t>
      </w:r>
      <w:r w:rsidR="00610C6E">
        <w:fldChar w:fldCharType="end"/>
      </w:r>
      <w:r w:rsidR="00EE4CE7">
        <w:t xml:space="preserve"> Here, because the chromophores are bound to TiO</w:t>
      </w:r>
      <w:r w:rsidR="00EE4CE7">
        <w:rPr>
          <w:vertAlign w:val="subscript"/>
        </w:rPr>
        <w:t>2</w:t>
      </w:r>
      <w:r w:rsidR="00EE4CE7">
        <w:t xml:space="preserve"> thin films of a finite thickness, the data deviate from the predicted linear relationship. However, previous results have shown that a linear relationship is maintained for</w:t>
      </w:r>
      <w:r w:rsidR="009006C2">
        <w:t xml:space="preserve"> approximately</w:t>
      </w:r>
      <w:r w:rsidR="00EE4CE7">
        <w:t xml:space="preserve"> the first 60% of the total absorbance change.</w:t>
      </w:r>
      <w:r w:rsidR="00610C6E">
        <w:fldChar w:fldCharType="begin" w:fldLock="1"/>
      </w:r>
      <w:r w:rsidR="005F5C5F">
        <w:instrText>ADDIN CSL_CITATION {"citationItems":[{"id":"ITEM-1","itemData":{"DOI":"10.1021/acs.jpcc.6b04438","ISSN":"19327455","abstract":"© 2016 American Chemical Society. Self-exchange intermolecular Ru III/II electron transfer, a process commonly referred to as \"hole-hopping\", is of great interest as it provides a means of charge transport across the surface of nanocrystalline (anatase) TiO 2 mesoporous thin films without the loss of free energy. This process was characterized by cyclic voltammetry and chronoabsorptometry for three homologous Ru diimine compounds of the general form [Ru(LL) 2 (dcbH 2 )](PF 6 ) 2 , where LL is 2,2′-bipyridine (bpy), 4,4′-dimethyl-2,2′-bipyridine (dmb), or 4,4′-di-tert-butyl-2,2′-bipyridine (dtb) and dcbH 2 is 2,2′-bipyridyl-4,4′-dicarboxylic acid. Apparent electron diffusion coefficients, D, abstracted from this data increased with dtb &lt; bpy &lt; dmb. Both techniques were consistent with this trend, despite differences in the magnitude of D between the two methods. Temperature dependent measurements revealed an activation barrier for electron self-exchange of 250 ± 50 meV that was within this error the same for all three diimine compounds, suggesting the total reorganization energy, λ, was also the same. Application of Marcus theory, with the assumption that the 900 ± 100 meV total reorganization energy for self-exchange electron transfer was independent of the Ru compound, revealed that the electronic coupling matrix element, H AB , followed the trend dtb (0.02 meV) &lt; bpy (0.07 meV) &lt; dmb (0.10 meV). The results indicate that insulating side groups placed on redox active molecules can be utilized to tune the electronic coupling and hence self-exchange rate constants without significantly altering the reorganization energy for electron transfer on TiO 2 surfaces.","author":[{"dropping-particle":"","family":"DiMarco","given":"Brian N.","non-dropping-particle":"","parse-names":false,"suffix":""},{"dropping-particle":"","family":"Motley","given":"Tyler C.","non-dropping-particle":"","parse-names":false,"suffix":""},{"dropping-particle":"","family":"Balok","given":"Ryan S.","non-dropping-particle":"","parse-names":false,"suffix":""},{"dropping-particle":"","family":"Li","given":"Guocan","non-dropping-particle":"","parse-names":false,"suffix":""},{"dropping-particle":"","family":"Siegler","given":"Maxime A.","non-dropping-particle":"","parse-names":false,"suffix":""},{"dropping-particle":"","family":"O'Donnell","given":"Ryan M.","non-dropping-particle":"","parse-names":false,"suffix":""},{"dropping-particle":"","family":"Hu","given":"Ke","non-dropping-particle":"","parse-names":false,"suffix":""},{"dropping-particle":"","family":"Meyer","given":"Gerald J.","non-dropping-particle":"","parse-names":false,"suffix":""}],"container-title":"Journal of Physical Chemistry C","id":"ITEM-1","issue":"26","issued":{"date-parts":[["2016"]]},"page":"14226-14235","title":"A Distance Dependence to Lateral Self-Exchange across Nanocrystalline TiO2. A Comparative Study of Three Homologous RuIII/II Polypyridyl Compounds","type":"article-journal","volume":"120"},"uris":["http://www.mendeley.com/documents/?uuid=3b9bc1d5-0a71-4ac5-ab06-01f75db4849b"]},{"id":"ITEM-2","itemData":{"DOI":"10.1021/jp972890j","ISBN":"1520-6106","ISSN":"1520-6106","PMID":"11324617","abstract":"A monolayer of a phosphonated triarylamine adsorbed on nanocrystalline TiO2, ZrO2, or Al2O3 film deposited on conducting glass displays reversible electrochemical and electrochromic behavior although the redox potential of the electroactive molecules (0.80 V vs NHE) lies in the forbidden band of the semiconducting or insulating oxides. The mechanism of charge transport was found to involve hole injection from the conducting support followed by lateral electron hopping within the monolayer. The apparent diffusion coefficient ranged from 2.8 x 10(-12) m(2) s(-1) in the neat 1-ethyl-2-methylimidazolium (EtMeIm(+)Tf(2)N(-)) to 1.1 x 10(-11) m(2) s(-1) in acetonitrile + 2 M EtMeIm(+)Tf(2)N(-). A percolation threshold for electronic conductivity was found at a surface coverage corresponding to 50% of a full monolayer.","author":[{"dropping-particle":"","family":"Bonhôte","given":"Pierre","non-dropping-particle":"","parse-names":false,"suffix":""},{"dropping-particle":"","family":"Gogniat","given":"Eric","non-dropping-particle":"","parse-names":false,"suffix":""},{"dropping-particle":"","family":"Tingry","given":"Sophie","non-dropping-particle":"","parse-names":false,"suffix":""},{"dropping-particle":"","family":"Barbé","given":"Christophe","non-dropping-particle":"","parse-names":false,"suffix":""},{"dropping-particle":"","family":"Vlachopoulos","given":"Nicolas","non-dropping-particle":"","parse-names":false,"suffix":""},{"dropping-particle":"","family":"Lenzmann","given":"Frank","non-dropping-particle":"","parse-names":false,"suffix":""},{"dropping-particle":"","family":"Comte","given":"Pascal","non-dropping-particle":"","parse-names":false,"suffix":""},{"dropping-particle":"","family":"Grätzel","given":"Michael","non-dropping-particle":"","parse-names":false,"suffix":""}],"container-title":"The Journal of Physical Chemistry B","id":"ITEM-2","issue":"9","issued":{"date-parts":[["1998"]]},"page":"1498-1507","title":"Efficient Lateral Electron Transport inside a Monolayer of Aromatic Amines Anchored on Nanocrystalline Metal Oxide Films","type":"article-journal","volume":"102"},"uris":["http://www.mendeley.com/documents/?uuid=38780ea8-b072-433f-b54f-0ca45b3d1674"]},{"id":"ITEM-3","itemData":{"DOI":"10.1021/jp9825258","ISBN":"1089-5647","ISSN":"1089-5647","abstract":"The results of a kinetic study are reported for cross-surface electron transfer in the reversible oxidation of {[}Os-II(bpy)(2)(4,4'-(CO2H)(2)bpy)](PF6)(2) to Os-III surface adsorbed to nanocrystalline TiO2 films on optically transparent ITO (tin-doped indium oxide) electrodes. The kinetics are sensitive to the extent of surface loading. From monolayers adsorbed from CH3CN, a percolation threshold of similar to 60% was measured. Adsorption isotherms for {[}Os-II(bpy)(2)(4,4'-(CO2H)(2)bpy)](PF6)(2) in EtOH and CH3CN show that surface coverage from EtOH is similar to 60% of that from CH3CN at similar adsorbate concentrations. Apparent charge-transfer diffusion coefficients in 0.1 M {[}N(n-C4H9)(4)](PF6) in CH3CN measured by chronoabsorptometry are D-app = 1.4 x 10(-9) cm(2)/s (Gamma = 1.1 x 10(-10) mol/cm(2), CH3CN) and 1.4 x 10(-11) cm(2)/s (Gamma = 7 x 10(-11) mol/cm(2), EtOH). Electron-transfer mediation of the oxidative component of the Os-III/II surface couple occurs in the presence of added Ru(bpy)(3)(2+) by stepping the potential past the Ru(bpy)(3)(3+/2+) wave. Mediation of both oxidative and reductive components occurs with added Os(bpy)(3)(2+). The apparent diffusion coefficient for oxidation of the Os-III/II surface couple in the presence of RU(bpy)(3)(2+) increases Linearly with the concentration of added mediator.","author":[{"dropping-particle":"","family":"Trammell","given":"Scott A.","non-dropping-particle":"","parse-names":false,"suffix":""},{"dropping-particle":"","family":"Meyer","given":"Thomas J.","non-dropping-particle":"","parse-names":false,"suffix":""}],"container-title":"Journal of Physical Chemistry B","id":"ITEM-3","issue":"1","issued":{"date-parts":[["1999"]]},"page":"104-107","title":"Diffusional mediation of surface electron transfer on TiO&lt;sub&gt;2&lt;/sub&gt;","type":"article-journal","volume":"103"},"uris":["http://www.mendeley.com/documents/?uuid=ddca00e2-1239-4462-8453-a009c479a7d6"]}],"mendeley":{"formattedCitation":"&lt;sup&gt;31,32,45&lt;/sup&gt;","plainTextFormattedCitation":"31,32,45","previouslyFormattedCitation":"&lt;sup&gt;31,32,45&lt;/sup&gt;"},"properties":{"noteIndex":0},"schema":"https://github.com/citation-style-language/schema/raw/master/csl-citation.json"}</w:instrText>
      </w:r>
      <w:r w:rsidR="00610C6E">
        <w:fldChar w:fldCharType="separate"/>
      </w:r>
      <w:r w:rsidR="005F5C5F" w:rsidRPr="005F5C5F">
        <w:rPr>
          <w:noProof/>
          <w:vertAlign w:val="superscript"/>
        </w:rPr>
        <w:t>31,32,45</w:t>
      </w:r>
      <w:r w:rsidR="00610C6E">
        <w:fldChar w:fldCharType="end"/>
      </w:r>
      <w:r w:rsidR="00EE4CE7">
        <w:t xml:space="preserve"> Therefore, only the first 60% of the total absorbance change was fit</w:t>
      </w:r>
      <w:r w:rsidR="006634E8">
        <w:t xml:space="preserve">, </w:t>
      </w:r>
      <w:r w:rsidR="006634E8" w:rsidRPr="006634E8">
        <w:rPr>
          <w:b/>
        </w:rPr>
        <w:t>Figure 2</w:t>
      </w:r>
      <w:r w:rsidR="00EE4CE7">
        <w:t>.</w:t>
      </w:r>
    </w:p>
    <w:p w14:paraId="18E23AF5" w14:textId="54558770" w:rsidR="00D54A06" w:rsidRDefault="00D54A06" w:rsidP="00416D83">
      <w:pPr>
        <w:pStyle w:val="NoSpacing"/>
        <w:spacing w:line="360" w:lineRule="auto"/>
        <w:jc w:val="both"/>
      </w:pPr>
    </w:p>
    <w:p w14:paraId="7039AE93" w14:textId="065AFF73" w:rsidR="00332C60" w:rsidRDefault="007A0DAF" w:rsidP="00102F42">
      <w:pPr>
        <w:pStyle w:val="NoSpacing"/>
        <w:spacing w:line="360" w:lineRule="auto"/>
        <w:jc w:val="center"/>
      </w:pPr>
      <m:oMathPara>
        <m:oMath>
          <m:sSub>
            <m:sSubPr>
              <m:ctrlPr>
                <w:rPr>
                  <w:rFonts w:ascii="Cambria Math" w:hAnsi="Cambria Math"/>
                  <w:i/>
                </w:rPr>
              </m:ctrlPr>
            </m:sSubPr>
            <m:e>
              <m:r>
                <w:rPr>
                  <w:rFonts w:ascii="Cambria Math" w:hAnsi="Cambria Math"/>
                </w:rPr>
                <m:t>ΔA</m:t>
              </m:r>
            </m:e>
            <m:sub>
              <m:r>
                <m:rPr>
                  <m:sty m:val="p"/>
                </m:rPr>
                <w:rPr>
                  <w:rFonts w:ascii="Cambria Math" w:hAnsi="Cambria Math"/>
                </w:rPr>
                <m:t>MLCT</m:t>
              </m:r>
            </m:sub>
          </m:sSub>
          <m:r>
            <w:rPr>
              <w:rFonts w:ascii="Cambria Math" w:hAnsi="Cambria Math"/>
            </w:rPr>
            <m:t>=</m:t>
          </m:r>
          <m:f>
            <m:fPr>
              <m:ctrlPr>
                <w:rPr>
                  <w:rFonts w:ascii="Cambria Math" w:hAnsi="Cambria Math"/>
                  <w:i/>
                </w:rPr>
              </m:ctrlPr>
            </m:fPr>
            <m:num>
              <m:r>
                <w:rPr>
                  <w:rFonts w:ascii="Cambria Math" w:hAnsi="Cambria Math"/>
                </w:rPr>
                <m:t>2</m:t>
              </m:r>
              <m:sSubSup>
                <m:sSubSupPr>
                  <m:ctrlPr>
                    <w:rPr>
                      <w:rFonts w:ascii="Cambria Math" w:hAnsi="Cambria Math"/>
                      <w:i/>
                    </w:rPr>
                  </m:ctrlPr>
                </m:sSubSupPr>
                <m:e>
                  <m:r>
                    <w:rPr>
                      <w:rFonts w:ascii="Cambria Math" w:hAnsi="Cambria Math"/>
                    </w:rPr>
                    <m:t>D</m:t>
                  </m:r>
                </m:e>
                <m:sub>
                  <m:r>
                    <w:rPr>
                      <w:rFonts w:ascii="Cambria Math" w:hAnsi="Cambria Math"/>
                    </w:rPr>
                    <m:t>CA</m:t>
                  </m:r>
                </m:sub>
                <m:sup>
                  <m:r>
                    <w:rPr>
                      <w:rFonts w:ascii="Cambria Math" w:hAnsi="Cambria Math"/>
                    </w:rPr>
                    <m:t>1/2</m:t>
                  </m:r>
                </m:sup>
              </m:sSubSup>
              <m:sSup>
                <m:sSupPr>
                  <m:ctrlPr>
                    <w:rPr>
                      <w:rFonts w:ascii="Cambria Math" w:hAnsi="Cambria Math"/>
                      <w:i/>
                    </w:rPr>
                  </m:ctrlPr>
                </m:sSupPr>
                <m:e>
                  <m:r>
                    <w:rPr>
                      <w:rFonts w:ascii="Cambria Math" w:hAnsi="Cambria Math"/>
                    </w:rPr>
                    <m:t>t</m:t>
                  </m:r>
                </m:e>
                <m:sup>
                  <m:r>
                    <w:rPr>
                      <w:rFonts w:ascii="Cambria Math" w:hAnsi="Cambria Math"/>
                    </w:rPr>
                    <m:t>1/2</m:t>
                  </m:r>
                </m:sup>
              </m:sSup>
            </m:num>
            <m:den>
              <m:r>
                <w:rPr>
                  <w:rFonts w:ascii="Cambria Math" w:hAnsi="Cambria Math"/>
                </w:rPr>
                <m:t>d</m:t>
              </m:r>
              <m:sSup>
                <m:sSupPr>
                  <m:ctrlPr>
                    <w:rPr>
                      <w:rFonts w:ascii="Cambria Math" w:hAnsi="Cambria Math"/>
                      <w:i/>
                    </w:rPr>
                  </m:ctrlPr>
                </m:sSupPr>
                <m:e>
                  <m:r>
                    <w:rPr>
                      <w:rFonts w:ascii="Cambria Math" w:hAnsi="Cambria Math"/>
                    </w:rPr>
                    <m:t>π</m:t>
                  </m:r>
                </m:e>
                <m:sup>
                  <m:r>
                    <w:rPr>
                      <w:rFonts w:ascii="Cambria Math" w:hAnsi="Cambria Math"/>
                    </w:rPr>
                    <m:t>1/2</m:t>
                  </m:r>
                </m:sup>
              </m:sSup>
            </m:den>
          </m:f>
          <m:r>
            <w:rPr>
              <w:rFonts w:ascii="Cambria Math" w:eastAsiaTheme="minorEastAsia" w:hAnsi="Cambria Math"/>
            </w:rPr>
            <m:t xml:space="preserve">             </m:t>
          </m:r>
          <m:r>
            <m:rPr>
              <m:sty m:val="p"/>
            </m:rPr>
            <w:rPr>
              <w:rFonts w:ascii="Cambria Math" w:eastAsiaTheme="minorEastAsia" w:hAnsi="Cambria Math"/>
              <w:highlight w:val="yellow"/>
            </w:rPr>
            <m:t>(</m:t>
          </m:r>
          <m:r>
            <m:rPr>
              <m:sty m:val="p"/>
            </m:rPr>
            <w:rPr>
              <w:rFonts w:ascii="Cambria Math" w:eastAsiaTheme="minorEastAsia" w:hAnsi="Cambria Math"/>
              <w:highlight w:val="yellow"/>
            </w:rPr>
            <m:t>5</m:t>
          </m:r>
          <m:r>
            <m:rPr>
              <m:sty m:val="p"/>
            </m:rPr>
            <w:rPr>
              <w:rFonts w:ascii="Cambria Math" w:eastAsiaTheme="minorEastAsia" w:hAnsi="Cambria Math"/>
              <w:highlight w:val="yellow"/>
            </w:rPr>
            <m:t>)</m:t>
          </m:r>
        </m:oMath>
      </m:oMathPara>
    </w:p>
    <w:p w14:paraId="2ACD4157" w14:textId="77777777" w:rsidR="00332C60" w:rsidRDefault="00332C60" w:rsidP="00416D83">
      <w:pPr>
        <w:pStyle w:val="NoSpacing"/>
        <w:spacing w:line="360" w:lineRule="auto"/>
        <w:jc w:val="both"/>
      </w:pPr>
    </w:p>
    <w:p w14:paraId="26C1A68A" w14:textId="2D264E24" w:rsidR="00D54A06" w:rsidRPr="00D54A06" w:rsidRDefault="00CD1CF3" w:rsidP="00416D83">
      <w:pPr>
        <w:pStyle w:val="NoSpacing"/>
        <w:spacing w:line="360" w:lineRule="auto"/>
        <w:ind w:firstLine="720"/>
        <w:jc w:val="both"/>
      </w:pPr>
      <w:r>
        <w:t>Remarkably, f</w:t>
      </w:r>
      <w:r w:rsidR="00413FBA">
        <w:t xml:space="preserve">or the sensitized thin films with </w:t>
      </w:r>
      <w:r w:rsidR="00D54A06">
        <w:t>the ALD Al</w:t>
      </w:r>
      <w:r w:rsidR="00D54A06">
        <w:rPr>
          <w:vertAlign w:val="subscript"/>
        </w:rPr>
        <w:t>2</w:t>
      </w:r>
      <w:r w:rsidR="00D54A06">
        <w:t>O</w:t>
      </w:r>
      <w:r w:rsidR="00D54A06">
        <w:rPr>
          <w:vertAlign w:val="subscript"/>
        </w:rPr>
        <w:t>3</w:t>
      </w:r>
      <w:r w:rsidR="00D54A06">
        <w:t xml:space="preserve"> overlayer, no significant absorption change</w:t>
      </w:r>
      <w:r w:rsidR="0023481B">
        <w:t>s</w:t>
      </w:r>
      <w:r w:rsidR="006634E8">
        <w:t xml:space="preserve"> attributed to chro</w:t>
      </w:r>
      <w:r w:rsidR="000F1E85">
        <w:t>mophore oxidation</w:t>
      </w:r>
      <w:r w:rsidR="00D54A06">
        <w:t xml:space="preserve"> </w:t>
      </w:r>
      <w:r>
        <w:t xml:space="preserve">were </w:t>
      </w:r>
      <w:r w:rsidR="00D54A06">
        <w:t>observed upon application of</w:t>
      </w:r>
      <w:r w:rsidR="000F1E85">
        <w:t xml:space="preserve"> potentials sufficient to oxidize the chromophores </w:t>
      </w:r>
      <w:r w:rsidR="00CA615D">
        <w:t>(</w:t>
      </w:r>
      <w:r w:rsidR="00CA615D" w:rsidRPr="00EE38F8">
        <w:rPr>
          <w:b/>
        </w:rPr>
        <w:t>Figure 2</w:t>
      </w:r>
      <w:r w:rsidR="00CA615D">
        <w:t>)</w:t>
      </w:r>
      <w:r w:rsidR="002C34D3">
        <w:t xml:space="preserve">. </w:t>
      </w:r>
    </w:p>
    <w:p w14:paraId="4B918639" w14:textId="77777777" w:rsidR="00CA7B1D" w:rsidRDefault="00CA7B1D" w:rsidP="00416D83">
      <w:pPr>
        <w:pStyle w:val="NoSpacing"/>
        <w:spacing w:line="360" w:lineRule="auto"/>
        <w:jc w:val="both"/>
      </w:pPr>
    </w:p>
    <w:p w14:paraId="64006B60" w14:textId="4542830D" w:rsidR="004322BB" w:rsidRDefault="00547505" w:rsidP="00416D83">
      <w:pPr>
        <w:pStyle w:val="NoSpacing"/>
        <w:spacing w:line="360" w:lineRule="auto"/>
        <w:jc w:val="both"/>
        <w:rPr>
          <w:b/>
        </w:rPr>
      </w:pPr>
      <w:r>
        <w:rPr>
          <w:noProof/>
        </w:rPr>
        <w:lastRenderedPageBreak/>
        <w:drawing>
          <wp:inline distT="0" distB="0" distL="0" distR="0" wp14:anchorId="7B0808EC" wp14:editId="04A9CF33">
            <wp:extent cx="2743200" cy="221284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25735" t="15243" r="25524" b="14816"/>
                    <a:stretch/>
                  </pic:blipFill>
                  <pic:spPr bwMode="auto">
                    <a:xfrm>
                      <a:off x="0" y="0"/>
                      <a:ext cx="2743200" cy="2212848"/>
                    </a:xfrm>
                    <a:prstGeom prst="rect">
                      <a:avLst/>
                    </a:prstGeom>
                    <a:noFill/>
                    <a:ln>
                      <a:noFill/>
                    </a:ln>
                    <a:extLst>
                      <a:ext uri="{53640926-AAD7-44D8-BBD7-CCE9431645EC}">
                        <a14:shadowObscured xmlns:a14="http://schemas.microsoft.com/office/drawing/2010/main"/>
                      </a:ext>
                    </a:extLst>
                  </pic:spPr>
                </pic:pic>
              </a:graphicData>
            </a:graphic>
          </wp:inline>
        </w:drawing>
      </w:r>
    </w:p>
    <w:p w14:paraId="28900641" w14:textId="54114EAE" w:rsidR="00E03469" w:rsidRPr="00DC075A" w:rsidRDefault="00E03469" w:rsidP="00C51723">
      <w:pPr>
        <w:pStyle w:val="NoSpacing"/>
        <w:jc w:val="both"/>
      </w:pPr>
      <w:r w:rsidRPr="007D734A">
        <w:rPr>
          <w:b/>
        </w:rPr>
        <w:t>Figure 2</w:t>
      </w:r>
      <w:r>
        <w:t>.</w:t>
      </w:r>
      <w:r w:rsidR="0083065A">
        <w:t xml:space="preserve"> </w:t>
      </w:r>
      <w:r w:rsidR="004D21D6">
        <w:t>A</w:t>
      </w:r>
      <w:r w:rsidR="00A930BB">
        <w:t>bsorption change</w:t>
      </w:r>
      <w:r w:rsidR="00935A48">
        <w:t>s</w:t>
      </w:r>
      <w:r w:rsidR="00A930BB">
        <w:t xml:space="preserve"> </w:t>
      </w:r>
      <w:r w:rsidR="00A658AD">
        <w:t>monitored at</w:t>
      </w:r>
      <w:r w:rsidR="00A930BB">
        <w:t xml:space="preserve"> the MLCT absorption maximum</w:t>
      </w:r>
      <w:r w:rsidR="00A658AD">
        <w:t xml:space="preserve"> after an applied potential step 500 mV more positive than the chromophore </w:t>
      </w:r>
      <w:r w:rsidR="00A658AD">
        <w:rPr>
          <w:i/>
        </w:rPr>
        <w:t>E</w:t>
      </w:r>
      <w:r w:rsidR="00A658AD">
        <w:rPr>
          <w:vertAlign w:val="subscript"/>
        </w:rPr>
        <w:t>1/2</w:t>
      </w:r>
      <w:r w:rsidR="00A658AD">
        <w:t xml:space="preserve"> (Ru</w:t>
      </w:r>
      <w:r w:rsidR="00A658AD">
        <w:rPr>
          <w:vertAlign w:val="superscript"/>
        </w:rPr>
        <w:t>III/II</w:t>
      </w:r>
      <w:r w:rsidR="00A658AD">
        <w:t>)</w:t>
      </w:r>
      <w:r w:rsidR="002C1888">
        <w:t xml:space="preserve"> potential </w:t>
      </w:r>
      <w:r w:rsidR="00CD1CF3">
        <w:t xml:space="preserve">with and </w:t>
      </w:r>
      <w:r w:rsidR="002C1888">
        <w:t>without an Al</w:t>
      </w:r>
      <w:r w:rsidR="002C1888">
        <w:rPr>
          <w:vertAlign w:val="subscript"/>
        </w:rPr>
        <w:t>2</w:t>
      </w:r>
      <w:r w:rsidR="002C1888">
        <w:t>O</w:t>
      </w:r>
      <w:r w:rsidR="002C1888">
        <w:rPr>
          <w:vertAlign w:val="subscript"/>
        </w:rPr>
        <w:t>3</w:t>
      </w:r>
      <w:r w:rsidR="002C1888">
        <w:t xml:space="preserve"> overlayer.</w:t>
      </w:r>
      <w:r w:rsidR="00DC075A">
        <w:t xml:space="preserve"> </w:t>
      </w:r>
      <w:r w:rsidR="00F41127">
        <w:t>Overlaid in yellow are fits to the Anson equation (</w:t>
      </w:r>
      <w:r w:rsidR="00F41127" w:rsidRPr="00190549">
        <w:rPr>
          <w:b/>
          <w:highlight w:val="yellow"/>
        </w:rPr>
        <w:t xml:space="preserve">Equation </w:t>
      </w:r>
      <w:r w:rsidR="00190549" w:rsidRPr="00190549">
        <w:rPr>
          <w:b/>
          <w:highlight w:val="yellow"/>
        </w:rPr>
        <w:t>5</w:t>
      </w:r>
      <w:r w:rsidR="00F41127">
        <w:t>).</w:t>
      </w:r>
    </w:p>
    <w:p w14:paraId="78C946A7" w14:textId="485252FD" w:rsidR="00BC5DF8" w:rsidRDefault="00BC5DF8" w:rsidP="00416D83">
      <w:pPr>
        <w:pStyle w:val="NoSpacing"/>
        <w:spacing w:line="360" w:lineRule="auto"/>
        <w:jc w:val="both"/>
      </w:pPr>
    </w:p>
    <w:p w14:paraId="64FE35C1" w14:textId="431CD566" w:rsidR="003F08A8" w:rsidRDefault="0033019F" w:rsidP="00102F42">
      <w:pPr>
        <w:pStyle w:val="NoSpacing"/>
        <w:spacing w:line="360" w:lineRule="auto"/>
        <w:ind w:firstLine="720"/>
        <w:jc w:val="both"/>
      </w:pPr>
      <w:r>
        <w:t>C</w:t>
      </w:r>
      <w:r w:rsidR="00EB6CEF">
        <w:t xml:space="preserve">onversion of the measured diffusion coefficients to a first-order self-exchange “hopping” rate constant, </w:t>
      </w:r>
      <w:r w:rsidR="00EB6CEF">
        <w:rPr>
          <w:i/>
        </w:rPr>
        <w:t>k</w:t>
      </w:r>
      <w:r w:rsidR="00EB6CEF">
        <w:rPr>
          <w:vertAlign w:val="subscript"/>
        </w:rPr>
        <w:t>R</w:t>
      </w:r>
      <w:r w:rsidR="00EB6CEF">
        <w:t>, required an estimation of the intermolecular distance</w:t>
      </w:r>
      <w:r w:rsidR="006605C9">
        <w:t>, δ, between the chromophores on the surface. It was assumed that the chromophores were evenly distributed within the pore volume of the TiO</w:t>
      </w:r>
      <w:r w:rsidR="006605C9">
        <w:rPr>
          <w:vertAlign w:val="subscript"/>
        </w:rPr>
        <w:t>2</w:t>
      </w:r>
      <w:r w:rsidR="006605C9">
        <w:t xml:space="preserve"> thin film from the measured </w:t>
      </w:r>
      <w:r w:rsidR="00332C60">
        <w:t>Γ</w:t>
      </w:r>
      <w:r w:rsidR="00332C60">
        <w:rPr>
          <w:vertAlign w:val="subscript"/>
        </w:rPr>
        <w:t>0</w:t>
      </w:r>
      <w:r w:rsidR="00332C60">
        <w:t xml:space="preserve">. </w:t>
      </w:r>
      <w:r>
        <w:rPr>
          <w:rFonts w:eastAsiaTheme="minorEastAsia"/>
        </w:rPr>
        <w:t>Th</w:t>
      </w:r>
      <w:r w:rsidR="00415DCA">
        <w:rPr>
          <w:rFonts w:eastAsiaTheme="minorEastAsia"/>
        </w:rPr>
        <w:t xml:space="preserve">e “concentration,” </w:t>
      </w:r>
      <w:r>
        <w:rPr>
          <w:rFonts w:eastAsiaTheme="minorEastAsia"/>
          <w:i/>
        </w:rPr>
        <w:t>c</w:t>
      </w:r>
      <w:r>
        <w:rPr>
          <w:rFonts w:eastAsiaTheme="minorEastAsia"/>
          <w:vertAlign w:val="subscript"/>
        </w:rPr>
        <w:t>0</w:t>
      </w:r>
      <w:r w:rsidRPr="00102F42">
        <w:rPr>
          <w:rFonts w:eastAsiaTheme="minorEastAsia"/>
        </w:rPr>
        <w:t>,</w:t>
      </w:r>
      <w:r>
        <w:rPr>
          <w:rFonts w:eastAsiaTheme="minorEastAsia"/>
          <w:vertAlign w:val="subscript"/>
        </w:rPr>
        <w:t xml:space="preserve"> </w:t>
      </w:r>
      <w:r>
        <w:rPr>
          <w:rFonts w:eastAsiaTheme="minorEastAsia"/>
        </w:rPr>
        <w:t xml:space="preserve">was determined </w:t>
      </w:r>
      <w:r>
        <w:t xml:space="preserve">using </w:t>
      </w:r>
      <w:r w:rsidRPr="004D21D6">
        <w:rPr>
          <w:b/>
        </w:rPr>
        <w:t xml:space="preserve">Equation </w:t>
      </w:r>
      <w:r w:rsidR="004D21D6" w:rsidRPr="004D21D6">
        <w:rPr>
          <w:b/>
        </w:rPr>
        <w:t>5</w:t>
      </w:r>
      <w:r>
        <w:t xml:space="preserve">, where </w:t>
      </w:r>
      <m:oMath>
        <m:sSub>
          <m:sSubPr>
            <m:ctrlPr>
              <w:rPr>
                <w:rFonts w:ascii="Cambria Math" w:hAnsi="Cambria Math"/>
                <w:i/>
              </w:rPr>
            </m:ctrlPr>
          </m:sSubPr>
          <m:e>
            <m:r>
              <m:rPr>
                <m:sty m:val="p"/>
              </m:rPr>
              <w:rPr>
                <w:rFonts w:ascii="Cambria Math" w:hAnsi="Cambria Math"/>
              </w:rPr>
              <m:t>Γ</m:t>
            </m:r>
          </m:e>
          <m:sub>
            <m:r>
              <w:rPr>
                <w:rFonts w:ascii="Cambria Math" w:hAnsi="Cambria Math"/>
              </w:rPr>
              <m:t>0</m:t>
            </m:r>
          </m:sub>
        </m:sSub>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4</m:t>
            </m:r>
          </m:sup>
        </m:sSup>
      </m:oMath>
      <w:r>
        <w:rPr>
          <w:rFonts w:eastAsiaTheme="minorEastAsia"/>
        </w:rPr>
        <w:t xml:space="preserve"> is the surface coverage converted to concentration in mol cm</w:t>
      </w:r>
      <w:r>
        <w:rPr>
          <w:rFonts w:eastAsiaTheme="minorEastAsia"/>
          <w:vertAlign w:val="superscript"/>
        </w:rPr>
        <w:t>-3</w:t>
      </w:r>
      <w:r>
        <w:rPr>
          <w:rFonts w:eastAsiaTheme="minorEastAsia"/>
        </w:rPr>
        <w:t xml:space="preserve">, </w:t>
      </w:r>
      <w:r w:rsidRPr="00415DCA">
        <w:rPr>
          <w:rFonts w:eastAsiaTheme="minorEastAsia"/>
          <w:i/>
        </w:rPr>
        <w:t>N</w:t>
      </w:r>
      <w:r>
        <w:rPr>
          <w:rFonts w:eastAsiaTheme="minorEastAsia"/>
        </w:rPr>
        <w:t xml:space="preserve"> is Avogadro’s number,</w:t>
      </w:r>
      <w:r w:rsidR="0091012C">
        <w:rPr>
          <w:rFonts w:eastAsiaTheme="minorEastAsia"/>
        </w:rPr>
        <w:t xml:space="preserve"> </w:t>
      </w:r>
      <w:r w:rsidR="0091012C" w:rsidRPr="0091012C">
        <w:rPr>
          <w:rFonts w:eastAsiaTheme="minorEastAsia"/>
          <w:i/>
          <w:iCs/>
          <w:highlight w:val="yellow"/>
        </w:rPr>
        <w:t>d</w:t>
      </w:r>
      <w:r w:rsidR="0091012C" w:rsidRPr="0091012C">
        <w:rPr>
          <w:rFonts w:eastAsiaTheme="minorEastAsia"/>
          <w:highlight w:val="yellow"/>
        </w:rPr>
        <w:t xml:space="preserve"> is the film thickness</w:t>
      </w:r>
      <w:r w:rsidR="0091012C">
        <w:rPr>
          <w:rFonts w:eastAsiaTheme="minorEastAsia"/>
        </w:rPr>
        <w:t>,</w:t>
      </w:r>
      <w:r>
        <w:rPr>
          <w:rFonts w:eastAsiaTheme="minorEastAsia"/>
        </w:rPr>
        <w:t xml:space="preserve"> and </w:t>
      </w:r>
      <w:r>
        <w:rPr>
          <w:rFonts w:eastAsiaTheme="minorEastAsia"/>
          <w:i/>
        </w:rPr>
        <w:t>p</w:t>
      </w:r>
      <w:r>
        <w:rPr>
          <w:rFonts w:eastAsiaTheme="minorEastAsia"/>
        </w:rPr>
        <w:t xml:space="preserve"> is the porosity, which was assumed to be 60%</w:t>
      </w:r>
      <w:r w:rsidR="00BE63D2">
        <w:rPr>
          <w:rFonts w:eastAsiaTheme="minorEastAsia"/>
        </w:rPr>
        <w:t>.</w:t>
      </w:r>
      <w:r w:rsidR="00BE63D2">
        <w:rPr>
          <w:rFonts w:eastAsiaTheme="minorEastAsia"/>
        </w:rPr>
        <w:fldChar w:fldCharType="begin" w:fldLock="1"/>
      </w:r>
      <w:r w:rsidR="00F17250">
        <w:rPr>
          <w:rFonts w:eastAsiaTheme="minorEastAsia"/>
        </w:rPr>
        <w:instrText>ADDIN CSL_CITATION {"citationItems":[{"id":"ITEM-1","itemData":{"DOI":"10.1111/j.1151-2916.1997.tb03245.x","abstract":"During the past five years, we have developed in our laboratory a new type of solar cell that is based on a photoelectrochemical process. The light absorption is performed by a monolayer of dye (i.e., a Ruthenium complex) that is adsorbed chemically at the surface of a semiconductor (i.e., titanium oxide (TiO2)). When excited by a photon, the dye has the ability to transfer an electron to the semiconductor. The electric field that is inside the material allows extraction of the electron, and the positive charge is transferred from the dye to a redox mediator that is present in solution. A respectable photovoltaic efficiency (i.e., 10%) is obtained by the use of mesoporous, nanostructured films of anatase particles, We will show how the TiO2 electrode microstructure influences the photovoltaic response of the cell. More specifically, we will focus on how processing parameters such as precursor chemistry, temperature for hydrothermal growth, binder addition, and sintering conditions influence the film porosity, pore-size distribution, light scattering, and electron percolation and consequently affect the solar-cell efficiency.","author":[{"dropping-particle":"","family":"Barbé","given":"Christophe J.","non-dropping-particle":"","parse-names":false,"suffix":""},{"dropping-particle":"","family":"Arendse","given":"Francine","non-dropping-particle":"","parse-names":false,"suffix":""},{"dropping-particle":"","family":"Comte","given":"Pascal","non-dropping-particle":"","parse-names":false,"suffix":""},{"dropping-particle":"","family":"Jirousek","given":"Marie","non-dropping-particle":"","parse-names":false,"suffix":""},{"dropping-particle":"","family":"Lenzmann","given":"Frank","non-dropping-particle":"","parse-names":false,"suffix":""},{"dropping-particle":"","family":"Shklover","given":"Valery","non-dropping-particle":"","parse-names":false,"suffix":""},{"dropping-particle":"","family":"Grätzel","given":"Michael","non-dropping-particle":"","parse-names":false,"suffix":""}],"container-title":"Journal of the American Ceramic Society","id":"ITEM-1","issue":"12","issued":{"date-parts":[["1997"]]},"page":"3157-3171","title":"Nanocrystalline Titanium Oxide Electrodes for Photovoltaic Applications","type":"article-journal","volume":"80"},"uris":["http://www.mendeley.com/documents/?uuid=3569f4ca-83c9-4a7e-b912-89ccb670f582"]}],"mendeley":{"formattedCitation":"&lt;sup&gt;52&lt;/sup&gt;","plainTextFormattedCitation":"52","previouslyFormattedCitation":"&lt;sup&gt;52&lt;/sup&gt;"},"properties":{"noteIndex":0},"schema":"https://github.com/citation-style-language/schema/raw/master/csl-citation.json"}</w:instrText>
      </w:r>
      <w:r w:rsidR="00BE63D2">
        <w:rPr>
          <w:rFonts w:eastAsiaTheme="minorEastAsia"/>
        </w:rPr>
        <w:fldChar w:fldCharType="separate"/>
      </w:r>
      <w:r w:rsidR="00831805" w:rsidRPr="00831805">
        <w:rPr>
          <w:rFonts w:eastAsiaTheme="minorEastAsia"/>
          <w:noProof/>
          <w:vertAlign w:val="superscript"/>
        </w:rPr>
        <w:t>52</w:t>
      </w:r>
      <w:r w:rsidR="00BE63D2">
        <w:rPr>
          <w:rFonts w:eastAsiaTheme="minorEastAsia"/>
        </w:rPr>
        <w:fldChar w:fldCharType="end"/>
      </w:r>
      <w:r>
        <w:rPr>
          <w:rFonts w:eastAsiaTheme="minorEastAsia"/>
        </w:rPr>
        <w:t xml:space="preserve"> This </w:t>
      </w:r>
      <w:r w:rsidR="00415DCA">
        <w:rPr>
          <w:rFonts w:eastAsiaTheme="minorEastAsia"/>
          <w:i/>
        </w:rPr>
        <w:t>c</w:t>
      </w:r>
      <w:r w:rsidR="00415DCA">
        <w:rPr>
          <w:rFonts w:eastAsiaTheme="minorEastAsia"/>
          <w:vertAlign w:val="subscript"/>
        </w:rPr>
        <w:t>0</w:t>
      </w:r>
      <w:r>
        <w:rPr>
          <w:rFonts w:eastAsiaTheme="minorEastAsia"/>
        </w:rPr>
        <w:t xml:space="preserve"> concentration</w:t>
      </w:r>
      <w:r w:rsidR="00415DCA">
        <w:rPr>
          <w:rFonts w:eastAsiaTheme="minorEastAsia"/>
        </w:rPr>
        <w:t xml:space="preserve"> was </w:t>
      </w:r>
      <w:r>
        <w:rPr>
          <w:rFonts w:eastAsiaTheme="minorEastAsia"/>
        </w:rPr>
        <w:t xml:space="preserve">then </w:t>
      </w:r>
      <w:r w:rsidR="00415DCA">
        <w:rPr>
          <w:rFonts w:eastAsiaTheme="minorEastAsia"/>
        </w:rPr>
        <w:t xml:space="preserve">converted to an intermolecular distance with the assumption that the chromophores were in a cubic lattice arrangement using </w:t>
      </w:r>
      <m:oMath>
        <m:r>
          <w:rPr>
            <w:rFonts w:ascii="Cambria Math" w:eastAsiaTheme="minorEastAsia" w:hAnsi="Cambria Math"/>
          </w:rPr>
          <m:t>δ=</m:t>
        </m:r>
        <m:sSup>
          <m:sSupPr>
            <m:ctrlPr>
              <w:rPr>
                <w:rFonts w:ascii="Cambria Math" w:eastAsiaTheme="minorEastAsia" w:hAnsi="Cambria Math"/>
                <w:i/>
              </w:rPr>
            </m:ctrlPr>
          </m:sSupPr>
          <m:e>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0</m:t>
                </m:r>
              </m:sub>
            </m:sSub>
            <m:r>
              <w:rPr>
                <w:rFonts w:ascii="Cambria Math" w:eastAsiaTheme="minorEastAsia" w:hAnsi="Cambria Math"/>
              </w:rPr>
              <m:t>)</m:t>
            </m:r>
          </m:e>
          <m:sup>
            <m:r>
              <w:rPr>
                <w:rFonts w:ascii="Cambria Math" w:eastAsiaTheme="minorEastAsia" w:hAnsi="Cambria Math"/>
              </w:rPr>
              <m:t>-1/3</m:t>
            </m:r>
          </m:sup>
        </m:sSup>
      </m:oMath>
      <w:r w:rsidR="00415DCA">
        <w:rPr>
          <w:rFonts w:eastAsiaTheme="minorEastAsia"/>
        </w:rPr>
        <w:t>, as has been previously done</w:t>
      </w:r>
      <w:r w:rsidR="00A930BB">
        <w:rPr>
          <w:rFonts w:eastAsiaTheme="minorEastAsia"/>
        </w:rPr>
        <w:t>,</w:t>
      </w:r>
      <w:r w:rsidR="000921AE">
        <w:rPr>
          <w:rFonts w:eastAsiaTheme="minorEastAsia"/>
        </w:rPr>
        <w:fldChar w:fldCharType="begin" w:fldLock="1"/>
      </w:r>
      <w:r w:rsidR="00501265">
        <w:rPr>
          <w:rFonts w:eastAsiaTheme="minorEastAsia"/>
        </w:rPr>
        <w:instrText>ADDIN CSL_CITATION {"citationItems":[{"id":"ITEM-1","itemData":{"DOI":"10.1021/acs.jpcc.8b05281","ISSN":"19327455","author":[{"dropping-particle":"","family":"Motley","given":"Tyler C.","non-dropping-particle":"","parse-names":false,"suffix":""},{"dropping-particle":"","family":"Brady","given":"Matthew D.","non-dropping-particle":"","parse-names":false,"suffix":""},{"dropping-particle":"","family":"Meyer","given":"Gerald J.","non-dropping-particle":"","parse-names":false,"suffix":""}],"container-title":"Journal of Physical Chemistry C","id":"ITEM-1","issue":"34","issued":{"date-parts":[["2018"]]},"page":"19385-19394","title":"Influence of 4 and 4′ substituents on RuIII/II bipyridyl self-exchange electron transfer across nanocrystalline TiO2 Surfaces","type":"article-journal","volume":"122"},"uris":["http://www.mendeley.com/documents/?uuid=695427e8-9304-4149-afed-7ece9d707228"]},{"id":"ITEM-2","itemData":{"DOI":"10.1021/acs.jpcc.6b04438","ISSN":"19327455","abstract":"© 2016 American Chemical Society. Self-exchange intermolecular Ru III/II electron transfer, a process commonly referred to as \"hole-hopping\", is of great interest as it provides a means of charge transport across the surface of nanocrystalline (anatase) TiO 2 mesoporous thin films without the loss of free energy. This process was characterized by cyclic voltammetry and chronoabsorptometry for three homologous Ru diimine compounds of the general form [Ru(LL) 2 (dcbH 2 )](PF 6 ) 2 , where LL is 2,2′-bipyridine (bpy), 4,4′-dimethyl-2,2′-bipyridine (dmb), or 4,4′-di-tert-butyl-2,2′-bipyridine (dtb) and dcbH 2 is 2,2′-bipyridyl-4,4′-dicarboxylic acid. Apparent electron diffusion coefficients, D, abstracted from this data increased with dtb &lt; bpy &lt; dmb. Both techniques were consistent with this trend, despite differences in the magnitude of D between the two methods. Temperature dependent measurements revealed an activation barrier for electron self-exchange of 250 ± 50 meV that was within this error the same for all three diimine compounds, suggesting the total reorganization energy, λ, was also the same. Application of Marcus theory, with the assumption that the 900 ± 100 meV total reorganization energy for self-exchange electron transfer was independent of the Ru compound, revealed that the electronic coupling matrix element, H AB , followed the trend dtb (0.02 meV) &lt; bpy (0.07 meV) &lt; dmb (0.10 meV). The results indicate that insulating side groups placed on redox active molecules can be utilized to tune the electronic coupling and hence self-exchange rate constants without significantly altering the reorganization energy for electron transfer on TiO 2 surfaces.","author":[{"dropping-particle":"","family":"DiMarco","given":"Brian N.","non-dropping-particle":"","parse-names":false,"suffix":""},{"dropping-particle":"","family":"Motley","given":"Tyler C.","non-dropping-particle":"","parse-names":false,"suffix":""},{"dropping-particle":"","family":"Balok","given":"Ryan S.","non-dropping-particle":"","parse-names":false,"suffix":""},{"dropping-particle":"","family":"Li","given":"Guocan","non-dropping-particle":"","parse-names":false,"suffix":""},{"dropping-particle":"","family":"Siegler","given":"Maxime A.","non-dropping-particle":"","parse-names":false,"suffix":""},{"dropping-particle":"","family":"O'Donnell","given":"Ryan M.","non-dropping-particle":"","parse-names":false,"suffix":""},{"dropping-particle":"","family":"Hu","given":"Ke","non-dropping-particle":"","parse-names":false,"suffix":""},{"dropping-particle":"","family":"Meyer","given":"Gerald J.","non-dropping-particle":"","parse-names":false,"suffix":""}],"container-title":"Journal of Physical Chemistry C","id":"ITEM-2","issue":"26","issued":{"date-parts":[["2016"]]},"page":"14226-14235","title":"A Distance Dependence to Lateral Self-Exchange across Nanocrystalline TiO2. A Comparative Study of Three Homologous RuIII/II Polypyridyl Compounds","type":"article-journal","volume":"120"},"uris":["http://www.mendeley.com/documents/?uuid=3b9bc1d5-0a71-4ac5-ab06-01f75db4849b"]},{"id":"ITEM-3","itemData":{"DOI":"10.1039/c3sc52359d","ISBN":"10.1039/C3SC52359D","ISSN":"20416520","PMID":"23439984","abstract":"We measured the rate of hole hopping between dye molecules on titanium dioxide nanocrystals using cyclic voltammetry. Dyes commonly used in the field of dye sensitized solar cells exhibited efficient intermolecular charge transport, showing apparent diffusion coefficient values between 10-8 up to over 10-7 cm2 s-1 at room temperature. From temperature dependent measurements, we observed that hole transport across dye monolayers is a thermally activated process with Arrhenius activation energies between about 170 and 370 meV depending on the dye. Analysis of the data in terms of non-adiabatic Marcus theory of charge transfer enabled the estimation of the reorganization energy (740-1540 meV) and of an effective electronic coupling for the different systems. The measured reorganization energies show reasonable agreement with values obtained from density functional theory based calculations, validating our computational approach. Finally, we interpret the experimental and calculated data with reference to the chemical structure of the dyes and to the packing of the dyes on the surface of the TiO2 and suggest that delocalization of the HOMO and rigidity of the conjugated molecular structure result respectively in lower outer and inner sphere reorganization energies. © 2013 The Royal Society of Chemistry.","author":[{"dropping-particle":"","family":"Moia","given":"Davide","non-dropping-particle":"","parse-names":false,"suffix":""},{"dropping-particle":"","family":"Vaissier","given":"Valérie","non-dropping-particle":"","parse-names":false,"suffix":""},{"dropping-particle":"","family":"López-Duarte","given":"Ismael","non-dropping-particle":"","parse-names":false,"suffix":""},{"dropping-particle":"","family":"Torres","given":"Tomás","non-dropping-particle":"","parse-names":false,"suffix":""},{"dropping-particle":"","family":"Nazeeruddin","given":"Mohammad K.","non-dropping-particle":"","parse-names":false,"suffix":""},{"dropping-particle":"","family":"O'Regan","given":"Brian C.","non-dropping-particle":"","parse-names":false,"suffix":""},{"dropping-particle":"","family":"Nelson","given":"Jenny","non-dropping-particle":"","parse-names":false,"suffix":""},{"dropping-particle":"","family":"Barnes","given":"Piers R.F.","non-dropping-particle":"","parse-names":false,"suffix":""}],"container-title":"Chemical Science","id":"ITEM-3","issue":"1","issued":{"date-parts":[["2014"]]},"page":"281-290","title":"The reorganization energy of intermolecular hole hopping between dyes anchored to surfaces","type":"article-journal","volume":"5"},"uris":["http://www.mendeley.com/documents/?uuid=b8b45b59-cc70-460f-b4c3-81ccba45bc79"]}],"mendeley":{"formattedCitation":"&lt;sup&gt;45,46,53&lt;/sup&gt;","plainTextFormattedCitation":"45,46,53","previouslyFormattedCitation":"&lt;sup&gt;45,46,53&lt;/sup&gt;"},"properties":{"noteIndex":0},"schema":"https://github.com/citation-style-language/schema/raw/master/csl-citation.json"}</w:instrText>
      </w:r>
      <w:r w:rsidR="000921AE">
        <w:rPr>
          <w:rFonts w:eastAsiaTheme="minorEastAsia"/>
        </w:rPr>
        <w:fldChar w:fldCharType="separate"/>
      </w:r>
      <w:r w:rsidR="000921AE" w:rsidRPr="000921AE">
        <w:rPr>
          <w:rFonts w:eastAsiaTheme="minorEastAsia"/>
          <w:noProof/>
          <w:vertAlign w:val="superscript"/>
        </w:rPr>
        <w:t>45,46,53</w:t>
      </w:r>
      <w:r w:rsidR="000921AE">
        <w:rPr>
          <w:rFonts w:eastAsiaTheme="minorEastAsia"/>
        </w:rPr>
        <w:fldChar w:fldCharType="end"/>
      </w:r>
      <w:r w:rsidR="00A930BB">
        <w:rPr>
          <w:rFonts w:eastAsiaTheme="minorEastAsia"/>
        </w:rPr>
        <w:t xml:space="preserve"> </w:t>
      </w:r>
      <w:r w:rsidR="00A930BB" w:rsidRPr="00190549">
        <w:rPr>
          <w:rFonts w:eastAsiaTheme="minorEastAsia"/>
          <w:b/>
          <w:highlight w:val="yellow"/>
        </w:rPr>
        <w:t xml:space="preserve">Equation </w:t>
      </w:r>
      <w:r w:rsidR="00190549" w:rsidRPr="00190549">
        <w:rPr>
          <w:rFonts w:eastAsiaTheme="minorEastAsia"/>
          <w:b/>
          <w:highlight w:val="yellow"/>
        </w:rPr>
        <w:t>6</w:t>
      </w:r>
      <w:r w:rsidR="00415DCA">
        <w:rPr>
          <w:rFonts w:eastAsiaTheme="minorEastAsia"/>
        </w:rPr>
        <w:t>. With the δ</w:t>
      </w:r>
      <w:r w:rsidR="00A930BB">
        <w:rPr>
          <w:rFonts w:eastAsiaTheme="minorEastAsia"/>
        </w:rPr>
        <w:t xml:space="preserve"> value</w:t>
      </w:r>
      <w:r w:rsidR="00415DCA">
        <w:rPr>
          <w:rFonts w:eastAsiaTheme="minorEastAsia"/>
        </w:rPr>
        <w:t xml:space="preserve">, </w:t>
      </w:r>
      <w:r w:rsidR="00415DCA">
        <w:rPr>
          <w:rFonts w:eastAsiaTheme="minorEastAsia"/>
          <w:i/>
        </w:rPr>
        <w:t>k</w:t>
      </w:r>
      <w:r w:rsidR="00415DCA">
        <w:rPr>
          <w:rFonts w:eastAsiaTheme="minorEastAsia"/>
          <w:vertAlign w:val="subscript"/>
        </w:rPr>
        <w:t>R</w:t>
      </w:r>
      <w:r w:rsidR="00415DCA">
        <w:rPr>
          <w:rFonts w:eastAsiaTheme="minorEastAsia"/>
        </w:rPr>
        <w:t xml:space="preserve"> was calculated for each chromophore using the Dahms-Ruff </w:t>
      </w:r>
      <w:r w:rsidR="00A930BB">
        <w:rPr>
          <w:rFonts w:eastAsiaTheme="minorEastAsia"/>
        </w:rPr>
        <w:t>relation,</w:t>
      </w:r>
      <w:r w:rsidR="003F56EF">
        <w:rPr>
          <w:rFonts w:eastAsiaTheme="minorEastAsia"/>
        </w:rPr>
        <w:fldChar w:fldCharType="begin" w:fldLock="1"/>
      </w:r>
      <w:r w:rsidR="005F5C5F">
        <w:rPr>
          <w:rFonts w:eastAsiaTheme="minorEastAsia"/>
        </w:rPr>
        <w:instrText>ADDIN CSL_CITATION {"citationItems":[{"id":"ITEM-1","itemData":{"DOI":"10.1021/acs.jpcc.6b04438","ISSN":"19327455","abstract":"© 2016 American Chemical Society. Self-exchange intermolecular Ru III/II electron transfer, a process commonly referred to as \"hole-hopping\", is of great interest as it provides a means of charge transport across the surface of nanocrystalline (anatase) TiO 2 mesoporous thin films without the loss of free energy. This process was characterized by cyclic voltammetry and chronoabsorptometry for three homologous Ru diimine compounds of the general form [Ru(LL) 2 (dcbH 2 )](PF 6 ) 2 , where LL is 2,2′-bipyridine (bpy), 4,4′-dimethyl-2,2′-bipyridine (dmb), or 4,4′-di-tert-butyl-2,2′-bipyridine (dtb) and dcbH 2 is 2,2′-bipyridyl-4,4′-dicarboxylic acid. Apparent electron diffusion coefficients, D, abstracted from this data increased with dtb &lt; bpy &lt; dmb. Both techniques were consistent with this trend, despite differences in the magnitude of D between the two methods. Temperature dependent measurements revealed an activation barrier for electron self-exchange of 250 ± 50 meV that was within this error the same for all three diimine compounds, suggesting the total reorganization energy, λ, was also the same. Application of Marcus theory, with the assumption that the 900 ± 100 meV total reorganization energy for self-exchange electron transfer was independent of the Ru compound, revealed that the electronic coupling matrix element, H AB , followed the trend dtb (0.02 meV) &lt; bpy (0.07 meV) &lt; dmb (0.10 meV). The results indicate that insulating side groups placed on redox active molecules can be utilized to tune the electronic coupling and hence self-exchange rate constants without significantly altering the reorganization energy for electron transfer on TiO 2 surfaces.","author":[{"dropping-particle":"","family":"DiMarco","given":"Brian N.","non-dropping-particle":"","parse-names":false,"suffix":""},{"dropping-particle":"","family":"Motley","given":"Tyler C.","non-dropping-particle":"","parse-names":false,"suffix":""},{"dropping-particle":"","family":"Balok","given":"Ryan S.","non-dropping-particle":"","parse-names":false,"suffix":""},{"dropping-particle":"","family":"Li","given":"Guocan","non-dropping-particle":"","parse-names":false,"suffix":""},{"dropping-particle":"","family":"Siegler","given":"Maxime A.","non-dropping-particle":"","parse-names":false,"suffix":""},{"dropping-particle":"","family":"O'Donnell","given":"Ryan M.","non-dropping-particle":"","parse-names":false,"suffix":""},{"dropping-particle":"","family":"Hu","given":"Ke","non-dropping-particle":"","parse-names":false,"suffix":""},{"dropping-particle":"","family":"Meyer","given":"Gerald J.","non-dropping-particle":"","parse-names":false,"suffix":""}],"container-title":"Journal of Physical Chemistry C","id":"ITEM-1","issue":"26","issued":{"date-parts":[["2016"]]},"page":"14226-14235","title":"A Distance Dependence to Lateral Self-Exchange across Nanocrystalline TiO2. A Comparative Study of Three Homologous RuIII/II Polypyridyl Compounds","type":"article-journal","volume":"120"},"uris":["http://www.mendeley.com/documents/?uuid=3b9bc1d5-0a71-4ac5-ab06-01f75db4849b"]},{"id":"ITEM-2","itemData":{"DOI":"10.1021/acs.langmuir.5b02129","ISSN":"15205827","abstract":"Intermolecular self-exchange energy and electron-transfer reactions occur without a loss of free energy. This behavior can be exploited for energy-transport applications when molecules that undergo self-exchange transfer reactions are immobilized on a solid support. This Article focuses upon lateral self-exchange reactions and the relevant interfacial chemistry that occurs on the mesoporous nanocrystalline (anatase) TiO2 thin films that are commonly used in dye-sensitized solar cells. It has been known for some time that all of the dye molecules (termed sensitizers) within such thin films can be reversibly oxidized and reduced by lateral self-exchange electron transfer provided that the sensitizer surface coverage exceeds a percolation threshold. Under conditions where excited-state electron injection into TiO2 is unfavored, lateral intermolecular energy-transfer reactions are also known to occur. The self-exchange rate constants have been quantified by electrochemical, absorption, and/or time-resolved anisotropy techniques and understood within the framework of Marcus theory. Such analysis reveals that the reorganization energy and the electronic coupling are sensitive to the identity of the molecular compound. Time-resolved anisotropy measurements have shown that lateral charge and energy-transfer reactions across the TiO2 surface occur in kinetic competition with charge recombination and excited-state relaxation, respectively. The extent to which lateral self-exchange reactions might be exploited for solar energy conversion applications is discussed, as are critical fundamental issues that remain unresolved.","author":[{"dropping-particle":"","family":"Hu","given":"Ke","non-dropping-particle":"","parse-names":false,"suffix":""},{"dropping-particle":"","family":"Meyer","given":"Gerald J.","non-dropping-particle":"","parse-names":false,"suffix":""}],"container-title":"Langmuir","id":"ITEM-2","issue":"41","issued":{"date-parts":[["2015"]]},"page":"11164-11178","title":"Lateral Intermolecular Self-Exchange Reactions for Hole and Energy Transport on Mesoporous Metal Oxide Thin Films","type":"article-journal","volume":"31"},"uris":["http://www.mendeley.com/documents/?uuid=f406c883-05bf-48ed-847d-22244abc8bb7"]},{"id":"ITEM-3","itemData":{"DOI":"10.1021/ja00035a025","ISSN":"15205126","abstract":"The interdependence of electron hopping between redox centers and the phys. motion of redox centers is investigated systematically. When phys. motion is either nonexistent or much slower than electron hopping, charge propagation is fundamentally a percolation process. In the opposite extreme, rapid mol. motion thoroughly rearranges the mol. distribution between successive electron hops, thereby leading to mean-field behavior. Monte-Carlo simulations are employed to study the transition between static percolation and mean-field behaviors as a function of the relative rates of electron hopping and phys. motion. Previously derived mean-field equations for free phys. diffusion (Dahms-Ruff) are shown to be inapplicable to systems in which the contribution of phys. diffusion to charge transport is small compared to that of electron hopping. The concept of bounded diffusion, based upon a simple and approx. harmonic model, is developed and employed in the description of charge propagation in systems where the redox centers are irreversibly attached to a surrounding supramol. structure. The mean-field limit for bounded diffusion (Laviron-Andrieux-Saveant behavior) is reached when the rate of phys. motion exceeds that of electron hopping and the range of phys. motion is sufficiently great to permit interactions between neighboring redox mols. An important consequence of this anal. is that the rate const. involved in the proportionality between the apparent diffusion coeff. and the concn. of redox sites is the activation-controlled rate const. and not a combination of the diffusion- and activation-controlled rate consts. Phys. motion, however, manifests itself in the mean-squared displacement of an electron between successive electron hops, which, in addn. to the electron hopping distance, includes a term characterizing the distance a mol. is permitted to move by the surrounding supramol. structure to which it is attached.","author":[{"dropping-particle":"","family":"Blauch","given":"David N.","non-dropping-particle":"","parse-names":false,"suffix":""},{"dropping-particle":"","family":"Savéant","given":"Jean Michel","non-dropping-particle":"","parse-names":false,"suffix":""}],"container-title":"Journal of the American Chemical Society","id":"ITEM-3","issue":"9","issued":{"date-parts":[["1992"]]},"page":"3323-3332","title":"Dynamics of Electron Hopping in Assemblies of Redox Centers. Percolation and Diffusion","type":"article-journal","volume":"114"},"uris":["http://www.mendeley.com/documents/?uuid=b972c063-e9d3-46d2-83a2-294b7eae2052"]}],"mendeley":{"formattedCitation":"&lt;sup&gt;33,45,54&lt;/sup&gt;","plainTextFormattedCitation":"33,45,54","previouslyFormattedCitation":"&lt;sup&gt;33,45,54&lt;/sup&gt;"},"properties":{"noteIndex":0},"schema":"https://github.com/citation-style-language/schema/raw/master/csl-citation.json"}</w:instrText>
      </w:r>
      <w:r w:rsidR="003F56EF">
        <w:rPr>
          <w:rFonts w:eastAsiaTheme="minorEastAsia"/>
        </w:rPr>
        <w:fldChar w:fldCharType="separate"/>
      </w:r>
      <w:r w:rsidR="005F5C5F" w:rsidRPr="005F5C5F">
        <w:rPr>
          <w:rFonts w:eastAsiaTheme="minorEastAsia"/>
          <w:noProof/>
          <w:vertAlign w:val="superscript"/>
        </w:rPr>
        <w:t>33,45,54</w:t>
      </w:r>
      <w:r w:rsidR="003F56EF">
        <w:rPr>
          <w:rFonts w:eastAsiaTheme="minorEastAsia"/>
        </w:rPr>
        <w:fldChar w:fldCharType="end"/>
      </w:r>
      <w:r w:rsidR="00A930BB">
        <w:rPr>
          <w:rFonts w:eastAsiaTheme="minorEastAsia"/>
        </w:rPr>
        <w:t xml:space="preserve"> </w:t>
      </w:r>
      <w:r w:rsidR="00A930BB" w:rsidRPr="00190549">
        <w:rPr>
          <w:rFonts w:eastAsiaTheme="minorEastAsia"/>
          <w:b/>
          <w:highlight w:val="yellow"/>
        </w:rPr>
        <w:t xml:space="preserve">Equation </w:t>
      </w:r>
      <w:r w:rsidR="00190549" w:rsidRPr="00190549">
        <w:rPr>
          <w:rFonts w:eastAsiaTheme="minorEastAsia"/>
          <w:b/>
          <w:highlight w:val="yellow"/>
        </w:rPr>
        <w:t>7</w:t>
      </w:r>
      <w:r w:rsidR="00415DCA">
        <w:rPr>
          <w:rFonts w:eastAsiaTheme="minorEastAsia"/>
        </w:rPr>
        <w:t>.</w:t>
      </w:r>
      <w:r w:rsidR="00194FD9">
        <w:rPr>
          <w:rFonts w:eastAsiaTheme="minorEastAsia"/>
        </w:rPr>
        <w:t xml:space="preserve"> The results are summarized in </w:t>
      </w:r>
      <w:r w:rsidR="00194FD9" w:rsidRPr="00221BF8">
        <w:rPr>
          <w:rFonts w:eastAsiaTheme="minorEastAsia"/>
          <w:b/>
        </w:rPr>
        <w:t>Table 1</w:t>
      </w:r>
      <w:r w:rsidR="00C00057">
        <w:rPr>
          <w:rFonts w:eastAsiaTheme="minorEastAsia"/>
          <w:b/>
        </w:rPr>
        <w:t xml:space="preserve"> </w:t>
      </w:r>
      <w:r w:rsidR="00C00057">
        <w:rPr>
          <w:rFonts w:eastAsiaTheme="minorEastAsia"/>
          <w:bCs/>
        </w:rPr>
        <w:t xml:space="preserve">with </w:t>
      </w:r>
      <w:r w:rsidR="00C00057">
        <w:rPr>
          <w:rFonts w:eastAsiaTheme="minorEastAsia"/>
          <w:bCs/>
          <w:i/>
          <w:iCs/>
        </w:rPr>
        <w:t>k</w:t>
      </w:r>
      <w:r w:rsidR="00C00057" w:rsidRPr="00C00057">
        <w:rPr>
          <w:rFonts w:eastAsiaTheme="minorEastAsia"/>
          <w:bCs/>
          <w:vertAlign w:val="subscript"/>
        </w:rPr>
        <w:t>R</w:t>
      </w:r>
      <w:r w:rsidR="00C00057">
        <w:rPr>
          <w:rFonts w:eastAsiaTheme="minorEastAsia"/>
        </w:rPr>
        <w:t xml:space="preserve"> found in </w:t>
      </w:r>
      <w:r w:rsidR="00C00057" w:rsidRPr="00C00057">
        <w:rPr>
          <w:rFonts w:eastAsiaTheme="minorEastAsia"/>
          <w:b/>
          <w:bCs/>
        </w:rPr>
        <w:t>Table 2</w:t>
      </w:r>
      <w:r w:rsidR="00194FD9">
        <w:rPr>
          <w:rFonts w:eastAsiaTheme="minorEastAsia"/>
        </w:rPr>
        <w:t>.</w:t>
      </w:r>
    </w:p>
    <w:p w14:paraId="590BC983" w14:textId="4CC88582" w:rsidR="0033019F" w:rsidRPr="00415DCA" w:rsidRDefault="007A0DAF" w:rsidP="00416D83">
      <w:pPr>
        <w:pStyle w:val="NoSpacing"/>
        <w:spacing w:line="360" w:lineRule="auto"/>
        <w:jc w:val="both"/>
        <w:rPr>
          <w:rFonts w:eastAsiaTheme="minorEastAsia"/>
        </w:rPr>
      </w:pPr>
      <m:oMathPara>
        <m:oMath>
          <m:sSub>
            <m:sSubPr>
              <m:ctrlPr>
                <w:rPr>
                  <w:rFonts w:ascii="Cambria Math" w:hAnsi="Cambria Math"/>
                  <w:i/>
                </w:rPr>
              </m:ctrlPr>
            </m:sSubPr>
            <m:e>
              <m:r>
                <w:rPr>
                  <w:rFonts w:ascii="Cambria Math" w:hAnsi="Cambria Math"/>
                </w:rPr>
                <m:t>c</m:t>
              </m:r>
            </m:e>
            <m:sub>
              <m:r>
                <w:rPr>
                  <w:rFonts w:ascii="Cambria Math" w:hAnsi="Cambria Math"/>
                </w:rPr>
                <m:t>0</m:t>
              </m:r>
            </m:sub>
          </m:sSub>
          <m:r>
            <w:rPr>
              <w:rFonts w:ascii="Cambria Math" w:hAnsi="Cambria Math"/>
            </w:rPr>
            <m:t>=</m:t>
          </m:r>
          <m:f>
            <m:fPr>
              <m:ctrlPr>
                <w:rPr>
                  <w:rFonts w:ascii="Cambria Math" w:hAnsi="Cambria Math"/>
                  <w:i/>
                </w:rPr>
              </m:ctrlPr>
            </m:fPr>
            <m:num>
              <m:r>
                <w:rPr>
                  <w:rFonts w:ascii="Cambria Math" w:hAnsi="Cambria Math"/>
                </w:rPr>
                <m:t>(</m:t>
              </m:r>
              <m:sSub>
                <m:sSubPr>
                  <m:ctrlPr>
                    <w:rPr>
                      <w:rFonts w:ascii="Cambria Math" w:hAnsi="Cambria Math"/>
                      <w:i/>
                    </w:rPr>
                  </m:ctrlPr>
                </m:sSubPr>
                <m:e>
                  <m:r>
                    <m:rPr>
                      <m:sty m:val="p"/>
                    </m:rPr>
                    <w:rPr>
                      <w:rFonts w:ascii="Cambria Math" w:hAnsi="Cambria Math"/>
                    </w:rPr>
                    <m:t>Γ</m:t>
                  </m:r>
                </m:e>
                <m:sub>
                  <m:r>
                    <w:rPr>
                      <w:rFonts w:ascii="Cambria Math" w:hAnsi="Cambria Math"/>
                    </w:rPr>
                    <m:t>0</m:t>
                  </m:r>
                </m:sub>
              </m:sSub>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4</m:t>
                  </m:r>
                </m:sup>
              </m:sSup>
              <m:r>
                <w:rPr>
                  <w:rFonts w:ascii="Cambria Math" w:hAnsi="Cambria Math"/>
                </w:rPr>
                <m:t>)×N</m:t>
              </m:r>
            </m:num>
            <m:den>
              <m:r>
                <w:rPr>
                  <w:rFonts w:ascii="Cambria Math" w:hAnsi="Cambria Math"/>
                  <w:highlight w:val="yellow"/>
                </w:rPr>
                <m:t>d×</m:t>
              </m:r>
              <m:r>
                <w:rPr>
                  <w:rFonts w:ascii="Cambria Math" w:hAnsi="Cambria Math"/>
                </w:rPr>
                <m:t>p</m:t>
              </m:r>
            </m:den>
          </m:f>
          <m:r>
            <w:rPr>
              <w:rFonts w:ascii="Cambria Math" w:hAnsi="Cambria Math"/>
            </w:rPr>
            <m:t xml:space="preserve">                  </m:t>
          </m:r>
          <m:r>
            <m:rPr>
              <m:sty m:val="p"/>
            </m:rPr>
            <w:rPr>
              <w:rFonts w:ascii="Cambria Math" w:hAnsi="Cambria Math"/>
              <w:highlight w:val="yellow"/>
            </w:rPr>
            <m:t>(</m:t>
          </m:r>
          <m:r>
            <m:rPr>
              <m:sty m:val="p"/>
            </m:rPr>
            <w:rPr>
              <w:rFonts w:ascii="Cambria Math" w:hAnsi="Cambria Math"/>
              <w:highlight w:val="yellow"/>
            </w:rPr>
            <m:t>6</m:t>
          </m:r>
          <m:r>
            <m:rPr>
              <m:sty m:val="p"/>
            </m:rPr>
            <w:rPr>
              <w:rFonts w:ascii="Cambria Math" w:hAnsi="Cambria Math"/>
              <w:highlight w:val="yellow"/>
            </w:rPr>
            <m:t>)</m:t>
          </m:r>
        </m:oMath>
      </m:oMathPara>
    </w:p>
    <w:p w14:paraId="46C42CBB" w14:textId="6EF4E5CF" w:rsidR="00415DCA" w:rsidRDefault="00415DCA" w:rsidP="00416D83">
      <w:pPr>
        <w:pStyle w:val="NoSpacing"/>
        <w:spacing w:line="360" w:lineRule="auto"/>
        <w:jc w:val="both"/>
        <w:rPr>
          <w:rFonts w:eastAsiaTheme="minorEastAsia"/>
        </w:rPr>
      </w:pPr>
    </w:p>
    <w:p w14:paraId="5B443A0F" w14:textId="52219F6E" w:rsidR="0033019F" w:rsidRDefault="007A0DAF" w:rsidP="00416D83">
      <w:pPr>
        <w:pStyle w:val="NoSpacing"/>
        <w:spacing w:line="360" w:lineRule="auto"/>
        <w:jc w:val="both"/>
      </w:pPr>
      <m:oMathPara>
        <m:oMath>
          <m:sSub>
            <m:sSubPr>
              <m:ctrlPr>
                <w:rPr>
                  <w:rFonts w:ascii="Cambria Math" w:hAnsi="Cambria Math"/>
                  <w:i/>
                </w:rPr>
              </m:ctrlPr>
            </m:sSubPr>
            <m:e>
              <m:r>
                <w:rPr>
                  <w:rFonts w:ascii="Cambria Math" w:hAnsi="Cambria Math"/>
                </w:rPr>
                <m:t>D</m:t>
              </m:r>
            </m:e>
            <m:sub>
              <m:r>
                <m:rPr>
                  <m:sty m:val="p"/>
                </m:rPr>
                <w:rPr>
                  <w:rFonts w:ascii="Cambria Math" w:hAnsi="Cambria Math"/>
                </w:rPr>
                <m:t>CA</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R</m:t>
                  </m:r>
                </m:sub>
              </m:sSub>
              <m:sSup>
                <m:sSupPr>
                  <m:ctrlPr>
                    <w:rPr>
                      <w:rFonts w:ascii="Cambria Math" w:hAnsi="Cambria Math"/>
                      <w:i/>
                    </w:rPr>
                  </m:ctrlPr>
                </m:sSupPr>
                <m:e>
                  <m:r>
                    <w:rPr>
                      <w:rFonts w:ascii="Cambria Math" w:hAnsi="Cambria Math"/>
                    </w:rPr>
                    <m:t>δ</m:t>
                  </m:r>
                </m:e>
                <m:sup>
                  <m:r>
                    <w:rPr>
                      <w:rFonts w:ascii="Cambria Math" w:hAnsi="Cambria Math"/>
                    </w:rPr>
                    <m:t>2</m:t>
                  </m:r>
                </m:sup>
              </m:sSup>
            </m:num>
            <m:den>
              <m:r>
                <w:rPr>
                  <w:rFonts w:ascii="Cambria Math" w:hAnsi="Cambria Math"/>
                </w:rPr>
                <m:t>6</m:t>
              </m:r>
            </m:den>
          </m:f>
          <m:r>
            <w:rPr>
              <w:rFonts w:ascii="Cambria Math" w:eastAsiaTheme="minorEastAsia" w:hAnsi="Cambria Math"/>
            </w:rPr>
            <m:t xml:space="preserve">                </m:t>
          </m:r>
          <m:r>
            <m:rPr>
              <m:sty m:val="p"/>
            </m:rPr>
            <w:rPr>
              <w:rFonts w:ascii="Cambria Math" w:eastAsiaTheme="minorEastAsia" w:hAnsi="Cambria Math"/>
              <w:highlight w:val="yellow"/>
            </w:rPr>
            <m:t>(</m:t>
          </m:r>
          <m:r>
            <m:rPr>
              <m:sty m:val="p"/>
            </m:rPr>
            <w:rPr>
              <w:rFonts w:ascii="Cambria Math" w:eastAsiaTheme="minorEastAsia" w:hAnsi="Cambria Math"/>
              <w:highlight w:val="yellow"/>
            </w:rPr>
            <m:t>7</m:t>
          </m:r>
          <m:r>
            <m:rPr>
              <m:sty m:val="p"/>
            </m:rPr>
            <w:rPr>
              <w:rFonts w:ascii="Cambria Math" w:eastAsiaTheme="minorEastAsia" w:hAnsi="Cambria Math"/>
              <w:highlight w:val="yellow"/>
            </w:rPr>
            <m:t>)</m:t>
          </m:r>
        </m:oMath>
      </m:oMathPara>
    </w:p>
    <w:p w14:paraId="2239856B" w14:textId="33C4D0EB" w:rsidR="008733CC" w:rsidRDefault="008733CC" w:rsidP="00416D83">
      <w:pPr>
        <w:pStyle w:val="NoSpacing"/>
        <w:spacing w:line="360" w:lineRule="auto"/>
        <w:jc w:val="both"/>
        <w:rPr>
          <w:b/>
        </w:rPr>
      </w:pPr>
    </w:p>
    <w:p w14:paraId="208F9E37" w14:textId="40B56B76" w:rsidR="00047139" w:rsidRDefault="00047139" w:rsidP="00416D83">
      <w:pPr>
        <w:pStyle w:val="NoSpacing"/>
        <w:spacing w:line="360" w:lineRule="auto"/>
        <w:jc w:val="both"/>
        <w:rPr>
          <w:b/>
        </w:rPr>
      </w:pPr>
    </w:p>
    <w:p w14:paraId="0AE872A6" w14:textId="77777777" w:rsidR="00047139" w:rsidRDefault="00047139" w:rsidP="00416D83">
      <w:pPr>
        <w:pStyle w:val="NoSpacing"/>
        <w:spacing w:line="360" w:lineRule="auto"/>
        <w:jc w:val="both"/>
        <w:rPr>
          <w:b/>
        </w:rPr>
      </w:pPr>
    </w:p>
    <w:p w14:paraId="2D29D0E0" w14:textId="0BCD2C80" w:rsidR="00BC5DF8" w:rsidRPr="00F77085" w:rsidRDefault="00D20A20" w:rsidP="00416D83">
      <w:pPr>
        <w:pStyle w:val="NoSpacing"/>
        <w:spacing w:line="360" w:lineRule="auto"/>
        <w:jc w:val="both"/>
      </w:pPr>
      <w:r w:rsidRPr="00C823A5">
        <w:rPr>
          <w:b/>
        </w:rPr>
        <w:lastRenderedPageBreak/>
        <w:t>Table 1.</w:t>
      </w:r>
      <w:r>
        <w:t xml:space="preserve"> Electrochemi</w:t>
      </w:r>
      <w:r w:rsidR="00566136">
        <w:t>cal</w:t>
      </w:r>
      <w:r>
        <w:t xml:space="preserve"> and </w:t>
      </w:r>
      <w:r w:rsidR="00AE6023">
        <w:t>P</w:t>
      </w:r>
      <w:r>
        <w:t xml:space="preserve">hotophysical </w:t>
      </w:r>
      <w:r w:rsidR="00AE6023">
        <w:t>C</w:t>
      </w:r>
      <w:r>
        <w:t>haracterization</w:t>
      </w:r>
      <w:r w:rsidR="00F77085">
        <w:t xml:space="preserve"> of TiO</w:t>
      </w:r>
      <w:r w:rsidR="00F77085">
        <w:rPr>
          <w:vertAlign w:val="subscript"/>
        </w:rPr>
        <w:t>2</w:t>
      </w:r>
      <w:r w:rsidR="00F77085">
        <w:t>|Ru(</w:t>
      </w:r>
      <w:r w:rsidR="000921AE">
        <w:t>bpy’</w:t>
      </w:r>
      <w:r w:rsidR="00F77085">
        <w:t>)</w:t>
      </w:r>
      <w:r w:rsidR="00F77085">
        <w:rPr>
          <w:vertAlign w:val="subscript"/>
        </w:rPr>
        <w:t>2</w:t>
      </w:r>
      <w:r w:rsidR="00F77085">
        <w:t>P in CH</w:t>
      </w:r>
      <w:r w:rsidR="00F77085">
        <w:rPr>
          <w:vertAlign w:val="subscript"/>
        </w:rPr>
        <w:t>3</w:t>
      </w:r>
      <w:r w:rsidR="00F77085">
        <w:t>CN</w:t>
      </w:r>
      <w:r w:rsidR="00311EDC">
        <w:t xml:space="preserve"> Electrolyte</w:t>
      </w:r>
      <w:r w:rsidR="006700BD">
        <w:t>.</w:t>
      </w:r>
    </w:p>
    <w:tbl>
      <w:tblPr>
        <w:tblStyle w:val="PlainTable4"/>
        <w:tblW w:w="9406" w:type="dxa"/>
        <w:tblLayout w:type="fixed"/>
        <w:tblLook w:val="04A0" w:firstRow="1" w:lastRow="0" w:firstColumn="1" w:lastColumn="0" w:noHBand="0" w:noVBand="1"/>
      </w:tblPr>
      <w:tblGrid>
        <w:gridCol w:w="1439"/>
        <w:gridCol w:w="1224"/>
        <w:gridCol w:w="23"/>
        <w:gridCol w:w="1309"/>
        <w:gridCol w:w="35"/>
        <w:gridCol w:w="1280"/>
        <w:gridCol w:w="1620"/>
        <w:gridCol w:w="1132"/>
        <w:gridCol w:w="38"/>
        <w:gridCol w:w="1225"/>
        <w:gridCol w:w="81"/>
      </w:tblGrid>
      <w:tr w:rsidR="00C823A5" w14:paraId="23774C8F" w14:textId="77777777" w:rsidTr="004C6D46">
        <w:trPr>
          <w:cnfStyle w:val="100000000000" w:firstRow="1" w:lastRow="0" w:firstColumn="0" w:lastColumn="0" w:oddVBand="0" w:evenVBand="0" w:oddHBand="0"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1439" w:type="dxa"/>
            <w:shd w:val="clear" w:color="auto" w:fill="auto"/>
          </w:tcPr>
          <w:p w14:paraId="02F28FFE" w14:textId="30B6C506" w:rsidR="00C823A5" w:rsidRPr="0033019F" w:rsidRDefault="00C823A5" w:rsidP="0033019F">
            <w:pPr>
              <w:pStyle w:val="NoSpacing"/>
              <w:spacing w:line="360" w:lineRule="auto"/>
              <w:jc w:val="center"/>
              <w:rPr>
                <w:sz w:val="20"/>
                <w:szCs w:val="20"/>
              </w:rPr>
            </w:pPr>
            <w:r w:rsidRPr="0033019F">
              <w:rPr>
                <w:sz w:val="20"/>
                <w:szCs w:val="20"/>
              </w:rPr>
              <w:t>Chromophore</w:t>
            </w:r>
          </w:p>
        </w:tc>
        <w:tc>
          <w:tcPr>
            <w:tcW w:w="1247" w:type="dxa"/>
            <w:gridSpan w:val="2"/>
            <w:shd w:val="clear" w:color="auto" w:fill="auto"/>
          </w:tcPr>
          <w:p w14:paraId="181327C0" w14:textId="77FD3118" w:rsidR="0033019F" w:rsidRDefault="00C823A5" w:rsidP="0033019F">
            <w:pPr>
              <w:pStyle w:val="NoSpacing"/>
              <w:spacing w:line="360" w:lineRule="auto"/>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33019F">
              <w:rPr>
                <w:sz w:val="20"/>
                <w:szCs w:val="20"/>
              </w:rPr>
              <w:t>λ</w:t>
            </w:r>
            <w:r w:rsidRPr="0033019F">
              <w:rPr>
                <w:sz w:val="20"/>
                <w:szCs w:val="20"/>
                <w:vertAlign w:val="subscript"/>
              </w:rPr>
              <w:t>MLCT</w:t>
            </w:r>
            <w:r w:rsidRPr="0033019F">
              <w:rPr>
                <w:sz w:val="20"/>
                <w:szCs w:val="20"/>
              </w:rPr>
              <w:t xml:space="preserve"> (nm)</w:t>
            </w:r>
            <w:r w:rsidR="006700BD" w:rsidRPr="006700BD">
              <w:rPr>
                <w:sz w:val="20"/>
                <w:szCs w:val="20"/>
                <w:vertAlign w:val="superscript"/>
              </w:rPr>
              <w:t>a</w:t>
            </w:r>
            <w:r w:rsidRPr="0033019F">
              <w:rPr>
                <w:sz w:val="20"/>
                <w:szCs w:val="20"/>
              </w:rPr>
              <w:t xml:space="preserve"> </w:t>
            </w:r>
          </w:p>
          <w:p w14:paraId="2E8AA9CA" w14:textId="7779D5FC" w:rsidR="00C823A5" w:rsidRPr="0033019F" w:rsidRDefault="00C823A5" w:rsidP="0033019F">
            <w:pPr>
              <w:pStyle w:val="NoSpacing"/>
              <w:spacing w:line="36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33019F">
              <w:rPr>
                <w:sz w:val="20"/>
                <w:szCs w:val="20"/>
              </w:rPr>
              <w:t>(ε 10</w:t>
            </w:r>
            <w:r w:rsidRPr="0033019F">
              <w:rPr>
                <w:sz w:val="20"/>
                <w:szCs w:val="20"/>
                <w:vertAlign w:val="superscript"/>
              </w:rPr>
              <w:t>4</w:t>
            </w:r>
            <w:r w:rsidRPr="0033019F">
              <w:rPr>
                <w:sz w:val="20"/>
                <w:szCs w:val="20"/>
              </w:rPr>
              <w:t> M</w:t>
            </w:r>
            <w:r w:rsidRPr="0033019F">
              <w:rPr>
                <w:sz w:val="20"/>
                <w:szCs w:val="20"/>
                <w:vertAlign w:val="superscript"/>
              </w:rPr>
              <w:t>-1</w:t>
            </w:r>
            <w:r w:rsidRPr="0033019F">
              <w:rPr>
                <w:sz w:val="20"/>
                <w:szCs w:val="20"/>
              </w:rPr>
              <w:t xml:space="preserve"> cm</w:t>
            </w:r>
            <w:r w:rsidRPr="0033019F">
              <w:rPr>
                <w:sz w:val="20"/>
                <w:szCs w:val="20"/>
                <w:vertAlign w:val="superscript"/>
              </w:rPr>
              <w:t>-1</w:t>
            </w:r>
            <w:r w:rsidRPr="0033019F">
              <w:rPr>
                <w:sz w:val="20"/>
                <w:szCs w:val="20"/>
              </w:rPr>
              <w:t>)</w:t>
            </w:r>
          </w:p>
        </w:tc>
        <w:tc>
          <w:tcPr>
            <w:tcW w:w="1344" w:type="dxa"/>
            <w:gridSpan w:val="2"/>
            <w:shd w:val="clear" w:color="auto" w:fill="auto"/>
          </w:tcPr>
          <w:p w14:paraId="4D447269" w14:textId="4591FCFA" w:rsidR="0033019F" w:rsidRPr="004C6D46" w:rsidRDefault="00C823A5" w:rsidP="0033019F">
            <w:pPr>
              <w:pStyle w:val="NoSpacing"/>
              <w:spacing w:line="360" w:lineRule="auto"/>
              <w:jc w:val="center"/>
              <w:cnfStyle w:val="100000000000" w:firstRow="1" w:lastRow="0" w:firstColumn="0" w:lastColumn="0" w:oddVBand="0" w:evenVBand="0" w:oddHBand="0" w:evenHBand="0" w:firstRowFirstColumn="0" w:firstRowLastColumn="0" w:lastRowFirstColumn="0" w:lastRowLastColumn="0"/>
              <w:rPr>
                <w:b w:val="0"/>
                <w:bCs w:val="0"/>
                <w:sz w:val="20"/>
                <w:szCs w:val="20"/>
                <w:vertAlign w:val="superscript"/>
                <w:lang w:val="nl-BE"/>
              </w:rPr>
            </w:pPr>
            <w:r w:rsidRPr="0033019F">
              <w:rPr>
                <w:i/>
                <w:sz w:val="20"/>
                <w:szCs w:val="20"/>
                <w:lang w:val="nl-BE"/>
              </w:rPr>
              <w:t>E</w:t>
            </w:r>
            <w:r w:rsidRPr="0033019F">
              <w:rPr>
                <w:sz w:val="20"/>
                <w:szCs w:val="20"/>
                <w:vertAlign w:val="subscript"/>
                <w:lang w:val="nl-BE"/>
              </w:rPr>
              <w:t>1/2</w:t>
            </w:r>
            <w:r w:rsidRPr="0033019F">
              <w:rPr>
                <w:sz w:val="20"/>
                <w:szCs w:val="20"/>
                <w:lang w:val="nl-BE"/>
              </w:rPr>
              <w:t xml:space="preserve"> (Ru</w:t>
            </w:r>
            <w:r w:rsidRPr="0033019F">
              <w:rPr>
                <w:sz w:val="20"/>
                <w:szCs w:val="20"/>
                <w:vertAlign w:val="superscript"/>
                <w:lang w:val="nl-BE"/>
              </w:rPr>
              <w:t>III/II</w:t>
            </w:r>
            <w:r w:rsidRPr="0033019F">
              <w:rPr>
                <w:sz w:val="20"/>
                <w:szCs w:val="20"/>
                <w:lang w:val="nl-BE"/>
              </w:rPr>
              <w:t>)</w:t>
            </w:r>
            <w:r w:rsidR="004C6D46" w:rsidRPr="005D4335">
              <w:rPr>
                <w:sz w:val="20"/>
                <w:szCs w:val="20"/>
                <w:highlight w:val="yellow"/>
                <w:vertAlign w:val="superscript"/>
                <w:lang w:val="nl-BE"/>
              </w:rPr>
              <w:t>b</w:t>
            </w:r>
          </w:p>
          <w:p w14:paraId="18A06BCD" w14:textId="46733852" w:rsidR="00C823A5" w:rsidRPr="0033019F" w:rsidRDefault="00C823A5" w:rsidP="0033019F">
            <w:pPr>
              <w:pStyle w:val="NoSpacing"/>
              <w:spacing w:line="360" w:lineRule="auto"/>
              <w:jc w:val="center"/>
              <w:cnfStyle w:val="100000000000" w:firstRow="1" w:lastRow="0" w:firstColumn="0" w:lastColumn="0" w:oddVBand="0" w:evenVBand="0" w:oddHBand="0" w:evenHBand="0" w:firstRowFirstColumn="0" w:firstRowLastColumn="0" w:lastRowFirstColumn="0" w:lastRowLastColumn="0"/>
              <w:rPr>
                <w:sz w:val="20"/>
                <w:szCs w:val="20"/>
                <w:lang w:val="nl-BE"/>
              </w:rPr>
            </w:pPr>
            <w:r w:rsidRPr="0033019F">
              <w:rPr>
                <w:sz w:val="20"/>
                <w:szCs w:val="20"/>
                <w:lang w:val="nl-BE"/>
              </w:rPr>
              <w:t xml:space="preserve"> (V vs NHE)</w:t>
            </w:r>
          </w:p>
        </w:tc>
        <w:tc>
          <w:tcPr>
            <w:tcW w:w="1280" w:type="dxa"/>
            <w:shd w:val="clear" w:color="auto" w:fill="auto"/>
          </w:tcPr>
          <w:p w14:paraId="3CB1D08E" w14:textId="77777777" w:rsidR="00C823A5" w:rsidRPr="0033019F" w:rsidRDefault="00C823A5" w:rsidP="0033019F">
            <w:pPr>
              <w:pStyle w:val="NoSpacing"/>
              <w:spacing w:line="36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33019F">
              <w:rPr>
                <w:i/>
                <w:sz w:val="20"/>
                <w:szCs w:val="20"/>
              </w:rPr>
              <w:t>D</w:t>
            </w:r>
            <w:r w:rsidRPr="0033019F">
              <w:rPr>
                <w:sz w:val="20"/>
                <w:szCs w:val="20"/>
                <w:vertAlign w:val="subscript"/>
              </w:rPr>
              <w:t>CA</w:t>
            </w:r>
          </w:p>
          <w:p w14:paraId="5D54518A" w14:textId="7E17F56B" w:rsidR="00C823A5" w:rsidRPr="0033019F" w:rsidRDefault="00C823A5" w:rsidP="0033019F">
            <w:pPr>
              <w:pStyle w:val="NoSpacing"/>
              <w:spacing w:line="36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33019F">
              <w:rPr>
                <w:sz w:val="20"/>
                <w:szCs w:val="20"/>
              </w:rPr>
              <w:t>(10</w:t>
            </w:r>
            <w:r w:rsidRPr="0033019F">
              <w:rPr>
                <w:sz w:val="20"/>
                <w:szCs w:val="20"/>
                <w:vertAlign w:val="superscript"/>
              </w:rPr>
              <w:t>-9</w:t>
            </w:r>
            <w:r w:rsidRPr="0033019F">
              <w:rPr>
                <w:sz w:val="20"/>
                <w:szCs w:val="20"/>
              </w:rPr>
              <w:t xml:space="preserve"> cm</w:t>
            </w:r>
            <w:r w:rsidRPr="0033019F">
              <w:rPr>
                <w:sz w:val="20"/>
                <w:szCs w:val="20"/>
                <w:vertAlign w:val="superscript"/>
              </w:rPr>
              <w:t>2</w:t>
            </w:r>
            <w:r w:rsidRPr="0033019F">
              <w:rPr>
                <w:sz w:val="20"/>
                <w:szCs w:val="20"/>
              </w:rPr>
              <w:t xml:space="preserve"> s</w:t>
            </w:r>
            <w:r w:rsidRPr="0033019F">
              <w:rPr>
                <w:sz w:val="20"/>
                <w:szCs w:val="20"/>
                <w:vertAlign w:val="superscript"/>
              </w:rPr>
              <w:t>-1</w:t>
            </w:r>
            <w:r w:rsidRPr="0033019F">
              <w:rPr>
                <w:sz w:val="20"/>
                <w:szCs w:val="20"/>
              </w:rPr>
              <w:t>)</w:t>
            </w:r>
          </w:p>
        </w:tc>
        <w:tc>
          <w:tcPr>
            <w:tcW w:w="1620" w:type="dxa"/>
            <w:shd w:val="clear" w:color="auto" w:fill="auto"/>
          </w:tcPr>
          <w:p w14:paraId="2465B17C" w14:textId="77777777" w:rsidR="0033019F" w:rsidRDefault="00C823A5" w:rsidP="0033019F">
            <w:pPr>
              <w:pStyle w:val="NoSpacing"/>
              <w:spacing w:line="360" w:lineRule="auto"/>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33019F">
              <w:rPr>
                <w:sz w:val="20"/>
                <w:szCs w:val="20"/>
              </w:rPr>
              <w:t>Γ</w:t>
            </w:r>
            <w:r w:rsidRPr="0033019F">
              <w:rPr>
                <w:sz w:val="20"/>
                <w:szCs w:val="20"/>
                <w:vertAlign w:val="subscript"/>
              </w:rPr>
              <w:t>0</w:t>
            </w:r>
            <w:r w:rsidRPr="0033019F">
              <w:rPr>
                <w:sz w:val="20"/>
                <w:szCs w:val="20"/>
              </w:rPr>
              <w:t xml:space="preserve"> </w:t>
            </w:r>
          </w:p>
          <w:p w14:paraId="06C91293" w14:textId="66AF7E9B" w:rsidR="00C823A5" w:rsidRPr="0033019F" w:rsidRDefault="00C823A5" w:rsidP="0033019F">
            <w:pPr>
              <w:pStyle w:val="NoSpacing"/>
              <w:spacing w:line="36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33019F">
              <w:rPr>
                <w:sz w:val="20"/>
                <w:szCs w:val="20"/>
              </w:rPr>
              <w:t>(10</w:t>
            </w:r>
            <w:r w:rsidRPr="0033019F">
              <w:rPr>
                <w:sz w:val="20"/>
                <w:szCs w:val="20"/>
                <w:vertAlign w:val="superscript"/>
              </w:rPr>
              <w:t>-</w:t>
            </w:r>
            <w:r w:rsidR="0017005B">
              <w:rPr>
                <w:sz w:val="20"/>
                <w:szCs w:val="20"/>
                <w:vertAlign w:val="superscript"/>
              </w:rPr>
              <w:t>7</w:t>
            </w:r>
            <w:r w:rsidRPr="0033019F">
              <w:rPr>
                <w:sz w:val="20"/>
                <w:szCs w:val="20"/>
              </w:rPr>
              <w:t xml:space="preserve"> mol cm</w:t>
            </w:r>
            <w:r w:rsidRPr="0033019F">
              <w:rPr>
                <w:sz w:val="20"/>
                <w:szCs w:val="20"/>
                <w:vertAlign w:val="superscript"/>
              </w:rPr>
              <w:t>-2</w:t>
            </w:r>
            <w:r w:rsidRPr="0033019F">
              <w:rPr>
                <w:sz w:val="20"/>
                <w:szCs w:val="20"/>
              </w:rPr>
              <w:t>)</w:t>
            </w:r>
          </w:p>
        </w:tc>
        <w:tc>
          <w:tcPr>
            <w:tcW w:w="1132" w:type="dxa"/>
            <w:shd w:val="clear" w:color="auto" w:fill="auto"/>
          </w:tcPr>
          <w:p w14:paraId="43EC11C7" w14:textId="77777777" w:rsidR="00C05620" w:rsidRDefault="00C823A5" w:rsidP="0033019F">
            <w:pPr>
              <w:pStyle w:val="NoSpacing"/>
              <w:spacing w:line="360" w:lineRule="auto"/>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33019F">
              <w:rPr>
                <w:sz w:val="20"/>
                <w:szCs w:val="20"/>
              </w:rPr>
              <w:t xml:space="preserve">δ </w:t>
            </w:r>
          </w:p>
          <w:p w14:paraId="6ADA330B" w14:textId="546F1100" w:rsidR="00C823A5" w:rsidRPr="0033019F" w:rsidRDefault="00C823A5" w:rsidP="0033019F">
            <w:pPr>
              <w:pStyle w:val="NoSpacing"/>
              <w:spacing w:line="36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33019F">
              <w:rPr>
                <w:sz w:val="20"/>
                <w:szCs w:val="20"/>
              </w:rPr>
              <w:t>(nm)</w:t>
            </w:r>
          </w:p>
        </w:tc>
        <w:tc>
          <w:tcPr>
            <w:tcW w:w="1344" w:type="dxa"/>
            <w:gridSpan w:val="3"/>
            <w:shd w:val="clear" w:color="auto" w:fill="auto"/>
          </w:tcPr>
          <w:p w14:paraId="4FE51C30" w14:textId="391DD0B1" w:rsidR="00C823A5" w:rsidRPr="0033019F" w:rsidRDefault="00C823A5" w:rsidP="0033019F">
            <w:pPr>
              <w:pStyle w:val="NoSpacing"/>
              <w:spacing w:line="360" w:lineRule="auto"/>
              <w:jc w:val="center"/>
              <w:cnfStyle w:val="100000000000" w:firstRow="1" w:lastRow="0" w:firstColumn="0" w:lastColumn="0" w:oddVBand="0" w:evenVBand="0" w:oddHBand="0" w:evenHBand="0" w:firstRowFirstColumn="0" w:firstRowLastColumn="0" w:lastRowFirstColumn="0" w:lastRowLastColumn="0"/>
              <w:rPr>
                <w:sz w:val="20"/>
                <w:szCs w:val="20"/>
              </w:rPr>
            </w:pPr>
          </w:p>
        </w:tc>
      </w:tr>
      <w:tr w:rsidR="0033019F" w14:paraId="2A665EA9" w14:textId="77777777" w:rsidTr="004C6D46">
        <w:trPr>
          <w:gridAfter w:val="1"/>
          <w:cnfStyle w:val="000000100000" w:firstRow="0" w:lastRow="0" w:firstColumn="0" w:lastColumn="0" w:oddVBand="0" w:evenVBand="0" w:oddHBand="1" w:evenHBand="0" w:firstRowFirstColumn="0" w:firstRowLastColumn="0" w:lastRowFirstColumn="0" w:lastRowLastColumn="0"/>
          <w:wAfter w:w="81" w:type="dxa"/>
          <w:trHeight w:val="690"/>
        </w:trPr>
        <w:tc>
          <w:tcPr>
            <w:cnfStyle w:val="001000000000" w:firstRow="0" w:lastRow="0" w:firstColumn="1" w:lastColumn="0" w:oddVBand="0" w:evenVBand="0" w:oddHBand="0" w:evenHBand="0" w:firstRowFirstColumn="0" w:firstRowLastColumn="0" w:lastRowFirstColumn="0" w:lastRowLastColumn="0"/>
            <w:tcW w:w="1439" w:type="dxa"/>
            <w:shd w:val="clear" w:color="auto" w:fill="auto"/>
          </w:tcPr>
          <w:p w14:paraId="32C0CBBD" w14:textId="5E153DDF" w:rsidR="00C823A5" w:rsidRPr="0033019F" w:rsidRDefault="00AA08E7" w:rsidP="0033019F">
            <w:pPr>
              <w:pStyle w:val="NoSpacing"/>
              <w:spacing w:line="360" w:lineRule="auto"/>
              <w:jc w:val="center"/>
              <w:rPr>
                <w:sz w:val="20"/>
                <w:szCs w:val="20"/>
              </w:rPr>
            </w:pPr>
            <w:r w:rsidRPr="0033019F">
              <w:rPr>
                <w:sz w:val="20"/>
                <w:szCs w:val="20"/>
              </w:rPr>
              <w:t>RuP</w:t>
            </w:r>
          </w:p>
        </w:tc>
        <w:tc>
          <w:tcPr>
            <w:tcW w:w="1224" w:type="dxa"/>
            <w:shd w:val="clear" w:color="auto" w:fill="auto"/>
          </w:tcPr>
          <w:p w14:paraId="2954D792" w14:textId="2AE301D5" w:rsidR="00C823A5" w:rsidRPr="0033019F" w:rsidRDefault="00AA08E7" w:rsidP="0033019F">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33019F">
              <w:rPr>
                <w:sz w:val="20"/>
                <w:szCs w:val="20"/>
              </w:rPr>
              <w:t>458</w:t>
            </w:r>
            <w:r w:rsidR="00CE2423" w:rsidRPr="0033019F">
              <w:rPr>
                <w:sz w:val="20"/>
                <w:szCs w:val="20"/>
              </w:rPr>
              <w:t xml:space="preserve"> (1.20)</w:t>
            </w:r>
          </w:p>
        </w:tc>
        <w:tc>
          <w:tcPr>
            <w:tcW w:w="1332" w:type="dxa"/>
            <w:gridSpan w:val="2"/>
            <w:shd w:val="clear" w:color="auto" w:fill="auto"/>
          </w:tcPr>
          <w:p w14:paraId="36DEC193" w14:textId="05F809DF" w:rsidR="00C823A5" w:rsidRPr="0033019F" w:rsidRDefault="00CE2423" w:rsidP="0033019F">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33019F">
              <w:rPr>
                <w:sz w:val="20"/>
                <w:szCs w:val="20"/>
              </w:rPr>
              <w:t>1.44</w:t>
            </w:r>
          </w:p>
        </w:tc>
        <w:tc>
          <w:tcPr>
            <w:tcW w:w="1315" w:type="dxa"/>
            <w:gridSpan w:val="2"/>
            <w:shd w:val="clear" w:color="auto" w:fill="auto"/>
          </w:tcPr>
          <w:p w14:paraId="1AB4ED76" w14:textId="0B5C7089" w:rsidR="00C823A5" w:rsidRPr="005D4335" w:rsidRDefault="00CE2423" w:rsidP="0033019F">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5D4335">
              <w:rPr>
                <w:sz w:val="20"/>
                <w:szCs w:val="20"/>
                <w:highlight w:val="yellow"/>
              </w:rPr>
              <w:t>2.1</w:t>
            </w:r>
            <w:r w:rsidR="004C6D46" w:rsidRPr="005D4335">
              <w:rPr>
                <w:sz w:val="20"/>
                <w:szCs w:val="20"/>
                <w:highlight w:val="yellow"/>
              </w:rPr>
              <w:t xml:space="preserve"> </w:t>
            </w:r>
            <w:r w:rsidR="004C6D46" w:rsidRPr="005D4335">
              <w:rPr>
                <w:color w:val="222222"/>
                <w:sz w:val="20"/>
                <w:szCs w:val="18"/>
                <w:highlight w:val="yellow"/>
              </w:rPr>
              <w:t>± 0.2</w:t>
            </w:r>
          </w:p>
        </w:tc>
        <w:tc>
          <w:tcPr>
            <w:tcW w:w="1620" w:type="dxa"/>
            <w:shd w:val="clear" w:color="auto" w:fill="auto"/>
          </w:tcPr>
          <w:p w14:paraId="2A067F2A" w14:textId="7CC80B9F" w:rsidR="00C823A5" w:rsidRPr="005D4335" w:rsidRDefault="00C05620" w:rsidP="0033019F">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5D4335">
              <w:rPr>
                <w:sz w:val="20"/>
                <w:szCs w:val="20"/>
                <w:highlight w:val="yellow"/>
              </w:rPr>
              <w:t>1.3</w:t>
            </w:r>
            <w:r w:rsidR="004C6D46" w:rsidRPr="005D4335">
              <w:rPr>
                <w:sz w:val="20"/>
                <w:szCs w:val="20"/>
                <w:highlight w:val="yellow"/>
              </w:rPr>
              <w:t xml:space="preserve"> </w:t>
            </w:r>
            <w:r w:rsidR="004C6D46" w:rsidRPr="005D4335">
              <w:rPr>
                <w:color w:val="222222"/>
                <w:sz w:val="20"/>
                <w:szCs w:val="18"/>
                <w:highlight w:val="yellow"/>
              </w:rPr>
              <w:t>± 0.2</w:t>
            </w:r>
          </w:p>
        </w:tc>
        <w:tc>
          <w:tcPr>
            <w:tcW w:w="1170" w:type="dxa"/>
            <w:gridSpan w:val="2"/>
            <w:shd w:val="clear" w:color="auto" w:fill="auto"/>
          </w:tcPr>
          <w:p w14:paraId="56494A0B" w14:textId="67D015FB" w:rsidR="00C823A5" w:rsidRPr="005D4335" w:rsidRDefault="00334181" w:rsidP="0033019F">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5D4335">
              <w:rPr>
                <w:sz w:val="20"/>
                <w:szCs w:val="20"/>
                <w:highlight w:val="yellow"/>
              </w:rPr>
              <w:t>1.33</w:t>
            </w:r>
            <w:r w:rsidR="004C6D46" w:rsidRPr="005D4335">
              <w:rPr>
                <w:sz w:val="20"/>
                <w:szCs w:val="20"/>
                <w:highlight w:val="yellow"/>
              </w:rPr>
              <w:t xml:space="preserve"> </w:t>
            </w:r>
            <w:r w:rsidR="004C6D46" w:rsidRPr="005D4335">
              <w:rPr>
                <w:color w:val="222222"/>
                <w:sz w:val="20"/>
                <w:szCs w:val="18"/>
                <w:highlight w:val="yellow"/>
              </w:rPr>
              <w:t>± 0.06</w:t>
            </w:r>
          </w:p>
        </w:tc>
        <w:tc>
          <w:tcPr>
            <w:tcW w:w="1225" w:type="dxa"/>
            <w:shd w:val="clear" w:color="auto" w:fill="auto"/>
          </w:tcPr>
          <w:p w14:paraId="54AA7564" w14:textId="47DBE8A6" w:rsidR="00C823A5" w:rsidRPr="005D4335" w:rsidRDefault="00C823A5" w:rsidP="0033019F">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p>
        </w:tc>
      </w:tr>
      <w:tr w:rsidR="00C823A5" w14:paraId="7930A23F" w14:textId="77777777" w:rsidTr="004C6D46">
        <w:trPr>
          <w:gridAfter w:val="1"/>
          <w:wAfter w:w="81" w:type="dxa"/>
          <w:trHeight w:val="690"/>
        </w:trPr>
        <w:tc>
          <w:tcPr>
            <w:cnfStyle w:val="001000000000" w:firstRow="0" w:lastRow="0" w:firstColumn="1" w:lastColumn="0" w:oddVBand="0" w:evenVBand="0" w:oddHBand="0" w:evenHBand="0" w:firstRowFirstColumn="0" w:firstRowLastColumn="0" w:lastRowFirstColumn="0" w:lastRowLastColumn="0"/>
            <w:tcW w:w="1439" w:type="dxa"/>
            <w:shd w:val="clear" w:color="auto" w:fill="auto"/>
          </w:tcPr>
          <w:p w14:paraId="344A515D" w14:textId="110019A0" w:rsidR="00C823A5" w:rsidRPr="0033019F" w:rsidRDefault="00AA08E7" w:rsidP="0033019F">
            <w:pPr>
              <w:pStyle w:val="NoSpacing"/>
              <w:spacing w:line="360" w:lineRule="auto"/>
              <w:jc w:val="center"/>
              <w:rPr>
                <w:sz w:val="20"/>
                <w:szCs w:val="20"/>
              </w:rPr>
            </w:pPr>
            <w:r w:rsidRPr="0033019F">
              <w:rPr>
                <w:sz w:val="20"/>
                <w:szCs w:val="20"/>
              </w:rPr>
              <w:t>Ru(OMe)</w:t>
            </w:r>
            <w:r w:rsidRPr="0033019F">
              <w:rPr>
                <w:sz w:val="20"/>
                <w:szCs w:val="20"/>
                <w:vertAlign w:val="subscript"/>
              </w:rPr>
              <w:t>2</w:t>
            </w:r>
            <w:r w:rsidRPr="0033019F">
              <w:rPr>
                <w:sz w:val="20"/>
                <w:szCs w:val="20"/>
              </w:rPr>
              <w:t>P</w:t>
            </w:r>
          </w:p>
        </w:tc>
        <w:tc>
          <w:tcPr>
            <w:tcW w:w="1224" w:type="dxa"/>
            <w:shd w:val="clear" w:color="auto" w:fill="auto"/>
          </w:tcPr>
          <w:p w14:paraId="222019B4" w14:textId="2827E6A1" w:rsidR="00C823A5" w:rsidRPr="0033019F" w:rsidRDefault="00CE2423" w:rsidP="0033019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3019F">
              <w:rPr>
                <w:sz w:val="20"/>
                <w:szCs w:val="20"/>
              </w:rPr>
              <w:t>477 (1.18)</w:t>
            </w:r>
          </w:p>
        </w:tc>
        <w:tc>
          <w:tcPr>
            <w:tcW w:w="1332" w:type="dxa"/>
            <w:gridSpan w:val="2"/>
            <w:shd w:val="clear" w:color="auto" w:fill="auto"/>
          </w:tcPr>
          <w:p w14:paraId="4486DBB7" w14:textId="395B6E21" w:rsidR="00C823A5" w:rsidRPr="0033019F" w:rsidRDefault="00CE2423" w:rsidP="0033019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3019F">
              <w:rPr>
                <w:sz w:val="20"/>
                <w:szCs w:val="20"/>
              </w:rPr>
              <w:t>1.24</w:t>
            </w:r>
          </w:p>
        </w:tc>
        <w:tc>
          <w:tcPr>
            <w:tcW w:w="1315" w:type="dxa"/>
            <w:gridSpan w:val="2"/>
            <w:shd w:val="clear" w:color="auto" w:fill="auto"/>
          </w:tcPr>
          <w:p w14:paraId="04A7E6B5" w14:textId="07D2B67E" w:rsidR="00C823A5" w:rsidRPr="005D4335" w:rsidRDefault="00CE2423" w:rsidP="0033019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5D4335">
              <w:rPr>
                <w:sz w:val="20"/>
                <w:szCs w:val="20"/>
                <w:highlight w:val="yellow"/>
              </w:rPr>
              <w:t>3.7</w:t>
            </w:r>
            <w:r w:rsidR="004C6D46" w:rsidRPr="005D4335">
              <w:rPr>
                <w:sz w:val="20"/>
                <w:szCs w:val="20"/>
                <w:highlight w:val="yellow"/>
              </w:rPr>
              <w:t xml:space="preserve"> </w:t>
            </w:r>
            <w:r w:rsidR="004C6D46" w:rsidRPr="005D4335">
              <w:rPr>
                <w:color w:val="222222"/>
                <w:sz w:val="20"/>
                <w:szCs w:val="18"/>
                <w:highlight w:val="yellow"/>
              </w:rPr>
              <w:t>± 0.4</w:t>
            </w:r>
          </w:p>
        </w:tc>
        <w:tc>
          <w:tcPr>
            <w:tcW w:w="1620" w:type="dxa"/>
            <w:shd w:val="clear" w:color="auto" w:fill="auto"/>
          </w:tcPr>
          <w:p w14:paraId="384A5E75" w14:textId="693AC57E" w:rsidR="00C823A5" w:rsidRPr="005D4335" w:rsidRDefault="00C05620" w:rsidP="0033019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5D4335">
              <w:rPr>
                <w:sz w:val="20"/>
                <w:szCs w:val="20"/>
                <w:highlight w:val="yellow"/>
              </w:rPr>
              <w:t>1.5</w:t>
            </w:r>
            <w:r w:rsidR="004C6D46" w:rsidRPr="005D4335">
              <w:rPr>
                <w:sz w:val="20"/>
                <w:szCs w:val="20"/>
                <w:highlight w:val="yellow"/>
              </w:rPr>
              <w:t xml:space="preserve"> </w:t>
            </w:r>
            <w:r w:rsidR="004C6D46" w:rsidRPr="005D4335">
              <w:rPr>
                <w:color w:val="222222"/>
                <w:sz w:val="20"/>
                <w:szCs w:val="18"/>
                <w:highlight w:val="yellow"/>
              </w:rPr>
              <w:t>± 0.1</w:t>
            </w:r>
          </w:p>
        </w:tc>
        <w:tc>
          <w:tcPr>
            <w:tcW w:w="1170" w:type="dxa"/>
            <w:gridSpan w:val="2"/>
            <w:shd w:val="clear" w:color="auto" w:fill="auto"/>
          </w:tcPr>
          <w:p w14:paraId="18168AE5" w14:textId="05FD4A1A" w:rsidR="00C823A5" w:rsidRPr="005D4335" w:rsidRDefault="00334181" w:rsidP="0033019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5D4335">
              <w:rPr>
                <w:sz w:val="20"/>
                <w:szCs w:val="20"/>
                <w:highlight w:val="yellow"/>
              </w:rPr>
              <w:t>1.26</w:t>
            </w:r>
            <w:r w:rsidR="004C6D46" w:rsidRPr="005D4335">
              <w:rPr>
                <w:sz w:val="20"/>
                <w:szCs w:val="20"/>
                <w:highlight w:val="yellow"/>
              </w:rPr>
              <w:t xml:space="preserve"> </w:t>
            </w:r>
            <w:r w:rsidR="004C6D46" w:rsidRPr="005D4335">
              <w:rPr>
                <w:color w:val="222222"/>
                <w:sz w:val="20"/>
                <w:szCs w:val="18"/>
                <w:highlight w:val="yellow"/>
              </w:rPr>
              <w:t>± 0.03</w:t>
            </w:r>
          </w:p>
        </w:tc>
        <w:tc>
          <w:tcPr>
            <w:tcW w:w="1225" w:type="dxa"/>
            <w:shd w:val="clear" w:color="auto" w:fill="auto"/>
          </w:tcPr>
          <w:p w14:paraId="33DB253F" w14:textId="5A78F3AE" w:rsidR="00C823A5" w:rsidRPr="005D4335" w:rsidRDefault="00C823A5" w:rsidP="0033019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highlight w:val="yellow"/>
              </w:rPr>
            </w:pPr>
          </w:p>
        </w:tc>
      </w:tr>
      <w:tr w:rsidR="0033019F" w14:paraId="2888119A" w14:textId="77777777" w:rsidTr="004C6D46">
        <w:trPr>
          <w:gridAfter w:val="1"/>
          <w:cnfStyle w:val="000000100000" w:firstRow="0" w:lastRow="0" w:firstColumn="0" w:lastColumn="0" w:oddVBand="0" w:evenVBand="0" w:oddHBand="1" w:evenHBand="0" w:firstRowFirstColumn="0" w:firstRowLastColumn="0" w:lastRowFirstColumn="0" w:lastRowLastColumn="0"/>
          <w:wAfter w:w="81" w:type="dxa"/>
          <w:trHeight w:val="690"/>
        </w:trPr>
        <w:tc>
          <w:tcPr>
            <w:cnfStyle w:val="001000000000" w:firstRow="0" w:lastRow="0" w:firstColumn="1" w:lastColumn="0" w:oddVBand="0" w:evenVBand="0" w:oddHBand="0" w:evenHBand="0" w:firstRowFirstColumn="0" w:firstRowLastColumn="0" w:lastRowFirstColumn="0" w:lastRowLastColumn="0"/>
            <w:tcW w:w="1439" w:type="dxa"/>
            <w:shd w:val="clear" w:color="auto" w:fill="auto"/>
          </w:tcPr>
          <w:p w14:paraId="59CD4C36" w14:textId="09750852" w:rsidR="00C823A5" w:rsidRPr="0033019F" w:rsidRDefault="00AA08E7" w:rsidP="0033019F">
            <w:pPr>
              <w:pStyle w:val="NoSpacing"/>
              <w:spacing w:line="360" w:lineRule="auto"/>
              <w:jc w:val="center"/>
              <w:rPr>
                <w:sz w:val="20"/>
                <w:szCs w:val="20"/>
              </w:rPr>
            </w:pPr>
            <w:r w:rsidRPr="0033019F">
              <w:rPr>
                <w:sz w:val="20"/>
                <w:szCs w:val="20"/>
              </w:rPr>
              <w:t>Ru(dtb)</w:t>
            </w:r>
            <w:r w:rsidRPr="0033019F">
              <w:rPr>
                <w:sz w:val="20"/>
                <w:szCs w:val="20"/>
                <w:vertAlign w:val="subscript"/>
              </w:rPr>
              <w:t>2</w:t>
            </w:r>
            <w:r w:rsidRPr="0033019F">
              <w:rPr>
                <w:sz w:val="20"/>
                <w:szCs w:val="20"/>
              </w:rPr>
              <w:t>P</w:t>
            </w:r>
          </w:p>
        </w:tc>
        <w:tc>
          <w:tcPr>
            <w:tcW w:w="1224" w:type="dxa"/>
            <w:shd w:val="clear" w:color="auto" w:fill="auto"/>
          </w:tcPr>
          <w:p w14:paraId="33F1A13D" w14:textId="2546C4C4" w:rsidR="00C823A5" w:rsidRPr="0033019F" w:rsidRDefault="00CE2423" w:rsidP="0033019F">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33019F">
              <w:rPr>
                <w:sz w:val="20"/>
                <w:szCs w:val="20"/>
              </w:rPr>
              <w:t>460 (1.40)</w:t>
            </w:r>
          </w:p>
        </w:tc>
        <w:tc>
          <w:tcPr>
            <w:tcW w:w="1332" w:type="dxa"/>
            <w:gridSpan w:val="2"/>
            <w:shd w:val="clear" w:color="auto" w:fill="auto"/>
          </w:tcPr>
          <w:p w14:paraId="57C37108" w14:textId="1B4B955A" w:rsidR="00C823A5" w:rsidRPr="0033019F" w:rsidRDefault="00CE2423" w:rsidP="0033019F">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33019F">
              <w:rPr>
                <w:sz w:val="20"/>
                <w:szCs w:val="20"/>
              </w:rPr>
              <w:t>1.37</w:t>
            </w:r>
          </w:p>
        </w:tc>
        <w:tc>
          <w:tcPr>
            <w:tcW w:w="1315" w:type="dxa"/>
            <w:gridSpan w:val="2"/>
            <w:shd w:val="clear" w:color="auto" w:fill="auto"/>
          </w:tcPr>
          <w:p w14:paraId="7FD431DE" w14:textId="33D32533" w:rsidR="00C823A5" w:rsidRPr="005D4335" w:rsidRDefault="00CE2423" w:rsidP="0033019F">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5D4335">
              <w:rPr>
                <w:sz w:val="20"/>
                <w:szCs w:val="20"/>
                <w:highlight w:val="yellow"/>
              </w:rPr>
              <w:t>0.21</w:t>
            </w:r>
            <w:r w:rsidR="004C6D46" w:rsidRPr="005D4335">
              <w:rPr>
                <w:sz w:val="20"/>
                <w:szCs w:val="20"/>
                <w:highlight w:val="yellow"/>
              </w:rPr>
              <w:t xml:space="preserve"> </w:t>
            </w:r>
            <w:r w:rsidR="004C6D46" w:rsidRPr="005D4335">
              <w:rPr>
                <w:color w:val="222222"/>
                <w:sz w:val="20"/>
                <w:szCs w:val="18"/>
                <w:highlight w:val="yellow"/>
              </w:rPr>
              <w:t>± 0.03</w:t>
            </w:r>
          </w:p>
        </w:tc>
        <w:tc>
          <w:tcPr>
            <w:tcW w:w="1620" w:type="dxa"/>
            <w:shd w:val="clear" w:color="auto" w:fill="auto"/>
          </w:tcPr>
          <w:p w14:paraId="0A8A1C6B" w14:textId="272B95E5" w:rsidR="00C823A5" w:rsidRPr="005D4335" w:rsidRDefault="00C05620" w:rsidP="0033019F">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5D4335">
              <w:rPr>
                <w:sz w:val="20"/>
                <w:szCs w:val="20"/>
                <w:highlight w:val="yellow"/>
              </w:rPr>
              <w:t>1.1</w:t>
            </w:r>
            <w:r w:rsidR="004C6D46" w:rsidRPr="005D4335">
              <w:rPr>
                <w:sz w:val="20"/>
                <w:szCs w:val="20"/>
                <w:highlight w:val="yellow"/>
              </w:rPr>
              <w:t xml:space="preserve"> </w:t>
            </w:r>
            <w:r w:rsidR="004C6D46" w:rsidRPr="005D4335">
              <w:rPr>
                <w:color w:val="222222"/>
                <w:sz w:val="20"/>
                <w:szCs w:val="18"/>
                <w:highlight w:val="yellow"/>
              </w:rPr>
              <w:t>± 0.1</w:t>
            </w:r>
          </w:p>
        </w:tc>
        <w:tc>
          <w:tcPr>
            <w:tcW w:w="1170" w:type="dxa"/>
            <w:gridSpan w:val="2"/>
            <w:shd w:val="clear" w:color="auto" w:fill="auto"/>
          </w:tcPr>
          <w:p w14:paraId="6F70F7A1" w14:textId="4B4AA2C7" w:rsidR="00C823A5" w:rsidRPr="005D4335" w:rsidRDefault="00334181" w:rsidP="0033019F">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5D4335">
              <w:rPr>
                <w:sz w:val="20"/>
                <w:szCs w:val="20"/>
                <w:highlight w:val="yellow"/>
              </w:rPr>
              <w:t>1.40</w:t>
            </w:r>
            <w:r w:rsidR="004C6D46" w:rsidRPr="005D4335">
              <w:rPr>
                <w:sz w:val="20"/>
                <w:szCs w:val="20"/>
                <w:highlight w:val="yellow"/>
              </w:rPr>
              <w:t xml:space="preserve"> </w:t>
            </w:r>
            <w:r w:rsidR="004C6D46" w:rsidRPr="005D4335">
              <w:rPr>
                <w:color w:val="222222"/>
                <w:sz w:val="20"/>
                <w:szCs w:val="18"/>
                <w:highlight w:val="yellow"/>
              </w:rPr>
              <w:t>± 0.07</w:t>
            </w:r>
          </w:p>
        </w:tc>
        <w:tc>
          <w:tcPr>
            <w:tcW w:w="1225" w:type="dxa"/>
            <w:shd w:val="clear" w:color="auto" w:fill="auto"/>
          </w:tcPr>
          <w:p w14:paraId="5BD8D59F" w14:textId="6D295012" w:rsidR="00C823A5" w:rsidRPr="005D4335" w:rsidRDefault="00C823A5" w:rsidP="0033019F">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p>
        </w:tc>
      </w:tr>
    </w:tbl>
    <w:p w14:paraId="15A51E75" w14:textId="2A341EBC" w:rsidR="00C823A5" w:rsidRPr="005D4335" w:rsidRDefault="006700BD" w:rsidP="00416D83">
      <w:pPr>
        <w:pStyle w:val="NoSpacing"/>
        <w:spacing w:line="360" w:lineRule="auto"/>
        <w:jc w:val="both"/>
        <w:rPr>
          <w:caps/>
        </w:rPr>
      </w:pPr>
      <w:r>
        <w:rPr>
          <w:vertAlign w:val="superscript"/>
        </w:rPr>
        <w:t xml:space="preserve">a </w:t>
      </w:r>
      <w:r>
        <w:t xml:space="preserve">Measured in fluid </w:t>
      </w:r>
      <w:r w:rsidR="000921AE">
        <w:t>0.1 M HClO</w:t>
      </w:r>
      <w:r w:rsidR="000921AE">
        <w:rPr>
          <w:vertAlign w:val="subscript"/>
        </w:rPr>
        <w:t>4</w:t>
      </w:r>
      <w:r w:rsidR="000921AE">
        <w:t xml:space="preserve"> (aq)</w:t>
      </w:r>
      <w:r>
        <w:t xml:space="preserve"> due to low solubility in CH</w:t>
      </w:r>
      <w:r>
        <w:rPr>
          <w:vertAlign w:val="subscript"/>
        </w:rPr>
        <w:t>3</w:t>
      </w:r>
      <w:r>
        <w:t>CN.</w:t>
      </w:r>
      <w:r w:rsidR="005D4335">
        <w:t xml:space="preserve"> </w:t>
      </w:r>
      <w:r w:rsidR="005D4335" w:rsidRPr="00190549">
        <w:rPr>
          <w:highlight w:val="yellow"/>
          <w:vertAlign w:val="superscript"/>
        </w:rPr>
        <w:t>b</w:t>
      </w:r>
      <w:r w:rsidR="005D4335" w:rsidRPr="00190549">
        <w:rPr>
          <w:highlight w:val="yellow"/>
        </w:rPr>
        <w:t xml:space="preserve">Reference </w:t>
      </w:r>
      <w:r w:rsidR="00190549" w:rsidRPr="00190549">
        <w:rPr>
          <w:highlight w:val="yellow"/>
        </w:rPr>
        <w:t>46</w:t>
      </w:r>
      <w:r w:rsidR="005D4335">
        <w:t>.</w:t>
      </w:r>
    </w:p>
    <w:p w14:paraId="3CCE086C" w14:textId="2F6D431C" w:rsidR="00C823A5" w:rsidRDefault="006700BD" w:rsidP="00416D83">
      <w:pPr>
        <w:pStyle w:val="NoSpacing"/>
        <w:spacing w:line="360" w:lineRule="auto"/>
        <w:ind w:firstLine="720"/>
        <w:jc w:val="both"/>
      </w:pPr>
      <w:r>
        <w:t>N</w:t>
      </w:r>
      <w:r w:rsidR="003B0119">
        <w:t xml:space="preserve">anosecond transient absorption </w:t>
      </w:r>
      <w:r>
        <w:t>anisotropy measurements were performed after vertically-polarized 532 nm pulsed light excitation (500 μJ/pulse)</w:t>
      </w:r>
      <w:r w:rsidR="00E54B65">
        <w:t xml:space="preserve"> on TiO</w:t>
      </w:r>
      <w:r w:rsidR="00E54B65">
        <w:rPr>
          <w:vertAlign w:val="subscript"/>
        </w:rPr>
        <w:t>2</w:t>
      </w:r>
      <w:r w:rsidR="00E54B65">
        <w:t xml:space="preserve"> thin films sensitized to saturation surface coverage with each chromophore with and without an Al</w:t>
      </w:r>
      <w:r w:rsidR="00E54B65">
        <w:rPr>
          <w:vertAlign w:val="subscript"/>
        </w:rPr>
        <w:t>2</w:t>
      </w:r>
      <w:r w:rsidR="00E54B65">
        <w:t>O</w:t>
      </w:r>
      <w:r w:rsidR="00E54B65">
        <w:rPr>
          <w:vertAlign w:val="subscript"/>
        </w:rPr>
        <w:t>3</w:t>
      </w:r>
      <w:r w:rsidR="00E54B65">
        <w:t xml:space="preserve"> overlayer. A</w:t>
      </w:r>
      <w:r w:rsidR="00DB37F5">
        <w:t>n immediate</w:t>
      </w:r>
      <w:r w:rsidR="00E54B65">
        <w:t xml:space="preserve"> bleach of the MLCT absorption band was observed, consiste</w:t>
      </w:r>
      <w:r w:rsidR="00047139">
        <w:t>nt</w:t>
      </w:r>
      <w:r w:rsidR="00E54B65">
        <w:t xml:space="preserve"> with</w:t>
      </w:r>
      <w:r w:rsidR="002429A9">
        <w:t xml:space="preserve"> instrument response limited</w:t>
      </w:r>
      <w:r w:rsidR="00E54B65">
        <w:t xml:space="preserve"> electron injection</w:t>
      </w:r>
      <w:r w:rsidR="002429A9">
        <w:t xml:space="preserve">, </w:t>
      </w:r>
      <w:r w:rsidR="002429A9">
        <w:rPr>
          <w:i/>
        </w:rPr>
        <w:t>k</w:t>
      </w:r>
      <w:r w:rsidR="002429A9">
        <w:rPr>
          <w:vertAlign w:val="subscript"/>
        </w:rPr>
        <w:t>inj</w:t>
      </w:r>
      <w:r w:rsidR="002429A9">
        <w:t xml:space="preserve"> &gt; 10</w:t>
      </w:r>
      <w:r w:rsidR="002429A9">
        <w:rPr>
          <w:vertAlign w:val="superscript"/>
        </w:rPr>
        <w:t>8</w:t>
      </w:r>
      <w:r w:rsidR="002429A9">
        <w:t xml:space="preserve"> s</w:t>
      </w:r>
      <w:r w:rsidR="002429A9">
        <w:rPr>
          <w:vertAlign w:val="superscript"/>
        </w:rPr>
        <w:t>-1</w:t>
      </w:r>
      <w:r w:rsidR="002429A9">
        <w:t xml:space="preserve">, </w:t>
      </w:r>
      <w:r w:rsidR="00E54B65">
        <w:t>from the excited</w:t>
      </w:r>
      <w:r w:rsidR="00975D70">
        <w:t xml:space="preserve"> state of the chromophore to the TiO</w:t>
      </w:r>
      <w:r w:rsidR="00975D70">
        <w:rPr>
          <w:vertAlign w:val="subscript"/>
        </w:rPr>
        <w:t>2</w:t>
      </w:r>
      <w:r w:rsidR="00975D70">
        <w:t xml:space="preserve"> acceptor states. </w:t>
      </w:r>
      <w:r w:rsidR="002429A9">
        <w:t>K</w:t>
      </w:r>
      <w:r w:rsidR="001D6346">
        <w:t xml:space="preserve">inetics were monitored at </w:t>
      </w:r>
      <w:r w:rsidR="008163E8">
        <w:t xml:space="preserve">485 nm for </w:t>
      </w:r>
      <w:r w:rsidR="00975D70" w:rsidRPr="00975D70">
        <w:t>TiO</w:t>
      </w:r>
      <w:r w:rsidR="00975D70" w:rsidRPr="00975D70">
        <w:rPr>
          <w:vertAlign w:val="subscript"/>
        </w:rPr>
        <w:t>2</w:t>
      </w:r>
      <w:r w:rsidR="00975D70">
        <w:t>|</w:t>
      </w:r>
      <w:r w:rsidR="008163E8" w:rsidRPr="00975D70">
        <w:t>RuP</w:t>
      </w:r>
      <w:r w:rsidR="008163E8">
        <w:t xml:space="preserve"> and </w:t>
      </w:r>
      <w:r w:rsidR="00975D70">
        <w:t>TiO</w:t>
      </w:r>
      <w:r w:rsidR="00975D70" w:rsidRPr="00975D70">
        <w:rPr>
          <w:vertAlign w:val="subscript"/>
        </w:rPr>
        <w:t>2</w:t>
      </w:r>
      <w:r w:rsidR="00975D70">
        <w:t>|</w:t>
      </w:r>
      <w:r w:rsidR="008163E8">
        <w:t>Ru(dtb)</w:t>
      </w:r>
      <w:r w:rsidR="008163E8">
        <w:rPr>
          <w:vertAlign w:val="subscript"/>
        </w:rPr>
        <w:t>2</w:t>
      </w:r>
      <w:r w:rsidR="008163E8">
        <w:t xml:space="preserve">P and 510 nm for </w:t>
      </w:r>
      <w:r w:rsidR="00975D70">
        <w:t>TiO</w:t>
      </w:r>
      <w:r w:rsidR="00975D70" w:rsidRPr="00975D70">
        <w:rPr>
          <w:vertAlign w:val="subscript"/>
        </w:rPr>
        <w:t>2</w:t>
      </w:r>
      <w:r w:rsidR="00975D70">
        <w:t>|</w:t>
      </w:r>
      <w:r w:rsidR="008163E8">
        <w:t>Ru(OMe)</w:t>
      </w:r>
      <w:r w:rsidR="008163E8">
        <w:rPr>
          <w:vertAlign w:val="subscript"/>
        </w:rPr>
        <w:t>2</w:t>
      </w:r>
      <w:r w:rsidR="008163E8">
        <w:t xml:space="preserve">P </w:t>
      </w:r>
      <w:r w:rsidR="00914EBC">
        <w:t>with P</w:t>
      </w:r>
      <w:r w:rsidR="00914EBC">
        <w:rPr>
          <w:vertAlign w:val="subscript"/>
        </w:rPr>
        <w:t>det</w:t>
      </w:r>
      <w:r w:rsidR="00914EBC">
        <w:t xml:space="preserve"> set to either vertical (V) or horizontal (H)</w:t>
      </w:r>
      <w:r w:rsidR="00AD55FC">
        <w:t xml:space="preserve">. Anisotropy was </w:t>
      </w:r>
      <w:r w:rsidR="00924769">
        <w:t xml:space="preserve">indeed </w:t>
      </w:r>
      <w:r w:rsidR="00AD55FC">
        <w:t xml:space="preserve">observed </w:t>
      </w:r>
      <w:r w:rsidR="001D439F">
        <w:t xml:space="preserve">for all three chromophores </w:t>
      </w:r>
      <w:r w:rsidR="00AD55FC">
        <w:t xml:space="preserve">as </w:t>
      </w:r>
      <w:r w:rsidR="00815B4D">
        <w:rPr>
          <w:i/>
        </w:rPr>
        <w:t>VV</w:t>
      </w:r>
      <w:r w:rsidR="00074EE6">
        <w:t xml:space="preserve"> </w:t>
      </w:r>
      <w:r w:rsidR="00924769">
        <w:t>differed significantly from</w:t>
      </w:r>
      <w:r w:rsidR="00074EE6">
        <w:t xml:space="preserve"> </w:t>
      </w:r>
      <w:r w:rsidR="008A505B">
        <w:rPr>
          <w:i/>
        </w:rPr>
        <w:t>VH</w:t>
      </w:r>
      <w:r w:rsidR="00074EE6">
        <w:t xml:space="preserve">. </w:t>
      </w:r>
      <w:r w:rsidR="00924769">
        <w:t>Anisotropy decays were evident as t</w:t>
      </w:r>
      <w:r w:rsidR="00074EE6">
        <w:t xml:space="preserve">he </w:t>
      </w:r>
      <w:r w:rsidR="00924769">
        <w:t>temporal data</w:t>
      </w:r>
      <w:r w:rsidR="00074EE6">
        <w:t xml:space="preserve"> coalesced beyond 100 μs</w:t>
      </w:r>
      <w:r w:rsidR="00812BAE">
        <w:t xml:space="preserve"> for all three chromophores</w:t>
      </w:r>
      <w:r w:rsidR="000C3A1B">
        <w:t xml:space="preserve"> prior to the </w:t>
      </w:r>
      <w:r w:rsidR="00D042A6">
        <w:t>complete recovery of the</w:t>
      </w:r>
      <w:r w:rsidR="004D21D6">
        <w:t xml:space="preserve"> bleach</w:t>
      </w:r>
      <w:r w:rsidR="00587F49">
        <w:t xml:space="preserve">. </w:t>
      </w:r>
    </w:p>
    <w:p w14:paraId="30AEB229" w14:textId="38F599D3" w:rsidR="000F1DFF" w:rsidRDefault="005A4701" w:rsidP="000F1DFF">
      <w:pPr>
        <w:pStyle w:val="NoSpacing"/>
        <w:spacing w:line="360" w:lineRule="auto"/>
        <w:ind w:firstLine="720"/>
        <w:jc w:val="both"/>
      </w:pPr>
      <w:r>
        <w:t>Sensitized</w:t>
      </w:r>
      <w:r w:rsidR="00587F49">
        <w:t xml:space="preserve"> TiO</w:t>
      </w:r>
      <w:r w:rsidR="00587F49">
        <w:rPr>
          <w:vertAlign w:val="subscript"/>
        </w:rPr>
        <w:t>2</w:t>
      </w:r>
      <w:r w:rsidR="00587F49">
        <w:t xml:space="preserve"> thin films with an Al</w:t>
      </w:r>
      <w:r w:rsidR="00587F49">
        <w:rPr>
          <w:vertAlign w:val="subscript"/>
        </w:rPr>
        <w:t>2</w:t>
      </w:r>
      <w:r w:rsidR="00587F49">
        <w:t>O</w:t>
      </w:r>
      <w:r w:rsidR="00587F49">
        <w:rPr>
          <w:vertAlign w:val="subscript"/>
        </w:rPr>
        <w:t>3</w:t>
      </w:r>
      <w:r w:rsidR="00587F49">
        <w:t xml:space="preserve"> overlayer were </w:t>
      </w:r>
      <w:r w:rsidR="00261144">
        <w:t xml:space="preserve">similarly characterized by </w:t>
      </w:r>
      <w:r w:rsidR="00A8696F">
        <w:t>time-resolved</w:t>
      </w:r>
      <w:r w:rsidR="007F4FB8">
        <w:t xml:space="preserve"> </w:t>
      </w:r>
      <w:r w:rsidR="00261144">
        <w:t>anisotropy measurements.</w:t>
      </w:r>
      <w:r w:rsidR="007F4FB8">
        <w:t xml:space="preserve"> </w:t>
      </w:r>
      <w:r w:rsidR="000865C0">
        <w:t xml:space="preserve">More rapid recovery of the bleach </w:t>
      </w:r>
      <w:r w:rsidR="004F1EB4">
        <w:t>on</w:t>
      </w:r>
      <w:r w:rsidR="00A15122">
        <w:t xml:space="preserve"> timescales &lt; 100 ns was also evident for all three chromophores</w:t>
      </w:r>
      <w:r w:rsidR="00210A77">
        <w:t>,</w:t>
      </w:r>
      <w:r w:rsidR="006D2DF2">
        <w:t xml:space="preserve"> as well as photoluminescence</w:t>
      </w:r>
      <w:r w:rsidR="00047139">
        <w:t>,</w:t>
      </w:r>
      <w:r w:rsidR="00210A77">
        <w:t xml:space="preserve"> consistent with</w:t>
      </w:r>
      <w:r w:rsidR="006D2DF2">
        <w:t xml:space="preserve"> the presence of</w:t>
      </w:r>
      <w:r w:rsidR="00210A77">
        <w:t xml:space="preserve"> </w:t>
      </w:r>
      <w:r w:rsidR="000F1DFF">
        <w:t xml:space="preserve">the MLCT </w:t>
      </w:r>
      <w:r w:rsidR="006D2DF2">
        <w:t>excited</w:t>
      </w:r>
      <w:r w:rsidR="000F1DFF">
        <w:t xml:space="preserve"> </w:t>
      </w:r>
      <w:r w:rsidR="006D2DF2">
        <w:t>state</w:t>
      </w:r>
      <w:r w:rsidR="000F1DFF">
        <w:t xml:space="preserve"> and non-quantitative excited-state injection</w:t>
      </w:r>
      <w:r w:rsidR="00A15122">
        <w:t xml:space="preserve">. </w:t>
      </w:r>
      <w:r w:rsidR="000F1DFF">
        <w:t>In the absence of an Al</w:t>
      </w:r>
      <w:r w:rsidR="000F1DFF">
        <w:rPr>
          <w:vertAlign w:val="subscript"/>
        </w:rPr>
        <w:t>2</w:t>
      </w:r>
      <w:r w:rsidR="000F1DFF">
        <w:t>O</w:t>
      </w:r>
      <w:r w:rsidR="000F1DFF">
        <w:rPr>
          <w:vertAlign w:val="subscript"/>
        </w:rPr>
        <w:t>3</w:t>
      </w:r>
      <w:r w:rsidR="000F1DFF">
        <w:t xml:space="preserve"> overlayer, anisotropy decay was present for all three chromophores, while in the presence of an Al</w:t>
      </w:r>
      <w:r w:rsidR="000F1DFF" w:rsidRPr="00102F42">
        <w:rPr>
          <w:vertAlign w:val="subscript"/>
        </w:rPr>
        <w:t>2</w:t>
      </w:r>
      <w:r w:rsidR="000F1DFF">
        <w:t>O</w:t>
      </w:r>
      <w:r w:rsidR="000F1DFF" w:rsidRPr="00102F42">
        <w:rPr>
          <w:vertAlign w:val="subscript"/>
        </w:rPr>
        <w:t>3</w:t>
      </w:r>
      <w:r w:rsidR="000F1DFF">
        <w:t xml:space="preserve"> overlayer, anisotropy was independent of time.</w:t>
      </w:r>
    </w:p>
    <w:p w14:paraId="4F0FDE1B" w14:textId="0DC6B9B6" w:rsidR="00587F49" w:rsidRPr="00EE38F8" w:rsidRDefault="003634CE" w:rsidP="00023EDC">
      <w:pPr>
        <w:pStyle w:val="NoSpacing"/>
        <w:spacing w:line="360" w:lineRule="auto"/>
        <w:ind w:firstLine="720"/>
        <w:jc w:val="both"/>
      </w:pPr>
      <w:r>
        <w:t>The</w:t>
      </w:r>
      <w:r w:rsidR="00B42601">
        <w:t xml:space="preserve"> kinetic</w:t>
      </w:r>
      <w:r w:rsidR="00787E09">
        <w:t xml:space="preserve"> data</w:t>
      </w:r>
      <w:r w:rsidR="00B42601">
        <w:t xml:space="preserve"> were nonexponential</w:t>
      </w:r>
      <w:r w:rsidR="00787E09">
        <w:t xml:space="preserve"> </w:t>
      </w:r>
      <w:r w:rsidR="00A930BB">
        <w:t xml:space="preserve">under all conditions </w:t>
      </w:r>
      <w:r w:rsidR="00787E09">
        <w:t>studied and</w:t>
      </w:r>
      <w:r w:rsidR="00B42601">
        <w:t xml:space="preserve"> were </w:t>
      </w:r>
      <w:r w:rsidR="00787E09">
        <w:t>instead</w:t>
      </w:r>
      <w:r w:rsidR="00B42601">
        <w:t xml:space="preserve"> modeled </w:t>
      </w:r>
      <w:r w:rsidR="00787E09">
        <w:t>with</w:t>
      </w:r>
      <w:r w:rsidR="00B42601">
        <w:t xml:space="preserve"> the Kohlrausch-Williams-Watts (KWW) </w:t>
      </w:r>
      <w:r w:rsidR="00A930BB">
        <w:t xml:space="preserve">stretched exponential function, </w:t>
      </w:r>
      <w:r w:rsidR="00A930BB" w:rsidRPr="00190549">
        <w:rPr>
          <w:b/>
          <w:highlight w:val="yellow"/>
        </w:rPr>
        <w:t xml:space="preserve">Equation </w:t>
      </w:r>
      <w:r w:rsidR="00190549" w:rsidRPr="00190549">
        <w:rPr>
          <w:b/>
          <w:highlight w:val="yellow"/>
        </w:rPr>
        <w:t>8</w:t>
      </w:r>
      <w:r w:rsidR="00B42601">
        <w:t xml:space="preserve">, where </w:t>
      </w:r>
      <w:r w:rsidR="00B42601" w:rsidRPr="00787E09">
        <w:rPr>
          <w:i/>
        </w:rPr>
        <w:t>A</w:t>
      </w:r>
      <w:r w:rsidR="00B42601" w:rsidRPr="00787E09">
        <w:rPr>
          <w:vertAlign w:val="subscript"/>
        </w:rPr>
        <w:t>0</w:t>
      </w:r>
      <w:r w:rsidR="00B42601">
        <w:t xml:space="preserve"> is the initial amplitude, </w:t>
      </w:r>
      <w:r w:rsidR="00B42601">
        <w:rPr>
          <w:i/>
        </w:rPr>
        <w:t>k</w:t>
      </w:r>
      <w:r w:rsidR="00B42601">
        <w:t xml:space="preserve"> is the characteristic rate constant, and </w:t>
      </w:r>
      <w:r w:rsidR="00B42601">
        <w:rPr>
          <w:i/>
        </w:rPr>
        <w:t>β</w:t>
      </w:r>
      <w:r w:rsidR="00B42601">
        <w:t xml:space="preserve"> is inversely proportional to the width of an underlying Lévy distribution. </w:t>
      </w:r>
      <w:r w:rsidR="000F1DFF">
        <w:t>Beta values in the range of</w:t>
      </w:r>
      <w:r w:rsidR="00EE38F8">
        <w:t xml:space="preserve"> 0.</w:t>
      </w:r>
      <w:r w:rsidR="00B37E35">
        <w:t>15-0.2</w:t>
      </w:r>
      <w:r w:rsidR="00EE38F8">
        <w:t xml:space="preserve"> provided the best fit for all </w:t>
      </w:r>
      <w:r w:rsidR="007204EB">
        <w:t>decays</w:t>
      </w:r>
      <w:r w:rsidR="00EE38F8">
        <w:t xml:space="preserve">. A comparison of the </w:t>
      </w:r>
      <w:r w:rsidR="00A930BB">
        <w:t>kinetic</w:t>
      </w:r>
      <w:r w:rsidR="00EE38F8">
        <w:t xml:space="preserve"> data for </w:t>
      </w:r>
      <w:r w:rsidR="00A930BB">
        <w:t>TiO</w:t>
      </w:r>
      <w:r w:rsidR="00A930BB" w:rsidRPr="00975D70">
        <w:rPr>
          <w:vertAlign w:val="subscript"/>
        </w:rPr>
        <w:t>2</w:t>
      </w:r>
      <w:r w:rsidR="00A930BB">
        <w:t>|Ru(dtb)</w:t>
      </w:r>
      <w:r w:rsidR="00A930BB">
        <w:rPr>
          <w:vertAlign w:val="subscript"/>
        </w:rPr>
        <w:t>2</w:t>
      </w:r>
      <w:r w:rsidR="00A930BB">
        <w:t xml:space="preserve">P and </w:t>
      </w:r>
      <w:r w:rsidR="00A930BB">
        <w:lastRenderedPageBreak/>
        <w:t>TiO</w:t>
      </w:r>
      <w:r w:rsidR="00A930BB" w:rsidRPr="00975D70">
        <w:rPr>
          <w:vertAlign w:val="subscript"/>
        </w:rPr>
        <w:t>2</w:t>
      </w:r>
      <w:r w:rsidR="00A930BB">
        <w:t>|Ru(dtb)</w:t>
      </w:r>
      <w:r w:rsidR="00A930BB">
        <w:rPr>
          <w:vertAlign w:val="subscript"/>
        </w:rPr>
        <w:t>2</w:t>
      </w:r>
      <w:r w:rsidR="00A930BB">
        <w:t>P|Al</w:t>
      </w:r>
      <w:r w:rsidR="00A930BB">
        <w:rPr>
          <w:vertAlign w:val="subscript"/>
        </w:rPr>
        <w:t>2</w:t>
      </w:r>
      <w:r w:rsidR="00A930BB">
        <w:t>O</w:t>
      </w:r>
      <w:r w:rsidR="00A930BB">
        <w:rPr>
          <w:vertAlign w:val="subscript"/>
        </w:rPr>
        <w:t>3</w:t>
      </w:r>
      <w:r w:rsidR="00A930BB">
        <w:t xml:space="preserve"> </w:t>
      </w:r>
      <w:r w:rsidR="00EE38F8">
        <w:t xml:space="preserve">is shown in </w:t>
      </w:r>
      <w:r w:rsidR="00EE38F8" w:rsidRPr="00EE38F8">
        <w:rPr>
          <w:b/>
        </w:rPr>
        <w:t>Figure 3</w:t>
      </w:r>
      <w:r w:rsidR="00571966">
        <w:t xml:space="preserve">, with the </w:t>
      </w:r>
      <w:r w:rsidR="00974AF4">
        <w:t xml:space="preserve">corresponding </w:t>
      </w:r>
      <w:r w:rsidR="00571966">
        <w:t xml:space="preserve">data </w:t>
      </w:r>
      <w:r w:rsidR="00974AF4">
        <w:t>for</w:t>
      </w:r>
      <w:r w:rsidR="00571966">
        <w:t xml:space="preserve"> the other chromophores found in </w:t>
      </w:r>
      <w:r w:rsidR="00571966" w:rsidRPr="00571966">
        <w:rPr>
          <w:b/>
        </w:rPr>
        <w:t>Figures S1</w:t>
      </w:r>
      <w:r w:rsidR="00571966">
        <w:t xml:space="preserve"> and </w:t>
      </w:r>
      <w:r w:rsidR="00571966" w:rsidRPr="00571966">
        <w:rPr>
          <w:b/>
        </w:rPr>
        <w:t>S2</w:t>
      </w:r>
      <w:r w:rsidR="00F54AB3">
        <w:t xml:space="preserve">. </w:t>
      </w:r>
      <w:r w:rsidR="00134626">
        <w:t xml:space="preserve">A comparison of the initial absorption </w:t>
      </w:r>
      <w:r w:rsidR="00047139">
        <w:t>changes</w:t>
      </w:r>
      <w:r w:rsidR="00134626">
        <w:t xml:space="preserve"> amplitudes</w:t>
      </w:r>
      <w:r w:rsidR="00B436A2">
        <w:t xml:space="preserve"> </w:t>
      </w:r>
      <w:r w:rsidR="00B436A2" w:rsidRPr="00815B4D">
        <w:rPr>
          <w:highlight w:val="yellow"/>
        </w:rPr>
        <w:t>with TiO</w:t>
      </w:r>
      <w:r w:rsidR="00B436A2" w:rsidRPr="00815B4D">
        <w:rPr>
          <w:highlight w:val="yellow"/>
          <w:vertAlign w:val="subscript"/>
        </w:rPr>
        <w:t>2</w:t>
      </w:r>
      <w:r w:rsidR="00B436A2" w:rsidRPr="00815B4D">
        <w:rPr>
          <w:highlight w:val="yellow"/>
        </w:rPr>
        <w:t>|RuP in 0.1 M HClO</w:t>
      </w:r>
      <w:r w:rsidR="00B436A2" w:rsidRPr="00815B4D">
        <w:rPr>
          <w:highlight w:val="yellow"/>
          <w:vertAlign w:val="subscript"/>
        </w:rPr>
        <w:t>4</w:t>
      </w:r>
      <w:r w:rsidR="00B436A2" w:rsidRPr="00815B4D">
        <w:rPr>
          <w:highlight w:val="yellow"/>
        </w:rPr>
        <w:t xml:space="preserve"> as an actinometric standard</w:t>
      </w:r>
      <w:r w:rsidR="00B436A2" w:rsidRPr="00815B4D">
        <w:rPr>
          <w:highlight w:val="yellow"/>
        </w:rPr>
        <w:fldChar w:fldCharType="begin" w:fldLock="1"/>
      </w:r>
      <w:r w:rsidR="00642F24">
        <w:rPr>
          <w:highlight w:val="yellow"/>
        </w:rPr>
        <w:instrText xml:space="preserve">ADDIN CSL_CITATION {"citationItems":[{"id":"ITEM-1","itemData":{"DOI":"10.1021/la035053j","ISBN":"0743-7463","ISSN":"07437463","abstract":"The chromophores Ru(bpy)3(PF6)2 and Os(bpy)3(PF6)2 were immobilized within poly(methyl methacrylate) (PMMA) thin films on glass substrates for applications as actinometers for nanosecond flash photolysis. Transient absorption difference spectra of M(bpy)3(PF6)2 (M = Ru, Os), at ambient temperature and in an argon atmosphere, were the same when imbedded in PMMA films as in solution, within experimental error. Linear ranges of ΔA versus 532 nm pulsed laser energy where these actinometers were applicable were identified, up to 25 mJ/(cm2 pulse) for Ru(bpy)32+/PMMA and up to 5 mJ/(cm2 pulse) for Os(bpy)32+/PMMA. Laser energy measurements were used to estimate the difference between the excited- and ground-state extinction coefficients at 450 nm for Os(bpy)32+, Δε450nm, which is -7300 M-1 cm-1. The Ru(bpy)32+/PMMA actinometer was useful from 300 to </w:instrText>
      </w:r>
      <w:r w:rsidR="00642F24">
        <w:rPr>
          <w:rFonts w:ascii="Cambria Math" w:hAnsi="Cambria Math" w:cs="Cambria Math"/>
          <w:highlight w:val="yellow"/>
        </w:rPr>
        <w:instrText>∼</w:instrText>
      </w:r>
      <w:r w:rsidR="00642F24">
        <w:rPr>
          <w:highlight w:val="yellow"/>
        </w:rPr>
        <w:instrText xml:space="preserve">550 nm, while the Os(bpy)32+/PMMA actinometer extends the sensitivity to </w:instrText>
      </w:r>
      <w:r w:rsidR="00642F24">
        <w:rPr>
          <w:rFonts w:ascii="Cambria Math" w:hAnsi="Cambria Math" w:cs="Cambria Math"/>
          <w:highlight w:val="yellow"/>
        </w:rPr>
        <w:instrText>∼</w:instrText>
      </w:r>
      <w:r w:rsidR="00642F24">
        <w:rPr>
          <w:highlight w:val="yellow"/>
        </w:rPr>
        <w:instrText>700 nm. An application of these actinometers for dye-sensitized solar cells is described, wherein the quantum yield for electron injection from Ru(dcbH2)(bpy)22+*, where dcbH2 is 4,4′-(CO2H)2-2,2′-bipyridine, into mesoporous nanocrystalline (anatase) TiO2 thin films was quantified as a function of ionic strength.","author":[{"dropping-particle":"V.","family":"Bergeron","given":"Bryan","non-dropping-particle":"","parse-names":false,"suffix":""},{"dropping-particle":"","family":"Kelly","given":"Craig A.","non-dropping-particle":"","parse-names":false,"suffix":""},{"dropping-particle":"","family":"Meyer","given":"Gerald J.","non-dropping-particle":"","parse-names":false,"suffix":""}],"container-title":"Langmuir","id":"ITEM-1","issue":"20","issued":{"date-parts":[["2003"]]},"page":"8389-8394","title":"Thin film actinometers for transient absorption spectroscopy: Applications to dye-sensitized solar cells","type":"article-journal","volume":"19"},"uris":["http://www.mendeley.com/documents/?uuid=a6613685-dfc6-47f6-b5ae-bb963dc7d479"]},{"id":"ITEM-2","itemData":{"DOI":"10.1021/acsami.8b09134","ISSN":"19448252","abstract":"Dye-sensitized bromide oxidation was investigated using a series of four ruthenium polypyridyl photocatalysts anchored to SnO2/TiO2 core/shell mesoporous thin films through 2,2'-bipyridine-4,4'-diphosphonic acid anchoring groups. The ground- and excited-state reduction potentials were tuned over 500 mV by the introduction of electron. withdrawing groups in the 4 and 4' positions of the ancillary bipyridine ligands. Upon light excitation of the surface-bound photocatalysts, excited-state electron injection yielded an oxidized photocatalyst that was regenerated through bromide oxidation. High injection quantum yields (Phi(inj)) and regeneration quantum yields (Phi(reg)) were essential to obtain efficient bromide oxidation yet required a photocatalyst that is both a potent photoreductant and a strong oxidant after excited-state injection. The four photocatalysts utilized in this manuscript ranged from unity Phi(inj) (1.0) and minimal Phi(reg) (0.037) to minimal Phi(inj) (0.09) and unity Phi(reg) (1.0). The photocatalyst that displayed the highest overall dye-sensitized photoelectrosynthesis cell performances exhibited near unity Phi(reg) (0.99), while a significant Phi(inj) was still preserved (0.59). Thus, these results highlighted the delicate interplay between the ground- and excited-state reduction potentials of photocatalysts for dye-sensitized hydrobromic acid splitting.","author":[{"dropping-particle":"","family":"Brady","given":"Matthew D.","non-dropping-particle":"","parse-names":false,"suffix":""},{"dropping-particle":"","family":"Troian-Gautier","given":"Ludovic","non-dropping-particle":"","parse-names":false,"suffix":""},{"dropping-particle":"","family":"Sampaio","given":"Renato N.","non-dropping-particle":"","parse-names":false,"suffix":""},{"dropping-particle":"","family":"Motley","given":"Tyler C.","non-dropping-particle":"","parse-names":false,"suffix":""},{"dropping-particle":"","family":"Meyer","given":"Gerald J.","non-dropping-particle":"","parse-names":false,"suffix":""}],"container-title":"ACS Applied Materials and Interfaces","genre":"research-article","id":"ITEM-2","issue":"37","issued":{"date-parts":[["2018"]]},"page":"31312-31323","publisher":"American Chemical Society","title":"Optimization of Photocatalyst Excited- and Ground-State Reduction Potentials for Dye-Sensitized HBr Splitting","type":"article-journal","volume":"10"},"uris":["http://www.mendeley.com/documents/?uuid=563b8438-fe5f-455e-aa5b-232d75509392"]}],"mendeley":{"formattedCitation":"&lt;sup&gt;20,55&lt;/sup&gt;","plainTextFormattedCitation":"20,55","previouslyFormattedCitation":"&lt;sup&gt;20,55&lt;/sup&gt;"},"properties":{"noteIndex":0},"schema":"https://github.com/citation-style-language/schema/raw/master/csl-citation.json"}</w:instrText>
      </w:r>
      <w:r w:rsidR="00B436A2" w:rsidRPr="00815B4D">
        <w:rPr>
          <w:highlight w:val="yellow"/>
        </w:rPr>
        <w:fldChar w:fldCharType="separate"/>
      </w:r>
      <w:r w:rsidR="00B436A2" w:rsidRPr="00815B4D">
        <w:rPr>
          <w:noProof/>
          <w:highlight w:val="yellow"/>
          <w:vertAlign w:val="superscript"/>
        </w:rPr>
        <w:t>20,55</w:t>
      </w:r>
      <w:r w:rsidR="00B436A2" w:rsidRPr="00815B4D">
        <w:rPr>
          <w:highlight w:val="yellow"/>
        </w:rPr>
        <w:fldChar w:fldCharType="end"/>
      </w:r>
      <w:r w:rsidR="00134626">
        <w:t xml:space="preserve"> </w:t>
      </w:r>
      <w:r w:rsidR="00023EDC">
        <w:t xml:space="preserve">indicated </w:t>
      </w:r>
      <w:r w:rsidR="00974AF4">
        <w:t>an</w:t>
      </w:r>
      <w:r w:rsidR="00023EDC">
        <w:t xml:space="preserve"> excited-state electron injection quantum yields </w:t>
      </w:r>
      <w:r w:rsidR="00974AF4">
        <w:t>of ~ 0.6</w:t>
      </w:r>
      <w:r w:rsidR="00023EDC">
        <w:t xml:space="preserve"> </w:t>
      </w:r>
      <w:r w:rsidR="00134626">
        <w:t>when the Al</w:t>
      </w:r>
      <w:r w:rsidR="00134626" w:rsidRPr="00023EDC">
        <w:rPr>
          <w:vertAlign w:val="subscript"/>
        </w:rPr>
        <w:t>2</w:t>
      </w:r>
      <w:r w:rsidR="00134626">
        <w:t>O</w:t>
      </w:r>
      <w:r w:rsidR="00134626" w:rsidRPr="00023EDC">
        <w:rPr>
          <w:vertAlign w:val="subscript"/>
        </w:rPr>
        <w:t>3</w:t>
      </w:r>
      <w:r w:rsidR="00134626">
        <w:t xml:space="preserve"> overlayer was present</w:t>
      </w:r>
      <w:r w:rsidR="00023EDC">
        <w:t xml:space="preserve">. </w:t>
      </w:r>
    </w:p>
    <w:p w14:paraId="0D160B6C" w14:textId="21C0F08C" w:rsidR="00EE38F8" w:rsidRDefault="00EE38F8" w:rsidP="00416D83">
      <w:pPr>
        <w:pStyle w:val="NoSpacing"/>
        <w:spacing w:line="360" w:lineRule="auto"/>
        <w:jc w:val="both"/>
      </w:pPr>
    </w:p>
    <w:p w14:paraId="43AD5188" w14:textId="7688EB65" w:rsidR="005B3759" w:rsidRDefault="005B3759" w:rsidP="00416D83">
      <w:pPr>
        <w:pStyle w:val="NoSpacing"/>
        <w:spacing w:line="360" w:lineRule="auto"/>
        <w:jc w:val="both"/>
      </w:pPr>
      <m:oMathPara>
        <m:oMath>
          <m:r>
            <m:rPr>
              <m:sty m:val="p"/>
            </m:rPr>
            <w:rPr>
              <w:rFonts w:ascii="Cambria Math" w:hAnsi="Cambria Math"/>
            </w:rPr>
            <m:t>Abs</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0</m:t>
              </m:r>
            </m:sub>
          </m:sSub>
          <m:sSup>
            <m:sSupPr>
              <m:ctrlPr>
                <w:rPr>
                  <w:rFonts w:ascii="Cambria Math" w:hAnsi="Cambria Math"/>
                  <w:i/>
                </w:rPr>
              </m:ctrlPr>
            </m:sSupPr>
            <m:e>
              <m:r>
                <w:rPr>
                  <w:rFonts w:ascii="Cambria Math" w:hAnsi="Cambria Math"/>
                </w:rPr>
                <m:t>e</m:t>
              </m:r>
            </m:e>
            <m:sup>
              <m:sSup>
                <m:sSupPr>
                  <m:ctrlPr>
                    <w:rPr>
                      <w:rFonts w:ascii="Cambria Math" w:hAnsi="Cambria Math"/>
                      <w:i/>
                    </w:rPr>
                  </m:ctrlPr>
                </m:sSupPr>
                <m:e>
                  <m:r>
                    <w:rPr>
                      <w:rFonts w:ascii="Cambria Math" w:hAnsi="Cambria Math"/>
                    </w:rPr>
                    <m:t>-(kt)</m:t>
                  </m:r>
                </m:e>
                <m:sup>
                  <m:r>
                    <w:rPr>
                      <w:rFonts w:ascii="Cambria Math" w:hAnsi="Cambria Math"/>
                    </w:rPr>
                    <m:t>β</m:t>
                  </m:r>
                </m:sup>
              </m:sSup>
            </m:sup>
          </m:sSup>
          <m:r>
            <w:rPr>
              <w:rFonts w:ascii="Cambria Math" w:hAnsi="Cambria Math"/>
            </w:rPr>
            <m:t xml:space="preserve">                  </m:t>
          </m:r>
          <m:r>
            <m:rPr>
              <m:sty m:val="p"/>
            </m:rPr>
            <w:rPr>
              <w:rFonts w:ascii="Cambria Math" w:hAnsi="Cambria Math"/>
              <w:highlight w:val="yellow"/>
            </w:rPr>
            <m:t>(</m:t>
          </m:r>
          <m:r>
            <m:rPr>
              <m:sty m:val="p"/>
            </m:rPr>
            <w:rPr>
              <w:rFonts w:ascii="Cambria Math" w:hAnsi="Cambria Math"/>
              <w:highlight w:val="yellow"/>
            </w:rPr>
            <m:t>8</m:t>
          </m:r>
          <m:r>
            <m:rPr>
              <m:sty m:val="p"/>
            </m:rPr>
            <w:rPr>
              <w:rFonts w:ascii="Cambria Math" w:hAnsi="Cambria Math"/>
              <w:highlight w:val="yellow"/>
            </w:rPr>
            <m:t>)</m:t>
          </m:r>
        </m:oMath>
      </m:oMathPara>
    </w:p>
    <w:p w14:paraId="6B33F169" w14:textId="77777777" w:rsidR="005B3759" w:rsidRDefault="005B3759" w:rsidP="00416D83">
      <w:pPr>
        <w:pStyle w:val="NoSpacing"/>
        <w:spacing w:line="360" w:lineRule="auto"/>
        <w:jc w:val="both"/>
      </w:pPr>
    </w:p>
    <w:p w14:paraId="1DC50AEA" w14:textId="2A3DEB4C" w:rsidR="008077CA" w:rsidRDefault="00045465" w:rsidP="00416D83">
      <w:pPr>
        <w:pStyle w:val="NoSpacing"/>
        <w:spacing w:line="360" w:lineRule="auto"/>
        <w:jc w:val="both"/>
      </w:pPr>
      <w:r>
        <w:rPr>
          <w:noProof/>
        </w:rPr>
        <w:drawing>
          <wp:inline distT="0" distB="0" distL="0" distR="0" wp14:anchorId="1193082B" wp14:editId="59A27CAC">
            <wp:extent cx="5943600" cy="23774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a:extLst>
                        <a:ext uri="{28A0092B-C50C-407E-A947-70E740481C1C}">
                          <a14:useLocalDpi xmlns:a14="http://schemas.microsoft.com/office/drawing/2010/main" val="0"/>
                        </a:ext>
                      </a:extLst>
                    </a:blip>
                    <a:srcRect l="1697" t="8593" r="6357" b="2461"/>
                    <a:stretch/>
                  </pic:blipFill>
                  <pic:spPr bwMode="auto">
                    <a:xfrm>
                      <a:off x="0" y="0"/>
                      <a:ext cx="5943600" cy="2377440"/>
                    </a:xfrm>
                    <a:prstGeom prst="rect">
                      <a:avLst/>
                    </a:prstGeom>
                    <a:noFill/>
                    <a:ln>
                      <a:noFill/>
                    </a:ln>
                    <a:extLst>
                      <a:ext uri="{53640926-AAD7-44D8-BBD7-CCE9431645EC}">
                        <a14:shadowObscured xmlns:a14="http://schemas.microsoft.com/office/drawing/2010/main"/>
                      </a:ext>
                    </a:extLst>
                  </pic:spPr>
                </pic:pic>
              </a:graphicData>
            </a:graphic>
          </wp:inline>
        </w:drawing>
      </w:r>
    </w:p>
    <w:p w14:paraId="628BC669" w14:textId="6539B122" w:rsidR="00BC5DF8" w:rsidRDefault="00BC5DF8" w:rsidP="00C51723">
      <w:pPr>
        <w:pStyle w:val="NoSpacing"/>
        <w:jc w:val="both"/>
      </w:pPr>
      <w:r w:rsidRPr="008077CA">
        <w:rPr>
          <w:b/>
        </w:rPr>
        <w:t xml:space="preserve">Figure </w:t>
      </w:r>
      <w:r w:rsidR="00D3346A">
        <w:rPr>
          <w:b/>
        </w:rPr>
        <w:t>3</w:t>
      </w:r>
      <w:r w:rsidRPr="008077CA">
        <w:rPr>
          <w:b/>
        </w:rPr>
        <w:t>.</w:t>
      </w:r>
      <w:r>
        <w:t xml:space="preserve"> </w:t>
      </w:r>
      <w:r w:rsidR="004C5841">
        <w:t xml:space="preserve">The </w:t>
      </w:r>
      <w:r>
        <w:t xml:space="preserve">absorption </w:t>
      </w:r>
      <w:r w:rsidR="00E91588">
        <w:t>changes</w:t>
      </w:r>
      <w:r w:rsidR="00974AF4">
        <w:t xml:space="preserve"> monitored at 485 nm</w:t>
      </w:r>
      <w:r w:rsidR="00E91588">
        <w:t xml:space="preserve"> after 532 nm pulsed light excitation (500 μJ/pulse)</w:t>
      </w:r>
      <w:r w:rsidR="005B3759">
        <w:t xml:space="preserve"> </w:t>
      </w:r>
      <w:r w:rsidR="00E91588">
        <w:t xml:space="preserve">of </w:t>
      </w:r>
      <w:r w:rsidR="005B3759">
        <w:t>TiO</w:t>
      </w:r>
      <w:r w:rsidR="005B3759">
        <w:rPr>
          <w:vertAlign w:val="subscript"/>
        </w:rPr>
        <w:t>2</w:t>
      </w:r>
      <w:r w:rsidR="005B3759">
        <w:t>|Ru(dtb)</w:t>
      </w:r>
      <w:r w:rsidR="005B3759">
        <w:rPr>
          <w:vertAlign w:val="subscript"/>
        </w:rPr>
        <w:t>2</w:t>
      </w:r>
      <w:r w:rsidR="005B3759">
        <w:t>P</w:t>
      </w:r>
      <w:r w:rsidR="003D3472">
        <w:t xml:space="preserve"> measured with vertical excitation and horizontal (</w:t>
      </w:r>
      <w:r w:rsidR="00815B4D">
        <w:rPr>
          <w:i/>
        </w:rPr>
        <w:t>VH</w:t>
      </w:r>
      <w:r w:rsidR="003D3472">
        <w:t>) or vertical (</w:t>
      </w:r>
      <w:r w:rsidR="00815B4D">
        <w:rPr>
          <w:i/>
        </w:rPr>
        <w:t>VV</w:t>
      </w:r>
      <w:r w:rsidR="003D3472">
        <w:t>) detection</w:t>
      </w:r>
      <w:r w:rsidR="005B3759">
        <w:t xml:space="preserve"> without </w:t>
      </w:r>
      <w:r w:rsidR="005B3759" w:rsidRPr="005B3759">
        <w:rPr>
          <w:b/>
        </w:rPr>
        <w:t>(a)</w:t>
      </w:r>
      <w:r w:rsidR="005B3759">
        <w:t xml:space="preserve"> and with </w:t>
      </w:r>
      <w:r w:rsidR="005B3759" w:rsidRPr="005B3759">
        <w:rPr>
          <w:b/>
        </w:rPr>
        <w:t>(b)</w:t>
      </w:r>
      <w:r w:rsidR="005B3759">
        <w:t xml:space="preserve"> an ALD</w:t>
      </w:r>
      <w:r w:rsidR="002853C4">
        <w:t xml:space="preserve"> Al</w:t>
      </w:r>
      <w:r w:rsidR="002853C4">
        <w:rPr>
          <w:vertAlign w:val="subscript"/>
        </w:rPr>
        <w:t>2</w:t>
      </w:r>
      <w:r w:rsidR="002853C4">
        <w:t>O</w:t>
      </w:r>
      <w:r w:rsidR="002853C4">
        <w:rPr>
          <w:vertAlign w:val="subscript"/>
        </w:rPr>
        <w:t>3</w:t>
      </w:r>
      <w:r w:rsidR="005B3759">
        <w:t xml:space="preserve"> overlayer</w:t>
      </w:r>
      <w:r w:rsidR="003327F9">
        <w:t>. Overlaid in yellow are fits to the KWW function.</w:t>
      </w:r>
    </w:p>
    <w:p w14:paraId="1772DE99" w14:textId="4B70E944" w:rsidR="00BC5DF8" w:rsidRDefault="00BC5DF8" w:rsidP="00416D83">
      <w:pPr>
        <w:pStyle w:val="NoSpacing"/>
        <w:spacing w:line="360" w:lineRule="auto"/>
        <w:jc w:val="both"/>
      </w:pPr>
    </w:p>
    <w:p w14:paraId="7A2BE9CC" w14:textId="210F28A4" w:rsidR="004D4EC8" w:rsidRDefault="001B0F48" w:rsidP="00102F42">
      <w:pPr>
        <w:pStyle w:val="NoSpacing"/>
        <w:spacing w:line="360" w:lineRule="auto"/>
        <w:ind w:firstLine="720"/>
        <w:jc w:val="both"/>
      </w:pPr>
      <w:r>
        <w:t xml:space="preserve">The resulting fits </w:t>
      </w:r>
      <w:r w:rsidR="00991A15">
        <w:t xml:space="preserve">of </w:t>
      </w:r>
      <w:r w:rsidR="00815B4D">
        <w:rPr>
          <w:i/>
        </w:rPr>
        <w:t>VV</w:t>
      </w:r>
      <w:r w:rsidR="00991A15">
        <w:t xml:space="preserve"> and </w:t>
      </w:r>
      <w:r w:rsidR="00815B4D">
        <w:rPr>
          <w:i/>
        </w:rPr>
        <w:t>VH</w:t>
      </w:r>
      <w:r w:rsidR="00991A15">
        <w:t xml:space="preserve"> to</w:t>
      </w:r>
      <w:r>
        <w:t xml:space="preserve"> the KWW function </w:t>
      </w:r>
      <w:r w:rsidR="00991A15">
        <w:t xml:space="preserve">were substituted into </w:t>
      </w:r>
      <w:r w:rsidR="00991A15" w:rsidRPr="00991A15">
        <w:rPr>
          <w:b/>
        </w:rPr>
        <w:t>Equation</w:t>
      </w:r>
      <w:r w:rsidR="00A930BB">
        <w:rPr>
          <w:b/>
        </w:rPr>
        <w:t>s</w:t>
      </w:r>
      <w:r w:rsidR="00991A15" w:rsidRPr="00991A15">
        <w:rPr>
          <w:b/>
        </w:rPr>
        <w:t xml:space="preserve"> </w:t>
      </w:r>
      <w:r w:rsidR="00A930BB">
        <w:rPr>
          <w:b/>
        </w:rPr>
        <w:t>1</w:t>
      </w:r>
      <w:r w:rsidR="00991A15">
        <w:t xml:space="preserve"> and </w:t>
      </w:r>
      <w:r w:rsidR="00A930BB">
        <w:rPr>
          <w:b/>
        </w:rPr>
        <w:t>2</w:t>
      </w:r>
      <w:r w:rsidR="00991A15">
        <w:t xml:space="preserve"> </w:t>
      </w:r>
      <w:r w:rsidR="00237EBC">
        <w:t xml:space="preserve">to calculate the magic angle </w:t>
      </w:r>
      <w:r w:rsidR="00A930BB">
        <w:t xml:space="preserve">absorption change </w:t>
      </w:r>
      <w:r w:rsidR="00237EBC">
        <w:t>(</w:t>
      </w:r>
      <w:r w:rsidR="00DB2672">
        <w:t xml:space="preserve">see </w:t>
      </w:r>
      <w:r w:rsidR="00237EBC">
        <w:t xml:space="preserve">SI) and the anisotropy </w:t>
      </w:r>
      <w:r w:rsidR="00A930BB">
        <w:t xml:space="preserve">decay, </w:t>
      </w:r>
      <w:r w:rsidR="00237EBC" w:rsidRPr="00237EBC">
        <w:rPr>
          <w:b/>
        </w:rPr>
        <w:t>Figure 4</w:t>
      </w:r>
      <w:r w:rsidR="00237EBC">
        <w:t>.</w:t>
      </w:r>
      <w:r w:rsidR="004D4EC8">
        <w:t xml:space="preserve"> </w:t>
      </w:r>
      <w:r w:rsidR="00974AF4">
        <w:t xml:space="preserve">Note that the minor increase in anisotropy observed at longer times in </w:t>
      </w:r>
      <w:r w:rsidR="00974AF4" w:rsidRPr="00974AF4">
        <w:rPr>
          <w:b/>
        </w:rPr>
        <w:t>Figure 4</w:t>
      </w:r>
      <w:r w:rsidR="00974AF4">
        <w:t xml:space="preserve"> is likely an artifact that results from the very poor signal-to-noise ratios on the millisecond and longer time scales. </w:t>
      </w:r>
      <w:r w:rsidR="00A930BB">
        <w:t>The</w:t>
      </w:r>
      <w:r w:rsidR="004D4EC8">
        <w:t xml:space="preserve"> magic angle </w:t>
      </w:r>
      <w:r w:rsidR="00A930BB">
        <w:t xml:space="preserve">kinetic data </w:t>
      </w:r>
      <w:r w:rsidR="004D4EC8">
        <w:t xml:space="preserve">were well-modeled by </w:t>
      </w:r>
      <w:r w:rsidR="004D4EC8" w:rsidRPr="00190549">
        <w:rPr>
          <w:b/>
          <w:highlight w:val="yellow"/>
        </w:rPr>
        <w:t xml:space="preserve">Equation </w:t>
      </w:r>
      <w:r w:rsidR="00190549" w:rsidRPr="00190549">
        <w:rPr>
          <w:b/>
          <w:highlight w:val="yellow"/>
        </w:rPr>
        <w:t>8</w:t>
      </w:r>
      <w:r w:rsidR="00F54AB3">
        <w:t xml:space="preserve">. </w:t>
      </w:r>
      <w:r w:rsidR="00A92CE5">
        <w:t>Measurements at the</w:t>
      </w:r>
      <w:r w:rsidR="007B4DC4">
        <w:t xml:space="preserve"> magic angle</w:t>
      </w:r>
      <w:r w:rsidR="00D41B66">
        <w:t xml:space="preserve"> (</w:t>
      </w:r>
      <w:r w:rsidR="00D41B66" w:rsidRPr="00D41B66">
        <w:rPr>
          <w:b/>
        </w:rPr>
        <w:t>Figure S3</w:t>
      </w:r>
      <w:r w:rsidR="00D41B66">
        <w:t>)</w:t>
      </w:r>
      <w:r w:rsidR="00A92CE5">
        <w:t xml:space="preserve"> provided </w:t>
      </w:r>
      <w:r w:rsidR="00A930BB">
        <w:t>information on</w:t>
      </w:r>
      <w:r w:rsidR="00A92CE5">
        <w:t xml:space="preserve"> </w:t>
      </w:r>
      <w:r w:rsidR="007B4DC4">
        <w:t xml:space="preserve">charge recombination </w:t>
      </w:r>
      <w:r w:rsidR="00023EDC">
        <w:t xml:space="preserve">of the injected electron and oxidized chromophore and an average </w:t>
      </w:r>
      <w:r w:rsidR="007B4DC4">
        <w:t xml:space="preserve">rate constant, </w:t>
      </w:r>
      <w:r w:rsidR="007B4DC4">
        <w:rPr>
          <w:i/>
        </w:rPr>
        <w:t>k</w:t>
      </w:r>
      <w:r w:rsidR="007B4DC4">
        <w:rPr>
          <w:vertAlign w:val="subscript"/>
        </w:rPr>
        <w:t>MA</w:t>
      </w:r>
      <w:r w:rsidR="007B4DC4">
        <w:t xml:space="preserve">, was calculated as the first moment of the underlying Lévy distribution </w:t>
      </w:r>
      <w:r w:rsidR="007B4DC4" w:rsidRPr="00190549">
        <w:rPr>
          <w:b/>
          <w:highlight w:val="yellow"/>
        </w:rPr>
        <w:t xml:space="preserve">Equation </w:t>
      </w:r>
      <w:r w:rsidR="00190549" w:rsidRPr="00190549">
        <w:rPr>
          <w:b/>
          <w:highlight w:val="yellow"/>
        </w:rPr>
        <w:t>9</w:t>
      </w:r>
      <w:r w:rsidR="00AF2CEF">
        <w:rPr>
          <w:bCs/>
        </w:rPr>
        <w:t xml:space="preserve">, </w:t>
      </w:r>
      <w:r w:rsidR="002C73EC">
        <w:rPr>
          <w:bCs/>
          <w:highlight w:val="yellow"/>
        </w:rPr>
        <w:t>where</w:t>
      </w:r>
      <w:r w:rsidR="00AF2CEF" w:rsidRPr="00AF2CEF">
        <w:rPr>
          <w:bCs/>
          <w:highlight w:val="yellow"/>
        </w:rPr>
        <w:t xml:space="preserve"> </w:t>
      </w:r>
      <w:r w:rsidR="00AF2CEF" w:rsidRPr="00AF2CEF">
        <w:rPr>
          <w:bCs/>
          <w:i/>
          <w:iCs/>
          <w:highlight w:val="yellow"/>
        </w:rPr>
        <w:t>k</w:t>
      </w:r>
      <w:r w:rsidR="00AF2CEF" w:rsidRPr="00AF2CEF">
        <w:rPr>
          <w:bCs/>
          <w:highlight w:val="yellow"/>
        </w:rPr>
        <w:t xml:space="preserve"> and β </w:t>
      </w:r>
      <w:r w:rsidR="002C73EC">
        <w:rPr>
          <w:bCs/>
          <w:highlight w:val="yellow"/>
        </w:rPr>
        <w:t xml:space="preserve">are the same </w:t>
      </w:r>
      <w:r w:rsidR="00AF2CEF" w:rsidRPr="00C57526">
        <w:rPr>
          <w:bCs/>
          <w:highlight w:val="yellow"/>
        </w:rPr>
        <w:t xml:space="preserve">from </w:t>
      </w:r>
      <w:r w:rsidR="00AF2CEF" w:rsidRPr="00C57526">
        <w:rPr>
          <w:b/>
          <w:highlight w:val="yellow"/>
        </w:rPr>
        <w:t>Equation 7</w:t>
      </w:r>
      <w:r w:rsidR="00C57526" w:rsidRPr="00C57526">
        <w:rPr>
          <w:bCs/>
          <w:highlight w:val="yellow"/>
        </w:rPr>
        <w:t xml:space="preserve"> and Γ </w:t>
      </w:r>
      <w:r w:rsidR="002C73EC">
        <w:rPr>
          <w:bCs/>
          <w:highlight w:val="yellow"/>
        </w:rPr>
        <w:t xml:space="preserve">is </w:t>
      </w:r>
      <w:r w:rsidR="00C57526" w:rsidRPr="00C57526">
        <w:rPr>
          <w:bCs/>
          <w:highlight w:val="yellow"/>
        </w:rPr>
        <w:t xml:space="preserve">equal to the </w:t>
      </w:r>
      <w:r w:rsidR="00190549">
        <w:rPr>
          <w:bCs/>
          <w:highlight w:val="yellow"/>
        </w:rPr>
        <w:t>G</w:t>
      </w:r>
      <w:r w:rsidR="00C57526" w:rsidRPr="00C57526">
        <w:rPr>
          <w:bCs/>
          <w:highlight w:val="yellow"/>
        </w:rPr>
        <w:t>amma function</w:t>
      </w:r>
      <w:r w:rsidR="007B4DC4" w:rsidRPr="00C57526">
        <w:rPr>
          <w:highlight w:val="yellow"/>
        </w:rPr>
        <w:t>.</w:t>
      </w:r>
      <w:r w:rsidR="00211551">
        <w:t xml:space="preserve"> The results are summarized in </w:t>
      </w:r>
      <w:r w:rsidR="00211551" w:rsidRPr="00211551">
        <w:rPr>
          <w:b/>
        </w:rPr>
        <w:t>Table 2</w:t>
      </w:r>
      <w:r w:rsidR="00F54AB3">
        <w:t xml:space="preserve">. </w:t>
      </w:r>
    </w:p>
    <w:p w14:paraId="3301A33C" w14:textId="23437501" w:rsidR="00211551" w:rsidRPr="00DD0455" w:rsidRDefault="007A0DAF" w:rsidP="00416D83">
      <w:pPr>
        <w:pStyle w:val="NoSpacing"/>
        <w:spacing w:line="360" w:lineRule="auto"/>
        <w:jc w:val="both"/>
        <w:rPr>
          <w:rFonts w:eastAsiaTheme="minorEastAsia"/>
        </w:rPr>
      </w:pPr>
      <m:oMathPara>
        <m:oMath>
          <m:sSub>
            <m:sSubPr>
              <m:ctrlPr>
                <w:rPr>
                  <w:rFonts w:ascii="Cambria Math" w:hAnsi="Cambria Math"/>
                  <w:i/>
                </w:rPr>
              </m:ctrlPr>
            </m:sSubPr>
            <m:e>
              <m:r>
                <w:rPr>
                  <w:rFonts w:ascii="Cambria Math" w:hAnsi="Cambria Math"/>
                </w:rPr>
                <m:t>k</m:t>
              </m:r>
            </m:e>
            <m:sub>
              <m:r>
                <m:rPr>
                  <m:sty m:val="p"/>
                </m:rPr>
                <w:rPr>
                  <w:rFonts w:ascii="Cambria Math" w:hAnsi="Cambria Math"/>
                </w:rPr>
                <m:t>MA</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kβ</m:t>
              </m:r>
            </m:num>
            <m:den>
              <m:r>
                <m:rPr>
                  <m:sty m:val="p"/>
                </m:rPr>
                <w:rPr>
                  <w:rFonts w:ascii="Cambria Math" w:eastAsiaTheme="minorEastAsia" w:hAnsi="Cambria Math"/>
                </w:rPr>
                <m:t>Γ</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β</m:t>
                  </m:r>
                </m:den>
              </m:f>
              <m:r>
                <w:rPr>
                  <w:rFonts w:ascii="Cambria Math" w:eastAsiaTheme="minorEastAsia" w:hAnsi="Cambria Math"/>
                </w:rPr>
                <m:t>)</m:t>
              </m:r>
            </m:den>
          </m:f>
          <m:r>
            <w:rPr>
              <w:rFonts w:ascii="Cambria Math" w:eastAsiaTheme="minorEastAsia" w:hAnsi="Cambria Math"/>
            </w:rPr>
            <m:t xml:space="preserve">                        </m:t>
          </m:r>
          <m:r>
            <m:rPr>
              <m:sty m:val="p"/>
            </m:rPr>
            <w:rPr>
              <w:rFonts w:ascii="Cambria Math" w:eastAsiaTheme="minorEastAsia" w:hAnsi="Cambria Math"/>
              <w:highlight w:val="yellow"/>
            </w:rPr>
            <m:t>(</m:t>
          </m:r>
          <m:r>
            <m:rPr>
              <m:sty m:val="p"/>
            </m:rPr>
            <w:rPr>
              <w:rFonts w:ascii="Cambria Math" w:eastAsiaTheme="minorEastAsia" w:hAnsi="Cambria Math"/>
              <w:highlight w:val="yellow"/>
            </w:rPr>
            <m:t>9</m:t>
          </m:r>
          <m:r>
            <m:rPr>
              <m:sty m:val="p"/>
            </m:rPr>
            <w:rPr>
              <w:rFonts w:ascii="Cambria Math" w:eastAsiaTheme="minorEastAsia" w:hAnsi="Cambria Math"/>
              <w:highlight w:val="yellow"/>
            </w:rPr>
            <m:t>)</m:t>
          </m:r>
        </m:oMath>
      </m:oMathPara>
    </w:p>
    <w:p w14:paraId="3D349558" w14:textId="07AEC496" w:rsidR="00DD0455" w:rsidRDefault="00DD0455" w:rsidP="00416D83">
      <w:pPr>
        <w:pStyle w:val="NoSpacing"/>
        <w:spacing w:line="360" w:lineRule="auto"/>
        <w:jc w:val="both"/>
        <w:rPr>
          <w:rFonts w:eastAsiaTheme="minorEastAsia"/>
        </w:rPr>
      </w:pPr>
    </w:p>
    <w:p w14:paraId="56B86BA2" w14:textId="77777777" w:rsidR="00DD0455" w:rsidRDefault="00DD0455" w:rsidP="00416D83">
      <w:pPr>
        <w:pStyle w:val="NoSpacing"/>
        <w:spacing w:line="360" w:lineRule="auto"/>
        <w:jc w:val="both"/>
      </w:pPr>
    </w:p>
    <w:p w14:paraId="4834BF4B" w14:textId="770DDAD4" w:rsidR="0059132F" w:rsidRDefault="00DD0455" w:rsidP="00416D83">
      <w:pPr>
        <w:pStyle w:val="NoSpacing"/>
        <w:spacing w:line="360" w:lineRule="auto"/>
        <w:jc w:val="both"/>
        <w:rPr>
          <w:b/>
        </w:rPr>
      </w:pPr>
      <w:r>
        <w:rPr>
          <w:b/>
          <w:noProof/>
        </w:rPr>
        <w:drawing>
          <wp:inline distT="0" distB="0" distL="0" distR="0" wp14:anchorId="0F7E1E3E" wp14:editId="331B7EF4">
            <wp:extent cx="5943600" cy="1636776"/>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310" t="8097" r="4520" b="1581"/>
                    <a:stretch/>
                  </pic:blipFill>
                  <pic:spPr bwMode="auto">
                    <a:xfrm>
                      <a:off x="0" y="0"/>
                      <a:ext cx="5943600" cy="1636776"/>
                    </a:xfrm>
                    <a:prstGeom prst="rect">
                      <a:avLst/>
                    </a:prstGeom>
                    <a:noFill/>
                    <a:ln>
                      <a:noFill/>
                    </a:ln>
                    <a:extLst>
                      <a:ext uri="{53640926-AAD7-44D8-BBD7-CCE9431645EC}">
                        <a14:shadowObscured xmlns:a14="http://schemas.microsoft.com/office/drawing/2010/main"/>
                      </a:ext>
                    </a:extLst>
                  </pic:spPr>
                </pic:pic>
              </a:graphicData>
            </a:graphic>
          </wp:inline>
        </w:drawing>
      </w:r>
    </w:p>
    <w:p w14:paraId="2AA0D509" w14:textId="0F1E8FD9" w:rsidR="00AC4AD1" w:rsidRPr="004134FD" w:rsidRDefault="00AC4AD1" w:rsidP="00C51723">
      <w:pPr>
        <w:pStyle w:val="NoSpacing"/>
        <w:jc w:val="both"/>
      </w:pPr>
      <w:r w:rsidRPr="0059132F">
        <w:rPr>
          <w:b/>
        </w:rPr>
        <w:t>Figure 4.</w:t>
      </w:r>
      <w:r>
        <w:t xml:space="preserve"> </w:t>
      </w:r>
      <w:r w:rsidR="00253C88">
        <w:t>Time</w:t>
      </w:r>
      <w:r w:rsidR="00EF6562">
        <w:t>-dependent anisotropies obtained from fits to the KWW</w:t>
      </w:r>
      <w:r w:rsidR="00B6462B">
        <w:t xml:space="preserve"> function for</w:t>
      </w:r>
      <w:r w:rsidR="00BE2EBB">
        <w:t xml:space="preserve"> </w:t>
      </w:r>
      <w:r w:rsidR="00BE2EBB">
        <w:rPr>
          <w:b/>
        </w:rPr>
        <w:t>(a)</w:t>
      </w:r>
      <w:r w:rsidR="00BE2EBB">
        <w:t xml:space="preserve"> RuP, </w:t>
      </w:r>
      <w:r w:rsidR="00BE2EBB">
        <w:rPr>
          <w:b/>
        </w:rPr>
        <w:t>(b)</w:t>
      </w:r>
      <w:r w:rsidR="00BE2EBB">
        <w:t xml:space="preserve"> Ru(OMe)</w:t>
      </w:r>
      <w:r w:rsidR="00BE2EBB">
        <w:rPr>
          <w:vertAlign w:val="subscript"/>
        </w:rPr>
        <w:t>2</w:t>
      </w:r>
      <w:r w:rsidR="00BE2EBB">
        <w:t xml:space="preserve">P, and </w:t>
      </w:r>
      <w:r w:rsidR="00BE2EBB">
        <w:rPr>
          <w:b/>
        </w:rPr>
        <w:t>(c)</w:t>
      </w:r>
      <w:r w:rsidR="00BE2EBB">
        <w:t xml:space="preserve"> Ru(dtb)</w:t>
      </w:r>
      <w:r w:rsidR="00BE2EBB">
        <w:rPr>
          <w:vertAlign w:val="subscript"/>
        </w:rPr>
        <w:t>2</w:t>
      </w:r>
      <w:r w:rsidR="00BE2EBB">
        <w:t xml:space="preserve">P without (blue) and with (red) </w:t>
      </w:r>
      <w:r w:rsidR="004134FD">
        <w:t>an Al</w:t>
      </w:r>
      <w:r w:rsidR="004134FD">
        <w:rPr>
          <w:vertAlign w:val="subscript"/>
        </w:rPr>
        <w:t>2</w:t>
      </w:r>
      <w:r w:rsidR="004134FD">
        <w:t>O</w:t>
      </w:r>
      <w:r w:rsidR="004134FD">
        <w:rPr>
          <w:vertAlign w:val="subscript"/>
        </w:rPr>
        <w:t>3</w:t>
      </w:r>
      <w:r w:rsidR="004134FD">
        <w:t xml:space="preserve"> overlayer. The black </w:t>
      </w:r>
      <w:r w:rsidR="00974AF4">
        <w:t>dotted</w:t>
      </w:r>
      <w:r w:rsidR="004134FD">
        <w:t xml:space="preserve"> line</w:t>
      </w:r>
      <w:r w:rsidR="000A1FEA">
        <w:t xml:space="preserve"> represents the expected </w:t>
      </w:r>
      <w:r w:rsidR="00974AF4">
        <w:t>anisotropy when</w:t>
      </w:r>
      <w:r w:rsidR="000A1FEA">
        <w:t xml:space="preserve"> no lateral hole hopping</w:t>
      </w:r>
      <w:r w:rsidR="00974AF4">
        <w:t xml:space="preserve"> occurs.</w:t>
      </w:r>
      <w:r w:rsidR="000A1FEA">
        <w:t xml:space="preserve"> </w:t>
      </w:r>
    </w:p>
    <w:p w14:paraId="26EFDA69" w14:textId="77777777" w:rsidR="00AC4AD1" w:rsidRDefault="00AC4AD1" w:rsidP="00416D83">
      <w:pPr>
        <w:pStyle w:val="NoSpacing"/>
        <w:spacing w:line="360" w:lineRule="auto"/>
        <w:jc w:val="both"/>
      </w:pPr>
    </w:p>
    <w:p w14:paraId="7F6DDA5A" w14:textId="7A97DECB" w:rsidR="00CC00B5" w:rsidRDefault="00CC00B5" w:rsidP="00657046">
      <w:pPr>
        <w:pStyle w:val="NoSpacing"/>
        <w:spacing w:line="360" w:lineRule="auto"/>
        <w:ind w:firstLine="720"/>
        <w:jc w:val="both"/>
      </w:pPr>
    </w:p>
    <w:p w14:paraId="79F59A6E" w14:textId="216A6014" w:rsidR="00BC5DF8" w:rsidRDefault="005034D4" w:rsidP="003C1699">
      <w:pPr>
        <w:pStyle w:val="NoSpacing"/>
        <w:spacing w:line="360" w:lineRule="auto"/>
        <w:ind w:firstLine="720"/>
        <w:jc w:val="both"/>
      </w:pPr>
      <w:r>
        <w:t>The</w:t>
      </w:r>
      <w:r w:rsidR="001B0BFD">
        <w:t xml:space="preserve"> transient absorption data</w:t>
      </w:r>
      <w:r w:rsidR="008142EE">
        <w:t>, calculated anisotropy with</w:t>
      </w:r>
      <w:r>
        <w:t xml:space="preserve"> resulting Monte Carlo simulation overlaid</w:t>
      </w:r>
      <w:r w:rsidR="008142EE">
        <w:t>, and the</w:t>
      </w:r>
      <w:r>
        <w:t xml:space="preserve"> KWW</w:t>
      </w:r>
      <w:r w:rsidR="008142EE">
        <w:t xml:space="preserve"> fit</w:t>
      </w:r>
      <w:r>
        <w:t xml:space="preserve"> anisotropy data</w:t>
      </w:r>
      <w:r w:rsidR="008142EE">
        <w:t xml:space="preserve"> with the Monte Carlo simulation overlaid for RuP</w:t>
      </w:r>
      <w:r w:rsidR="0017463A">
        <w:t xml:space="preserve"> is </w:t>
      </w:r>
      <w:r w:rsidR="00023EDC">
        <w:t>given</w:t>
      </w:r>
      <w:r w:rsidR="0017463A">
        <w:t xml:space="preserve"> in </w:t>
      </w:r>
      <w:r w:rsidR="0017463A" w:rsidRPr="0017463A">
        <w:rPr>
          <w:b/>
        </w:rPr>
        <w:t>Figure 5</w:t>
      </w:r>
      <w:r w:rsidR="0017463A">
        <w:t>.</w:t>
      </w:r>
      <w:r w:rsidR="00435480">
        <w:t xml:space="preserve"> The data for the other chromophores is found in </w:t>
      </w:r>
      <w:r w:rsidR="00435480" w:rsidRPr="00435480">
        <w:rPr>
          <w:b/>
        </w:rPr>
        <w:t>Figures S4</w:t>
      </w:r>
      <w:r w:rsidR="00435480">
        <w:t xml:space="preserve"> and </w:t>
      </w:r>
      <w:r w:rsidR="00435480" w:rsidRPr="00435480">
        <w:rPr>
          <w:b/>
        </w:rPr>
        <w:t>S5</w:t>
      </w:r>
      <w:r w:rsidR="00435480">
        <w:t>.</w:t>
      </w:r>
      <w:r w:rsidR="00620ED7">
        <w:t xml:space="preserve"> The resulting calculated self-exchange rate constants (</w:t>
      </w:r>
      <w:r w:rsidR="00620ED7">
        <w:rPr>
          <w:i/>
        </w:rPr>
        <w:t>k</w:t>
      </w:r>
      <w:r w:rsidR="00620ED7">
        <w:rPr>
          <w:vertAlign w:val="subscript"/>
        </w:rPr>
        <w:t>MC</w:t>
      </w:r>
      <w:r w:rsidR="00620ED7">
        <w:t xml:space="preserve">) for each chromophore are summarized in </w:t>
      </w:r>
      <w:r w:rsidR="00620ED7" w:rsidRPr="00620ED7">
        <w:rPr>
          <w:b/>
        </w:rPr>
        <w:t>Table 2</w:t>
      </w:r>
      <w:r w:rsidR="00620ED7">
        <w:t xml:space="preserve">. </w:t>
      </w:r>
    </w:p>
    <w:p w14:paraId="79E426B6" w14:textId="4D3101BD" w:rsidR="0052714F" w:rsidRDefault="004D4BA0" w:rsidP="00416D83">
      <w:pPr>
        <w:pStyle w:val="NoSpacing"/>
        <w:spacing w:line="360" w:lineRule="auto"/>
        <w:jc w:val="both"/>
      </w:pPr>
      <w:r>
        <w:rPr>
          <w:noProof/>
        </w:rPr>
        <w:drawing>
          <wp:inline distT="0" distB="0" distL="0" distR="0" wp14:anchorId="38A800E7" wp14:editId="16E73AC5">
            <wp:extent cx="5669280" cy="1545336"/>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011" t="8494" r="3770"/>
                    <a:stretch/>
                  </pic:blipFill>
                  <pic:spPr bwMode="auto">
                    <a:xfrm>
                      <a:off x="0" y="0"/>
                      <a:ext cx="5669280" cy="1545336"/>
                    </a:xfrm>
                    <a:prstGeom prst="rect">
                      <a:avLst/>
                    </a:prstGeom>
                    <a:noFill/>
                    <a:ln>
                      <a:noFill/>
                    </a:ln>
                    <a:extLst>
                      <a:ext uri="{53640926-AAD7-44D8-BBD7-CCE9431645EC}">
                        <a14:shadowObscured xmlns:a14="http://schemas.microsoft.com/office/drawing/2010/main"/>
                      </a:ext>
                    </a:extLst>
                  </pic:spPr>
                </pic:pic>
              </a:graphicData>
            </a:graphic>
          </wp:inline>
        </w:drawing>
      </w:r>
    </w:p>
    <w:p w14:paraId="18047F77" w14:textId="4E50A173" w:rsidR="00C3495D" w:rsidRDefault="00BC5DF8" w:rsidP="00C51723">
      <w:pPr>
        <w:pStyle w:val="NoSpacing"/>
        <w:jc w:val="both"/>
      </w:pPr>
      <w:r w:rsidRPr="0052714F">
        <w:rPr>
          <w:b/>
        </w:rPr>
        <w:t xml:space="preserve">Figure </w:t>
      </w:r>
      <w:r w:rsidR="0059132F">
        <w:rPr>
          <w:b/>
        </w:rPr>
        <w:t>5</w:t>
      </w:r>
      <w:r w:rsidRPr="0052714F">
        <w:rPr>
          <w:b/>
        </w:rPr>
        <w:t>.</w:t>
      </w:r>
      <w:r>
        <w:t xml:space="preserve"> </w:t>
      </w:r>
      <w:r w:rsidR="00030301" w:rsidRPr="00A427B5">
        <w:rPr>
          <w:b/>
        </w:rPr>
        <w:t>(a)</w:t>
      </w:r>
      <w:r w:rsidR="00030301">
        <w:t xml:space="preserve"> </w:t>
      </w:r>
      <w:r w:rsidR="008A2D65">
        <w:t>A</w:t>
      </w:r>
      <w:r w:rsidR="00C51723">
        <w:t>bsorption changes</w:t>
      </w:r>
      <w:r w:rsidR="008A2D65">
        <w:t xml:space="preserve"> monitored at 485 nm</w:t>
      </w:r>
      <w:r w:rsidR="00C51723">
        <w:t xml:space="preserve"> after 532 nm pulsed light excitation (500 μJ/pulse) of TiO</w:t>
      </w:r>
      <w:r w:rsidR="00C51723">
        <w:rPr>
          <w:vertAlign w:val="subscript"/>
        </w:rPr>
        <w:t>2</w:t>
      </w:r>
      <w:r w:rsidR="00C51723">
        <w:t>|RuP measured with vertical excitation and horizontal (</w:t>
      </w:r>
      <w:r w:rsidR="00815B4D">
        <w:rPr>
          <w:i/>
        </w:rPr>
        <w:t>VH</w:t>
      </w:r>
      <w:r w:rsidR="00C51723">
        <w:t>) or vertical (</w:t>
      </w:r>
      <w:r w:rsidR="00815B4D">
        <w:rPr>
          <w:i/>
        </w:rPr>
        <w:t>VV</w:t>
      </w:r>
      <w:r w:rsidR="00C51723">
        <w:t>) detection</w:t>
      </w:r>
      <w:r w:rsidR="00A427B5">
        <w:t xml:space="preserve"> </w:t>
      </w:r>
      <w:r w:rsidR="00A427B5" w:rsidRPr="00A427B5">
        <w:rPr>
          <w:b/>
        </w:rPr>
        <w:t>(b)</w:t>
      </w:r>
      <w:r w:rsidR="00A427B5">
        <w:t xml:space="preserve"> </w:t>
      </w:r>
      <w:bookmarkStart w:id="0" w:name="_Hlk5355364"/>
      <w:r w:rsidR="00C51723">
        <w:t>Experimentally determined anisotropy</w:t>
      </w:r>
      <w:r w:rsidR="00A427B5">
        <w:t xml:space="preserve"> data with resultant Monte Carlo simulation overlaid in red. </w:t>
      </w:r>
      <w:r w:rsidR="00A427B5" w:rsidRPr="00A427B5">
        <w:rPr>
          <w:b/>
        </w:rPr>
        <w:t>(c)</w:t>
      </w:r>
      <w:r w:rsidR="00A427B5">
        <w:t xml:space="preserve"> Calculated anisotropy from KWW fits with Monte Carlo simulation overlaid in red.</w:t>
      </w:r>
      <w:bookmarkEnd w:id="0"/>
    </w:p>
    <w:p w14:paraId="7E47D23D" w14:textId="77777777" w:rsidR="00155F86" w:rsidRDefault="00155F86" w:rsidP="003315DC">
      <w:pPr>
        <w:pStyle w:val="NoSpacing"/>
        <w:spacing w:line="360" w:lineRule="auto"/>
        <w:jc w:val="both"/>
      </w:pPr>
    </w:p>
    <w:p w14:paraId="60A8F24F" w14:textId="77777777" w:rsidR="003315DC" w:rsidRDefault="003315DC" w:rsidP="003315DC">
      <w:pPr>
        <w:pStyle w:val="NoSpacing"/>
        <w:spacing w:line="360" w:lineRule="auto"/>
        <w:jc w:val="both"/>
      </w:pPr>
      <w:r w:rsidRPr="006B681A">
        <w:rPr>
          <w:b/>
        </w:rPr>
        <w:t>Table 2.</w:t>
      </w:r>
      <w:r>
        <w:t xml:space="preserve"> Calculated Rate Constants and Hole-Transfer Correlation Times</w:t>
      </w:r>
    </w:p>
    <w:tbl>
      <w:tblPr>
        <w:tblStyle w:val="PlainTable4"/>
        <w:tblW w:w="0" w:type="auto"/>
        <w:jc w:val="center"/>
        <w:tblLook w:val="04A0" w:firstRow="1" w:lastRow="0" w:firstColumn="1" w:lastColumn="0" w:noHBand="0" w:noVBand="1"/>
      </w:tblPr>
      <w:tblGrid>
        <w:gridCol w:w="1891"/>
        <w:gridCol w:w="944"/>
        <w:gridCol w:w="1701"/>
        <w:gridCol w:w="1134"/>
        <w:gridCol w:w="1134"/>
      </w:tblGrid>
      <w:tr w:rsidR="00A90023" w14:paraId="5112DC33" w14:textId="77777777" w:rsidTr="00A9002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91" w:type="dxa"/>
            <w:shd w:val="clear" w:color="auto" w:fill="auto"/>
          </w:tcPr>
          <w:p w14:paraId="4C64B583" w14:textId="77777777" w:rsidR="00A90023" w:rsidRPr="003315DC" w:rsidRDefault="00A90023" w:rsidP="00A557E6">
            <w:pPr>
              <w:pStyle w:val="NoSpacing"/>
              <w:spacing w:line="360" w:lineRule="auto"/>
              <w:jc w:val="center"/>
              <w:rPr>
                <w:sz w:val="20"/>
                <w:szCs w:val="20"/>
              </w:rPr>
            </w:pPr>
            <w:r w:rsidRPr="003315DC">
              <w:rPr>
                <w:sz w:val="20"/>
                <w:szCs w:val="20"/>
              </w:rPr>
              <w:t>Chromophore</w:t>
            </w:r>
          </w:p>
        </w:tc>
        <w:tc>
          <w:tcPr>
            <w:tcW w:w="944" w:type="dxa"/>
            <w:shd w:val="clear" w:color="auto" w:fill="auto"/>
          </w:tcPr>
          <w:p w14:paraId="4E94433F" w14:textId="77777777" w:rsidR="00A90023" w:rsidRPr="003315DC" w:rsidRDefault="00A90023" w:rsidP="00A557E6">
            <w:pPr>
              <w:pStyle w:val="NoSpacing"/>
              <w:spacing w:line="36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3315DC">
              <w:rPr>
                <w:i/>
                <w:sz w:val="20"/>
                <w:szCs w:val="20"/>
              </w:rPr>
              <w:t>k</w:t>
            </w:r>
            <w:r w:rsidRPr="003315DC">
              <w:rPr>
                <w:sz w:val="20"/>
                <w:szCs w:val="20"/>
                <w:vertAlign w:val="subscript"/>
              </w:rPr>
              <w:t>MA</w:t>
            </w:r>
            <w:r w:rsidRPr="003315DC">
              <w:rPr>
                <w:sz w:val="20"/>
                <w:szCs w:val="20"/>
              </w:rPr>
              <w:t xml:space="preserve"> (s</w:t>
            </w:r>
            <w:r w:rsidRPr="003315DC">
              <w:rPr>
                <w:sz w:val="20"/>
                <w:szCs w:val="20"/>
                <w:vertAlign w:val="superscript"/>
              </w:rPr>
              <w:t>-1</w:t>
            </w:r>
            <w:r w:rsidRPr="003315DC">
              <w:rPr>
                <w:sz w:val="20"/>
                <w:szCs w:val="20"/>
              </w:rPr>
              <w:t>)</w:t>
            </w:r>
          </w:p>
        </w:tc>
        <w:tc>
          <w:tcPr>
            <w:tcW w:w="1701" w:type="dxa"/>
            <w:shd w:val="clear" w:color="auto" w:fill="auto"/>
          </w:tcPr>
          <w:p w14:paraId="28E4ADDE" w14:textId="6E0D74E0" w:rsidR="00A90023" w:rsidRPr="003315DC" w:rsidRDefault="00A90023" w:rsidP="00A557E6">
            <w:pPr>
              <w:pStyle w:val="NoSpacing"/>
              <w:spacing w:line="36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3315DC">
              <w:rPr>
                <w:i/>
                <w:sz w:val="20"/>
                <w:szCs w:val="20"/>
              </w:rPr>
              <w:t>k</w:t>
            </w:r>
            <w:r w:rsidRPr="003315DC">
              <w:rPr>
                <w:sz w:val="20"/>
                <w:szCs w:val="20"/>
                <w:vertAlign w:val="subscript"/>
              </w:rPr>
              <w:t>MC</w:t>
            </w:r>
            <w:r w:rsidRPr="003315DC">
              <w:rPr>
                <w:sz w:val="20"/>
                <w:szCs w:val="20"/>
              </w:rPr>
              <w:t xml:space="preserve"> (10</w:t>
            </w:r>
            <w:r w:rsidRPr="003315DC">
              <w:rPr>
                <w:sz w:val="20"/>
                <w:szCs w:val="20"/>
                <w:vertAlign w:val="superscript"/>
              </w:rPr>
              <w:t>5</w:t>
            </w:r>
            <w:r w:rsidRPr="003315DC">
              <w:rPr>
                <w:sz w:val="20"/>
                <w:szCs w:val="20"/>
              </w:rPr>
              <w:t xml:space="preserve"> s</w:t>
            </w:r>
            <w:r w:rsidRPr="003315DC">
              <w:rPr>
                <w:sz w:val="20"/>
                <w:szCs w:val="20"/>
                <w:vertAlign w:val="superscript"/>
              </w:rPr>
              <w:t>-1</w:t>
            </w:r>
            <w:r w:rsidRPr="003315DC">
              <w:rPr>
                <w:sz w:val="20"/>
                <w:szCs w:val="20"/>
              </w:rPr>
              <w:t>)</w:t>
            </w:r>
          </w:p>
        </w:tc>
        <w:tc>
          <w:tcPr>
            <w:tcW w:w="1134" w:type="dxa"/>
            <w:shd w:val="clear" w:color="auto" w:fill="FFFFFF" w:themeFill="background1"/>
          </w:tcPr>
          <w:p w14:paraId="3490B231" w14:textId="3BCF95A5" w:rsidR="00A90023" w:rsidRPr="00A90023" w:rsidRDefault="00A90023" w:rsidP="00A557E6">
            <w:pPr>
              <w:pStyle w:val="NoSpacing"/>
              <w:spacing w:line="360" w:lineRule="auto"/>
              <w:jc w:val="center"/>
              <w:cnfStyle w:val="100000000000" w:firstRow="1" w:lastRow="0" w:firstColumn="0" w:lastColumn="0" w:oddVBand="0" w:evenVBand="0" w:oddHBand="0" w:evenHBand="0" w:firstRowFirstColumn="0" w:firstRowLastColumn="0" w:lastRowFirstColumn="0" w:lastRowLastColumn="0"/>
              <w:rPr>
                <w:sz w:val="20"/>
                <w:szCs w:val="20"/>
                <w:highlight w:val="yellow"/>
              </w:rPr>
            </w:pPr>
            <w:r w:rsidRPr="00A90023">
              <w:rPr>
                <w:i/>
                <w:sz w:val="20"/>
                <w:szCs w:val="20"/>
                <w:highlight w:val="yellow"/>
              </w:rPr>
              <w:t>k</w:t>
            </w:r>
            <w:r w:rsidRPr="00A90023">
              <w:rPr>
                <w:sz w:val="20"/>
                <w:szCs w:val="20"/>
                <w:highlight w:val="yellow"/>
                <w:vertAlign w:val="subscript"/>
              </w:rPr>
              <w:t>R</w:t>
            </w:r>
            <w:r w:rsidRPr="00A90023">
              <w:rPr>
                <w:sz w:val="20"/>
                <w:szCs w:val="20"/>
                <w:highlight w:val="yellow"/>
              </w:rPr>
              <w:t xml:space="preserve"> (10</w:t>
            </w:r>
            <w:r w:rsidRPr="00A90023">
              <w:rPr>
                <w:sz w:val="20"/>
                <w:szCs w:val="20"/>
                <w:highlight w:val="yellow"/>
                <w:vertAlign w:val="superscript"/>
              </w:rPr>
              <w:t>5</w:t>
            </w:r>
            <w:r w:rsidRPr="00A90023">
              <w:rPr>
                <w:sz w:val="20"/>
                <w:szCs w:val="20"/>
                <w:highlight w:val="yellow"/>
              </w:rPr>
              <w:t xml:space="preserve"> s</w:t>
            </w:r>
            <w:r w:rsidRPr="00A90023">
              <w:rPr>
                <w:sz w:val="20"/>
                <w:szCs w:val="20"/>
                <w:highlight w:val="yellow"/>
                <w:vertAlign w:val="superscript"/>
              </w:rPr>
              <w:t>-1</w:t>
            </w:r>
            <w:r w:rsidRPr="00A90023">
              <w:rPr>
                <w:sz w:val="20"/>
                <w:szCs w:val="20"/>
                <w:highlight w:val="yellow"/>
              </w:rPr>
              <w:t>)</w:t>
            </w:r>
          </w:p>
        </w:tc>
        <w:tc>
          <w:tcPr>
            <w:tcW w:w="1134" w:type="dxa"/>
            <w:shd w:val="clear" w:color="auto" w:fill="auto"/>
          </w:tcPr>
          <w:p w14:paraId="67EED94A" w14:textId="28D5FE7C" w:rsidR="00A90023" w:rsidRPr="003315DC" w:rsidRDefault="00A90023" w:rsidP="00A557E6">
            <w:pPr>
              <w:pStyle w:val="NoSpacing"/>
              <w:spacing w:line="360" w:lineRule="auto"/>
              <w:jc w:val="center"/>
              <w:cnfStyle w:val="100000000000" w:firstRow="1" w:lastRow="0" w:firstColumn="0" w:lastColumn="0" w:oddVBand="0" w:evenVBand="0" w:oddHBand="0" w:evenHBand="0" w:firstRowFirstColumn="0" w:firstRowLastColumn="0" w:lastRowFirstColumn="0" w:lastRowLastColumn="0"/>
              <w:rPr>
                <w:sz w:val="20"/>
                <w:szCs w:val="20"/>
                <w:vertAlign w:val="subscript"/>
              </w:rPr>
            </w:pPr>
            <w:r w:rsidRPr="003315DC">
              <w:rPr>
                <w:sz w:val="20"/>
                <w:szCs w:val="20"/>
              </w:rPr>
              <w:t>θ</w:t>
            </w:r>
            <w:r w:rsidRPr="003315DC">
              <w:rPr>
                <w:sz w:val="20"/>
                <w:szCs w:val="20"/>
                <w:vertAlign w:val="subscript"/>
              </w:rPr>
              <w:t xml:space="preserve">h+ </w:t>
            </w:r>
            <w:r w:rsidRPr="003315DC">
              <w:rPr>
                <w:sz w:val="20"/>
                <w:szCs w:val="20"/>
              </w:rPr>
              <w:t>(ms)</w:t>
            </w:r>
          </w:p>
        </w:tc>
      </w:tr>
      <w:tr w:rsidR="00A90023" w14:paraId="69854534" w14:textId="77777777" w:rsidTr="00A900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91" w:type="dxa"/>
            <w:shd w:val="clear" w:color="auto" w:fill="auto"/>
          </w:tcPr>
          <w:p w14:paraId="5B967514" w14:textId="77777777" w:rsidR="00A90023" w:rsidRPr="003315DC" w:rsidRDefault="00A90023" w:rsidP="00A90023">
            <w:pPr>
              <w:pStyle w:val="NoSpacing"/>
              <w:spacing w:line="360" w:lineRule="auto"/>
              <w:jc w:val="center"/>
              <w:rPr>
                <w:sz w:val="20"/>
                <w:szCs w:val="20"/>
              </w:rPr>
            </w:pPr>
            <w:r w:rsidRPr="003315DC">
              <w:rPr>
                <w:sz w:val="20"/>
                <w:szCs w:val="20"/>
              </w:rPr>
              <w:t>RuP</w:t>
            </w:r>
          </w:p>
        </w:tc>
        <w:tc>
          <w:tcPr>
            <w:tcW w:w="944" w:type="dxa"/>
            <w:shd w:val="clear" w:color="auto" w:fill="auto"/>
          </w:tcPr>
          <w:p w14:paraId="36167754" w14:textId="77777777" w:rsidR="00A90023" w:rsidRPr="003315DC" w:rsidRDefault="00A90023" w:rsidP="00A90023">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3315DC">
              <w:rPr>
                <w:sz w:val="20"/>
                <w:szCs w:val="20"/>
              </w:rPr>
              <w:t>5000</w:t>
            </w:r>
          </w:p>
        </w:tc>
        <w:tc>
          <w:tcPr>
            <w:tcW w:w="1701" w:type="dxa"/>
            <w:shd w:val="clear" w:color="auto" w:fill="auto"/>
          </w:tcPr>
          <w:p w14:paraId="16EC9D0C" w14:textId="77777777" w:rsidR="00A90023" w:rsidRPr="003315DC" w:rsidRDefault="00A90023" w:rsidP="00A90023">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3315DC">
              <w:rPr>
                <w:sz w:val="20"/>
                <w:szCs w:val="20"/>
              </w:rPr>
              <w:t xml:space="preserve">7 </w:t>
            </w:r>
            <w:r w:rsidRPr="003315DC">
              <w:rPr>
                <w:bCs/>
                <w:color w:val="222222"/>
                <w:sz w:val="20"/>
                <w:szCs w:val="20"/>
              </w:rPr>
              <w:t>± 2</w:t>
            </w:r>
          </w:p>
        </w:tc>
        <w:tc>
          <w:tcPr>
            <w:tcW w:w="1134" w:type="dxa"/>
            <w:shd w:val="clear" w:color="auto" w:fill="FFFFFF" w:themeFill="background1"/>
          </w:tcPr>
          <w:p w14:paraId="5374460A" w14:textId="6BEDD349" w:rsidR="00A90023" w:rsidRPr="00A90023" w:rsidRDefault="00A90023" w:rsidP="00A90023">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A90023">
              <w:rPr>
                <w:sz w:val="20"/>
                <w:szCs w:val="20"/>
                <w:highlight w:val="yellow"/>
              </w:rPr>
              <w:t xml:space="preserve">7.1 </w:t>
            </w:r>
            <w:r w:rsidRPr="00A90023">
              <w:rPr>
                <w:color w:val="222222"/>
                <w:sz w:val="20"/>
                <w:szCs w:val="18"/>
                <w:highlight w:val="yellow"/>
              </w:rPr>
              <w:t>± 0.7</w:t>
            </w:r>
          </w:p>
        </w:tc>
        <w:tc>
          <w:tcPr>
            <w:tcW w:w="1134" w:type="dxa"/>
            <w:shd w:val="clear" w:color="auto" w:fill="auto"/>
          </w:tcPr>
          <w:p w14:paraId="0E518C6F" w14:textId="2E10BECB" w:rsidR="00A90023" w:rsidRPr="003315DC" w:rsidRDefault="00A90023" w:rsidP="00A90023">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3315DC">
              <w:rPr>
                <w:sz w:val="20"/>
                <w:szCs w:val="20"/>
              </w:rPr>
              <w:t>2.3</w:t>
            </w:r>
          </w:p>
        </w:tc>
      </w:tr>
      <w:tr w:rsidR="00A90023" w14:paraId="04094CB6" w14:textId="77777777" w:rsidTr="00A90023">
        <w:trPr>
          <w:jc w:val="center"/>
        </w:trPr>
        <w:tc>
          <w:tcPr>
            <w:cnfStyle w:val="001000000000" w:firstRow="0" w:lastRow="0" w:firstColumn="1" w:lastColumn="0" w:oddVBand="0" w:evenVBand="0" w:oddHBand="0" w:evenHBand="0" w:firstRowFirstColumn="0" w:firstRowLastColumn="0" w:lastRowFirstColumn="0" w:lastRowLastColumn="0"/>
            <w:tcW w:w="1891" w:type="dxa"/>
            <w:shd w:val="clear" w:color="auto" w:fill="auto"/>
          </w:tcPr>
          <w:p w14:paraId="38BCD5A6" w14:textId="77777777" w:rsidR="00A90023" w:rsidRPr="003315DC" w:rsidRDefault="00A90023" w:rsidP="00A90023">
            <w:pPr>
              <w:pStyle w:val="NoSpacing"/>
              <w:spacing w:line="360" w:lineRule="auto"/>
              <w:jc w:val="center"/>
              <w:rPr>
                <w:sz w:val="20"/>
                <w:szCs w:val="20"/>
              </w:rPr>
            </w:pPr>
            <w:r w:rsidRPr="003315DC">
              <w:rPr>
                <w:sz w:val="20"/>
                <w:szCs w:val="20"/>
              </w:rPr>
              <w:lastRenderedPageBreak/>
              <w:t>Ru(OMe)</w:t>
            </w:r>
            <w:r w:rsidRPr="003315DC">
              <w:rPr>
                <w:sz w:val="20"/>
                <w:szCs w:val="20"/>
                <w:vertAlign w:val="subscript"/>
              </w:rPr>
              <w:t>2</w:t>
            </w:r>
            <w:r w:rsidRPr="003315DC">
              <w:rPr>
                <w:sz w:val="20"/>
                <w:szCs w:val="20"/>
              </w:rPr>
              <w:t>P</w:t>
            </w:r>
          </w:p>
        </w:tc>
        <w:tc>
          <w:tcPr>
            <w:tcW w:w="944" w:type="dxa"/>
            <w:shd w:val="clear" w:color="auto" w:fill="auto"/>
          </w:tcPr>
          <w:p w14:paraId="3F5D2183" w14:textId="77777777" w:rsidR="00A90023" w:rsidRPr="003315DC" w:rsidRDefault="00A90023" w:rsidP="00A90023">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315DC">
              <w:rPr>
                <w:sz w:val="20"/>
                <w:szCs w:val="20"/>
              </w:rPr>
              <w:t>44000</w:t>
            </w:r>
          </w:p>
        </w:tc>
        <w:tc>
          <w:tcPr>
            <w:tcW w:w="1701" w:type="dxa"/>
            <w:shd w:val="clear" w:color="auto" w:fill="auto"/>
          </w:tcPr>
          <w:p w14:paraId="72DB811E" w14:textId="77777777" w:rsidR="00A90023" w:rsidRPr="003315DC" w:rsidRDefault="00A90023" w:rsidP="00A90023">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315DC">
              <w:rPr>
                <w:sz w:val="20"/>
                <w:szCs w:val="20"/>
              </w:rPr>
              <w:t xml:space="preserve">5 </w:t>
            </w:r>
            <w:r w:rsidRPr="003315DC">
              <w:rPr>
                <w:bCs/>
                <w:color w:val="222222"/>
                <w:sz w:val="20"/>
                <w:szCs w:val="20"/>
              </w:rPr>
              <w:t>± 1</w:t>
            </w:r>
          </w:p>
        </w:tc>
        <w:tc>
          <w:tcPr>
            <w:tcW w:w="1134" w:type="dxa"/>
            <w:shd w:val="clear" w:color="auto" w:fill="FFFFFF" w:themeFill="background1"/>
          </w:tcPr>
          <w:p w14:paraId="2A8107BD" w14:textId="1DCF99E6" w:rsidR="00A90023" w:rsidRPr="00A90023" w:rsidRDefault="00A90023" w:rsidP="00A90023">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A90023">
              <w:rPr>
                <w:sz w:val="20"/>
                <w:szCs w:val="20"/>
                <w:highlight w:val="yellow"/>
              </w:rPr>
              <w:t xml:space="preserve">14 </w:t>
            </w:r>
            <w:r w:rsidRPr="00A90023">
              <w:rPr>
                <w:color w:val="222222"/>
                <w:sz w:val="20"/>
                <w:szCs w:val="18"/>
                <w:highlight w:val="yellow"/>
              </w:rPr>
              <w:t>± 1</w:t>
            </w:r>
          </w:p>
        </w:tc>
        <w:tc>
          <w:tcPr>
            <w:tcW w:w="1134" w:type="dxa"/>
            <w:shd w:val="clear" w:color="auto" w:fill="auto"/>
          </w:tcPr>
          <w:p w14:paraId="69F556A1" w14:textId="2EAFD4BC" w:rsidR="00A90023" w:rsidRPr="003315DC" w:rsidRDefault="00A90023" w:rsidP="00A90023">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315DC">
              <w:rPr>
                <w:sz w:val="20"/>
                <w:szCs w:val="20"/>
              </w:rPr>
              <w:t>1.3</w:t>
            </w:r>
          </w:p>
        </w:tc>
      </w:tr>
      <w:tr w:rsidR="00A90023" w14:paraId="57484B36" w14:textId="77777777" w:rsidTr="00A900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91" w:type="dxa"/>
            <w:shd w:val="clear" w:color="auto" w:fill="auto"/>
          </w:tcPr>
          <w:p w14:paraId="73D09D02" w14:textId="77777777" w:rsidR="00A90023" w:rsidRPr="003315DC" w:rsidRDefault="00A90023" w:rsidP="00A90023">
            <w:pPr>
              <w:pStyle w:val="NoSpacing"/>
              <w:spacing w:line="360" w:lineRule="auto"/>
              <w:jc w:val="center"/>
              <w:rPr>
                <w:sz w:val="20"/>
                <w:szCs w:val="20"/>
              </w:rPr>
            </w:pPr>
            <w:r w:rsidRPr="003315DC">
              <w:rPr>
                <w:sz w:val="20"/>
                <w:szCs w:val="20"/>
              </w:rPr>
              <w:t>Ru(dtb)</w:t>
            </w:r>
            <w:r w:rsidRPr="003315DC">
              <w:rPr>
                <w:sz w:val="20"/>
                <w:szCs w:val="20"/>
                <w:vertAlign w:val="subscript"/>
              </w:rPr>
              <w:t>2</w:t>
            </w:r>
            <w:r w:rsidRPr="003315DC">
              <w:rPr>
                <w:sz w:val="20"/>
                <w:szCs w:val="20"/>
              </w:rPr>
              <w:t>P</w:t>
            </w:r>
          </w:p>
        </w:tc>
        <w:tc>
          <w:tcPr>
            <w:tcW w:w="944" w:type="dxa"/>
            <w:shd w:val="clear" w:color="auto" w:fill="auto"/>
          </w:tcPr>
          <w:p w14:paraId="25244D17" w14:textId="77777777" w:rsidR="00A90023" w:rsidRPr="003315DC" w:rsidRDefault="00A90023" w:rsidP="00A90023">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3315DC">
              <w:rPr>
                <w:sz w:val="20"/>
                <w:szCs w:val="20"/>
              </w:rPr>
              <w:t>420</w:t>
            </w:r>
          </w:p>
        </w:tc>
        <w:tc>
          <w:tcPr>
            <w:tcW w:w="1701" w:type="dxa"/>
            <w:shd w:val="clear" w:color="auto" w:fill="auto"/>
          </w:tcPr>
          <w:p w14:paraId="7CAE2C77" w14:textId="77777777" w:rsidR="00A90023" w:rsidRPr="003315DC" w:rsidRDefault="00A90023" w:rsidP="00A90023">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3315DC">
              <w:rPr>
                <w:sz w:val="20"/>
                <w:szCs w:val="20"/>
              </w:rPr>
              <w:t xml:space="preserve">0.5 </w:t>
            </w:r>
            <w:r w:rsidRPr="003315DC">
              <w:rPr>
                <w:bCs/>
                <w:color w:val="222222"/>
                <w:sz w:val="20"/>
                <w:szCs w:val="20"/>
              </w:rPr>
              <w:t>± 0.1</w:t>
            </w:r>
          </w:p>
        </w:tc>
        <w:tc>
          <w:tcPr>
            <w:tcW w:w="1134" w:type="dxa"/>
            <w:shd w:val="clear" w:color="auto" w:fill="FFFFFF" w:themeFill="background1"/>
          </w:tcPr>
          <w:p w14:paraId="6FF11CDA" w14:textId="404FC221" w:rsidR="00A90023" w:rsidRPr="00A90023" w:rsidRDefault="00A90023" w:rsidP="00A90023">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A90023">
              <w:rPr>
                <w:sz w:val="20"/>
                <w:szCs w:val="20"/>
                <w:highlight w:val="yellow"/>
              </w:rPr>
              <w:t xml:space="preserve">0.65 </w:t>
            </w:r>
            <w:r w:rsidRPr="00A90023">
              <w:rPr>
                <w:color w:val="222222"/>
                <w:sz w:val="20"/>
                <w:szCs w:val="18"/>
                <w:highlight w:val="yellow"/>
              </w:rPr>
              <w:t>± 0.06</w:t>
            </w:r>
          </w:p>
        </w:tc>
        <w:tc>
          <w:tcPr>
            <w:tcW w:w="1134" w:type="dxa"/>
            <w:shd w:val="clear" w:color="auto" w:fill="auto"/>
          </w:tcPr>
          <w:p w14:paraId="40ECCB84" w14:textId="3312B687" w:rsidR="00A90023" w:rsidRPr="003315DC" w:rsidRDefault="00A90023" w:rsidP="00A90023">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3315DC">
              <w:rPr>
                <w:sz w:val="20"/>
                <w:szCs w:val="20"/>
              </w:rPr>
              <w:t>4.0</w:t>
            </w:r>
          </w:p>
        </w:tc>
      </w:tr>
    </w:tbl>
    <w:p w14:paraId="1271DA53" w14:textId="77777777" w:rsidR="003315DC" w:rsidRDefault="003315DC" w:rsidP="00416D83">
      <w:pPr>
        <w:pStyle w:val="NoSpacing"/>
        <w:spacing w:line="360" w:lineRule="auto"/>
        <w:jc w:val="both"/>
      </w:pPr>
    </w:p>
    <w:p w14:paraId="3E760247" w14:textId="34158155" w:rsidR="00F34D64" w:rsidRDefault="00F34D64" w:rsidP="00032557">
      <w:pPr>
        <w:pStyle w:val="NoSpacing"/>
        <w:spacing w:line="360" w:lineRule="auto"/>
        <w:ind w:firstLine="720"/>
        <w:jc w:val="both"/>
      </w:pPr>
      <w:r>
        <w:t>A rotational</w:t>
      </w:r>
      <w:r w:rsidR="00155F86">
        <w:t xml:space="preserve"> hole-transfer correlation time, θ, was determined, which corresponds to the anisotropy loss due to lateral hole-hopping acr</w:t>
      </w:r>
      <w:r w:rsidR="00023EDC">
        <w:t xml:space="preserve">oss the spherical </w:t>
      </w:r>
      <w:r w:rsidR="001B3528">
        <w:t>nanocrystallite</w:t>
      </w:r>
      <w:r w:rsidR="00023EDC">
        <w:t xml:space="preserve">, </w:t>
      </w:r>
      <w:r w:rsidR="00155F86" w:rsidRPr="00155F86">
        <w:rPr>
          <w:b/>
        </w:rPr>
        <w:t xml:space="preserve">Equation </w:t>
      </w:r>
      <w:r w:rsidR="00023EDC">
        <w:rPr>
          <w:b/>
        </w:rPr>
        <w:t>10</w:t>
      </w:r>
      <w:r w:rsidR="00A560A6">
        <w:rPr>
          <w:bCs/>
        </w:rPr>
        <w:t xml:space="preserve">, </w:t>
      </w:r>
      <w:r w:rsidR="00A560A6" w:rsidRPr="00A560A6">
        <w:rPr>
          <w:bCs/>
          <w:highlight w:val="yellow"/>
        </w:rPr>
        <w:t>where r(t) is the anisotropy as a function of time an r</w:t>
      </w:r>
      <w:r w:rsidR="00A560A6" w:rsidRPr="00A560A6">
        <w:rPr>
          <w:bCs/>
          <w:highlight w:val="yellow"/>
          <w:vertAlign w:val="subscript"/>
        </w:rPr>
        <w:t>0</w:t>
      </w:r>
      <w:r w:rsidR="00A560A6" w:rsidRPr="00A560A6">
        <w:rPr>
          <w:bCs/>
          <w:highlight w:val="yellow"/>
        </w:rPr>
        <w:t xml:space="preserve"> is the initial anisotropy</w:t>
      </w:r>
      <w:r w:rsidR="00155F86">
        <w:t>.</w:t>
      </w:r>
      <w:r w:rsidR="00032557">
        <w:t xml:space="preserve"> </w:t>
      </w:r>
      <w:r w:rsidR="001B7322">
        <w:t>An</w:t>
      </w:r>
      <w:r w:rsidR="00E81FAA">
        <w:t xml:space="preserve"> averaged </w:t>
      </w:r>
      <w:r w:rsidR="001B7322">
        <w:t>hole-transfer correlation time, θ</w:t>
      </w:r>
      <w:r w:rsidR="001B7322">
        <w:rPr>
          <w:vertAlign w:val="subscript"/>
        </w:rPr>
        <w:t>h+</w:t>
      </w:r>
      <w:r w:rsidR="001B7322">
        <w:t xml:space="preserve">, was </w:t>
      </w:r>
      <w:r w:rsidR="00023EDC">
        <w:t>again taken</w:t>
      </w:r>
      <w:r w:rsidR="001B7322">
        <w:t xml:space="preserve"> as the first moment of the underlying Lévy distribution</w:t>
      </w:r>
      <w:r w:rsidR="00023EDC">
        <w:t xml:space="preserve">, </w:t>
      </w:r>
      <w:r w:rsidR="001B7322" w:rsidRPr="00BD11F0">
        <w:rPr>
          <w:b/>
          <w:highlight w:val="yellow"/>
        </w:rPr>
        <w:t xml:space="preserve">Equation </w:t>
      </w:r>
      <w:r w:rsidR="00023EDC" w:rsidRPr="00BD11F0">
        <w:rPr>
          <w:b/>
          <w:highlight w:val="yellow"/>
        </w:rPr>
        <w:t>1</w:t>
      </w:r>
      <w:r w:rsidR="00BD11F0" w:rsidRPr="00BD11F0">
        <w:rPr>
          <w:b/>
          <w:highlight w:val="yellow"/>
        </w:rPr>
        <w:t>1</w:t>
      </w:r>
      <w:r w:rsidR="001B7322">
        <w:t>.</w:t>
      </w:r>
      <w:r w:rsidR="00F7464B">
        <w:t xml:space="preserve"> The results are summarized in </w:t>
      </w:r>
      <w:r w:rsidR="00F7464B" w:rsidRPr="00F7464B">
        <w:rPr>
          <w:b/>
        </w:rPr>
        <w:t>Table 2</w:t>
      </w:r>
      <w:r w:rsidR="006D5F7A">
        <w:rPr>
          <w:b/>
        </w:rPr>
        <w:t xml:space="preserve"> </w:t>
      </w:r>
      <w:r w:rsidR="006D5F7A">
        <w:t xml:space="preserve">with the overlaid fits in </w:t>
      </w:r>
      <w:r w:rsidR="006D5F7A" w:rsidRPr="006D5F7A">
        <w:rPr>
          <w:b/>
        </w:rPr>
        <w:t>Figure 6</w:t>
      </w:r>
      <w:r w:rsidR="00F7464B">
        <w:t>.</w:t>
      </w:r>
    </w:p>
    <w:p w14:paraId="007904CA" w14:textId="11A6152B" w:rsidR="005458B6" w:rsidRPr="00520E97" w:rsidRDefault="00730AEC" w:rsidP="00416D83">
      <w:pPr>
        <w:pStyle w:val="NoSpacing"/>
        <w:spacing w:line="360" w:lineRule="auto"/>
        <w:jc w:val="both"/>
        <w:rPr>
          <w:rFonts w:eastAsiaTheme="minorEastAsia"/>
        </w:rPr>
      </w:pPr>
      <m:oMathPara>
        <m:oMath>
          <m:r>
            <w:rPr>
              <w:rFonts w:ascii="Cambria Math" w:hAnsi="Cambria Math"/>
            </w:rPr>
            <m:t>r</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0</m:t>
              </m:r>
            </m:sub>
          </m:sSub>
          <m:sSup>
            <m:sSupPr>
              <m:ctrlPr>
                <w:rPr>
                  <w:rFonts w:ascii="Cambria Math" w:hAnsi="Cambria Math"/>
                </w:rPr>
              </m:ctrlPr>
            </m:sSupPr>
            <m:e>
              <m:r>
                <m:rPr>
                  <m:sty m:val="p"/>
                </m:rPr>
                <w:rPr>
                  <w:rFonts w:ascii="Cambria Math" w:hAnsi="Cambria Math"/>
                </w:rPr>
                <m:t>e</m:t>
              </m:r>
            </m:e>
            <m:sup>
              <m:r>
                <w:rPr>
                  <w:rFonts w:ascii="Cambria Math" w:hAnsi="Cambria Math"/>
                </w:rPr>
                <m:t>-</m:t>
              </m:r>
              <m:sSup>
                <m:sSupPr>
                  <m:ctrlPr>
                    <w:rPr>
                      <w:rFonts w:ascii="Cambria Math" w:hAnsi="Cambria Math"/>
                      <w:i/>
                    </w:rPr>
                  </m:ctrlPr>
                </m:sSupPr>
                <m:e>
                  <m:r>
                    <w:rPr>
                      <w:rFonts w:ascii="Cambria Math" w:hAnsi="Cambria Math"/>
                    </w:rPr>
                    <m:t>(</m:t>
                  </m:r>
                  <m:f>
                    <m:fPr>
                      <m:ctrlPr>
                        <w:rPr>
                          <w:rFonts w:ascii="Cambria Math" w:hAnsi="Cambria Math"/>
                          <w:i/>
                        </w:rPr>
                      </m:ctrlPr>
                    </m:fPr>
                    <m:num>
                      <m:r>
                        <w:rPr>
                          <w:rFonts w:ascii="Cambria Math" w:hAnsi="Cambria Math"/>
                        </w:rPr>
                        <m:t>t</m:t>
                      </m:r>
                    </m:num>
                    <m:den>
                      <m:r>
                        <w:rPr>
                          <w:rFonts w:ascii="Cambria Math" w:hAnsi="Cambria Math"/>
                        </w:rPr>
                        <m:t>θ</m:t>
                      </m:r>
                    </m:den>
                  </m:f>
                  <m:r>
                    <w:rPr>
                      <w:rFonts w:ascii="Cambria Math" w:hAnsi="Cambria Math"/>
                    </w:rPr>
                    <m:t>)</m:t>
                  </m:r>
                </m:e>
                <m:sup>
                  <m:sSub>
                    <m:sSubPr>
                      <m:ctrlPr>
                        <w:rPr>
                          <w:rFonts w:ascii="Cambria Math" w:hAnsi="Cambria Math"/>
                          <w:i/>
                        </w:rPr>
                      </m:ctrlPr>
                    </m:sSubPr>
                    <m:e>
                      <m:r>
                        <w:rPr>
                          <w:rFonts w:ascii="Cambria Math" w:hAnsi="Cambria Math"/>
                        </w:rPr>
                        <m:t>β</m:t>
                      </m:r>
                    </m:e>
                    <m:sub>
                      <m:r>
                        <m:rPr>
                          <m:sty m:val="p"/>
                        </m:rPr>
                        <w:rPr>
                          <w:rFonts w:ascii="Cambria Math" w:hAnsi="Cambria Math"/>
                        </w:rPr>
                        <m:t>KWW</m:t>
                      </m:r>
                    </m:sub>
                  </m:sSub>
                </m:sup>
              </m:sSup>
            </m:sup>
          </m:sSup>
          <m:r>
            <w:rPr>
              <w:rFonts w:ascii="Cambria Math" w:eastAsiaTheme="minorEastAsia" w:hAnsi="Cambria Math"/>
            </w:rPr>
            <m:t xml:space="preserve">               </m:t>
          </m:r>
          <m:r>
            <m:rPr>
              <m:sty m:val="p"/>
            </m:rPr>
            <w:rPr>
              <w:rFonts w:ascii="Cambria Math" w:eastAsiaTheme="minorEastAsia" w:hAnsi="Cambria Math"/>
            </w:rPr>
            <m:t>(10)</m:t>
          </m:r>
        </m:oMath>
      </m:oMathPara>
    </w:p>
    <w:p w14:paraId="0D25E917" w14:textId="77777777" w:rsidR="00520E97" w:rsidRPr="00520E97" w:rsidRDefault="00520E97" w:rsidP="00416D83">
      <w:pPr>
        <w:pStyle w:val="NoSpacing"/>
        <w:spacing w:line="360" w:lineRule="auto"/>
        <w:jc w:val="both"/>
        <w:rPr>
          <w:rFonts w:eastAsiaTheme="minorEastAsia"/>
        </w:rPr>
      </w:pPr>
    </w:p>
    <w:p w14:paraId="41191966" w14:textId="108AA1EC" w:rsidR="00B6786B" w:rsidRDefault="007A0DAF" w:rsidP="00416D83">
      <w:pPr>
        <w:pStyle w:val="NoSpacing"/>
        <w:spacing w:line="360" w:lineRule="auto"/>
        <w:jc w:val="both"/>
        <w:rPr>
          <w:b/>
        </w:rPr>
      </w:pPr>
      <m:oMathPara>
        <m:oMath>
          <m:sSub>
            <m:sSubPr>
              <m:ctrlPr>
                <w:rPr>
                  <w:rFonts w:ascii="Cambria Math" w:hAnsi="Cambria Math"/>
                  <w:i/>
                </w:rPr>
              </m:ctrlPr>
            </m:sSubPr>
            <m:e>
              <m:r>
                <w:rPr>
                  <w:rFonts w:ascii="Cambria Math" w:hAnsi="Cambria Math"/>
                </w:rPr>
                <m:t>θ</m:t>
              </m:r>
            </m:e>
            <m:sub>
              <m:r>
                <m:rPr>
                  <m:sty m:val="p"/>
                </m:rPr>
                <w:rPr>
                  <w:rFonts w:ascii="Cambria Math" w:hAnsi="Cambria Math"/>
                </w:rPr>
                <m:t>h+</m:t>
              </m:r>
            </m:sub>
          </m:sSub>
          <m:r>
            <w:rPr>
              <w:rFonts w:ascii="Cambria Math" w:hAnsi="Cambria Math"/>
            </w:rPr>
            <m:t>=</m:t>
          </m:r>
          <m:f>
            <m:fPr>
              <m:ctrlPr>
                <w:rPr>
                  <w:rFonts w:ascii="Cambria Math" w:hAnsi="Cambria Math"/>
                  <w:i/>
                </w:rPr>
              </m:ctrlPr>
            </m:fPr>
            <m:num>
              <m:r>
                <w:rPr>
                  <w:rFonts w:ascii="Cambria Math" w:hAnsi="Cambria Math"/>
                </w:rPr>
                <m:t>θ</m:t>
              </m:r>
            </m:num>
            <m:den>
              <m:sSub>
                <m:sSubPr>
                  <m:ctrlPr>
                    <w:rPr>
                      <w:rFonts w:ascii="Cambria Math" w:hAnsi="Cambria Math"/>
                      <w:i/>
                    </w:rPr>
                  </m:ctrlPr>
                </m:sSubPr>
                <m:e>
                  <m:r>
                    <w:rPr>
                      <w:rFonts w:ascii="Cambria Math" w:hAnsi="Cambria Math"/>
                    </w:rPr>
                    <m:t>β</m:t>
                  </m:r>
                </m:e>
                <m:sub>
                  <m:r>
                    <m:rPr>
                      <m:sty m:val="p"/>
                    </m:rPr>
                    <w:rPr>
                      <w:rFonts w:ascii="Cambria Math" w:hAnsi="Cambria Math"/>
                    </w:rPr>
                    <m:t>KWW</m:t>
                  </m:r>
                </m:sub>
              </m:sSub>
            </m:den>
          </m:f>
          <m:r>
            <m:rPr>
              <m:sty m:val="p"/>
            </m:rPr>
            <w:rPr>
              <w:rFonts w:ascii="Cambria Math" w:hAnsi="Cambria Math"/>
            </w:rPr>
            <m:t>Γ</m:t>
          </m:r>
          <m:d>
            <m:dPr>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β</m:t>
                      </m:r>
                    </m:e>
                    <m:sub>
                      <m:r>
                        <m:rPr>
                          <m:sty m:val="p"/>
                        </m:rPr>
                        <w:rPr>
                          <w:rFonts w:ascii="Cambria Math" w:hAnsi="Cambria Math"/>
                        </w:rPr>
                        <m:t>KWW</m:t>
                      </m:r>
                    </m:sub>
                  </m:sSub>
                </m:den>
              </m:f>
            </m:e>
          </m:d>
          <m:r>
            <w:rPr>
              <w:rFonts w:ascii="Cambria Math" w:hAnsi="Cambria Math"/>
            </w:rPr>
            <m:t xml:space="preserve">       </m:t>
          </m:r>
          <m:r>
            <m:rPr>
              <m:sty m:val="p"/>
            </m:rPr>
            <w:rPr>
              <w:rFonts w:ascii="Cambria Math" w:hAnsi="Cambria Math"/>
            </w:rPr>
            <m:t>(11)</m:t>
          </m:r>
        </m:oMath>
      </m:oMathPara>
    </w:p>
    <w:p w14:paraId="0854993C" w14:textId="77777777" w:rsidR="006D5F7A" w:rsidRDefault="006D5F7A" w:rsidP="00416D83">
      <w:pPr>
        <w:pStyle w:val="NoSpacing"/>
        <w:spacing w:line="360" w:lineRule="auto"/>
        <w:jc w:val="both"/>
        <w:rPr>
          <w:b/>
        </w:rPr>
      </w:pPr>
    </w:p>
    <w:p w14:paraId="6B6EAC73" w14:textId="6CEC9125" w:rsidR="00813BC4" w:rsidRDefault="00813BC4" w:rsidP="00416D83">
      <w:pPr>
        <w:pStyle w:val="NoSpacing"/>
        <w:spacing w:line="360" w:lineRule="auto"/>
        <w:jc w:val="both"/>
        <w:rPr>
          <w:b/>
        </w:rPr>
      </w:pPr>
      <w:r>
        <w:rPr>
          <w:b/>
          <w:noProof/>
        </w:rPr>
        <w:drawing>
          <wp:inline distT="0" distB="0" distL="0" distR="0" wp14:anchorId="0A1BB17B" wp14:editId="7F2E2FC9">
            <wp:extent cx="5760720" cy="160934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87" t="6105" r="3907"/>
                    <a:stretch/>
                  </pic:blipFill>
                  <pic:spPr bwMode="auto">
                    <a:xfrm>
                      <a:off x="0" y="0"/>
                      <a:ext cx="5760720" cy="1609344"/>
                    </a:xfrm>
                    <a:prstGeom prst="rect">
                      <a:avLst/>
                    </a:prstGeom>
                    <a:noFill/>
                    <a:ln>
                      <a:noFill/>
                    </a:ln>
                    <a:extLst>
                      <a:ext uri="{53640926-AAD7-44D8-BBD7-CCE9431645EC}">
                        <a14:shadowObscured xmlns:a14="http://schemas.microsoft.com/office/drawing/2010/main"/>
                      </a:ext>
                    </a:extLst>
                  </pic:spPr>
                </pic:pic>
              </a:graphicData>
            </a:graphic>
          </wp:inline>
        </w:drawing>
      </w:r>
    </w:p>
    <w:p w14:paraId="490B12B6" w14:textId="1DD45812" w:rsidR="004A4F1F" w:rsidRPr="004A4F1F" w:rsidRDefault="004A4F1F" w:rsidP="00C51723">
      <w:pPr>
        <w:pStyle w:val="NoSpacing"/>
        <w:jc w:val="both"/>
      </w:pPr>
      <w:r w:rsidRPr="004A4F1F">
        <w:rPr>
          <w:b/>
        </w:rPr>
        <w:t xml:space="preserve">Figure </w:t>
      </w:r>
      <w:r w:rsidR="0059132F">
        <w:rPr>
          <w:b/>
        </w:rPr>
        <w:t>6</w:t>
      </w:r>
      <w:r w:rsidRPr="004A4F1F">
        <w:rPr>
          <w:b/>
        </w:rPr>
        <w:t>.</w:t>
      </w:r>
      <w:r>
        <w:rPr>
          <w:b/>
        </w:rPr>
        <w:t xml:space="preserve"> </w:t>
      </w:r>
      <w:r w:rsidR="003E7B57">
        <w:t>Calculated anisotropy traces from KWW fits</w:t>
      </w:r>
      <w:r w:rsidR="003673B1">
        <w:t xml:space="preserve"> (blue)</w:t>
      </w:r>
      <w:r w:rsidR="003E7B57">
        <w:t xml:space="preserve"> </w:t>
      </w:r>
      <w:r w:rsidR="003673B1">
        <w:t xml:space="preserve">with fits to Equation </w:t>
      </w:r>
      <w:r w:rsidR="00436A84">
        <w:t>10</w:t>
      </w:r>
      <w:r w:rsidR="003673B1">
        <w:t xml:space="preserve"> overlaid (red) for </w:t>
      </w:r>
      <w:r w:rsidR="003673B1" w:rsidRPr="003673B1">
        <w:rPr>
          <w:b/>
        </w:rPr>
        <w:t>(a)</w:t>
      </w:r>
      <w:r w:rsidR="00C7387E">
        <w:rPr>
          <w:b/>
        </w:rPr>
        <w:t xml:space="preserve"> </w:t>
      </w:r>
      <w:r w:rsidR="00C7387E" w:rsidRPr="00C7387E">
        <w:t>TiO</w:t>
      </w:r>
      <w:r w:rsidR="00C7387E" w:rsidRPr="00C7387E">
        <w:rPr>
          <w:vertAlign w:val="subscript"/>
        </w:rPr>
        <w:t>2</w:t>
      </w:r>
      <w:r w:rsidR="00C7387E" w:rsidRPr="00C7387E">
        <w:t>|</w:t>
      </w:r>
      <w:r w:rsidR="003673B1">
        <w:t xml:space="preserve">RuP, </w:t>
      </w:r>
      <w:r w:rsidR="003673B1" w:rsidRPr="003673B1">
        <w:rPr>
          <w:b/>
        </w:rPr>
        <w:t>(b)</w:t>
      </w:r>
      <w:r w:rsidR="003673B1">
        <w:t xml:space="preserve"> </w:t>
      </w:r>
      <w:r w:rsidR="00C7387E" w:rsidRPr="00C7387E">
        <w:t>TiO</w:t>
      </w:r>
      <w:r w:rsidR="00C7387E" w:rsidRPr="00C7387E">
        <w:rPr>
          <w:vertAlign w:val="subscript"/>
        </w:rPr>
        <w:t>2</w:t>
      </w:r>
      <w:r w:rsidR="00C7387E" w:rsidRPr="00C7387E">
        <w:t>|</w:t>
      </w:r>
      <w:r w:rsidR="003673B1">
        <w:t>Ru(OMe)</w:t>
      </w:r>
      <w:r w:rsidR="003673B1">
        <w:rPr>
          <w:vertAlign w:val="subscript"/>
        </w:rPr>
        <w:t>2</w:t>
      </w:r>
      <w:r w:rsidR="003673B1">
        <w:t xml:space="preserve">P, and </w:t>
      </w:r>
      <w:r w:rsidR="003673B1" w:rsidRPr="003673B1">
        <w:rPr>
          <w:b/>
        </w:rPr>
        <w:t>(c)</w:t>
      </w:r>
      <w:r w:rsidR="003673B1">
        <w:t xml:space="preserve"> </w:t>
      </w:r>
      <w:r w:rsidR="00C7387E" w:rsidRPr="00C7387E">
        <w:t>TiO</w:t>
      </w:r>
      <w:r w:rsidR="00C7387E" w:rsidRPr="00C7387E">
        <w:rPr>
          <w:vertAlign w:val="subscript"/>
        </w:rPr>
        <w:t>2</w:t>
      </w:r>
      <w:r w:rsidR="00C7387E" w:rsidRPr="00C7387E">
        <w:t>|</w:t>
      </w:r>
      <w:r w:rsidR="003673B1">
        <w:t>Ru(dtb)</w:t>
      </w:r>
      <w:r w:rsidR="003673B1">
        <w:rPr>
          <w:vertAlign w:val="subscript"/>
        </w:rPr>
        <w:t>2</w:t>
      </w:r>
      <w:r w:rsidR="003673B1">
        <w:t>P.</w:t>
      </w:r>
      <w:r w:rsidR="003E7B57">
        <w:t xml:space="preserve"> </w:t>
      </w:r>
    </w:p>
    <w:p w14:paraId="647A633B" w14:textId="77777777" w:rsidR="00D20A20" w:rsidRDefault="00D20A20" w:rsidP="00416D83">
      <w:pPr>
        <w:pStyle w:val="NoSpacing"/>
        <w:spacing w:line="360" w:lineRule="auto"/>
        <w:jc w:val="both"/>
        <w:rPr>
          <w:b/>
        </w:rPr>
      </w:pPr>
    </w:p>
    <w:p w14:paraId="34D88A63" w14:textId="3F0437C4" w:rsidR="00E03469" w:rsidRDefault="001352D8" w:rsidP="00416D83">
      <w:pPr>
        <w:pStyle w:val="NoSpacing"/>
        <w:spacing w:line="360" w:lineRule="auto"/>
        <w:jc w:val="both"/>
      </w:pPr>
      <w:r>
        <w:rPr>
          <w:b/>
        </w:rPr>
        <w:t>DISCUSSION.</w:t>
      </w:r>
    </w:p>
    <w:p w14:paraId="2E402483" w14:textId="28934C24" w:rsidR="004070A1" w:rsidRDefault="004070A1" w:rsidP="004070A1">
      <w:pPr>
        <w:pStyle w:val="NoSpacing"/>
        <w:spacing w:line="360" w:lineRule="auto"/>
        <w:ind w:firstLine="720"/>
        <w:jc w:val="both"/>
      </w:pPr>
      <w:r>
        <w:t>Lateral hole hopping, or equivalently intermolecular self-exchange electron transfer, across nanocrystalline oxide surfaces has been shown to be of value to some solar energy conversion schemes and detrimental to others. Kinetic control of hole hopping has been realized to some extent through the introduction of bulky substituents on the redox active molecules,</w:t>
      </w:r>
      <w:r w:rsidR="003377A3">
        <w:fldChar w:fldCharType="begin" w:fldLock="1"/>
      </w:r>
      <w:r w:rsidR="005F5C5F">
        <w:instrText>ADDIN CSL_CITATION {"citationItems":[{"id":"ITEM-1","itemData":{"DOI":"10.1021/acs.jpcc.8b05281","ISSN":"19327455","author":[{"dropping-particle":"","family":"Motley","given":"Tyler C.","non-dropping-particle":"","parse-names":false,"suffix":""},{"dropping-particle":"","family":"Brady","given":"Matthew D.","non-dropping-particle":"","parse-names":false,"suffix":""},{"dropping-particle":"","family":"Meyer","given":"Gerald J.","non-dropping-particle":"","parse-names":false,"suffix":""}],"container-title":"Journal of Physical Chemistry C","id":"ITEM-1","issue":"34","issued":{"date-parts":[["2018"]]},"page":"19385-19394","title":"Influence of 4 and 4′ substituents on RuIII/II bipyridyl self-exchange electron transfer across nanocrystalline TiO2 Surfaces","type":"article-journal","volume":"122"},"uris":["http://www.mendeley.com/documents/?uuid=695427e8-9304-4149-afed-7ece9d707228"]}],"mendeley":{"formattedCitation":"&lt;sup&gt;46&lt;/sup&gt;","plainTextFormattedCitation":"46","previouslyFormattedCitation":"&lt;sup&gt;46&lt;/sup&gt;"},"properties":{"noteIndex":0},"schema":"https://github.com/citation-style-language/schema/raw/master/csl-citation.json"}</w:instrText>
      </w:r>
      <w:r w:rsidR="003377A3">
        <w:fldChar w:fldCharType="separate"/>
      </w:r>
      <w:r w:rsidR="005F5C5F" w:rsidRPr="005F5C5F">
        <w:rPr>
          <w:noProof/>
          <w:vertAlign w:val="superscript"/>
        </w:rPr>
        <w:t>46</w:t>
      </w:r>
      <w:r w:rsidR="003377A3">
        <w:fldChar w:fldCharType="end"/>
      </w:r>
      <w:r>
        <w:t xml:space="preserve"> but greater control is needed</w:t>
      </w:r>
      <w:r w:rsidR="00F54AB3">
        <w:t>.</w:t>
      </w:r>
      <w:r w:rsidR="00BE415D">
        <w:t xml:space="preserve"> In a recent </w:t>
      </w:r>
      <w:r w:rsidR="00850475">
        <w:t>communication</w:t>
      </w:r>
      <w:r w:rsidR="00BE415D">
        <w:t xml:space="preserve"> the apparent diffusion coefficient for hole hopping was found to decrease </w:t>
      </w:r>
      <w:r w:rsidR="00EF6292">
        <w:t>by a factor of 40 when an Al</w:t>
      </w:r>
      <w:r w:rsidR="00EF6292">
        <w:rPr>
          <w:vertAlign w:val="subscript"/>
        </w:rPr>
        <w:t>2</w:t>
      </w:r>
      <w:r w:rsidR="00EF6292">
        <w:t>O</w:t>
      </w:r>
      <w:r w:rsidR="00EF6292">
        <w:rPr>
          <w:vertAlign w:val="subscript"/>
        </w:rPr>
        <w:t>3</w:t>
      </w:r>
      <w:r w:rsidR="00EF6292">
        <w:t xml:space="preserve"> overlayer </w:t>
      </w:r>
      <w:r w:rsidR="00850475">
        <w:t>was</w:t>
      </w:r>
      <w:r w:rsidR="00EF6292">
        <w:t xml:space="preserve"> deposited.</w:t>
      </w:r>
      <w:r w:rsidR="00EF6292">
        <w:fldChar w:fldCharType="begin" w:fldLock="1"/>
      </w:r>
      <w:r w:rsidR="00D23E49">
        <w:instrText>ADDIN CSL_CITATION {"citationItems":[{"id":"ITEM-1","itemData":{"DOI":"10.1021/cm303172w","ISBN":"0897-4756","ISSN":"08974756","abstract":"The stabilization of metal-oxide-bound chromophores and catalysts is important for the lifetime and ultimately the commercial viability of dye-sensitized solar cells (DSSCs) and photoelectrosynthesis cells (DSPECs).(1) This is particularly true in water oxidation DSPECs, where the surface-bound chromphores are known to be unstable under aqueous conditions particularly at elevated pHs.","author":[{"dropping-particle":"","family":"Hanson","given":"Kenneth","non-dropping-particle":"","parse-names":false,"suffix":""},{"dropping-particle":"","family":"Losego","given":"Mark D.","non-dropping-particle":"","parse-names":false,"suffix":""},{"dropping-particle":"","family":"Kalanyan","given":"Bercì","non-dropping-particle":"","parse-names":false,"suffix":""},{"dropping-particle":"","family":"Ashford","given":"Dennis L.","non-dropping-particle":"","parse-names":false,"suffix":""},{"dropping-particle":"","family":"Parsons","given":"Gregory N.","non-dropping-particle":"","parse-names":false,"suffix":""},{"dropping-particle":"","family":"Meyer","given":"Thomas J.","non-dropping-particle":"","parse-names":false,"suffix":""}],"container-title":"Chemistry of Materials","id":"ITEM-1","issue":"1","issued":{"date-parts":[["2013"]]},"page":"3-5","title":"Stabilization of [Ru(bpy)2(4,4′-(PO3H 2)bpy)]2+ on mesoporous TiO2 with atomic layer deposition of Al2O3","type":"article-journal","volume":"25"},"uris":["http://www.mendeley.com/documents/?uuid=4a85fbe7-62bb-4cd0-901d-33b33a650ba1"]}],"mendeley":{"formattedCitation":"&lt;sup&gt;38&lt;/sup&gt;","plainTextFormattedCitation":"38","previouslyFormattedCitation":"&lt;sup&gt;38&lt;/sup&gt;"},"properties":{"noteIndex":0},"schema":"https://github.com/citation-style-language/schema/raw/master/csl-citation.json"}</w:instrText>
      </w:r>
      <w:r w:rsidR="00EF6292">
        <w:fldChar w:fldCharType="separate"/>
      </w:r>
      <w:r w:rsidR="00D23E49" w:rsidRPr="00D23E49">
        <w:rPr>
          <w:noProof/>
          <w:vertAlign w:val="superscript"/>
        </w:rPr>
        <w:t>38</w:t>
      </w:r>
      <w:r w:rsidR="00EF6292">
        <w:fldChar w:fldCharType="end"/>
      </w:r>
      <w:r w:rsidR="00EF6292">
        <w:t xml:space="preserve"> The authors suggested that </w:t>
      </w:r>
      <w:r w:rsidR="00850475">
        <w:t>the slower hole hopping</w:t>
      </w:r>
      <w:r w:rsidR="00EF6292">
        <w:t xml:space="preserve"> resulted from decreased electronic coupling between the chromophores.</w:t>
      </w:r>
      <w:r w:rsidR="00F54AB3">
        <w:t xml:space="preserve"> </w:t>
      </w:r>
      <w:r>
        <w:t>In this report it was found that an</w:t>
      </w:r>
      <w:r w:rsidR="00FD546D">
        <w:t xml:space="preserve"> ~10</w:t>
      </w:r>
      <w:r w:rsidR="00C05C56">
        <w:t xml:space="preserve"> Å</w:t>
      </w:r>
      <w:r>
        <w:t xml:space="preserve"> </w:t>
      </w:r>
      <w:r w:rsidR="00850475">
        <w:t xml:space="preserve">thick </w:t>
      </w:r>
      <w:r>
        <w:t>Al</w:t>
      </w:r>
      <w:r w:rsidRPr="00B10054">
        <w:rPr>
          <w:vertAlign w:val="subscript"/>
        </w:rPr>
        <w:t>2</w:t>
      </w:r>
      <w:r>
        <w:t>O</w:t>
      </w:r>
      <w:r w:rsidRPr="00B10054">
        <w:rPr>
          <w:vertAlign w:val="subscript"/>
        </w:rPr>
        <w:t>3</w:t>
      </w:r>
      <w:r>
        <w:t xml:space="preserve"> overlayer</w:t>
      </w:r>
      <w:r w:rsidR="00850475">
        <w:t xml:space="preserve"> </w:t>
      </w:r>
      <w:r>
        <w:t xml:space="preserve">dramatically impacts lateral hole </w:t>
      </w:r>
      <w:r>
        <w:lastRenderedPageBreak/>
        <w:t>hopping with a much smaller impact on the excited</w:t>
      </w:r>
      <w:r w:rsidR="00D31243">
        <w:t>-</w:t>
      </w:r>
      <w:r>
        <w:t>state injection yield. Below we discuss the observations that led to these conclusions, first with dye</w:t>
      </w:r>
      <w:r w:rsidR="00EF6292">
        <w:t>-</w:t>
      </w:r>
      <w:r>
        <w:t>sensitized TiO</w:t>
      </w:r>
      <w:r w:rsidRPr="001442F6">
        <w:rPr>
          <w:vertAlign w:val="subscript"/>
        </w:rPr>
        <w:t>2</w:t>
      </w:r>
      <w:r>
        <w:t xml:space="preserve"> and then with the Al</w:t>
      </w:r>
      <w:r w:rsidRPr="001442F6">
        <w:rPr>
          <w:vertAlign w:val="subscript"/>
        </w:rPr>
        <w:t>2</w:t>
      </w:r>
      <w:r>
        <w:t>O</w:t>
      </w:r>
      <w:r w:rsidRPr="001442F6">
        <w:rPr>
          <w:vertAlign w:val="subscript"/>
        </w:rPr>
        <w:t>3</w:t>
      </w:r>
      <w:r>
        <w:t xml:space="preserve"> overlayer. The discussion concludes with a description of why the overlayer inhibits hole hopping and some speculation as to how it might be exploited for practical energy applications. </w:t>
      </w:r>
    </w:p>
    <w:p w14:paraId="6DC57F3E" w14:textId="29B62974" w:rsidR="004070A1" w:rsidRPr="00173D82" w:rsidRDefault="004070A1" w:rsidP="004070A1">
      <w:pPr>
        <w:pStyle w:val="NoSpacing"/>
        <w:spacing w:line="360" w:lineRule="auto"/>
        <w:ind w:firstLine="720"/>
        <w:jc w:val="both"/>
      </w:pPr>
      <w:r>
        <w:rPr>
          <w:i/>
        </w:rPr>
        <w:t>Dye-Sensitized TiO</w:t>
      </w:r>
      <w:r w:rsidRPr="001442F6">
        <w:rPr>
          <w:i/>
          <w:vertAlign w:val="subscript"/>
        </w:rPr>
        <w:t>2</w:t>
      </w:r>
      <w:r>
        <w:rPr>
          <w:i/>
        </w:rPr>
        <w:t xml:space="preserve">. </w:t>
      </w:r>
      <w:r>
        <w:t>The sensitized TiO</w:t>
      </w:r>
      <w:r w:rsidRPr="00153FCD">
        <w:rPr>
          <w:vertAlign w:val="subscript"/>
        </w:rPr>
        <w:t>2</w:t>
      </w:r>
      <w:r>
        <w:t xml:space="preserve"> thin films investigated were typical of those reported in the vast dye-sensitized solar cell literature</w:t>
      </w:r>
      <w:r w:rsidR="00F54AB3">
        <w:t>.</w:t>
      </w:r>
      <w:r w:rsidR="00F17250">
        <w:fldChar w:fldCharType="begin" w:fldLock="1"/>
      </w:r>
      <w:r w:rsidR="00B436A2">
        <w:instrText>ADDIN CSL_CITATION {"citationItems":[{"id":"ITEM-1","itemData":{"DOI":"10.1021/ic0508371","ISSN":"00201669","abstract":"The quality of human life depends to a large degree on the availability of energy. This is threatened unless renewable energy resources can be developed in the near future. Chemistry is expected to make important contributions to identify environmentally friendly solutions of the energy problem. One attractive strategy discussed in this Forum Article is the development of solar cells that are based on the sensitization of mesoscopic oxide films by dyes or quantum dots. These systems have already reached conversion efficiencies exceeding 11%. The underlying fundamental processes of light harvesting by the sensitizer, heterogeneous electron transfer from the electronically excited chromophore into the conduction band of the semiconductor oxide, and percolative migration of the injected electrons through the mesoporous film to the collector electrode will be described below in detail. A number of research topics will also be discussed, and the examples for the first outdoor application of such solar cells will be provided.","author":[{"dropping-particle":"","family":"Grätzel","given":"Michael","non-dropping-particle":"","parse-names":false,"suffix":""}],"container-title":"Inorganic Chemistry","id":"ITEM-1","issue":"20","issued":{"date-parts":[["2005"]]},"page":"6841-6851","title":"Solar energy conversion by dye-sensitized photovoltaic cells","type":"article-journal","volume":"44"},"uris":["http://www.mendeley.com/documents/?uuid=ae2b09a7-67d9-4bab-946a-19359d8f8b65"]}],"mendeley":{"formattedCitation":"&lt;sup&gt;56&lt;/sup&gt;","plainTextFormattedCitation":"56","previouslyFormattedCitation":"&lt;sup&gt;56&lt;/sup&gt;"},"properties":{"noteIndex":0},"schema":"https://github.com/citation-style-language/schema/raw/master/csl-citation.json"}</w:instrText>
      </w:r>
      <w:r w:rsidR="00F17250">
        <w:fldChar w:fldCharType="separate"/>
      </w:r>
      <w:r w:rsidR="00B436A2" w:rsidRPr="00B436A2">
        <w:rPr>
          <w:noProof/>
          <w:vertAlign w:val="superscript"/>
        </w:rPr>
        <w:t>56</w:t>
      </w:r>
      <w:r w:rsidR="00F17250">
        <w:fldChar w:fldCharType="end"/>
      </w:r>
      <w:r w:rsidR="00F54AB3">
        <w:t xml:space="preserve"> </w:t>
      </w:r>
      <w:r>
        <w:t>Saturation surface coverages of ~ 1 x 10</w:t>
      </w:r>
      <w:r w:rsidRPr="00153FCD">
        <w:rPr>
          <w:vertAlign w:val="superscript"/>
        </w:rPr>
        <w:t>-7</w:t>
      </w:r>
      <w:r>
        <w:rPr>
          <w:vertAlign w:val="superscript"/>
        </w:rPr>
        <w:t xml:space="preserve"> </w:t>
      </w:r>
      <w:r>
        <w:t>mol/cm</w:t>
      </w:r>
      <w:r w:rsidRPr="00153FCD">
        <w:rPr>
          <w:vertAlign w:val="superscript"/>
        </w:rPr>
        <w:t>2</w:t>
      </w:r>
      <w:r>
        <w:t xml:space="preserve"> were measured, values that many interpret as monolayer coverage.</w:t>
      </w:r>
      <w:r w:rsidR="003377A3">
        <w:fldChar w:fldCharType="begin" w:fldLock="1"/>
      </w:r>
      <w:r w:rsidR="00B436A2">
        <w:instrText>ADDIN CSL_CITATION {"citationItems":[{"id":"ITEM-1","itemData":{"DOI":"10.1021/jp304088d","ISSN":"19327447","abstract":"The performance of dye-sensitized solar and photo-electrochemical cells is strongly dependent on the light absorption and electron transfer events at the semiconductor-small molecule interface. These processes as well as photo/electrochemical stability are dictated not only by the properties of the chromophore and metal oxide but also by the structure of the dye molecule, the number of surface binding groups, and their mode of binding to the surface. In this article, we report the photophysical and electrochemical properties of a series of six phosphonate-derivatized [Ru(bpy)(3)](2+) complexes in aqueous solution and bound to ZrO2 and TiO2 surfaces. A decrease in injection yield and cross surface electron-transfer rate with increased number of diphosphonated ligands was observed. Additional phosphonate groups for surface binding did impart increased electrochemical and photostability. All complexes exhibit similar back-electron-transfer kinetics, suggesting an electron-transfer process rate-limited by electron transport through the interior of TiO2 to the interface. With all results considered, the ruthenium polypyridyl derivatives with one or two 4,4'-(PO3H2)(2)bpy ligands provide the best balance of electron injection efficiency and stability for application in solar energy conversion devices","author":[{"dropping-particle":"","family":"Hanson","given":"Kenneth","non-dropping-particle":"","parse-names":false,"suffix":""},{"dropping-particle":"","family":"Brennaman","given":"M. Kyle","non-dropping-particle":"","parse-names":false,"suffix":""},{"dropping-particle":"","family":"Ito","given":"Akitaka","non-dropping-particle":"","parse-names":false,"suffix":""},{"dropping-particle":"","family":"Luo","given":"Hanlin","non-dropping-particle":"","parse-names":false,"suffix":""},{"dropping-particle":"","family":"Song","given":"Wenjing","non-dropping-particle":"","parse-names":false,"suffix":""},{"dropping-particle":"","family":"Parker","given":"Kelsey A.","non-dropping-particle":"","parse-names":false,"suffix":""},{"dropping-particle":"","family":"Ghosh","given":"Rudresh","non-dropping-particle":"","parse-names":false,"suffix":""},{"dropping-particle":"","family":"Norris","given":"Michael R.","non-dropping-particle":"","parse-names":false,"suffix":""},{"dropping-particle":"","family":"Glasson","given":"Christopher R.K.","non-dropping-particle":"","parse-names":false,"suffix":""},{"dropping-particle":"","family":"Concepcion","given":"Javier J.","non-dropping-particle":"","parse-names":false,"suffix":""},{"dropping-particle":"","family":"Lopez","given":"Rene","non-dropping-particle":"","parse-names":false,"suffix":""},{"dropping-particle":"","family":"Meyer","given":"Thomas J.","non-dropping-particle":"","parse-names":false,"suffix":""}],"container-title":"Journal of Physical Chemistry C","id":"ITEM-1","issue":"28","issued":{"date-parts":[["2012"]]},"page":"14837-14847","title":"Structure-property relationships in phosphonate-derivatized, Ru II polypyridyl dyes on metal oxide surfaces in an aqueous environment","type":"article-journal","volume":"116"},"uris":["http://www.mendeley.com/documents/?uuid=ec058440-d68d-44ca-92e3-3ef8c7506830"]}],"mendeley":{"formattedCitation":"&lt;sup&gt;57&lt;/sup&gt;","plainTextFormattedCitation":"57","previouslyFormattedCitation":"&lt;sup&gt;57&lt;/sup&gt;"},"properties":{"noteIndex":0},"schema":"https://github.com/citation-style-language/schema/raw/master/csl-citation.json"}</w:instrText>
      </w:r>
      <w:r w:rsidR="003377A3">
        <w:fldChar w:fldCharType="separate"/>
      </w:r>
      <w:r w:rsidR="00B436A2" w:rsidRPr="00B436A2">
        <w:rPr>
          <w:noProof/>
          <w:vertAlign w:val="superscript"/>
        </w:rPr>
        <w:t>57</w:t>
      </w:r>
      <w:r w:rsidR="003377A3">
        <w:fldChar w:fldCharType="end"/>
      </w:r>
      <w:r>
        <w:t xml:space="preserve"> When utilized as a working electrode in a standard electrochemical cell with a</w:t>
      </w:r>
      <w:r w:rsidR="0083114C">
        <w:t xml:space="preserve"> 100 mM LiClO</w:t>
      </w:r>
      <w:r w:rsidR="0083114C">
        <w:rPr>
          <w:vertAlign w:val="subscript"/>
        </w:rPr>
        <w:t>4</w:t>
      </w:r>
      <w:r w:rsidR="0083114C">
        <w:t>/</w:t>
      </w:r>
      <w:r w:rsidR="001549B6">
        <w:t>CH</w:t>
      </w:r>
      <w:r w:rsidR="001549B6">
        <w:rPr>
          <w:vertAlign w:val="subscript"/>
        </w:rPr>
        <w:t>3</w:t>
      </w:r>
      <w:r w:rsidR="001549B6">
        <w:t>CN</w:t>
      </w:r>
      <w:r>
        <w:t xml:space="preserve"> electrolyte, the application of a potential 500 mV positive of the chromophore </w:t>
      </w:r>
      <w:r>
        <w:rPr>
          <w:i/>
        </w:rPr>
        <w:t>E</w:t>
      </w:r>
      <w:r>
        <w:rPr>
          <w:vertAlign w:val="subscript"/>
        </w:rPr>
        <w:t>1/2</w:t>
      </w:r>
      <w:r w:rsidR="00047139">
        <w:rPr>
          <w:vertAlign w:val="subscript"/>
        </w:rPr>
        <w:t xml:space="preserve"> </w:t>
      </w:r>
      <w:r>
        <w:t>(Ru</w:t>
      </w:r>
      <w:r>
        <w:rPr>
          <w:vertAlign w:val="superscript"/>
        </w:rPr>
        <w:t>III/II</w:t>
      </w:r>
      <w:r>
        <w:t xml:space="preserve">) value resulted in oxidation of the surface anchored chromophores. Anson plots of the corresponding absorption change enabled the apparent diffusion constants to be abstracted, </w:t>
      </w:r>
      <w:r>
        <w:rPr>
          <w:i/>
        </w:rPr>
        <w:t>D</w:t>
      </w:r>
      <w:r>
        <w:rPr>
          <w:vertAlign w:val="subscript"/>
        </w:rPr>
        <w:t>CA</w:t>
      </w:r>
      <w:r>
        <w:t xml:space="preserve">, which, with some assumptions, provided the self-exchange rate constant for hole hopping, </w:t>
      </w:r>
      <w:r>
        <w:rPr>
          <w:i/>
        </w:rPr>
        <w:t>k</w:t>
      </w:r>
      <w:r>
        <w:rPr>
          <w:vertAlign w:val="subscript"/>
        </w:rPr>
        <w:t>R</w:t>
      </w:r>
      <w:r>
        <w:t xml:space="preserve">. The rate constant </w:t>
      </w:r>
      <w:r>
        <w:rPr>
          <w:i/>
        </w:rPr>
        <w:t>k</w:t>
      </w:r>
      <w:r>
        <w:rPr>
          <w:vertAlign w:val="subscript"/>
        </w:rPr>
        <w:t>R</w:t>
      </w:r>
      <w:r>
        <w:t xml:space="preserve"> decreases from TiO</w:t>
      </w:r>
      <w:r w:rsidRPr="00153FCD">
        <w:rPr>
          <w:vertAlign w:val="subscript"/>
        </w:rPr>
        <w:t>2</w:t>
      </w:r>
      <w:r>
        <w:t>|Ru(OMe)</w:t>
      </w:r>
      <w:r>
        <w:rPr>
          <w:vertAlign w:val="subscript"/>
        </w:rPr>
        <w:t>2</w:t>
      </w:r>
      <w:r>
        <w:t>P having the largest (</w:t>
      </w:r>
      <w:r>
        <w:rPr>
          <w:i/>
        </w:rPr>
        <w:t>k</w:t>
      </w:r>
      <w:r>
        <w:rPr>
          <w:vertAlign w:val="subscript"/>
        </w:rPr>
        <w:t>R</w:t>
      </w:r>
      <w:r>
        <w:t xml:space="preserve"> =1.4 x 10</w:t>
      </w:r>
      <w:r>
        <w:rPr>
          <w:vertAlign w:val="superscript"/>
        </w:rPr>
        <w:t>6</w:t>
      </w:r>
      <w:r>
        <w:t> s</w:t>
      </w:r>
      <w:r>
        <w:rPr>
          <w:vertAlign w:val="superscript"/>
        </w:rPr>
        <w:t>-1</w:t>
      </w:r>
      <w:r>
        <w:t>), followed by TiO</w:t>
      </w:r>
      <w:r w:rsidRPr="00153FCD">
        <w:rPr>
          <w:vertAlign w:val="subscript"/>
        </w:rPr>
        <w:t>2</w:t>
      </w:r>
      <w:r>
        <w:t>|RuP (7.1 x 10</w:t>
      </w:r>
      <w:r>
        <w:rPr>
          <w:vertAlign w:val="superscript"/>
        </w:rPr>
        <w:t>5</w:t>
      </w:r>
      <w:r>
        <w:t> s</w:t>
      </w:r>
      <w:r>
        <w:rPr>
          <w:vertAlign w:val="superscript"/>
        </w:rPr>
        <w:t>-1</w:t>
      </w:r>
      <w:r>
        <w:t>), and TiO</w:t>
      </w:r>
      <w:r w:rsidRPr="00153FCD">
        <w:rPr>
          <w:vertAlign w:val="subscript"/>
        </w:rPr>
        <w:t>2</w:t>
      </w:r>
      <w:r>
        <w:t>|Ru(dtb)</w:t>
      </w:r>
      <w:r>
        <w:rPr>
          <w:vertAlign w:val="subscript"/>
        </w:rPr>
        <w:t>2</w:t>
      </w:r>
      <w:r>
        <w:t>P (6.5 x 10</w:t>
      </w:r>
      <w:r>
        <w:rPr>
          <w:vertAlign w:val="superscript"/>
        </w:rPr>
        <w:t>4</w:t>
      </w:r>
      <w:r>
        <w:t xml:space="preserve"> s</w:t>
      </w:r>
      <w:r>
        <w:rPr>
          <w:vertAlign w:val="superscript"/>
        </w:rPr>
        <w:t>-1</w:t>
      </w:r>
      <w:r>
        <w:t>).</w:t>
      </w:r>
      <w:r w:rsidR="00850475">
        <w:t xml:space="preserve"> The slower hole hopping </w:t>
      </w:r>
      <w:r w:rsidR="00173D82">
        <w:t>for TiO</w:t>
      </w:r>
      <w:r w:rsidR="00173D82">
        <w:rPr>
          <w:vertAlign w:val="subscript"/>
        </w:rPr>
        <w:t>2</w:t>
      </w:r>
      <w:r w:rsidR="00173D82">
        <w:t>|Ru(dtb)</w:t>
      </w:r>
      <w:r w:rsidR="00173D82">
        <w:rPr>
          <w:vertAlign w:val="subscript"/>
        </w:rPr>
        <w:t>2</w:t>
      </w:r>
      <w:r w:rsidR="00173D82">
        <w:t>P &lt; TiO</w:t>
      </w:r>
      <w:r w:rsidR="00173D82">
        <w:softHyphen/>
      </w:r>
      <w:r w:rsidR="00173D82">
        <w:rPr>
          <w:vertAlign w:val="subscript"/>
        </w:rPr>
        <w:t>2</w:t>
      </w:r>
      <w:r w:rsidR="00173D82">
        <w:t xml:space="preserve">|RuP </w:t>
      </w:r>
      <w:r w:rsidR="003C6DF8">
        <w:t xml:space="preserve">has been previously reported </w:t>
      </w:r>
      <w:r w:rsidR="00353532">
        <w:t xml:space="preserve">and was attributed to weaker electronic coupling </w:t>
      </w:r>
      <w:r w:rsidR="00935582">
        <w:t>induced by the bulky tertiary butyl groups.</w:t>
      </w:r>
      <w:r w:rsidR="00935582">
        <w:fldChar w:fldCharType="begin" w:fldLock="1"/>
      </w:r>
      <w:r w:rsidR="005F5C5F">
        <w:instrText>ADDIN CSL_CITATION {"citationItems":[{"id":"ITEM-1","itemData":{"DOI":"10.1021/acs.jpcc.8b05281","ISSN":"19327455","author":[{"dropping-particle":"","family":"Motley","given":"Tyler C.","non-dropping-particle":"","parse-names":false,"suffix":""},{"dropping-particle":"","family":"Brady","given":"Matthew D.","non-dropping-particle":"","parse-names":false,"suffix":""},{"dropping-particle":"","family":"Meyer","given":"Gerald J.","non-dropping-particle":"","parse-names":false,"suffix":""}],"container-title":"Journal of Physical Chemistry C","id":"ITEM-1","issue":"34","issued":{"date-parts":[["2018"]]},"page":"19385-19394","title":"Influence of 4 and 4′ substituents on RuIII/II bipyridyl self-exchange electron transfer across nanocrystalline TiO2 Surfaces","type":"article-journal","volume":"122"},"uris":["http://www.mendeley.com/documents/?uuid=695427e8-9304-4149-afed-7ece9d707228"]}],"mendeley":{"formattedCitation":"&lt;sup&gt;46&lt;/sup&gt;","plainTextFormattedCitation":"46","previouslyFormattedCitation":"&lt;sup&gt;46&lt;/sup&gt;"},"properties":{"noteIndex":0},"schema":"https://github.com/citation-style-language/schema/raw/master/csl-citation.json"}</w:instrText>
      </w:r>
      <w:r w:rsidR="00935582">
        <w:fldChar w:fldCharType="separate"/>
      </w:r>
      <w:r w:rsidR="005F5C5F" w:rsidRPr="005F5C5F">
        <w:rPr>
          <w:noProof/>
          <w:vertAlign w:val="superscript"/>
        </w:rPr>
        <w:t>46</w:t>
      </w:r>
      <w:r w:rsidR="00935582">
        <w:fldChar w:fldCharType="end"/>
      </w:r>
    </w:p>
    <w:p w14:paraId="2E6550CB" w14:textId="2A96B700" w:rsidR="007B51F3" w:rsidRPr="00FF2A30" w:rsidRDefault="004070A1" w:rsidP="007D0575">
      <w:pPr>
        <w:pStyle w:val="NoSpacing"/>
        <w:spacing w:line="360" w:lineRule="auto"/>
        <w:ind w:firstLine="720"/>
        <w:jc w:val="both"/>
      </w:pPr>
      <w:r>
        <w:t>Light excitation of the chromophores in the same electrolyte resulted in excited</w:t>
      </w:r>
      <w:r w:rsidR="00047139">
        <w:t>-</w:t>
      </w:r>
      <w:r>
        <w:t xml:space="preserve">state injection with a quantum yield of unity and </w:t>
      </w:r>
      <w:r>
        <w:rPr>
          <w:i/>
        </w:rPr>
        <w:t>k</w:t>
      </w:r>
      <w:r>
        <w:rPr>
          <w:vertAlign w:val="subscript"/>
        </w:rPr>
        <w:t>inj</w:t>
      </w:r>
      <w:r>
        <w:t xml:space="preserve"> &gt; 10</w:t>
      </w:r>
      <w:r>
        <w:rPr>
          <w:vertAlign w:val="superscript"/>
        </w:rPr>
        <w:t>8</w:t>
      </w:r>
      <w:r>
        <w:t xml:space="preserve"> s</w:t>
      </w:r>
      <w:r>
        <w:rPr>
          <w:vertAlign w:val="superscript"/>
        </w:rPr>
        <w:t>-1</w:t>
      </w:r>
      <w:r>
        <w:t xml:space="preserve"> which is consistent with previous literature reports.</w:t>
      </w:r>
      <w:r w:rsidR="001148CC">
        <w:fldChar w:fldCharType="begin" w:fldLock="1"/>
      </w:r>
      <w:r w:rsidR="00B436A2">
        <w:instrText>ADDIN CSL_CITATION {"citationItems":[{"id":"ITEM-1","itemData":{"DOI":"10.1021/jacs.5b12996","ISSN":"15205126","author":[{"dropping-particle":"","family":"Zigler","given":"David F.","non-dropping-particle":"","parse-names":false,"suffix":""},{"dropping-particle":"","family":"Morseth","given":"Zachary A.","non-dropping-particle":"","parse-names":false,"suffix":""},{"dropping-particle":"","family":"Wang","given":"Li","non-dropping-particle":"","parse-names":false,"suffix":""},{"dropping-particle":"","family":"Ashford","given":"Dennis L.","non-dropping-particle":"","parse-names":false,"suffix":""},{"dropping-particle":"","family":"Brennaman","given":"M. Kyle","non-dropping-particle":"","parse-names":false,"suffix":""},{"dropping-particle":"","family":"Grumstrup","given":"Erik M.","non-dropping-particle":"","parse-names":false,"suffix":""},{"dropping-particle":"","family":"Brigham","given":"Erinn C.","non-dropping-particle":"","parse-names":false,"suffix":""},{"dropping-particle":"","family":"Gish","given":"Melissa K.","non-dropping-particle":"","parse-names":false,"suffix":""},{"dropping-particle":"","family":"Dillon","given":"Robert J.","non-dropping-particle":"","parse-names":false,"suffix":""},{"dropping-particle":"","family":"Alibabaei","given":"Leila","non-dropping-particle":"","parse-names":false,"suffix":""},{"dropping-particle":"","family":"Meyer","given":"Gerald J.","non-dropping-particle":"","parse-names":false,"suffix":""},{"dropping-particle":"","family":"Meyer","given":"Thomas J.","non-dropping-particle":"","parse-names":false,"suffix":""},{"dropping-particle":"","family":"Papanikolas","given":"John M.","non-dropping-particle":"","parse-names":false,"suffix":""}],"container-title":"Journal of the American Chemical Society","id":"ITEM-1","issue":"13","issued":{"date-parts":[["2016"]]},"page":"4426-4438","title":"Disentangling the Physical Processes Responsible for the Kinetic Complexity in Interfacial Electron Transfer of Excited Ru(II) Polypyridyl Dyes on TiO2","type":"article-journal","volume":"138"},"uris":["http://www.mendeley.com/documents/?uuid=0690ce53-c556-499c-8b98-5cb5dacb6a30"]}],"mendeley":{"formattedCitation":"&lt;sup&gt;58&lt;/sup&gt;","plainTextFormattedCitation":"58","previouslyFormattedCitation":"&lt;sup&gt;58&lt;/sup&gt;"},"properties":{"noteIndex":0},"schema":"https://github.com/citation-style-language/schema/raw/master/csl-citation.json"}</w:instrText>
      </w:r>
      <w:r w:rsidR="001148CC">
        <w:fldChar w:fldCharType="separate"/>
      </w:r>
      <w:r w:rsidR="00B436A2" w:rsidRPr="00B436A2">
        <w:rPr>
          <w:noProof/>
          <w:vertAlign w:val="superscript"/>
        </w:rPr>
        <w:t>58</w:t>
      </w:r>
      <w:r w:rsidR="001148CC">
        <w:fldChar w:fldCharType="end"/>
      </w:r>
      <w:r w:rsidR="00F54AB3">
        <w:t xml:space="preserve"> </w:t>
      </w:r>
      <w:r>
        <w:t>The excitation light was vertically polarized resulting in an expected preferential creation of oxidized chromophores at the north and south poles of each spherical anatase nanocrystallite</w:t>
      </w:r>
      <w:r w:rsidR="00935582">
        <w:t xml:space="preserve"> in the mesoporous thin film</w:t>
      </w:r>
      <w:r w:rsidR="00F54AB3">
        <w:t xml:space="preserve">. </w:t>
      </w:r>
      <w:r>
        <w:t xml:space="preserve">Observations made with polarizers oriented vertical, </w:t>
      </w:r>
      <w:r w:rsidR="00815B4D">
        <w:rPr>
          <w:i/>
        </w:rPr>
        <w:t>VV</w:t>
      </w:r>
      <w:r>
        <w:t xml:space="preserve"> and horizontal, </w:t>
      </w:r>
      <w:r w:rsidR="00815B4D">
        <w:rPr>
          <w:i/>
        </w:rPr>
        <w:t>VH</w:t>
      </w:r>
      <w:r>
        <w:t xml:space="preserve">, to the excitation provided anisotropy decays. A larger absorbance change was measured for </w:t>
      </w:r>
      <w:r w:rsidR="00815B4D">
        <w:rPr>
          <w:i/>
        </w:rPr>
        <w:t>VV</w:t>
      </w:r>
      <w:r>
        <w:t>, consistent with an anisotropic distribution of oxidized chromophores</w:t>
      </w:r>
      <w:r w:rsidR="00F54AB3">
        <w:t xml:space="preserve">. </w:t>
      </w:r>
      <w:r>
        <w:t>The initial anisotropy was less than the 0.4 value expected theoretically,</w:t>
      </w:r>
      <w:r w:rsidR="00D31243">
        <w:fldChar w:fldCharType="begin" w:fldLock="1"/>
      </w:r>
      <w:r w:rsidR="00B436A2">
        <w:instrText>ADDIN CSL_CITATION {"citationItems":[{"id":"ITEM-1","itemData":{"author":[{"dropping-particle":"","family":"Lakowicz","given":"Joseph R.","non-dropping-particle":"","parse-names":false,"suffix":""}],"id":"ITEM-1","issued":{"date-parts":[["2006"]]},"publisher":"Springer","publisher-place":"New York","title":"Principles of Fluorescence Spectroscopy","type":"book"},"uris":["http://www.mendeley.com/documents/?uuid=8980b7d3-07eb-4ac9-b780-5fed9c3696c1"]}],"mendeley":{"formattedCitation":"&lt;sup&gt;59&lt;/sup&gt;","plainTextFormattedCitation":"59","previouslyFormattedCitation":"&lt;sup&gt;59&lt;/sup&gt;"},"properties":{"noteIndex":0},"schema":"https://github.com/citation-style-language/schema/raw/master/csl-citation.json"}</w:instrText>
      </w:r>
      <w:r w:rsidR="00D31243">
        <w:fldChar w:fldCharType="separate"/>
      </w:r>
      <w:r w:rsidR="00B436A2" w:rsidRPr="00B436A2">
        <w:rPr>
          <w:noProof/>
          <w:vertAlign w:val="superscript"/>
        </w:rPr>
        <w:t>59</w:t>
      </w:r>
      <w:r w:rsidR="00D31243">
        <w:fldChar w:fldCharType="end"/>
      </w:r>
      <w:r>
        <w:t xml:space="preserve"> behavior which has been observed previously for this class of chromophores in fluid solution and at TiO</w:t>
      </w:r>
      <w:r w:rsidRPr="00572121">
        <w:rPr>
          <w:vertAlign w:val="subscript"/>
        </w:rPr>
        <w:t>2</w:t>
      </w:r>
      <w:r>
        <w:t xml:space="preserve"> interfaces, </w:t>
      </w:r>
      <w:r w:rsidR="00935582">
        <w:t>which</w:t>
      </w:r>
      <w:r>
        <w:t xml:space="preserve"> has been attributed to excitation of multiple charge transfer transitions.</w:t>
      </w:r>
      <w:r w:rsidR="0099484F">
        <w:fldChar w:fldCharType="begin" w:fldLock="1"/>
      </w:r>
      <w:r w:rsidR="00B436A2">
        <w:instrText>ADDIN CSL_CITATION {"citationItems":[{"id":"ITEM-1","itemData":{"DOI":"10.1016/S0006-3495(95)80193-1","ISSN":"00063495","abstract":"We describe the use of asymmetric Ru-ligand complexes as a new class of luminescent probes that can be used to measure rotational motions of proteins. These complexes are known to display luminescent lifetimes ranging from 10 to 4000 ns. In this report, we show that the asymmetric complex Ru(bpy)2(dcbpy) (PF6)2 displays a high anisotropy value when excited in the long wavelength absorption band. For covalent linkage to proteins, we synthesized the N-hydroxy succinimide ester of this metal-ligand complex. To illustrate the usefulness of these probes, we describe the intensity and anisotropy decays of [Ru(bpy)2(dcbpy)] when covalently linked to human serum albumin, concanavalin A (ConA), human immunoglobulin G (IgG), and Ferritin, and measured in solutions of increased viscosity. These data demonstrate that the probes can be used to measure rotational motions on the 10 ns to 1.5 microseconds timescale, which so far has been inaccessible using luminescence methods. The present probe [Ru(bpy)2(dcbpy)] can be regarded as the first of a class of metal-ligand complexes, each with different chemical reactivity and spectral properties, for studies of macromolecular dynamics. © 1995, The Biophysical Society. All rights reserved.","author":[{"dropping-particle":"","family":"Terpetschnig","given":"E.","non-dropping-particle":"","parse-names":false,"suffix":""},{"dropping-particle":"","family":"Szmacinski","given":"H.","non-dropping-particle":"","parse-names":false,"suffix":""},{"dropping-particle":"","family":"Malak","given":"H.","non-dropping-particle":"","parse-names":false,"suffix":""},{"dropping-particle":"","family":"Lakowicz","given":"J. R.","non-dropping-particle":"","parse-names":false,"suffix":""}],"container-title":"Biophysical Journal","id":"ITEM-1","issue":"1","issued":{"date-parts":[["1995"]]},"page":"342-350","title":"Metal-ligand complexes as a new class of long-lived fluorophores for protein hydrodynamics","type":"article-journal","volume":"68"},"uris":["http://www.mendeley.com/documents/?uuid=591de06a-a94f-4047-aa30-d7f2c0c03756"]},{"id":"ITEM-2","itemData":{"DOI":"10.1021/jp0509212","ISSN":"10895639","abstract":"It is known that the relaxed excited state of [Ru(bpy)3]2+ is best described as a metal to ligand charge transfer (MLCT) state having one formally reduced bipyridine and two neutral. Previous reports have suggested [Malone, R. et al. J. Chem. Phys. 1991, 95, 8970] that the electron \"hops\" from ligand to ligand in the MLCT state with a time constant of about 50 ps in acetonitrile. However, we have done transient absorption anisotropy measurements indicating that already after one picosecond the molecule has no memory of which bipyridine was initially photoselected, which suggests an ultrafast interligand randomization of the MLCT state.","author":[{"dropping-particle":"","family":"Wallin","given":"Staffan","non-dropping-particle":"","parse-names":false,"suffix":""},{"dropping-particle":"","family":"Davidsson","given":"Jan","non-dropping-particle":"","parse-names":false,"suffix":""},{"dropping-particle":"","family":"Modin","given":"Judit","non-dropping-particle":"","parse-names":false,"suffix":""},{"dropping-particle":"","family":"Hammarström","given":"Leif","non-dropping-particle":"","parse-names":false,"suffix":""}],"container-title":"Journal of Physical Chemistry A","id":"ITEM-2","issue":"21","issued":{"date-parts":[["2005"]]},"page":"4697-4704","title":"Femtosecond transient absorption anisotropy study on [Ru(bpy) 3]2+ and [Ru(bpy)(py)4]2+· ultrafast interligand randomization of the MLCT state","type":"article-journal","volume":"109"},"uris":["http://www.mendeley.com/documents/?uuid=ca8b2e0f-f165-43a0-8e7a-7b3b0c2a76db"]},{"id":"ITEM-3","itemData":{"DOI":"10.1021/jp0509212","ISSN":"10895639","abstract":"It is known that the relaxed excited state of [Ru(bpy)3]2+ is best described as a metal to ligand charge transfer (MLCT) state having one formally reduced bipyridine and two neutral. Previous reports have suggested [Malone, R. et al. J. Chem. Phys. 1991, 95, 8970] that the electron \"hops\" from ligand to ligand in the MLCT state with a time constant of about 50 ps in acetonitrile. However, we have done transient absorption anisotropy measurements indicating that already after one picosecond the molecule has no memory of which bipyridine was initially photoselected, which suggests an ultrafast interligand randomization of the MLCT state.","author":[{"dropping-particle":"","family":"Wallin","given":"Staffan","non-dropping-particle":"","parse-names":false,"suffix":""},{"dropping-particle":"","family":"Davidsson","given":"Jan","non-dropping-particle":"","parse-names":false,"suffix":""},{"dropping-particle":"","family":"Modin","given":"Judit","non-dropping-particle":"","parse-names":false,"suffix":""},{"dropping-particle":"","family":"Hammarström","given":"Leif","non-dropping-particle":"","parse-names":false,"suffix":""}],"container-title":"Journal of Physical Chemistry A","id":"ITEM-3","issue":"41","issued":{"date-parts":[["2005"]]},"page":"9378","title":"Femtosecond transient absorption anisotropy study on [Ru(bpy) 3]2+ and [Ru(bpy)(py)4]2+· ultrafast interligand randomization of the MLCT state","type":"article-journal","volume":"109"},"uris":["http://www.mendeley.com/documents/?uuid=2129340d-84a7-43b3-ac51-19e03f7baf72"]}],"mendeley":{"formattedCitation":"&lt;sup&gt;60–62&lt;/sup&gt;","plainTextFormattedCitation":"60–62","previouslyFormattedCitation":"&lt;sup&gt;60–62&lt;/sup&gt;"},"properties":{"noteIndex":0},"schema":"https://github.com/citation-style-language/schema/raw/master/csl-citation.json"}</w:instrText>
      </w:r>
      <w:r w:rsidR="0099484F">
        <w:fldChar w:fldCharType="separate"/>
      </w:r>
      <w:r w:rsidR="00B436A2" w:rsidRPr="00B436A2">
        <w:rPr>
          <w:noProof/>
          <w:vertAlign w:val="superscript"/>
        </w:rPr>
        <w:t>60–62</w:t>
      </w:r>
      <w:r w:rsidR="0099484F">
        <w:fldChar w:fldCharType="end"/>
      </w:r>
      <w:r>
        <w:t xml:space="preserve"> The transient </w:t>
      </w:r>
      <w:r w:rsidR="00815B4D">
        <w:rPr>
          <w:i/>
        </w:rPr>
        <w:t>VV</w:t>
      </w:r>
      <w:r>
        <w:t xml:space="preserve"> and </w:t>
      </w:r>
      <w:r w:rsidR="00815B4D">
        <w:rPr>
          <w:i/>
        </w:rPr>
        <w:t>VH</w:t>
      </w:r>
      <w:r>
        <w:t xml:space="preserve"> data coalesced prior to the complete recovery of the ground state, which indicated that the rate constant for hole-hopping was greater than that for charge recombination.</w:t>
      </w:r>
    </w:p>
    <w:p w14:paraId="555412FF" w14:textId="77777777" w:rsidR="00B3161A" w:rsidRDefault="004070A1" w:rsidP="00B3161A">
      <w:pPr>
        <w:pStyle w:val="NoSpacing"/>
        <w:spacing w:line="360" w:lineRule="auto"/>
        <w:ind w:firstLine="720"/>
        <w:jc w:val="both"/>
      </w:pPr>
      <w:r>
        <w:t xml:space="preserve">Monte Carlo simulations were performed to simulate the expected random-walk nature of isoenergetic, self-exchange hole hopping and to extract self-exchange rate constants, </w:t>
      </w:r>
      <w:r>
        <w:rPr>
          <w:i/>
        </w:rPr>
        <w:t>k</w:t>
      </w:r>
      <w:r>
        <w:rPr>
          <w:vertAlign w:val="subscript"/>
        </w:rPr>
        <w:t>MC</w:t>
      </w:r>
      <w:r>
        <w:t xml:space="preserve">. This was accomplished by a previously described method with the assumption of a 20 nm spherical </w:t>
      </w:r>
      <w:r>
        <w:lastRenderedPageBreak/>
        <w:t>nanocrystal and chromophores arranged at a minimum distance δ that reflected the slightly different surface coverage measured for each chromophore.</w:t>
      </w:r>
      <w:r w:rsidR="00F4003B">
        <w:fldChar w:fldCharType="begin" w:fldLock="1"/>
      </w:r>
      <w:r w:rsidR="00B436A2">
        <w:instrText>ADDIN CSL_CITATION {"citationItems":[{"id":"ITEM-1","itemData":{"DOI":"10.1021/ja200652r","ISBN":"0002-7863","ISSN":"00027863","PMID":"21861499","abstract":"Transient anisotropy measurements are reported as a new spectroscopic tool for mechanistic characterization of photoinduced charge-transfer and energy-transfer self-exchange reactions at molecule-semiconductor interfaces. An anisotropic molecular subpopulation was generated by photoselection of randomly oriented Ru(II)-polypyridyl compounds, anchored to mesoscopic nanocrystalline TiO(2) or ZrO(2) thin films, with linearly polarized light. Subsequent characterization of the photoinduced dichromism change by visible absorption and photoluminescence spectroscopies on the nano- to millisecond time scale enabled the direct comparison of competitive processes: excited-state decay vs self-exchange energy transfer, or interfacial charge recombination vs self-exchange hole transfer. Self-exchange energy transfer was found to be many orders-of-magnitude faster than hole transfer at the sensitized TiO(2) interfaces; for [Ru(dtb)(2)(dcb)](PF(6))(2), where dtb is 4,4'-(C(CH(3))(3))(2)-2,2'-bipyridine and dcb is 4,4'-(COOH)(2)-2,2'-bipyridine, anchored to TiO(2), the energy-transfer correlation time was θ(ent) = 3.3 μs while the average hole-transfer correlation time was &lt;θ(h+)&gt; = 110 ms, under identical experimental conditions. Monte Carlo simulations successfully modeled the anisotropy decays associated with lateral energy transfer. These mesoscopic, nanocrystalline TiO(2) thin films developed for regenerative solar cells thus function as active \"antennae\", harvesting sunlight and transferring energy across their surface. For the dicationic sensitizer, [Ru(dtb)(2)(dcb)](PF(6))(2), anisotropy changes indicative of self-exchange hole transfer were observed only when ions were present in the acetonitrile solution. In contrast, evidence for lateral hole transfer was observed in neat acetonitrile for a neutral sensitizer, cis-Ru(dnb)(dcb)(NCS)(2), where dnb is 4,4'-(CH(3)(CH(2))(8))(2)-2,2'-bipyridine, anchored to TiO(2). The results indicate that mechanistic models of interfacial charge recombination between electrons in TiO(2) and oxidized sensitizers must take into account diffusion of the injected electron and the oxidized sensitizer. The phenomena presented herein represent two means of concentrating potential energy derived from visible light that could be used to funnel energy to molecular catalysts for multiple-charge-transfer reactions, such as the generation of solar fuels.","author":[{"dropping-particle":"","family":"Ardo","given":"Shane","non-dropping-particle":"","parse-names":false,"suffix":""},{"dropping-particle":"","family":"Meyer","given":"Gerald J.","non-dropping-particle":"","parse-names":false,"suffix":""}],"container-title":"Journal of the American Chemical Society","id":"ITEM-1","issue":"39","issued":{"date-parts":[["2011"]]},"page":"15384-15396","title":"Characterization of photoinduced self-exchange reactions at molecule-semiconductor interfaces by transient polarization spectroscopy: Lateral intermolecular energy and hole transfer across sensitized TiO2thin films","type":"article-journal","volume":"133"},"uris":["http://www.mendeley.com/documents/?uuid=c2ba3498-dfc9-4707-b321-0e12a69f2b3b"]}],"mendeley":{"formattedCitation":"&lt;sup&gt;30&lt;/sup&gt;","plainTextFormattedCitation":"30","previouslyFormattedCitation":"&lt;sup&gt;30&lt;/sup&gt;"},"properties":{"noteIndex":0},"schema":"https://github.com/citation-style-language/schema/raw/master/csl-citation.json"}</w:instrText>
      </w:r>
      <w:r w:rsidR="00F4003B">
        <w:fldChar w:fldCharType="separate"/>
      </w:r>
      <w:r w:rsidR="008D087C" w:rsidRPr="008D087C">
        <w:rPr>
          <w:noProof/>
          <w:vertAlign w:val="superscript"/>
        </w:rPr>
        <w:t>30</w:t>
      </w:r>
      <w:r w:rsidR="00F4003B">
        <w:fldChar w:fldCharType="end"/>
      </w:r>
      <w:r>
        <w:t xml:space="preserve"> With the hopping time as the only adjustable parameter, the measured anisotropy decays were well-modeled by the resulting Monte Carlo simulations. The self-exchange rate constants </w:t>
      </w:r>
      <w:r>
        <w:rPr>
          <w:i/>
        </w:rPr>
        <w:t>k</w:t>
      </w:r>
      <w:r>
        <w:rPr>
          <w:vertAlign w:val="subscript"/>
        </w:rPr>
        <w:t>MC</w:t>
      </w:r>
      <w:r>
        <w:t xml:space="preserve"> obtained in this way followed </w:t>
      </w:r>
      <w:r w:rsidR="00C3108E">
        <w:t>a similar</w:t>
      </w:r>
      <w:r>
        <w:t xml:space="preserve"> trend as those measured after a potential step: TiO</w:t>
      </w:r>
      <w:r w:rsidRPr="00153FCD">
        <w:rPr>
          <w:vertAlign w:val="subscript"/>
        </w:rPr>
        <w:t>2</w:t>
      </w:r>
      <w:r>
        <w:t>|RuP having the largest (</w:t>
      </w:r>
      <w:r>
        <w:rPr>
          <w:i/>
        </w:rPr>
        <w:t>k</w:t>
      </w:r>
      <w:r>
        <w:rPr>
          <w:vertAlign w:val="subscript"/>
        </w:rPr>
        <w:t>MC</w:t>
      </w:r>
      <w:r>
        <w:t xml:space="preserve"> = 7 x 10</w:t>
      </w:r>
      <w:r>
        <w:rPr>
          <w:vertAlign w:val="superscript"/>
        </w:rPr>
        <w:t>5</w:t>
      </w:r>
      <w:r>
        <w:t> s</w:t>
      </w:r>
      <w:r>
        <w:rPr>
          <w:vertAlign w:val="superscript"/>
        </w:rPr>
        <w:t>-1</w:t>
      </w:r>
      <w:r>
        <w:t>), followed by TiO</w:t>
      </w:r>
      <w:r w:rsidRPr="00153FCD">
        <w:rPr>
          <w:vertAlign w:val="subscript"/>
        </w:rPr>
        <w:t>2</w:t>
      </w:r>
      <w:r>
        <w:t>|Ru</w:t>
      </w:r>
      <w:r w:rsidR="00C3108E">
        <w:t>(OMe)</w:t>
      </w:r>
      <w:r w:rsidR="00C3108E">
        <w:rPr>
          <w:vertAlign w:val="subscript"/>
        </w:rPr>
        <w:t>2</w:t>
      </w:r>
      <w:r>
        <w:t>P (5 x 10</w:t>
      </w:r>
      <w:r>
        <w:rPr>
          <w:vertAlign w:val="superscript"/>
        </w:rPr>
        <w:t>5</w:t>
      </w:r>
      <w:r>
        <w:t> s</w:t>
      </w:r>
      <w:r>
        <w:rPr>
          <w:vertAlign w:val="superscript"/>
        </w:rPr>
        <w:t>-1</w:t>
      </w:r>
      <w:r>
        <w:t>), and TiO</w:t>
      </w:r>
      <w:r w:rsidRPr="00153FCD">
        <w:rPr>
          <w:vertAlign w:val="subscript"/>
        </w:rPr>
        <w:t>2</w:t>
      </w:r>
      <w:r>
        <w:t>|Ru(dtb)</w:t>
      </w:r>
      <w:r>
        <w:rPr>
          <w:vertAlign w:val="subscript"/>
        </w:rPr>
        <w:t>2</w:t>
      </w:r>
      <w:r>
        <w:t>P (5 x 10</w:t>
      </w:r>
      <w:r>
        <w:rPr>
          <w:vertAlign w:val="superscript"/>
        </w:rPr>
        <w:t>4</w:t>
      </w:r>
      <w:r>
        <w:t xml:space="preserve"> s</w:t>
      </w:r>
      <w:r>
        <w:rPr>
          <w:vertAlign w:val="superscript"/>
        </w:rPr>
        <w:t>-1</w:t>
      </w:r>
      <w:r>
        <w:t>). It is sometimes useful to consider an average hopping time of (1.5 μs)</w:t>
      </w:r>
      <w:r>
        <w:rPr>
          <w:vertAlign w:val="superscript"/>
        </w:rPr>
        <w:t>-1</w:t>
      </w:r>
      <w:r>
        <w:t>, (2 μs)</w:t>
      </w:r>
      <w:r>
        <w:rPr>
          <w:vertAlign w:val="superscript"/>
        </w:rPr>
        <w:t>-1</w:t>
      </w:r>
      <w:r>
        <w:t>, and (20 μs)</w:t>
      </w:r>
      <w:r>
        <w:rPr>
          <w:vertAlign w:val="superscript"/>
        </w:rPr>
        <w:t>-1</w:t>
      </w:r>
      <w:r>
        <w:t xml:space="preserve"> for RuP, Ru(OMe)</w:t>
      </w:r>
      <w:r>
        <w:rPr>
          <w:vertAlign w:val="subscript"/>
        </w:rPr>
        <w:t>2</w:t>
      </w:r>
      <w:r>
        <w:t>P, and Ru(dtb)</w:t>
      </w:r>
      <w:r>
        <w:rPr>
          <w:vertAlign w:val="subscript"/>
        </w:rPr>
        <w:t>2</w:t>
      </w:r>
      <w:r>
        <w:t>P, respectively</w:t>
      </w:r>
      <w:r w:rsidR="00F54AB3">
        <w:t xml:space="preserve">. </w:t>
      </w:r>
    </w:p>
    <w:p w14:paraId="7E7F0801" w14:textId="12938BC9" w:rsidR="004070A1" w:rsidRPr="00181784" w:rsidRDefault="004070A1" w:rsidP="00B3161A">
      <w:pPr>
        <w:pStyle w:val="NoSpacing"/>
        <w:spacing w:line="360" w:lineRule="auto"/>
        <w:ind w:firstLine="720"/>
        <w:jc w:val="both"/>
      </w:pPr>
      <w:r w:rsidRPr="00EF256B">
        <w:rPr>
          <w:highlight w:val="yellow"/>
        </w:rPr>
        <w:t xml:space="preserve">Alternatively, in the biophysics </w:t>
      </w:r>
      <w:r w:rsidR="003106A3" w:rsidRPr="00EF256B">
        <w:rPr>
          <w:highlight w:val="yellow"/>
        </w:rPr>
        <w:t>fluorescence</w:t>
      </w:r>
      <w:r w:rsidRPr="00EF256B">
        <w:rPr>
          <w:highlight w:val="yellow"/>
        </w:rPr>
        <w:t xml:space="preserve"> literature a correlation time is considered</w:t>
      </w:r>
      <w:r w:rsidR="00B3161A" w:rsidRPr="00EF256B">
        <w:rPr>
          <w:highlight w:val="yellow"/>
        </w:rPr>
        <w:t>.</w:t>
      </w:r>
      <w:r w:rsidR="00F4003B" w:rsidRPr="00EF256B">
        <w:rPr>
          <w:highlight w:val="yellow"/>
        </w:rPr>
        <w:t xml:space="preserve"> </w:t>
      </w:r>
      <w:r w:rsidR="00B3161A" w:rsidRPr="00EF256B">
        <w:rPr>
          <w:highlight w:val="yellow"/>
        </w:rPr>
        <w:t>Fluorescence anisotropy has been widely utilized as a rotational probe in biophysical assays.</w:t>
      </w:r>
      <w:r w:rsidR="00B3161A" w:rsidRPr="00EF256B">
        <w:rPr>
          <w:highlight w:val="yellow"/>
        </w:rPr>
        <w:fldChar w:fldCharType="begin" w:fldLock="1"/>
      </w:r>
      <w:r w:rsidR="00B3161A" w:rsidRPr="00EF256B">
        <w:rPr>
          <w:highlight w:val="yellow"/>
        </w:rPr>
        <w:instrText>ADDIN CSL_CITATION {"citationItems":[{"id":"ITEM-1","itemData":{"author":[{"dropping-particle":"","family":"Lakowicz","given":"Joseph R.","non-dropping-particle":"","parse-names":false,"suffix":""}],"id":"ITEM-1","issued":{"date-parts":[["2006"]]},"publisher":"Springer","publisher-place":"New York","title":"Principles of Fluorescence Spectroscopy","type":"book"},"uris":["http://www.mendeley.com/documents/?uuid=8980b7d3-07eb-4ac9-b780-5fed9c3696c1"]}],"mendeley":{"formattedCitation":"&lt;sup&gt;59&lt;/sup&gt;","plainTextFormattedCitation":"59","previouslyFormattedCitation":"&lt;sup&gt;59&lt;/sup&gt;"},"properties":{"noteIndex":0},"schema":"https://github.com/citation-style-language/schema/raw/master/csl-citation.json"}</w:instrText>
      </w:r>
      <w:r w:rsidR="00B3161A" w:rsidRPr="00EF256B">
        <w:rPr>
          <w:highlight w:val="yellow"/>
        </w:rPr>
        <w:fldChar w:fldCharType="separate"/>
      </w:r>
      <w:r w:rsidR="00B3161A" w:rsidRPr="00EF256B">
        <w:rPr>
          <w:noProof/>
          <w:highlight w:val="yellow"/>
          <w:vertAlign w:val="superscript"/>
        </w:rPr>
        <w:t>59</w:t>
      </w:r>
      <w:r w:rsidR="00B3161A" w:rsidRPr="00EF256B">
        <w:rPr>
          <w:highlight w:val="yellow"/>
        </w:rPr>
        <w:fldChar w:fldCharType="end"/>
      </w:r>
      <w:r w:rsidR="00B3161A" w:rsidRPr="00EF256B">
        <w:rPr>
          <w:highlight w:val="yellow"/>
        </w:rPr>
        <w:t xml:space="preserve"> However, in the case of surface-bound chromophores, it is not rotational diffusion</w:t>
      </w:r>
      <w:r w:rsidR="00E06E9F" w:rsidRPr="00EF256B">
        <w:rPr>
          <w:highlight w:val="yellow"/>
        </w:rPr>
        <w:t xml:space="preserve"> in solution</w:t>
      </w:r>
      <w:r w:rsidR="00B3161A" w:rsidRPr="00EF256B">
        <w:rPr>
          <w:highlight w:val="yellow"/>
        </w:rPr>
        <w:t xml:space="preserve"> but rather lateral self-exchange</w:t>
      </w:r>
      <w:r w:rsidR="00E06E9F" w:rsidRPr="00EF256B">
        <w:rPr>
          <w:highlight w:val="yellow"/>
        </w:rPr>
        <w:t xml:space="preserve"> translating charge around the spherical nanocrystallite</w:t>
      </w:r>
      <w:r w:rsidR="00861117" w:rsidRPr="00EF256B">
        <w:rPr>
          <w:highlight w:val="yellow"/>
        </w:rPr>
        <w:t xml:space="preserve"> that can be probed through an anisotropy assay. Thus, the </w:t>
      </w:r>
      <w:r w:rsidR="00861117" w:rsidRPr="00EF256B">
        <w:rPr>
          <w:highlight w:val="yellow"/>
        </w:rPr>
        <w:t>average hole-transfer correlation time</w:t>
      </w:r>
      <w:r w:rsidR="00861117" w:rsidRPr="00EF256B">
        <w:rPr>
          <w:highlight w:val="yellow"/>
        </w:rPr>
        <w:t xml:space="preserve">, </w:t>
      </w:r>
      <w:r w:rsidR="00F4003B" w:rsidRPr="00EF256B">
        <w:rPr>
          <w:highlight w:val="yellow"/>
        </w:rPr>
        <w:t>θ</w:t>
      </w:r>
      <w:r w:rsidR="00F4003B" w:rsidRPr="00EF256B">
        <w:rPr>
          <w:highlight w:val="yellow"/>
          <w:vertAlign w:val="subscript"/>
        </w:rPr>
        <w:t>h+</w:t>
      </w:r>
      <w:r w:rsidR="003106A3" w:rsidRPr="00EF256B">
        <w:rPr>
          <w:highlight w:val="yellow"/>
        </w:rPr>
        <w:t>,</w:t>
      </w:r>
      <w:r w:rsidRPr="00EF256B">
        <w:rPr>
          <w:highlight w:val="yellow"/>
        </w:rPr>
        <w:t xml:space="preserve"> is</w:t>
      </w:r>
      <w:r w:rsidR="00861117" w:rsidRPr="00EF256B">
        <w:rPr>
          <w:highlight w:val="yellow"/>
        </w:rPr>
        <w:t xml:space="preserve"> taken as </w:t>
      </w:r>
      <w:r w:rsidRPr="00EF256B">
        <w:rPr>
          <w:highlight w:val="yellow"/>
        </w:rPr>
        <w:t>the average time for a hole to move one radian from the inclination angle along the surface of the spherical nanocrystal</w:t>
      </w:r>
      <w:r w:rsidR="00861117" w:rsidRPr="00EF256B">
        <w:rPr>
          <w:highlight w:val="yellow"/>
        </w:rPr>
        <w:t xml:space="preserve">, rather than the time to rotate one radian in solution. The </w:t>
      </w:r>
      <w:r w:rsidR="00861117" w:rsidRPr="00EF256B">
        <w:rPr>
          <w:highlight w:val="yellow"/>
        </w:rPr>
        <w:t>θ</w:t>
      </w:r>
      <w:r w:rsidR="00861117" w:rsidRPr="00EF256B">
        <w:rPr>
          <w:highlight w:val="yellow"/>
          <w:vertAlign w:val="subscript"/>
        </w:rPr>
        <w:t>h+</w:t>
      </w:r>
      <w:r w:rsidR="00861117" w:rsidRPr="00EF256B">
        <w:rPr>
          <w:highlight w:val="yellow"/>
        </w:rPr>
        <w:t xml:space="preserve"> values were in good agreement with the </w:t>
      </w:r>
      <w:r w:rsidR="00CF03A8" w:rsidRPr="00EF256B">
        <w:rPr>
          <w:highlight w:val="yellow"/>
        </w:rPr>
        <w:t xml:space="preserve">calculated </w:t>
      </w:r>
      <w:r w:rsidR="00861117" w:rsidRPr="00EF256B">
        <w:rPr>
          <w:highlight w:val="yellow"/>
        </w:rPr>
        <w:t>electrochemically induced self-exchange rate constants (</w:t>
      </w:r>
      <w:r w:rsidR="00861117" w:rsidRPr="00EF256B">
        <w:rPr>
          <w:i/>
          <w:iCs/>
          <w:highlight w:val="yellow"/>
        </w:rPr>
        <w:t>k</w:t>
      </w:r>
      <w:r w:rsidR="00861117" w:rsidRPr="00EF256B">
        <w:rPr>
          <w:highlight w:val="yellow"/>
        </w:rPr>
        <w:softHyphen/>
      </w:r>
      <w:r w:rsidR="00861117" w:rsidRPr="00EF256B">
        <w:rPr>
          <w:highlight w:val="yellow"/>
          <w:vertAlign w:val="subscript"/>
        </w:rPr>
        <w:t>R</w:t>
      </w:r>
      <w:r w:rsidR="00861117" w:rsidRPr="00EF256B">
        <w:rPr>
          <w:highlight w:val="yellow"/>
        </w:rPr>
        <w:t>)</w:t>
      </w:r>
      <w:r w:rsidR="00181784" w:rsidRPr="00EF256B">
        <w:rPr>
          <w:highlight w:val="yellow"/>
        </w:rPr>
        <w:t xml:space="preserve">, with smaller </w:t>
      </w:r>
      <w:r w:rsidR="00181784" w:rsidRPr="00EF256B">
        <w:rPr>
          <w:highlight w:val="yellow"/>
        </w:rPr>
        <w:t>θ</w:t>
      </w:r>
      <w:r w:rsidR="00181784" w:rsidRPr="00EF256B">
        <w:rPr>
          <w:highlight w:val="yellow"/>
          <w:vertAlign w:val="subscript"/>
        </w:rPr>
        <w:t>h+</w:t>
      </w:r>
      <w:r w:rsidR="00181784" w:rsidRPr="00EF256B">
        <w:rPr>
          <w:highlight w:val="yellow"/>
        </w:rPr>
        <w:t xml:space="preserve"> values</w:t>
      </w:r>
      <w:r w:rsidR="00181784" w:rsidRPr="00EF256B">
        <w:rPr>
          <w:highlight w:val="yellow"/>
        </w:rPr>
        <w:t>:</w:t>
      </w:r>
      <w:r w:rsidR="00CF03A8" w:rsidRPr="00EF256B">
        <w:rPr>
          <w:highlight w:val="yellow"/>
        </w:rPr>
        <w:t xml:space="preserve"> </w:t>
      </w:r>
      <w:r w:rsidRPr="00EF256B">
        <w:rPr>
          <w:highlight w:val="yellow"/>
        </w:rPr>
        <w:t>Ru(OMe)</w:t>
      </w:r>
      <w:r w:rsidRPr="00EF256B">
        <w:rPr>
          <w:highlight w:val="yellow"/>
          <w:vertAlign w:val="subscript"/>
        </w:rPr>
        <w:t>2</w:t>
      </w:r>
      <w:r w:rsidRPr="00EF256B">
        <w:rPr>
          <w:highlight w:val="yellow"/>
        </w:rPr>
        <w:t>P (θ</w:t>
      </w:r>
      <w:r w:rsidRPr="00EF256B">
        <w:rPr>
          <w:highlight w:val="yellow"/>
          <w:vertAlign w:val="subscript"/>
        </w:rPr>
        <w:t>h+</w:t>
      </w:r>
      <w:r w:rsidRPr="00EF256B">
        <w:rPr>
          <w:highlight w:val="yellow"/>
        </w:rPr>
        <w:t xml:space="preserve"> = 1.3 ms), RuP (2.3 ms), and Ru(dtb)</w:t>
      </w:r>
      <w:r w:rsidRPr="00EF256B">
        <w:rPr>
          <w:highlight w:val="yellow"/>
          <w:vertAlign w:val="subscript"/>
        </w:rPr>
        <w:t>2</w:t>
      </w:r>
      <w:r w:rsidRPr="00EF256B">
        <w:rPr>
          <w:highlight w:val="yellow"/>
        </w:rPr>
        <w:t>P (4.0 ms)</w:t>
      </w:r>
      <w:r w:rsidR="00181784" w:rsidRPr="00EF256B">
        <w:rPr>
          <w:highlight w:val="yellow"/>
        </w:rPr>
        <w:t xml:space="preserve">, corresponding to larger </w:t>
      </w:r>
      <w:r w:rsidR="00181784" w:rsidRPr="00EF256B">
        <w:rPr>
          <w:i/>
          <w:iCs/>
          <w:highlight w:val="yellow"/>
        </w:rPr>
        <w:t>k</w:t>
      </w:r>
      <w:r w:rsidR="00181784" w:rsidRPr="00EF256B">
        <w:rPr>
          <w:highlight w:val="yellow"/>
          <w:vertAlign w:val="subscript"/>
        </w:rPr>
        <w:t>R</w:t>
      </w:r>
      <w:r w:rsidR="00181784" w:rsidRPr="00EF256B">
        <w:rPr>
          <w:highlight w:val="yellow"/>
        </w:rPr>
        <w:t xml:space="preserve"> values.</w:t>
      </w:r>
    </w:p>
    <w:p w14:paraId="6A630CB1" w14:textId="21B8DC88" w:rsidR="004070A1" w:rsidRDefault="004070A1" w:rsidP="004070A1">
      <w:pPr>
        <w:pStyle w:val="NoSpacing"/>
        <w:spacing w:line="360" w:lineRule="auto"/>
        <w:ind w:firstLine="720"/>
        <w:jc w:val="both"/>
      </w:pPr>
      <w:r>
        <w:t>The values for the self-exchange rate constants obtained by pulsed</w:t>
      </w:r>
      <w:r w:rsidR="00860005">
        <w:t>-</w:t>
      </w:r>
      <w:r>
        <w:t>light excitation and a potential step were in poor agreement for TiO</w:t>
      </w:r>
      <w:r w:rsidRPr="00153FCD">
        <w:rPr>
          <w:vertAlign w:val="subscript"/>
        </w:rPr>
        <w:t>2</w:t>
      </w:r>
      <w:r>
        <w:t>|Ru(OMe)</w:t>
      </w:r>
      <w:r>
        <w:rPr>
          <w:vertAlign w:val="subscript"/>
        </w:rPr>
        <w:t>2</w:t>
      </w:r>
      <w:r>
        <w:t>P</w:t>
      </w:r>
      <w:r w:rsidR="0008192A">
        <w:t>.</w:t>
      </w:r>
      <w:r>
        <w:t xml:space="preserve"> </w:t>
      </w:r>
      <w:r w:rsidR="0008192A">
        <w:t>H</w:t>
      </w:r>
      <w:r>
        <w:t>owever</w:t>
      </w:r>
      <w:r w:rsidR="005078A4">
        <w:t>,</w:t>
      </w:r>
      <w:r>
        <w:t xml:space="preserve"> this chromophore showed the fastest charge recombination rate constants</w:t>
      </w:r>
      <w:r w:rsidR="001B3528">
        <w:t>,</w:t>
      </w:r>
      <w:r>
        <w:t xml:space="preserve"> providing a smaller time period for monitoring hole hopping by anisotropy</w:t>
      </w:r>
      <w:r w:rsidR="001B3528">
        <w:t>,</w:t>
      </w:r>
      <w:r>
        <w:t xml:space="preserve"> which led to a </w:t>
      </w:r>
      <w:r w:rsidR="007D0575">
        <w:t>less robust rate constant</w:t>
      </w:r>
      <w:r>
        <w:t>. On the other hand, the values for TiO</w:t>
      </w:r>
      <w:r w:rsidRPr="00153FCD">
        <w:rPr>
          <w:vertAlign w:val="subscript"/>
        </w:rPr>
        <w:t>2</w:t>
      </w:r>
      <w:r>
        <w:t>|Ru(dtb)</w:t>
      </w:r>
      <w:r>
        <w:rPr>
          <w:vertAlign w:val="subscript"/>
        </w:rPr>
        <w:t>2</w:t>
      </w:r>
      <w:r>
        <w:t>P and TiO</w:t>
      </w:r>
      <w:r w:rsidRPr="00153FCD">
        <w:rPr>
          <w:vertAlign w:val="subscript"/>
        </w:rPr>
        <w:t>2</w:t>
      </w:r>
      <w:r>
        <w:t>|RuP were within reasonable error independent of the method in which the hole hopping was initiated</w:t>
      </w:r>
      <w:r w:rsidR="001B3528">
        <w:t xml:space="preserve">. </w:t>
      </w:r>
      <w:r>
        <w:t>This is a surprising result in itself</w:t>
      </w:r>
      <w:r w:rsidR="00F54AB3">
        <w:t xml:space="preserve">. </w:t>
      </w:r>
      <w:r>
        <w:t xml:space="preserve">Since the </w:t>
      </w:r>
      <w:r w:rsidR="00F54AB3">
        <w:t>light-initiated</w:t>
      </w:r>
      <w:r>
        <w:t xml:space="preserve"> reactions reported on self-exchange on a single nanocrystallite and the potential step data reported on hole hopping through the entire mesoporous thin film, one might have anticipated that the values would be quite different. For example, hole hopping at the necking regions between the nanocrystallites </w:t>
      </w:r>
      <w:r w:rsidR="001B3528">
        <w:t>might</w:t>
      </w:r>
      <w:r>
        <w:t xml:space="preserve"> be slower</w:t>
      </w:r>
      <w:r w:rsidR="001B3528">
        <w:t>,</w:t>
      </w:r>
      <w:r>
        <w:t xml:space="preserve"> resulting in vastly different rate constants</w:t>
      </w:r>
      <w:r w:rsidR="00F54AB3">
        <w:t xml:space="preserve">. </w:t>
      </w:r>
      <w:r w:rsidR="005D1194">
        <w:t>As</w:t>
      </w:r>
      <w:r>
        <w:t xml:space="preserve"> this was not the case, the kinetic data suggests that hole hopping is relatively uniform</w:t>
      </w:r>
      <w:r w:rsidR="001B3528">
        <w:t xml:space="preserve"> on a single nanocrystallite and</w:t>
      </w:r>
      <w:r>
        <w:t xml:space="preserve"> throughout the mesoporous film.</w:t>
      </w:r>
    </w:p>
    <w:p w14:paraId="74EAC5BA" w14:textId="1FC72FE5" w:rsidR="004070A1" w:rsidRDefault="004070A1" w:rsidP="004070A1">
      <w:pPr>
        <w:pStyle w:val="NoSpacing"/>
        <w:spacing w:line="360" w:lineRule="auto"/>
        <w:ind w:firstLine="720"/>
        <w:jc w:val="both"/>
      </w:pPr>
      <w:r>
        <w:lastRenderedPageBreak/>
        <w:t>Absorption measurements at the magic angle</w:t>
      </w:r>
      <w:r w:rsidR="00CC24FD">
        <w:t xml:space="preserve">, </w:t>
      </w:r>
      <w:r w:rsidR="00CC24FD" w:rsidRPr="00CC24FD">
        <w:rPr>
          <w:highlight w:val="yellow"/>
        </w:rPr>
        <w:t>which mathematically eliminates anisotropic contributions from the observed absorbance changes,</w:t>
      </w:r>
      <w:r>
        <w:t xml:space="preserve"> provided kinetic information on TiO</w:t>
      </w:r>
      <w:r w:rsidRPr="00BA23DA">
        <w:rPr>
          <w:vertAlign w:val="subscript"/>
        </w:rPr>
        <w:t>2</w:t>
      </w:r>
      <w:r>
        <w:t>(e</w:t>
      </w:r>
      <w:r w:rsidRPr="00BA23DA">
        <w:rPr>
          <w:vertAlign w:val="superscript"/>
        </w:rPr>
        <w:t>-</w:t>
      </w:r>
      <w:r>
        <w:t>)|Ru</w:t>
      </w:r>
      <w:r w:rsidRPr="00BA23DA">
        <w:rPr>
          <w:vertAlign w:val="superscript"/>
        </w:rPr>
        <w:t xml:space="preserve">III </w:t>
      </w:r>
      <w:r>
        <w:sym w:font="Wingdings" w:char="F0E0"/>
      </w:r>
      <w:r>
        <w:t xml:space="preserve"> TiO</w:t>
      </w:r>
      <w:r w:rsidRPr="00BA23DA">
        <w:rPr>
          <w:vertAlign w:val="subscript"/>
        </w:rPr>
        <w:t>2</w:t>
      </w:r>
      <w:r>
        <w:t>|Ru</w:t>
      </w:r>
      <w:r w:rsidRPr="00BA23DA">
        <w:rPr>
          <w:vertAlign w:val="superscript"/>
        </w:rPr>
        <w:t>II</w:t>
      </w:r>
      <w:r>
        <w:t xml:space="preserve"> charge recombination</w:t>
      </w:r>
      <w:r w:rsidR="00F54AB3">
        <w:t xml:space="preserve">. </w:t>
      </w:r>
      <w:r>
        <w:t xml:space="preserve">The extracted charge recombination rate constants </w:t>
      </w:r>
      <w:r>
        <w:rPr>
          <w:i/>
        </w:rPr>
        <w:t>k</w:t>
      </w:r>
      <w:r>
        <w:rPr>
          <w:vertAlign w:val="subscript"/>
        </w:rPr>
        <w:t>MA</w:t>
      </w:r>
      <w:r>
        <w:t xml:space="preserve"> </w:t>
      </w:r>
      <w:r w:rsidR="008D087C" w:rsidRPr="008D087C">
        <w:rPr>
          <w:highlight w:val="yellow"/>
        </w:rPr>
        <w:t>trend</w:t>
      </w:r>
      <w:r>
        <w:t xml:space="preserve"> with the hole hopping rate constants</w:t>
      </w:r>
      <w:r w:rsidR="00F54AB3">
        <w:t xml:space="preserve">. </w:t>
      </w:r>
      <w:r>
        <w:t>This correlation has previously been reported in the literature with other chromophores where those that underwent the fastest hole hopping also recombined to ground state products fastest</w:t>
      </w:r>
      <w:r w:rsidR="00F54AB3">
        <w:t>.</w:t>
      </w:r>
      <w:r w:rsidR="00D31243">
        <w:fldChar w:fldCharType="begin" w:fldLock="1"/>
      </w:r>
      <w:r w:rsidR="00D23E49">
        <w:instrText>ADDIN CSL_CITATION {"citationItems":[{"id":"ITEM-1","itemData":{"DOI":"10.1021/acsami.7b01542","ISSN":"19448252","author":[{"dropping-particle":"","family":"Sampaio","given":"Renato N.","non-dropping-particle":"","parse-names":false,"suffix":""},{"dropping-particle":"V.","family":"Müller","given":"Andressa","non-dropping-particle":"","parse-names":false,"suffix":""},{"dropping-particle":"","family":"Polo","given":"André S.","non-dropping-particle":"","parse-names":false,"suffix":""},{"dropping-particle":"","family":"Meyer","given":"Gerald J.","non-dropping-particle":"","parse-names":false,"suffix":""}],"container-title":"ACS Applied Materials and Interfaces","id":"ITEM-1","issue":"39","issued":{"date-parts":[["2017"]]},"page":"33446-33454","title":"Correlation between charge recombination and lateral hole- hopping kinetics in a series of cis-Ru(phen′)(dcb)(NCS)Ph2Dye- Sensitized Solar Cells","type":"article-journal","volume":"9"},"uris":["http://www.mendeley.com/documents/?uuid=06d15de2-c67c-46cf-9fb2-5c9a6a31e80d"]}],"mendeley":{"formattedCitation":"&lt;sup&gt;36&lt;/sup&gt;","plainTextFormattedCitation":"36","previouslyFormattedCitation":"&lt;sup&gt;36&lt;/sup&gt;"},"properties":{"noteIndex":0},"schema":"https://github.com/citation-style-language/schema/raw/master/csl-citation.json"}</w:instrText>
      </w:r>
      <w:r w:rsidR="00D31243">
        <w:fldChar w:fldCharType="separate"/>
      </w:r>
      <w:r w:rsidR="00D31243" w:rsidRPr="00D31243">
        <w:rPr>
          <w:noProof/>
          <w:vertAlign w:val="superscript"/>
        </w:rPr>
        <w:t>36</w:t>
      </w:r>
      <w:r w:rsidR="00D31243">
        <w:fldChar w:fldCharType="end"/>
      </w:r>
      <w:r w:rsidR="00F54AB3">
        <w:t xml:space="preserve"> </w:t>
      </w:r>
      <w:r>
        <w:t>Taken together this data indicates that the established mechanism for charge recombination, wherein the oxidized chromophore remains fixed at the injection site and the injected electron alone is mobile, is incorrect</w:t>
      </w:r>
      <w:r w:rsidR="00F54AB3">
        <w:t xml:space="preserve">. </w:t>
      </w:r>
      <w:r>
        <w:t xml:space="preserve">In </w:t>
      </w:r>
      <w:r w:rsidR="00A42BC6">
        <w:t>fact,</w:t>
      </w:r>
      <w:r>
        <w:t xml:space="preserve"> it may be just the opposite, where the injected electron traps at a localized site and recombination occurs when the oxidized chromophore approaches this site by later hole hopping</w:t>
      </w:r>
      <w:r w:rsidR="00F54AB3">
        <w:t xml:space="preserve">. </w:t>
      </w:r>
    </w:p>
    <w:p w14:paraId="6DB07232" w14:textId="1CD2971D" w:rsidR="004070A1" w:rsidRDefault="004070A1" w:rsidP="004070A1">
      <w:pPr>
        <w:pStyle w:val="NoSpacing"/>
        <w:spacing w:line="360" w:lineRule="auto"/>
        <w:ind w:firstLine="720"/>
        <w:jc w:val="both"/>
      </w:pPr>
      <w:r>
        <w:rPr>
          <w:i/>
        </w:rPr>
        <w:t>Dye Sensitized TiO</w:t>
      </w:r>
      <w:r w:rsidRPr="002457B3">
        <w:rPr>
          <w:i/>
          <w:vertAlign w:val="subscript"/>
        </w:rPr>
        <w:t>2</w:t>
      </w:r>
      <w:r>
        <w:rPr>
          <w:i/>
        </w:rPr>
        <w:t xml:space="preserve"> with an Al</w:t>
      </w:r>
      <w:r w:rsidRPr="002457B3">
        <w:rPr>
          <w:i/>
          <w:vertAlign w:val="subscript"/>
        </w:rPr>
        <w:t>2</w:t>
      </w:r>
      <w:r>
        <w:rPr>
          <w:i/>
        </w:rPr>
        <w:t>O</w:t>
      </w:r>
      <w:r w:rsidRPr="002457B3">
        <w:rPr>
          <w:i/>
          <w:vertAlign w:val="subscript"/>
        </w:rPr>
        <w:t xml:space="preserve">3 </w:t>
      </w:r>
      <w:r>
        <w:rPr>
          <w:i/>
        </w:rPr>
        <w:t>Overlayer</w:t>
      </w:r>
      <w:r w:rsidR="00F54AB3">
        <w:rPr>
          <w:i/>
        </w:rPr>
        <w:t xml:space="preserve">. </w:t>
      </w:r>
      <w:r>
        <w:t>When an insulating Al</w:t>
      </w:r>
      <w:r>
        <w:rPr>
          <w:vertAlign w:val="subscript"/>
        </w:rPr>
        <w:t>2</w:t>
      </w:r>
      <w:r>
        <w:t>O</w:t>
      </w:r>
      <w:r>
        <w:rPr>
          <w:vertAlign w:val="subscript"/>
        </w:rPr>
        <w:t xml:space="preserve">3 </w:t>
      </w:r>
      <w:r>
        <w:t>overlayer was deposited on the dye</w:t>
      </w:r>
      <w:r w:rsidR="005078A4">
        <w:t>-</w:t>
      </w:r>
      <w:r>
        <w:t>sensitized TiO</w:t>
      </w:r>
      <w:r w:rsidRPr="002457B3">
        <w:rPr>
          <w:vertAlign w:val="subscript"/>
        </w:rPr>
        <w:t>2</w:t>
      </w:r>
      <w:r>
        <w:t xml:space="preserve"> thin films, there was vanishingly little evidence for hole hopping</w:t>
      </w:r>
      <w:r w:rsidR="005A073A">
        <w:t xml:space="preserve">. </w:t>
      </w:r>
      <w:r>
        <w:t xml:space="preserve">Application of an electrochemical bias 500 mV positive of the chromophore </w:t>
      </w:r>
      <w:r>
        <w:rPr>
          <w:i/>
        </w:rPr>
        <w:t>E</w:t>
      </w:r>
      <w:r>
        <w:rPr>
          <w:vertAlign w:val="subscript"/>
        </w:rPr>
        <w:t>1/2</w:t>
      </w:r>
      <w:r>
        <w:t xml:space="preserve"> (Ru</w:t>
      </w:r>
      <w:r>
        <w:rPr>
          <w:vertAlign w:val="superscript"/>
        </w:rPr>
        <w:t>III/II</w:t>
      </w:r>
      <w:r>
        <w:t xml:space="preserve">) potential resulted in negligibly small absorbance changes (&lt; </w:t>
      </w:r>
      <w:r w:rsidR="005078A4">
        <w:t>5%</w:t>
      </w:r>
      <w:r>
        <w:t>) attributed to some hole transfer near the fluorine doped tin oxide (FTO) substrate that supports the mesoporous thin film</w:t>
      </w:r>
      <w:r w:rsidR="00273724">
        <w:t>,</w:t>
      </w:r>
      <w:r>
        <w:t xml:space="preserve"> even though the chromophores surface coverages greatly exceeded the 50-60% percolation threshold. While the lack of a significant response to a potential step might be explained by a blocking layer at the FTO interface, transient anisotropy measurements also revealed no evidence for hole hopping</w:t>
      </w:r>
      <w:r w:rsidR="00F54AB3">
        <w:t xml:space="preserve">. </w:t>
      </w:r>
      <w:r>
        <w:t>Pulsed light excitation resulted in significant excited</w:t>
      </w:r>
      <w:r w:rsidR="00047139">
        <w:t>-</w:t>
      </w:r>
      <w:r>
        <w:t>state injection, that was decreased by about 40% from that observed without the insulating overlayer</w:t>
      </w:r>
      <w:r w:rsidR="005A073A">
        <w:t xml:space="preserve">. </w:t>
      </w:r>
      <w:r>
        <w:t xml:space="preserve">However, kinetics measured at the magic angle and with polarizers were within experimental error the same and provided no evidence of hole hopping. </w:t>
      </w:r>
    </w:p>
    <w:p w14:paraId="2519CB4C" w14:textId="060552FD" w:rsidR="004070A1" w:rsidRDefault="004070A1" w:rsidP="004070A1">
      <w:pPr>
        <w:pStyle w:val="NoSpacing"/>
        <w:spacing w:line="360" w:lineRule="auto"/>
        <w:jc w:val="both"/>
      </w:pPr>
      <w:r>
        <w:tab/>
        <w:t>The question then arises, why is lateral hole hopping inhibited with an insulating</w:t>
      </w:r>
      <w:r w:rsidR="00221BF8">
        <w:t xml:space="preserve"> Al</w:t>
      </w:r>
      <w:r w:rsidR="00221BF8">
        <w:rPr>
          <w:vertAlign w:val="subscript"/>
        </w:rPr>
        <w:t>2</w:t>
      </w:r>
      <w:r w:rsidR="00221BF8">
        <w:t>O</w:t>
      </w:r>
      <w:r w:rsidR="00221BF8">
        <w:rPr>
          <w:vertAlign w:val="subscript"/>
        </w:rPr>
        <w:t>3</w:t>
      </w:r>
      <w:r>
        <w:t xml:space="preserve"> overlayer</w:t>
      </w:r>
      <w:r w:rsidR="005A073A">
        <w:t>?</w:t>
      </w:r>
      <w:r w:rsidR="00F54AB3">
        <w:t xml:space="preserve"> </w:t>
      </w:r>
      <w:r>
        <w:t>An unambiguous answer to this question remains unknown, but previous studies of photo-induced electron transfer in rigid media provide a reasonable explanation:  the outer-sphere reorganization energy for electron transfer increases when ion and solvent motion are restricted</w:t>
      </w:r>
      <w:r w:rsidR="00F54AB3">
        <w:t>.</w:t>
      </w:r>
      <w:r w:rsidR="00CA0EA4">
        <w:fldChar w:fldCharType="begin" w:fldLock="1"/>
      </w:r>
      <w:r w:rsidR="00B436A2">
        <w:instrText>ADDIN CSL_CITATION {"citationItems":[{"id":"ITEM-1","itemData":{"DOI":"10.1021/ic9512845","ISSN":"0020-1669","abstract":"Classical theories of electron transfer are modified to take into account the differences between electron transfer in a rigid medium and in a fluid. Intramolecular vibrations and part of the dielectric polarization are assumed to remain dynamic in rigid media while the remaining part of the polarization, arising from dipole reorientations, is frozen. In rigid media, electron transfer occurs with the solvent locked into the dipole orientations of the initial state. This causes an increase in the free energy change and a decrease in the solvent reorganizational energy. It also increases the activation free energy for electron transfer. For photoinduced electron transfer, the analysis is more complex because multiple states are involved. The activation free energy can either be greater or less than in a fluid depending on charge distributions before and after electron transfer. The same analysis can be applied to interconversion between excited states in rigid media.","author":[{"dropping-particle":"","family":"Chen","given":"Pingyun","non-dropping-particle":"","parse-names":false,"suffix":""},{"dropping-particle":"","family":"Meyer","given":"Thomas J.","non-dropping-particle":"","parse-names":false,"suffix":""}],"container-title":"Inorganic Chemistry","id":"ITEM-1","issue":"19","issued":{"date-parts":[["1996"]]},"page":"5520-5524","title":"Electron Transfer in Frozen Media","type":"article-journal","volume":"35"},"uris":["http://www.mendeley.com/documents/?uuid=4f6e365c-930f-4f22-8863-7251aba4eb09"]}],"mendeley":{"formattedCitation":"&lt;sup&gt;63&lt;/sup&gt;","plainTextFormattedCitation":"63","previouslyFormattedCitation":"&lt;sup&gt;63&lt;/sup&gt;"},"properties":{"noteIndex":0},"schema":"https://github.com/citation-style-language/schema/raw/master/csl-citation.json"}</w:instrText>
      </w:r>
      <w:r w:rsidR="00CA0EA4">
        <w:fldChar w:fldCharType="separate"/>
      </w:r>
      <w:r w:rsidR="00B436A2" w:rsidRPr="00B436A2">
        <w:rPr>
          <w:noProof/>
          <w:vertAlign w:val="superscript"/>
        </w:rPr>
        <w:t>63</w:t>
      </w:r>
      <w:r w:rsidR="00CA0EA4">
        <w:fldChar w:fldCharType="end"/>
      </w:r>
      <w:r w:rsidR="00F54AB3">
        <w:t xml:space="preserve"> </w:t>
      </w:r>
      <w:r>
        <w:t>Indeed, an early assay to determine whether fluorescence quenching in chromophore-quencher complexes was due to energy or electron transfer was to freeze it in a glass</w:t>
      </w:r>
      <w:r w:rsidR="00F54AB3">
        <w:t xml:space="preserve">. </w:t>
      </w:r>
      <w:r>
        <w:t>If the fluorescence recovered the mechanism</w:t>
      </w:r>
      <w:r w:rsidR="00860005">
        <w:t xml:space="preserve"> of quenching</w:t>
      </w:r>
      <w:r>
        <w:t xml:space="preserve"> was electron transfer</w:t>
      </w:r>
      <w:r w:rsidR="00C334E7">
        <w:t>;</w:t>
      </w:r>
      <w:r>
        <w:t xml:space="preserve"> if not</w:t>
      </w:r>
      <w:r w:rsidR="00047139">
        <w:t>,</w:t>
      </w:r>
      <w:r>
        <w:t xml:space="preserve"> the mechanism was energy transfer</w:t>
      </w:r>
      <w:r w:rsidR="005A073A">
        <w:t>,</w:t>
      </w:r>
      <w:r>
        <w:t xml:space="preserve"> which has</w:t>
      </w:r>
      <w:r w:rsidR="00C215A0">
        <w:t xml:space="preserve"> a</w:t>
      </w:r>
      <w:r>
        <w:t xml:space="preserve"> much smaller reorganization energ</w:t>
      </w:r>
      <w:r w:rsidR="00C215A0">
        <w:t>y</w:t>
      </w:r>
      <w:r w:rsidR="00F54AB3">
        <w:t xml:space="preserve">. </w:t>
      </w:r>
      <w:r>
        <w:t xml:space="preserve">Studies with a series of porphyrin-quinone complexes provided a more quantitative analysis and revealed that an additional </w:t>
      </w:r>
      <w:r w:rsidR="00CA32CC" w:rsidRPr="00CA32CC">
        <w:t xml:space="preserve">800 </w:t>
      </w:r>
      <w:r w:rsidRPr="00CA32CC">
        <w:t xml:space="preserve">meV </w:t>
      </w:r>
      <w:r>
        <w:lastRenderedPageBreak/>
        <w:t>of driving force was needed to initiate electron transfer in a frozen glass relative to fluid solution</w:t>
      </w:r>
      <w:r w:rsidR="00F54AB3">
        <w:t>.</w:t>
      </w:r>
      <w:r w:rsidR="00DA6B48">
        <w:fldChar w:fldCharType="begin" w:fldLock="1"/>
      </w:r>
      <w:r w:rsidR="00B436A2">
        <w:instrText>ADDIN CSL_CITATION {"citationItems":[{"id":"ITEM-1","itemData":{"author":[{"dropping-particle":"","family":"Gaines III","given":"George L.","non-dropping-particle":"","parse-names":false,"suffix":""},{"dropping-particle":"","family":"O'Neill","given":"Michael P.","non-dropping-particle":"","parse-names":false,"suffix":""},{"dropping-particle":"","family":"Svec","given":"Walter A.","non-dropping-particle":"","parse-names":false,"suffix":""},{"dropping-particle":"","family":"Niemczyk","given":"Mark P.","non-dropping-particle":"","parse-names":false,"suffix":""},{"dropping-particle":"","family":"Wasielewski","given":"Michael R.","non-dropping-particle":"","parse-names":false,"suffix":""}],"container-title":"Journal of the American Chemical Society","id":"ITEM-1","issue":"2","issued":{"date-parts":[["1991"]]},"page":"719-721","title":"Photoinduced Electron Transfer in the Solid State: Rate vs Free Energy Dependence in Fixed-Distance Porphyrin-Acceptor Molecules","type":"article-journal","volume":"113"},"uris":["http://www.mendeley.com/documents/?uuid=680e9eab-b8a7-4379-a4b2-67cb51f7074b"]}],"mendeley":{"formattedCitation":"&lt;sup&gt;64&lt;/sup&gt;","plainTextFormattedCitation":"64","previouslyFormattedCitation":"&lt;sup&gt;64&lt;/sup&gt;"},"properties":{"noteIndex":0},"schema":"https://github.com/citation-style-language/schema/raw/master/csl-citation.json"}</w:instrText>
      </w:r>
      <w:r w:rsidR="00DA6B48">
        <w:fldChar w:fldCharType="separate"/>
      </w:r>
      <w:r w:rsidR="00B436A2" w:rsidRPr="00B436A2">
        <w:rPr>
          <w:noProof/>
          <w:vertAlign w:val="superscript"/>
        </w:rPr>
        <w:t>64</w:t>
      </w:r>
      <w:r w:rsidR="00DA6B48">
        <w:fldChar w:fldCharType="end"/>
      </w:r>
      <w:r w:rsidR="005D0C8D">
        <w:t xml:space="preserve"> </w:t>
      </w:r>
      <w:r w:rsidR="00273724">
        <w:t>Photoinduced electron transfer in a rigid polymer matrix at room temperature has also shown similar behavior.</w:t>
      </w:r>
      <w:r w:rsidR="00273724">
        <w:fldChar w:fldCharType="begin" w:fldLock="1"/>
      </w:r>
      <w:r w:rsidR="00B436A2">
        <w:instrText>ADDIN CSL_CITATION {"citationItems":[{"id":"ITEM-1","itemData":{"DOI":"10.1021/ic9512845","ISSN":"0020-1669","abstract":"Classical theories of electron transfer are modified to take into account the differences between electron transfer in a rigid medium and in a fluid. Intramolecular vibrations and part of the dielectric polarization are assumed to remain dynamic in rigid media while the remaining part of the polarization, arising from dipole reorientations, is frozen. In rigid media, electron transfer occurs with the solvent locked into the dipole orientations of the initial state. This causes an increase in the free energy change and a decrease in the solvent reorganizational energy. It also increases the activation free energy for electron transfer. For photoinduced electron transfer, the analysis is more complex because multiple states are involved. The activation free energy can either be greater or less than in a fluid depending on charge distributions before and after electron transfer. The same analysis can be applied to interconversion between excited states in rigid media.","author":[{"dropping-particle":"","family":"Chen","given":"Pingyun","non-dropping-particle":"","parse-names":false,"suffix":""},{"dropping-particle":"","family":"Meyer","given":"Thomas J.","non-dropping-particle":"","parse-names":false,"suffix":""}],"container-title":"Inorganic Chemistry","id":"ITEM-1","issue":"19","issued":{"date-parts":[["1996"]]},"page":"5520-5524","title":"Electron Transfer in Frozen Media","type":"article-journal","volume":"35"},"uris":["http://www.mendeley.com/documents/?uuid=4f6e365c-930f-4f22-8863-7251aba4eb09"]}],"mendeley":{"formattedCitation":"&lt;sup&gt;63&lt;/sup&gt;","plainTextFormattedCitation":"63","previouslyFormattedCitation":"&lt;sup&gt;63&lt;/sup&gt;"},"properties":{"noteIndex":0},"schema":"https://github.com/citation-style-language/schema/raw/master/csl-citation.json"}</w:instrText>
      </w:r>
      <w:r w:rsidR="00273724">
        <w:fldChar w:fldCharType="separate"/>
      </w:r>
      <w:r w:rsidR="00B436A2" w:rsidRPr="00B436A2">
        <w:rPr>
          <w:noProof/>
          <w:vertAlign w:val="superscript"/>
        </w:rPr>
        <w:t>63</w:t>
      </w:r>
      <w:r w:rsidR="00273724">
        <w:fldChar w:fldCharType="end"/>
      </w:r>
      <w:r w:rsidR="00273724">
        <w:t xml:space="preserve"> </w:t>
      </w:r>
      <w:r>
        <w:t>Hence it is likely that the Al</w:t>
      </w:r>
      <w:r>
        <w:rPr>
          <w:vertAlign w:val="subscript"/>
        </w:rPr>
        <w:t>2</w:t>
      </w:r>
      <w:r>
        <w:t>O</w:t>
      </w:r>
      <w:r>
        <w:rPr>
          <w:vertAlign w:val="subscript"/>
        </w:rPr>
        <w:t xml:space="preserve">3 </w:t>
      </w:r>
      <w:r>
        <w:t>overlayer inhibits solvent and/or ion</w:t>
      </w:r>
      <w:r w:rsidR="005A073A">
        <w:t>s</w:t>
      </w:r>
      <w:r>
        <w:t xml:space="preserve"> from accessing the chromophores</w:t>
      </w:r>
      <w:r w:rsidR="005D0C8D">
        <w:t>,</w:t>
      </w:r>
      <w:r>
        <w:t xml:space="preserve"> thereby increasing the reorganization energy and preventing hole hopping.</w:t>
      </w:r>
    </w:p>
    <w:p w14:paraId="6998E212" w14:textId="12E05B37" w:rsidR="004070A1" w:rsidRDefault="004070A1" w:rsidP="004070A1">
      <w:pPr>
        <w:pStyle w:val="NoSpacing"/>
        <w:spacing w:line="360" w:lineRule="auto"/>
        <w:ind w:firstLine="720"/>
        <w:jc w:val="both"/>
      </w:pPr>
      <w:r>
        <w:t>The proposed increase in outer-sphere reorganization energy would not necessarily inhibit excited</w:t>
      </w:r>
      <w:r w:rsidR="00860005">
        <w:t>-</w:t>
      </w:r>
      <w:r>
        <w:t>state injection because the free energy change is very different</w:t>
      </w:r>
      <w:r w:rsidR="00F54AB3">
        <w:t xml:space="preserve">. </w:t>
      </w:r>
      <w:r>
        <w:t xml:space="preserve">Hole hopping occurs with </w:t>
      </w:r>
      <w:r w:rsidRPr="002145A3">
        <w:rPr>
          <w:rFonts w:ascii="Symbol" w:hAnsi="Symbol"/>
        </w:rPr>
        <w:t></w:t>
      </w:r>
      <w:r>
        <w:t>G</w:t>
      </w:r>
      <w:r w:rsidRPr="002145A3">
        <w:rPr>
          <w:vertAlign w:val="superscript"/>
        </w:rPr>
        <w:t>o</w:t>
      </w:r>
      <w:r>
        <w:t xml:space="preserve"> = 0, while excited</w:t>
      </w:r>
      <w:r w:rsidR="00047139">
        <w:t>-</w:t>
      </w:r>
      <w:r>
        <w:t>state injection is activationless when the excited</w:t>
      </w:r>
      <w:r w:rsidR="00047139">
        <w:t>-</w:t>
      </w:r>
      <w:r>
        <w:t>state reduction potential is more than twice the reorganization energy above the semiconductor conduction band edge</w:t>
      </w:r>
      <w:r w:rsidR="00F54AB3">
        <w:t xml:space="preserve">. </w:t>
      </w:r>
      <w:r>
        <w:t xml:space="preserve">The ~40% decrease in injection yield may be due to those </w:t>
      </w:r>
      <w:r w:rsidR="00AA3FD9">
        <w:t>chromophores</w:t>
      </w:r>
      <w:r>
        <w:t xml:space="preserve"> where injection does have a barrier</w:t>
      </w:r>
      <w:r w:rsidR="00F54AB3">
        <w:t xml:space="preserve">. </w:t>
      </w:r>
      <w:r>
        <w:t>In principle, chromophores that are more potent photoreductants could show excited</w:t>
      </w:r>
      <w:r w:rsidR="00047139">
        <w:t>-</w:t>
      </w:r>
      <w:r>
        <w:t xml:space="preserve">state injection yields near unity </w:t>
      </w:r>
      <w:r w:rsidR="00273724">
        <w:t>when</w:t>
      </w:r>
      <w:r>
        <w:t xml:space="preserve"> the insulating overlayer</w:t>
      </w:r>
      <w:r w:rsidR="00273724">
        <w:t xml:space="preserve"> is present</w:t>
      </w:r>
      <w:r>
        <w:t>.</w:t>
      </w:r>
    </w:p>
    <w:p w14:paraId="58606C6C" w14:textId="46735402" w:rsidR="00D10577" w:rsidRDefault="004070A1" w:rsidP="00DC6F92">
      <w:pPr>
        <w:pStyle w:val="NoSpacing"/>
        <w:spacing w:line="360" w:lineRule="auto"/>
        <w:ind w:firstLine="720"/>
        <w:jc w:val="both"/>
      </w:pPr>
      <w:r>
        <w:rPr>
          <w:i/>
        </w:rPr>
        <w:t xml:space="preserve"> </w:t>
      </w:r>
      <w:r w:rsidRPr="00261AF2">
        <w:rPr>
          <w:i/>
        </w:rPr>
        <w:t>Implications</w:t>
      </w:r>
      <w:r>
        <w:rPr>
          <w:i/>
        </w:rPr>
        <w:t xml:space="preserve"> for Practical</w:t>
      </w:r>
      <w:r w:rsidR="000B05D7">
        <w:rPr>
          <w:i/>
        </w:rPr>
        <w:t xml:space="preserve"> </w:t>
      </w:r>
      <w:r w:rsidR="00C31869">
        <w:rPr>
          <w:i/>
        </w:rPr>
        <w:t>Solar Energy Conversion</w:t>
      </w:r>
      <w:r>
        <w:rPr>
          <w:i/>
        </w:rPr>
        <w:t xml:space="preserve"> Applications</w:t>
      </w:r>
      <w:r>
        <w:t>. Uncovering a strategy to allow for p</w:t>
      </w:r>
      <w:r w:rsidRPr="00261AF2">
        <w:t>hotoinduced</w:t>
      </w:r>
      <w:r>
        <w:t xml:space="preserve"> electron injection from a chromophore without subsequent self-exchange processes is expected to allow for greater site isolation of </w:t>
      </w:r>
      <w:r w:rsidR="00AA3FD9">
        <w:t>chromophores</w:t>
      </w:r>
      <w:r>
        <w:t xml:space="preserve"> and catalysts at the high surface coverages needed for efficient light harvesting</w:t>
      </w:r>
      <w:r w:rsidR="005A073A">
        <w:t xml:space="preserve">. </w:t>
      </w:r>
      <w:r>
        <w:t>Catalytic reaction</w:t>
      </w:r>
      <w:r w:rsidR="005A073A">
        <w:t>s</w:t>
      </w:r>
      <w:r>
        <w:t xml:space="preserve"> like water oxidation require the accumulation of multiple redox equivalents on a catalyst which often occurs in kinetic competition with unwanted lateral self-exchange-mediated </w:t>
      </w:r>
      <w:r w:rsidR="00D10577">
        <w:t>recombination</w:t>
      </w:r>
      <w:r>
        <w:t xml:space="preserve"> chemistry.</w:t>
      </w:r>
      <w:r w:rsidR="00501265">
        <w:fldChar w:fldCharType="begin" w:fldLock="1"/>
      </w:r>
      <w:r w:rsidR="00B436A2">
        <w:instrText>ADDIN CSL_CITATION {"citationItems":[{"id":"ITEM-1","itemData":{"DOI":"10.1039/c7cs00465f","ISSN":"14604744","abstract":"Initial experiments on water oxidation by well-defined molecular catalysts were initiated with the goal of finding solutions to solar energy conversion.Initial experiments on water oxidation by well-defined molecular catalysts were initiated with the goal of finding solutions to solar energy conversion. This account is a summary of research in this area by the T. J. Meyer research group. It begins with the design and characterization of the first catalyst, the blue Ru dimer, to current applications with surface-bound complexes on photoanodes for water oxidation in Dye Sensitized Photoelectrosynthesis Cells.","author":[{"dropping-particle":"","family":"Meyer","given":"Thomas J.","non-dropping-particle":"","parse-names":false,"suffix":""},{"dropping-particle":"V.","family":"Sheridan","given":"Matthew","non-dropping-particle":"","parse-names":false,"suffix":""},{"dropping-particle":"","family":"Sherman","given":"Benjamin D.","non-dropping-particle":"","parse-names":false,"suffix":""}],"container-title":"Chemical Society Reviews","id":"ITEM-1","issue":"20","issued":{"date-parts":[["2017"]]},"page":"6148-6169","publisher":"Royal Society of Chemistry","title":"Mechanisms of molecular water oxidation in solution and on oxide surfaces","type":"article-journal","volume":"46"},"uris":["http://www.mendeley.com/documents/?uuid=97ae053e-8fc7-4543-96a2-7ccaacfb0002"]},{"id":"ITEM-2","itemData":{"DOI":"10.1021/acs.jpcc.8b04836","ISSN":"19327455","author":[{"dropping-particle":"","family":"Motley","given":"Tyler C.","non-dropping-particle":"","parse-names":false,"suffix":""},{"dropping-particle":"","family":"Meyer","given":"Gerald J.","non-dropping-particle":"","parse-names":false,"suffix":""}],"container-title":"Journal of Physical Chemistry C","genre":"research-article","id":"ITEM-2","issue":"26","issued":{"date-parts":[["2018"]]},"page":"14420-14424","publisher":"American Chemical Society","title":"Intramolecular Electronic Coupling Enhances Lateral Electron Transfer across Semiconductor Interfaces","type":"article-journal","volume":"122"},"uris":["http://www.mendeley.com/documents/?uuid=5d20315c-c8a7-400b-9cc2-3b29355be390"]}],"mendeley":{"formattedCitation":"&lt;sup&gt;65,66&lt;/sup&gt;","plainTextFormattedCitation":"65,66","previouslyFormattedCitation":"&lt;sup&gt;65,66&lt;/sup&gt;"},"properties":{"noteIndex":0},"schema":"https://github.com/citation-style-language/schema/raw/master/csl-citation.json"}</w:instrText>
      </w:r>
      <w:r w:rsidR="00501265">
        <w:fldChar w:fldCharType="separate"/>
      </w:r>
      <w:r w:rsidR="00B436A2" w:rsidRPr="00B436A2">
        <w:rPr>
          <w:noProof/>
          <w:vertAlign w:val="superscript"/>
        </w:rPr>
        <w:t>65,66</w:t>
      </w:r>
      <w:r w:rsidR="00501265">
        <w:fldChar w:fldCharType="end"/>
      </w:r>
      <w:r>
        <w:t xml:space="preserve"> While decreasing catalyst surface coverage below percolation thresholds has been shown to inhibit this </w:t>
      </w:r>
      <w:r w:rsidR="00D10577">
        <w:t>self-exchange</w:t>
      </w:r>
      <w:r>
        <w:t xml:space="preserve"> chemistry,</w:t>
      </w:r>
      <w:r w:rsidR="00AF42D7">
        <w:fldChar w:fldCharType="begin" w:fldLock="1"/>
      </w:r>
      <w:r w:rsidR="003377A3">
        <w:instrText>ADDIN CSL_CITATION {"citationItems":[{"id":"ITEM-1","itemData":{"DOI":"10.1021/acs.inorgchem.7b02758","ISSN":"1520510X","abstract":"Described herein is a photochemical approach to the generation of a high-valent metal-oxo species that utilizes a chromophore or “sensitizer”, a semiconducting electron acceptor, and a redox buffer that poises a catalyst’s initial protonation and oxidation state. The photoexcited sensitizer injects an electron into the semiconductor and then oxidizes the catalyst whose reactivity occurs in kinetic competition with back electron transfer. Core–shell SnO2/TiO2 semiconductor nanocrystallites inhibited charge recombination relative to TiO2 acceptors. With low sensitizer-catalyst surface coverages, a novel trapping process is exploited that enables catalysis reactivity to be quantified on time scales ranging from nanoseconds to minutes. A proof-of-principle example provides the demonstration of a light-initiated, (1e–, 2H+)-transfer reaction, with an inverse isotope effect of kH/kD = 0.63, to generate a Ru(IV) oxo species.","author":[{"dropping-particle":"","family":"Hu","given":"Ke","non-dropping-particle":"","parse-names":false,"suffix":""},{"dropping-particle":"","family":"Sampaio","given":"Renato N.","non-dropping-particle":"","parse-names":false,"suffix":""},{"dropping-particle":"","family":"Marquard","given":"Seth L.","non-dropping-particle":"","parse-names":false,"suffix":""},{"dropping-particle":"","family":"Brennaman","given":"M. Kyle","non-dropping-particle":"","parse-names":false,"suffix":""},{"dropping-particle":"","family":"Tamaki","given":"Yusuke","non-dropping-particle":"","parse-names":false,"suffix":""},{"dropping-particle":"","family":"Meyer","given":"Thomas J.","non-dropping-particle":"","parse-names":false,"suffix":""},{"dropping-particle":"","family":"Meyer","given":"Gerald J.","non-dropping-particle":"","parse-names":false,"suffix":""}],"container-title":"Inorganic Chemistry","id":"ITEM-1","issue":"1","issued":{"date-parts":[["2018"]]},"page":"486-494","title":"A High-Valent Metal-Oxo Species Produced by Photoinduced One-Electron, Two-Proton Transfer Reactivity","type":"article-journal","volume":"57"},"uris":["http://www.mendeley.com/documents/?uuid=3778abb0-fbf9-45a4-b613-34ab51512f19"]}],"mendeley":{"formattedCitation":"&lt;sup&gt;23&lt;/sup&gt;","plainTextFormattedCitation":"23","previouslyFormattedCitation":"&lt;sup&gt;23&lt;/sup&gt;"},"properties":{"noteIndex":0},"schema":"https://github.com/citation-style-language/schema/raw/master/csl-citation.json"}</w:instrText>
      </w:r>
      <w:r w:rsidR="00AF42D7">
        <w:fldChar w:fldCharType="separate"/>
      </w:r>
      <w:r w:rsidR="00AF42D7" w:rsidRPr="00AF42D7">
        <w:rPr>
          <w:noProof/>
          <w:vertAlign w:val="superscript"/>
        </w:rPr>
        <w:t>23</w:t>
      </w:r>
      <w:r w:rsidR="00AF42D7">
        <w:fldChar w:fldCharType="end"/>
      </w:r>
      <w:r>
        <w:t xml:space="preserve"> </w:t>
      </w:r>
      <w:r w:rsidR="000B05D7">
        <w:t>this strategy can limit catalysis at high light intensities</w:t>
      </w:r>
      <w:r>
        <w:t xml:space="preserve">. </w:t>
      </w:r>
      <w:r w:rsidR="00D10577">
        <w:t xml:space="preserve">Hence, </w:t>
      </w:r>
      <w:r w:rsidR="00A56C76">
        <w:t xml:space="preserve">an </w:t>
      </w:r>
      <w:r>
        <w:t>insulating overlayer</w:t>
      </w:r>
      <w:r w:rsidR="00A56C76">
        <w:t xml:space="preserve"> may be a promising strategy as it</w:t>
      </w:r>
      <w:r>
        <w:t xml:space="preserve"> allow</w:t>
      </w:r>
      <w:r w:rsidR="00D10577">
        <w:t>s</w:t>
      </w:r>
      <w:r>
        <w:t xml:space="preserve"> for saturation surface coverage</w:t>
      </w:r>
      <w:r w:rsidR="00D10577">
        <w:t>s</w:t>
      </w:r>
      <w:r w:rsidR="00A56C76">
        <w:t xml:space="preserve"> </w:t>
      </w:r>
      <w:r w:rsidR="009F7559">
        <w:t xml:space="preserve">that preserve excited-state injection and inhibit </w:t>
      </w:r>
      <w:r w:rsidR="00AD2598">
        <w:t>unwanted recombination pathways.</w:t>
      </w:r>
    </w:p>
    <w:p w14:paraId="6C45CDCE" w14:textId="08AD718C" w:rsidR="000B05D7" w:rsidRDefault="000B05D7" w:rsidP="000B05D7">
      <w:pPr>
        <w:pStyle w:val="NoSpacing"/>
        <w:spacing w:line="360" w:lineRule="auto"/>
        <w:ind w:firstLine="720"/>
        <w:jc w:val="both"/>
      </w:pPr>
      <w:r>
        <w:t xml:space="preserve">An idealized model for how an insulating overlayer could enhanced water oxidation photocatalysis is shown in </w:t>
      </w:r>
      <w:r w:rsidRPr="00221BF8">
        <w:rPr>
          <w:b/>
        </w:rPr>
        <w:t>Scheme 3</w:t>
      </w:r>
      <w:r>
        <w:t xml:space="preserve"> with chromophore-catalysts compounds depicted as the orange-blue spheres. Water oxidation requires four oxidizing equivalents to be transferred from the oxidized chromophores.</w:t>
      </w:r>
      <w:r w:rsidR="00D755BA" w:rsidRPr="00D755BA">
        <w:rPr>
          <w:vertAlign w:val="superscript"/>
        </w:rPr>
        <w:t>11</w:t>
      </w:r>
      <w:r>
        <w:t xml:space="preserve"> For simplicity only two oxidations are shown on the catalysts in this simplified schematic and are depicted as green (</w:t>
      </w:r>
      <w:r w:rsidR="00B81069">
        <w:t>1+</w:t>
      </w:r>
      <w:r>
        <w:t>) and pink (</w:t>
      </w:r>
      <w:r w:rsidR="00B81069">
        <w:t>2+</w:t>
      </w:r>
      <w:r>
        <w:t>) spheres. Light absorption results in excited-state injection into TiO</w:t>
      </w:r>
      <w:r w:rsidRPr="0038010D">
        <w:rPr>
          <w:vertAlign w:val="subscript"/>
        </w:rPr>
        <w:t>2</w:t>
      </w:r>
      <w:r>
        <w:t xml:space="preserve"> followed by intramolecular electron transfer from the oxidized chromophore to the catalyst. At saturation surface coverages, lateral hole hopping provides a means to equilibrate all the catalysts to a common formal oxidation state. For example, a catalyst in the formal oxidation state of </w:t>
      </w:r>
      <w:r w:rsidR="00B81069">
        <w:t>0</w:t>
      </w:r>
      <w:r>
        <w:t xml:space="preserve"> (blue) next to a catalyst in the </w:t>
      </w:r>
      <w:r w:rsidR="00B81069">
        <w:t>2+</w:t>
      </w:r>
      <w:r>
        <w:t xml:space="preserve"> (pink) state would reduce it by </w:t>
      </w:r>
      <w:r>
        <w:lastRenderedPageBreak/>
        <w:t xml:space="preserve">electron transfer (or hole-hopping in the other direction) to generate two catalysts in the </w:t>
      </w:r>
      <w:r w:rsidR="00B81069">
        <w:t>1+</w:t>
      </w:r>
      <w:r>
        <w:t xml:space="preserve"> (green) state. When such equilibration </w:t>
      </w:r>
      <w:r w:rsidR="00D755BA">
        <w:t>is</w:t>
      </w:r>
      <w:r>
        <w:t xml:space="preserve"> rapid</w:t>
      </w:r>
      <w:r w:rsidR="00D755BA">
        <w:t>,</w:t>
      </w:r>
      <w:r>
        <w:t xml:space="preserve"> all of the catalysts would be present on one formal oxidation state or a Nernstian mixture of two states at any given time. It has been previously shown that such a large surface coverage of oxidized catalysts increases the probability for recombination with a TiO</w:t>
      </w:r>
      <w:r w:rsidRPr="004C3BD7">
        <w:rPr>
          <w:vertAlign w:val="subscript"/>
        </w:rPr>
        <w:t>2</w:t>
      </w:r>
      <w:r>
        <w:t xml:space="preserve"> electron trapped near the surface.</w:t>
      </w:r>
      <w:r w:rsidR="00D755BA" w:rsidRPr="00D755BA">
        <w:rPr>
          <w:vertAlign w:val="superscript"/>
        </w:rPr>
        <w:t>23</w:t>
      </w:r>
      <w:r>
        <w:t xml:space="preserve"> In contrast, an insulating overlayer would enable each chromophore-catalyst compound to go through the entire catalytic cycle without equilibration with neighboring compounds. It is important to note that the Al</w:t>
      </w:r>
      <w:r>
        <w:rPr>
          <w:vertAlign w:val="subscript"/>
        </w:rPr>
        <w:t>2</w:t>
      </w:r>
      <w:r>
        <w:t>O</w:t>
      </w:r>
      <w:r>
        <w:rPr>
          <w:vertAlign w:val="subscript"/>
        </w:rPr>
        <w:t>3</w:t>
      </w:r>
      <w:r>
        <w:t xml:space="preserve"> overlayer thickness must afford access of the catalyst to the aqueous solution and allow reorganization through all the mechanistic steps in the catalytic cycle. Hence, the ALD or other deposition techniques must be carefully controlled to prevent lateral hole hopping without deactivation of the catalysts. Future research will test the validity of this approach.</w:t>
      </w:r>
    </w:p>
    <w:p w14:paraId="23BF480D" w14:textId="77777777" w:rsidR="002F5C8B" w:rsidRPr="002F5C8B" w:rsidRDefault="002F5C8B" w:rsidP="002F5C8B">
      <w:pPr>
        <w:pStyle w:val="NoSpacing"/>
        <w:spacing w:line="360" w:lineRule="auto"/>
        <w:ind w:firstLine="720"/>
        <w:jc w:val="both"/>
      </w:pPr>
    </w:p>
    <w:p w14:paraId="5817E91B" w14:textId="67D6BFE2" w:rsidR="004070A1" w:rsidRDefault="007C2FA0" w:rsidP="004070A1">
      <w:pPr>
        <w:pStyle w:val="NoSpacing"/>
        <w:spacing w:line="360" w:lineRule="auto"/>
        <w:jc w:val="both"/>
      </w:pPr>
      <w:r w:rsidRPr="007C2FA0">
        <w:rPr>
          <w:noProof/>
        </w:rPr>
        <w:drawing>
          <wp:inline distT="0" distB="0" distL="0" distR="0" wp14:anchorId="348C39AA" wp14:editId="6785AA8E">
            <wp:extent cx="2743200" cy="4325112"/>
            <wp:effectExtent l="0" t="0" r="0" b="0"/>
            <wp:docPr id="1026" name="CFC08E67-8B5C-44EA-B8B6-0F9D00F4B2D8" descr="2ABA72B0-B10E-4865-A8BE-A724CD2156EB@SSG-550M">
              <a:extLst xmlns:a="http://schemas.openxmlformats.org/drawingml/2006/main">
                <a:ext uri="{FF2B5EF4-FFF2-40B4-BE49-F238E27FC236}">
                  <a16:creationId xmlns:a16="http://schemas.microsoft.com/office/drawing/2014/main" id="{6459C369-7552-4A85-A1C2-1BCEAB2776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CFC08E67-8B5C-44EA-B8B6-0F9D00F4B2D8" descr="2ABA72B0-B10E-4865-A8BE-A724CD2156EB@SSG-550M">
                      <a:extLst>
                        <a:ext uri="{FF2B5EF4-FFF2-40B4-BE49-F238E27FC236}">
                          <a16:creationId xmlns:a16="http://schemas.microsoft.com/office/drawing/2014/main" id="{6459C369-7552-4A85-A1C2-1BCEAB2776F2}"/>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43200" cy="4325112"/>
                    </a:xfrm>
                    <a:prstGeom prst="rect">
                      <a:avLst/>
                    </a:prstGeom>
                    <a:noFill/>
                    <a:ln>
                      <a:noFill/>
                    </a:ln>
                  </pic:spPr>
                </pic:pic>
              </a:graphicData>
            </a:graphic>
          </wp:inline>
        </w:drawing>
      </w:r>
    </w:p>
    <w:p w14:paraId="7BD6C267" w14:textId="424A3BDD" w:rsidR="00DC6F92" w:rsidRPr="006B681A" w:rsidRDefault="00DC6F92" w:rsidP="00CF3506">
      <w:pPr>
        <w:pStyle w:val="NoSpacing"/>
        <w:jc w:val="both"/>
        <w:rPr>
          <w:b/>
        </w:rPr>
      </w:pPr>
      <w:r w:rsidRPr="006B681A">
        <w:rPr>
          <w:b/>
        </w:rPr>
        <w:t xml:space="preserve">Scheme </w:t>
      </w:r>
      <w:r>
        <w:rPr>
          <w:b/>
        </w:rPr>
        <w:t>3</w:t>
      </w:r>
      <w:r w:rsidRPr="006B681A">
        <w:rPr>
          <w:b/>
        </w:rPr>
        <w:t xml:space="preserve">. </w:t>
      </w:r>
      <w:r w:rsidR="00BE415D">
        <w:t>An idealized model</w:t>
      </w:r>
      <w:r w:rsidR="00B65BB7">
        <w:t xml:space="preserve"> </w:t>
      </w:r>
      <w:r w:rsidR="00153E34">
        <w:t>depicting a TiO</w:t>
      </w:r>
      <w:r w:rsidR="00153E34">
        <w:rPr>
          <w:vertAlign w:val="subscript"/>
        </w:rPr>
        <w:t>2</w:t>
      </w:r>
      <w:r w:rsidR="00153E34">
        <w:t xml:space="preserve"> </w:t>
      </w:r>
      <w:r w:rsidR="001B3528">
        <w:t>nanocrystallite</w:t>
      </w:r>
      <w:r w:rsidR="00153E34">
        <w:t xml:space="preserve"> with surface-</w:t>
      </w:r>
      <w:r w:rsidR="00C379C7">
        <w:t>anchored</w:t>
      </w:r>
      <w:r w:rsidR="00153E34">
        <w:t xml:space="preserve"> chromophore-catalyst compounds. The orange chromophores and blue catalysts, after light excitation, electron injection, and </w:t>
      </w:r>
      <w:r w:rsidR="000B05D7">
        <w:t>intramolecular electron transfer</w:t>
      </w:r>
      <w:r w:rsidR="00153E34">
        <w:t xml:space="preserve">, result in </w:t>
      </w:r>
      <w:r w:rsidR="000B05D7">
        <w:t xml:space="preserve">catalysts that are </w:t>
      </w:r>
      <w:r w:rsidR="000B05D7">
        <w:lastRenderedPageBreak/>
        <w:t>oxidized by one electron (green spheres)</w:t>
      </w:r>
      <w:r w:rsidR="00153E34">
        <w:t>.</w:t>
      </w:r>
      <w:r w:rsidR="000B05D7">
        <w:t xml:space="preserve"> When the same process occurs a second time, catalysts that are oxidized by two electrons are formed (pink spheres).</w:t>
      </w:r>
      <w:r w:rsidR="00153E34">
        <w:t xml:space="preserve"> In the absence of an Al</w:t>
      </w:r>
      <w:r w:rsidR="00153E34">
        <w:rPr>
          <w:vertAlign w:val="subscript"/>
        </w:rPr>
        <w:t>2</w:t>
      </w:r>
      <w:r w:rsidR="00153E34">
        <w:t>O</w:t>
      </w:r>
      <w:r w:rsidR="00153E34">
        <w:rPr>
          <w:vertAlign w:val="subscript"/>
        </w:rPr>
        <w:t>3</w:t>
      </w:r>
      <w:r w:rsidR="00153E34">
        <w:t xml:space="preserve"> overlayer</w:t>
      </w:r>
      <w:r w:rsidR="00956BF3">
        <w:t xml:space="preserve"> (top)</w:t>
      </w:r>
      <w:r w:rsidR="00153E34">
        <w:t xml:space="preserve">, </w:t>
      </w:r>
      <w:r w:rsidR="000B05D7">
        <w:t>hole hopping provides a means for all the catalysts to equilibrate to a common oxidation state or a Nernstian mixture of two</w:t>
      </w:r>
      <w:r w:rsidR="00F1058F">
        <w:t xml:space="preserve">. </w:t>
      </w:r>
      <w:r w:rsidR="00C379C7">
        <w:t>Introduction of</w:t>
      </w:r>
      <w:r w:rsidR="00A61167">
        <w:t xml:space="preserve"> an </w:t>
      </w:r>
      <w:r w:rsidR="00CF3506">
        <w:t>Al</w:t>
      </w:r>
      <w:r w:rsidR="00CF3506">
        <w:rPr>
          <w:vertAlign w:val="subscript"/>
        </w:rPr>
        <w:t>2</w:t>
      </w:r>
      <w:r w:rsidR="00CF3506">
        <w:t>O</w:t>
      </w:r>
      <w:r w:rsidR="00CF3506">
        <w:rPr>
          <w:vertAlign w:val="subscript"/>
        </w:rPr>
        <w:t>3</w:t>
      </w:r>
      <w:r w:rsidR="00CF3506">
        <w:t xml:space="preserve"> overlayer</w:t>
      </w:r>
      <w:r w:rsidR="00956BF3">
        <w:t xml:space="preserve"> (bottom)</w:t>
      </w:r>
      <w:r w:rsidR="00CF3506">
        <w:t xml:space="preserve"> </w:t>
      </w:r>
      <w:r w:rsidR="000B05D7">
        <w:t>provides site isolation of the catalysts by preventing lateral hole hopping.</w:t>
      </w:r>
    </w:p>
    <w:p w14:paraId="41E687DA" w14:textId="77777777" w:rsidR="00047139" w:rsidRDefault="00047139" w:rsidP="004070A1">
      <w:pPr>
        <w:pStyle w:val="NoSpacing"/>
        <w:spacing w:line="360" w:lineRule="auto"/>
        <w:jc w:val="both"/>
      </w:pPr>
    </w:p>
    <w:p w14:paraId="28569AE9" w14:textId="77777777" w:rsidR="004070A1" w:rsidRDefault="004070A1" w:rsidP="004070A1">
      <w:pPr>
        <w:pStyle w:val="NoSpacing"/>
        <w:spacing w:line="360" w:lineRule="auto"/>
        <w:jc w:val="both"/>
        <w:rPr>
          <w:b/>
        </w:rPr>
      </w:pPr>
      <w:r>
        <w:br/>
      </w:r>
      <w:r>
        <w:rPr>
          <w:b/>
        </w:rPr>
        <w:t>CONCLUSIONS.</w:t>
      </w:r>
    </w:p>
    <w:p w14:paraId="1D8197EA" w14:textId="00A7579F" w:rsidR="004070A1" w:rsidRPr="00731EE7" w:rsidRDefault="004070A1" w:rsidP="004070A1">
      <w:pPr>
        <w:pStyle w:val="NoSpacing"/>
        <w:spacing w:line="360" w:lineRule="auto"/>
        <w:ind w:firstLine="720"/>
        <w:jc w:val="both"/>
      </w:pPr>
      <w:r>
        <w:t>Three Ru</w:t>
      </w:r>
      <w:r w:rsidR="00D10577">
        <w:rPr>
          <w:vertAlign w:val="superscript"/>
        </w:rPr>
        <w:t>II</w:t>
      </w:r>
      <w:r>
        <w:t xml:space="preserve"> polypyridyl chromophores anchored to mesoporous TiO</w:t>
      </w:r>
      <w:r>
        <w:rPr>
          <w:vertAlign w:val="subscript"/>
        </w:rPr>
        <w:t>2</w:t>
      </w:r>
      <w:r>
        <w:t xml:space="preserve"> semiconductor thin films enabled the rate constants for intermolecular self-exchange electron transfer, also called lateral hole hopping, to be quantified after a potential step or pulsed</w:t>
      </w:r>
      <w:r w:rsidR="00501265">
        <w:t>-</w:t>
      </w:r>
      <w:r>
        <w:t>light excitation</w:t>
      </w:r>
      <w:r w:rsidR="00F54AB3">
        <w:t xml:space="preserve">. </w:t>
      </w:r>
      <w:r>
        <w:t>The rate constants extracted from the electrochemical and spectroscopic data were in good agreement</w:t>
      </w:r>
      <w:r w:rsidR="009065B2">
        <w:t xml:space="preserve"> for two of the chromophores</w:t>
      </w:r>
      <w:r>
        <w:t xml:space="preserve"> and showed more sluggish hole hopping </w:t>
      </w:r>
      <w:r w:rsidR="003D22AF">
        <w:t>when</w:t>
      </w:r>
      <w:r>
        <w:t xml:space="preserve"> bulky </w:t>
      </w:r>
      <w:r w:rsidR="00501265">
        <w:t>tert-</w:t>
      </w:r>
      <w:r>
        <w:t>butyl substituents</w:t>
      </w:r>
      <w:r w:rsidR="003D22AF">
        <w:t xml:space="preserve"> were present</w:t>
      </w:r>
      <w:r w:rsidR="00F54AB3">
        <w:t xml:space="preserve">. </w:t>
      </w:r>
      <w:r>
        <w:t>Monte</w:t>
      </w:r>
      <w:r w:rsidR="003D22AF">
        <w:t xml:space="preserve"> </w:t>
      </w:r>
      <w:r>
        <w:t>Carlo simulations revealed average hole hopping rates that ranged between 2 and 20 microseconds per hop</w:t>
      </w:r>
      <w:r w:rsidR="00F54AB3">
        <w:t xml:space="preserve">. </w:t>
      </w:r>
      <w:r>
        <w:t>In pulsed</w:t>
      </w:r>
      <w:r w:rsidR="00501265">
        <w:t>-</w:t>
      </w:r>
      <w:r>
        <w:t>light experiments, more rapid hole</w:t>
      </w:r>
      <w:r w:rsidR="000D217A">
        <w:t xml:space="preserve"> </w:t>
      </w:r>
      <w:r>
        <w:t>hopping also led to faster charge recombination with the injected electron as has been previously reported</w:t>
      </w:r>
      <w:r w:rsidR="00F54AB3">
        <w:t>.</w:t>
      </w:r>
      <w:r w:rsidR="00D7053F">
        <w:fldChar w:fldCharType="begin" w:fldLock="1"/>
      </w:r>
      <w:r w:rsidR="00B436A2">
        <w:instrText>ADDIN CSL_CITATION {"citationItems":[{"id":"ITEM-1","itemData":{"DOI":"10.1021/jacs.6b04956","ISBN":"0002-7863, 1520-5126","ISSN":"15205126","PMID":"27610830","abstract":"Charge recombination between oxidized dyes attached to mesoporous TiO2 and electrons in the TiO2 was studied in inert electrolytes using transient absorption spectroscopy. Simultaneously, hole transport within the dye monolayers was monitored by transient absorption anisotropy. The rate of recombination decreased when hole transport was inhibited selectively, either by decreasing the dye surface coverage or by changing the electrolyte environment. From Monte Carlo simulations of electron and hole diffusion in a particle, modeled as a cubic structure, we identify the conditions under which hole lifetime depends on the hole diffusion coefficient for the case of normal (disorder free) diffusion. From simulations of transient absorption and transient absorption anisotropy, we find that the rate and the dispersive character of hole transport in the dye monolayer observed spectroscopically can be explained by incomplete coverage and disorder in the monolayer. We show that dispersive transport in the dye monolay...","author":[{"dropping-particle":"","family":"Moia","given":"Davide","non-dropping-particle":"","parse-names":false,"suffix":""},{"dropping-particle":"","family":"Szumska","given":"Anna","non-dropping-particle":"","parse-names":false,"suffix":""},{"dropping-particle":"","family":"Vaissier","given":"Valérie","non-dropping-particle":"","parse-names":false,"suffix":""},{"dropping-particle":"","family":"Planells","given":"Miquel","non-dropping-particle":"","parse-names":false,"suffix":""},{"dropping-particle":"","family":"Robertson","given":"Neil","non-dropping-particle":"","parse-names":false,"suffix":""},{"dropping-particle":"","family":"O'Regan","given":"Brian C.","non-dropping-particle":"","parse-names":false,"suffix":""},{"dropping-particle":"","family":"Nelson","given":"Jenny","non-dropping-particle":"","parse-names":false,"suffix":""},{"dropping-particle":"","family":"Barnes","given":"Piers R.F.","non-dropping-particle":"","parse-names":false,"suffix":""}],"container-title":"Journal of the American Chemical Society","id":"ITEM-1","issue":"40","issued":{"date-parts":[["2016"]]},"page":"13197-13206","title":"Interdye Hole Transport Accelerates Recombination in Dye Sensitized Mesoporous Films","type":"article-journal","volume":"138"},"uris":["http://www.mendeley.com/documents/?uuid=14098e6f-ce66-4488-ad48-ffad55c89239"]}],"mendeley":{"formattedCitation":"&lt;sup&gt;27&lt;/sup&gt;","plainTextFormattedCitation":"27","previouslyFormattedCitation":"&lt;sup&gt;27&lt;/sup&gt;"},"properties":{"noteIndex":0},"schema":"https://github.com/citation-style-language/schema/raw/master/csl-citation.json"}</w:instrText>
      </w:r>
      <w:r w:rsidR="00D7053F">
        <w:fldChar w:fldCharType="separate"/>
      </w:r>
      <w:r w:rsidR="008D087C" w:rsidRPr="008D087C">
        <w:rPr>
          <w:noProof/>
          <w:vertAlign w:val="superscript"/>
        </w:rPr>
        <w:t>27</w:t>
      </w:r>
      <w:r w:rsidR="00D7053F">
        <w:fldChar w:fldCharType="end"/>
      </w:r>
      <w:r w:rsidR="00F54AB3">
        <w:t xml:space="preserve"> </w:t>
      </w:r>
      <w:r>
        <w:t>When the sensitized thin films were covered with an Al</w:t>
      </w:r>
      <w:r>
        <w:rPr>
          <w:vertAlign w:val="subscript"/>
        </w:rPr>
        <w:t>2</w:t>
      </w:r>
      <w:r>
        <w:t>O</w:t>
      </w:r>
      <w:r>
        <w:rPr>
          <w:vertAlign w:val="subscript"/>
        </w:rPr>
        <w:t>3</w:t>
      </w:r>
      <w:r>
        <w:t xml:space="preserve"> overlayer, the excited state injection yield decreased from unity to about 0.6; more dramatically</w:t>
      </w:r>
      <w:r w:rsidR="00047139">
        <w:t>,</w:t>
      </w:r>
      <w:r>
        <w:t xml:space="preserve"> hole</w:t>
      </w:r>
      <w:r w:rsidR="000D217A">
        <w:t xml:space="preserve"> </w:t>
      </w:r>
      <w:r>
        <w:t xml:space="preserve">hopping was </w:t>
      </w:r>
      <w:r w:rsidR="00D7053F">
        <w:t>absent</w:t>
      </w:r>
      <w:r w:rsidR="00F54AB3">
        <w:t xml:space="preserve">. </w:t>
      </w:r>
      <w:r>
        <w:t xml:space="preserve">This behavior was attributed to exclusion of the electrolyte from the </w:t>
      </w:r>
      <w:r w:rsidR="00AA3FD9">
        <w:t>chromophores</w:t>
      </w:r>
      <w:r>
        <w:t xml:space="preserve"> by the overlayer which </w:t>
      </w:r>
      <w:r w:rsidR="00CE2EB8">
        <w:t>increased the</w:t>
      </w:r>
      <w:r>
        <w:t xml:space="preserve"> reorganization energy for electron transfer</w:t>
      </w:r>
      <w:r w:rsidR="005A073A">
        <w:t xml:space="preserve">. </w:t>
      </w:r>
      <w:r>
        <w:t xml:space="preserve">The results indicate that insulating overlayers provide a potential strategy for site-isolation of </w:t>
      </w:r>
      <w:r w:rsidR="00AA3FD9">
        <w:t>chromophores</w:t>
      </w:r>
      <w:r>
        <w:t xml:space="preserve"> or catalysts, where excited-state interfacial electron transfer is largely preserved but unwanted lateral self-exchange electron transfer is inhibited. </w:t>
      </w:r>
    </w:p>
    <w:p w14:paraId="330B3F29" w14:textId="77777777" w:rsidR="00C26C87" w:rsidRPr="00731EE7" w:rsidRDefault="00C26C87" w:rsidP="00C26C87">
      <w:pPr>
        <w:pStyle w:val="SectionTitle"/>
        <w:spacing w:line="360" w:lineRule="auto"/>
        <w:rPr>
          <w:rFonts w:ascii="Times New Roman" w:hAnsi="Times New Roman" w:cs="Times New Roman"/>
          <w:sz w:val="24"/>
        </w:rPr>
      </w:pPr>
      <w:r w:rsidRPr="00731EE7">
        <w:rPr>
          <w:rFonts w:ascii="Times New Roman" w:hAnsi="Times New Roman" w:cs="Times New Roman"/>
          <w:sz w:val="24"/>
        </w:rPr>
        <w:t xml:space="preserve">ASSOCIATED CONTENT </w:t>
      </w:r>
    </w:p>
    <w:p w14:paraId="5182E3E8" w14:textId="606C9FF7" w:rsidR="00C26C87" w:rsidRDefault="00C26C87" w:rsidP="00C26C87">
      <w:pPr>
        <w:pStyle w:val="SectionContent"/>
        <w:spacing w:line="360" w:lineRule="auto"/>
        <w:rPr>
          <w:rFonts w:ascii="Times New Roman" w:hAnsi="Times New Roman"/>
          <w:sz w:val="24"/>
          <w:szCs w:val="24"/>
        </w:rPr>
      </w:pPr>
      <w:r w:rsidRPr="00731EE7">
        <w:rPr>
          <w:rFonts w:ascii="Times New Roman" w:hAnsi="Times New Roman"/>
          <w:b/>
          <w:sz w:val="24"/>
          <w:szCs w:val="24"/>
        </w:rPr>
        <w:t>Supporting Information</w:t>
      </w:r>
      <w:r w:rsidRPr="00731EE7">
        <w:rPr>
          <w:rFonts w:ascii="Times New Roman" w:hAnsi="Times New Roman"/>
          <w:sz w:val="24"/>
          <w:szCs w:val="24"/>
        </w:rPr>
        <w:t>.</w:t>
      </w:r>
    </w:p>
    <w:p w14:paraId="63D5EA17" w14:textId="4761C39F" w:rsidR="00193336" w:rsidRPr="00193336" w:rsidRDefault="00193336" w:rsidP="00193336">
      <w:pPr>
        <w:pStyle w:val="NoSpacing"/>
      </w:pPr>
      <w:r>
        <w:tab/>
        <w:t>Transient absorption anisotropy, transient absorption, and Monte Carlo simulations</w:t>
      </w:r>
    </w:p>
    <w:p w14:paraId="256E1738" w14:textId="77777777" w:rsidR="00C26C87" w:rsidRPr="00731EE7" w:rsidRDefault="00C26C87" w:rsidP="00C26C87">
      <w:pPr>
        <w:pStyle w:val="SectionTitle"/>
        <w:spacing w:line="360" w:lineRule="auto"/>
        <w:rPr>
          <w:rFonts w:ascii="Times New Roman" w:hAnsi="Times New Roman" w:cs="Times New Roman"/>
          <w:sz w:val="24"/>
        </w:rPr>
      </w:pPr>
      <w:r w:rsidRPr="00731EE7">
        <w:rPr>
          <w:rFonts w:ascii="Times New Roman" w:hAnsi="Times New Roman" w:cs="Times New Roman"/>
          <w:sz w:val="24"/>
        </w:rPr>
        <w:t>AUTHOR INFORMATION</w:t>
      </w:r>
    </w:p>
    <w:p w14:paraId="0B7D9451" w14:textId="77777777" w:rsidR="00C26C87" w:rsidRPr="00731EE7" w:rsidRDefault="00C26C87" w:rsidP="00C26C87">
      <w:pPr>
        <w:pStyle w:val="SectionSubtitle"/>
        <w:spacing w:line="360" w:lineRule="auto"/>
        <w:jc w:val="both"/>
        <w:rPr>
          <w:rFonts w:ascii="Times New Roman" w:hAnsi="Times New Roman"/>
          <w:sz w:val="24"/>
          <w:szCs w:val="24"/>
        </w:rPr>
      </w:pPr>
      <w:r w:rsidRPr="00731EE7">
        <w:rPr>
          <w:rFonts w:ascii="Times New Roman" w:hAnsi="Times New Roman"/>
          <w:sz w:val="24"/>
          <w:szCs w:val="24"/>
        </w:rPr>
        <w:t>Corresponding Author</w:t>
      </w:r>
    </w:p>
    <w:p w14:paraId="6BAF9A26" w14:textId="77777777" w:rsidR="00C26C87" w:rsidRPr="00731EE7" w:rsidRDefault="007A0DAF" w:rsidP="00C26C87">
      <w:pPr>
        <w:pStyle w:val="SectionContent"/>
        <w:spacing w:line="360" w:lineRule="auto"/>
        <w:rPr>
          <w:rFonts w:ascii="Times New Roman" w:hAnsi="Times New Roman"/>
          <w:sz w:val="24"/>
          <w:szCs w:val="24"/>
        </w:rPr>
      </w:pPr>
      <w:hyperlink r:id="rId17" w:history="1">
        <w:r w:rsidR="00C26C87" w:rsidRPr="00731EE7">
          <w:rPr>
            <w:rStyle w:val="Hyperlink"/>
            <w:rFonts w:ascii="Times New Roman" w:hAnsi="Times New Roman"/>
            <w:sz w:val="24"/>
            <w:szCs w:val="24"/>
          </w:rPr>
          <w:t>gjmeyer@email.unc.edu</w:t>
        </w:r>
      </w:hyperlink>
    </w:p>
    <w:p w14:paraId="4AB9A2E2" w14:textId="77777777" w:rsidR="00C26C87" w:rsidRPr="00731EE7" w:rsidRDefault="00C26C87" w:rsidP="00C26C87">
      <w:pPr>
        <w:pStyle w:val="SectionSubtitle"/>
        <w:spacing w:line="360" w:lineRule="auto"/>
        <w:jc w:val="both"/>
        <w:rPr>
          <w:rFonts w:ascii="Times New Roman" w:hAnsi="Times New Roman"/>
          <w:sz w:val="24"/>
          <w:szCs w:val="24"/>
        </w:rPr>
      </w:pPr>
      <w:r w:rsidRPr="00731EE7">
        <w:rPr>
          <w:rFonts w:ascii="Times New Roman" w:hAnsi="Times New Roman"/>
          <w:sz w:val="24"/>
          <w:szCs w:val="24"/>
        </w:rPr>
        <w:t>Funding Sources</w:t>
      </w:r>
    </w:p>
    <w:p w14:paraId="4EAA9456" w14:textId="77777777" w:rsidR="00C26C87" w:rsidRPr="00731EE7" w:rsidRDefault="00C26C87" w:rsidP="00C26C87">
      <w:pPr>
        <w:pStyle w:val="SectionContent"/>
        <w:spacing w:line="360" w:lineRule="auto"/>
        <w:rPr>
          <w:rFonts w:ascii="Times New Roman" w:hAnsi="Times New Roman"/>
          <w:sz w:val="24"/>
          <w:szCs w:val="24"/>
        </w:rPr>
      </w:pPr>
      <w:r w:rsidRPr="00731EE7">
        <w:rPr>
          <w:rFonts w:ascii="Times New Roman" w:hAnsi="Times New Roman"/>
          <w:sz w:val="24"/>
          <w:szCs w:val="24"/>
        </w:rPr>
        <w:t>No competing financial interests have been declared.</w:t>
      </w:r>
    </w:p>
    <w:p w14:paraId="01099817" w14:textId="77777777" w:rsidR="00C26C87" w:rsidRPr="00731EE7" w:rsidRDefault="00C26C87" w:rsidP="00C26C87">
      <w:pPr>
        <w:pStyle w:val="SectionTitle"/>
        <w:spacing w:line="360" w:lineRule="auto"/>
        <w:rPr>
          <w:rFonts w:ascii="Times New Roman" w:hAnsi="Times New Roman" w:cs="Times New Roman"/>
          <w:sz w:val="24"/>
        </w:rPr>
      </w:pPr>
      <w:r w:rsidRPr="00731EE7">
        <w:rPr>
          <w:rFonts w:ascii="Times New Roman" w:hAnsi="Times New Roman" w:cs="Times New Roman"/>
          <w:sz w:val="24"/>
        </w:rPr>
        <w:lastRenderedPageBreak/>
        <w:t xml:space="preserve">ACKNOWLEDGMENT </w:t>
      </w:r>
    </w:p>
    <w:p w14:paraId="2B9CA24D" w14:textId="4DCE460C" w:rsidR="00C26C87" w:rsidRPr="00F1058F" w:rsidRDefault="00C7407E" w:rsidP="00F1058F">
      <w:pPr>
        <w:pStyle w:val="SectionContent"/>
        <w:spacing w:line="360" w:lineRule="auto"/>
        <w:rPr>
          <w:rFonts w:ascii="Times New Roman" w:hAnsi="Times New Roman"/>
          <w:sz w:val="24"/>
          <w:szCs w:val="24"/>
          <w:lang w:eastAsia="fr-FR"/>
        </w:rPr>
      </w:pPr>
      <w:r>
        <w:rPr>
          <w:rFonts w:ascii="Times New Roman" w:hAnsi="Times New Roman"/>
          <w:sz w:val="24"/>
          <w:szCs w:val="24"/>
          <w:lang w:eastAsia="fr-FR"/>
        </w:rPr>
        <w:t xml:space="preserve">This research is supported by the National Science Foundation (NSF) under Award Number 1800022. </w:t>
      </w:r>
      <w:r w:rsidR="00581327" w:rsidRPr="00581327">
        <w:rPr>
          <w:rFonts w:ascii="Times New Roman" w:hAnsi="Times New Roman"/>
          <w:sz w:val="24"/>
          <w:szCs w:val="24"/>
          <w:lang w:eastAsia="fr-FR"/>
        </w:rPr>
        <w:t>This work made use of atomic layer deposition instrumentation at the Chapel Hill Analytical and Nanofabrication Laboratory (CHANL), a member of the North Carolina Research Triangle Nanotechnology Network (RTNN), which is supported by the National Science Foundation (Grant ECCS-1542015) as part of the National Nanotechnology Coordinated Infrastructure (NNCI).</w:t>
      </w:r>
      <w:r>
        <w:rPr>
          <w:rFonts w:ascii="Times New Roman" w:hAnsi="Times New Roman"/>
          <w:sz w:val="24"/>
          <w:szCs w:val="24"/>
          <w:lang w:eastAsia="fr-FR"/>
        </w:rPr>
        <w:t xml:space="preserve"> T.C.M. would like to acknowledge the NSF Graduate Research Fellowship for support (Grant No. DGE-1144081).</w:t>
      </w:r>
    </w:p>
    <w:p w14:paraId="76F1F192" w14:textId="4EDF4093" w:rsidR="002428C0" w:rsidRPr="00731EE7" w:rsidRDefault="002428C0" w:rsidP="002428C0">
      <w:pPr>
        <w:pStyle w:val="SectionTitle"/>
        <w:spacing w:line="360" w:lineRule="auto"/>
        <w:rPr>
          <w:rFonts w:ascii="Times New Roman" w:hAnsi="Times New Roman" w:cs="Times New Roman"/>
          <w:sz w:val="24"/>
        </w:rPr>
      </w:pPr>
      <w:r>
        <w:rPr>
          <w:rFonts w:ascii="Times New Roman" w:hAnsi="Times New Roman" w:cs="Times New Roman"/>
          <w:sz w:val="24"/>
        </w:rPr>
        <w:t>R</w:t>
      </w:r>
      <w:r w:rsidR="009A64F9">
        <w:rPr>
          <w:rFonts w:ascii="Times New Roman" w:hAnsi="Times New Roman" w:cs="Times New Roman"/>
          <w:sz w:val="24"/>
        </w:rPr>
        <w:t>EFERENCES</w:t>
      </w:r>
      <w:r w:rsidRPr="00731EE7">
        <w:rPr>
          <w:rFonts w:ascii="Times New Roman" w:hAnsi="Times New Roman" w:cs="Times New Roman"/>
          <w:sz w:val="24"/>
        </w:rPr>
        <w:t xml:space="preserve"> </w:t>
      </w:r>
    </w:p>
    <w:p w14:paraId="410731EC" w14:textId="5E5A608A" w:rsidR="00642F24" w:rsidRPr="00642F24" w:rsidRDefault="00913122"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fldChar w:fldCharType="begin" w:fldLock="1"/>
      </w:r>
      <w:r>
        <w:instrText xml:space="preserve">ADDIN Mendeley Bibliography CSL_BIBLIOGRAPHY </w:instrText>
      </w:r>
      <w:r>
        <w:fldChar w:fldCharType="separate"/>
      </w:r>
      <w:r w:rsidR="00642F24" w:rsidRPr="00642F24">
        <w:rPr>
          <w:rFonts w:ascii="Times New Roman" w:hAnsi="Times New Roman" w:cs="Times New Roman"/>
          <w:noProof/>
          <w:sz w:val="24"/>
          <w:szCs w:val="24"/>
        </w:rPr>
        <w:t xml:space="preserve">(1) </w:t>
      </w:r>
      <w:r w:rsidR="00642F24" w:rsidRPr="00642F24">
        <w:rPr>
          <w:rFonts w:ascii="Times New Roman" w:hAnsi="Times New Roman" w:cs="Times New Roman"/>
          <w:noProof/>
          <w:sz w:val="24"/>
          <w:szCs w:val="24"/>
        </w:rPr>
        <w:tab/>
        <w:t xml:space="preserve">Cogdell, R. J.; Gardiner, A. T.; Yukihira, N.; Hashimoto, H. Solar Fuels and Inspiration from Photosynthesis. </w:t>
      </w:r>
      <w:r w:rsidR="00642F24" w:rsidRPr="00642F24">
        <w:rPr>
          <w:rFonts w:ascii="Times New Roman" w:hAnsi="Times New Roman" w:cs="Times New Roman"/>
          <w:i/>
          <w:iCs/>
          <w:noProof/>
          <w:sz w:val="24"/>
          <w:szCs w:val="24"/>
        </w:rPr>
        <w:t>J. Photochem. Photobiol. A Chem.</w:t>
      </w:r>
      <w:r w:rsidR="00642F24" w:rsidRPr="00642F24">
        <w:rPr>
          <w:rFonts w:ascii="Times New Roman" w:hAnsi="Times New Roman" w:cs="Times New Roman"/>
          <w:noProof/>
          <w:sz w:val="24"/>
          <w:szCs w:val="24"/>
        </w:rPr>
        <w:t xml:space="preserve"> </w:t>
      </w:r>
      <w:r w:rsidR="00642F24" w:rsidRPr="00642F24">
        <w:rPr>
          <w:rFonts w:ascii="Times New Roman" w:hAnsi="Times New Roman" w:cs="Times New Roman"/>
          <w:b/>
          <w:bCs/>
          <w:noProof/>
          <w:sz w:val="24"/>
          <w:szCs w:val="24"/>
        </w:rPr>
        <w:t>2018</w:t>
      </w:r>
      <w:r w:rsidR="00642F24" w:rsidRPr="00642F24">
        <w:rPr>
          <w:rFonts w:ascii="Times New Roman" w:hAnsi="Times New Roman" w:cs="Times New Roman"/>
          <w:noProof/>
          <w:sz w:val="24"/>
          <w:szCs w:val="24"/>
        </w:rPr>
        <w:t xml:space="preserve">, </w:t>
      </w:r>
      <w:r w:rsidR="00642F24" w:rsidRPr="00642F24">
        <w:rPr>
          <w:rFonts w:ascii="Times New Roman" w:hAnsi="Times New Roman" w:cs="Times New Roman"/>
          <w:i/>
          <w:iCs/>
          <w:noProof/>
          <w:sz w:val="24"/>
          <w:szCs w:val="24"/>
        </w:rPr>
        <w:t>353</w:t>
      </w:r>
      <w:r w:rsidR="00642F24" w:rsidRPr="00642F24">
        <w:rPr>
          <w:rFonts w:ascii="Times New Roman" w:hAnsi="Times New Roman" w:cs="Times New Roman"/>
          <w:noProof/>
          <w:sz w:val="24"/>
          <w:szCs w:val="24"/>
        </w:rPr>
        <w:t>, 645–653.</w:t>
      </w:r>
    </w:p>
    <w:p w14:paraId="4C12F79C"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(2) </w:t>
      </w:r>
      <w:r w:rsidRPr="00642F24">
        <w:rPr>
          <w:rFonts w:ascii="Times New Roman" w:hAnsi="Times New Roman" w:cs="Times New Roman"/>
          <w:noProof/>
          <w:sz w:val="24"/>
          <w:szCs w:val="24"/>
        </w:rPr>
        <w:tab/>
        <w:t xml:space="preserve">House, R. L.; Iha, N. Y. M.; Coppo, R. L.; Alibabaei, L.; Sherman, B. D.; Kang, P.; Brennaman, M. K.; Hoertz, P. G.; Meyer, T. J. Artificial Photosynthesis: Where Are We Now? Where Can We Go? </w:t>
      </w:r>
      <w:r w:rsidRPr="00642F24">
        <w:rPr>
          <w:rFonts w:ascii="Times New Roman" w:hAnsi="Times New Roman" w:cs="Times New Roman"/>
          <w:i/>
          <w:iCs/>
          <w:noProof/>
          <w:sz w:val="24"/>
          <w:szCs w:val="24"/>
        </w:rPr>
        <w:t>J. Photochem. Photobiol. C Photochem. Rev.</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2015</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25</w:t>
      </w:r>
      <w:r w:rsidRPr="00642F24">
        <w:rPr>
          <w:rFonts w:ascii="Times New Roman" w:hAnsi="Times New Roman" w:cs="Times New Roman"/>
          <w:noProof/>
          <w:sz w:val="24"/>
          <w:szCs w:val="24"/>
        </w:rPr>
        <w:t>, 32–45.</w:t>
      </w:r>
    </w:p>
    <w:p w14:paraId="0EB20373"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(3) </w:t>
      </w:r>
      <w:r w:rsidRPr="00642F24">
        <w:rPr>
          <w:rFonts w:ascii="Times New Roman" w:hAnsi="Times New Roman" w:cs="Times New Roman"/>
          <w:noProof/>
          <w:sz w:val="24"/>
          <w:szCs w:val="24"/>
        </w:rPr>
        <w:tab/>
        <w:t xml:space="preserve">Ibram, G. Solar Fuels Vis-à-Vis Electricity Generation from Sunlight: The Current State-of-the-Art (a Review). </w:t>
      </w:r>
      <w:r w:rsidRPr="00642F24">
        <w:rPr>
          <w:rFonts w:ascii="Times New Roman" w:hAnsi="Times New Roman" w:cs="Times New Roman"/>
          <w:i/>
          <w:iCs/>
          <w:noProof/>
          <w:sz w:val="24"/>
          <w:szCs w:val="24"/>
        </w:rPr>
        <w:t>Renew. Sustain. Energy Rev.</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2015</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44</w:t>
      </w:r>
      <w:r w:rsidRPr="00642F24">
        <w:rPr>
          <w:rFonts w:ascii="Times New Roman" w:hAnsi="Times New Roman" w:cs="Times New Roman"/>
          <w:noProof/>
          <w:sz w:val="24"/>
          <w:szCs w:val="24"/>
        </w:rPr>
        <w:t>, 904–932.</w:t>
      </w:r>
    </w:p>
    <w:p w14:paraId="5E3B1C35"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(4) </w:t>
      </w:r>
      <w:r w:rsidRPr="00642F24">
        <w:rPr>
          <w:rFonts w:ascii="Times New Roman" w:hAnsi="Times New Roman" w:cs="Times New Roman"/>
          <w:noProof/>
          <w:sz w:val="24"/>
          <w:szCs w:val="24"/>
        </w:rPr>
        <w:tab/>
        <w:t xml:space="preserve">Cook, T. R.; Dogutan, D. K.; Reece, S. Y.; Surendranath, Y.; Teets, T. S.; Nocera, D. G. Solar Energy Supply and Storage for the Legacy and Nonlegacy Worlds. </w:t>
      </w:r>
      <w:r w:rsidRPr="00642F24">
        <w:rPr>
          <w:rFonts w:ascii="Times New Roman" w:hAnsi="Times New Roman" w:cs="Times New Roman"/>
          <w:i/>
          <w:iCs/>
          <w:noProof/>
          <w:sz w:val="24"/>
          <w:szCs w:val="24"/>
        </w:rPr>
        <w:t>Chem. Rev.</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2010</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110</w:t>
      </w:r>
      <w:r w:rsidRPr="00642F24">
        <w:rPr>
          <w:rFonts w:ascii="Times New Roman" w:hAnsi="Times New Roman" w:cs="Times New Roman"/>
          <w:noProof/>
          <w:sz w:val="24"/>
          <w:szCs w:val="24"/>
        </w:rPr>
        <w:t xml:space="preserve"> (11), 6474–6502.</w:t>
      </w:r>
    </w:p>
    <w:p w14:paraId="1CB5F765" w14:textId="20886E0F"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(5) </w:t>
      </w:r>
      <w:r w:rsidRPr="00642F24">
        <w:rPr>
          <w:rFonts w:ascii="Times New Roman" w:hAnsi="Times New Roman" w:cs="Times New Roman"/>
          <w:noProof/>
          <w:sz w:val="24"/>
          <w:szCs w:val="24"/>
        </w:rPr>
        <w:tab/>
        <w:t xml:space="preserve">McDaniel, N. D.; Bernhard, S. Solar Fuels: Thermodynamics, Candidates, Tactics, and Figures of Merit. </w:t>
      </w:r>
      <w:r w:rsidRPr="00642F24">
        <w:rPr>
          <w:rFonts w:ascii="Times New Roman" w:hAnsi="Times New Roman" w:cs="Times New Roman"/>
          <w:i/>
          <w:iCs/>
          <w:noProof/>
          <w:sz w:val="24"/>
          <w:szCs w:val="24"/>
        </w:rPr>
        <w:t>Dalt. Trans.</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2010</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39</w:t>
      </w:r>
      <w:r w:rsidRPr="00642F24">
        <w:rPr>
          <w:rFonts w:ascii="Times New Roman" w:hAnsi="Times New Roman" w:cs="Times New Roman"/>
          <w:noProof/>
          <w:sz w:val="24"/>
          <w:szCs w:val="24"/>
        </w:rPr>
        <w:t xml:space="preserve"> (42), 10021</w:t>
      </w:r>
      <w:r w:rsidR="00727737">
        <w:rPr>
          <w:rFonts w:ascii="Times New Roman" w:hAnsi="Times New Roman" w:cs="Times New Roman"/>
          <w:noProof/>
          <w:sz w:val="24"/>
          <w:szCs w:val="24"/>
        </w:rPr>
        <w:t>-10030</w:t>
      </w:r>
      <w:bookmarkStart w:id="1" w:name="_GoBack"/>
      <w:bookmarkEnd w:id="1"/>
      <w:r w:rsidRPr="00642F24">
        <w:rPr>
          <w:rFonts w:ascii="Times New Roman" w:hAnsi="Times New Roman" w:cs="Times New Roman"/>
          <w:noProof/>
          <w:sz w:val="24"/>
          <w:szCs w:val="24"/>
        </w:rPr>
        <w:t>.</w:t>
      </w:r>
    </w:p>
    <w:p w14:paraId="0BE0A4E0" w14:textId="0B7F58DA"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(6) </w:t>
      </w:r>
      <w:r w:rsidRPr="00642F24">
        <w:rPr>
          <w:rFonts w:ascii="Times New Roman" w:hAnsi="Times New Roman" w:cs="Times New Roman"/>
          <w:noProof/>
          <w:sz w:val="24"/>
          <w:szCs w:val="24"/>
        </w:rPr>
        <w:tab/>
        <w:t xml:space="preserve">Lewis, N. S.; Nocera, D. G. Powering the Planet: Chemical Challenges in Solar Energy Utilization. </w:t>
      </w:r>
      <w:r w:rsidR="005D3E4A" w:rsidRPr="00642F24">
        <w:rPr>
          <w:rFonts w:ascii="Times New Roman" w:hAnsi="Times New Roman" w:cs="Times New Roman"/>
          <w:i/>
          <w:iCs/>
          <w:noProof/>
          <w:sz w:val="24"/>
          <w:szCs w:val="24"/>
        </w:rPr>
        <w:t>Proc. Natl. Acad. Sci.</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2006</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103</w:t>
      </w:r>
      <w:r w:rsidRPr="00642F24">
        <w:rPr>
          <w:rFonts w:ascii="Times New Roman" w:hAnsi="Times New Roman" w:cs="Times New Roman"/>
          <w:noProof/>
          <w:sz w:val="24"/>
          <w:szCs w:val="24"/>
        </w:rPr>
        <w:t xml:space="preserve"> (43), 15729–15735.</w:t>
      </w:r>
    </w:p>
    <w:p w14:paraId="4421EE48"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(7) </w:t>
      </w:r>
      <w:r w:rsidRPr="00642F24">
        <w:rPr>
          <w:rFonts w:ascii="Times New Roman" w:hAnsi="Times New Roman" w:cs="Times New Roman"/>
          <w:noProof/>
          <w:sz w:val="24"/>
          <w:szCs w:val="24"/>
        </w:rPr>
        <w:tab/>
        <w:t xml:space="preserve">Nocera, D. G. Chemistry of Personalized Solar Energy. </w:t>
      </w:r>
      <w:r w:rsidRPr="00642F24">
        <w:rPr>
          <w:rFonts w:ascii="Times New Roman" w:hAnsi="Times New Roman" w:cs="Times New Roman"/>
          <w:i/>
          <w:iCs/>
          <w:noProof/>
          <w:sz w:val="24"/>
          <w:szCs w:val="24"/>
        </w:rPr>
        <w:t>Inorg. Chem.</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2009</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48</w:t>
      </w:r>
      <w:r w:rsidRPr="00642F24">
        <w:rPr>
          <w:rFonts w:ascii="Times New Roman" w:hAnsi="Times New Roman" w:cs="Times New Roman"/>
          <w:noProof/>
          <w:sz w:val="24"/>
          <w:szCs w:val="24"/>
        </w:rPr>
        <w:t xml:space="preserve"> (21), 10001–10017.</w:t>
      </w:r>
    </w:p>
    <w:p w14:paraId="64BF0FE1"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(8) </w:t>
      </w:r>
      <w:r w:rsidRPr="00642F24">
        <w:rPr>
          <w:rFonts w:ascii="Times New Roman" w:hAnsi="Times New Roman" w:cs="Times New Roman"/>
          <w:noProof/>
          <w:sz w:val="24"/>
          <w:szCs w:val="24"/>
        </w:rPr>
        <w:tab/>
        <w:t xml:space="preserve">Li, J.; Wu, N. Semiconductor-Based Photocatalysts and Photoelectrochemical Cells for Solar Fuel Generation: A Review. </w:t>
      </w:r>
      <w:r w:rsidRPr="00642F24">
        <w:rPr>
          <w:rFonts w:ascii="Times New Roman" w:hAnsi="Times New Roman" w:cs="Times New Roman"/>
          <w:i/>
          <w:iCs/>
          <w:noProof/>
          <w:sz w:val="24"/>
          <w:szCs w:val="24"/>
        </w:rPr>
        <w:t>Catal. Sci. Technol.</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2015</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5</w:t>
      </w:r>
      <w:r w:rsidRPr="00642F24">
        <w:rPr>
          <w:rFonts w:ascii="Times New Roman" w:hAnsi="Times New Roman" w:cs="Times New Roman"/>
          <w:noProof/>
          <w:sz w:val="24"/>
          <w:szCs w:val="24"/>
        </w:rPr>
        <w:t xml:space="preserve"> (3), 1360–1384.</w:t>
      </w:r>
    </w:p>
    <w:p w14:paraId="10D10EC5"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(9) </w:t>
      </w:r>
      <w:r w:rsidRPr="00642F24">
        <w:rPr>
          <w:rFonts w:ascii="Times New Roman" w:hAnsi="Times New Roman" w:cs="Times New Roman"/>
          <w:noProof/>
          <w:sz w:val="24"/>
          <w:szCs w:val="24"/>
        </w:rPr>
        <w:tab/>
        <w:t xml:space="preserve">Walter, M. G.; Warren, E. L.; McKone, J. R.; Boettcher, S. W.; Mi, Q.; Santori, E. A.; Lewis, N. S. Solar Water Splitting Cells. </w:t>
      </w:r>
      <w:r w:rsidRPr="00642F24">
        <w:rPr>
          <w:rFonts w:ascii="Times New Roman" w:hAnsi="Times New Roman" w:cs="Times New Roman"/>
          <w:i/>
          <w:iCs/>
          <w:noProof/>
          <w:sz w:val="24"/>
          <w:szCs w:val="24"/>
        </w:rPr>
        <w:t>Chem. Rev.</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2010</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110</w:t>
      </w:r>
      <w:r w:rsidRPr="00642F24">
        <w:rPr>
          <w:rFonts w:ascii="Times New Roman" w:hAnsi="Times New Roman" w:cs="Times New Roman"/>
          <w:noProof/>
          <w:sz w:val="24"/>
          <w:szCs w:val="24"/>
        </w:rPr>
        <w:t xml:space="preserve"> (11), 6446–6473.</w:t>
      </w:r>
    </w:p>
    <w:p w14:paraId="3F3061D9"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(10) </w:t>
      </w:r>
      <w:r w:rsidRPr="00642F24">
        <w:rPr>
          <w:rFonts w:ascii="Times New Roman" w:hAnsi="Times New Roman" w:cs="Times New Roman"/>
          <w:noProof/>
          <w:sz w:val="24"/>
          <w:szCs w:val="24"/>
        </w:rPr>
        <w:tab/>
        <w:t xml:space="preserve">Meyer, T. J. Chemical Approaches to Artificial Photosynthesis. </w:t>
      </w:r>
      <w:r w:rsidRPr="00642F24">
        <w:rPr>
          <w:rFonts w:ascii="Times New Roman" w:hAnsi="Times New Roman" w:cs="Times New Roman"/>
          <w:i/>
          <w:iCs/>
          <w:noProof/>
          <w:sz w:val="24"/>
          <w:szCs w:val="24"/>
        </w:rPr>
        <w:t>Acc. Chem. Res.</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1989</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22</w:t>
      </w:r>
      <w:r w:rsidRPr="00642F24">
        <w:rPr>
          <w:rFonts w:ascii="Times New Roman" w:hAnsi="Times New Roman" w:cs="Times New Roman"/>
          <w:noProof/>
          <w:sz w:val="24"/>
          <w:szCs w:val="24"/>
        </w:rPr>
        <w:t xml:space="preserve"> (5), 163–170.</w:t>
      </w:r>
    </w:p>
    <w:p w14:paraId="3E26AA35"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(11) </w:t>
      </w:r>
      <w:r w:rsidRPr="00642F24">
        <w:rPr>
          <w:rFonts w:ascii="Times New Roman" w:hAnsi="Times New Roman" w:cs="Times New Roman"/>
          <w:noProof/>
          <w:sz w:val="24"/>
          <w:szCs w:val="24"/>
        </w:rPr>
        <w:tab/>
        <w:t xml:space="preserve">Brennaman, M. K.; Dillon, R. J.; Alibabaei, L.; Gish, M. K.; Dares, C. J.; Ashford, D. L.; House, R. L.; Meyer, G. J.; Papanikolas, J. M.; Meyer, T. J. Finding the Way to Solar Fuels with Dye-Sensitized Photoelectrosynthesis Cells. </w:t>
      </w:r>
      <w:r w:rsidRPr="00642F24">
        <w:rPr>
          <w:rFonts w:ascii="Times New Roman" w:hAnsi="Times New Roman" w:cs="Times New Roman"/>
          <w:i/>
          <w:iCs/>
          <w:noProof/>
          <w:sz w:val="24"/>
          <w:szCs w:val="24"/>
        </w:rPr>
        <w:t>J. Am. Chem. Soc.</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2016</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138</w:t>
      </w:r>
      <w:r w:rsidRPr="00642F24">
        <w:rPr>
          <w:rFonts w:ascii="Times New Roman" w:hAnsi="Times New Roman" w:cs="Times New Roman"/>
          <w:noProof/>
          <w:sz w:val="24"/>
          <w:szCs w:val="24"/>
        </w:rPr>
        <w:t xml:space="preserve"> (40), 13085–13102.</w:t>
      </w:r>
    </w:p>
    <w:p w14:paraId="6C5C8E11"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(12) </w:t>
      </w:r>
      <w:r w:rsidRPr="00642F24">
        <w:rPr>
          <w:rFonts w:ascii="Times New Roman" w:hAnsi="Times New Roman" w:cs="Times New Roman"/>
          <w:noProof/>
          <w:sz w:val="24"/>
          <w:szCs w:val="24"/>
        </w:rPr>
        <w:tab/>
        <w:t xml:space="preserve">Yu, Z.; Li, F.; Sun, L. Recent Advances in Dye-Sensitized Photoelectrochemical Cells for Solar Hydrogen Production Based on Molecular Components. </w:t>
      </w:r>
      <w:r w:rsidRPr="00642F24">
        <w:rPr>
          <w:rFonts w:ascii="Times New Roman" w:hAnsi="Times New Roman" w:cs="Times New Roman"/>
          <w:i/>
          <w:iCs/>
          <w:noProof/>
          <w:sz w:val="24"/>
          <w:szCs w:val="24"/>
        </w:rPr>
        <w:t>Energy Environ. Sci.</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2015</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8</w:t>
      </w:r>
      <w:r w:rsidRPr="00642F24">
        <w:rPr>
          <w:rFonts w:ascii="Times New Roman" w:hAnsi="Times New Roman" w:cs="Times New Roman"/>
          <w:noProof/>
          <w:sz w:val="24"/>
          <w:szCs w:val="24"/>
        </w:rPr>
        <w:t xml:space="preserve"> (3), 760–775.</w:t>
      </w:r>
    </w:p>
    <w:p w14:paraId="35C301B6"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(13) </w:t>
      </w:r>
      <w:r w:rsidRPr="00642F24">
        <w:rPr>
          <w:rFonts w:ascii="Times New Roman" w:hAnsi="Times New Roman" w:cs="Times New Roman"/>
          <w:noProof/>
          <w:sz w:val="24"/>
          <w:szCs w:val="24"/>
        </w:rPr>
        <w:tab/>
        <w:t xml:space="preserve">Xu, P.; McCool, N. S.; Mallouk, T. E. Water Splitting Dye-Sensitized Solar Cells. </w:t>
      </w:r>
      <w:r w:rsidRPr="00642F24">
        <w:rPr>
          <w:rFonts w:ascii="Times New Roman" w:hAnsi="Times New Roman" w:cs="Times New Roman"/>
          <w:i/>
          <w:iCs/>
          <w:noProof/>
          <w:sz w:val="24"/>
          <w:szCs w:val="24"/>
        </w:rPr>
        <w:t>Nano Today</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2017</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14</w:t>
      </w:r>
      <w:r w:rsidRPr="00642F24">
        <w:rPr>
          <w:rFonts w:ascii="Times New Roman" w:hAnsi="Times New Roman" w:cs="Times New Roman"/>
          <w:noProof/>
          <w:sz w:val="24"/>
          <w:szCs w:val="24"/>
        </w:rPr>
        <w:t>, 42–58.</w:t>
      </w:r>
    </w:p>
    <w:p w14:paraId="15256D60"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lastRenderedPageBreak/>
        <w:t xml:space="preserve">(14) </w:t>
      </w:r>
      <w:r w:rsidRPr="00642F24">
        <w:rPr>
          <w:rFonts w:ascii="Times New Roman" w:hAnsi="Times New Roman" w:cs="Times New Roman"/>
          <w:noProof/>
          <w:sz w:val="24"/>
          <w:szCs w:val="24"/>
        </w:rPr>
        <w:tab/>
        <w:t xml:space="preserve">Gratzel, M. Photoelectrochemical Cells. </w:t>
      </w:r>
      <w:r w:rsidRPr="00642F24">
        <w:rPr>
          <w:rFonts w:ascii="Times New Roman" w:hAnsi="Times New Roman" w:cs="Times New Roman"/>
          <w:i/>
          <w:iCs/>
          <w:noProof/>
          <w:sz w:val="24"/>
          <w:szCs w:val="24"/>
        </w:rPr>
        <w:t>Nature</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2001</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414</w:t>
      </w:r>
      <w:r w:rsidRPr="00642F24">
        <w:rPr>
          <w:rFonts w:ascii="Times New Roman" w:hAnsi="Times New Roman" w:cs="Times New Roman"/>
          <w:noProof/>
          <w:sz w:val="24"/>
          <w:szCs w:val="24"/>
        </w:rPr>
        <w:t>, 338–344.</w:t>
      </w:r>
    </w:p>
    <w:p w14:paraId="57E1AF93" w14:textId="2F806AE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(15) </w:t>
      </w:r>
      <w:r w:rsidRPr="00642F24">
        <w:rPr>
          <w:rFonts w:ascii="Times New Roman" w:hAnsi="Times New Roman" w:cs="Times New Roman"/>
          <w:noProof/>
          <w:sz w:val="24"/>
          <w:szCs w:val="24"/>
        </w:rPr>
        <w:tab/>
        <w:t>Brennaman, M. K.; Gish, M. K.; Alibabaei, L.; Norris, M. R.; Binstead, R. A.; Nayak, A.; Lapides, A. M.; Song, W.; Brown, R. J.; Concepcion, J. J.; Templeton, J. L.; Papanikolas, J. M.; Meyer, T. J. Pathways Following Electron Injection: Medium Effects and Cross-Surface Electron Transfer in a Ruthenium-Based, Chromophore-Catalyst Assembly on TiO</w:t>
      </w:r>
      <w:r w:rsidRPr="005D3E4A">
        <w:rPr>
          <w:rFonts w:ascii="Times New Roman" w:hAnsi="Times New Roman" w:cs="Times New Roman"/>
          <w:noProof/>
          <w:sz w:val="24"/>
          <w:szCs w:val="24"/>
          <w:vertAlign w:val="subscript"/>
        </w:rPr>
        <w:t>2</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J. Phys. Chem. C</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2018</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122</w:t>
      </w:r>
      <w:r w:rsidRPr="00642F24">
        <w:rPr>
          <w:rFonts w:ascii="Times New Roman" w:hAnsi="Times New Roman" w:cs="Times New Roman"/>
          <w:noProof/>
          <w:sz w:val="24"/>
          <w:szCs w:val="24"/>
        </w:rPr>
        <w:t xml:space="preserve"> (24), 13017–13026.</w:t>
      </w:r>
    </w:p>
    <w:p w14:paraId="081980FC" w14:textId="362D446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(16) </w:t>
      </w:r>
      <w:r w:rsidRPr="00642F24">
        <w:rPr>
          <w:rFonts w:ascii="Times New Roman" w:hAnsi="Times New Roman" w:cs="Times New Roman"/>
          <w:noProof/>
          <w:sz w:val="24"/>
          <w:szCs w:val="24"/>
        </w:rPr>
        <w:tab/>
        <w:t>Alibabaei, L.; Sherman, B. D.; Norris, M. R.; Brennaman, M. K.; Meyer, T. J. Visible Photoelectrochemical Water Splitting into H</w:t>
      </w:r>
      <w:r w:rsidRPr="00642F24">
        <w:rPr>
          <w:rFonts w:ascii="Times New Roman" w:hAnsi="Times New Roman" w:cs="Times New Roman"/>
          <w:noProof/>
          <w:sz w:val="24"/>
          <w:szCs w:val="24"/>
          <w:vertAlign w:val="subscript"/>
        </w:rPr>
        <w:t>2</w:t>
      </w:r>
      <w:r w:rsidRPr="00642F24">
        <w:rPr>
          <w:rFonts w:ascii="Times New Roman" w:hAnsi="Times New Roman" w:cs="Times New Roman"/>
          <w:noProof/>
          <w:sz w:val="24"/>
          <w:szCs w:val="24"/>
        </w:rPr>
        <w:t xml:space="preserve"> and O</w:t>
      </w:r>
      <w:r w:rsidRPr="00642F24">
        <w:rPr>
          <w:rFonts w:ascii="Times New Roman" w:hAnsi="Times New Roman" w:cs="Times New Roman"/>
          <w:noProof/>
          <w:sz w:val="24"/>
          <w:szCs w:val="24"/>
          <w:vertAlign w:val="subscript"/>
        </w:rPr>
        <w:t>2</w:t>
      </w:r>
      <w:r w:rsidRPr="00642F24">
        <w:rPr>
          <w:rFonts w:ascii="Times New Roman" w:hAnsi="Times New Roman" w:cs="Times New Roman"/>
          <w:noProof/>
          <w:sz w:val="24"/>
          <w:szCs w:val="24"/>
        </w:rPr>
        <w:t xml:space="preserve"> in a Dye-Sensitized Photoelectrosynthesis Cell. </w:t>
      </w:r>
      <w:r w:rsidRPr="00642F24">
        <w:rPr>
          <w:rFonts w:ascii="Times New Roman" w:hAnsi="Times New Roman" w:cs="Times New Roman"/>
          <w:i/>
          <w:iCs/>
          <w:noProof/>
          <w:sz w:val="24"/>
          <w:szCs w:val="24"/>
        </w:rPr>
        <w:t>Proc. Natl. Acad. Sci.</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2015</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112</w:t>
      </w:r>
      <w:r w:rsidRPr="00642F24">
        <w:rPr>
          <w:rFonts w:ascii="Times New Roman" w:hAnsi="Times New Roman" w:cs="Times New Roman"/>
          <w:noProof/>
          <w:sz w:val="24"/>
          <w:szCs w:val="24"/>
        </w:rPr>
        <w:t xml:space="preserve"> (19), 5899–5902.</w:t>
      </w:r>
    </w:p>
    <w:p w14:paraId="5575EA35"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(17) </w:t>
      </w:r>
      <w:r w:rsidRPr="00642F24">
        <w:rPr>
          <w:rFonts w:ascii="Times New Roman" w:hAnsi="Times New Roman" w:cs="Times New Roman"/>
          <w:noProof/>
          <w:sz w:val="24"/>
          <w:szCs w:val="24"/>
        </w:rPr>
        <w:tab/>
        <w:t xml:space="preserve">Li, F.; Fan, K.; Xu, B.; Gabrielsson, E.; Daniel, Q.; Li, L.; Sun, L. Organic Dye-Sensitized Tandem Photoelectrochemical Cell for Light Driven Total Water Splitting. </w:t>
      </w:r>
      <w:r w:rsidRPr="00642F24">
        <w:rPr>
          <w:rFonts w:ascii="Times New Roman" w:hAnsi="Times New Roman" w:cs="Times New Roman"/>
          <w:i/>
          <w:iCs/>
          <w:noProof/>
          <w:sz w:val="24"/>
          <w:szCs w:val="24"/>
        </w:rPr>
        <w:t>J. Am. Chem. Soc.</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2015</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137</w:t>
      </w:r>
      <w:r w:rsidRPr="00642F24">
        <w:rPr>
          <w:rFonts w:ascii="Times New Roman" w:hAnsi="Times New Roman" w:cs="Times New Roman"/>
          <w:noProof/>
          <w:sz w:val="24"/>
          <w:szCs w:val="24"/>
        </w:rPr>
        <w:t xml:space="preserve"> (28), 9153–9159.</w:t>
      </w:r>
    </w:p>
    <w:p w14:paraId="27A6E8F8"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(18) </w:t>
      </w:r>
      <w:r w:rsidRPr="00642F24">
        <w:rPr>
          <w:rFonts w:ascii="Times New Roman" w:hAnsi="Times New Roman" w:cs="Times New Roman"/>
          <w:noProof/>
          <w:sz w:val="24"/>
          <w:szCs w:val="24"/>
        </w:rPr>
        <w:tab/>
        <w:t xml:space="preserve">Sherman, B. D.; Sheridan, M. V.; Wee, K. R.; Marquard, S. L.; Wang, D.; Alibabaei, L.; Ashford, D. L.; Meyer, T. J. A Dye-Sensitized Photoelectrochemical Tandem Cell for Light Driven Hydrogen Production from Water. </w:t>
      </w:r>
      <w:r w:rsidRPr="00642F24">
        <w:rPr>
          <w:rFonts w:ascii="Times New Roman" w:hAnsi="Times New Roman" w:cs="Times New Roman"/>
          <w:i/>
          <w:iCs/>
          <w:noProof/>
          <w:sz w:val="24"/>
          <w:szCs w:val="24"/>
        </w:rPr>
        <w:t>J. Am. Chem. Soc.</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2016</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138</w:t>
      </w:r>
      <w:r w:rsidRPr="00642F24">
        <w:rPr>
          <w:rFonts w:ascii="Times New Roman" w:hAnsi="Times New Roman" w:cs="Times New Roman"/>
          <w:noProof/>
          <w:sz w:val="24"/>
          <w:szCs w:val="24"/>
        </w:rPr>
        <w:t xml:space="preserve"> (51), 16745–16753.</w:t>
      </w:r>
    </w:p>
    <w:p w14:paraId="49443348"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(19) </w:t>
      </w:r>
      <w:r w:rsidRPr="00642F24">
        <w:rPr>
          <w:rFonts w:ascii="Times New Roman" w:hAnsi="Times New Roman" w:cs="Times New Roman"/>
          <w:noProof/>
          <w:sz w:val="24"/>
          <w:szCs w:val="24"/>
        </w:rPr>
        <w:tab/>
        <w:t xml:space="preserve">Brady, M. D.; Sampaio, R. N.; Wang, D.; Meyer, T. J.; Meyer, G. J. Dye-Sensitized Hydrobromic Acid Splitting for Hydrogen Solar Fuel Production. </w:t>
      </w:r>
      <w:r w:rsidRPr="00642F24">
        <w:rPr>
          <w:rFonts w:ascii="Times New Roman" w:hAnsi="Times New Roman" w:cs="Times New Roman"/>
          <w:i/>
          <w:iCs/>
          <w:noProof/>
          <w:sz w:val="24"/>
          <w:szCs w:val="24"/>
        </w:rPr>
        <w:t>J. Am. Chem. Soc.</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2017</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139</w:t>
      </w:r>
      <w:r w:rsidRPr="00642F24">
        <w:rPr>
          <w:rFonts w:ascii="Times New Roman" w:hAnsi="Times New Roman" w:cs="Times New Roman"/>
          <w:noProof/>
          <w:sz w:val="24"/>
          <w:szCs w:val="24"/>
        </w:rPr>
        <w:t xml:space="preserve"> (44), 15612–15615.</w:t>
      </w:r>
    </w:p>
    <w:p w14:paraId="58702C0B"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(20) </w:t>
      </w:r>
      <w:r w:rsidRPr="00642F24">
        <w:rPr>
          <w:rFonts w:ascii="Times New Roman" w:hAnsi="Times New Roman" w:cs="Times New Roman"/>
          <w:noProof/>
          <w:sz w:val="24"/>
          <w:szCs w:val="24"/>
        </w:rPr>
        <w:tab/>
        <w:t xml:space="preserve">Brady, M. D.; Troian-Gautier, L.; Sampaio, R. N.; Motley, T. C.; Meyer, G. J. Optimization of Photocatalyst Excited- and Ground-State Reduction Potentials for Dye-Sensitized HBr Splitting. </w:t>
      </w:r>
      <w:r w:rsidRPr="00642F24">
        <w:rPr>
          <w:rFonts w:ascii="Times New Roman" w:hAnsi="Times New Roman" w:cs="Times New Roman"/>
          <w:i/>
          <w:iCs/>
          <w:noProof/>
          <w:sz w:val="24"/>
          <w:szCs w:val="24"/>
        </w:rPr>
        <w:t>ACS Appl. Mater. Interfaces</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2018</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10</w:t>
      </w:r>
      <w:r w:rsidRPr="00642F24">
        <w:rPr>
          <w:rFonts w:ascii="Times New Roman" w:hAnsi="Times New Roman" w:cs="Times New Roman"/>
          <w:noProof/>
          <w:sz w:val="24"/>
          <w:szCs w:val="24"/>
        </w:rPr>
        <w:t xml:space="preserve"> (37), 31312–31323.</w:t>
      </w:r>
    </w:p>
    <w:p w14:paraId="6256887F" w14:textId="01A5E3C9"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(21) </w:t>
      </w:r>
      <w:r w:rsidRPr="00642F24">
        <w:rPr>
          <w:rFonts w:ascii="Times New Roman" w:hAnsi="Times New Roman" w:cs="Times New Roman"/>
          <w:noProof/>
          <w:sz w:val="24"/>
          <w:szCs w:val="24"/>
        </w:rPr>
        <w:tab/>
        <w:t>Berardi, S.; Cristino, V.; Canton, M.; Boaretto, R.; Argazzi, R.; Benazzi, E.; Ganzer, L.; Borrego Varillas, R.; Cerullo, G.; Syrgiannis, Z.; Rigodanza, F.; Prato, M.; Bignozzi, C. A.; Caramori, S. Perylene Diimide Aggregates on Sb-Doped SnO</w:t>
      </w:r>
      <w:r w:rsidRPr="005D3E4A">
        <w:rPr>
          <w:rFonts w:ascii="Times New Roman" w:hAnsi="Times New Roman" w:cs="Times New Roman"/>
          <w:noProof/>
          <w:sz w:val="24"/>
          <w:szCs w:val="24"/>
          <w:vertAlign w:val="subscript"/>
        </w:rPr>
        <w:t>2</w:t>
      </w:r>
      <w:r w:rsidRPr="00642F24">
        <w:rPr>
          <w:rFonts w:ascii="Times New Roman" w:hAnsi="Times New Roman" w:cs="Times New Roman"/>
          <w:noProof/>
          <w:sz w:val="24"/>
          <w:szCs w:val="24"/>
        </w:rPr>
        <w:t xml:space="preserve"> : Charge Transfer Dynamics Relevant to Solar Fuel Generation. </w:t>
      </w:r>
      <w:r w:rsidRPr="00642F24">
        <w:rPr>
          <w:rFonts w:ascii="Times New Roman" w:hAnsi="Times New Roman" w:cs="Times New Roman"/>
          <w:i/>
          <w:iCs/>
          <w:noProof/>
          <w:sz w:val="24"/>
          <w:szCs w:val="24"/>
        </w:rPr>
        <w:t>J. Phys. Chem. C</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2017</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121</w:t>
      </w:r>
      <w:r w:rsidRPr="00642F24">
        <w:rPr>
          <w:rFonts w:ascii="Times New Roman" w:hAnsi="Times New Roman" w:cs="Times New Roman"/>
          <w:noProof/>
          <w:sz w:val="24"/>
          <w:szCs w:val="24"/>
        </w:rPr>
        <w:t xml:space="preserve"> (33), 17737–17745.</w:t>
      </w:r>
    </w:p>
    <w:p w14:paraId="2CBF5C8F"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(22) </w:t>
      </w:r>
      <w:r w:rsidRPr="00642F24">
        <w:rPr>
          <w:rFonts w:ascii="Times New Roman" w:hAnsi="Times New Roman" w:cs="Times New Roman"/>
          <w:noProof/>
          <w:sz w:val="24"/>
          <w:szCs w:val="24"/>
        </w:rPr>
        <w:tab/>
        <w:t>Wang, D.; Wang, Y.; Brady, M.; Sheridan, M.; Sherman, B. D.; Farnum, B.; Liu, Y.; Marquard, S.; Meyer, G. J.; Dares, C.; Meyer, T. J. A Donor-Chromophore-Catalyst Assembly for Solar CO</w:t>
      </w:r>
      <w:r w:rsidRPr="005D3E4A">
        <w:rPr>
          <w:rFonts w:ascii="Times New Roman" w:hAnsi="Times New Roman" w:cs="Times New Roman"/>
          <w:noProof/>
          <w:sz w:val="24"/>
          <w:szCs w:val="24"/>
          <w:vertAlign w:val="subscript"/>
        </w:rPr>
        <w:t>2</w:t>
      </w:r>
      <w:r w:rsidRPr="00642F24">
        <w:rPr>
          <w:rFonts w:ascii="Times New Roman" w:hAnsi="Times New Roman" w:cs="Times New Roman"/>
          <w:noProof/>
          <w:sz w:val="24"/>
          <w:szCs w:val="24"/>
        </w:rPr>
        <w:t xml:space="preserve"> Reduction. </w:t>
      </w:r>
      <w:r w:rsidRPr="00642F24">
        <w:rPr>
          <w:rFonts w:ascii="Times New Roman" w:hAnsi="Times New Roman" w:cs="Times New Roman"/>
          <w:i/>
          <w:iCs/>
          <w:noProof/>
          <w:sz w:val="24"/>
          <w:szCs w:val="24"/>
        </w:rPr>
        <w:t>Chem. Sci.</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2019</w:t>
      </w:r>
      <w:r w:rsidRPr="00642F24">
        <w:rPr>
          <w:rFonts w:ascii="Times New Roman" w:hAnsi="Times New Roman" w:cs="Times New Roman"/>
          <w:noProof/>
          <w:sz w:val="24"/>
          <w:szCs w:val="24"/>
        </w:rPr>
        <w:t>, No. 4, 4436–4444.</w:t>
      </w:r>
    </w:p>
    <w:p w14:paraId="444EAD6B"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(23) </w:t>
      </w:r>
      <w:r w:rsidRPr="00642F24">
        <w:rPr>
          <w:rFonts w:ascii="Times New Roman" w:hAnsi="Times New Roman" w:cs="Times New Roman"/>
          <w:noProof/>
          <w:sz w:val="24"/>
          <w:szCs w:val="24"/>
        </w:rPr>
        <w:tab/>
        <w:t xml:space="preserve">Hu, K.; Sampaio, R. N.; Marquard, S. L.; Brennaman, M. K.; Tamaki, Y.; Meyer, T. J.; Meyer, G. J. A High-Valent Metal-Oxo Species Produced by Photoinduced One-Electron, Two-Proton Transfer Reactivity. </w:t>
      </w:r>
      <w:r w:rsidRPr="00642F24">
        <w:rPr>
          <w:rFonts w:ascii="Times New Roman" w:hAnsi="Times New Roman" w:cs="Times New Roman"/>
          <w:i/>
          <w:iCs/>
          <w:noProof/>
          <w:sz w:val="24"/>
          <w:szCs w:val="24"/>
        </w:rPr>
        <w:t>Inorg. Chem.</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2018</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57</w:t>
      </w:r>
      <w:r w:rsidRPr="00642F24">
        <w:rPr>
          <w:rFonts w:ascii="Times New Roman" w:hAnsi="Times New Roman" w:cs="Times New Roman"/>
          <w:noProof/>
          <w:sz w:val="24"/>
          <w:szCs w:val="24"/>
        </w:rPr>
        <w:t xml:space="preserve"> (1), 486–494.</w:t>
      </w:r>
    </w:p>
    <w:p w14:paraId="195FC90D"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(24) </w:t>
      </w:r>
      <w:r w:rsidRPr="00642F24">
        <w:rPr>
          <w:rFonts w:ascii="Times New Roman" w:hAnsi="Times New Roman" w:cs="Times New Roman"/>
          <w:noProof/>
          <w:sz w:val="24"/>
          <w:szCs w:val="24"/>
        </w:rPr>
        <w:tab/>
        <w:t xml:space="preserve">Materna, K. L.; Jiang, J.; Regan, K. P.; Schmuttenmaer, C. A.; Crabtree, R. H.; Brudvig, G. W. Optimization of Photoanodes for Photocatalytic Water Oxidation by Combining a Heterogenized Iridium Water-Oxidation Catalyst with a High-Potential Porphyrin Photosensitizer. </w:t>
      </w:r>
      <w:r w:rsidRPr="00642F24">
        <w:rPr>
          <w:rFonts w:ascii="Times New Roman" w:hAnsi="Times New Roman" w:cs="Times New Roman"/>
          <w:i/>
          <w:iCs/>
          <w:noProof/>
          <w:sz w:val="24"/>
          <w:szCs w:val="24"/>
        </w:rPr>
        <w:t>ChemSusChem</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2017</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10</w:t>
      </w:r>
      <w:r w:rsidRPr="00642F24">
        <w:rPr>
          <w:rFonts w:ascii="Times New Roman" w:hAnsi="Times New Roman" w:cs="Times New Roman"/>
          <w:noProof/>
          <w:sz w:val="24"/>
          <w:szCs w:val="24"/>
        </w:rPr>
        <w:t xml:space="preserve"> (22), 4526–4534.</w:t>
      </w:r>
    </w:p>
    <w:p w14:paraId="0AB0AFC6"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(25) </w:t>
      </w:r>
      <w:r w:rsidRPr="00642F24">
        <w:rPr>
          <w:rFonts w:ascii="Times New Roman" w:hAnsi="Times New Roman" w:cs="Times New Roman"/>
          <w:noProof/>
          <w:sz w:val="24"/>
          <w:szCs w:val="24"/>
        </w:rPr>
        <w:tab/>
        <w:t xml:space="preserve">Wang, D.; Marquard, S. L.; Troian-Gautier, L.; Sheridan, M. V.; Sherman, B. D.; Wang, Y.; Eberhart, M. S.; Farnum, B. H.; Dares, C. J.; Meyer, T. J. Interfacial Deposition of Ru(II) Bipyridine-Dicarboxylate Complexes by Ligand Substitution for Applications in Water Oxidation Catalysis. </w:t>
      </w:r>
      <w:r w:rsidRPr="00642F24">
        <w:rPr>
          <w:rFonts w:ascii="Times New Roman" w:hAnsi="Times New Roman" w:cs="Times New Roman"/>
          <w:i/>
          <w:iCs/>
          <w:noProof/>
          <w:sz w:val="24"/>
          <w:szCs w:val="24"/>
        </w:rPr>
        <w:t>J. Am. Chem. Soc.</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2018</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140</w:t>
      </w:r>
      <w:r w:rsidRPr="00642F24">
        <w:rPr>
          <w:rFonts w:ascii="Times New Roman" w:hAnsi="Times New Roman" w:cs="Times New Roman"/>
          <w:noProof/>
          <w:sz w:val="24"/>
          <w:szCs w:val="24"/>
        </w:rPr>
        <w:t xml:space="preserve"> (2), 719–726.</w:t>
      </w:r>
    </w:p>
    <w:p w14:paraId="3753ED50"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(26) </w:t>
      </w:r>
      <w:r w:rsidRPr="00642F24">
        <w:rPr>
          <w:rFonts w:ascii="Times New Roman" w:hAnsi="Times New Roman" w:cs="Times New Roman"/>
          <w:noProof/>
          <w:sz w:val="24"/>
          <w:szCs w:val="24"/>
        </w:rPr>
        <w:tab/>
        <w:t xml:space="preserve">Chen, H. Y.; Ardo, S. Direct Observation of Sequential Oxidations of a Titania-Bound Molecular Proxy Catalyst Generated through Illumination of Molecular Sensitizers. </w:t>
      </w:r>
      <w:r w:rsidRPr="00642F24">
        <w:rPr>
          <w:rFonts w:ascii="Times New Roman" w:hAnsi="Times New Roman" w:cs="Times New Roman"/>
          <w:i/>
          <w:iCs/>
          <w:noProof/>
          <w:sz w:val="24"/>
          <w:szCs w:val="24"/>
        </w:rPr>
        <w:t>Nat. Chem.</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2018</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10</w:t>
      </w:r>
      <w:r w:rsidRPr="00642F24">
        <w:rPr>
          <w:rFonts w:ascii="Times New Roman" w:hAnsi="Times New Roman" w:cs="Times New Roman"/>
          <w:noProof/>
          <w:sz w:val="24"/>
          <w:szCs w:val="24"/>
        </w:rPr>
        <w:t xml:space="preserve"> (1), 17–23.</w:t>
      </w:r>
    </w:p>
    <w:p w14:paraId="29C3DA40"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(27) </w:t>
      </w:r>
      <w:r w:rsidRPr="00642F24">
        <w:rPr>
          <w:rFonts w:ascii="Times New Roman" w:hAnsi="Times New Roman" w:cs="Times New Roman"/>
          <w:noProof/>
          <w:sz w:val="24"/>
          <w:szCs w:val="24"/>
        </w:rPr>
        <w:tab/>
        <w:t xml:space="preserve">Moia, D.; Szumska, A.; Vaissier, V.; Planells, M.; Robertson, N.; O’Regan, B. C.; Nelson, J.; Barnes, P. R. F. Interdye Hole Transport Accelerates Recombination in Dye Sensitized </w:t>
      </w:r>
      <w:r w:rsidRPr="00642F24">
        <w:rPr>
          <w:rFonts w:ascii="Times New Roman" w:hAnsi="Times New Roman" w:cs="Times New Roman"/>
          <w:noProof/>
          <w:sz w:val="24"/>
          <w:szCs w:val="24"/>
        </w:rPr>
        <w:lastRenderedPageBreak/>
        <w:t xml:space="preserve">Mesoporous Films. </w:t>
      </w:r>
      <w:r w:rsidRPr="00642F24">
        <w:rPr>
          <w:rFonts w:ascii="Times New Roman" w:hAnsi="Times New Roman" w:cs="Times New Roman"/>
          <w:i/>
          <w:iCs/>
          <w:noProof/>
          <w:sz w:val="24"/>
          <w:szCs w:val="24"/>
        </w:rPr>
        <w:t>J. Am. Chem. Soc.</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2016</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138</w:t>
      </w:r>
      <w:r w:rsidRPr="00642F24">
        <w:rPr>
          <w:rFonts w:ascii="Times New Roman" w:hAnsi="Times New Roman" w:cs="Times New Roman"/>
          <w:noProof/>
          <w:sz w:val="24"/>
          <w:szCs w:val="24"/>
        </w:rPr>
        <w:t xml:space="preserve"> (40), 13197–13206.</w:t>
      </w:r>
    </w:p>
    <w:p w14:paraId="599887F7"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(28) </w:t>
      </w:r>
      <w:r w:rsidRPr="00642F24">
        <w:rPr>
          <w:rFonts w:ascii="Times New Roman" w:hAnsi="Times New Roman" w:cs="Times New Roman"/>
          <w:noProof/>
          <w:sz w:val="24"/>
          <w:szCs w:val="24"/>
        </w:rPr>
        <w:tab/>
        <w:t xml:space="preserve">Nazeeruddin, M. K.; Baranoff, E.; Grätzel, M. Dye-Sensitized Solar Cells: A Brief Overview. </w:t>
      </w:r>
      <w:r w:rsidRPr="00642F24">
        <w:rPr>
          <w:rFonts w:ascii="Times New Roman" w:hAnsi="Times New Roman" w:cs="Times New Roman"/>
          <w:i/>
          <w:iCs/>
          <w:noProof/>
          <w:sz w:val="24"/>
          <w:szCs w:val="24"/>
        </w:rPr>
        <w:t>Sol. Energy</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2011</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85</w:t>
      </w:r>
      <w:r w:rsidRPr="00642F24">
        <w:rPr>
          <w:rFonts w:ascii="Times New Roman" w:hAnsi="Times New Roman" w:cs="Times New Roman"/>
          <w:noProof/>
          <w:sz w:val="24"/>
          <w:szCs w:val="24"/>
        </w:rPr>
        <w:t xml:space="preserve"> (6), 1172–1178.</w:t>
      </w:r>
    </w:p>
    <w:p w14:paraId="4BA4E9D8"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(29) </w:t>
      </w:r>
      <w:r w:rsidRPr="00642F24">
        <w:rPr>
          <w:rFonts w:ascii="Times New Roman" w:hAnsi="Times New Roman" w:cs="Times New Roman"/>
          <w:noProof/>
          <w:sz w:val="24"/>
          <w:szCs w:val="24"/>
        </w:rPr>
        <w:tab/>
        <w:t>Ardo, S.; Meyer, G. J. Direct Observation of Photodriven Intermolecular Hole Transfer across TiO</w:t>
      </w:r>
      <w:r w:rsidRPr="005D3E4A">
        <w:rPr>
          <w:rFonts w:ascii="Times New Roman" w:hAnsi="Times New Roman" w:cs="Times New Roman"/>
          <w:noProof/>
          <w:sz w:val="24"/>
          <w:szCs w:val="24"/>
          <w:vertAlign w:val="subscript"/>
        </w:rPr>
        <w:t>2</w:t>
      </w:r>
      <w:r w:rsidRPr="00642F24">
        <w:rPr>
          <w:rFonts w:ascii="Times New Roman" w:hAnsi="Times New Roman" w:cs="Times New Roman"/>
          <w:noProof/>
          <w:sz w:val="24"/>
          <w:szCs w:val="24"/>
        </w:rPr>
        <w:t xml:space="preserve"> Nanocrystallites: Lateral Self-Exchange Reactions and Catalyst Oxidation. </w:t>
      </w:r>
      <w:r w:rsidRPr="00642F24">
        <w:rPr>
          <w:rFonts w:ascii="Times New Roman" w:hAnsi="Times New Roman" w:cs="Times New Roman"/>
          <w:i/>
          <w:iCs/>
          <w:noProof/>
          <w:sz w:val="24"/>
          <w:szCs w:val="24"/>
        </w:rPr>
        <w:t>J. Am. Chem. Soc.</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2010</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132</w:t>
      </w:r>
      <w:r w:rsidRPr="00642F24">
        <w:rPr>
          <w:rFonts w:ascii="Times New Roman" w:hAnsi="Times New Roman" w:cs="Times New Roman"/>
          <w:noProof/>
          <w:sz w:val="24"/>
          <w:szCs w:val="24"/>
        </w:rPr>
        <w:t xml:space="preserve"> (27), 9283–9285.</w:t>
      </w:r>
    </w:p>
    <w:p w14:paraId="10ABD884" w14:textId="0052446B"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(30) </w:t>
      </w:r>
      <w:r w:rsidRPr="00642F24">
        <w:rPr>
          <w:rFonts w:ascii="Times New Roman" w:hAnsi="Times New Roman" w:cs="Times New Roman"/>
          <w:noProof/>
          <w:sz w:val="24"/>
          <w:szCs w:val="24"/>
        </w:rPr>
        <w:tab/>
        <w:t>Ardo, S.; Meyer, G. J. Characterization of Photoinduced Self-Exchange Reactions at Molecule-Semiconductor Interfaces by Transient Polarization Spectroscopy: Lateral Intermolecular Energy and Hole Transfer across Sensitized TiO</w:t>
      </w:r>
      <w:r w:rsidRPr="005D3E4A">
        <w:rPr>
          <w:rFonts w:ascii="Times New Roman" w:hAnsi="Times New Roman" w:cs="Times New Roman"/>
          <w:noProof/>
          <w:sz w:val="24"/>
          <w:szCs w:val="24"/>
          <w:vertAlign w:val="subscript"/>
        </w:rPr>
        <w:t>2</w:t>
      </w:r>
      <w:r w:rsidR="005D3E4A">
        <w:rPr>
          <w:rFonts w:ascii="Times New Roman" w:hAnsi="Times New Roman" w:cs="Times New Roman"/>
          <w:noProof/>
          <w:sz w:val="24"/>
          <w:szCs w:val="24"/>
        </w:rPr>
        <w:t xml:space="preserve"> T</w:t>
      </w:r>
      <w:r w:rsidRPr="00642F24">
        <w:rPr>
          <w:rFonts w:ascii="Times New Roman" w:hAnsi="Times New Roman" w:cs="Times New Roman"/>
          <w:noProof/>
          <w:sz w:val="24"/>
          <w:szCs w:val="24"/>
        </w:rPr>
        <w:t xml:space="preserve">hin Films. </w:t>
      </w:r>
      <w:r w:rsidRPr="00642F24">
        <w:rPr>
          <w:rFonts w:ascii="Times New Roman" w:hAnsi="Times New Roman" w:cs="Times New Roman"/>
          <w:i/>
          <w:iCs/>
          <w:noProof/>
          <w:sz w:val="24"/>
          <w:szCs w:val="24"/>
        </w:rPr>
        <w:t>J. Am. Chem. Soc.</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2011</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133</w:t>
      </w:r>
      <w:r w:rsidRPr="00642F24">
        <w:rPr>
          <w:rFonts w:ascii="Times New Roman" w:hAnsi="Times New Roman" w:cs="Times New Roman"/>
          <w:noProof/>
          <w:sz w:val="24"/>
          <w:szCs w:val="24"/>
        </w:rPr>
        <w:t xml:space="preserve"> (39), 15384–15396.</w:t>
      </w:r>
    </w:p>
    <w:p w14:paraId="2B9DF9A6"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(31) </w:t>
      </w:r>
      <w:r w:rsidRPr="00642F24">
        <w:rPr>
          <w:rFonts w:ascii="Times New Roman" w:hAnsi="Times New Roman" w:cs="Times New Roman"/>
          <w:noProof/>
          <w:sz w:val="24"/>
          <w:szCs w:val="24"/>
        </w:rPr>
        <w:tab/>
        <w:t xml:space="preserve">Bonhôte, P.; Gogniat, E.; Tingry, S.; Barbé, C.; Vlachopoulos, N.; Lenzmann, F.; Comte, P.; Grätzel, M. Efficient Lateral Electron Transport inside a Monolayer of Aromatic Amines Anchored on Nanocrystalline Metal Oxide Films. </w:t>
      </w:r>
      <w:r w:rsidRPr="00642F24">
        <w:rPr>
          <w:rFonts w:ascii="Times New Roman" w:hAnsi="Times New Roman" w:cs="Times New Roman"/>
          <w:i/>
          <w:iCs/>
          <w:noProof/>
          <w:sz w:val="24"/>
          <w:szCs w:val="24"/>
        </w:rPr>
        <w:t>J. Phys. Chem. B</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1998</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102</w:t>
      </w:r>
      <w:r w:rsidRPr="00642F24">
        <w:rPr>
          <w:rFonts w:ascii="Times New Roman" w:hAnsi="Times New Roman" w:cs="Times New Roman"/>
          <w:noProof/>
          <w:sz w:val="24"/>
          <w:szCs w:val="24"/>
        </w:rPr>
        <w:t xml:space="preserve"> (9), 1498–1507.</w:t>
      </w:r>
    </w:p>
    <w:p w14:paraId="667F29E6"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(32) </w:t>
      </w:r>
      <w:r w:rsidRPr="00642F24">
        <w:rPr>
          <w:rFonts w:ascii="Times New Roman" w:hAnsi="Times New Roman" w:cs="Times New Roman"/>
          <w:noProof/>
          <w:sz w:val="24"/>
          <w:szCs w:val="24"/>
        </w:rPr>
        <w:tab/>
        <w:t>Trammell, S. A.; Meyer, T. J. Diffusional Mediation of Surface Electron Transfer on TiO</w:t>
      </w:r>
      <w:r w:rsidRPr="00642F24">
        <w:rPr>
          <w:rFonts w:ascii="Times New Roman" w:hAnsi="Times New Roman" w:cs="Times New Roman"/>
          <w:noProof/>
          <w:sz w:val="24"/>
          <w:szCs w:val="24"/>
          <w:vertAlign w:val="subscript"/>
        </w:rPr>
        <w:t>2</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J. Phys. Chem. B</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1999</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103</w:t>
      </w:r>
      <w:r w:rsidRPr="00642F24">
        <w:rPr>
          <w:rFonts w:ascii="Times New Roman" w:hAnsi="Times New Roman" w:cs="Times New Roman"/>
          <w:noProof/>
          <w:sz w:val="24"/>
          <w:szCs w:val="24"/>
        </w:rPr>
        <w:t xml:space="preserve"> (1), 104–107.</w:t>
      </w:r>
    </w:p>
    <w:p w14:paraId="3777392B"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(33) </w:t>
      </w:r>
      <w:r w:rsidRPr="00642F24">
        <w:rPr>
          <w:rFonts w:ascii="Times New Roman" w:hAnsi="Times New Roman" w:cs="Times New Roman"/>
          <w:noProof/>
          <w:sz w:val="24"/>
          <w:szCs w:val="24"/>
        </w:rPr>
        <w:tab/>
        <w:t xml:space="preserve">Hu, K.; Meyer, G. J. Lateral Intermolecular Self-Exchange Reactions for Hole and Energy Transport on Mesoporous Metal Oxide Thin Films. </w:t>
      </w:r>
      <w:r w:rsidRPr="00642F24">
        <w:rPr>
          <w:rFonts w:ascii="Times New Roman" w:hAnsi="Times New Roman" w:cs="Times New Roman"/>
          <w:i/>
          <w:iCs/>
          <w:noProof/>
          <w:sz w:val="24"/>
          <w:szCs w:val="24"/>
        </w:rPr>
        <w:t>Langmuir</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2015</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31</w:t>
      </w:r>
      <w:r w:rsidRPr="00642F24">
        <w:rPr>
          <w:rFonts w:ascii="Times New Roman" w:hAnsi="Times New Roman" w:cs="Times New Roman"/>
          <w:noProof/>
          <w:sz w:val="24"/>
          <w:szCs w:val="24"/>
        </w:rPr>
        <w:t xml:space="preserve"> (41), 11164–11178.</w:t>
      </w:r>
    </w:p>
    <w:p w14:paraId="73D8ED93"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(34) </w:t>
      </w:r>
      <w:r w:rsidRPr="00642F24">
        <w:rPr>
          <w:rFonts w:ascii="Times New Roman" w:hAnsi="Times New Roman" w:cs="Times New Roman"/>
          <w:noProof/>
          <w:sz w:val="24"/>
          <w:szCs w:val="24"/>
        </w:rPr>
        <w:tab/>
        <w:t xml:space="preserve">Moia, D.; Leijtens, T.; Noel, N.; Snaith, H. J.; Nelson, J.; Barnes, P. R. F. Dye Monolayers Used as the Hole Transporting Medium in Dye-Sensitized Solar Cells. </w:t>
      </w:r>
      <w:r w:rsidRPr="00642F24">
        <w:rPr>
          <w:rFonts w:ascii="Times New Roman" w:hAnsi="Times New Roman" w:cs="Times New Roman"/>
          <w:i/>
          <w:iCs/>
          <w:noProof/>
          <w:sz w:val="24"/>
          <w:szCs w:val="24"/>
        </w:rPr>
        <w:t>Adv. Mater.</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2015</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27</w:t>
      </w:r>
      <w:r w:rsidRPr="00642F24">
        <w:rPr>
          <w:rFonts w:ascii="Times New Roman" w:hAnsi="Times New Roman" w:cs="Times New Roman"/>
          <w:noProof/>
          <w:sz w:val="24"/>
          <w:szCs w:val="24"/>
        </w:rPr>
        <w:t xml:space="preserve"> (39), 5889–5894.</w:t>
      </w:r>
    </w:p>
    <w:p w14:paraId="641F2121" w14:textId="40F55E08"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(35) </w:t>
      </w:r>
      <w:r w:rsidRPr="00642F24">
        <w:rPr>
          <w:rFonts w:ascii="Times New Roman" w:hAnsi="Times New Roman" w:cs="Times New Roman"/>
          <w:noProof/>
          <w:sz w:val="24"/>
          <w:szCs w:val="24"/>
        </w:rPr>
        <w:tab/>
        <w:t>Sampaio, R. N.; Dimarco, B. N.; Meyer, G. J. Activation Energies for Electron Transfer from TiO</w:t>
      </w:r>
      <w:r w:rsidRPr="009C10FF">
        <w:rPr>
          <w:rFonts w:ascii="Times New Roman" w:hAnsi="Times New Roman" w:cs="Times New Roman"/>
          <w:noProof/>
          <w:sz w:val="24"/>
          <w:szCs w:val="24"/>
          <w:vertAlign w:val="subscript"/>
        </w:rPr>
        <w:t>2</w:t>
      </w:r>
      <w:r w:rsidR="009C10FF">
        <w:rPr>
          <w:rFonts w:ascii="Times New Roman" w:hAnsi="Times New Roman" w:cs="Times New Roman"/>
          <w:noProof/>
          <w:sz w:val="24"/>
          <w:szCs w:val="24"/>
        </w:rPr>
        <w:t xml:space="preserve"> </w:t>
      </w:r>
      <w:r w:rsidRPr="00642F24">
        <w:rPr>
          <w:rFonts w:ascii="Times New Roman" w:hAnsi="Times New Roman" w:cs="Times New Roman"/>
          <w:noProof/>
          <w:sz w:val="24"/>
          <w:szCs w:val="24"/>
        </w:rPr>
        <w:t xml:space="preserve">to Oxidized Dyes: A Surface Coverage Dependence Correlated with Lateral Hole Hopping. </w:t>
      </w:r>
      <w:r w:rsidRPr="00642F24">
        <w:rPr>
          <w:rFonts w:ascii="Times New Roman" w:hAnsi="Times New Roman" w:cs="Times New Roman"/>
          <w:i/>
          <w:iCs/>
          <w:noProof/>
          <w:sz w:val="24"/>
          <w:szCs w:val="24"/>
        </w:rPr>
        <w:t>ACS Energy Lett.</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2017</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2</w:t>
      </w:r>
      <w:r w:rsidRPr="00642F24">
        <w:rPr>
          <w:rFonts w:ascii="Times New Roman" w:hAnsi="Times New Roman" w:cs="Times New Roman"/>
          <w:noProof/>
          <w:sz w:val="24"/>
          <w:szCs w:val="24"/>
        </w:rPr>
        <w:t xml:space="preserve"> (10), 2402–2407.</w:t>
      </w:r>
    </w:p>
    <w:p w14:paraId="1946CB3A" w14:textId="30014BD4"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(36) </w:t>
      </w:r>
      <w:r w:rsidRPr="00642F24">
        <w:rPr>
          <w:rFonts w:ascii="Times New Roman" w:hAnsi="Times New Roman" w:cs="Times New Roman"/>
          <w:noProof/>
          <w:sz w:val="24"/>
          <w:szCs w:val="24"/>
        </w:rPr>
        <w:tab/>
        <w:t xml:space="preserve">Sampaio, R. N.; Müller, A. V.; Polo, A. S.; Meyer, G. J. Correlation between Charge Recombination and Lateral Hole-Hopping Kinetics in a Series of </w:t>
      </w:r>
      <w:r w:rsidR="009C10FF">
        <w:rPr>
          <w:rFonts w:ascii="Times New Roman" w:hAnsi="Times New Roman" w:cs="Times New Roman"/>
          <w:i/>
          <w:iCs/>
          <w:noProof/>
          <w:sz w:val="24"/>
          <w:szCs w:val="24"/>
        </w:rPr>
        <w:t>cis</w:t>
      </w:r>
      <w:r w:rsidRPr="00642F24">
        <w:rPr>
          <w:rFonts w:ascii="Times New Roman" w:hAnsi="Times New Roman" w:cs="Times New Roman"/>
          <w:noProof/>
          <w:sz w:val="24"/>
          <w:szCs w:val="24"/>
        </w:rPr>
        <w:t>-Ru(Phen′)(</w:t>
      </w:r>
      <w:r w:rsidR="009C10FF">
        <w:rPr>
          <w:rFonts w:ascii="Times New Roman" w:hAnsi="Times New Roman" w:cs="Times New Roman"/>
          <w:noProof/>
          <w:sz w:val="24"/>
          <w:szCs w:val="24"/>
        </w:rPr>
        <w:t>d</w:t>
      </w:r>
      <w:r w:rsidRPr="00642F24">
        <w:rPr>
          <w:rFonts w:ascii="Times New Roman" w:hAnsi="Times New Roman" w:cs="Times New Roman"/>
          <w:noProof/>
          <w:sz w:val="24"/>
          <w:szCs w:val="24"/>
        </w:rPr>
        <w:t>cb)(NCS)</w:t>
      </w:r>
      <w:r w:rsidRPr="009C10FF">
        <w:rPr>
          <w:rFonts w:ascii="Times New Roman" w:hAnsi="Times New Roman" w:cs="Times New Roman"/>
          <w:noProof/>
          <w:sz w:val="24"/>
          <w:szCs w:val="24"/>
          <w:vertAlign w:val="subscript"/>
        </w:rPr>
        <w:t>2</w:t>
      </w:r>
      <w:r w:rsidR="009C10FF">
        <w:rPr>
          <w:rFonts w:ascii="Times New Roman" w:hAnsi="Times New Roman" w:cs="Times New Roman"/>
          <w:noProof/>
          <w:sz w:val="24"/>
          <w:szCs w:val="24"/>
        </w:rPr>
        <w:t xml:space="preserve"> </w:t>
      </w:r>
      <w:r w:rsidRPr="00642F24">
        <w:rPr>
          <w:rFonts w:ascii="Times New Roman" w:hAnsi="Times New Roman" w:cs="Times New Roman"/>
          <w:noProof/>
          <w:sz w:val="24"/>
          <w:szCs w:val="24"/>
        </w:rPr>
        <w:t xml:space="preserve">Dye- Sensitized Solar Cells. </w:t>
      </w:r>
      <w:r w:rsidRPr="00642F24">
        <w:rPr>
          <w:rFonts w:ascii="Times New Roman" w:hAnsi="Times New Roman" w:cs="Times New Roman"/>
          <w:i/>
          <w:iCs/>
          <w:noProof/>
          <w:sz w:val="24"/>
          <w:szCs w:val="24"/>
        </w:rPr>
        <w:t>ACS Appl. Mater. Interfaces</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2017</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9</w:t>
      </w:r>
      <w:r w:rsidRPr="00642F24">
        <w:rPr>
          <w:rFonts w:ascii="Times New Roman" w:hAnsi="Times New Roman" w:cs="Times New Roman"/>
          <w:noProof/>
          <w:sz w:val="24"/>
          <w:szCs w:val="24"/>
        </w:rPr>
        <w:t xml:space="preserve"> (39), 33446–33454.</w:t>
      </w:r>
    </w:p>
    <w:p w14:paraId="4BEF3A8C"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(37) </w:t>
      </w:r>
      <w:r w:rsidRPr="00642F24">
        <w:rPr>
          <w:rFonts w:ascii="Times New Roman" w:hAnsi="Times New Roman" w:cs="Times New Roman"/>
          <w:noProof/>
          <w:sz w:val="24"/>
          <w:szCs w:val="24"/>
        </w:rPr>
        <w:tab/>
        <w:t xml:space="preserve">Troian-Gautier, L.; DiMarco, B. N.; Sampaio, R. N.; Marquard, S. L.; Meyer, G. J. Evidence That S‡ Controls Interfacial Electron Transfer Dynamics from Anatase TiO2 to Molecular Acceptors. </w:t>
      </w:r>
      <w:r w:rsidRPr="00642F24">
        <w:rPr>
          <w:rFonts w:ascii="Times New Roman" w:hAnsi="Times New Roman" w:cs="Times New Roman"/>
          <w:i/>
          <w:iCs/>
          <w:noProof/>
          <w:sz w:val="24"/>
          <w:szCs w:val="24"/>
        </w:rPr>
        <w:t>J. Am. Chem. Soc.</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2018</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140</w:t>
      </w:r>
      <w:r w:rsidRPr="00642F24">
        <w:rPr>
          <w:rFonts w:ascii="Times New Roman" w:hAnsi="Times New Roman" w:cs="Times New Roman"/>
          <w:noProof/>
          <w:sz w:val="24"/>
          <w:szCs w:val="24"/>
        </w:rPr>
        <w:t xml:space="preserve"> (8), 3019–3029.</w:t>
      </w:r>
    </w:p>
    <w:p w14:paraId="33A5FBD4" w14:textId="2F4B7218"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(38) </w:t>
      </w:r>
      <w:r w:rsidRPr="00642F24">
        <w:rPr>
          <w:rFonts w:ascii="Times New Roman" w:hAnsi="Times New Roman" w:cs="Times New Roman"/>
          <w:noProof/>
          <w:sz w:val="24"/>
          <w:szCs w:val="24"/>
        </w:rPr>
        <w:tab/>
        <w:t>Hanson, K.; Losego, M. D.; Kalanyan, B.; Ashford, D. L.; Parsons, G. N.; Meyer, T. J. Stabilization of [Ru(</w:t>
      </w:r>
      <w:r w:rsidR="007241DF">
        <w:rPr>
          <w:rFonts w:ascii="Times New Roman" w:hAnsi="Times New Roman" w:cs="Times New Roman"/>
          <w:noProof/>
          <w:sz w:val="24"/>
          <w:szCs w:val="24"/>
        </w:rPr>
        <w:t>b</w:t>
      </w:r>
      <w:r w:rsidRPr="00642F24">
        <w:rPr>
          <w:rFonts w:ascii="Times New Roman" w:hAnsi="Times New Roman" w:cs="Times New Roman"/>
          <w:noProof/>
          <w:sz w:val="24"/>
          <w:szCs w:val="24"/>
        </w:rPr>
        <w:t>py)</w:t>
      </w:r>
      <w:r w:rsidRPr="007241DF">
        <w:rPr>
          <w:rFonts w:ascii="Times New Roman" w:hAnsi="Times New Roman" w:cs="Times New Roman"/>
          <w:noProof/>
          <w:sz w:val="24"/>
          <w:szCs w:val="24"/>
          <w:vertAlign w:val="subscript"/>
        </w:rPr>
        <w:t>2</w:t>
      </w:r>
      <w:r w:rsidRPr="00642F24">
        <w:rPr>
          <w:rFonts w:ascii="Times New Roman" w:hAnsi="Times New Roman" w:cs="Times New Roman"/>
          <w:noProof/>
          <w:sz w:val="24"/>
          <w:szCs w:val="24"/>
        </w:rPr>
        <w:t>(4,4′-(PO</w:t>
      </w:r>
      <w:r w:rsidRPr="007241DF">
        <w:rPr>
          <w:rFonts w:ascii="Times New Roman" w:hAnsi="Times New Roman" w:cs="Times New Roman"/>
          <w:noProof/>
          <w:sz w:val="24"/>
          <w:szCs w:val="24"/>
          <w:vertAlign w:val="subscript"/>
        </w:rPr>
        <w:t>3</w:t>
      </w:r>
      <w:r w:rsidRPr="00642F24">
        <w:rPr>
          <w:rFonts w:ascii="Times New Roman" w:hAnsi="Times New Roman" w:cs="Times New Roman"/>
          <w:noProof/>
          <w:sz w:val="24"/>
          <w:szCs w:val="24"/>
        </w:rPr>
        <w:t>H</w:t>
      </w:r>
      <w:r w:rsidRPr="007241DF">
        <w:rPr>
          <w:rFonts w:ascii="Times New Roman" w:hAnsi="Times New Roman" w:cs="Times New Roman"/>
          <w:noProof/>
          <w:sz w:val="24"/>
          <w:szCs w:val="24"/>
          <w:vertAlign w:val="subscript"/>
        </w:rPr>
        <w:t>2</w:t>
      </w:r>
      <w:r w:rsidRPr="00642F24">
        <w:rPr>
          <w:rFonts w:ascii="Times New Roman" w:hAnsi="Times New Roman" w:cs="Times New Roman"/>
          <w:noProof/>
          <w:sz w:val="24"/>
          <w:szCs w:val="24"/>
        </w:rPr>
        <w:t>)</w:t>
      </w:r>
      <w:r w:rsidR="007241DF">
        <w:rPr>
          <w:rFonts w:ascii="Times New Roman" w:hAnsi="Times New Roman" w:cs="Times New Roman"/>
          <w:noProof/>
          <w:sz w:val="24"/>
          <w:szCs w:val="24"/>
        </w:rPr>
        <w:t>b</w:t>
      </w:r>
      <w:r w:rsidRPr="00642F24">
        <w:rPr>
          <w:rFonts w:ascii="Times New Roman" w:hAnsi="Times New Roman" w:cs="Times New Roman"/>
          <w:noProof/>
          <w:sz w:val="24"/>
          <w:szCs w:val="24"/>
        </w:rPr>
        <w:t>py)]</w:t>
      </w:r>
      <w:r w:rsidRPr="007241DF">
        <w:rPr>
          <w:rFonts w:ascii="Times New Roman" w:hAnsi="Times New Roman" w:cs="Times New Roman"/>
          <w:noProof/>
          <w:sz w:val="24"/>
          <w:szCs w:val="24"/>
          <w:vertAlign w:val="superscript"/>
        </w:rPr>
        <w:t>2+</w:t>
      </w:r>
      <w:r w:rsidRPr="00642F24">
        <w:rPr>
          <w:rFonts w:ascii="Times New Roman" w:hAnsi="Times New Roman" w:cs="Times New Roman"/>
          <w:noProof/>
          <w:sz w:val="24"/>
          <w:szCs w:val="24"/>
        </w:rPr>
        <w:t xml:space="preserve"> on Mesoporous TiO</w:t>
      </w:r>
      <w:r w:rsidRPr="007241DF">
        <w:rPr>
          <w:rFonts w:ascii="Times New Roman" w:hAnsi="Times New Roman" w:cs="Times New Roman"/>
          <w:noProof/>
          <w:sz w:val="24"/>
          <w:szCs w:val="24"/>
          <w:vertAlign w:val="subscript"/>
        </w:rPr>
        <w:t>2</w:t>
      </w:r>
      <w:r w:rsidRPr="00642F24">
        <w:rPr>
          <w:rFonts w:ascii="Times New Roman" w:hAnsi="Times New Roman" w:cs="Times New Roman"/>
          <w:noProof/>
          <w:sz w:val="24"/>
          <w:szCs w:val="24"/>
        </w:rPr>
        <w:t xml:space="preserve"> with Atomic Layer Deposition of Al</w:t>
      </w:r>
      <w:r w:rsidRPr="007241DF">
        <w:rPr>
          <w:rFonts w:ascii="Times New Roman" w:hAnsi="Times New Roman" w:cs="Times New Roman"/>
          <w:noProof/>
          <w:sz w:val="24"/>
          <w:szCs w:val="24"/>
          <w:vertAlign w:val="subscript"/>
        </w:rPr>
        <w:t>2</w:t>
      </w:r>
      <w:r w:rsidRPr="00642F24">
        <w:rPr>
          <w:rFonts w:ascii="Times New Roman" w:hAnsi="Times New Roman" w:cs="Times New Roman"/>
          <w:noProof/>
          <w:sz w:val="24"/>
          <w:szCs w:val="24"/>
        </w:rPr>
        <w:t>O</w:t>
      </w:r>
      <w:r w:rsidRPr="007241DF">
        <w:rPr>
          <w:rFonts w:ascii="Times New Roman" w:hAnsi="Times New Roman" w:cs="Times New Roman"/>
          <w:noProof/>
          <w:sz w:val="24"/>
          <w:szCs w:val="24"/>
          <w:vertAlign w:val="subscript"/>
        </w:rPr>
        <w:t>3</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Chem. Mater.</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2013</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25</w:t>
      </w:r>
      <w:r w:rsidRPr="00642F24">
        <w:rPr>
          <w:rFonts w:ascii="Times New Roman" w:hAnsi="Times New Roman" w:cs="Times New Roman"/>
          <w:noProof/>
          <w:sz w:val="24"/>
          <w:szCs w:val="24"/>
        </w:rPr>
        <w:t xml:space="preserve"> (1), 3–5.</w:t>
      </w:r>
    </w:p>
    <w:p w14:paraId="01BACE3C"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(39) </w:t>
      </w:r>
      <w:r w:rsidRPr="00642F24">
        <w:rPr>
          <w:rFonts w:ascii="Times New Roman" w:hAnsi="Times New Roman" w:cs="Times New Roman"/>
          <w:noProof/>
          <w:sz w:val="24"/>
          <w:szCs w:val="24"/>
        </w:rPr>
        <w:tab/>
        <w:t>Kim, D. H.; Losego, M. D.; Hanson, K.; Alibabaei, L.; Lee, K.; Meyer, T. J.; Parsons, G. N. Stabilizing Chromophore Binding on TiO</w:t>
      </w:r>
      <w:r w:rsidRPr="006B3622">
        <w:rPr>
          <w:rFonts w:ascii="Times New Roman" w:hAnsi="Times New Roman" w:cs="Times New Roman"/>
          <w:noProof/>
          <w:sz w:val="24"/>
          <w:szCs w:val="24"/>
          <w:vertAlign w:val="subscript"/>
        </w:rPr>
        <w:t>2</w:t>
      </w:r>
      <w:r w:rsidRPr="00642F24">
        <w:rPr>
          <w:rFonts w:ascii="Times New Roman" w:hAnsi="Times New Roman" w:cs="Times New Roman"/>
          <w:noProof/>
          <w:sz w:val="24"/>
          <w:szCs w:val="24"/>
        </w:rPr>
        <w:t xml:space="preserve"> for Long-Term Stability of Dye-Sensitized Solar Cells Using Multicomponent Atomic Layer Deposition. </w:t>
      </w:r>
      <w:r w:rsidRPr="00642F24">
        <w:rPr>
          <w:rFonts w:ascii="Times New Roman" w:hAnsi="Times New Roman" w:cs="Times New Roman"/>
          <w:i/>
          <w:iCs/>
          <w:noProof/>
          <w:sz w:val="24"/>
          <w:szCs w:val="24"/>
        </w:rPr>
        <w:t>Phys. Chem. Chem. Phys.</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2014</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16</w:t>
      </w:r>
      <w:r w:rsidRPr="00642F24">
        <w:rPr>
          <w:rFonts w:ascii="Times New Roman" w:hAnsi="Times New Roman" w:cs="Times New Roman"/>
          <w:noProof/>
          <w:sz w:val="24"/>
          <w:szCs w:val="24"/>
        </w:rPr>
        <w:t xml:space="preserve"> (18), 8615–8622.</w:t>
      </w:r>
    </w:p>
    <w:p w14:paraId="76867B95"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(40) </w:t>
      </w:r>
      <w:r w:rsidRPr="00642F24">
        <w:rPr>
          <w:rFonts w:ascii="Times New Roman" w:hAnsi="Times New Roman" w:cs="Times New Roman"/>
          <w:noProof/>
          <w:sz w:val="24"/>
          <w:szCs w:val="24"/>
        </w:rPr>
        <w:tab/>
        <w:t xml:space="preserve">Son, H. J.; Kim, C. H.; Kim, D. W.; Jeong, N. C.; Prasittichai, C.; Luo, L.; Wu, J.; Farha, O. K.; Wasielewski, M. R.; Hupp, J. T. Post-Assembly Atomic Layer Deposition of Ultrathin Metal-Oxide Coatings Enhances the Performance of an Organic Dye-Sensitized Solar Cell by Suppressing Dye Aggregation. </w:t>
      </w:r>
      <w:r w:rsidRPr="00642F24">
        <w:rPr>
          <w:rFonts w:ascii="Times New Roman" w:hAnsi="Times New Roman" w:cs="Times New Roman"/>
          <w:i/>
          <w:iCs/>
          <w:noProof/>
          <w:sz w:val="24"/>
          <w:szCs w:val="24"/>
        </w:rPr>
        <w:t>ACS Appl. Mater. Interfaces</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2015</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7</w:t>
      </w:r>
      <w:r w:rsidRPr="00642F24">
        <w:rPr>
          <w:rFonts w:ascii="Times New Roman" w:hAnsi="Times New Roman" w:cs="Times New Roman"/>
          <w:noProof/>
          <w:sz w:val="24"/>
          <w:szCs w:val="24"/>
        </w:rPr>
        <w:t xml:space="preserve"> (9), 5150–5159.</w:t>
      </w:r>
    </w:p>
    <w:p w14:paraId="203FEE48"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(41) </w:t>
      </w:r>
      <w:r w:rsidRPr="00642F24">
        <w:rPr>
          <w:rFonts w:ascii="Times New Roman" w:hAnsi="Times New Roman" w:cs="Times New Roman"/>
          <w:noProof/>
          <w:sz w:val="24"/>
          <w:szCs w:val="24"/>
        </w:rPr>
        <w:tab/>
        <w:t xml:space="preserve">Lapides, A. M.; Sherman, B. D.; Brennaman, M. K.; Dares, C. J.; Skinner, K. R.; Templeton, J. L.; Meyer, T. J. Synthesis, Characterization, and Water Oxidation by a </w:t>
      </w:r>
      <w:r w:rsidRPr="00642F24">
        <w:rPr>
          <w:rFonts w:ascii="Times New Roman" w:hAnsi="Times New Roman" w:cs="Times New Roman"/>
          <w:noProof/>
          <w:sz w:val="24"/>
          <w:szCs w:val="24"/>
        </w:rPr>
        <w:lastRenderedPageBreak/>
        <w:t xml:space="preserve">Molecular Chromophore-Catalyst Assembly Prepared by Atomic Layer Deposition. The “Mummy” Strategy. </w:t>
      </w:r>
      <w:r w:rsidRPr="00642F24">
        <w:rPr>
          <w:rFonts w:ascii="Times New Roman" w:hAnsi="Times New Roman" w:cs="Times New Roman"/>
          <w:i/>
          <w:iCs/>
          <w:noProof/>
          <w:sz w:val="24"/>
          <w:szCs w:val="24"/>
        </w:rPr>
        <w:t>Chem. Sci.</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2015</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6</w:t>
      </w:r>
      <w:r w:rsidRPr="00642F24">
        <w:rPr>
          <w:rFonts w:ascii="Times New Roman" w:hAnsi="Times New Roman" w:cs="Times New Roman"/>
          <w:noProof/>
          <w:sz w:val="24"/>
          <w:szCs w:val="24"/>
        </w:rPr>
        <w:t xml:space="preserve"> (11), 6398–6406.</w:t>
      </w:r>
    </w:p>
    <w:p w14:paraId="4FA500F8"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(42) </w:t>
      </w:r>
      <w:r w:rsidRPr="00642F24">
        <w:rPr>
          <w:rFonts w:ascii="Times New Roman" w:hAnsi="Times New Roman" w:cs="Times New Roman"/>
          <w:noProof/>
          <w:sz w:val="24"/>
          <w:szCs w:val="24"/>
        </w:rPr>
        <w:tab/>
        <w:t xml:space="preserve">Wang, D.; Sheridan, M. V.; Shan, B.; Farnum, B. H.; Marquard, S. L.; Sherman, B. D.; Eberhart, M. S.; Nayak, A.; Dares, C. J.; Das, A. K.; Bullock, R. M.; Meyer, T. J. Layer-by-Layer Molecular Assemblies for Dye-Sensitized Photoelectrosynthesis Cells Prepared by Atomic Layer Deposition. </w:t>
      </w:r>
      <w:r w:rsidRPr="00642F24">
        <w:rPr>
          <w:rFonts w:ascii="Times New Roman" w:hAnsi="Times New Roman" w:cs="Times New Roman"/>
          <w:i/>
          <w:iCs/>
          <w:noProof/>
          <w:sz w:val="24"/>
          <w:szCs w:val="24"/>
        </w:rPr>
        <w:t>J. Am. Chem. Soc.</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2017</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139</w:t>
      </w:r>
      <w:r w:rsidRPr="00642F24">
        <w:rPr>
          <w:rFonts w:ascii="Times New Roman" w:hAnsi="Times New Roman" w:cs="Times New Roman"/>
          <w:noProof/>
          <w:sz w:val="24"/>
          <w:szCs w:val="24"/>
        </w:rPr>
        <w:t xml:space="preserve"> (41), 14518–14525.</w:t>
      </w:r>
    </w:p>
    <w:p w14:paraId="08230882"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(43) </w:t>
      </w:r>
      <w:r w:rsidRPr="00642F24">
        <w:rPr>
          <w:rFonts w:ascii="Times New Roman" w:hAnsi="Times New Roman" w:cs="Times New Roman"/>
          <w:noProof/>
          <w:sz w:val="24"/>
          <w:szCs w:val="24"/>
        </w:rPr>
        <w:tab/>
        <w:t xml:space="preserve">Eberhart, M. S.; Wang, D.; Sampaio, R. N.; Marquard, S. L.; Shan, B.; Brennaman, M. K.; Meyer, G. J.; Dares, C.; Meyer, T. J. Water Photo-Oxidation Initiated by Surface-Bound Organic Chromophores. </w:t>
      </w:r>
      <w:r w:rsidRPr="00642F24">
        <w:rPr>
          <w:rFonts w:ascii="Times New Roman" w:hAnsi="Times New Roman" w:cs="Times New Roman"/>
          <w:i/>
          <w:iCs/>
          <w:noProof/>
          <w:sz w:val="24"/>
          <w:szCs w:val="24"/>
        </w:rPr>
        <w:t>J. Am. Chem. Soc.</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2017</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139</w:t>
      </w:r>
      <w:r w:rsidRPr="00642F24">
        <w:rPr>
          <w:rFonts w:ascii="Times New Roman" w:hAnsi="Times New Roman" w:cs="Times New Roman"/>
          <w:noProof/>
          <w:sz w:val="24"/>
          <w:szCs w:val="24"/>
        </w:rPr>
        <w:t xml:space="preserve"> (45), 16248–16255.</w:t>
      </w:r>
    </w:p>
    <w:p w14:paraId="430A119B" w14:textId="67A833B2"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(44) </w:t>
      </w:r>
      <w:r w:rsidRPr="00642F24">
        <w:rPr>
          <w:rFonts w:ascii="Times New Roman" w:hAnsi="Times New Roman" w:cs="Times New Roman"/>
          <w:noProof/>
          <w:sz w:val="24"/>
          <w:szCs w:val="24"/>
        </w:rPr>
        <w:tab/>
        <w:t>Kamire, R. J.; Materna, K. L.; Hoffeditz, W. L.; Phelan, B. T.; Thomsen, J. M.; Farha, O. K.; Hupp, J. T.; Brudvig, G. W.; Wasielewski, M. R. Photodriven Oxidation of Surface-Bound Iridium-Based Molecular Water-Oxidation Catalysts on Perylene-3,4-Dicarboximide-Sensitized TiO</w:t>
      </w:r>
      <w:r w:rsidRPr="000B1397">
        <w:rPr>
          <w:rFonts w:ascii="Times New Roman" w:hAnsi="Times New Roman" w:cs="Times New Roman"/>
          <w:noProof/>
          <w:sz w:val="24"/>
          <w:szCs w:val="24"/>
          <w:vertAlign w:val="subscript"/>
        </w:rPr>
        <w:t>2</w:t>
      </w:r>
      <w:r w:rsidR="000B1397">
        <w:rPr>
          <w:rFonts w:ascii="Times New Roman" w:hAnsi="Times New Roman" w:cs="Times New Roman"/>
          <w:noProof/>
          <w:sz w:val="24"/>
          <w:szCs w:val="24"/>
        </w:rPr>
        <w:t xml:space="preserve"> </w:t>
      </w:r>
      <w:r w:rsidRPr="00642F24">
        <w:rPr>
          <w:rFonts w:ascii="Times New Roman" w:hAnsi="Times New Roman" w:cs="Times New Roman"/>
          <w:noProof/>
          <w:sz w:val="24"/>
          <w:szCs w:val="24"/>
        </w:rPr>
        <w:t>Electrodes Protected by an Al</w:t>
      </w:r>
      <w:r w:rsidRPr="000B1397">
        <w:rPr>
          <w:rFonts w:ascii="Times New Roman" w:hAnsi="Times New Roman" w:cs="Times New Roman"/>
          <w:noProof/>
          <w:sz w:val="24"/>
          <w:szCs w:val="24"/>
          <w:vertAlign w:val="subscript"/>
        </w:rPr>
        <w:t>2</w:t>
      </w:r>
      <w:r w:rsidRPr="00642F24">
        <w:rPr>
          <w:rFonts w:ascii="Times New Roman" w:hAnsi="Times New Roman" w:cs="Times New Roman"/>
          <w:noProof/>
          <w:sz w:val="24"/>
          <w:szCs w:val="24"/>
        </w:rPr>
        <w:t>O</w:t>
      </w:r>
      <w:r w:rsidRPr="000B1397">
        <w:rPr>
          <w:rFonts w:ascii="Times New Roman" w:hAnsi="Times New Roman" w:cs="Times New Roman"/>
          <w:noProof/>
          <w:sz w:val="24"/>
          <w:szCs w:val="24"/>
          <w:vertAlign w:val="subscript"/>
        </w:rPr>
        <w:t>3</w:t>
      </w:r>
      <w:r w:rsidR="000B1397">
        <w:rPr>
          <w:rFonts w:ascii="Times New Roman" w:hAnsi="Times New Roman" w:cs="Times New Roman"/>
          <w:noProof/>
          <w:sz w:val="24"/>
          <w:szCs w:val="24"/>
        </w:rPr>
        <w:t xml:space="preserve"> </w:t>
      </w:r>
      <w:r w:rsidRPr="00642F24">
        <w:rPr>
          <w:rFonts w:ascii="Times New Roman" w:hAnsi="Times New Roman" w:cs="Times New Roman"/>
          <w:noProof/>
          <w:sz w:val="24"/>
          <w:szCs w:val="24"/>
        </w:rPr>
        <w:t xml:space="preserve">Layer. </w:t>
      </w:r>
      <w:r w:rsidRPr="00642F24">
        <w:rPr>
          <w:rFonts w:ascii="Times New Roman" w:hAnsi="Times New Roman" w:cs="Times New Roman"/>
          <w:i/>
          <w:iCs/>
          <w:noProof/>
          <w:sz w:val="24"/>
          <w:szCs w:val="24"/>
        </w:rPr>
        <w:t>J. Phys. Chem. C</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2017</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121</w:t>
      </w:r>
      <w:r w:rsidRPr="00642F24">
        <w:rPr>
          <w:rFonts w:ascii="Times New Roman" w:hAnsi="Times New Roman" w:cs="Times New Roman"/>
          <w:noProof/>
          <w:sz w:val="24"/>
          <w:szCs w:val="24"/>
        </w:rPr>
        <w:t xml:space="preserve"> (7), 3752–3764.</w:t>
      </w:r>
    </w:p>
    <w:p w14:paraId="745251DB"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(45) </w:t>
      </w:r>
      <w:r w:rsidRPr="00642F24">
        <w:rPr>
          <w:rFonts w:ascii="Times New Roman" w:hAnsi="Times New Roman" w:cs="Times New Roman"/>
          <w:noProof/>
          <w:sz w:val="24"/>
          <w:szCs w:val="24"/>
        </w:rPr>
        <w:tab/>
        <w:t>DiMarco, B. N.; Motley, T. C.; Balok, R. S.; Li, G.; Siegler, M. A.; O’Donnell, R. M.; Hu, K.; Meyer, G. J. A Distance Dependence to Lateral Self-Exchange across Nanocrystalline TiO</w:t>
      </w:r>
      <w:r w:rsidRPr="000B1397">
        <w:rPr>
          <w:rFonts w:ascii="Times New Roman" w:hAnsi="Times New Roman" w:cs="Times New Roman"/>
          <w:noProof/>
          <w:sz w:val="24"/>
          <w:szCs w:val="24"/>
          <w:vertAlign w:val="subscript"/>
        </w:rPr>
        <w:t>2</w:t>
      </w:r>
      <w:r w:rsidRPr="00642F24">
        <w:rPr>
          <w:rFonts w:ascii="Times New Roman" w:hAnsi="Times New Roman" w:cs="Times New Roman"/>
          <w:noProof/>
          <w:sz w:val="24"/>
          <w:szCs w:val="24"/>
        </w:rPr>
        <w:t>. A Comparative Study of Three Homologous Ru</w:t>
      </w:r>
      <w:r w:rsidRPr="000B1397">
        <w:rPr>
          <w:rFonts w:ascii="Times New Roman" w:hAnsi="Times New Roman" w:cs="Times New Roman"/>
          <w:noProof/>
          <w:sz w:val="24"/>
          <w:szCs w:val="24"/>
          <w:vertAlign w:val="superscript"/>
        </w:rPr>
        <w:t>III/II</w:t>
      </w:r>
      <w:r w:rsidRPr="00642F24">
        <w:rPr>
          <w:rFonts w:ascii="Times New Roman" w:hAnsi="Times New Roman" w:cs="Times New Roman"/>
          <w:noProof/>
          <w:sz w:val="24"/>
          <w:szCs w:val="24"/>
        </w:rPr>
        <w:t xml:space="preserve"> Polypyridyl Compounds. </w:t>
      </w:r>
      <w:r w:rsidRPr="00642F24">
        <w:rPr>
          <w:rFonts w:ascii="Times New Roman" w:hAnsi="Times New Roman" w:cs="Times New Roman"/>
          <w:i/>
          <w:iCs/>
          <w:noProof/>
          <w:sz w:val="24"/>
          <w:szCs w:val="24"/>
        </w:rPr>
        <w:t>J. Phys. Chem. C</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2016</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120</w:t>
      </w:r>
      <w:r w:rsidRPr="00642F24">
        <w:rPr>
          <w:rFonts w:ascii="Times New Roman" w:hAnsi="Times New Roman" w:cs="Times New Roman"/>
          <w:noProof/>
          <w:sz w:val="24"/>
          <w:szCs w:val="24"/>
        </w:rPr>
        <w:t xml:space="preserve"> (26), 14226–14235.</w:t>
      </w:r>
    </w:p>
    <w:p w14:paraId="151B23A4"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(46) </w:t>
      </w:r>
      <w:r w:rsidRPr="00642F24">
        <w:rPr>
          <w:rFonts w:ascii="Times New Roman" w:hAnsi="Times New Roman" w:cs="Times New Roman"/>
          <w:noProof/>
          <w:sz w:val="24"/>
          <w:szCs w:val="24"/>
        </w:rPr>
        <w:tab/>
        <w:t>Motley, T. C.; Brady, M. D.; Meyer, G. J. Influence of 4 and 4′ Substituents on Ru</w:t>
      </w:r>
      <w:r w:rsidRPr="000B1397">
        <w:rPr>
          <w:rFonts w:ascii="Times New Roman" w:hAnsi="Times New Roman" w:cs="Times New Roman"/>
          <w:noProof/>
          <w:sz w:val="24"/>
          <w:szCs w:val="24"/>
          <w:vertAlign w:val="superscript"/>
        </w:rPr>
        <w:t>III/II</w:t>
      </w:r>
      <w:r w:rsidRPr="00642F24">
        <w:rPr>
          <w:rFonts w:ascii="Times New Roman" w:hAnsi="Times New Roman" w:cs="Times New Roman"/>
          <w:noProof/>
          <w:sz w:val="24"/>
          <w:szCs w:val="24"/>
        </w:rPr>
        <w:t xml:space="preserve"> Bipyridyl Self-Exchange Electron Transfer across Nanocrystalline TiO</w:t>
      </w:r>
      <w:r w:rsidRPr="000B1397">
        <w:rPr>
          <w:rFonts w:ascii="Times New Roman" w:hAnsi="Times New Roman" w:cs="Times New Roman"/>
          <w:noProof/>
          <w:sz w:val="24"/>
          <w:szCs w:val="24"/>
          <w:vertAlign w:val="subscript"/>
        </w:rPr>
        <w:t>2</w:t>
      </w:r>
      <w:r w:rsidRPr="00642F24">
        <w:rPr>
          <w:rFonts w:ascii="Times New Roman" w:hAnsi="Times New Roman" w:cs="Times New Roman"/>
          <w:noProof/>
          <w:sz w:val="24"/>
          <w:szCs w:val="24"/>
        </w:rPr>
        <w:t xml:space="preserve"> Surfaces. </w:t>
      </w:r>
      <w:r w:rsidRPr="00642F24">
        <w:rPr>
          <w:rFonts w:ascii="Times New Roman" w:hAnsi="Times New Roman" w:cs="Times New Roman"/>
          <w:i/>
          <w:iCs/>
          <w:noProof/>
          <w:sz w:val="24"/>
          <w:szCs w:val="24"/>
        </w:rPr>
        <w:t>J. Phys. Chem. C</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2018</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122</w:t>
      </w:r>
      <w:r w:rsidRPr="00642F24">
        <w:rPr>
          <w:rFonts w:ascii="Times New Roman" w:hAnsi="Times New Roman" w:cs="Times New Roman"/>
          <w:noProof/>
          <w:sz w:val="24"/>
          <w:szCs w:val="24"/>
        </w:rPr>
        <w:t xml:space="preserve"> (34), 19385–19394.</w:t>
      </w:r>
    </w:p>
    <w:p w14:paraId="4D32FF67"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(47) </w:t>
      </w:r>
      <w:r w:rsidRPr="00642F24">
        <w:rPr>
          <w:rFonts w:ascii="Times New Roman" w:hAnsi="Times New Roman" w:cs="Times New Roman"/>
          <w:noProof/>
          <w:sz w:val="24"/>
          <w:szCs w:val="24"/>
        </w:rPr>
        <w:tab/>
        <w:t xml:space="preserve">Heimer, T. A.; D’Arcangelis, S. T.; Farzad, F.; Stipkala, J. M.; Meyer, G. J. An Acetylacetonate-Based Semiconductor-Sensitizer Linkage. </w:t>
      </w:r>
      <w:r w:rsidRPr="00642F24">
        <w:rPr>
          <w:rFonts w:ascii="Times New Roman" w:hAnsi="Times New Roman" w:cs="Times New Roman"/>
          <w:i/>
          <w:iCs/>
          <w:noProof/>
          <w:sz w:val="24"/>
          <w:szCs w:val="24"/>
        </w:rPr>
        <w:t>Inorg. Chem.</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1996</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35</w:t>
      </w:r>
      <w:r w:rsidRPr="00642F24">
        <w:rPr>
          <w:rFonts w:ascii="Times New Roman" w:hAnsi="Times New Roman" w:cs="Times New Roman"/>
          <w:noProof/>
          <w:sz w:val="24"/>
          <w:szCs w:val="24"/>
        </w:rPr>
        <w:t xml:space="preserve"> (18), 5319–5324.</w:t>
      </w:r>
    </w:p>
    <w:p w14:paraId="387CEE6E" w14:textId="11B1B1CE"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(48) </w:t>
      </w:r>
      <w:r w:rsidRPr="00642F24">
        <w:rPr>
          <w:rFonts w:ascii="Times New Roman" w:hAnsi="Times New Roman" w:cs="Times New Roman"/>
          <w:noProof/>
          <w:sz w:val="24"/>
          <w:szCs w:val="24"/>
        </w:rPr>
        <w:tab/>
        <w:t>Troian-Gautier, L.; Sampaio, R. N.; Piechota, E. J.; Brady, M. D.; Meyer, G. J. Barriers for Interfacial Back-Electron Transfer: A Comparison between TiO</w:t>
      </w:r>
      <w:r w:rsidRPr="00E92961">
        <w:rPr>
          <w:rFonts w:ascii="Times New Roman" w:hAnsi="Times New Roman" w:cs="Times New Roman"/>
          <w:noProof/>
          <w:sz w:val="24"/>
          <w:szCs w:val="24"/>
          <w:vertAlign w:val="subscript"/>
        </w:rPr>
        <w:t>2</w:t>
      </w:r>
      <w:r w:rsidRPr="00642F24">
        <w:rPr>
          <w:rFonts w:ascii="Times New Roman" w:hAnsi="Times New Roman" w:cs="Times New Roman"/>
          <w:noProof/>
          <w:sz w:val="24"/>
          <w:szCs w:val="24"/>
        </w:rPr>
        <w:t xml:space="preserve"> and SnO</w:t>
      </w:r>
      <w:r w:rsidRPr="00E92961">
        <w:rPr>
          <w:rFonts w:ascii="Times New Roman" w:hAnsi="Times New Roman" w:cs="Times New Roman"/>
          <w:noProof/>
          <w:sz w:val="24"/>
          <w:szCs w:val="24"/>
          <w:vertAlign w:val="subscript"/>
        </w:rPr>
        <w:t>2</w:t>
      </w:r>
      <w:r w:rsidRPr="00642F24">
        <w:rPr>
          <w:rFonts w:ascii="Times New Roman" w:hAnsi="Times New Roman" w:cs="Times New Roman"/>
          <w:noProof/>
          <w:sz w:val="24"/>
          <w:szCs w:val="24"/>
        </w:rPr>
        <w:t>/TiO</w:t>
      </w:r>
      <w:r w:rsidRPr="00E92961">
        <w:rPr>
          <w:rFonts w:ascii="Times New Roman" w:hAnsi="Times New Roman" w:cs="Times New Roman"/>
          <w:noProof/>
          <w:sz w:val="24"/>
          <w:szCs w:val="24"/>
          <w:vertAlign w:val="subscript"/>
        </w:rPr>
        <w:t>2</w:t>
      </w:r>
      <w:r w:rsidRPr="00642F24">
        <w:rPr>
          <w:rFonts w:ascii="Times New Roman" w:hAnsi="Times New Roman" w:cs="Times New Roman"/>
          <w:noProof/>
          <w:sz w:val="24"/>
          <w:szCs w:val="24"/>
        </w:rPr>
        <w:t xml:space="preserve"> Core/Shell Structures. </w:t>
      </w:r>
      <w:r w:rsidRPr="00642F24">
        <w:rPr>
          <w:rFonts w:ascii="Times New Roman" w:hAnsi="Times New Roman" w:cs="Times New Roman"/>
          <w:i/>
          <w:iCs/>
          <w:noProof/>
          <w:sz w:val="24"/>
          <w:szCs w:val="24"/>
        </w:rPr>
        <w:t>J. Chem. Phys.</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2019</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150</w:t>
      </w:r>
      <w:r w:rsidRPr="00642F24">
        <w:rPr>
          <w:rFonts w:ascii="Times New Roman" w:hAnsi="Times New Roman" w:cs="Times New Roman"/>
          <w:noProof/>
          <w:sz w:val="24"/>
          <w:szCs w:val="24"/>
        </w:rPr>
        <w:t xml:space="preserve"> (4)</w:t>
      </w:r>
      <w:r w:rsidR="008200AE">
        <w:rPr>
          <w:rFonts w:ascii="Times New Roman" w:hAnsi="Times New Roman" w:cs="Times New Roman"/>
          <w:noProof/>
          <w:sz w:val="24"/>
          <w:szCs w:val="24"/>
        </w:rPr>
        <w:t>, 041719</w:t>
      </w:r>
      <w:r w:rsidRPr="00642F24">
        <w:rPr>
          <w:rFonts w:ascii="Times New Roman" w:hAnsi="Times New Roman" w:cs="Times New Roman"/>
          <w:noProof/>
          <w:sz w:val="24"/>
          <w:szCs w:val="24"/>
        </w:rPr>
        <w:t>.</w:t>
      </w:r>
    </w:p>
    <w:p w14:paraId="2BD3CDE6" w14:textId="3BDDF384"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(49) </w:t>
      </w:r>
      <w:r w:rsidRPr="00642F24">
        <w:rPr>
          <w:rFonts w:ascii="Times New Roman" w:hAnsi="Times New Roman" w:cs="Times New Roman"/>
          <w:noProof/>
          <w:sz w:val="24"/>
          <w:szCs w:val="24"/>
        </w:rPr>
        <w:tab/>
        <w:t>Jur, J. S.; Parsons, G. N. Atomic Layer Deposition of Al</w:t>
      </w:r>
      <w:r w:rsidRPr="00C16EFF">
        <w:rPr>
          <w:rFonts w:ascii="Times New Roman" w:hAnsi="Times New Roman" w:cs="Times New Roman"/>
          <w:noProof/>
          <w:sz w:val="24"/>
          <w:szCs w:val="24"/>
          <w:vertAlign w:val="subscript"/>
        </w:rPr>
        <w:t>2</w:t>
      </w:r>
      <w:r w:rsidRPr="00642F24">
        <w:rPr>
          <w:rFonts w:ascii="Times New Roman" w:hAnsi="Times New Roman" w:cs="Times New Roman"/>
          <w:noProof/>
          <w:sz w:val="24"/>
          <w:szCs w:val="24"/>
        </w:rPr>
        <w:t>O</w:t>
      </w:r>
      <w:r w:rsidRPr="00C16EFF">
        <w:rPr>
          <w:rFonts w:ascii="Times New Roman" w:hAnsi="Times New Roman" w:cs="Times New Roman"/>
          <w:noProof/>
          <w:sz w:val="24"/>
          <w:szCs w:val="24"/>
          <w:vertAlign w:val="subscript"/>
        </w:rPr>
        <w:t>3</w:t>
      </w:r>
      <w:r w:rsidRPr="00642F24">
        <w:rPr>
          <w:rFonts w:ascii="Times New Roman" w:hAnsi="Times New Roman" w:cs="Times New Roman"/>
          <w:noProof/>
          <w:sz w:val="24"/>
          <w:szCs w:val="24"/>
        </w:rPr>
        <w:t xml:space="preserve"> and ZnO at Atmospheric Pressure in a Flow Tube Reactor. </w:t>
      </w:r>
      <w:r w:rsidRPr="00642F24">
        <w:rPr>
          <w:rFonts w:ascii="Times New Roman" w:hAnsi="Times New Roman" w:cs="Times New Roman"/>
          <w:i/>
          <w:iCs/>
          <w:noProof/>
          <w:sz w:val="24"/>
          <w:szCs w:val="24"/>
        </w:rPr>
        <w:t>ACS Appl. Mater. Interfaces</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2011</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3</w:t>
      </w:r>
      <w:r w:rsidRPr="00642F24">
        <w:rPr>
          <w:rFonts w:ascii="Times New Roman" w:hAnsi="Times New Roman" w:cs="Times New Roman"/>
          <w:noProof/>
          <w:sz w:val="24"/>
          <w:szCs w:val="24"/>
        </w:rPr>
        <w:t xml:space="preserve"> (2), 299–308.</w:t>
      </w:r>
    </w:p>
    <w:p w14:paraId="778EC585" w14:textId="215A80CE"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(50) </w:t>
      </w:r>
      <w:r w:rsidRPr="00642F24">
        <w:rPr>
          <w:rFonts w:ascii="Times New Roman" w:hAnsi="Times New Roman" w:cs="Times New Roman"/>
          <w:noProof/>
          <w:sz w:val="24"/>
          <w:szCs w:val="24"/>
        </w:rPr>
        <w:tab/>
        <w:t xml:space="preserve">Argazzi, R.; Bignozzi, C. A.; Heimer, T. A.; Castellano, F. N.; Meyer, G. J. Enhanced Spectral Sensitivity from Ruthenium(II) Polypyridyl Based Photovoltaic Devices. </w:t>
      </w:r>
      <w:r w:rsidRPr="00642F24">
        <w:rPr>
          <w:rFonts w:ascii="Times New Roman" w:hAnsi="Times New Roman" w:cs="Times New Roman"/>
          <w:i/>
          <w:iCs/>
          <w:noProof/>
          <w:sz w:val="24"/>
          <w:szCs w:val="24"/>
        </w:rPr>
        <w:t>Inorg. Chem.</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1994</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33</w:t>
      </w:r>
      <w:r w:rsidRPr="00642F24">
        <w:rPr>
          <w:rFonts w:ascii="Times New Roman" w:hAnsi="Times New Roman" w:cs="Times New Roman"/>
          <w:noProof/>
          <w:sz w:val="24"/>
          <w:szCs w:val="24"/>
        </w:rPr>
        <w:t xml:space="preserve"> (25), 5741–5749.</w:t>
      </w:r>
    </w:p>
    <w:p w14:paraId="3B3C7EC5"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(51) </w:t>
      </w:r>
      <w:r w:rsidRPr="00642F24">
        <w:rPr>
          <w:rFonts w:ascii="Times New Roman" w:hAnsi="Times New Roman" w:cs="Times New Roman"/>
          <w:noProof/>
          <w:sz w:val="24"/>
          <w:szCs w:val="24"/>
        </w:rPr>
        <w:tab/>
        <w:t xml:space="preserve">Ashford, D. L.; Brennaman, M. K.; Brown, R. J.; Keinan, S.; Concepcion, J. J.; Papanikolas, J. M.; Templeton, J. L.; Meyer, T. J. Varying the Electronic Structure of Surface-Bound Ruthenium(II) Polypyridyl Complexes. </w:t>
      </w:r>
      <w:r w:rsidRPr="00642F24">
        <w:rPr>
          <w:rFonts w:ascii="Times New Roman" w:hAnsi="Times New Roman" w:cs="Times New Roman"/>
          <w:i/>
          <w:iCs/>
          <w:noProof/>
          <w:sz w:val="24"/>
          <w:szCs w:val="24"/>
        </w:rPr>
        <w:t>Inorg. Chem.</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2015</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54</w:t>
      </w:r>
      <w:r w:rsidRPr="00642F24">
        <w:rPr>
          <w:rFonts w:ascii="Times New Roman" w:hAnsi="Times New Roman" w:cs="Times New Roman"/>
          <w:noProof/>
          <w:sz w:val="24"/>
          <w:szCs w:val="24"/>
        </w:rPr>
        <w:t xml:space="preserve"> (2), 460–469.</w:t>
      </w:r>
    </w:p>
    <w:p w14:paraId="1AD8245C"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(52) </w:t>
      </w:r>
      <w:r w:rsidRPr="00642F24">
        <w:rPr>
          <w:rFonts w:ascii="Times New Roman" w:hAnsi="Times New Roman" w:cs="Times New Roman"/>
          <w:noProof/>
          <w:sz w:val="24"/>
          <w:szCs w:val="24"/>
        </w:rPr>
        <w:tab/>
        <w:t xml:space="preserve">Barbé, C. J.; Arendse, F.; Comte, P.; Jirousek, M.; Lenzmann, F.; Shklover, V.; Grätzel, M. Nanocrystalline Titanium Oxide Electrodes for Photovoltaic Applications. </w:t>
      </w:r>
      <w:r w:rsidRPr="00642F24">
        <w:rPr>
          <w:rFonts w:ascii="Times New Roman" w:hAnsi="Times New Roman" w:cs="Times New Roman"/>
          <w:i/>
          <w:iCs/>
          <w:noProof/>
          <w:sz w:val="24"/>
          <w:szCs w:val="24"/>
        </w:rPr>
        <w:t>J. Am. Ceram. Soc.</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1997</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80</w:t>
      </w:r>
      <w:r w:rsidRPr="00642F24">
        <w:rPr>
          <w:rFonts w:ascii="Times New Roman" w:hAnsi="Times New Roman" w:cs="Times New Roman"/>
          <w:noProof/>
          <w:sz w:val="24"/>
          <w:szCs w:val="24"/>
        </w:rPr>
        <w:t xml:space="preserve"> (12), 3157–3171.</w:t>
      </w:r>
    </w:p>
    <w:p w14:paraId="70F79A43"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(53) </w:t>
      </w:r>
      <w:r w:rsidRPr="00642F24">
        <w:rPr>
          <w:rFonts w:ascii="Times New Roman" w:hAnsi="Times New Roman" w:cs="Times New Roman"/>
          <w:noProof/>
          <w:sz w:val="24"/>
          <w:szCs w:val="24"/>
        </w:rPr>
        <w:tab/>
        <w:t xml:space="preserve">Moia, D.; Vaissier, V.; López-Duarte, I.; Torres, T.; Nazeeruddin, M. K.; O’Regan, B. C.; Nelson, J.; Barnes, P. R. F. The Reorganization Energy of Intermolecular Hole Hopping between Dyes Anchored to Surfaces. </w:t>
      </w:r>
      <w:r w:rsidRPr="00642F24">
        <w:rPr>
          <w:rFonts w:ascii="Times New Roman" w:hAnsi="Times New Roman" w:cs="Times New Roman"/>
          <w:i/>
          <w:iCs/>
          <w:noProof/>
          <w:sz w:val="24"/>
          <w:szCs w:val="24"/>
        </w:rPr>
        <w:t>Chem. Sci.</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2014</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5</w:t>
      </w:r>
      <w:r w:rsidRPr="00642F24">
        <w:rPr>
          <w:rFonts w:ascii="Times New Roman" w:hAnsi="Times New Roman" w:cs="Times New Roman"/>
          <w:noProof/>
          <w:sz w:val="24"/>
          <w:szCs w:val="24"/>
        </w:rPr>
        <w:t xml:space="preserve"> (1), 281–290.</w:t>
      </w:r>
    </w:p>
    <w:p w14:paraId="65E5E90F"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(54) </w:t>
      </w:r>
      <w:r w:rsidRPr="00642F24">
        <w:rPr>
          <w:rFonts w:ascii="Times New Roman" w:hAnsi="Times New Roman" w:cs="Times New Roman"/>
          <w:noProof/>
          <w:sz w:val="24"/>
          <w:szCs w:val="24"/>
        </w:rPr>
        <w:tab/>
        <w:t xml:space="preserve">Blauch, D. N.; Savéant, J. M. Dynamics of Electron Hopping in Assemblies of Redox Centers. Percolation and Diffusion. </w:t>
      </w:r>
      <w:r w:rsidRPr="00642F24">
        <w:rPr>
          <w:rFonts w:ascii="Times New Roman" w:hAnsi="Times New Roman" w:cs="Times New Roman"/>
          <w:i/>
          <w:iCs/>
          <w:noProof/>
          <w:sz w:val="24"/>
          <w:szCs w:val="24"/>
        </w:rPr>
        <w:t>J. Am. Chem. Soc.</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1992</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114</w:t>
      </w:r>
      <w:r w:rsidRPr="00642F24">
        <w:rPr>
          <w:rFonts w:ascii="Times New Roman" w:hAnsi="Times New Roman" w:cs="Times New Roman"/>
          <w:noProof/>
          <w:sz w:val="24"/>
          <w:szCs w:val="24"/>
        </w:rPr>
        <w:t xml:space="preserve"> (9), 3323–3332.</w:t>
      </w:r>
    </w:p>
    <w:p w14:paraId="402AD3DE"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(55) </w:t>
      </w:r>
      <w:r w:rsidRPr="00642F24">
        <w:rPr>
          <w:rFonts w:ascii="Times New Roman" w:hAnsi="Times New Roman" w:cs="Times New Roman"/>
          <w:noProof/>
          <w:sz w:val="24"/>
          <w:szCs w:val="24"/>
        </w:rPr>
        <w:tab/>
        <w:t xml:space="preserve">Bergeron, B. V.; Kelly, C. A.; Meyer, G. J. Thin Film Actinometers for Transient Absorption Spectroscopy: Applications to Dye-Sensitized Solar Cells. </w:t>
      </w:r>
      <w:r w:rsidRPr="00642F24">
        <w:rPr>
          <w:rFonts w:ascii="Times New Roman" w:hAnsi="Times New Roman" w:cs="Times New Roman"/>
          <w:i/>
          <w:iCs/>
          <w:noProof/>
          <w:sz w:val="24"/>
          <w:szCs w:val="24"/>
        </w:rPr>
        <w:t>Langmuir</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2003</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19</w:t>
      </w:r>
      <w:r w:rsidRPr="00642F24">
        <w:rPr>
          <w:rFonts w:ascii="Times New Roman" w:hAnsi="Times New Roman" w:cs="Times New Roman"/>
          <w:noProof/>
          <w:sz w:val="24"/>
          <w:szCs w:val="24"/>
        </w:rPr>
        <w:t xml:space="preserve"> </w:t>
      </w:r>
      <w:r w:rsidRPr="00642F24">
        <w:rPr>
          <w:rFonts w:ascii="Times New Roman" w:hAnsi="Times New Roman" w:cs="Times New Roman"/>
          <w:noProof/>
          <w:sz w:val="24"/>
          <w:szCs w:val="24"/>
        </w:rPr>
        <w:lastRenderedPageBreak/>
        <w:t>(20), 8389–8394.</w:t>
      </w:r>
    </w:p>
    <w:p w14:paraId="460EC94F"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(56) </w:t>
      </w:r>
      <w:r w:rsidRPr="00642F24">
        <w:rPr>
          <w:rFonts w:ascii="Times New Roman" w:hAnsi="Times New Roman" w:cs="Times New Roman"/>
          <w:noProof/>
          <w:sz w:val="24"/>
          <w:szCs w:val="24"/>
        </w:rPr>
        <w:tab/>
        <w:t xml:space="preserve">Grätzel, M. Solar Energy Conversion by Dye-Sensitized Photovoltaic Cells. </w:t>
      </w:r>
      <w:r w:rsidRPr="00642F24">
        <w:rPr>
          <w:rFonts w:ascii="Times New Roman" w:hAnsi="Times New Roman" w:cs="Times New Roman"/>
          <w:i/>
          <w:iCs/>
          <w:noProof/>
          <w:sz w:val="24"/>
          <w:szCs w:val="24"/>
        </w:rPr>
        <w:t>Inorg. Chem.</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2005</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44</w:t>
      </w:r>
      <w:r w:rsidRPr="00642F24">
        <w:rPr>
          <w:rFonts w:ascii="Times New Roman" w:hAnsi="Times New Roman" w:cs="Times New Roman"/>
          <w:noProof/>
          <w:sz w:val="24"/>
          <w:szCs w:val="24"/>
        </w:rPr>
        <w:t xml:space="preserve"> (20), 6841–6851.</w:t>
      </w:r>
    </w:p>
    <w:p w14:paraId="404DB77D" w14:textId="1E80B5A9"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(57) </w:t>
      </w:r>
      <w:r w:rsidRPr="00642F24">
        <w:rPr>
          <w:rFonts w:ascii="Times New Roman" w:hAnsi="Times New Roman" w:cs="Times New Roman"/>
          <w:noProof/>
          <w:sz w:val="24"/>
          <w:szCs w:val="24"/>
        </w:rPr>
        <w:tab/>
        <w:t>Hanson, K.; Brennaman, M. K.; Ito, A.; Luo, H.; Song, W.; Parker, K. A.; Ghosh, R.; Norris, M. R.; Glasson, C. R. K.; Concepcion, J. J.; Lopez, R.; Meyer, T. J. Structure-Property Relationships in Phosphonate-Derivatized, Ru</w:t>
      </w:r>
      <w:r w:rsidRPr="00530FA7">
        <w:rPr>
          <w:rFonts w:ascii="Times New Roman" w:hAnsi="Times New Roman" w:cs="Times New Roman"/>
          <w:noProof/>
          <w:sz w:val="24"/>
          <w:szCs w:val="24"/>
          <w:vertAlign w:val="superscript"/>
        </w:rPr>
        <w:t>II</w:t>
      </w:r>
      <w:r w:rsidRPr="00642F24">
        <w:rPr>
          <w:rFonts w:ascii="Times New Roman" w:hAnsi="Times New Roman" w:cs="Times New Roman"/>
          <w:noProof/>
          <w:sz w:val="24"/>
          <w:szCs w:val="24"/>
        </w:rPr>
        <w:t xml:space="preserve"> Polypyridyl Dyes on Metal Oxide Surfaces in an Aqueous Environment. </w:t>
      </w:r>
      <w:r w:rsidRPr="00642F24">
        <w:rPr>
          <w:rFonts w:ascii="Times New Roman" w:hAnsi="Times New Roman" w:cs="Times New Roman"/>
          <w:i/>
          <w:iCs/>
          <w:noProof/>
          <w:sz w:val="24"/>
          <w:szCs w:val="24"/>
        </w:rPr>
        <w:t>J. Phys. Chem. C</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2012</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116</w:t>
      </w:r>
      <w:r w:rsidRPr="00642F24">
        <w:rPr>
          <w:rFonts w:ascii="Times New Roman" w:hAnsi="Times New Roman" w:cs="Times New Roman"/>
          <w:noProof/>
          <w:sz w:val="24"/>
          <w:szCs w:val="24"/>
        </w:rPr>
        <w:t xml:space="preserve"> (28), 14837–14847.</w:t>
      </w:r>
    </w:p>
    <w:p w14:paraId="0084FD72"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(58) </w:t>
      </w:r>
      <w:r w:rsidRPr="00642F24">
        <w:rPr>
          <w:rFonts w:ascii="Times New Roman" w:hAnsi="Times New Roman" w:cs="Times New Roman"/>
          <w:noProof/>
          <w:sz w:val="24"/>
          <w:szCs w:val="24"/>
        </w:rPr>
        <w:tab/>
        <w:t xml:space="preserve">Zigler, D. F.; Morseth, Z. A.; Wang, L.; Ashford, D. L.; Brennaman, M. K.; Grumstrup, E. M.; Brigham, E. C.; Gish, M. K.; Dillon, R. J.; Alibabaei, L.; Meyer, G. J.; Meyer, T. J.; Papanikolas, J. M. Disentangling the Physical Processes Responsible for the Kinetic Complexity in Interfacial Electron Transfer of Excited Ru(II) Polypyridyl Dyes on TiO2. </w:t>
      </w:r>
      <w:r w:rsidRPr="00642F24">
        <w:rPr>
          <w:rFonts w:ascii="Times New Roman" w:hAnsi="Times New Roman" w:cs="Times New Roman"/>
          <w:i/>
          <w:iCs/>
          <w:noProof/>
          <w:sz w:val="24"/>
          <w:szCs w:val="24"/>
        </w:rPr>
        <w:t>J. Am. Chem. Soc.</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2016</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138</w:t>
      </w:r>
      <w:r w:rsidRPr="00642F24">
        <w:rPr>
          <w:rFonts w:ascii="Times New Roman" w:hAnsi="Times New Roman" w:cs="Times New Roman"/>
          <w:noProof/>
          <w:sz w:val="24"/>
          <w:szCs w:val="24"/>
        </w:rPr>
        <w:t xml:space="preserve"> (13), 4426–4438.</w:t>
      </w:r>
    </w:p>
    <w:p w14:paraId="08FBB963"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(59) </w:t>
      </w:r>
      <w:r w:rsidRPr="00642F24">
        <w:rPr>
          <w:rFonts w:ascii="Times New Roman" w:hAnsi="Times New Roman" w:cs="Times New Roman"/>
          <w:noProof/>
          <w:sz w:val="24"/>
          <w:szCs w:val="24"/>
        </w:rPr>
        <w:tab/>
        <w:t xml:space="preserve">Lakowicz, J. R. </w:t>
      </w:r>
      <w:r w:rsidRPr="00642F24">
        <w:rPr>
          <w:rFonts w:ascii="Times New Roman" w:hAnsi="Times New Roman" w:cs="Times New Roman"/>
          <w:i/>
          <w:iCs/>
          <w:noProof/>
          <w:sz w:val="24"/>
          <w:szCs w:val="24"/>
        </w:rPr>
        <w:t>Principles of Fluorescence Spectroscopy</w:t>
      </w:r>
      <w:r w:rsidRPr="00642F24">
        <w:rPr>
          <w:rFonts w:ascii="Times New Roman" w:hAnsi="Times New Roman" w:cs="Times New Roman"/>
          <w:noProof/>
          <w:sz w:val="24"/>
          <w:szCs w:val="24"/>
        </w:rPr>
        <w:t>; Springer: New York, 2006.</w:t>
      </w:r>
    </w:p>
    <w:p w14:paraId="3C03BC92"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(60) </w:t>
      </w:r>
      <w:r w:rsidRPr="00642F24">
        <w:rPr>
          <w:rFonts w:ascii="Times New Roman" w:hAnsi="Times New Roman" w:cs="Times New Roman"/>
          <w:noProof/>
          <w:sz w:val="24"/>
          <w:szCs w:val="24"/>
        </w:rPr>
        <w:tab/>
        <w:t xml:space="preserve">Terpetschnig, E.; Szmacinski, H.; Malak, H.; Lakowicz, J. R. Metal-Ligand Complexes as a New Class of Long-Lived Fluorophores for Protein Hydrodynamics. </w:t>
      </w:r>
      <w:r w:rsidRPr="00642F24">
        <w:rPr>
          <w:rFonts w:ascii="Times New Roman" w:hAnsi="Times New Roman" w:cs="Times New Roman"/>
          <w:i/>
          <w:iCs/>
          <w:noProof/>
          <w:sz w:val="24"/>
          <w:szCs w:val="24"/>
        </w:rPr>
        <w:t>Biophys. J.</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1995</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68</w:t>
      </w:r>
      <w:r w:rsidRPr="00642F24">
        <w:rPr>
          <w:rFonts w:ascii="Times New Roman" w:hAnsi="Times New Roman" w:cs="Times New Roman"/>
          <w:noProof/>
          <w:sz w:val="24"/>
          <w:szCs w:val="24"/>
        </w:rPr>
        <w:t xml:space="preserve"> (1), 342–350.</w:t>
      </w:r>
    </w:p>
    <w:p w14:paraId="7665F574" w14:textId="4B5DCC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(61) </w:t>
      </w:r>
      <w:r w:rsidRPr="00642F24">
        <w:rPr>
          <w:rFonts w:ascii="Times New Roman" w:hAnsi="Times New Roman" w:cs="Times New Roman"/>
          <w:noProof/>
          <w:sz w:val="24"/>
          <w:szCs w:val="24"/>
        </w:rPr>
        <w:tab/>
        <w:t>Wallin, S.; Davidsson, J.; Modin, J.; Hammarström, L. Femtosecond Transient Absorption Anisotropy Study on [Ru(</w:t>
      </w:r>
      <w:r w:rsidR="00530FA7">
        <w:rPr>
          <w:rFonts w:ascii="Times New Roman" w:hAnsi="Times New Roman" w:cs="Times New Roman"/>
          <w:noProof/>
          <w:sz w:val="24"/>
          <w:szCs w:val="24"/>
        </w:rPr>
        <w:t>b</w:t>
      </w:r>
      <w:r w:rsidRPr="00642F24">
        <w:rPr>
          <w:rFonts w:ascii="Times New Roman" w:hAnsi="Times New Roman" w:cs="Times New Roman"/>
          <w:noProof/>
          <w:sz w:val="24"/>
          <w:szCs w:val="24"/>
        </w:rPr>
        <w:t>py)</w:t>
      </w:r>
      <w:r w:rsidRPr="00530FA7">
        <w:rPr>
          <w:rFonts w:ascii="Times New Roman" w:hAnsi="Times New Roman" w:cs="Times New Roman"/>
          <w:noProof/>
          <w:sz w:val="24"/>
          <w:szCs w:val="24"/>
          <w:vertAlign w:val="subscript"/>
        </w:rPr>
        <w:t>3</w:t>
      </w:r>
      <w:r w:rsidRPr="00642F24">
        <w:rPr>
          <w:rFonts w:ascii="Times New Roman" w:hAnsi="Times New Roman" w:cs="Times New Roman"/>
          <w:noProof/>
          <w:sz w:val="24"/>
          <w:szCs w:val="24"/>
        </w:rPr>
        <w:t>]</w:t>
      </w:r>
      <w:r w:rsidRPr="00530FA7">
        <w:rPr>
          <w:rFonts w:ascii="Times New Roman" w:hAnsi="Times New Roman" w:cs="Times New Roman"/>
          <w:noProof/>
          <w:sz w:val="24"/>
          <w:szCs w:val="24"/>
          <w:vertAlign w:val="superscript"/>
        </w:rPr>
        <w:t>2+</w:t>
      </w:r>
      <w:r w:rsidRPr="00642F24">
        <w:rPr>
          <w:rFonts w:ascii="Times New Roman" w:hAnsi="Times New Roman" w:cs="Times New Roman"/>
          <w:noProof/>
          <w:sz w:val="24"/>
          <w:szCs w:val="24"/>
        </w:rPr>
        <w:t xml:space="preserve"> and [Ru(</w:t>
      </w:r>
      <w:r w:rsidR="00530FA7">
        <w:rPr>
          <w:rFonts w:ascii="Times New Roman" w:hAnsi="Times New Roman" w:cs="Times New Roman"/>
          <w:noProof/>
          <w:sz w:val="24"/>
          <w:szCs w:val="24"/>
        </w:rPr>
        <w:t>b</w:t>
      </w:r>
      <w:r w:rsidRPr="00642F24">
        <w:rPr>
          <w:rFonts w:ascii="Times New Roman" w:hAnsi="Times New Roman" w:cs="Times New Roman"/>
          <w:noProof/>
          <w:sz w:val="24"/>
          <w:szCs w:val="24"/>
        </w:rPr>
        <w:t>py)(</w:t>
      </w:r>
      <w:r w:rsidR="00530FA7">
        <w:rPr>
          <w:rFonts w:ascii="Times New Roman" w:hAnsi="Times New Roman" w:cs="Times New Roman"/>
          <w:noProof/>
          <w:sz w:val="24"/>
          <w:szCs w:val="24"/>
        </w:rPr>
        <w:t>p</w:t>
      </w:r>
      <w:r w:rsidRPr="00642F24">
        <w:rPr>
          <w:rFonts w:ascii="Times New Roman" w:hAnsi="Times New Roman" w:cs="Times New Roman"/>
          <w:noProof/>
          <w:sz w:val="24"/>
          <w:szCs w:val="24"/>
        </w:rPr>
        <w:t>y)</w:t>
      </w:r>
      <w:r w:rsidRPr="00530FA7">
        <w:rPr>
          <w:rFonts w:ascii="Times New Roman" w:hAnsi="Times New Roman" w:cs="Times New Roman"/>
          <w:noProof/>
          <w:sz w:val="24"/>
          <w:szCs w:val="24"/>
          <w:vertAlign w:val="subscript"/>
        </w:rPr>
        <w:t>4</w:t>
      </w:r>
      <w:r w:rsidRPr="00642F24">
        <w:rPr>
          <w:rFonts w:ascii="Times New Roman" w:hAnsi="Times New Roman" w:cs="Times New Roman"/>
          <w:noProof/>
          <w:sz w:val="24"/>
          <w:szCs w:val="24"/>
        </w:rPr>
        <w:t>]</w:t>
      </w:r>
      <w:r w:rsidRPr="00530FA7">
        <w:rPr>
          <w:rFonts w:ascii="Times New Roman" w:hAnsi="Times New Roman" w:cs="Times New Roman"/>
          <w:noProof/>
          <w:sz w:val="24"/>
          <w:szCs w:val="24"/>
          <w:vertAlign w:val="superscript"/>
        </w:rPr>
        <w:t>2+</w:t>
      </w:r>
      <w:r w:rsidRPr="00530FA7">
        <w:rPr>
          <w:rFonts w:ascii="Times New Roman" w:hAnsi="Times New Roman" w:cs="Times New Roman"/>
          <w:noProof/>
          <w:sz w:val="24"/>
          <w:szCs w:val="24"/>
        </w:rPr>
        <w:t>·</w:t>
      </w:r>
      <w:r w:rsidRPr="00642F24">
        <w:rPr>
          <w:rFonts w:ascii="Times New Roman" w:hAnsi="Times New Roman" w:cs="Times New Roman"/>
          <w:noProof/>
          <w:sz w:val="24"/>
          <w:szCs w:val="24"/>
        </w:rPr>
        <w:t xml:space="preserve"> Ultrafast Interligand Randomization of the MLCT State. </w:t>
      </w:r>
      <w:r w:rsidRPr="00642F24">
        <w:rPr>
          <w:rFonts w:ascii="Times New Roman" w:hAnsi="Times New Roman" w:cs="Times New Roman"/>
          <w:i/>
          <w:iCs/>
          <w:noProof/>
          <w:sz w:val="24"/>
          <w:szCs w:val="24"/>
        </w:rPr>
        <w:t>J. Phys. Chem. A</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2005</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109</w:t>
      </w:r>
      <w:r w:rsidRPr="00642F24">
        <w:rPr>
          <w:rFonts w:ascii="Times New Roman" w:hAnsi="Times New Roman" w:cs="Times New Roman"/>
          <w:noProof/>
          <w:sz w:val="24"/>
          <w:szCs w:val="24"/>
        </w:rPr>
        <w:t xml:space="preserve"> (21), 4697–4704.</w:t>
      </w:r>
    </w:p>
    <w:p w14:paraId="40866584" w14:textId="281DE99B"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(62) </w:t>
      </w:r>
      <w:r w:rsidRPr="00642F24">
        <w:rPr>
          <w:rFonts w:ascii="Times New Roman" w:hAnsi="Times New Roman" w:cs="Times New Roman"/>
          <w:noProof/>
          <w:sz w:val="24"/>
          <w:szCs w:val="24"/>
        </w:rPr>
        <w:tab/>
        <w:t xml:space="preserve">Wallin, S.; Davidsson, J.; Modin, J.; Hammarström, L. </w:t>
      </w:r>
      <w:r w:rsidR="00530FA7" w:rsidRPr="00642F24">
        <w:rPr>
          <w:rFonts w:ascii="Times New Roman" w:hAnsi="Times New Roman" w:cs="Times New Roman"/>
          <w:noProof/>
          <w:sz w:val="24"/>
          <w:szCs w:val="24"/>
        </w:rPr>
        <w:t>Femtosecond Transient Absorption Anisotropy Study on [Ru(</w:t>
      </w:r>
      <w:r w:rsidR="00530FA7">
        <w:rPr>
          <w:rFonts w:ascii="Times New Roman" w:hAnsi="Times New Roman" w:cs="Times New Roman"/>
          <w:noProof/>
          <w:sz w:val="24"/>
          <w:szCs w:val="24"/>
        </w:rPr>
        <w:t>b</w:t>
      </w:r>
      <w:r w:rsidR="00530FA7" w:rsidRPr="00642F24">
        <w:rPr>
          <w:rFonts w:ascii="Times New Roman" w:hAnsi="Times New Roman" w:cs="Times New Roman"/>
          <w:noProof/>
          <w:sz w:val="24"/>
          <w:szCs w:val="24"/>
        </w:rPr>
        <w:t>py)</w:t>
      </w:r>
      <w:r w:rsidR="00530FA7" w:rsidRPr="00530FA7">
        <w:rPr>
          <w:rFonts w:ascii="Times New Roman" w:hAnsi="Times New Roman" w:cs="Times New Roman"/>
          <w:noProof/>
          <w:sz w:val="24"/>
          <w:szCs w:val="24"/>
          <w:vertAlign w:val="subscript"/>
        </w:rPr>
        <w:t>3</w:t>
      </w:r>
      <w:r w:rsidR="00530FA7" w:rsidRPr="00642F24">
        <w:rPr>
          <w:rFonts w:ascii="Times New Roman" w:hAnsi="Times New Roman" w:cs="Times New Roman"/>
          <w:noProof/>
          <w:sz w:val="24"/>
          <w:szCs w:val="24"/>
        </w:rPr>
        <w:t>]</w:t>
      </w:r>
      <w:r w:rsidR="00530FA7" w:rsidRPr="00530FA7">
        <w:rPr>
          <w:rFonts w:ascii="Times New Roman" w:hAnsi="Times New Roman" w:cs="Times New Roman"/>
          <w:noProof/>
          <w:sz w:val="24"/>
          <w:szCs w:val="24"/>
          <w:vertAlign w:val="superscript"/>
        </w:rPr>
        <w:t>2+</w:t>
      </w:r>
      <w:r w:rsidR="00530FA7" w:rsidRPr="00642F24">
        <w:rPr>
          <w:rFonts w:ascii="Times New Roman" w:hAnsi="Times New Roman" w:cs="Times New Roman"/>
          <w:noProof/>
          <w:sz w:val="24"/>
          <w:szCs w:val="24"/>
        </w:rPr>
        <w:t xml:space="preserve"> and [Ru(</w:t>
      </w:r>
      <w:r w:rsidR="00530FA7">
        <w:rPr>
          <w:rFonts w:ascii="Times New Roman" w:hAnsi="Times New Roman" w:cs="Times New Roman"/>
          <w:noProof/>
          <w:sz w:val="24"/>
          <w:szCs w:val="24"/>
        </w:rPr>
        <w:t>b</w:t>
      </w:r>
      <w:r w:rsidR="00530FA7" w:rsidRPr="00642F24">
        <w:rPr>
          <w:rFonts w:ascii="Times New Roman" w:hAnsi="Times New Roman" w:cs="Times New Roman"/>
          <w:noProof/>
          <w:sz w:val="24"/>
          <w:szCs w:val="24"/>
        </w:rPr>
        <w:t>py)(</w:t>
      </w:r>
      <w:r w:rsidR="00530FA7">
        <w:rPr>
          <w:rFonts w:ascii="Times New Roman" w:hAnsi="Times New Roman" w:cs="Times New Roman"/>
          <w:noProof/>
          <w:sz w:val="24"/>
          <w:szCs w:val="24"/>
        </w:rPr>
        <w:t>p</w:t>
      </w:r>
      <w:r w:rsidR="00530FA7" w:rsidRPr="00642F24">
        <w:rPr>
          <w:rFonts w:ascii="Times New Roman" w:hAnsi="Times New Roman" w:cs="Times New Roman"/>
          <w:noProof/>
          <w:sz w:val="24"/>
          <w:szCs w:val="24"/>
        </w:rPr>
        <w:t>y)</w:t>
      </w:r>
      <w:r w:rsidR="00530FA7" w:rsidRPr="00530FA7">
        <w:rPr>
          <w:rFonts w:ascii="Times New Roman" w:hAnsi="Times New Roman" w:cs="Times New Roman"/>
          <w:noProof/>
          <w:sz w:val="24"/>
          <w:szCs w:val="24"/>
          <w:vertAlign w:val="subscript"/>
        </w:rPr>
        <w:t>4</w:t>
      </w:r>
      <w:r w:rsidR="00530FA7" w:rsidRPr="00642F24">
        <w:rPr>
          <w:rFonts w:ascii="Times New Roman" w:hAnsi="Times New Roman" w:cs="Times New Roman"/>
          <w:noProof/>
          <w:sz w:val="24"/>
          <w:szCs w:val="24"/>
        </w:rPr>
        <w:t>]</w:t>
      </w:r>
      <w:r w:rsidR="00530FA7" w:rsidRPr="00530FA7">
        <w:rPr>
          <w:rFonts w:ascii="Times New Roman" w:hAnsi="Times New Roman" w:cs="Times New Roman"/>
          <w:noProof/>
          <w:sz w:val="24"/>
          <w:szCs w:val="24"/>
          <w:vertAlign w:val="superscript"/>
        </w:rPr>
        <w:t>2+</w:t>
      </w:r>
      <w:r w:rsidR="00530FA7" w:rsidRPr="00530FA7">
        <w:rPr>
          <w:rFonts w:ascii="Times New Roman" w:hAnsi="Times New Roman" w:cs="Times New Roman"/>
          <w:noProof/>
          <w:sz w:val="24"/>
          <w:szCs w:val="24"/>
        </w:rPr>
        <w:t>·</w:t>
      </w:r>
      <w:r w:rsidR="00530FA7" w:rsidRPr="00642F24">
        <w:rPr>
          <w:rFonts w:ascii="Times New Roman" w:hAnsi="Times New Roman" w:cs="Times New Roman"/>
          <w:noProof/>
          <w:sz w:val="24"/>
          <w:szCs w:val="24"/>
        </w:rPr>
        <w:t xml:space="preserve"> Ultrafast Interligand Randomization of the MLCT State</w:t>
      </w:r>
      <w:r w:rsidR="00530FA7">
        <w:rPr>
          <w:rFonts w:ascii="Times New Roman" w:hAnsi="Times New Roman" w:cs="Times New Roman"/>
          <w:noProof/>
          <w:sz w:val="24"/>
          <w:szCs w:val="24"/>
        </w:rPr>
        <w:t>.</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J. Phys. Chem. A</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2005</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109</w:t>
      </w:r>
      <w:r w:rsidRPr="00642F24">
        <w:rPr>
          <w:rFonts w:ascii="Times New Roman" w:hAnsi="Times New Roman" w:cs="Times New Roman"/>
          <w:noProof/>
          <w:sz w:val="24"/>
          <w:szCs w:val="24"/>
        </w:rPr>
        <w:t xml:space="preserve"> (41), 9378.</w:t>
      </w:r>
    </w:p>
    <w:p w14:paraId="7EF154E3"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(63) </w:t>
      </w:r>
      <w:r w:rsidRPr="00642F24">
        <w:rPr>
          <w:rFonts w:ascii="Times New Roman" w:hAnsi="Times New Roman" w:cs="Times New Roman"/>
          <w:noProof/>
          <w:sz w:val="24"/>
          <w:szCs w:val="24"/>
        </w:rPr>
        <w:tab/>
        <w:t xml:space="preserve">Chen, P.; Meyer, T. J. Electron Transfer in Frozen Media. </w:t>
      </w:r>
      <w:r w:rsidRPr="00642F24">
        <w:rPr>
          <w:rFonts w:ascii="Times New Roman" w:hAnsi="Times New Roman" w:cs="Times New Roman"/>
          <w:i/>
          <w:iCs/>
          <w:noProof/>
          <w:sz w:val="24"/>
          <w:szCs w:val="24"/>
        </w:rPr>
        <w:t>Inorg. Chem.</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1996</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35</w:t>
      </w:r>
      <w:r w:rsidRPr="00642F24">
        <w:rPr>
          <w:rFonts w:ascii="Times New Roman" w:hAnsi="Times New Roman" w:cs="Times New Roman"/>
          <w:noProof/>
          <w:sz w:val="24"/>
          <w:szCs w:val="24"/>
        </w:rPr>
        <w:t xml:space="preserve"> (19), 5520–5524.</w:t>
      </w:r>
    </w:p>
    <w:p w14:paraId="0B5283CD"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(64) </w:t>
      </w:r>
      <w:r w:rsidRPr="00642F24">
        <w:rPr>
          <w:rFonts w:ascii="Times New Roman" w:hAnsi="Times New Roman" w:cs="Times New Roman"/>
          <w:noProof/>
          <w:sz w:val="24"/>
          <w:szCs w:val="24"/>
        </w:rPr>
        <w:tab/>
        <w:t xml:space="preserve">Gaines III, G. L.; O’Neill, M. P.; Svec, W. A.; Niemczyk, M. P.; Wasielewski, M. R. Photoinduced Electron Transfer in the Solid State: Rate vs Free Energy Dependence in Fixed-Distance Porphyrin-Acceptor Molecules. </w:t>
      </w:r>
      <w:r w:rsidRPr="00642F24">
        <w:rPr>
          <w:rFonts w:ascii="Times New Roman" w:hAnsi="Times New Roman" w:cs="Times New Roman"/>
          <w:i/>
          <w:iCs/>
          <w:noProof/>
          <w:sz w:val="24"/>
          <w:szCs w:val="24"/>
        </w:rPr>
        <w:t>J. Am. Chem. Soc.</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1991</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113</w:t>
      </w:r>
      <w:r w:rsidRPr="00642F24">
        <w:rPr>
          <w:rFonts w:ascii="Times New Roman" w:hAnsi="Times New Roman" w:cs="Times New Roman"/>
          <w:noProof/>
          <w:sz w:val="24"/>
          <w:szCs w:val="24"/>
        </w:rPr>
        <w:t xml:space="preserve"> (2), 719–721.</w:t>
      </w:r>
    </w:p>
    <w:p w14:paraId="77970259"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szCs w:val="24"/>
        </w:rPr>
      </w:pPr>
      <w:r w:rsidRPr="00642F24">
        <w:rPr>
          <w:rFonts w:ascii="Times New Roman" w:hAnsi="Times New Roman" w:cs="Times New Roman"/>
          <w:noProof/>
          <w:sz w:val="24"/>
          <w:szCs w:val="24"/>
        </w:rPr>
        <w:t xml:space="preserve">(65) </w:t>
      </w:r>
      <w:r w:rsidRPr="00642F24">
        <w:rPr>
          <w:rFonts w:ascii="Times New Roman" w:hAnsi="Times New Roman" w:cs="Times New Roman"/>
          <w:noProof/>
          <w:sz w:val="24"/>
          <w:szCs w:val="24"/>
        </w:rPr>
        <w:tab/>
        <w:t xml:space="preserve">Meyer, T. J.; Sheridan, M. V.; Sherman, B. D. Mechanisms of Molecular Water Oxidation in Solution and on Oxide Surfaces. </w:t>
      </w:r>
      <w:r w:rsidRPr="00642F24">
        <w:rPr>
          <w:rFonts w:ascii="Times New Roman" w:hAnsi="Times New Roman" w:cs="Times New Roman"/>
          <w:i/>
          <w:iCs/>
          <w:noProof/>
          <w:sz w:val="24"/>
          <w:szCs w:val="24"/>
        </w:rPr>
        <w:t>Chem. Soc. Rev.</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2017</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46</w:t>
      </w:r>
      <w:r w:rsidRPr="00642F24">
        <w:rPr>
          <w:rFonts w:ascii="Times New Roman" w:hAnsi="Times New Roman" w:cs="Times New Roman"/>
          <w:noProof/>
          <w:sz w:val="24"/>
          <w:szCs w:val="24"/>
        </w:rPr>
        <w:t xml:space="preserve"> (20), 6148–6169.</w:t>
      </w:r>
    </w:p>
    <w:p w14:paraId="7741F6FB" w14:textId="77777777" w:rsidR="00642F24" w:rsidRPr="00642F24" w:rsidRDefault="00642F24" w:rsidP="00642F24">
      <w:pPr>
        <w:widowControl w:val="0"/>
        <w:autoSpaceDE w:val="0"/>
        <w:autoSpaceDN w:val="0"/>
        <w:adjustRightInd w:val="0"/>
        <w:spacing w:after="0" w:line="240" w:lineRule="auto"/>
        <w:ind w:left="640" w:hanging="640"/>
        <w:rPr>
          <w:rFonts w:ascii="Times New Roman" w:hAnsi="Times New Roman" w:cs="Times New Roman"/>
          <w:noProof/>
          <w:sz w:val="24"/>
        </w:rPr>
      </w:pPr>
      <w:r w:rsidRPr="00642F24">
        <w:rPr>
          <w:rFonts w:ascii="Times New Roman" w:hAnsi="Times New Roman" w:cs="Times New Roman"/>
          <w:noProof/>
          <w:sz w:val="24"/>
          <w:szCs w:val="24"/>
        </w:rPr>
        <w:t xml:space="preserve">(66) </w:t>
      </w:r>
      <w:r w:rsidRPr="00642F24">
        <w:rPr>
          <w:rFonts w:ascii="Times New Roman" w:hAnsi="Times New Roman" w:cs="Times New Roman"/>
          <w:noProof/>
          <w:sz w:val="24"/>
          <w:szCs w:val="24"/>
        </w:rPr>
        <w:tab/>
        <w:t xml:space="preserve">Motley, T. C.; Meyer, G. J. Intramolecular Electronic Coupling Enhances Lateral Electron Transfer across Semiconductor Interfaces. </w:t>
      </w:r>
      <w:r w:rsidRPr="00642F24">
        <w:rPr>
          <w:rFonts w:ascii="Times New Roman" w:hAnsi="Times New Roman" w:cs="Times New Roman"/>
          <w:i/>
          <w:iCs/>
          <w:noProof/>
          <w:sz w:val="24"/>
          <w:szCs w:val="24"/>
        </w:rPr>
        <w:t>J. Phys. Chem. C</w:t>
      </w:r>
      <w:r w:rsidRPr="00642F24">
        <w:rPr>
          <w:rFonts w:ascii="Times New Roman" w:hAnsi="Times New Roman" w:cs="Times New Roman"/>
          <w:noProof/>
          <w:sz w:val="24"/>
          <w:szCs w:val="24"/>
        </w:rPr>
        <w:t xml:space="preserve"> </w:t>
      </w:r>
      <w:r w:rsidRPr="00642F24">
        <w:rPr>
          <w:rFonts w:ascii="Times New Roman" w:hAnsi="Times New Roman" w:cs="Times New Roman"/>
          <w:b/>
          <w:bCs/>
          <w:noProof/>
          <w:sz w:val="24"/>
          <w:szCs w:val="24"/>
        </w:rPr>
        <w:t>2018</w:t>
      </w:r>
      <w:r w:rsidRPr="00642F24">
        <w:rPr>
          <w:rFonts w:ascii="Times New Roman" w:hAnsi="Times New Roman" w:cs="Times New Roman"/>
          <w:noProof/>
          <w:sz w:val="24"/>
          <w:szCs w:val="24"/>
        </w:rPr>
        <w:t xml:space="preserve">, </w:t>
      </w:r>
      <w:r w:rsidRPr="00642F24">
        <w:rPr>
          <w:rFonts w:ascii="Times New Roman" w:hAnsi="Times New Roman" w:cs="Times New Roman"/>
          <w:i/>
          <w:iCs/>
          <w:noProof/>
          <w:sz w:val="24"/>
          <w:szCs w:val="24"/>
        </w:rPr>
        <w:t>122</w:t>
      </w:r>
      <w:r w:rsidRPr="00642F24">
        <w:rPr>
          <w:rFonts w:ascii="Times New Roman" w:hAnsi="Times New Roman" w:cs="Times New Roman"/>
          <w:noProof/>
          <w:sz w:val="24"/>
          <w:szCs w:val="24"/>
        </w:rPr>
        <w:t xml:space="preserve"> (26), 14420–14424.</w:t>
      </w:r>
    </w:p>
    <w:p w14:paraId="4078D78C" w14:textId="15C0434D" w:rsidR="002428C0" w:rsidRDefault="00913122" w:rsidP="00416D83">
      <w:pPr>
        <w:pStyle w:val="NoSpacing"/>
        <w:spacing w:line="360" w:lineRule="auto"/>
        <w:jc w:val="both"/>
      </w:pPr>
      <w:r>
        <w:fldChar w:fldCharType="end"/>
      </w:r>
    </w:p>
    <w:p w14:paraId="0BE28CE2" w14:textId="0D437E84" w:rsidR="006107E2" w:rsidRDefault="006107E2" w:rsidP="00416D83">
      <w:pPr>
        <w:pStyle w:val="NoSpacing"/>
        <w:spacing w:line="360" w:lineRule="auto"/>
        <w:jc w:val="both"/>
      </w:pPr>
    </w:p>
    <w:p w14:paraId="71593B35" w14:textId="0741555F" w:rsidR="006107E2" w:rsidRDefault="006107E2" w:rsidP="00416D83">
      <w:pPr>
        <w:pStyle w:val="NoSpacing"/>
        <w:spacing w:line="360" w:lineRule="auto"/>
        <w:jc w:val="both"/>
      </w:pPr>
    </w:p>
    <w:p w14:paraId="7074CD63" w14:textId="4BF851CA" w:rsidR="006107E2" w:rsidRDefault="006107E2" w:rsidP="00416D83">
      <w:pPr>
        <w:pStyle w:val="NoSpacing"/>
        <w:spacing w:line="360" w:lineRule="auto"/>
        <w:jc w:val="both"/>
      </w:pPr>
    </w:p>
    <w:p w14:paraId="106691EB" w14:textId="49F8AE8D" w:rsidR="006107E2" w:rsidRDefault="006107E2" w:rsidP="00416D83">
      <w:pPr>
        <w:pStyle w:val="NoSpacing"/>
        <w:spacing w:line="360" w:lineRule="auto"/>
        <w:jc w:val="both"/>
      </w:pPr>
    </w:p>
    <w:p w14:paraId="644D2A51" w14:textId="7F5D501F" w:rsidR="006107E2" w:rsidRDefault="006107E2" w:rsidP="00416D83">
      <w:pPr>
        <w:pStyle w:val="NoSpacing"/>
        <w:spacing w:line="360" w:lineRule="auto"/>
        <w:jc w:val="both"/>
      </w:pPr>
    </w:p>
    <w:p w14:paraId="5A499896" w14:textId="155EF149" w:rsidR="006107E2" w:rsidRDefault="006107E2" w:rsidP="006107E2">
      <w:pPr>
        <w:pStyle w:val="NoSpacing"/>
        <w:spacing w:line="360" w:lineRule="auto"/>
        <w:jc w:val="center"/>
      </w:pPr>
      <w:r>
        <w:rPr>
          <w:noProof/>
        </w:rPr>
        <w:lastRenderedPageBreak/>
        <w:drawing>
          <wp:inline distT="0" distB="0" distL="0" distR="0" wp14:anchorId="7927F96A" wp14:editId="530FDD96">
            <wp:extent cx="2667000" cy="15722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387" r="5438"/>
                    <a:stretch/>
                  </pic:blipFill>
                  <pic:spPr bwMode="auto">
                    <a:xfrm>
                      <a:off x="0" y="0"/>
                      <a:ext cx="2667862" cy="1572768"/>
                    </a:xfrm>
                    <a:prstGeom prst="rect">
                      <a:avLst/>
                    </a:prstGeom>
                    <a:noFill/>
                    <a:ln>
                      <a:noFill/>
                    </a:ln>
                    <a:extLst>
                      <a:ext uri="{53640926-AAD7-44D8-BBD7-CCE9431645EC}">
                        <a14:shadowObscured xmlns:a14="http://schemas.microsoft.com/office/drawing/2010/main"/>
                      </a:ext>
                    </a:extLst>
                  </pic:spPr>
                </pic:pic>
              </a:graphicData>
            </a:graphic>
          </wp:inline>
        </w:drawing>
      </w:r>
    </w:p>
    <w:p w14:paraId="765B382F" w14:textId="4786A406" w:rsidR="006107E2" w:rsidRPr="00E5081E" w:rsidRDefault="006107E2" w:rsidP="006107E2">
      <w:pPr>
        <w:pStyle w:val="NoSpacing"/>
        <w:spacing w:line="360" w:lineRule="auto"/>
        <w:jc w:val="center"/>
      </w:pPr>
      <w:r>
        <w:t>TOC Graphic</w:t>
      </w:r>
    </w:p>
    <w:sectPr w:rsidR="006107E2" w:rsidRPr="00E5081E">
      <w:footerReference w:type="even"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1ACDC1" w14:textId="77777777" w:rsidR="00577161" w:rsidRDefault="00577161" w:rsidP="00704623">
      <w:pPr>
        <w:spacing w:after="0" w:line="240" w:lineRule="auto"/>
      </w:pPr>
      <w:r>
        <w:separator/>
      </w:r>
    </w:p>
  </w:endnote>
  <w:endnote w:type="continuationSeparator" w:id="0">
    <w:p w14:paraId="296D2366" w14:textId="77777777" w:rsidR="00577161" w:rsidRDefault="00577161" w:rsidP="00704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no Pro">
    <w:altName w:val="Constantia"/>
    <w:panose1 w:val="00000000000000000000"/>
    <w:charset w:val="00"/>
    <w:family w:val="roman"/>
    <w:notTrueType/>
    <w:pitch w:val="variable"/>
    <w:sig w:usb0="60000287" w:usb1="00000001" w:usb2="00000000" w:usb3="00000000" w:csb0="0000019F" w:csb1="00000000"/>
  </w:font>
  <w:font w:name="Myriad Pro Light">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5309894"/>
      <w:docPartObj>
        <w:docPartGallery w:val="Page Numbers (Bottom of Page)"/>
        <w:docPartUnique/>
      </w:docPartObj>
    </w:sdtPr>
    <w:sdtContent>
      <w:p w14:paraId="5B9045DA" w14:textId="20C00F99" w:rsidR="007A0DAF" w:rsidRDefault="007A0DAF" w:rsidP="00A557E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D0B0A1F" w14:textId="77777777" w:rsidR="007A0DAF" w:rsidRDefault="007A0DAF" w:rsidP="0070462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31904238"/>
      <w:docPartObj>
        <w:docPartGallery w:val="Page Numbers (Bottom of Page)"/>
        <w:docPartUnique/>
      </w:docPartObj>
    </w:sdtPr>
    <w:sdtContent>
      <w:p w14:paraId="607F95B2" w14:textId="40A34D3B" w:rsidR="007A0DAF" w:rsidRDefault="007A0DAF" w:rsidP="00A557E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w:t>
        </w:r>
        <w:r>
          <w:rPr>
            <w:rStyle w:val="PageNumber"/>
          </w:rPr>
          <w:fldChar w:fldCharType="end"/>
        </w:r>
      </w:p>
    </w:sdtContent>
  </w:sdt>
  <w:p w14:paraId="19C2C801" w14:textId="77777777" w:rsidR="007A0DAF" w:rsidRDefault="007A0DAF" w:rsidP="0070462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85969E" w14:textId="77777777" w:rsidR="00577161" w:rsidRDefault="00577161" w:rsidP="00704623">
      <w:pPr>
        <w:spacing w:after="0" w:line="240" w:lineRule="auto"/>
      </w:pPr>
      <w:r>
        <w:separator/>
      </w:r>
    </w:p>
  </w:footnote>
  <w:footnote w:type="continuationSeparator" w:id="0">
    <w:p w14:paraId="5AEBBC7C" w14:textId="77777777" w:rsidR="00577161" w:rsidRDefault="00577161" w:rsidP="007046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45A"/>
    <w:rsid w:val="00002C53"/>
    <w:rsid w:val="0000779A"/>
    <w:rsid w:val="00011AB2"/>
    <w:rsid w:val="000120BA"/>
    <w:rsid w:val="00013541"/>
    <w:rsid w:val="00014F13"/>
    <w:rsid w:val="00023EDC"/>
    <w:rsid w:val="00024765"/>
    <w:rsid w:val="00025285"/>
    <w:rsid w:val="0002610A"/>
    <w:rsid w:val="00030301"/>
    <w:rsid w:val="000319C9"/>
    <w:rsid w:val="00032557"/>
    <w:rsid w:val="000341A1"/>
    <w:rsid w:val="00035CFA"/>
    <w:rsid w:val="00036327"/>
    <w:rsid w:val="00045465"/>
    <w:rsid w:val="0004652A"/>
    <w:rsid w:val="0004684C"/>
    <w:rsid w:val="00047139"/>
    <w:rsid w:val="00050354"/>
    <w:rsid w:val="00050855"/>
    <w:rsid w:val="000528AD"/>
    <w:rsid w:val="00052BA6"/>
    <w:rsid w:val="000630D8"/>
    <w:rsid w:val="00072588"/>
    <w:rsid w:val="00074EE6"/>
    <w:rsid w:val="00080034"/>
    <w:rsid w:val="0008192A"/>
    <w:rsid w:val="00083DEC"/>
    <w:rsid w:val="000841E6"/>
    <w:rsid w:val="000859BE"/>
    <w:rsid w:val="000865C0"/>
    <w:rsid w:val="000869B4"/>
    <w:rsid w:val="0008710B"/>
    <w:rsid w:val="000906D0"/>
    <w:rsid w:val="000921AE"/>
    <w:rsid w:val="00092A4E"/>
    <w:rsid w:val="0009307F"/>
    <w:rsid w:val="000A1FEA"/>
    <w:rsid w:val="000B05D7"/>
    <w:rsid w:val="000B1397"/>
    <w:rsid w:val="000B6AE8"/>
    <w:rsid w:val="000B75F4"/>
    <w:rsid w:val="000C150C"/>
    <w:rsid w:val="000C21E2"/>
    <w:rsid w:val="000C2FC7"/>
    <w:rsid w:val="000C3802"/>
    <w:rsid w:val="000C3A1B"/>
    <w:rsid w:val="000C5E57"/>
    <w:rsid w:val="000C65FA"/>
    <w:rsid w:val="000C780E"/>
    <w:rsid w:val="000D0B26"/>
    <w:rsid w:val="000D0B3E"/>
    <w:rsid w:val="000D217A"/>
    <w:rsid w:val="000D2632"/>
    <w:rsid w:val="000D58D7"/>
    <w:rsid w:val="000D5B79"/>
    <w:rsid w:val="000D7BC4"/>
    <w:rsid w:val="000E4225"/>
    <w:rsid w:val="000E481D"/>
    <w:rsid w:val="000E51FA"/>
    <w:rsid w:val="000F0002"/>
    <w:rsid w:val="000F07E3"/>
    <w:rsid w:val="000F1DFF"/>
    <w:rsid w:val="000F1E85"/>
    <w:rsid w:val="000F7B45"/>
    <w:rsid w:val="00102809"/>
    <w:rsid w:val="00102F42"/>
    <w:rsid w:val="001049C3"/>
    <w:rsid w:val="00106540"/>
    <w:rsid w:val="001076E4"/>
    <w:rsid w:val="001109F9"/>
    <w:rsid w:val="00111135"/>
    <w:rsid w:val="001144D7"/>
    <w:rsid w:val="001148CC"/>
    <w:rsid w:val="00121ECE"/>
    <w:rsid w:val="00122AE9"/>
    <w:rsid w:val="00123747"/>
    <w:rsid w:val="00127272"/>
    <w:rsid w:val="001307CA"/>
    <w:rsid w:val="00134626"/>
    <w:rsid w:val="001352D8"/>
    <w:rsid w:val="00135328"/>
    <w:rsid w:val="001444A7"/>
    <w:rsid w:val="00146D28"/>
    <w:rsid w:val="00150334"/>
    <w:rsid w:val="00153E34"/>
    <w:rsid w:val="00154444"/>
    <w:rsid w:val="001549B6"/>
    <w:rsid w:val="00155F86"/>
    <w:rsid w:val="0015724B"/>
    <w:rsid w:val="0016164E"/>
    <w:rsid w:val="00161A69"/>
    <w:rsid w:val="00164BB9"/>
    <w:rsid w:val="0017005B"/>
    <w:rsid w:val="001704DC"/>
    <w:rsid w:val="0017268D"/>
    <w:rsid w:val="0017324C"/>
    <w:rsid w:val="00173D82"/>
    <w:rsid w:val="0017463A"/>
    <w:rsid w:val="001749E2"/>
    <w:rsid w:val="001762C8"/>
    <w:rsid w:val="00181784"/>
    <w:rsid w:val="00185EAB"/>
    <w:rsid w:val="00186F57"/>
    <w:rsid w:val="00190549"/>
    <w:rsid w:val="001905E7"/>
    <w:rsid w:val="00190E80"/>
    <w:rsid w:val="001917D3"/>
    <w:rsid w:val="00193336"/>
    <w:rsid w:val="00194FD9"/>
    <w:rsid w:val="00196BAB"/>
    <w:rsid w:val="001A0388"/>
    <w:rsid w:val="001A0762"/>
    <w:rsid w:val="001A440F"/>
    <w:rsid w:val="001A4E08"/>
    <w:rsid w:val="001A5959"/>
    <w:rsid w:val="001B0BFD"/>
    <w:rsid w:val="001B0F48"/>
    <w:rsid w:val="001B10CC"/>
    <w:rsid w:val="001B3528"/>
    <w:rsid w:val="001B4B88"/>
    <w:rsid w:val="001B5137"/>
    <w:rsid w:val="001B54A0"/>
    <w:rsid w:val="001B7322"/>
    <w:rsid w:val="001C2913"/>
    <w:rsid w:val="001C5050"/>
    <w:rsid w:val="001C59C3"/>
    <w:rsid w:val="001C7F65"/>
    <w:rsid w:val="001D17E1"/>
    <w:rsid w:val="001D439F"/>
    <w:rsid w:val="001D567B"/>
    <w:rsid w:val="001D6346"/>
    <w:rsid w:val="001E418C"/>
    <w:rsid w:val="001E619E"/>
    <w:rsid w:val="001E6412"/>
    <w:rsid w:val="001E64E8"/>
    <w:rsid w:val="001E74B1"/>
    <w:rsid w:val="001F08CF"/>
    <w:rsid w:val="001F3BD8"/>
    <w:rsid w:val="001F6134"/>
    <w:rsid w:val="001F649B"/>
    <w:rsid w:val="001F7686"/>
    <w:rsid w:val="0020066B"/>
    <w:rsid w:val="00200826"/>
    <w:rsid w:val="002014E7"/>
    <w:rsid w:val="0020535E"/>
    <w:rsid w:val="00210A77"/>
    <w:rsid w:val="00211551"/>
    <w:rsid w:val="002135D4"/>
    <w:rsid w:val="00213F2F"/>
    <w:rsid w:val="00217CA5"/>
    <w:rsid w:val="00220418"/>
    <w:rsid w:val="00220FDF"/>
    <w:rsid w:val="00221BF8"/>
    <w:rsid w:val="00225C7A"/>
    <w:rsid w:val="00231917"/>
    <w:rsid w:val="00232E2C"/>
    <w:rsid w:val="0023481B"/>
    <w:rsid w:val="002354BA"/>
    <w:rsid w:val="00237EBC"/>
    <w:rsid w:val="0024034B"/>
    <w:rsid w:val="00240DC5"/>
    <w:rsid w:val="00241C3A"/>
    <w:rsid w:val="002428C0"/>
    <w:rsid w:val="002429A9"/>
    <w:rsid w:val="00243020"/>
    <w:rsid w:val="00246169"/>
    <w:rsid w:val="00247961"/>
    <w:rsid w:val="00247C14"/>
    <w:rsid w:val="002511E7"/>
    <w:rsid w:val="00253C88"/>
    <w:rsid w:val="002604A6"/>
    <w:rsid w:val="00261144"/>
    <w:rsid w:val="00261AF2"/>
    <w:rsid w:val="002657CB"/>
    <w:rsid w:val="00267409"/>
    <w:rsid w:val="00267652"/>
    <w:rsid w:val="00273724"/>
    <w:rsid w:val="002776CE"/>
    <w:rsid w:val="00282243"/>
    <w:rsid w:val="002853C4"/>
    <w:rsid w:val="00286065"/>
    <w:rsid w:val="00292B66"/>
    <w:rsid w:val="00294385"/>
    <w:rsid w:val="002A095D"/>
    <w:rsid w:val="002A1886"/>
    <w:rsid w:val="002A3807"/>
    <w:rsid w:val="002A4898"/>
    <w:rsid w:val="002A48DC"/>
    <w:rsid w:val="002B1B2D"/>
    <w:rsid w:val="002B1D7D"/>
    <w:rsid w:val="002B3F26"/>
    <w:rsid w:val="002B43C5"/>
    <w:rsid w:val="002B4420"/>
    <w:rsid w:val="002B508A"/>
    <w:rsid w:val="002C1888"/>
    <w:rsid w:val="002C34D3"/>
    <w:rsid w:val="002C5616"/>
    <w:rsid w:val="002C73EC"/>
    <w:rsid w:val="002D0815"/>
    <w:rsid w:val="002D19E3"/>
    <w:rsid w:val="002E02CD"/>
    <w:rsid w:val="002E0549"/>
    <w:rsid w:val="002E2492"/>
    <w:rsid w:val="002E7697"/>
    <w:rsid w:val="002F3F78"/>
    <w:rsid w:val="002F5C8B"/>
    <w:rsid w:val="00300225"/>
    <w:rsid w:val="00302B55"/>
    <w:rsid w:val="003078C0"/>
    <w:rsid w:val="003106A3"/>
    <w:rsid w:val="00310E2A"/>
    <w:rsid w:val="00311A44"/>
    <w:rsid w:val="00311EDC"/>
    <w:rsid w:val="00314174"/>
    <w:rsid w:val="00314F8C"/>
    <w:rsid w:val="00316FB0"/>
    <w:rsid w:val="0032219A"/>
    <w:rsid w:val="003270B4"/>
    <w:rsid w:val="0033019F"/>
    <w:rsid w:val="003315DC"/>
    <w:rsid w:val="003327F9"/>
    <w:rsid w:val="0033283E"/>
    <w:rsid w:val="00332C60"/>
    <w:rsid w:val="00333B05"/>
    <w:rsid w:val="00334181"/>
    <w:rsid w:val="003377A3"/>
    <w:rsid w:val="00340CA0"/>
    <w:rsid w:val="00351972"/>
    <w:rsid w:val="00351C28"/>
    <w:rsid w:val="00351F26"/>
    <w:rsid w:val="00353532"/>
    <w:rsid w:val="003556B3"/>
    <w:rsid w:val="00355987"/>
    <w:rsid w:val="0035602B"/>
    <w:rsid w:val="003578DA"/>
    <w:rsid w:val="003610E8"/>
    <w:rsid w:val="00361F8A"/>
    <w:rsid w:val="003634CE"/>
    <w:rsid w:val="003673B1"/>
    <w:rsid w:val="00382C1B"/>
    <w:rsid w:val="003851C1"/>
    <w:rsid w:val="0038731F"/>
    <w:rsid w:val="0038749A"/>
    <w:rsid w:val="00387564"/>
    <w:rsid w:val="00390A3F"/>
    <w:rsid w:val="0039630E"/>
    <w:rsid w:val="003975BC"/>
    <w:rsid w:val="003A3B2D"/>
    <w:rsid w:val="003A7D00"/>
    <w:rsid w:val="003B0119"/>
    <w:rsid w:val="003B10DA"/>
    <w:rsid w:val="003B18D2"/>
    <w:rsid w:val="003B2905"/>
    <w:rsid w:val="003C1699"/>
    <w:rsid w:val="003C2EC8"/>
    <w:rsid w:val="003C40F5"/>
    <w:rsid w:val="003C6DF8"/>
    <w:rsid w:val="003D19B9"/>
    <w:rsid w:val="003D22AF"/>
    <w:rsid w:val="003D3472"/>
    <w:rsid w:val="003E2059"/>
    <w:rsid w:val="003E2C64"/>
    <w:rsid w:val="003E5AF8"/>
    <w:rsid w:val="003E7B57"/>
    <w:rsid w:val="003F08A8"/>
    <w:rsid w:val="003F3913"/>
    <w:rsid w:val="003F56EF"/>
    <w:rsid w:val="003F6A8C"/>
    <w:rsid w:val="004062CB"/>
    <w:rsid w:val="004070A1"/>
    <w:rsid w:val="004134FD"/>
    <w:rsid w:val="00413FBA"/>
    <w:rsid w:val="00415DCA"/>
    <w:rsid w:val="00416D83"/>
    <w:rsid w:val="004222DC"/>
    <w:rsid w:val="00424629"/>
    <w:rsid w:val="004265F2"/>
    <w:rsid w:val="0043208B"/>
    <w:rsid w:val="004322BB"/>
    <w:rsid w:val="00435480"/>
    <w:rsid w:val="00436A84"/>
    <w:rsid w:val="00441343"/>
    <w:rsid w:val="00441926"/>
    <w:rsid w:val="00442BF5"/>
    <w:rsid w:val="004444FF"/>
    <w:rsid w:val="00450FAB"/>
    <w:rsid w:val="00452053"/>
    <w:rsid w:val="004520D4"/>
    <w:rsid w:val="0045252A"/>
    <w:rsid w:val="0045451A"/>
    <w:rsid w:val="0045575C"/>
    <w:rsid w:val="00463B7F"/>
    <w:rsid w:val="00466238"/>
    <w:rsid w:val="00473801"/>
    <w:rsid w:val="0047543D"/>
    <w:rsid w:val="00475AFA"/>
    <w:rsid w:val="004760C3"/>
    <w:rsid w:val="00485149"/>
    <w:rsid w:val="00486E4F"/>
    <w:rsid w:val="00496CF4"/>
    <w:rsid w:val="004A1FC4"/>
    <w:rsid w:val="004A2ABA"/>
    <w:rsid w:val="004A2F0C"/>
    <w:rsid w:val="004A33C8"/>
    <w:rsid w:val="004A3D32"/>
    <w:rsid w:val="004A42EB"/>
    <w:rsid w:val="004A4F1F"/>
    <w:rsid w:val="004B105E"/>
    <w:rsid w:val="004B28A3"/>
    <w:rsid w:val="004B29A1"/>
    <w:rsid w:val="004B579D"/>
    <w:rsid w:val="004C02CD"/>
    <w:rsid w:val="004C28EF"/>
    <w:rsid w:val="004C391B"/>
    <w:rsid w:val="004C5841"/>
    <w:rsid w:val="004C5E19"/>
    <w:rsid w:val="004C6D46"/>
    <w:rsid w:val="004D21D6"/>
    <w:rsid w:val="004D4583"/>
    <w:rsid w:val="004D4BA0"/>
    <w:rsid w:val="004D4EC8"/>
    <w:rsid w:val="004D6411"/>
    <w:rsid w:val="004E08F3"/>
    <w:rsid w:val="004E3D04"/>
    <w:rsid w:val="004E78F3"/>
    <w:rsid w:val="004F0945"/>
    <w:rsid w:val="004F1EB4"/>
    <w:rsid w:val="00500001"/>
    <w:rsid w:val="00501265"/>
    <w:rsid w:val="005034D4"/>
    <w:rsid w:val="00505D6D"/>
    <w:rsid w:val="005069CD"/>
    <w:rsid w:val="0050764C"/>
    <w:rsid w:val="005078A4"/>
    <w:rsid w:val="00511E39"/>
    <w:rsid w:val="00515508"/>
    <w:rsid w:val="0051645A"/>
    <w:rsid w:val="005167B4"/>
    <w:rsid w:val="00520A99"/>
    <w:rsid w:val="00520E97"/>
    <w:rsid w:val="00523A62"/>
    <w:rsid w:val="00524D99"/>
    <w:rsid w:val="005265AA"/>
    <w:rsid w:val="0052714F"/>
    <w:rsid w:val="00530FA7"/>
    <w:rsid w:val="0053273C"/>
    <w:rsid w:val="00535FC4"/>
    <w:rsid w:val="00540778"/>
    <w:rsid w:val="005454CD"/>
    <w:rsid w:val="005458B6"/>
    <w:rsid w:val="00547505"/>
    <w:rsid w:val="00547B53"/>
    <w:rsid w:val="005513A9"/>
    <w:rsid w:val="005515E2"/>
    <w:rsid w:val="0055346C"/>
    <w:rsid w:val="0055353E"/>
    <w:rsid w:val="005540A2"/>
    <w:rsid w:val="00555CC8"/>
    <w:rsid w:val="0056064E"/>
    <w:rsid w:val="005630D6"/>
    <w:rsid w:val="00566136"/>
    <w:rsid w:val="00566DA1"/>
    <w:rsid w:val="00571966"/>
    <w:rsid w:val="0057493A"/>
    <w:rsid w:val="00577161"/>
    <w:rsid w:val="00581327"/>
    <w:rsid w:val="005819CA"/>
    <w:rsid w:val="00583841"/>
    <w:rsid w:val="00587F49"/>
    <w:rsid w:val="0059132F"/>
    <w:rsid w:val="00592D7F"/>
    <w:rsid w:val="00594BD8"/>
    <w:rsid w:val="00595426"/>
    <w:rsid w:val="005957A1"/>
    <w:rsid w:val="00595E2D"/>
    <w:rsid w:val="005A073A"/>
    <w:rsid w:val="005A4701"/>
    <w:rsid w:val="005A6778"/>
    <w:rsid w:val="005A7D9C"/>
    <w:rsid w:val="005B0189"/>
    <w:rsid w:val="005B0D72"/>
    <w:rsid w:val="005B3759"/>
    <w:rsid w:val="005B3799"/>
    <w:rsid w:val="005C1E0E"/>
    <w:rsid w:val="005C1FAC"/>
    <w:rsid w:val="005D0197"/>
    <w:rsid w:val="005D0C8D"/>
    <w:rsid w:val="005D1194"/>
    <w:rsid w:val="005D3B02"/>
    <w:rsid w:val="005D3E4A"/>
    <w:rsid w:val="005D4335"/>
    <w:rsid w:val="005E210E"/>
    <w:rsid w:val="005E29CC"/>
    <w:rsid w:val="005E4B8E"/>
    <w:rsid w:val="005E7DA3"/>
    <w:rsid w:val="005E7ED8"/>
    <w:rsid w:val="005F00C1"/>
    <w:rsid w:val="005F5C5F"/>
    <w:rsid w:val="00604B6B"/>
    <w:rsid w:val="0060653E"/>
    <w:rsid w:val="006079C2"/>
    <w:rsid w:val="006107E2"/>
    <w:rsid w:val="00610C6E"/>
    <w:rsid w:val="00611031"/>
    <w:rsid w:val="00614658"/>
    <w:rsid w:val="00617070"/>
    <w:rsid w:val="00620ED7"/>
    <w:rsid w:val="00621BDB"/>
    <w:rsid w:val="00625050"/>
    <w:rsid w:val="006254CF"/>
    <w:rsid w:val="006263B9"/>
    <w:rsid w:val="006265B6"/>
    <w:rsid w:val="00631B4A"/>
    <w:rsid w:val="00635803"/>
    <w:rsid w:val="0063600F"/>
    <w:rsid w:val="00636B0C"/>
    <w:rsid w:val="00642F24"/>
    <w:rsid w:val="00643BCF"/>
    <w:rsid w:val="00643D57"/>
    <w:rsid w:val="0064413E"/>
    <w:rsid w:val="00644DD3"/>
    <w:rsid w:val="0064660A"/>
    <w:rsid w:val="00646851"/>
    <w:rsid w:val="00652D1E"/>
    <w:rsid w:val="006555F8"/>
    <w:rsid w:val="006557BC"/>
    <w:rsid w:val="00655C17"/>
    <w:rsid w:val="00657046"/>
    <w:rsid w:val="006605C9"/>
    <w:rsid w:val="006609CE"/>
    <w:rsid w:val="006623A1"/>
    <w:rsid w:val="006634E8"/>
    <w:rsid w:val="00664A01"/>
    <w:rsid w:val="00666C28"/>
    <w:rsid w:val="006700BD"/>
    <w:rsid w:val="00671466"/>
    <w:rsid w:val="00672B8A"/>
    <w:rsid w:val="0068004D"/>
    <w:rsid w:val="00681F37"/>
    <w:rsid w:val="00685FDD"/>
    <w:rsid w:val="00695585"/>
    <w:rsid w:val="00695901"/>
    <w:rsid w:val="006A3CB6"/>
    <w:rsid w:val="006A59D7"/>
    <w:rsid w:val="006A6FDD"/>
    <w:rsid w:val="006B1662"/>
    <w:rsid w:val="006B2252"/>
    <w:rsid w:val="006B3622"/>
    <w:rsid w:val="006B4AEE"/>
    <w:rsid w:val="006B622E"/>
    <w:rsid w:val="006B681A"/>
    <w:rsid w:val="006C0487"/>
    <w:rsid w:val="006C3CFA"/>
    <w:rsid w:val="006C4956"/>
    <w:rsid w:val="006C5858"/>
    <w:rsid w:val="006C7EED"/>
    <w:rsid w:val="006D06DB"/>
    <w:rsid w:val="006D2DF2"/>
    <w:rsid w:val="006D30D8"/>
    <w:rsid w:val="006D46E1"/>
    <w:rsid w:val="006D5F7A"/>
    <w:rsid w:val="006D6A59"/>
    <w:rsid w:val="006D6CA5"/>
    <w:rsid w:val="006E03DA"/>
    <w:rsid w:val="006E4A00"/>
    <w:rsid w:val="006E70EB"/>
    <w:rsid w:val="006F0981"/>
    <w:rsid w:val="006F3DBE"/>
    <w:rsid w:val="006F4A0A"/>
    <w:rsid w:val="006F54E0"/>
    <w:rsid w:val="00704623"/>
    <w:rsid w:val="007076AE"/>
    <w:rsid w:val="00707BE0"/>
    <w:rsid w:val="00707DCE"/>
    <w:rsid w:val="0071346E"/>
    <w:rsid w:val="007204EB"/>
    <w:rsid w:val="0072093F"/>
    <w:rsid w:val="007241DF"/>
    <w:rsid w:val="00726411"/>
    <w:rsid w:val="00727737"/>
    <w:rsid w:val="00730759"/>
    <w:rsid w:val="0073083E"/>
    <w:rsid w:val="00730AEC"/>
    <w:rsid w:val="00731380"/>
    <w:rsid w:val="007334DF"/>
    <w:rsid w:val="00740189"/>
    <w:rsid w:val="00741A08"/>
    <w:rsid w:val="007420B2"/>
    <w:rsid w:val="0074379F"/>
    <w:rsid w:val="00754345"/>
    <w:rsid w:val="00754C56"/>
    <w:rsid w:val="00760292"/>
    <w:rsid w:val="007607DC"/>
    <w:rsid w:val="00761548"/>
    <w:rsid w:val="007619A5"/>
    <w:rsid w:val="00763627"/>
    <w:rsid w:val="007661B0"/>
    <w:rsid w:val="00766E81"/>
    <w:rsid w:val="007709FC"/>
    <w:rsid w:val="00781C9A"/>
    <w:rsid w:val="007820D7"/>
    <w:rsid w:val="00782B82"/>
    <w:rsid w:val="00785F43"/>
    <w:rsid w:val="00787E09"/>
    <w:rsid w:val="00790060"/>
    <w:rsid w:val="00796B99"/>
    <w:rsid w:val="007A0DAF"/>
    <w:rsid w:val="007A1A23"/>
    <w:rsid w:val="007A221C"/>
    <w:rsid w:val="007A718D"/>
    <w:rsid w:val="007B0878"/>
    <w:rsid w:val="007B295E"/>
    <w:rsid w:val="007B4DC4"/>
    <w:rsid w:val="007B51F3"/>
    <w:rsid w:val="007C05D8"/>
    <w:rsid w:val="007C0EA9"/>
    <w:rsid w:val="007C0ED0"/>
    <w:rsid w:val="007C2CA1"/>
    <w:rsid w:val="007C2FA0"/>
    <w:rsid w:val="007C315A"/>
    <w:rsid w:val="007C4AB4"/>
    <w:rsid w:val="007D04B0"/>
    <w:rsid w:val="007D0575"/>
    <w:rsid w:val="007D09ED"/>
    <w:rsid w:val="007D26FD"/>
    <w:rsid w:val="007D4103"/>
    <w:rsid w:val="007D59AF"/>
    <w:rsid w:val="007D734A"/>
    <w:rsid w:val="007D7ED4"/>
    <w:rsid w:val="007E1E1B"/>
    <w:rsid w:val="007E1E50"/>
    <w:rsid w:val="007E297F"/>
    <w:rsid w:val="007E4D38"/>
    <w:rsid w:val="007E5B8E"/>
    <w:rsid w:val="007F1722"/>
    <w:rsid w:val="007F30AC"/>
    <w:rsid w:val="007F4494"/>
    <w:rsid w:val="007F4FB8"/>
    <w:rsid w:val="007F53E4"/>
    <w:rsid w:val="007F5973"/>
    <w:rsid w:val="007F727C"/>
    <w:rsid w:val="007F735E"/>
    <w:rsid w:val="008077CA"/>
    <w:rsid w:val="00812BAE"/>
    <w:rsid w:val="00813BC4"/>
    <w:rsid w:val="00813BC6"/>
    <w:rsid w:val="008142EE"/>
    <w:rsid w:val="00815B4D"/>
    <w:rsid w:val="008163E8"/>
    <w:rsid w:val="00816544"/>
    <w:rsid w:val="00816A49"/>
    <w:rsid w:val="008200AE"/>
    <w:rsid w:val="00825635"/>
    <w:rsid w:val="0083065A"/>
    <w:rsid w:val="0083114C"/>
    <w:rsid w:val="00831805"/>
    <w:rsid w:val="008328DF"/>
    <w:rsid w:val="0083363E"/>
    <w:rsid w:val="00834B68"/>
    <w:rsid w:val="00843A4B"/>
    <w:rsid w:val="00843B98"/>
    <w:rsid w:val="00850475"/>
    <w:rsid w:val="00853AFA"/>
    <w:rsid w:val="00853C96"/>
    <w:rsid w:val="0085533A"/>
    <w:rsid w:val="00860005"/>
    <w:rsid w:val="00861117"/>
    <w:rsid w:val="00861974"/>
    <w:rsid w:val="00865AE6"/>
    <w:rsid w:val="008720E6"/>
    <w:rsid w:val="008728BA"/>
    <w:rsid w:val="008733CC"/>
    <w:rsid w:val="00873C76"/>
    <w:rsid w:val="00877176"/>
    <w:rsid w:val="00884A06"/>
    <w:rsid w:val="00886E6F"/>
    <w:rsid w:val="008906B8"/>
    <w:rsid w:val="00895A99"/>
    <w:rsid w:val="00895ED8"/>
    <w:rsid w:val="00896439"/>
    <w:rsid w:val="008A2D65"/>
    <w:rsid w:val="008A4757"/>
    <w:rsid w:val="008A505B"/>
    <w:rsid w:val="008A5C92"/>
    <w:rsid w:val="008A7021"/>
    <w:rsid w:val="008B0DA5"/>
    <w:rsid w:val="008B26B3"/>
    <w:rsid w:val="008B2D98"/>
    <w:rsid w:val="008B4BBA"/>
    <w:rsid w:val="008B7C99"/>
    <w:rsid w:val="008C0091"/>
    <w:rsid w:val="008C14C3"/>
    <w:rsid w:val="008C2C44"/>
    <w:rsid w:val="008C3DC8"/>
    <w:rsid w:val="008C469B"/>
    <w:rsid w:val="008C5D3F"/>
    <w:rsid w:val="008C79A5"/>
    <w:rsid w:val="008D087C"/>
    <w:rsid w:val="008D3434"/>
    <w:rsid w:val="008E1A8D"/>
    <w:rsid w:val="008E31A9"/>
    <w:rsid w:val="008E728B"/>
    <w:rsid w:val="008E7464"/>
    <w:rsid w:val="008E7FB3"/>
    <w:rsid w:val="008F4F6D"/>
    <w:rsid w:val="008F526F"/>
    <w:rsid w:val="008F6E2A"/>
    <w:rsid w:val="008F7A50"/>
    <w:rsid w:val="009006C2"/>
    <w:rsid w:val="00904D6B"/>
    <w:rsid w:val="009065B2"/>
    <w:rsid w:val="0091012C"/>
    <w:rsid w:val="00911EFD"/>
    <w:rsid w:val="00913122"/>
    <w:rsid w:val="00914EBC"/>
    <w:rsid w:val="00915A31"/>
    <w:rsid w:val="00924769"/>
    <w:rsid w:val="009258B7"/>
    <w:rsid w:val="0092664A"/>
    <w:rsid w:val="0093382C"/>
    <w:rsid w:val="00935582"/>
    <w:rsid w:val="00935A48"/>
    <w:rsid w:val="009428C3"/>
    <w:rsid w:val="0094333B"/>
    <w:rsid w:val="00946715"/>
    <w:rsid w:val="00950740"/>
    <w:rsid w:val="00954C7D"/>
    <w:rsid w:val="00956454"/>
    <w:rsid w:val="00956BF3"/>
    <w:rsid w:val="00956F2E"/>
    <w:rsid w:val="00960080"/>
    <w:rsid w:val="009601DA"/>
    <w:rsid w:val="00960E2B"/>
    <w:rsid w:val="00961A84"/>
    <w:rsid w:val="00962542"/>
    <w:rsid w:val="009628BE"/>
    <w:rsid w:val="00972285"/>
    <w:rsid w:val="00974AF4"/>
    <w:rsid w:val="00975D70"/>
    <w:rsid w:val="009811AE"/>
    <w:rsid w:val="009819FE"/>
    <w:rsid w:val="00982118"/>
    <w:rsid w:val="00991A15"/>
    <w:rsid w:val="0099233B"/>
    <w:rsid w:val="009925B2"/>
    <w:rsid w:val="0099484F"/>
    <w:rsid w:val="009949E4"/>
    <w:rsid w:val="00995325"/>
    <w:rsid w:val="00995605"/>
    <w:rsid w:val="00996069"/>
    <w:rsid w:val="009A5B6C"/>
    <w:rsid w:val="009A64F9"/>
    <w:rsid w:val="009B0CA6"/>
    <w:rsid w:val="009B1819"/>
    <w:rsid w:val="009B1E5E"/>
    <w:rsid w:val="009B40BB"/>
    <w:rsid w:val="009B488F"/>
    <w:rsid w:val="009B5FC5"/>
    <w:rsid w:val="009B67F9"/>
    <w:rsid w:val="009C10FF"/>
    <w:rsid w:val="009C50B1"/>
    <w:rsid w:val="009D407A"/>
    <w:rsid w:val="009D59AF"/>
    <w:rsid w:val="009D7F13"/>
    <w:rsid w:val="009E1263"/>
    <w:rsid w:val="009E13FD"/>
    <w:rsid w:val="009E1C84"/>
    <w:rsid w:val="009E3044"/>
    <w:rsid w:val="009E3F85"/>
    <w:rsid w:val="009F3A9B"/>
    <w:rsid w:val="009F4FB2"/>
    <w:rsid w:val="009F6493"/>
    <w:rsid w:val="009F6C6A"/>
    <w:rsid w:val="009F7559"/>
    <w:rsid w:val="00A01D47"/>
    <w:rsid w:val="00A073AF"/>
    <w:rsid w:val="00A15122"/>
    <w:rsid w:val="00A21689"/>
    <w:rsid w:val="00A22819"/>
    <w:rsid w:val="00A274F3"/>
    <w:rsid w:val="00A27798"/>
    <w:rsid w:val="00A32956"/>
    <w:rsid w:val="00A3401F"/>
    <w:rsid w:val="00A378D2"/>
    <w:rsid w:val="00A421C5"/>
    <w:rsid w:val="00A42687"/>
    <w:rsid w:val="00A427B5"/>
    <w:rsid w:val="00A42BC6"/>
    <w:rsid w:val="00A45FA2"/>
    <w:rsid w:val="00A46425"/>
    <w:rsid w:val="00A46B2F"/>
    <w:rsid w:val="00A50C95"/>
    <w:rsid w:val="00A54ADF"/>
    <w:rsid w:val="00A557E6"/>
    <w:rsid w:val="00A560A6"/>
    <w:rsid w:val="00A563CD"/>
    <w:rsid w:val="00A56C76"/>
    <w:rsid w:val="00A57AF0"/>
    <w:rsid w:val="00A60444"/>
    <w:rsid w:val="00A61167"/>
    <w:rsid w:val="00A628C4"/>
    <w:rsid w:val="00A658AD"/>
    <w:rsid w:val="00A65FF6"/>
    <w:rsid w:val="00A67B83"/>
    <w:rsid w:val="00A67CBB"/>
    <w:rsid w:val="00A732FF"/>
    <w:rsid w:val="00A81CE5"/>
    <w:rsid w:val="00A8334E"/>
    <w:rsid w:val="00A866A4"/>
    <w:rsid w:val="00A8696F"/>
    <w:rsid w:val="00A90023"/>
    <w:rsid w:val="00A92AFC"/>
    <w:rsid w:val="00A92CE5"/>
    <w:rsid w:val="00A930BB"/>
    <w:rsid w:val="00A945D3"/>
    <w:rsid w:val="00A94D05"/>
    <w:rsid w:val="00A95156"/>
    <w:rsid w:val="00A9672C"/>
    <w:rsid w:val="00A976FA"/>
    <w:rsid w:val="00AA08E7"/>
    <w:rsid w:val="00AA3FD9"/>
    <w:rsid w:val="00AA441E"/>
    <w:rsid w:val="00AA6411"/>
    <w:rsid w:val="00AB356F"/>
    <w:rsid w:val="00AC0E61"/>
    <w:rsid w:val="00AC106E"/>
    <w:rsid w:val="00AC4AD1"/>
    <w:rsid w:val="00AC4D86"/>
    <w:rsid w:val="00AC6744"/>
    <w:rsid w:val="00AD2598"/>
    <w:rsid w:val="00AD4869"/>
    <w:rsid w:val="00AD55FC"/>
    <w:rsid w:val="00AD5979"/>
    <w:rsid w:val="00AE4F53"/>
    <w:rsid w:val="00AE6023"/>
    <w:rsid w:val="00AF26AC"/>
    <w:rsid w:val="00AF2CEF"/>
    <w:rsid w:val="00AF42D7"/>
    <w:rsid w:val="00AF7A69"/>
    <w:rsid w:val="00B00F7A"/>
    <w:rsid w:val="00B01423"/>
    <w:rsid w:val="00B04E19"/>
    <w:rsid w:val="00B053FF"/>
    <w:rsid w:val="00B10054"/>
    <w:rsid w:val="00B133A7"/>
    <w:rsid w:val="00B145EF"/>
    <w:rsid w:val="00B14B6F"/>
    <w:rsid w:val="00B153CF"/>
    <w:rsid w:val="00B22265"/>
    <w:rsid w:val="00B22BD1"/>
    <w:rsid w:val="00B25042"/>
    <w:rsid w:val="00B30617"/>
    <w:rsid w:val="00B31536"/>
    <w:rsid w:val="00B3161A"/>
    <w:rsid w:val="00B33CB3"/>
    <w:rsid w:val="00B37A3C"/>
    <w:rsid w:val="00B37E35"/>
    <w:rsid w:val="00B40B87"/>
    <w:rsid w:val="00B415E3"/>
    <w:rsid w:val="00B4192B"/>
    <w:rsid w:val="00B42601"/>
    <w:rsid w:val="00B436A2"/>
    <w:rsid w:val="00B43F2C"/>
    <w:rsid w:val="00B43FA1"/>
    <w:rsid w:val="00B454D0"/>
    <w:rsid w:val="00B45680"/>
    <w:rsid w:val="00B46067"/>
    <w:rsid w:val="00B517E0"/>
    <w:rsid w:val="00B53460"/>
    <w:rsid w:val="00B548C5"/>
    <w:rsid w:val="00B55138"/>
    <w:rsid w:val="00B607F3"/>
    <w:rsid w:val="00B6462B"/>
    <w:rsid w:val="00B65BB7"/>
    <w:rsid w:val="00B67061"/>
    <w:rsid w:val="00B6786B"/>
    <w:rsid w:val="00B72E5F"/>
    <w:rsid w:val="00B73A0B"/>
    <w:rsid w:val="00B74CE2"/>
    <w:rsid w:val="00B81069"/>
    <w:rsid w:val="00B8145C"/>
    <w:rsid w:val="00B85C37"/>
    <w:rsid w:val="00B9500F"/>
    <w:rsid w:val="00B97BBA"/>
    <w:rsid w:val="00BA0680"/>
    <w:rsid w:val="00BA48F2"/>
    <w:rsid w:val="00BA4A85"/>
    <w:rsid w:val="00BB0B45"/>
    <w:rsid w:val="00BB2600"/>
    <w:rsid w:val="00BB26AA"/>
    <w:rsid w:val="00BB279C"/>
    <w:rsid w:val="00BB75A8"/>
    <w:rsid w:val="00BB7D44"/>
    <w:rsid w:val="00BC00F2"/>
    <w:rsid w:val="00BC1077"/>
    <w:rsid w:val="00BC2198"/>
    <w:rsid w:val="00BC5DF8"/>
    <w:rsid w:val="00BC6FBC"/>
    <w:rsid w:val="00BD1049"/>
    <w:rsid w:val="00BD11F0"/>
    <w:rsid w:val="00BD2AE4"/>
    <w:rsid w:val="00BD5483"/>
    <w:rsid w:val="00BD6AF3"/>
    <w:rsid w:val="00BE0B28"/>
    <w:rsid w:val="00BE2EBB"/>
    <w:rsid w:val="00BE415D"/>
    <w:rsid w:val="00BE4C3A"/>
    <w:rsid w:val="00BE5384"/>
    <w:rsid w:val="00BE57E3"/>
    <w:rsid w:val="00BE63D2"/>
    <w:rsid w:val="00BE7406"/>
    <w:rsid w:val="00BE7CF3"/>
    <w:rsid w:val="00BF01C4"/>
    <w:rsid w:val="00BF2044"/>
    <w:rsid w:val="00BF2FFA"/>
    <w:rsid w:val="00BF333C"/>
    <w:rsid w:val="00BF33E6"/>
    <w:rsid w:val="00BF3D85"/>
    <w:rsid w:val="00BF567E"/>
    <w:rsid w:val="00C00057"/>
    <w:rsid w:val="00C037BC"/>
    <w:rsid w:val="00C05620"/>
    <w:rsid w:val="00C05C56"/>
    <w:rsid w:val="00C06130"/>
    <w:rsid w:val="00C06863"/>
    <w:rsid w:val="00C1121B"/>
    <w:rsid w:val="00C12763"/>
    <w:rsid w:val="00C12D54"/>
    <w:rsid w:val="00C14090"/>
    <w:rsid w:val="00C16EFF"/>
    <w:rsid w:val="00C215A0"/>
    <w:rsid w:val="00C24B69"/>
    <w:rsid w:val="00C26C87"/>
    <w:rsid w:val="00C27EF2"/>
    <w:rsid w:val="00C306FD"/>
    <w:rsid w:val="00C3108E"/>
    <w:rsid w:val="00C315A8"/>
    <w:rsid w:val="00C31869"/>
    <w:rsid w:val="00C334E7"/>
    <w:rsid w:val="00C33725"/>
    <w:rsid w:val="00C3495D"/>
    <w:rsid w:val="00C375F2"/>
    <w:rsid w:val="00C379C7"/>
    <w:rsid w:val="00C448F0"/>
    <w:rsid w:val="00C4669D"/>
    <w:rsid w:val="00C5043D"/>
    <w:rsid w:val="00C50D3C"/>
    <w:rsid w:val="00C51723"/>
    <w:rsid w:val="00C53AF1"/>
    <w:rsid w:val="00C5440E"/>
    <w:rsid w:val="00C54A02"/>
    <w:rsid w:val="00C57526"/>
    <w:rsid w:val="00C575A9"/>
    <w:rsid w:val="00C57CD8"/>
    <w:rsid w:val="00C62462"/>
    <w:rsid w:val="00C6283A"/>
    <w:rsid w:val="00C63B7F"/>
    <w:rsid w:val="00C7387E"/>
    <w:rsid w:val="00C7407E"/>
    <w:rsid w:val="00C75AED"/>
    <w:rsid w:val="00C81B73"/>
    <w:rsid w:val="00C823A5"/>
    <w:rsid w:val="00C90362"/>
    <w:rsid w:val="00CA0EA4"/>
    <w:rsid w:val="00CA32CC"/>
    <w:rsid w:val="00CA4981"/>
    <w:rsid w:val="00CA615D"/>
    <w:rsid w:val="00CA7B1D"/>
    <w:rsid w:val="00CB0656"/>
    <w:rsid w:val="00CB2D12"/>
    <w:rsid w:val="00CB3056"/>
    <w:rsid w:val="00CB447D"/>
    <w:rsid w:val="00CB5A91"/>
    <w:rsid w:val="00CB725D"/>
    <w:rsid w:val="00CB7862"/>
    <w:rsid w:val="00CB7EA3"/>
    <w:rsid w:val="00CC00B5"/>
    <w:rsid w:val="00CC1DC4"/>
    <w:rsid w:val="00CC24FD"/>
    <w:rsid w:val="00CD1CF3"/>
    <w:rsid w:val="00CD2F3A"/>
    <w:rsid w:val="00CD4266"/>
    <w:rsid w:val="00CD58BA"/>
    <w:rsid w:val="00CD6815"/>
    <w:rsid w:val="00CD6CC0"/>
    <w:rsid w:val="00CD7DDD"/>
    <w:rsid w:val="00CE06E4"/>
    <w:rsid w:val="00CE2423"/>
    <w:rsid w:val="00CE2EB8"/>
    <w:rsid w:val="00CE44E5"/>
    <w:rsid w:val="00CE5468"/>
    <w:rsid w:val="00CF03A8"/>
    <w:rsid w:val="00CF3506"/>
    <w:rsid w:val="00D00BB1"/>
    <w:rsid w:val="00D017D1"/>
    <w:rsid w:val="00D0227C"/>
    <w:rsid w:val="00D041BA"/>
    <w:rsid w:val="00D042A6"/>
    <w:rsid w:val="00D05624"/>
    <w:rsid w:val="00D10577"/>
    <w:rsid w:val="00D20A20"/>
    <w:rsid w:val="00D23E49"/>
    <w:rsid w:val="00D246B1"/>
    <w:rsid w:val="00D27213"/>
    <w:rsid w:val="00D27859"/>
    <w:rsid w:val="00D31243"/>
    <w:rsid w:val="00D3298A"/>
    <w:rsid w:val="00D3346A"/>
    <w:rsid w:val="00D401BD"/>
    <w:rsid w:val="00D4196B"/>
    <w:rsid w:val="00D41B66"/>
    <w:rsid w:val="00D5004F"/>
    <w:rsid w:val="00D51155"/>
    <w:rsid w:val="00D54A06"/>
    <w:rsid w:val="00D567E7"/>
    <w:rsid w:val="00D57474"/>
    <w:rsid w:val="00D60ED1"/>
    <w:rsid w:val="00D6283E"/>
    <w:rsid w:val="00D6340C"/>
    <w:rsid w:val="00D63E61"/>
    <w:rsid w:val="00D64F0B"/>
    <w:rsid w:val="00D66BC2"/>
    <w:rsid w:val="00D7053F"/>
    <w:rsid w:val="00D73D58"/>
    <w:rsid w:val="00D74BE2"/>
    <w:rsid w:val="00D755BA"/>
    <w:rsid w:val="00D7727B"/>
    <w:rsid w:val="00D80165"/>
    <w:rsid w:val="00D80C22"/>
    <w:rsid w:val="00D8277E"/>
    <w:rsid w:val="00D82E00"/>
    <w:rsid w:val="00D83CE4"/>
    <w:rsid w:val="00D84C35"/>
    <w:rsid w:val="00D850B8"/>
    <w:rsid w:val="00D85A3E"/>
    <w:rsid w:val="00D9213B"/>
    <w:rsid w:val="00D9276F"/>
    <w:rsid w:val="00DA2204"/>
    <w:rsid w:val="00DA6B48"/>
    <w:rsid w:val="00DA6D8F"/>
    <w:rsid w:val="00DB2672"/>
    <w:rsid w:val="00DB37F5"/>
    <w:rsid w:val="00DB4048"/>
    <w:rsid w:val="00DC075A"/>
    <w:rsid w:val="00DC17E0"/>
    <w:rsid w:val="00DC6F92"/>
    <w:rsid w:val="00DD0455"/>
    <w:rsid w:val="00DD60DB"/>
    <w:rsid w:val="00DE5840"/>
    <w:rsid w:val="00DE5A07"/>
    <w:rsid w:val="00DE65FB"/>
    <w:rsid w:val="00DE6FE0"/>
    <w:rsid w:val="00DF068A"/>
    <w:rsid w:val="00DF0A08"/>
    <w:rsid w:val="00DF60D2"/>
    <w:rsid w:val="00DF7E40"/>
    <w:rsid w:val="00DF7EAE"/>
    <w:rsid w:val="00E00D22"/>
    <w:rsid w:val="00E03469"/>
    <w:rsid w:val="00E0420F"/>
    <w:rsid w:val="00E06E9F"/>
    <w:rsid w:val="00E16ACE"/>
    <w:rsid w:val="00E16C05"/>
    <w:rsid w:val="00E17FF8"/>
    <w:rsid w:val="00E20AAE"/>
    <w:rsid w:val="00E23F9D"/>
    <w:rsid w:val="00E258DE"/>
    <w:rsid w:val="00E31F97"/>
    <w:rsid w:val="00E32552"/>
    <w:rsid w:val="00E3297B"/>
    <w:rsid w:val="00E34B8D"/>
    <w:rsid w:val="00E3502E"/>
    <w:rsid w:val="00E352E7"/>
    <w:rsid w:val="00E412EC"/>
    <w:rsid w:val="00E41777"/>
    <w:rsid w:val="00E4197B"/>
    <w:rsid w:val="00E4274A"/>
    <w:rsid w:val="00E470C6"/>
    <w:rsid w:val="00E472DA"/>
    <w:rsid w:val="00E5081E"/>
    <w:rsid w:val="00E53E5E"/>
    <w:rsid w:val="00E54138"/>
    <w:rsid w:val="00E54B65"/>
    <w:rsid w:val="00E55670"/>
    <w:rsid w:val="00E60C99"/>
    <w:rsid w:val="00E6382E"/>
    <w:rsid w:val="00E65C02"/>
    <w:rsid w:val="00E76FBE"/>
    <w:rsid w:val="00E77C21"/>
    <w:rsid w:val="00E8076B"/>
    <w:rsid w:val="00E80DD0"/>
    <w:rsid w:val="00E81FAA"/>
    <w:rsid w:val="00E91588"/>
    <w:rsid w:val="00E92961"/>
    <w:rsid w:val="00E93385"/>
    <w:rsid w:val="00E96A19"/>
    <w:rsid w:val="00E978D6"/>
    <w:rsid w:val="00E97F05"/>
    <w:rsid w:val="00EA0CFA"/>
    <w:rsid w:val="00EA12E6"/>
    <w:rsid w:val="00EA2E2D"/>
    <w:rsid w:val="00EA310F"/>
    <w:rsid w:val="00EA5A91"/>
    <w:rsid w:val="00EA5D22"/>
    <w:rsid w:val="00EA6216"/>
    <w:rsid w:val="00EA6AAC"/>
    <w:rsid w:val="00EA78B0"/>
    <w:rsid w:val="00EB6CEF"/>
    <w:rsid w:val="00EC44CD"/>
    <w:rsid w:val="00EC4A85"/>
    <w:rsid w:val="00ED0B48"/>
    <w:rsid w:val="00ED18A6"/>
    <w:rsid w:val="00ED255C"/>
    <w:rsid w:val="00ED2D29"/>
    <w:rsid w:val="00ED52B2"/>
    <w:rsid w:val="00ED57A0"/>
    <w:rsid w:val="00ED639B"/>
    <w:rsid w:val="00ED7294"/>
    <w:rsid w:val="00ED74A0"/>
    <w:rsid w:val="00EE0D75"/>
    <w:rsid w:val="00EE38F8"/>
    <w:rsid w:val="00EE4CE7"/>
    <w:rsid w:val="00EE57C7"/>
    <w:rsid w:val="00EF0C2F"/>
    <w:rsid w:val="00EF256B"/>
    <w:rsid w:val="00EF3E93"/>
    <w:rsid w:val="00EF44A8"/>
    <w:rsid w:val="00EF6292"/>
    <w:rsid w:val="00EF6562"/>
    <w:rsid w:val="00F1058F"/>
    <w:rsid w:val="00F17250"/>
    <w:rsid w:val="00F21C10"/>
    <w:rsid w:val="00F22139"/>
    <w:rsid w:val="00F23374"/>
    <w:rsid w:val="00F31D6C"/>
    <w:rsid w:val="00F34A35"/>
    <w:rsid w:val="00F34D64"/>
    <w:rsid w:val="00F4003B"/>
    <w:rsid w:val="00F41127"/>
    <w:rsid w:val="00F415CD"/>
    <w:rsid w:val="00F43876"/>
    <w:rsid w:val="00F4555E"/>
    <w:rsid w:val="00F468BC"/>
    <w:rsid w:val="00F46EBB"/>
    <w:rsid w:val="00F47FCA"/>
    <w:rsid w:val="00F54AB3"/>
    <w:rsid w:val="00F55F14"/>
    <w:rsid w:val="00F57959"/>
    <w:rsid w:val="00F62EA6"/>
    <w:rsid w:val="00F63526"/>
    <w:rsid w:val="00F64964"/>
    <w:rsid w:val="00F6540A"/>
    <w:rsid w:val="00F655C2"/>
    <w:rsid w:val="00F72309"/>
    <w:rsid w:val="00F7464B"/>
    <w:rsid w:val="00F769C9"/>
    <w:rsid w:val="00F77085"/>
    <w:rsid w:val="00F836FC"/>
    <w:rsid w:val="00F92AD2"/>
    <w:rsid w:val="00F95266"/>
    <w:rsid w:val="00FA2546"/>
    <w:rsid w:val="00FB3E53"/>
    <w:rsid w:val="00FC326F"/>
    <w:rsid w:val="00FD264E"/>
    <w:rsid w:val="00FD52BF"/>
    <w:rsid w:val="00FD546D"/>
    <w:rsid w:val="00FD759F"/>
    <w:rsid w:val="00FE22BA"/>
    <w:rsid w:val="00FE3510"/>
    <w:rsid w:val="00FE3940"/>
    <w:rsid w:val="00FE3A21"/>
    <w:rsid w:val="00FE452F"/>
    <w:rsid w:val="00FE6B3F"/>
    <w:rsid w:val="00FE6EC8"/>
    <w:rsid w:val="00FE6F0D"/>
    <w:rsid w:val="00FF1F01"/>
    <w:rsid w:val="00FF2A88"/>
    <w:rsid w:val="00FF36E5"/>
    <w:rsid w:val="00FF3AA9"/>
    <w:rsid w:val="00FF79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7ABECA"/>
  <w15:chartTrackingRefBased/>
  <w15:docId w15:val="{A22E84A7-A970-407E-98EF-B9387B53D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B10DA"/>
    <w:pPr>
      <w:spacing w:after="0" w:line="240" w:lineRule="auto"/>
    </w:pPr>
    <w:rPr>
      <w:rFonts w:ascii="Times New Roman" w:hAnsi="Times New Roman" w:cs="Times New Roman"/>
      <w:sz w:val="24"/>
      <w:shd w:val="clear" w:color="auto" w:fill="FFFFFF"/>
    </w:rPr>
  </w:style>
  <w:style w:type="character" w:styleId="PlaceholderText">
    <w:name w:val="Placeholder Text"/>
    <w:basedOn w:val="DefaultParagraphFont"/>
    <w:uiPriority w:val="99"/>
    <w:semiHidden/>
    <w:rsid w:val="00052BA6"/>
    <w:rPr>
      <w:color w:val="808080"/>
    </w:rPr>
  </w:style>
  <w:style w:type="paragraph" w:styleId="BalloonText">
    <w:name w:val="Balloon Text"/>
    <w:basedOn w:val="Normal"/>
    <w:link w:val="BalloonTextChar"/>
    <w:uiPriority w:val="99"/>
    <w:semiHidden/>
    <w:unhideWhenUsed/>
    <w:rsid w:val="005957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7A1"/>
    <w:rPr>
      <w:rFonts w:ascii="Segoe UI" w:hAnsi="Segoe UI" w:cs="Segoe UI"/>
      <w:sz w:val="18"/>
      <w:szCs w:val="18"/>
    </w:rPr>
  </w:style>
  <w:style w:type="table" w:styleId="TableGrid">
    <w:name w:val="Table Grid"/>
    <w:basedOn w:val="TableNormal"/>
    <w:uiPriority w:val="39"/>
    <w:rsid w:val="00C82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04623"/>
    <w:pPr>
      <w:tabs>
        <w:tab w:val="center" w:pos="4536"/>
        <w:tab w:val="right" w:pos="9072"/>
      </w:tabs>
      <w:spacing w:after="0" w:line="240" w:lineRule="auto"/>
    </w:pPr>
  </w:style>
  <w:style w:type="character" w:customStyle="1" w:styleId="FooterChar">
    <w:name w:val="Footer Char"/>
    <w:basedOn w:val="DefaultParagraphFont"/>
    <w:link w:val="Footer"/>
    <w:uiPriority w:val="99"/>
    <w:rsid w:val="00704623"/>
  </w:style>
  <w:style w:type="character" w:styleId="PageNumber">
    <w:name w:val="page number"/>
    <w:basedOn w:val="DefaultParagraphFont"/>
    <w:uiPriority w:val="99"/>
    <w:semiHidden/>
    <w:unhideWhenUsed/>
    <w:rsid w:val="00704623"/>
  </w:style>
  <w:style w:type="character" w:customStyle="1" w:styleId="BDAbstractTitleChar">
    <w:name w:val="BD_Abstract_Title Char"/>
    <w:link w:val="SectionTitle"/>
    <w:rsid w:val="00C26C87"/>
    <w:rPr>
      <w:rFonts w:ascii="Arno Pro" w:hAnsi="Arno Pro"/>
      <w:b/>
      <w:kern w:val="21"/>
      <w:sz w:val="19"/>
    </w:rPr>
  </w:style>
  <w:style w:type="paragraph" w:customStyle="1" w:styleId="SectionTitle">
    <w:name w:val="Section_Title"/>
    <w:basedOn w:val="Normal"/>
    <w:link w:val="BDAbstractTitleChar"/>
    <w:autoRedefine/>
    <w:rsid w:val="00C26C87"/>
    <w:pPr>
      <w:spacing w:before="180" w:after="120" w:line="240" w:lineRule="auto"/>
      <w:jc w:val="both"/>
    </w:pPr>
    <w:rPr>
      <w:rFonts w:ascii="Arno Pro" w:hAnsi="Arno Pro"/>
      <w:b/>
      <w:kern w:val="21"/>
      <w:sz w:val="19"/>
    </w:rPr>
  </w:style>
  <w:style w:type="paragraph" w:customStyle="1" w:styleId="SectionContent">
    <w:name w:val="Section_Content"/>
    <w:basedOn w:val="Normal"/>
    <w:next w:val="Normal"/>
    <w:autoRedefine/>
    <w:rsid w:val="00C26C87"/>
    <w:pPr>
      <w:spacing w:after="0" w:line="240" w:lineRule="auto"/>
      <w:jc w:val="both"/>
    </w:pPr>
    <w:rPr>
      <w:rFonts w:ascii="Arno Pro" w:eastAsia="Times New Roman" w:hAnsi="Arno Pro" w:cs="Times New Roman"/>
      <w:kern w:val="20"/>
      <w:sz w:val="20"/>
      <w:szCs w:val="20"/>
    </w:rPr>
  </w:style>
  <w:style w:type="character" w:styleId="Hyperlink">
    <w:name w:val="Hyperlink"/>
    <w:rsid w:val="00C26C87"/>
    <w:rPr>
      <w:color w:val="0000FF"/>
      <w:u w:val="single"/>
    </w:rPr>
  </w:style>
  <w:style w:type="paragraph" w:customStyle="1" w:styleId="SectionSubtitle">
    <w:name w:val="Section_Subtitle"/>
    <w:basedOn w:val="Normal"/>
    <w:autoRedefine/>
    <w:rsid w:val="00C26C87"/>
    <w:pPr>
      <w:spacing w:before="120" w:after="60" w:line="240" w:lineRule="auto"/>
    </w:pPr>
    <w:rPr>
      <w:rFonts w:ascii="Myriad Pro Light" w:eastAsia="Times New Roman" w:hAnsi="Myriad Pro Light" w:cs="Times New Roman"/>
      <w:b/>
      <w:kern w:val="21"/>
      <w:sz w:val="19"/>
      <w:szCs w:val="14"/>
    </w:rPr>
  </w:style>
  <w:style w:type="character" w:styleId="CommentReference">
    <w:name w:val="annotation reference"/>
    <w:basedOn w:val="DefaultParagraphFont"/>
    <w:uiPriority w:val="99"/>
    <w:semiHidden/>
    <w:unhideWhenUsed/>
    <w:rsid w:val="009819FE"/>
    <w:rPr>
      <w:sz w:val="16"/>
      <w:szCs w:val="16"/>
    </w:rPr>
  </w:style>
  <w:style w:type="paragraph" w:styleId="CommentText">
    <w:name w:val="annotation text"/>
    <w:basedOn w:val="Normal"/>
    <w:link w:val="CommentTextChar"/>
    <w:uiPriority w:val="99"/>
    <w:semiHidden/>
    <w:unhideWhenUsed/>
    <w:rsid w:val="009819FE"/>
    <w:pPr>
      <w:spacing w:line="240" w:lineRule="auto"/>
    </w:pPr>
    <w:rPr>
      <w:sz w:val="20"/>
      <w:szCs w:val="20"/>
    </w:rPr>
  </w:style>
  <w:style w:type="character" w:customStyle="1" w:styleId="CommentTextChar">
    <w:name w:val="Comment Text Char"/>
    <w:basedOn w:val="DefaultParagraphFont"/>
    <w:link w:val="CommentText"/>
    <w:uiPriority w:val="99"/>
    <w:semiHidden/>
    <w:rsid w:val="009819FE"/>
    <w:rPr>
      <w:sz w:val="20"/>
      <w:szCs w:val="20"/>
    </w:rPr>
  </w:style>
  <w:style w:type="paragraph" w:styleId="CommentSubject">
    <w:name w:val="annotation subject"/>
    <w:basedOn w:val="CommentText"/>
    <w:next w:val="CommentText"/>
    <w:link w:val="CommentSubjectChar"/>
    <w:uiPriority w:val="99"/>
    <w:semiHidden/>
    <w:unhideWhenUsed/>
    <w:rsid w:val="009819FE"/>
    <w:rPr>
      <w:b/>
      <w:bCs/>
    </w:rPr>
  </w:style>
  <w:style w:type="character" w:customStyle="1" w:styleId="CommentSubjectChar">
    <w:name w:val="Comment Subject Char"/>
    <w:basedOn w:val="CommentTextChar"/>
    <w:link w:val="CommentSubject"/>
    <w:uiPriority w:val="99"/>
    <w:semiHidden/>
    <w:rsid w:val="009819FE"/>
    <w:rPr>
      <w:b/>
      <w:bCs/>
      <w:sz w:val="20"/>
      <w:szCs w:val="20"/>
    </w:rPr>
  </w:style>
  <w:style w:type="table" w:styleId="PlainTable4">
    <w:name w:val="Plain Table 4"/>
    <w:basedOn w:val="TableNormal"/>
    <w:uiPriority w:val="44"/>
    <w:rsid w:val="0033019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1B35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gjmeyer@email.unc.edu" TargetMode="External"/><Relationship Id="rId12" Type="http://schemas.openxmlformats.org/officeDocument/2006/relationships/image" Target="media/image5.png"/><Relationship Id="rId17" Type="http://schemas.openxmlformats.org/officeDocument/2006/relationships/hyperlink" Target="mailto:gjmeyer@email.unc.edu"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75FE7-4E43-4AB1-AD55-A43EEB8BF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26</Pages>
  <Words>42298</Words>
  <Characters>241103</Characters>
  <Application>Microsoft Office Word</Application>
  <DocSecurity>0</DocSecurity>
  <Lines>2009</Lines>
  <Paragraphs>565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282836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Brady, Matthew David</dc:creator>
  <cp:keywords/>
  <dc:description/>
  <cp:lastModifiedBy>Brady, Matthew David</cp:lastModifiedBy>
  <cp:revision>100</cp:revision>
  <dcterms:created xsi:type="dcterms:W3CDTF">2019-06-19T18:18:00Z</dcterms:created>
  <dcterms:modified xsi:type="dcterms:W3CDTF">2019-06-20T20:25:00Z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http://www.zotero.org/styles/acs-applied-materials-and-interfaces</vt:lpwstr>
  </property>
  <property fmtid="{D5CDD505-2E9C-101B-9397-08002B2CF9AE}" pid="3" name="Mendeley Recent Style Name 0_1">
    <vt:lpwstr>ACS Applied Materials &amp; Interfaces</vt:lpwstr>
  </property>
  <property fmtid="{D5CDD505-2E9C-101B-9397-08002B2CF9AE}" pid="4" name="Mendeley Recent Style Id 1_1">
    <vt:lpwstr>http://www.zotero.org/styles/acs-energy-letters</vt:lpwstr>
  </property>
  <property fmtid="{D5CDD505-2E9C-101B-9397-08002B2CF9AE}" pid="5" name="Mendeley Recent Style Name 1_1">
    <vt:lpwstr>ACS Energy Letters</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http://www.zotero.org/styles/journal-of-the-american-chemical-society</vt:lpwstr>
  </property>
  <property fmtid="{D5CDD505-2E9C-101B-9397-08002B2CF9AE}" pid="15" name="Mendeley Recent Style Name 6_1">
    <vt:lpwstr>Journal of the American Chemical Society</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03b4304d-065f-3d4b-a25a-78133b98bd0e</vt:lpwstr>
  </property>
  <property fmtid="{D5CDD505-2E9C-101B-9397-08002B2CF9AE}" pid="24" name="Mendeley Citation Style_1">
    <vt:lpwstr>http://www.zotero.org/styles/acs-applied-materials-and-interfaces</vt:lpwstr>
  </property>
</Properties>
</file>